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8348D" w:rsidRPr="0070008D" w:rsidRDefault="0081513B" w:rsidP="0070008D">
      <w:pPr>
        <w:pStyle w:val="Title"/>
      </w:pPr>
      <w:sdt>
        <w:sdtPr>
          <w:alias w:val="Title"/>
          <w:tag w:val=""/>
          <w:id w:val="-624703986"/>
          <w:placeholder>
            <w:docPart w:val="B3057D3DEC7A4D4A81CD33009EAE8B78"/>
          </w:placeholder>
          <w:dataBinding w:prefixMappings="xmlns:ns0='http://purl.org/dc/elements/1.1/' xmlns:ns1='http://schemas.openxmlformats.org/package/2006/metadata/core-properties' " w:xpath="/ns1:coreProperties[1]/ns0:title[1]" w:storeItemID="{6C3C8BC8-F283-45AE-878A-BAB7291924A1}"/>
          <w:text/>
        </w:sdtPr>
        <w:sdtEndPr/>
        <w:sdtContent>
          <w:r w:rsidR="006C71EC" w:rsidRPr="0070008D">
            <w:t>14.2</w:t>
          </w:r>
          <w:r w:rsidR="006C71EC" w:rsidRPr="0070008D">
            <w:tab/>
          </w:r>
          <w:r w:rsidR="00982AAD" w:rsidRPr="0070008D">
            <w:t>RITU</w:t>
          </w:r>
          <w:r w:rsidR="0088348D" w:rsidRPr="0070008D">
            <w:t>XIMAB</w:t>
          </w:r>
        </w:sdtContent>
      </w:sdt>
      <w:r w:rsidR="0088348D" w:rsidRPr="0070008D">
        <w:tab/>
      </w:r>
    </w:p>
    <w:p w:rsidR="00FD70CA" w:rsidRPr="0070008D" w:rsidRDefault="00982AAD" w:rsidP="0070008D">
      <w:pPr>
        <w:pStyle w:val="Title"/>
        <w:ind w:left="720"/>
      </w:pPr>
      <w:proofErr w:type="gramStart"/>
      <w:r w:rsidRPr="0070008D">
        <w:t>injection</w:t>
      </w:r>
      <w:proofErr w:type="gramEnd"/>
      <w:r w:rsidRPr="0070008D">
        <w:t xml:space="preserve"> for infusion, 100mg/10mL, 2 x 10 mL vials, </w:t>
      </w:r>
      <w:proofErr w:type="spellStart"/>
      <w:r w:rsidRPr="0070008D">
        <w:t>Mabthera</w:t>
      </w:r>
      <w:proofErr w:type="spellEnd"/>
      <w:r w:rsidRPr="0070008D">
        <w:t>®, Roche Products Pty Ltd.</w:t>
      </w:r>
    </w:p>
    <w:p w:rsidR="00FD70CA" w:rsidRPr="00653D69" w:rsidRDefault="00FD70CA" w:rsidP="0070008D">
      <w:pPr>
        <w:spacing w:line="480" w:lineRule="auto"/>
        <w:rPr>
          <w:rFonts w:ascii="Arial" w:hAnsi="Arial"/>
          <w:b/>
        </w:rPr>
      </w:pPr>
    </w:p>
    <w:p w:rsidR="00FD70CA" w:rsidRDefault="00982AAD" w:rsidP="0070008D">
      <w:pPr>
        <w:pStyle w:val="Heading1"/>
      </w:pPr>
      <w:r w:rsidRPr="0070008D">
        <w:t>Purpose</w:t>
      </w:r>
      <w:r w:rsidR="007A77F9" w:rsidRPr="0070008D">
        <w:t xml:space="preserve"> of Application</w:t>
      </w:r>
    </w:p>
    <w:p w:rsidR="0070008D" w:rsidRPr="0070008D" w:rsidRDefault="0070008D" w:rsidP="0070008D"/>
    <w:p w:rsidR="00FD70CA" w:rsidRPr="00CF087C" w:rsidRDefault="00982AAD" w:rsidP="00982AAD">
      <w:pPr>
        <w:pStyle w:val="ListParagraph"/>
        <w:numPr>
          <w:ilvl w:val="1"/>
          <w:numId w:val="1"/>
        </w:numPr>
        <w:ind w:left="709" w:hanging="709"/>
        <w:jc w:val="both"/>
        <w:rPr>
          <w:rFonts w:ascii="Arial" w:hAnsi="Arial"/>
          <w:sz w:val="22"/>
          <w:szCs w:val="22"/>
        </w:rPr>
      </w:pPr>
      <w:r w:rsidRPr="00CF087C">
        <w:rPr>
          <w:rFonts w:ascii="Arial" w:hAnsi="Arial"/>
          <w:sz w:val="22"/>
          <w:szCs w:val="22"/>
        </w:rPr>
        <w:t xml:space="preserve">To seek a PBAC recommendation to add the 100 mg/10 mL injection </w:t>
      </w:r>
      <w:r w:rsidR="007A77F9" w:rsidRPr="00CF087C">
        <w:rPr>
          <w:rFonts w:ascii="Arial" w:hAnsi="Arial"/>
          <w:sz w:val="22"/>
          <w:szCs w:val="22"/>
        </w:rPr>
        <w:t xml:space="preserve">presentation of rituximab </w:t>
      </w:r>
      <w:r w:rsidRPr="00CF087C">
        <w:rPr>
          <w:rFonts w:ascii="Arial" w:hAnsi="Arial"/>
          <w:sz w:val="22"/>
          <w:szCs w:val="22"/>
        </w:rPr>
        <w:t xml:space="preserve">to the </w:t>
      </w:r>
      <w:r w:rsidR="007A77F9" w:rsidRPr="00CF087C">
        <w:rPr>
          <w:rFonts w:ascii="Arial" w:hAnsi="Arial"/>
          <w:sz w:val="22"/>
          <w:szCs w:val="22"/>
        </w:rPr>
        <w:t>July 2015</w:t>
      </w:r>
      <w:r w:rsidRPr="00CF087C">
        <w:rPr>
          <w:rFonts w:ascii="Arial" w:hAnsi="Arial"/>
          <w:sz w:val="22"/>
          <w:szCs w:val="22"/>
        </w:rPr>
        <w:t xml:space="preserve"> recommendation to list the 500 mg/50 mL injection for severe active </w:t>
      </w:r>
      <w:proofErr w:type="spellStart"/>
      <w:r w:rsidRPr="00CF087C">
        <w:rPr>
          <w:rFonts w:ascii="Arial" w:hAnsi="Arial"/>
          <w:sz w:val="22"/>
          <w:szCs w:val="22"/>
        </w:rPr>
        <w:t>granulomatosis</w:t>
      </w:r>
      <w:proofErr w:type="spellEnd"/>
      <w:r w:rsidRPr="00CF087C">
        <w:rPr>
          <w:rFonts w:ascii="Arial" w:hAnsi="Arial"/>
          <w:sz w:val="22"/>
          <w:szCs w:val="22"/>
        </w:rPr>
        <w:t xml:space="preserve"> with </w:t>
      </w:r>
      <w:proofErr w:type="spellStart"/>
      <w:r w:rsidRPr="00CF087C">
        <w:rPr>
          <w:rFonts w:ascii="Arial" w:hAnsi="Arial"/>
          <w:sz w:val="22"/>
          <w:szCs w:val="22"/>
        </w:rPr>
        <w:t>polyangiitis</w:t>
      </w:r>
      <w:proofErr w:type="spellEnd"/>
      <w:r w:rsidRPr="00CF087C">
        <w:rPr>
          <w:rFonts w:ascii="Arial" w:hAnsi="Arial"/>
          <w:sz w:val="22"/>
          <w:szCs w:val="22"/>
        </w:rPr>
        <w:t xml:space="preserve"> (GPA) and microscopic </w:t>
      </w:r>
      <w:proofErr w:type="spellStart"/>
      <w:r w:rsidRPr="00CF087C">
        <w:rPr>
          <w:rFonts w:ascii="Arial" w:hAnsi="Arial"/>
          <w:sz w:val="22"/>
          <w:szCs w:val="22"/>
        </w:rPr>
        <w:t>polyangiitis</w:t>
      </w:r>
      <w:proofErr w:type="spellEnd"/>
      <w:r w:rsidRPr="00CF087C">
        <w:rPr>
          <w:rFonts w:ascii="Arial" w:hAnsi="Arial"/>
          <w:sz w:val="22"/>
          <w:szCs w:val="22"/>
        </w:rPr>
        <w:t xml:space="preserve"> (MPA). The 100mg vial was omitted from the sponsor’s submission.</w:t>
      </w:r>
    </w:p>
    <w:p w:rsidR="00982AAD" w:rsidRPr="00982AAD" w:rsidRDefault="00982AAD" w:rsidP="0070008D">
      <w:pPr>
        <w:keepNext/>
        <w:spacing w:line="480" w:lineRule="auto"/>
        <w:ind w:left="720" w:hanging="720"/>
        <w:rPr>
          <w:rFonts w:ascii="Arial" w:hAnsi="Arial" w:cs="Arial"/>
        </w:rPr>
      </w:pPr>
    </w:p>
    <w:p w:rsidR="00FD70CA" w:rsidRPr="0088348D" w:rsidRDefault="00FD70CA" w:rsidP="0070008D">
      <w:pPr>
        <w:pStyle w:val="Heading1"/>
      </w:pPr>
      <w:r w:rsidRPr="0088348D">
        <w:t>Background</w:t>
      </w:r>
    </w:p>
    <w:p w:rsidR="00FD70CA" w:rsidRPr="004A4C8A" w:rsidRDefault="00FD70CA" w:rsidP="00FD70CA">
      <w:pPr>
        <w:jc w:val="both"/>
        <w:rPr>
          <w:rFonts w:ascii="Arial" w:hAnsi="Arial"/>
        </w:rPr>
      </w:pPr>
    </w:p>
    <w:p w:rsidR="00982AAD" w:rsidRPr="00CF087C" w:rsidRDefault="00982AAD" w:rsidP="00982AAD">
      <w:pPr>
        <w:pStyle w:val="ListParagraph"/>
        <w:numPr>
          <w:ilvl w:val="1"/>
          <w:numId w:val="1"/>
        </w:numPr>
        <w:ind w:left="709" w:hanging="709"/>
        <w:jc w:val="both"/>
        <w:rPr>
          <w:rFonts w:ascii="Arial" w:hAnsi="Arial"/>
          <w:sz w:val="22"/>
          <w:szCs w:val="22"/>
        </w:rPr>
      </w:pPr>
      <w:r w:rsidRPr="00CF087C">
        <w:rPr>
          <w:rFonts w:ascii="Arial" w:hAnsi="Arial"/>
          <w:sz w:val="22"/>
          <w:szCs w:val="22"/>
        </w:rPr>
        <w:t xml:space="preserve">At the March 2015 meeting, the PBAC considered a submission requesting listing for rituximab 500 mg/50 mL for the treatment of patients with GPA and MPA. </w:t>
      </w:r>
    </w:p>
    <w:p w:rsidR="00982AAD" w:rsidRPr="00CF087C" w:rsidRDefault="00982AAD" w:rsidP="00982AAD">
      <w:pPr>
        <w:pStyle w:val="ListParagraph"/>
        <w:ind w:left="709"/>
        <w:jc w:val="both"/>
        <w:rPr>
          <w:rFonts w:ascii="Arial" w:hAnsi="Arial"/>
          <w:sz w:val="22"/>
          <w:szCs w:val="22"/>
        </w:rPr>
      </w:pPr>
    </w:p>
    <w:p w:rsidR="00982AAD" w:rsidRPr="00CF087C" w:rsidRDefault="00982AAD" w:rsidP="00982AAD">
      <w:pPr>
        <w:pStyle w:val="ListParagraph"/>
        <w:numPr>
          <w:ilvl w:val="1"/>
          <w:numId w:val="1"/>
        </w:numPr>
        <w:ind w:left="709" w:hanging="709"/>
        <w:jc w:val="both"/>
        <w:rPr>
          <w:rFonts w:ascii="Arial" w:hAnsi="Arial"/>
          <w:sz w:val="22"/>
          <w:szCs w:val="22"/>
        </w:rPr>
      </w:pPr>
      <w:r w:rsidRPr="00CF087C">
        <w:rPr>
          <w:rFonts w:ascii="Arial" w:hAnsi="Arial"/>
          <w:sz w:val="22"/>
          <w:szCs w:val="22"/>
        </w:rPr>
        <w:t>The PBAC deferred its consideration of rituximab for the treatment of cyclophosphamide contraindicated or resistant severe active GPA and MPA because it could not determine whether rituximab was cost-effective at the price proposed. Given that no further data is likely to become available to inform this consideration, the PBAC deferred the submission to enable the Department to negotiate an appropriate price.</w:t>
      </w:r>
    </w:p>
    <w:p w:rsidR="00982AAD" w:rsidRPr="00CF087C" w:rsidRDefault="00982AAD" w:rsidP="00982AAD">
      <w:pPr>
        <w:pStyle w:val="ListParagraph"/>
        <w:ind w:left="709"/>
        <w:jc w:val="both"/>
        <w:rPr>
          <w:rFonts w:ascii="Arial" w:hAnsi="Arial"/>
          <w:sz w:val="22"/>
          <w:szCs w:val="22"/>
        </w:rPr>
      </w:pPr>
    </w:p>
    <w:p w:rsidR="00982AAD" w:rsidRPr="00CF087C" w:rsidRDefault="00982AAD" w:rsidP="00982AAD">
      <w:pPr>
        <w:pStyle w:val="ListParagraph"/>
        <w:numPr>
          <w:ilvl w:val="1"/>
          <w:numId w:val="1"/>
        </w:numPr>
        <w:ind w:left="709" w:hanging="709"/>
        <w:jc w:val="both"/>
        <w:rPr>
          <w:rFonts w:ascii="Arial" w:hAnsi="Arial"/>
          <w:sz w:val="22"/>
          <w:szCs w:val="22"/>
        </w:rPr>
      </w:pPr>
      <w:r w:rsidRPr="00CF087C">
        <w:rPr>
          <w:rFonts w:ascii="Arial" w:hAnsi="Arial"/>
          <w:sz w:val="22"/>
          <w:szCs w:val="22"/>
        </w:rPr>
        <w:t>Subsequent to the March 2015 meeting, the sponsor provided the PBAC with additional information including a revised price offer (</w:t>
      </w:r>
      <w:r w:rsidR="00647F66">
        <w:rPr>
          <w:rFonts w:ascii="Arial" w:hAnsi="Arial"/>
          <w:noProof/>
          <w:color w:val="000000"/>
          <w:sz w:val="22"/>
          <w:szCs w:val="22"/>
          <w:highlight w:val="black"/>
        </w:rPr>
        <w:t>''''''''''''''</w:t>
      </w:r>
      <w:r w:rsidRPr="00CF087C">
        <w:rPr>
          <w:rFonts w:ascii="Arial" w:hAnsi="Arial"/>
          <w:sz w:val="22"/>
          <w:szCs w:val="22"/>
        </w:rPr>
        <w:t xml:space="preserve">% rebate on the ex-manufacturer price of the 500 mg vial, as per the listing for </w:t>
      </w:r>
      <w:r w:rsidR="00647F66">
        <w:rPr>
          <w:rFonts w:ascii="Arial" w:hAnsi="Arial"/>
          <w:noProof/>
          <w:color w:val="000000"/>
          <w:sz w:val="22"/>
          <w:szCs w:val="22"/>
          <w:highlight w:val="black"/>
        </w:rPr>
        <w:t>'''''''''''''''''''''''''''' ''''''''''''''''''</w:t>
      </w:r>
      <w:r w:rsidRPr="00CF087C">
        <w:rPr>
          <w:rFonts w:ascii="Arial" w:hAnsi="Arial"/>
          <w:sz w:val="22"/>
          <w:szCs w:val="22"/>
        </w:rPr>
        <w:t>) and revised financial estimates.</w:t>
      </w:r>
    </w:p>
    <w:p w:rsidR="00982AAD" w:rsidRPr="00CF087C" w:rsidRDefault="00982AAD" w:rsidP="00982AAD">
      <w:pPr>
        <w:pStyle w:val="ListParagraph"/>
        <w:ind w:left="709"/>
        <w:jc w:val="both"/>
        <w:rPr>
          <w:rFonts w:ascii="Arial" w:hAnsi="Arial"/>
          <w:sz w:val="22"/>
          <w:szCs w:val="22"/>
        </w:rPr>
      </w:pPr>
    </w:p>
    <w:p w:rsidR="00982AAD" w:rsidRPr="00982AAD" w:rsidRDefault="00982AAD" w:rsidP="00982AAD">
      <w:pPr>
        <w:pStyle w:val="ListParagraph"/>
        <w:numPr>
          <w:ilvl w:val="1"/>
          <w:numId w:val="1"/>
        </w:numPr>
        <w:ind w:left="709" w:hanging="709"/>
        <w:jc w:val="both"/>
        <w:rPr>
          <w:rFonts w:ascii="Arial" w:hAnsi="Arial"/>
        </w:rPr>
      </w:pPr>
      <w:r w:rsidRPr="00CF087C">
        <w:rPr>
          <w:rFonts w:ascii="Arial" w:hAnsi="Arial"/>
          <w:sz w:val="22"/>
          <w:szCs w:val="22"/>
        </w:rPr>
        <w:t>At the July 2015 meeting, the PBAC recommended listing rituximab</w:t>
      </w:r>
      <w:r w:rsidR="007A77F9" w:rsidRPr="00CF087C">
        <w:rPr>
          <w:rFonts w:ascii="Arial" w:hAnsi="Arial"/>
          <w:sz w:val="22"/>
          <w:szCs w:val="22"/>
        </w:rPr>
        <w:t xml:space="preserve"> 500 mg/50 mL injection</w:t>
      </w:r>
      <w:r w:rsidRPr="00CF087C">
        <w:rPr>
          <w:rFonts w:ascii="Arial" w:hAnsi="Arial"/>
          <w:sz w:val="22"/>
          <w:szCs w:val="22"/>
        </w:rPr>
        <w:t>, on the basis that it should be available only under special arrangements under the Section 100 Highly Specialised Drugs Program, for remission induction in patients with severe, active GPA and MPA.</w:t>
      </w:r>
    </w:p>
    <w:p w:rsidR="00FD70CA" w:rsidRDefault="00FD70CA" w:rsidP="0070008D">
      <w:pPr>
        <w:spacing w:line="480" w:lineRule="auto"/>
        <w:rPr>
          <w:rFonts w:ascii="Arial" w:hAnsi="Arial" w:cs="Arial"/>
        </w:rPr>
      </w:pPr>
    </w:p>
    <w:p w:rsidR="00FD70CA" w:rsidRPr="0088348D" w:rsidRDefault="00982AAD" w:rsidP="0070008D">
      <w:pPr>
        <w:pStyle w:val="Heading1"/>
      </w:pPr>
      <w:r w:rsidRPr="0088348D">
        <w:t>C</w:t>
      </w:r>
      <w:r w:rsidR="00FD70CA" w:rsidRPr="0088348D">
        <w:t>onsideration of the evidence</w:t>
      </w:r>
    </w:p>
    <w:p w:rsidR="00FD70CA" w:rsidRPr="00CF087C" w:rsidRDefault="00FD70CA" w:rsidP="00FD70CA">
      <w:pPr>
        <w:ind w:left="720" w:hanging="720"/>
        <w:jc w:val="both"/>
        <w:rPr>
          <w:rFonts w:ascii="Arial" w:hAnsi="Arial"/>
          <w:sz w:val="22"/>
          <w:szCs w:val="22"/>
        </w:rPr>
      </w:pPr>
    </w:p>
    <w:p w:rsidR="00982AAD" w:rsidRPr="00CF087C" w:rsidRDefault="00982AAD" w:rsidP="00982AAD">
      <w:pPr>
        <w:pStyle w:val="ListParagraph"/>
        <w:numPr>
          <w:ilvl w:val="1"/>
          <w:numId w:val="1"/>
        </w:numPr>
        <w:ind w:left="709" w:hanging="709"/>
        <w:jc w:val="both"/>
        <w:rPr>
          <w:rFonts w:ascii="Arial" w:hAnsi="Arial"/>
          <w:sz w:val="22"/>
          <w:szCs w:val="22"/>
        </w:rPr>
      </w:pPr>
      <w:r w:rsidRPr="00CF087C">
        <w:rPr>
          <w:rFonts w:ascii="Arial" w:hAnsi="Arial"/>
          <w:sz w:val="22"/>
          <w:szCs w:val="22"/>
        </w:rPr>
        <w:t xml:space="preserve">Subsequent to this decision, the Department identified that the sponsor had assumed a proportion of use as weight based dosing in its financial estimates. The average dose for this is 800mg per treatment and the sponsor had used a combination of 500mg and 100mg vials to achieve this in their model. The sponsor applied the </w:t>
      </w:r>
      <w:r w:rsidR="00DA1024">
        <w:rPr>
          <w:rFonts w:ascii="Arial" w:hAnsi="Arial"/>
          <w:noProof/>
          <w:color w:val="000000"/>
          <w:sz w:val="22"/>
          <w:szCs w:val="22"/>
          <w:highlight w:val="black"/>
        </w:rPr>
        <w:t>''''''''''''</w:t>
      </w:r>
      <w:r w:rsidRPr="00CF087C">
        <w:rPr>
          <w:rFonts w:ascii="Arial" w:hAnsi="Arial"/>
          <w:sz w:val="22"/>
          <w:szCs w:val="22"/>
        </w:rPr>
        <w:t xml:space="preserve">% rebate to both the 500 mg and 100 mg vials in its financial estimates. </w:t>
      </w:r>
    </w:p>
    <w:p w:rsidR="00982AAD" w:rsidRPr="00CF087C" w:rsidRDefault="00982AAD" w:rsidP="00982AAD">
      <w:pPr>
        <w:pStyle w:val="ListParagraph"/>
        <w:ind w:left="709"/>
        <w:jc w:val="both"/>
        <w:rPr>
          <w:rFonts w:ascii="Arial" w:hAnsi="Arial"/>
          <w:sz w:val="22"/>
          <w:szCs w:val="22"/>
        </w:rPr>
      </w:pPr>
    </w:p>
    <w:p w:rsidR="00FD70CA" w:rsidRPr="00CF087C" w:rsidRDefault="00982AAD" w:rsidP="00982AAD">
      <w:pPr>
        <w:pStyle w:val="ListParagraph"/>
        <w:numPr>
          <w:ilvl w:val="1"/>
          <w:numId w:val="1"/>
        </w:numPr>
        <w:ind w:left="709" w:hanging="709"/>
        <w:jc w:val="both"/>
        <w:rPr>
          <w:rFonts w:ascii="Arial" w:hAnsi="Arial"/>
          <w:sz w:val="22"/>
          <w:szCs w:val="22"/>
        </w:rPr>
      </w:pPr>
      <w:r w:rsidRPr="00CF087C">
        <w:rPr>
          <w:rFonts w:ascii="Arial" w:hAnsi="Arial"/>
          <w:sz w:val="22"/>
          <w:szCs w:val="22"/>
        </w:rPr>
        <w:t>If only the 500 mg vial were listed for this indication, there may be issues of wastage for a small number of patients who are dosed on the basis of weight.</w:t>
      </w:r>
    </w:p>
    <w:p w:rsidR="00FD70CA" w:rsidRDefault="00FD70CA" w:rsidP="0070008D">
      <w:pPr>
        <w:spacing w:line="480" w:lineRule="auto"/>
        <w:jc w:val="both"/>
        <w:rPr>
          <w:rFonts w:ascii="Arial" w:hAnsi="Arial"/>
          <w:lang w:eastAsia="zh-CN"/>
        </w:rPr>
      </w:pPr>
    </w:p>
    <w:p w:rsidR="0070008D" w:rsidRDefault="0070008D">
      <w:pPr>
        <w:rPr>
          <w:rFonts w:ascii="Arial" w:hAnsi="Arial"/>
          <w:b/>
          <w:sz w:val="22"/>
          <w:szCs w:val="22"/>
        </w:rPr>
      </w:pPr>
      <w:r>
        <w:br w:type="page"/>
      </w:r>
    </w:p>
    <w:p w:rsidR="00FD70CA" w:rsidRPr="0088348D" w:rsidRDefault="00FD70CA" w:rsidP="0070008D">
      <w:pPr>
        <w:pStyle w:val="Heading1"/>
      </w:pPr>
      <w:r w:rsidRPr="0088348D">
        <w:lastRenderedPageBreak/>
        <w:t xml:space="preserve">PBAC </w:t>
      </w:r>
      <w:r w:rsidRPr="0088348D">
        <w:rPr>
          <w:rFonts w:hint="eastAsia"/>
        </w:rPr>
        <w:t>Outcome</w:t>
      </w:r>
    </w:p>
    <w:p w:rsidR="0043497A" w:rsidRPr="0043497A" w:rsidRDefault="0043497A" w:rsidP="00982AAD">
      <w:pPr>
        <w:pStyle w:val="ListParagraph"/>
        <w:keepNext/>
        <w:ind w:left="709"/>
        <w:jc w:val="both"/>
        <w:rPr>
          <w:rFonts w:ascii="Arial" w:hAnsi="Arial" w:cs="Arial"/>
        </w:rPr>
      </w:pPr>
    </w:p>
    <w:p w:rsidR="0043497A" w:rsidRPr="00CF087C" w:rsidRDefault="0043497A" w:rsidP="00982AAD">
      <w:pPr>
        <w:pStyle w:val="ListParagraph"/>
        <w:numPr>
          <w:ilvl w:val="1"/>
          <w:numId w:val="1"/>
        </w:numPr>
        <w:ind w:left="709" w:hanging="709"/>
        <w:jc w:val="both"/>
        <w:rPr>
          <w:rFonts w:ascii="Arial" w:hAnsi="Arial" w:cs="Arial"/>
          <w:sz w:val="22"/>
          <w:szCs w:val="22"/>
        </w:rPr>
      </w:pPr>
      <w:r w:rsidRPr="00CF087C">
        <w:rPr>
          <w:rFonts w:ascii="Arial" w:hAnsi="Arial" w:cs="Arial"/>
          <w:sz w:val="22"/>
          <w:szCs w:val="22"/>
        </w:rPr>
        <w:t xml:space="preserve">The PBAC recommended </w:t>
      </w:r>
      <w:r w:rsidR="00982AAD" w:rsidRPr="00CF087C">
        <w:rPr>
          <w:rFonts w:ascii="Arial" w:hAnsi="Arial" w:cs="Arial"/>
          <w:sz w:val="22"/>
          <w:szCs w:val="22"/>
        </w:rPr>
        <w:t>listing rituximab 100 mg/10 mL injection on the basis that it should be available only under special arrangements under the Section 100 Highly Specialised Drugs Program, for remission induction in patients with severe, active GPA and MPA</w:t>
      </w:r>
      <w:r w:rsidRPr="00CF087C">
        <w:rPr>
          <w:rFonts w:ascii="Arial" w:hAnsi="Arial" w:cs="Arial"/>
          <w:sz w:val="22"/>
          <w:szCs w:val="22"/>
        </w:rPr>
        <w:t>.</w:t>
      </w:r>
    </w:p>
    <w:p w:rsidR="0043497A" w:rsidRPr="00CF087C" w:rsidRDefault="0043497A" w:rsidP="0043497A">
      <w:pPr>
        <w:pStyle w:val="ListParagraph"/>
        <w:ind w:left="709"/>
        <w:rPr>
          <w:rFonts w:cs="Arial"/>
          <w:sz w:val="22"/>
          <w:szCs w:val="22"/>
        </w:rPr>
      </w:pPr>
    </w:p>
    <w:p w:rsidR="00982AAD" w:rsidRPr="00CF087C" w:rsidRDefault="00982AAD" w:rsidP="00982AAD">
      <w:pPr>
        <w:pStyle w:val="ListParagraph"/>
        <w:numPr>
          <w:ilvl w:val="1"/>
          <w:numId w:val="1"/>
        </w:numPr>
        <w:ind w:left="709" w:hanging="709"/>
        <w:jc w:val="both"/>
        <w:rPr>
          <w:rFonts w:ascii="Arial" w:hAnsi="Arial" w:cs="Arial"/>
          <w:sz w:val="22"/>
          <w:szCs w:val="22"/>
        </w:rPr>
      </w:pPr>
      <w:r w:rsidRPr="00CF087C">
        <w:rPr>
          <w:rFonts w:ascii="Arial" w:hAnsi="Arial" w:cs="Arial"/>
          <w:sz w:val="22"/>
          <w:szCs w:val="22"/>
        </w:rPr>
        <w:t>The PBAC requested that the Department include this listing in the Risk Share Arrangement for the 500 mg/50 mL injection.</w:t>
      </w:r>
    </w:p>
    <w:p w:rsidR="00982AAD" w:rsidRPr="00CF087C" w:rsidRDefault="00982AAD" w:rsidP="00982AAD">
      <w:pPr>
        <w:pStyle w:val="ListParagraph"/>
        <w:rPr>
          <w:rFonts w:ascii="Arial" w:hAnsi="Arial" w:cs="Arial"/>
          <w:sz w:val="22"/>
          <w:szCs w:val="22"/>
        </w:rPr>
      </w:pPr>
    </w:p>
    <w:p w:rsidR="00982AAD" w:rsidRPr="00CF087C" w:rsidRDefault="00982AAD" w:rsidP="00982AAD">
      <w:pPr>
        <w:pStyle w:val="ListParagraph"/>
        <w:numPr>
          <w:ilvl w:val="1"/>
          <w:numId w:val="1"/>
        </w:numPr>
        <w:ind w:left="709" w:hanging="709"/>
        <w:jc w:val="both"/>
        <w:rPr>
          <w:rFonts w:ascii="Arial" w:hAnsi="Arial" w:cs="Arial"/>
          <w:sz w:val="22"/>
          <w:szCs w:val="22"/>
        </w:rPr>
      </w:pPr>
      <w:r w:rsidRPr="00CF087C">
        <w:rPr>
          <w:rFonts w:ascii="Arial" w:hAnsi="Arial" w:cs="Arial"/>
          <w:sz w:val="22"/>
          <w:szCs w:val="22"/>
        </w:rPr>
        <w:t>The PBAC advised that rituximab is not suitable for prescribing by nurse practitioners.</w:t>
      </w:r>
    </w:p>
    <w:p w:rsidR="00982AAD" w:rsidRPr="00CF087C" w:rsidRDefault="00982AAD" w:rsidP="00982AAD">
      <w:pPr>
        <w:pStyle w:val="ListParagraph"/>
        <w:ind w:left="709"/>
        <w:jc w:val="both"/>
        <w:rPr>
          <w:rFonts w:ascii="Arial" w:hAnsi="Arial" w:cs="Arial"/>
          <w:sz w:val="22"/>
          <w:szCs w:val="22"/>
        </w:rPr>
      </w:pPr>
    </w:p>
    <w:p w:rsidR="00982AAD" w:rsidRPr="00CF087C" w:rsidRDefault="00982AAD" w:rsidP="00982AAD">
      <w:pPr>
        <w:pStyle w:val="ListParagraph"/>
        <w:numPr>
          <w:ilvl w:val="1"/>
          <w:numId w:val="1"/>
        </w:numPr>
        <w:ind w:left="709" w:hanging="709"/>
        <w:jc w:val="both"/>
        <w:rPr>
          <w:rFonts w:ascii="Arial" w:hAnsi="Arial" w:cs="Arial"/>
          <w:sz w:val="22"/>
          <w:szCs w:val="22"/>
        </w:rPr>
      </w:pPr>
      <w:r w:rsidRPr="00CF087C">
        <w:rPr>
          <w:rFonts w:ascii="Arial" w:hAnsi="Arial" w:cs="Arial"/>
          <w:sz w:val="22"/>
          <w:szCs w:val="22"/>
        </w:rPr>
        <w:t>The PBAC recommended that the Safety Net 20 Day Rule should not apply.</w:t>
      </w:r>
    </w:p>
    <w:p w:rsidR="0043497A" w:rsidRDefault="0043497A" w:rsidP="0043497A">
      <w:pPr>
        <w:pStyle w:val="ListParagraph"/>
      </w:pPr>
    </w:p>
    <w:p w:rsidR="00FD70CA" w:rsidRPr="0070008D" w:rsidRDefault="00FD70CA" w:rsidP="0070008D">
      <w:pPr>
        <w:pStyle w:val="Heading2"/>
        <w:rPr>
          <w:sz w:val="22"/>
        </w:rPr>
      </w:pPr>
      <w:r w:rsidRPr="0070008D">
        <w:rPr>
          <w:sz w:val="22"/>
        </w:rPr>
        <w:t>Outcome:</w:t>
      </w:r>
    </w:p>
    <w:p w:rsidR="00FD70CA" w:rsidRPr="0070008D" w:rsidRDefault="00FD70CA" w:rsidP="00FD70CA">
      <w:pPr>
        <w:ind w:left="720" w:hanging="720"/>
        <w:rPr>
          <w:rFonts w:ascii="Arial" w:hAnsi="Arial"/>
          <w:sz w:val="22"/>
        </w:rPr>
      </w:pPr>
      <w:r w:rsidRPr="0070008D">
        <w:rPr>
          <w:rFonts w:ascii="Arial" w:hAnsi="Arial"/>
          <w:sz w:val="22"/>
        </w:rPr>
        <w:t>Recommended</w:t>
      </w:r>
    </w:p>
    <w:p w:rsidR="00FD70CA" w:rsidRDefault="00FD70CA" w:rsidP="0070008D">
      <w:pPr>
        <w:spacing w:line="480" w:lineRule="auto"/>
        <w:rPr>
          <w:rFonts w:ascii="Arial" w:hAnsi="Arial"/>
        </w:rPr>
      </w:pPr>
    </w:p>
    <w:p w:rsidR="00FD70CA" w:rsidRPr="0088348D" w:rsidRDefault="00FD70CA" w:rsidP="0070008D">
      <w:pPr>
        <w:pStyle w:val="Heading1"/>
      </w:pPr>
      <w:r w:rsidRPr="0088348D">
        <w:t>Recommended listing</w:t>
      </w:r>
    </w:p>
    <w:p w:rsidR="00FD70CA" w:rsidRPr="0070008D" w:rsidRDefault="00FD70CA" w:rsidP="00FD70CA">
      <w:pPr>
        <w:rPr>
          <w:rFonts w:ascii="Arial" w:hAnsi="Arial"/>
          <w:b/>
          <w:sz w:val="20"/>
          <w:szCs w:val="28"/>
        </w:rPr>
      </w:pPr>
    </w:p>
    <w:p w:rsidR="00B42851" w:rsidRPr="0070008D" w:rsidRDefault="00FD70CA" w:rsidP="00982AAD">
      <w:pPr>
        <w:pStyle w:val="ListParagraph"/>
        <w:numPr>
          <w:ilvl w:val="1"/>
          <w:numId w:val="1"/>
        </w:numPr>
        <w:ind w:left="709" w:hanging="709"/>
        <w:jc w:val="both"/>
        <w:rPr>
          <w:rFonts w:ascii="Arial" w:hAnsi="Arial" w:cs="Arial"/>
          <w:sz w:val="22"/>
        </w:rPr>
      </w:pPr>
      <w:r w:rsidRPr="0070008D">
        <w:rPr>
          <w:rFonts w:ascii="Arial" w:hAnsi="Arial" w:cs="Arial"/>
          <w:sz w:val="22"/>
        </w:rPr>
        <w:t>A</w:t>
      </w:r>
      <w:r w:rsidR="00982AAD" w:rsidRPr="0070008D">
        <w:rPr>
          <w:rFonts w:ascii="Arial" w:hAnsi="Arial" w:cs="Arial"/>
          <w:sz w:val="22"/>
        </w:rPr>
        <w:t xml:space="preserve">mend </w:t>
      </w:r>
      <w:r w:rsidR="00032DD4" w:rsidRPr="0070008D">
        <w:rPr>
          <w:rFonts w:ascii="Arial" w:hAnsi="Arial" w:cs="Arial"/>
          <w:sz w:val="22"/>
        </w:rPr>
        <w:t>recommended</w:t>
      </w:r>
      <w:r w:rsidR="00982AAD" w:rsidRPr="0070008D">
        <w:rPr>
          <w:rFonts w:ascii="Arial" w:hAnsi="Arial" w:cs="Arial"/>
          <w:sz w:val="22"/>
        </w:rPr>
        <w:t xml:space="preserve"> listing. </w:t>
      </w:r>
    </w:p>
    <w:p w:rsidR="00982AAD" w:rsidRDefault="00982AAD" w:rsidP="00982AAD">
      <w:pPr>
        <w:pStyle w:val="ListParagraph"/>
        <w:jc w:val="both"/>
        <w:rPr>
          <w:rFonts w:ascii="Arial" w:hAnsi="Arial" w:cs="Arial"/>
        </w:rPr>
      </w:pPr>
    </w:p>
    <w:p w:rsidR="00032DD4" w:rsidRDefault="00032DD4" w:rsidP="00032DD4">
      <w:pPr>
        <w:rPr>
          <w:b/>
          <w:bCs/>
        </w:rPr>
      </w:pPr>
    </w:p>
    <w:tbl>
      <w:tblPr>
        <w:tblW w:w="9072" w:type="dxa"/>
        <w:tblInd w:w="250" w:type="dxa"/>
        <w:tblLayout w:type="fixed"/>
        <w:tblLook w:val="0000" w:firstRow="0" w:lastRow="0" w:firstColumn="0" w:lastColumn="0" w:noHBand="0" w:noVBand="0"/>
      </w:tblPr>
      <w:tblGrid>
        <w:gridCol w:w="2126"/>
        <w:gridCol w:w="1843"/>
        <w:gridCol w:w="567"/>
        <w:gridCol w:w="992"/>
        <w:gridCol w:w="567"/>
        <w:gridCol w:w="709"/>
        <w:gridCol w:w="1418"/>
        <w:gridCol w:w="850"/>
      </w:tblGrid>
      <w:tr w:rsidR="00032DD4" w:rsidRPr="00260CE3" w:rsidTr="00104651">
        <w:trPr>
          <w:trHeight w:val="471"/>
        </w:trPr>
        <w:tc>
          <w:tcPr>
            <w:tcW w:w="3969" w:type="dxa"/>
            <w:gridSpan w:val="2"/>
            <w:tcBorders>
              <w:bottom w:val="single" w:sz="4" w:space="0" w:color="auto"/>
            </w:tcBorders>
          </w:tcPr>
          <w:p w:rsidR="00032DD4" w:rsidRPr="00260CE3" w:rsidRDefault="00032DD4" w:rsidP="00104651">
            <w:pPr>
              <w:keepNext/>
              <w:ind w:left="-108"/>
              <w:rPr>
                <w:rFonts w:ascii="Arial Narrow" w:hAnsi="Arial Narrow"/>
                <w:sz w:val="20"/>
              </w:rPr>
            </w:pPr>
            <w:r w:rsidRPr="00260CE3">
              <w:rPr>
                <w:rFonts w:ascii="Arial Narrow" w:hAnsi="Arial Narrow"/>
                <w:sz w:val="20"/>
              </w:rPr>
              <w:t>Name, Restriction,</w:t>
            </w:r>
          </w:p>
          <w:p w:rsidR="00032DD4" w:rsidRPr="00260CE3" w:rsidRDefault="00032DD4" w:rsidP="00104651">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032DD4" w:rsidRPr="00260CE3" w:rsidRDefault="00032DD4" w:rsidP="00104651">
            <w:pPr>
              <w:keepNext/>
              <w:ind w:left="-108"/>
              <w:rPr>
                <w:rFonts w:ascii="Arial Narrow" w:hAnsi="Arial Narrow"/>
                <w:sz w:val="20"/>
              </w:rPr>
            </w:pPr>
            <w:r w:rsidRPr="00260CE3">
              <w:rPr>
                <w:rFonts w:ascii="Arial Narrow" w:hAnsi="Arial Narrow"/>
                <w:sz w:val="20"/>
              </w:rPr>
              <w:t>Max.</w:t>
            </w:r>
          </w:p>
          <w:p w:rsidR="00032DD4" w:rsidRPr="00260CE3" w:rsidRDefault="00032DD4" w:rsidP="00104651">
            <w:pPr>
              <w:keepNext/>
              <w:ind w:left="-108"/>
              <w:rPr>
                <w:rFonts w:ascii="Arial Narrow" w:hAnsi="Arial Narrow"/>
                <w:sz w:val="20"/>
              </w:rPr>
            </w:pPr>
            <w:proofErr w:type="spellStart"/>
            <w:r w:rsidRPr="00260CE3">
              <w:rPr>
                <w:rFonts w:ascii="Arial Narrow" w:hAnsi="Arial Narrow"/>
                <w:sz w:val="20"/>
              </w:rPr>
              <w:t>Qty</w:t>
            </w:r>
            <w:proofErr w:type="spellEnd"/>
          </w:p>
        </w:tc>
        <w:tc>
          <w:tcPr>
            <w:tcW w:w="992" w:type="dxa"/>
            <w:tcBorders>
              <w:bottom w:val="single" w:sz="4" w:space="0" w:color="auto"/>
            </w:tcBorders>
          </w:tcPr>
          <w:p w:rsidR="00032DD4" w:rsidRPr="00260CE3" w:rsidRDefault="00032DD4" w:rsidP="00104651">
            <w:pPr>
              <w:keepNext/>
              <w:ind w:left="-108"/>
              <w:rPr>
                <w:rFonts w:ascii="Arial Narrow" w:hAnsi="Arial Narrow"/>
                <w:sz w:val="20"/>
              </w:rPr>
            </w:pPr>
            <w:r w:rsidRPr="00260CE3">
              <w:rPr>
                <w:rFonts w:ascii="Arial Narrow" w:hAnsi="Arial Narrow"/>
                <w:sz w:val="20"/>
              </w:rPr>
              <w:t>№.of</w:t>
            </w:r>
          </w:p>
          <w:p w:rsidR="00032DD4" w:rsidRPr="00260CE3" w:rsidRDefault="00032DD4" w:rsidP="00104651">
            <w:pPr>
              <w:keepNext/>
              <w:ind w:left="-108"/>
              <w:rPr>
                <w:rFonts w:ascii="Arial Narrow" w:hAnsi="Arial Narrow"/>
                <w:sz w:val="20"/>
              </w:rPr>
            </w:pPr>
            <w:r w:rsidRPr="00260CE3">
              <w:rPr>
                <w:rFonts w:ascii="Arial Narrow" w:hAnsi="Arial Narrow"/>
                <w:sz w:val="20"/>
              </w:rPr>
              <w:t>Rpts</w:t>
            </w:r>
          </w:p>
        </w:tc>
        <w:tc>
          <w:tcPr>
            <w:tcW w:w="567" w:type="dxa"/>
            <w:tcBorders>
              <w:bottom w:val="single" w:sz="4" w:space="0" w:color="auto"/>
            </w:tcBorders>
          </w:tcPr>
          <w:p w:rsidR="00032DD4" w:rsidRPr="00260CE3" w:rsidRDefault="00032DD4" w:rsidP="00104651">
            <w:pPr>
              <w:keepNext/>
              <w:ind w:left="-108"/>
              <w:rPr>
                <w:rFonts w:ascii="Arial Narrow" w:hAnsi="Arial Narrow"/>
                <w:sz w:val="20"/>
              </w:rPr>
            </w:pPr>
          </w:p>
        </w:tc>
        <w:tc>
          <w:tcPr>
            <w:tcW w:w="2977" w:type="dxa"/>
            <w:gridSpan w:val="3"/>
            <w:tcBorders>
              <w:bottom w:val="single" w:sz="4" w:space="0" w:color="auto"/>
            </w:tcBorders>
          </w:tcPr>
          <w:p w:rsidR="00032DD4" w:rsidRPr="00260CE3" w:rsidRDefault="00032DD4" w:rsidP="00104651">
            <w:pPr>
              <w:keepNext/>
              <w:rPr>
                <w:rFonts w:ascii="Arial Narrow" w:hAnsi="Arial Narrow"/>
                <w:sz w:val="20"/>
                <w:lang w:val="fr-FR"/>
              </w:rPr>
            </w:pPr>
            <w:r w:rsidRPr="00260CE3">
              <w:rPr>
                <w:rFonts w:ascii="Arial Narrow" w:hAnsi="Arial Narrow"/>
                <w:sz w:val="20"/>
              </w:rPr>
              <w:t>Proprietary Name and Manufacturer</w:t>
            </w:r>
          </w:p>
        </w:tc>
      </w:tr>
      <w:tr w:rsidR="00032DD4" w:rsidRPr="00260CE3" w:rsidTr="00104651">
        <w:tc>
          <w:tcPr>
            <w:tcW w:w="3969" w:type="dxa"/>
            <w:gridSpan w:val="2"/>
          </w:tcPr>
          <w:p w:rsidR="00032DD4" w:rsidRPr="003D18A0" w:rsidRDefault="00032DD4" w:rsidP="00104651">
            <w:pPr>
              <w:keepNext/>
              <w:ind w:left="-108"/>
              <w:rPr>
                <w:rFonts w:ascii="Arial Narrow" w:hAnsi="Arial Narrow"/>
                <w:sz w:val="20"/>
              </w:rPr>
            </w:pPr>
            <w:r w:rsidRPr="003D18A0">
              <w:rPr>
                <w:rFonts w:ascii="Arial Narrow" w:hAnsi="Arial Narrow"/>
                <w:sz w:val="20"/>
              </w:rPr>
              <w:t>RITUXIMAB</w:t>
            </w:r>
          </w:p>
          <w:p w:rsidR="00032DD4" w:rsidRPr="003D18A0" w:rsidRDefault="00032DD4" w:rsidP="00104651">
            <w:pPr>
              <w:keepNext/>
              <w:ind w:left="-108"/>
              <w:rPr>
                <w:rFonts w:ascii="Arial Narrow" w:hAnsi="Arial Narrow"/>
                <w:sz w:val="20"/>
              </w:rPr>
            </w:pPr>
            <w:r w:rsidRPr="003D18A0">
              <w:rPr>
                <w:rFonts w:ascii="Arial Narrow" w:hAnsi="Arial Narrow"/>
                <w:sz w:val="20"/>
              </w:rPr>
              <w:t>500 mg/50 mL injection, 1 x 50 mL vial</w:t>
            </w:r>
          </w:p>
          <w:p w:rsidR="00032DD4" w:rsidRPr="00260CE3" w:rsidRDefault="00032DD4" w:rsidP="00104651">
            <w:pPr>
              <w:keepNext/>
              <w:ind w:left="-108"/>
              <w:rPr>
                <w:rFonts w:ascii="Arial Narrow" w:hAnsi="Arial Narrow"/>
                <w:sz w:val="20"/>
              </w:rPr>
            </w:pPr>
            <w:r w:rsidRPr="003D18A0">
              <w:rPr>
                <w:rFonts w:ascii="Arial Narrow" w:hAnsi="Arial Narrow"/>
                <w:sz w:val="20"/>
              </w:rPr>
              <w:t>100 mg/10 mL injection, 2 x 10mL vial</w:t>
            </w:r>
          </w:p>
        </w:tc>
        <w:tc>
          <w:tcPr>
            <w:tcW w:w="567" w:type="dxa"/>
          </w:tcPr>
          <w:p w:rsidR="00032DD4" w:rsidRPr="00260CE3" w:rsidRDefault="00032DD4" w:rsidP="00104651">
            <w:pPr>
              <w:keepNext/>
              <w:ind w:left="-108"/>
              <w:rPr>
                <w:rFonts w:ascii="Arial Narrow" w:hAnsi="Arial Narrow"/>
                <w:sz w:val="20"/>
              </w:rPr>
            </w:pPr>
          </w:p>
          <w:p w:rsidR="00032DD4" w:rsidRDefault="00032DD4" w:rsidP="00104651">
            <w:pPr>
              <w:keepNext/>
              <w:ind w:left="-108"/>
              <w:rPr>
                <w:rFonts w:ascii="Arial Narrow" w:hAnsi="Arial Narrow"/>
                <w:sz w:val="20"/>
              </w:rPr>
            </w:pPr>
            <w:r>
              <w:rPr>
                <w:rFonts w:ascii="Arial Narrow" w:hAnsi="Arial Narrow"/>
                <w:sz w:val="20"/>
              </w:rPr>
              <w:t>1</w:t>
            </w:r>
          </w:p>
          <w:p w:rsidR="00032DD4" w:rsidRPr="00260CE3" w:rsidRDefault="00032DD4" w:rsidP="00104651">
            <w:pPr>
              <w:keepNext/>
              <w:ind w:left="-108"/>
              <w:rPr>
                <w:rFonts w:ascii="Arial Narrow" w:hAnsi="Arial Narrow"/>
                <w:sz w:val="20"/>
              </w:rPr>
            </w:pPr>
            <w:r>
              <w:rPr>
                <w:rFonts w:ascii="Arial Narrow" w:hAnsi="Arial Narrow"/>
                <w:sz w:val="20"/>
              </w:rPr>
              <w:t>1</w:t>
            </w:r>
          </w:p>
        </w:tc>
        <w:tc>
          <w:tcPr>
            <w:tcW w:w="992" w:type="dxa"/>
          </w:tcPr>
          <w:p w:rsidR="00032DD4" w:rsidRPr="00260CE3" w:rsidRDefault="00032DD4" w:rsidP="00104651">
            <w:pPr>
              <w:keepNext/>
              <w:ind w:left="-108"/>
              <w:rPr>
                <w:rFonts w:ascii="Arial Narrow" w:hAnsi="Arial Narrow"/>
                <w:sz w:val="20"/>
              </w:rPr>
            </w:pPr>
          </w:p>
          <w:p w:rsidR="00032DD4" w:rsidRDefault="00032DD4" w:rsidP="00104651">
            <w:pPr>
              <w:keepNext/>
              <w:ind w:left="-108"/>
              <w:rPr>
                <w:rFonts w:ascii="Arial Narrow" w:hAnsi="Arial Narrow"/>
                <w:sz w:val="20"/>
              </w:rPr>
            </w:pPr>
            <w:r>
              <w:rPr>
                <w:rFonts w:ascii="Arial Narrow" w:hAnsi="Arial Narrow"/>
                <w:sz w:val="20"/>
              </w:rPr>
              <w:t>0</w:t>
            </w:r>
          </w:p>
          <w:p w:rsidR="00032DD4" w:rsidRPr="00260CE3" w:rsidRDefault="00032DD4" w:rsidP="00104651">
            <w:pPr>
              <w:keepNext/>
              <w:ind w:left="-108"/>
              <w:rPr>
                <w:rFonts w:ascii="Arial Narrow" w:hAnsi="Arial Narrow"/>
                <w:sz w:val="20"/>
              </w:rPr>
            </w:pPr>
            <w:r>
              <w:rPr>
                <w:rFonts w:ascii="Arial Narrow" w:hAnsi="Arial Narrow"/>
                <w:sz w:val="20"/>
              </w:rPr>
              <w:t>0</w:t>
            </w:r>
          </w:p>
        </w:tc>
        <w:tc>
          <w:tcPr>
            <w:tcW w:w="1276" w:type="dxa"/>
            <w:gridSpan w:val="2"/>
          </w:tcPr>
          <w:p w:rsidR="00032DD4" w:rsidRPr="00260CE3" w:rsidRDefault="00032DD4" w:rsidP="00104651">
            <w:pPr>
              <w:keepNext/>
              <w:ind w:left="-108"/>
              <w:rPr>
                <w:rFonts w:ascii="Arial Narrow" w:hAnsi="Arial Narrow"/>
                <w:sz w:val="20"/>
              </w:rPr>
            </w:pPr>
          </w:p>
          <w:p w:rsidR="00032DD4" w:rsidRPr="00260CE3" w:rsidRDefault="00032DD4" w:rsidP="00104651">
            <w:pPr>
              <w:keepNext/>
              <w:ind w:left="-108"/>
              <w:rPr>
                <w:rFonts w:ascii="Arial Narrow" w:hAnsi="Arial Narrow"/>
                <w:sz w:val="20"/>
              </w:rPr>
            </w:pPr>
          </w:p>
        </w:tc>
        <w:tc>
          <w:tcPr>
            <w:tcW w:w="1418" w:type="dxa"/>
          </w:tcPr>
          <w:p w:rsidR="00032DD4" w:rsidRDefault="00032DD4" w:rsidP="00104651">
            <w:pPr>
              <w:keepNext/>
              <w:rPr>
                <w:rFonts w:ascii="Arial Narrow" w:hAnsi="Arial Narrow"/>
                <w:sz w:val="20"/>
              </w:rPr>
            </w:pPr>
            <w:proofErr w:type="spellStart"/>
            <w:r>
              <w:rPr>
                <w:rFonts w:ascii="Arial Narrow" w:hAnsi="Arial Narrow"/>
                <w:sz w:val="20"/>
              </w:rPr>
              <w:t>Mabthera</w:t>
            </w:r>
            <w:proofErr w:type="spellEnd"/>
            <w:r w:rsidRPr="005E26D6">
              <w:rPr>
                <w:rFonts w:ascii="Arial Narrow" w:hAnsi="Arial Narrow"/>
                <w:sz w:val="20"/>
                <w:vertAlign w:val="superscript"/>
              </w:rPr>
              <w:t>®</w:t>
            </w:r>
          </w:p>
          <w:p w:rsidR="00032DD4" w:rsidRDefault="00032DD4" w:rsidP="00104651">
            <w:pPr>
              <w:keepNext/>
              <w:rPr>
                <w:rFonts w:ascii="Arial Narrow" w:hAnsi="Arial Narrow"/>
                <w:sz w:val="20"/>
              </w:rPr>
            </w:pPr>
          </w:p>
          <w:p w:rsidR="00032DD4" w:rsidRPr="00260CE3" w:rsidRDefault="00032DD4" w:rsidP="00104651">
            <w:pPr>
              <w:keepNext/>
              <w:rPr>
                <w:rFonts w:ascii="Arial Narrow" w:hAnsi="Arial Narrow"/>
                <w:sz w:val="20"/>
              </w:rPr>
            </w:pPr>
          </w:p>
        </w:tc>
        <w:tc>
          <w:tcPr>
            <w:tcW w:w="850" w:type="dxa"/>
          </w:tcPr>
          <w:p w:rsidR="00032DD4" w:rsidRDefault="00032DD4" w:rsidP="00104651">
            <w:pPr>
              <w:keepNext/>
              <w:rPr>
                <w:rFonts w:ascii="Arial Narrow" w:hAnsi="Arial Narrow"/>
                <w:sz w:val="20"/>
              </w:rPr>
            </w:pPr>
            <w:r>
              <w:rPr>
                <w:rFonts w:ascii="Arial Narrow" w:hAnsi="Arial Narrow"/>
                <w:sz w:val="20"/>
              </w:rPr>
              <w:t>RO</w:t>
            </w:r>
          </w:p>
          <w:p w:rsidR="00032DD4" w:rsidRPr="00260CE3" w:rsidRDefault="00032DD4" w:rsidP="00104651">
            <w:pPr>
              <w:keepNext/>
              <w:rPr>
                <w:rFonts w:ascii="Arial Narrow" w:hAnsi="Arial Narrow"/>
                <w:sz w:val="20"/>
              </w:rPr>
            </w:pPr>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Category / Program</w:t>
            </w:r>
          </w:p>
        </w:tc>
        <w:tc>
          <w:tcPr>
            <w:tcW w:w="6946" w:type="dxa"/>
            <w:gridSpan w:val="7"/>
            <w:tcBorders>
              <w:top w:val="single" w:sz="4" w:space="0" w:color="auto"/>
              <w:left w:val="single" w:sz="4" w:space="0" w:color="auto"/>
              <w:bottom w:val="single" w:sz="4" w:space="0" w:color="auto"/>
              <w:right w:val="single" w:sz="4" w:space="0" w:color="auto"/>
            </w:tcBorders>
            <w:vAlign w:val="center"/>
          </w:tcPr>
          <w:p w:rsidR="00032DD4" w:rsidRPr="00260CE3" w:rsidRDefault="00032DD4" w:rsidP="00104651">
            <w:pPr>
              <w:rPr>
                <w:rFonts w:ascii="Arial Narrow" w:hAnsi="Arial Narrow" w:cs="Arial"/>
                <w:sz w:val="20"/>
                <w:szCs w:val="20"/>
              </w:rPr>
            </w:pPr>
            <w:r w:rsidRPr="00260CE3">
              <w:rPr>
                <w:rFonts w:ascii="Arial Narrow" w:hAnsi="Arial Narrow" w:cs="Arial"/>
                <w:sz w:val="20"/>
                <w:szCs w:val="20"/>
              </w:rPr>
              <w:t>Section 100 – Highly Specialised Drugs Program</w:t>
            </w:r>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Prescriber type</w:t>
            </w:r>
            <w:r>
              <w:rPr>
                <w:rFonts w:ascii="Arial Narrow" w:hAnsi="Arial Narrow"/>
                <w:b/>
                <w:sz w:val="20"/>
              </w:rPr>
              <w:t>:</w:t>
            </w:r>
          </w:p>
        </w:tc>
        <w:tc>
          <w:tcPr>
            <w:tcW w:w="6946" w:type="dxa"/>
            <w:gridSpan w:val="7"/>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1513B">
              <w:rPr>
                <w:rFonts w:ascii="Arial Narrow" w:hAnsi="Arial Narrow" w:cs="Arial"/>
                <w:sz w:val="20"/>
                <w:szCs w:val="20"/>
              </w:rPr>
            </w:r>
            <w:r w:rsidR="0081513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p w:rsidR="00032DD4" w:rsidRPr="00260CE3" w:rsidRDefault="00032DD4" w:rsidP="00104651">
            <w:pPr>
              <w:rPr>
                <w:rFonts w:ascii="Arial Narrow" w:hAnsi="Arial Narrow" w:cs="Arial"/>
                <w:sz w:val="20"/>
                <w:szCs w:val="20"/>
              </w:rPr>
            </w:pPr>
          </w:p>
        </w:tc>
      </w:tr>
    </w:tbl>
    <w:p w:rsidR="00032DD4" w:rsidRDefault="00032DD4" w:rsidP="00032DD4"/>
    <w:tbl>
      <w:tblPr>
        <w:tblW w:w="9072" w:type="dxa"/>
        <w:tblInd w:w="250" w:type="dxa"/>
        <w:tblLayout w:type="fixed"/>
        <w:tblLook w:val="0000" w:firstRow="0" w:lastRow="0" w:firstColumn="0" w:lastColumn="0" w:noHBand="0" w:noVBand="0"/>
      </w:tblPr>
      <w:tblGrid>
        <w:gridCol w:w="2126"/>
        <w:gridCol w:w="6946"/>
      </w:tblGrid>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PBS Indication:</w:t>
            </w: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pStyle w:val="NormalWeb"/>
              <w:rPr>
                <w:rFonts w:ascii="Arial" w:hAnsi="Arial" w:cs="Arial"/>
                <w:b/>
                <w:strike/>
                <w:sz w:val="20"/>
                <w:u w:val="single"/>
              </w:rPr>
            </w:pPr>
            <w:r w:rsidRPr="003D18A0">
              <w:rPr>
                <w:rFonts w:ascii="Arial Narrow" w:eastAsiaTheme="minorHAnsi" w:hAnsi="Arial Narrow" w:cs="Arial"/>
                <w:sz w:val="20"/>
              </w:rPr>
              <w:t xml:space="preserve">Severe active </w:t>
            </w:r>
            <w:proofErr w:type="spellStart"/>
            <w:r w:rsidRPr="003D18A0">
              <w:rPr>
                <w:rFonts w:ascii="Arial Narrow" w:eastAsiaTheme="minorHAnsi" w:hAnsi="Arial Narrow" w:cs="Arial"/>
                <w:sz w:val="20"/>
              </w:rPr>
              <w:t>granulomatosis</w:t>
            </w:r>
            <w:proofErr w:type="spellEnd"/>
            <w:r w:rsidRPr="003D18A0">
              <w:rPr>
                <w:rFonts w:ascii="Arial Narrow" w:eastAsiaTheme="minorHAnsi" w:hAnsi="Arial Narrow" w:cs="Arial"/>
                <w:sz w:val="20"/>
              </w:rPr>
              <w:t xml:space="preserve"> with </w:t>
            </w:r>
            <w:proofErr w:type="spellStart"/>
            <w:r w:rsidRPr="003D18A0">
              <w:rPr>
                <w:rFonts w:ascii="Arial Narrow" w:eastAsiaTheme="minorHAnsi" w:hAnsi="Arial Narrow" w:cs="Arial"/>
                <w:sz w:val="20"/>
              </w:rPr>
              <w:t>polyangiitis</w:t>
            </w:r>
            <w:proofErr w:type="spellEnd"/>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Pr>
                <w:rFonts w:ascii="Arial Narrow" w:hAnsi="Arial Narrow"/>
                <w:b/>
                <w:sz w:val="20"/>
              </w:rPr>
              <w:t>Treatment phase:</w:t>
            </w:r>
          </w:p>
        </w:tc>
        <w:tc>
          <w:tcPr>
            <w:tcW w:w="6946" w:type="dxa"/>
            <w:tcBorders>
              <w:top w:val="single" w:sz="4" w:space="0" w:color="auto"/>
              <w:left w:val="single" w:sz="4" w:space="0" w:color="auto"/>
              <w:bottom w:val="single" w:sz="4" w:space="0" w:color="auto"/>
              <w:right w:val="single" w:sz="4" w:space="0" w:color="auto"/>
            </w:tcBorders>
          </w:tcPr>
          <w:p w:rsidR="00032DD4" w:rsidRDefault="00032DD4" w:rsidP="00104651">
            <w:pPr>
              <w:rPr>
                <w:rFonts w:ascii="Arial Narrow" w:hAnsi="Arial Narrow"/>
                <w:sz w:val="20"/>
              </w:rPr>
            </w:pPr>
            <w:r w:rsidRPr="003D18A0">
              <w:rPr>
                <w:rFonts w:ascii="Arial Narrow" w:hAnsi="Arial Narrow"/>
                <w:sz w:val="20"/>
              </w:rPr>
              <w:t>Induction of remission</w:t>
            </w:r>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3E2182" w:rsidRDefault="00032DD4" w:rsidP="00104651">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946" w:type="dxa"/>
            <w:tcBorders>
              <w:top w:val="single" w:sz="4" w:space="0" w:color="auto"/>
              <w:left w:val="single" w:sz="4" w:space="0" w:color="auto"/>
              <w:bottom w:val="single" w:sz="4" w:space="0" w:color="auto"/>
              <w:right w:val="single" w:sz="4" w:space="0" w:color="auto"/>
            </w:tcBorders>
          </w:tcPr>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032DD4" w:rsidRPr="00106BCF" w:rsidRDefault="00032DD4" w:rsidP="001046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032DD4" w:rsidRPr="00106BCF" w:rsidRDefault="00032DD4" w:rsidP="001046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032DD4" w:rsidRPr="00260CE3" w:rsidRDefault="00032DD4" w:rsidP="001046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32DD4" w:rsidRPr="00320096"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Clinical criteria:</w:t>
            </w:r>
          </w:p>
          <w:p w:rsidR="00032DD4" w:rsidRPr="00260CE3" w:rsidRDefault="00032DD4" w:rsidP="00104651">
            <w:pPr>
              <w:rPr>
                <w:rFonts w:ascii="Arial Narrow" w:hAnsi="Arial Narrow"/>
                <w:i/>
                <w:sz w:val="20"/>
              </w:rPr>
            </w:pPr>
          </w:p>
          <w:p w:rsidR="00032DD4" w:rsidRPr="00260CE3" w:rsidRDefault="00032DD4" w:rsidP="00104651">
            <w:pPr>
              <w:rPr>
                <w:rFonts w:ascii="Arial Narrow" w:hAnsi="Arial Narrow"/>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032DD4">
            <w:pPr>
              <w:pStyle w:val="NormalWeb"/>
              <w:numPr>
                <w:ilvl w:val="0"/>
                <w:numId w:val="3"/>
              </w:numPr>
              <w:spacing w:before="75" w:after="75"/>
              <w:ind w:left="795" w:right="75"/>
              <w:rPr>
                <w:rFonts w:ascii="Arial Narrow" w:hAnsi="Arial Narrow" w:cs="Arial"/>
                <w:sz w:val="20"/>
              </w:rPr>
            </w:pPr>
            <w:r w:rsidRPr="003D18A0">
              <w:rPr>
                <w:rFonts w:ascii="Arial Narrow" w:hAnsi="Arial Narrow" w:cs="Arial"/>
                <w:sz w:val="20"/>
              </w:rPr>
              <w:t xml:space="preserve">The treatment must be for the induction of remission, </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3"/>
              </w:numPr>
              <w:spacing w:before="75" w:after="75"/>
              <w:ind w:left="795" w:right="75"/>
              <w:rPr>
                <w:rFonts w:ascii="Arial Narrow" w:hAnsi="Arial Narrow" w:cs="Arial"/>
                <w:sz w:val="20"/>
              </w:rPr>
            </w:pPr>
            <w:r>
              <w:rPr>
                <w:rFonts w:ascii="Arial Narrow" w:hAnsi="Arial Narrow" w:cs="Arial"/>
                <w:sz w:val="20"/>
              </w:rPr>
              <w:t>P</w:t>
            </w:r>
            <w:r w:rsidRPr="003D18A0">
              <w:rPr>
                <w:rFonts w:ascii="Arial Narrow" w:hAnsi="Arial Narrow" w:cs="Arial"/>
                <w:sz w:val="20"/>
              </w:rPr>
              <w:t>atient must not have previously received this drug for this condition, OR</w:t>
            </w:r>
          </w:p>
          <w:p w:rsidR="00032DD4" w:rsidRPr="003D18A0" w:rsidRDefault="00032DD4" w:rsidP="00032DD4">
            <w:pPr>
              <w:pStyle w:val="NormalWeb"/>
              <w:numPr>
                <w:ilvl w:val="0"/>
                <w:numId w:val="3"/>
              </w:numPr>
              <w:spacing w:before="75" w:after="75"/>
              <w:ind w:left="795" w:right="75"/>
              <w:rPr>
                <w:rFonts w:ascii="Arial Narrow" w:hAnsi="Arial Narrow" w:cs="Arial"/>
                <w:sz w:val="20"/>
              </w:rPr>
            </w:pPr>
            <w:r>
              <w:rPr>
                <w:rFonts w:ascii="Arial Narrow" w:hAnsi="Arial Narrow" w:cs="Arial"/>
                <w:sz w:val="20"/>
              </w:rPr>
              <w:t>P</w:t>
            </w:r>
            <w:r w:rsidRPr="003D18A0">
              <w:rPr>
                <w:rFonts w:ascii="Arial Narrow" w:hAnsi="Arial Narrow" w:cs="Arial"/>
                <w:sz w:val="20"/>
              </w:rPr>
              <w:t>atient must have received this drug for this condition prior to</w:t>
            </w:r>
            <w:r>
              <w:rPr>
                <w:rFonts w:ascii="Arial Narrow" w:hAnsi="Arial Narrow" w:cs="Arial"/>
                <w:sz w:val="20"/>
              </w:rPr>
              <w:t xml:space="preserve"> 1 January 2016</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4"/>
              </w:numPr>
              <w:spacing w:before="75" w:after="75"/>
              <w:ind w:left="795" w:right="75"/>
              <w:rPr>
                <w:rFonts w:ascii="Arial Narrow" w:hAnsi="Arial Narrow" w:cs="Arial"/>
                <w:sz w:val="20"/>
              </w:rPr>
            </w:pPr>
            <w:r w:rsidRPr="003D18A0">
              <w:rPr>
                <w:rFonts w:ascii="Arial Narrow" w:hAnsi="Arial Narrow" w:cs="Arial"/>
                <w:sz w:val="20"/>
              </w:rPr>
              <w:t>The treatment must in combination with glucocorticoids,</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5"/>
              </w:numPr>
              <w:spacing w:before="75" w:after="75"/>
              <w:ind w:left="795" w:right="75"/>
              <w:rPr>
                <w:rFonts w:ascii="Arial Narrow" w:hAnsi="Arial Narrow" w:cs="Arial"/>
                <w:sz w:val="20"/>
              </w:rPr>
            </w:pPr>
            <w:r w:rsidRPr="003D18A0">
              <w:rPr>
                <w:rFonts w:ascii="Arial Narrow" w:hAnsi="Arial Narrow" w:cs="Arial"/>
                <w:sz w:val="20"/>
              </w:rPr>
              <w:t>Patient must be at risk of end-organ damage or mortality,</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6"/>
              </w:numPr>
              <w:spacing w:before="75" w:after="75"/>
              <w:ind w:left="795" w:right="75"/>
              <w:rPr>
                <w:rFonts w:ascii="Arial Narrow" w:hAnsi="Arial Narrow" w:cs="Arial"/>
                <w:sz w:val="20"/>
              </w:rPr>
            </w:pPr>
            <w:r w:rsidRPr="003D18A0">
              <w:rPr>
                <w:rFonts w:ascii="Arial Narrow" w:hAnsi="Arial Narrow" w:cs="Arial"/>
                <w:sz w:val="20"/>
              </w:rPr>
              <w:t xml:space="preserve">Patient must be contraindicated, refractory or unable to tolerate </w:t>
            </w:r>
            <w:r w:rsidRPr="003D18A0">
              <w:rPr>
                <w:rFonts w:ascii="Arial Narrow" w:hAnsi="Arial Narrow" w:cs="Arial"/>
                <w:sz w:val="20"/>
              </w:rPr>
              <w:lastRenderedPageBreak/>
              <w:t>cyclophosphamide.</w:t>
            </w:r>
          </w:p>
        </w:tc>
      </w:tr>
      <w:tr w:rsidR="00032DD4" w:rsidRPr="004E4D44"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DC482C" w:rsidRDefault="00032DD4" w:rsidP="00104651">
            <w:pPr>
              <w:rPr>
                <w:rFonts w:ascii="Arial Narrow" w:hAnsi="Arial Narrow"/>
                <w:b/>
                <w:sz w:val="20"/>
              </w:rPr>
            </w:pPr>
            <w:r w:rsidRPr="00260CE3">
              <w:rPr>
                <w:rFonts w:ascii="Arial Narrow" w:hAnsi="Arial Narrow"/>
                <w:b/>
                <w:sz w:val="20"/>
              </w:rPr>
              <w:lastRenderedPageBreak/>
              <w:t>Prescriber Instructions</w:t>
            </w:r>
          </w:p>
          <w:p w:rsidR="00032DD4" w:rsidRPr="00260CE3" w:rsidRDefault="00032DD4" w:rsidP="00104651">
            <w:pPr>
              <w:rPr>
                <w:rFonts w:ascii="Arial Narrow" w:hAnsi="Arial Narrow"/>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rPr>
                <w:rFonts w:ascii="Arial Narrow" w:hAnsi="Arial Narrow"/>
                <w:sz w:val="20"/>
              </w:rPr>
            </w:pPr>
            <w:r w:rsidRPr="003D18A0">
              <w:rPr>
                <w:rFonts w:ascii="Arial Narrow" w:hAnsi="Arial Narrow"/>
                <w:sz w:val="20"/>
              </w:rPr>
              <w:t xml:space="preserve">Diagnosis should be made according to the Chapel Hill Consensus Conference Nomenclature of the </w:t>
            </w:r>
            <w:proofErr w:type="spellStart"/>
            <w:r w:rsidRPr="003D18A0">
              <w:rPr>
                <w:rFonts w:ascii="Arial Narrow" w:hAnsi="Arial Narrow"/>
                <w:sz w:val="20"/>
              </w:rPr>
              <w:t>Vasculitides</w:t>
            </w:r>
            <w:proofErr w:type="spellEnd"/>
            <w:r w:rsidRPr="003D18A0">
              <w:rPr>
                <w:rFonts w:ascii="Arial Narrow" w:hAnsi="Arial Narrow"/>
                <w:sz w:val="20"/>
              </w:rPr>
              <w:t xml:space="preserve"> with anti-neutrophil cytoplasmic antibody (ANCA) positive serology. </w:t>
            </w:r>
          </w:p>
          <w:p w:rsidR="00032DD4" w:rsidRPr="004E4D44" w:rsidRDefault="00032DD4" w:rsidP="00104651">
            <w:pPr>
              <w:rPr>
                <w:rFonts w:ascii="Arial Narrow" w:hAnsi="Arial Narrow"/>
                <w:sz w:val="20"/>
              </w:rPr>
            </w:pPr>
            <w:r w:rsidRPr="003D18A0">
              <w:rPr>
                <w:rFonts w:ascii="Arial Narrow" w:hAnsi="Arial Narrow"/>
                <w:sz w:val="20"/>
              </w:rPr>
              <w:t>This drug is not PBS-subsidised for maintenance of remission.</w:t>
            </w:r>
          </w:p>
        </w:tc>
      </w:tr>
      <w:tr w:rsidR="00032DD4" w:rsidRPr="003D6A69"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Administrative Advice</w:t>
            </w:r>
          </w:p>
          <w:p w:rsidR="00032DD4" w:rsidRPr="00260CE3" w:rsidRDefault="00032DD4" w:rsidP="00104651">
            <w:pPr>
              <w:rPr>
                <w:rFonts w:ascii="Arial Narrow" w:hAnsi="Arial Narrow"/>
                <w:i/>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pStyle w:val="NormalWeb"/>
              <w:rPr>
                <w:rFonts w:ascii="Arial Narrow" w:hAnsi="Arial Narrow" w:cs="Arial"/>
                <w:sz w:val="20"/>
              </w:rPr>
            </w:pPr>
            <w:r w:rsidRPr="003D18A0">
              <w:rPr>
                <w:rFonts w:ascii="Arial Narrow" w:hAnsi="Arial Narrow" w:cs="Arial"/>
                <w:sz w:val="20"/>
              </w:rPr>
              <w:t>Risk of end-organ damage or mortality includes a minimum of one of the following:</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Glomerulonephritis with risk of progression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Risk to sight including </w:t>
            </w:r>
            <w:proofErr w:type="spellStart"/>
            <w:r w:rsidRPr="003D18A0">
              <w:rPr>
                <w:rFonts w:ascii="Arial Narrow" w:hAnsi="Arial Narrow" w:cs="Arial"/>
                <w:sz w:val="20"/>
              </w:rPr>
              <w:t>scleritis</w:t>
            </w:r>
            <w:proofErr w:type="spellEnd"/>
            <w:r w:rsidRPr="003D18A0">
              <w:rPr>
                <w:rFonts w:ascii="Arial Narrow" w:hAnsi="Arial Narrow" w:cs="Arial"/>
                <w:sz w:val="20"/>
              </w:rPr>
              <w:t>/</w:t>
            </w:r>
            <w:proofErr w:type="spellStart"/>
            <w:r w:rsidRPr="003D18A0">
              <w:rPr>
                <w:rFonts w:ascii="Arial Narrow" w:hAnsi="Arial Narrow" w:cs="Arial"/>
                <w:sz w:val="20"/>
              </w:rPr>
              <w:t>episcleritis</w:t>
            </w:r>
            <w:proofErr w:type="spellEnd"/>
            <w:r w:rsidRPr="003D18A0">
              <w:rPr>
                <w:rFonts w:ascii="Arial Narrow" w:hAnsi="Arial Narrow" w:cs="Arial"/>
                <w:sz w:val="20"/>
              </w:rPr>
              <w:t xml:space="preserve">, sudden visual loss, uveitis, retinal changes (vasculitis/thrombosis/exudates/haemorrhage)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Bronchial/subglottic obstruction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Pulmonary haemorrhage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Parenchymal lung disease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Sensory neural hearing loss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Recurrent </w:t>
            </w:r>
            <w:proofErr w:type="spellStart"/>
            <w:r w:rsidRPr="003D18A0">
              <w:rPr>
                <w:rFonts w:ascii="Arial Narrow" w:hAnsi="Arial Narrow" w:cs="Arial"/>
                <w:sz w:val="20"/>
              </w:rPr>
              <w:t>sinonasal</w:t>
            </w:r>
            <w:proofErr w:type="spellEnd"/>
            <w:r w:rsidRPr="003D18A0">
              <w:rPr>
                <w:rFonts w:ascii="Arial Narrow" w:hAnsi="Arial Narrow" w:cs="Arial"/>
                <w:sz w:val="20"/>
              </w:rPr>
              <w:t xml:space="preserve"> disease requiring recurrent surgical interventions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Meningitis, organic confusion, seizures, stroke, cord lesion, cranial nerve palsy, sensory peripheral neuropathy, motor </w:t>
            </w:r>
            <w:proofErr w:type="spellStart"/>
            <w:r w:rsidRPr="003D18A0">
              <w:rPr>
                <w:rFonts w:ascii="Arial Narrow" w:hAnsi="Arial Narrow" w:cs="Arial"/>
                <w:sz w:val="20"/>
              </w:rPr>
              <w:t>mononeuritis</w:t>
            </w:r>
            <w:proofErr w:type="spellEnd"/>
            <w:r w:rsidRPr="003D18A0">
              <w:rPr>
                <w:rFonts w:ascii="Arial Narrow" w:hAnsi="Arial Narrow" w:cs="Arial"/>
                <w:sz w:val="20"/>
              </w:rPr>
              <w:t xml:space="preserve"> multiplex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 xml:space="preserve">Patients could be considered contraindicated, refractory or unable to tolerate cyclophosphamide for one of the following reasons: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Cyclophosphamide is contraindicated as per the TGA approved Product Information;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Cyclophosphamide is not recommended due to the need to preserve gonad function;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Patient experiences severe toxicity to cyclophosphamide that warrants cessation of treatment;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Patient has life- or organ-threatening deterioration at any time during treatment with cyclophosphamide, where the deterioration is thought to be due to severe uncontrolled active vasculitis;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Commencing a further treatment cycle with cyclophosphamide would exceed the maximum cumulative dose of cyclophosphamide of 25g; or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Patient’s condition with this indication is persistent despite at least 3 months therapy with cyclophosphamide.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 xml:space="preserve">Any queries concerning the arrangements to prescribe may be directed to the Department of Human Services on 1800 700 270 (hours of operation 8 a.m. to 5 p.m. EST Monday to Friday).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Prescribing information (including Authority Application forms and other relevant documentation as applicable) is available on the Department of Human Services website at www.humanservices.gov.au</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Applications for authority to prescribe should be forwarded to:</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 xml:space="preserve">Department of Human Services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 xml:space="preserve">Prior Written Approval of Complex Drugs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Reply Paid 9826</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HOBART TAS 7001</w:t>
            </w:r>
          </w:p>
          <w:p w:rsidR="00032DD4" w:rsidRPr="003D18A0" w:rsidRDefault="00032DD4" w:rsidP="00104651">
            <w:pPr>
              <w:pStyle w:val="NormalWeb"/>
              <w:rPr>
                <w:rFonts w:ascii="Arial" w:hAnsi="Arial" w:cs="Arial"/>
                <w:sz w:val="20"/>
              </w:rPr>
            </w:pPr>
            <w:r w:rsidRPr="003D18A0">
              <w:rPr>
                <w:rFonts w:ascii="Arial Narrow" w:hAnsi="Arial Narrow" w:cs="Arial"/>
                <w:sz w:val="20"/>
              </w:rPr>
              <w:t>At the time of authority application, medical practitioners must request the appropriate number of vials to provide sufficient drug for four weeks of treatment.</w:t>
            </w:r>
          </w:p>
        </w:tc>
      </w:tr>
    </w:tbl>
    <w:p w:rsidR="00032DD4" w:rsidRDefault="00032DD4" w:rsidP="00032DD4">
      <w:pPr>
        <w:rPr>
          <w:b/>
          <w:bCs/>
        </w:rPr>
      </w:pPr>
    </w:p>
    <w:tbl>
      <w:tblPr>
        <w:tblW w:w="9072" w:type="dxa"/>
        <w:tblInd w:w="250" w:type="dxa"/>
        <w:tblLayout w:type="fixed"/>
        <w:tblLook w:val="0000" w:firstRow="0" w:lastRow="0" w:firstColumn="0" w:lastColumn="0" w:noHBand="0" w:noVBand="0"/>
      </w:tblPr>
      <w:tblGrid>
        <w:gridCol w:w="2126"/>
        <w:gridCol w:w="6946"/>
      </w:tblGrid>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PBS Indication:</w:t>
            </w: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pStyle w:val="NormalWeb"/>
              <w:rPr>
                <w:rFonts w:ascii="Arial" w:hAnsi="Arial" w:cs="Arial"/>
                <w:b/>
                <w:strike/>
                <w:sz w:val="20"/>
                <w:u w:val="single"/>
              </w:rPr>
            </w:pPr>
            <w:r w:rsidRPr="003D18A0">
              <w:rPr>
                <w:rFonts w:ascii="Arial Narrow" w:eastAsiaTheme="minorHAnsi" w:hAnsi="Arial Narrow" w:cs="Arial"/>
                <w:sz w:val="20"/>
              </w:rPr>
              <w:t xml:space="preserve">Severe active </w:t>
            </w:r>
            <w:proofErr w:type="spellStart"/>
            <w:r w:rsidRPr="003D18A0">
              <w:rPr>
                <w:rFonts w:ascii="Arial Narrow" w:eastAsiaTheme="minorHAnsi" w:hAnsi="Arial Narrow" w:cs="Arial"/>
                <w:sz w:val="20"/>
              </w:rPr>
              <w:t>granulomatosis</w:t>
            </w:r>
            <w:proofErr w:type="spellEnd"/>
            <w:r w:rsidRPr="003D18A0">
              <w:rPr>
                <w:rFonts w:ascii="Arial Narrow" w:eastAsiaTheme="minorHAnsi" w:hAnsi="Arial Narrow" w:cs="Arial"/>
                <w:sz w:val="20"/>
              </w:rPr>
              <w:t xml:space="preserve"> with </w:t>
            </w:r>
            <w:proofErr w:type="spellStart"/>
            <w:r w:rsidRPr="003D18A0">
              <w:rPr>
                <w:rFonts w:ascii="Arial Narrow" w:eastAsiaTheme="minorHAnsi" w:hAnsi="Arial Narrow" w:cs="Arial"/>
                <w:sz w:val="20"/>
              </w:rPr>
              <w:t>polyangiitis</w:t>
            </w:r>
            <w:proofErr w:type="spellEnd"/>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Pr>
                <w:rFonts w:ascii="Arial Narrow" w:hAnsi="Arial Narrow"/>
                <w:b/>
                <w:sz w:val="20"/>
              </w:rPr>
              <w:t>Treatment phase:</w:t>
            </w:r>
          </w:p>
        </w:tc>
        <w:tc>
          <w:tcPr>
            <w:tcW w:w="6946" w:type="dxa"/>
            <w:tcBorders>
              <w:top w:val="single" w:sz="4" w:space="0" w:color="auto"/>
              <w:left w:val="single" w:sz="4" w:space="0" w:color="auto"/>
              <w:bottom w:val="single" w:sz="4" w:space="0" w:color="auto"/>
              <w:right w:val="single" w:sz="4" w:space="0" w:color="auto"/>
            </w:tcBorders>
          </w:tcPr>
          <w:p w:rsidR="00032DD4" w:rsidRDefault="00032DD4" w:rsidP="00104651">
            <w:pPr>
              <w:rPr>
                <w:rFonts w:ascii="Arial Narrow" w:hAnsi="Arial Narrow"/>
                <w:sz w:val="20"/>
              </w:rPr>
            </w:pPr>
            <w:r w:rsidRPr="003D18A0">
              <w:rPr>
                <w:rFonts w:ascii="Arial Narrow" w:hAnsi="Arial Narrow"/>
                <w:sz w:val="20"/>
              </w:rPr>
              <w:t>Re-induction of remission</w:t>
            </w:r>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3E2182" w:rsidRDefault="00032DD4" w:rsidP="00104651">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w:t>
            </w:r>
            <w:r>
              <w:rPr>
                <w:rFonts w:ascii="Arial Narrow" w:hAnsi="Arial Narrow"/>
                <w:b/>
                <w:sz w:val="20"/>
              </w:rPr>
              <w:lastRenderedPageBreak/>
              <w:t>Method</w:t>
            </w:r>
            <w:r w:rsidRPr="00260CE3">
              <w:rPr>
                <w:rFonts w:ascii="Arial Narrow" w:hAnsi="Arial Narrow"/>
                <w:b/>
                <w:sz w:val="20"/>
              </w:rPr>
              <w:t>:</w:t>
            </w:r>
          </w:p>
        </w:tc>
        <w:tc>
          <w:tcPr>
            <w:tcW w:w="6946" w:type="dxa"/>
            <w:tcBorders>
              <w:top w:val="single" w:sz="4" w:space="0" w:color="auto"/>
              <w:left w:val="single" w:sz="4" w:space="0" w:color="auto"/>
              <w:bottom w:val="single" w:sz="4" w:space="0" w:color="auto"/>
              <w:right w:val="single" w:sz="4" w:space="0" w:color="auto"/>
            </w:tcBorders>
          </w:tcPr>
          <w:p w:rsidR="00032DD4" w:rsidRPr="00106BCF" w:rsidRDefault="00032DD4" w:rsidP="00104651">
            <w:pPr>
              <w:rPr>
                <w:rFonts w:ascii="Arial Narrow" w:hAnsi="Arial Narrow"/>
                <w:sz w:val="20"/>
              </w:rPr>
            </w:pPr>
            <w:r>
              <w:rPr>
                <w:rFonts w:ascii="Arial Narrow" w:hAnsi="Arial Narrow"/>
                <w:sz w:val="20"/>
              </w:rPr>
              <w:lastRenderedPageBreak/>
              <w:fldChar w:fldCharType="begin">
                <w:ffData>
                  <w:name w:val=""/>
                  <w:enabled/>
                  <w:calcOnExit w:val="0"/>
                  <w:checkBox>
                    <w:sizeAuto/>
                    <w:default w:val="0"/>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032DD4" w:rsidRPr="00106BCF" w:rsidRDefault="00032DD4" w:rsidP="00104651">
            <w:pPr>
              <w:rPr>
                <w:rFonts w:ascii="Arial Narrow" w:hAnsi="Arial Narrow"/>
                <w:sz w:val="20"/>
              </w:rPr>
            </w:pPr>
            <w:r>
              <w:rPr>
                <w:rFonts w:ascii="Arial Narrow" w:hAnsi="Arial Narrow"/>
                <w:sz w:val="20"/>
              </w:rPr>
              <w:lastRenderedPageBreak/>
              <w:fldChar w:fldCharType="begin">
                <w:ffData>
                  <w:name w:val=""/>
                  <w:enabled/>
                  <w:calcOnExit w:val="0"/>
                  <w:checkBox>
                    <w:sizeAuto/>
                    <w:default w:val="1"/>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032DD4" w:rsidRPr="00106BCF" w:rsidRDefault="00032DD4" w:rsidP="001046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032DD4" w:rsidRPr="00106BCF" w:rsidRDefault="00032DD4" w:rsidP="001046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032DD4" w:rsidRPr="00260CE3" w:rsidRDefault="00032DD4" w:rsidP="001046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32DD4" w:rsidRPr="00320096"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lastRenderedPageBreak/>
              <w:t>Clinical criteria:</w:t>
            </w:r>
          </w:p>
          <w:p w:rsidR="00032DD4" w:rsidRPr="00260CE3" w:rsidRDefault="00032DD4" w:rsidP="00104651">
            <w:pPr>
              <w:rPr>
                <w:rFonts w:ascii="Arial Narrow" w:hAnsi="Arial Narrow"/>
                <w:i/>
                <w:sz w:val="20"/>
              </w:rPr>
            </w:pPr>
          </w:p>
          <w:p w:rsidR="00032DD4" w:rsidRPr="00260CE3" w:rsidRDefault="00032DD4" w:rsidP="00104651">
            <w:pPr>
              <w:rPr>
                <w:rFonts w:ascii="Arial Narrow" w:hAnsi="Arial Narrow"/>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032DD4">
            <w:pPr>
              <w:pStyle w:val="NormalWeb"/>
              <w:numPr>
                <w:ilvl w:val="0"/>
                <w:numId w:val="3"/>
              </w:numPr>
              <w:spacing w:before="75" w:after="75"/>
              <w:ind w:left="795" w:right="75"/>
              <w:rPr>
                <w:rFonts w:ascii="Arial Narrow" w:hAnsi="Arial Narrow" w:cs="Arial"/>
                <w:sz w:val="20"/>
              </w:rPr>
            </w:pPr>
            <w:r w:rsidRPr="003D18A0">
              <w:rPr>
                <w:rFonts w:ascii="Arial Narrow" w:hAnsi="Arial Narrow" w:cs="Arial"/>
                <w:sz w:val="20"/>
              </w:rPr>
              <w:t xml:space="preserve">The treatment must be for the re-induction of remission, </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3"/>
              </w:numPr>
              <w:spacing w:before="75" w:after="75"/>
              <w:ind w:left="795" w:right="75"/>
              <w:rPr>
                <w:rFonts w:ascii="Arial Narrow" w:hAnsi="Arial Narrow" w:cs="Arial"/>
                <w:sz w:val="20"/>
              </w:rPr>
            </w:pPr>
            <w:r>
              <w:rPr>
                <w:rFonts w:ascii="Arial Narrow" w:hAnsi="Arial Narrow" w:cs="Arial"/>
                <w:sz w:val="20"/>
              </w:rPr>
              <w:t>P</w:t>
            </w:r>
            <w:r w:rsidRPr="003D18A0">
              <w:rPr>
                <w:rFonts w:ascii="Arial Narrow" w:hAnsi="Arial Narrow" w:cs="Arial"/>
                <w:sz w:val="20"/>
              </w:rPr>
              <w:t>atient must have previously received and responded to this drug for this condition,</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4"/>
              </w:numPr>
              <w:spacing w:before="75" w:after="75"/>
              <w:ind w:left="795" w:right="75"/>
              <w:rPr>
                <w:rFonts w:ascii="Arial Narrow" w:hAnsi="Arial Narrow" w:cs="Arial"/>
                <w:sz w:val="20"/>
              </w:rPr>
            </w:pPr>
            <w:r w:rsidRPr="003D18A0">
              <w:rPr>
                <w:rFonts w:ascii="Arial Narrow" w:hAnsi="Arial Narrow" w:cs="Arial"/>
                <w:sz w:val="20"/>
              </w:rPr>
              <w:t>The treatment must in combination with glucocorticoids,</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5"/>
              </w:numPr>
              <w:spacing w:before="75" w:after="75"/>
              <w:ind w:left="795" w:right="75"/>
              <w:rPr>
                <w:rFonts w:ascii="Arial Narrow" w:hAnsi="Arial Narrow" w:cs="Arial"/>
                <w:sz w:val="20"/>
              </w:rPr>
            </w:pPr>
            <w:r w:rsidRPr="003D18A0">
              <w:rPr>
                <w:rFonts w:ascii="Arial Narrow" w:hAnsi="Arial Narrow" w:cs="Arial"/>
                <w:sz w:val="20"/>
              </w:rPr>
              <w:t>Patient must be at risk of end-organ damage or mortality,</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6"/>
              </w:numPr>
              <w:spacing w:before="75" w:after="75"/>
              <w:ind w:left="795" w:right="75"/>
              <w:rPr>
                <w:rFonts w:ascii="Arial Narrow" w:hAnsi="Arial Narrow" w:cs="Arial"/>
                <w:sz w:val="20"/>
              </w:rPr>
            </w:pPr>
            <w:r w:rsidRPr="003D18A0">
              <w:rPr>
                <w:rFonts w:ascii="Arial Narrow" w:hAnsi="Arial Narrow" w:cs="Arial"/>
                <w:sz w:val="20"/>
              </w:rPr>
              <w:t>Patient must be contraindicated, refractory or unable to tolerate cyclophosphamide.</w:t>
            </w:r>
          </w:p>
        </w:tc>
      </w:tr>
      <w:tr w:rsidR="00032DD4" w:rsidRPr="004E4D44"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DC482C" w:rsidRDefault="00032DD4" w:rsidP="00104651">
            <w:pPr>
              <w:rPr>
                <w:rFonts w:ascii="Arial Narrow" w:hAnsi="Arial Narrow"/>
                <w:b/>
                <w:sz w:val="20"/>
              </w:rPr>
            </w:pPr>
            <w:r w:rsidRPr="00260CE3">
              <w:rPr>
                <w:rFonts w:ascii="Arial Narrow" w:hAnsi="Arial Narrow"/>
                <w:b/>
                <w:sz w:val="20"/>
              </w:rPr>
              <w:t>Prescriber Instructions</w:t>
            </w:r>
          </w:p>
          <w:p w:rsidR="00032DD4" w:rsidRPr="00260CE3" w:rsidRDefault="00032DD4" w:rsidP="00104651">
            <w:pPr>
              <w:rPr>
                <w:rFonts w:ascii="Arial Narrow" w:hAnsi="Arial Narrow"/>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pStyle w:val="NormalWeb"/>
              <w:rPr>
                <w:rFonts w:ascii="Arial Narrow" w:hAnsi="Arial Narrow" w:cs="Arial"/>
                <w:sz w:val="20"/>
              </w:rPr>
            </w:pPr>
            <w:r w:rsidRPr="003D18A0">
              <w:rPr>
                <w:rFonts w:ascii="Arial Narrow" w:hAnsi="Arial Narrow" w:cs="Arial"/>
                <w:sz w:val="20"/>
              </w:rPr>
              <w:t xml:space="preserve">Diagnosis should be made according to the Chapel Hill Consensus Conference Nomenclature of the </w:t>
            </w:r>
            <w:proofErr w:type="spellStart"/>
            <w:r w:rsidRPr="003D18A0">
              <w:rPr>
                <w:rFonts w:ascii="Arial Narrow" w:hAnsi="Arial Narrow" w:cs="Arial"/>
                <w:sz w:val="20"/>
              </w:rPr>
              <w:t>Vasculitides</w:t>
            </w:r>
            <w:proofErr w:type="spellEnd"/>
            <w:r w:rsidRPr="003D18A0">
              <w:rPr>
                <w:rFonts w:ascii="Arial Narrow" w:hAnsi="Arial Narrow" w:cs="Arial"/>
                <w:sz w:val="20"/>
              </w:rPr>
              <w:t xml:space="preserve"> with anti-neutrophil cytoplasmic antibody (ANCA) positive serology.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This drug is not PBS-subsidised for maintenance of remission.</w:t>
            </w:r>
          </w:p>
        </w:tc>
      </w:tr>
      <w:tr w:rsidR="00032DD4" w:rsidRPr="003D6A69"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Administrative Advice</w:t>
            </w:r>
          </w:p>
          <w:p w:rsidR="00032DD4" w:rsidRPr="00260CE3" w:rsidRDefault="00032DD4" w:rsidP="00104651">
            <w:pPr>
              <w:rPr>
                <w:rFonts w:ascii="Arial Narrow" w:hAnsi="Arial Narrow"/>
                <w:i/>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pStyle w:val="NormalWeb"/>
              <w:rPr>
                <w:rFonts w:ascii="Arial Narrow" w:hAnsi="Arial Narrow" w:cs="Arial"/>
                <w:sz w:val="20"/>
              </w:rPr>
            </w:pPr>
            <w:r w:rsidRPr="003D18A0">
              <w:rPr>
                <w:rFonts w:ascii="Arial Narrow" w:hAnsi="Arial Narrow" w:cs="Arial"/>
                <w:sz w:val="20"/>
              </w:rPr>
              <w:t>Risk of end-organ damage or mortality includes a minimum of one of the following:</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Glomerulonephritis with risk of progression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Risk to sight including </w:t>
            </w:r>
            <w:proofErr w:type="spellStart"/>
            <w:r w:rsidRPr="003D18A0">
              <w:rPr>
                <w:rFonts w:ascii="Arial Narrow" w:hAnsi="Arial Narrow" w:cs="Arial"/>
                <w:sz w:val="20"/>
              </w:rPr>
              <w:t>scleritis</w:t>
            </w:r>
            <w:proofErr w:type="spellEnd"/>
            <w:r w:rsidRPr="003D18A0">
              <w:rPr>
                <w:rFonts w:ascii="Arial Narrow" w:hAnsi="Arial Narrow" w:cs="Arial"/>
                <w:sz w:val="20"/>
              </w:rPr>
              <w:t>/</w:t>
            </w:r>
            <w:proofErr w:type="spellStart"/>
            <w:r w:rsidRPr="003D18A0">
              <w:rPr>
                <w:rFonts w:ascii="Arial Narrow" w:hAnsi="Arial Narrow" w:cs="Arial"/>
                <w:sz w:val="20"/>
              </w:rPr>
              <w:t>episcleritis</w:t>
            </w:r>
            <w:proofErr w:type="spellEnd"/>
            <w:r w:rsidRPr="003D18A0">
              <w:rPr>
                <w:rFonts w:ascii="Arial Narrow" w:hAnsi="Arial Narrow" w:cs="Arial"/>
                <w:sz w:val="20"/>
              </w:rPr>
              <w:t xml:space="preserve">, sudden visual loss, uveitis, retinal changes (vasculitis/thrombosis/exudates/haemorrhage)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Bronchial/subglottic obstruction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Pulmonary haemorrhage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Parenchymal lung disease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Sensory neural hearing loss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Recurrent </w:t>
            </w:r>
            <w:proofErr w:type="spellStart"/>
            <w:r w:rsidRPr="003D18A0">
              <w:rPr>
                <w:rFonts w:ascii="Arial Narrow" w:hAnsi="Arial Narrow" w:cs="Arial"/>
                <w:sz w:val="20"/>
              </w:rPr>
              <w:t>sinonasal</w:t>
            </w:r>
            <w:proofErr w:type="spellEnd"/>
            <w:r w:rsidRPr="003D18A0">
              <w:rPr>
                <w:rFonts w:ascii="Arial Narrow" w:hAnsi="Arial Narrow" w:cs="Arial"/>
                <w:sz w:val="20"/>
              </w:rPr>
              <w:t xml:space="preserve"> disease requiring recurrent surgical interventions </w:t>
            </w:r>
          </w:p>
          <w:p w:rsidR="00032DD4" w:rsidRPr="003D18A0" w:rsidRDefault="00032DD4" w:rsidP="00032DD4">
            <w:pPr>
              <w:pStyle w:val="NormalWeb"/>
              <w:numPr>
                <w:ilvl w:val="0"/>
                <w:numId w:val="8"/>
              </w:numPr>
              <w:spacing w:before="75" w:after="75"/>
              <w:ind w:left="795" w:right="75"/>
              <w:rPr>
                <w:rFonts w:ascii="Arial Narrow" w:hAnsi="Arial Narrow" w:cs="Arial"/>
                <w:sz w:val="20"/>
              </w:rPr>
            </w:pPr>
            <w:r w:rsidRPr="003D18A0">
              <w:rPr>
                <w:rFonts w:ascii="Arial Narrow" w:hAnsi="Arial Narrow" w:cs="Arial"/>
                <w:sz w:val="20"/>
              </w:rPr>
              <w:t xml:space="preserve">Meningitis, organic confusion, seizures, stroke, cord lesion, cranial nerve palsy, sensory peripheral neuropathy, motor </w:t>
            </w:r>
            <w:proofErr w:type="spellStart"/>
            <w:r w:rsidRPr="003D18A0">
              <w:rPr>
                <w:rFonts w:ascii="Arial Narrow" w:hAnsi="Arial Narrow" w:cs="Arial"/>
                <w:sz w:val="20"/>
              </w:rPr>
              <w:t>mononeuritis</w:t>
            </w:r>
            <w:proofErr w:type="spellEnd"/>
            <w:r w:rsidRPr="003D18A0">
              <w:rPr>
                <w:rFonts w:ascii="Arial Narrow" w:hAnsi="Arial Narrow" w:cs="Arial"/>
                <w:sz w:val="20"/>
              </w:rPr>
              <w:t xml:space="preserve"> multiplex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 xml:space="preserve">Patients could be considered contraindicated, refractory or unable to tolerate cyclophosphamide for one of the following reasons: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Cyclophosphamide is contraindicated as per the TGA approved Product Information;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Cyclophosphamide is not recommended due to the need to preserve gonad function;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Patient experiences severe toxicity to cyclophosphamide that warrants cessation of treatment;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Patient has life- or organ-threatening deterioration at any time during treatment with cyclophosphamide, where the deterioration is thought to be due to severe uncontrolled active vasculitis;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Commencing a further treatment cycle with cyclophosphamide would exceed the maximum cumulative dose of cyclophosphamide of 25g; or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Patient</w:t>
            </w:r>
            <w:r w:rsidRPr="003D18A0">
              <w:rPr>
                <w:rFonts w:ascii="Arial Narrow" w:hAnsi="Arial Narrow" w:cs="Arial"/>
                <w:i/>
                <w:sz w:val="20"/>
              </w:rPr>
              <w:t xml:space="preserve">’s </w:t>
            </w:r>
            <w:r w:rsidRPr="003D18A0">
              <w:rPr>
                <w:rFonts w:ascii="Arial Narrow" w:hAnsi="Arial Narrow" w:cs="Arial"/>
                <w:sz w:val="20"/>
              </w:rPr>
              <w:t xml:space="preserve">condition with this indication is persistent despite at least 3 months therapy with cyclophosphamide.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 xml:space="preserve">Any queries concerning the arrangements to prescribe may be directed to the Department of </w:t>
            </w:r>
            <w:r w:rsidRPr="003D18A0">
              <w:rPr>
                <w:rFonts w:ascii="Arial Narrow" w:hAnsi="Arial Narrow" w:cs="Arial"/>
                <w:sz w:val="20"/>
              </w:rPr>
              <w:lastRenderedPageBreak/>
              <w:t xml:space="preserve">Human Services on 1800 700 270 (hours of operation 8 a.m. to 5 p.m. EST Monday to Friday).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Prescribing information (including Authority Application forms and other relevant documentation as applicable) is available on the Department of Human Services website at www.humanservices.gov.au</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Applications for authority to prescribe should be forwarded to:</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 xml:space="preserve">Department of Human Services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Prior Written Approval of Complex Drugs</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Reply Paid 9826</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HOBART TAS 7001</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At the time of authority application, medical practitioners must request the appropriate number of vials to provide sufficient drug for four weeks of treatment.</w:t>
            </w:r>
          </w:p>
        </w:tc>
      </w:tr>
    </w:tbl>
    <w:p w:rsidR="00032DD4" w:rsidRDefault="00032DD4" w:rsidP="00032DD4">
      <w:pPr>
        <w:rPr>
          <w:b/>
          <w:bCs/>
        </w:rPr>
      </w:pPr>
    </w:p>
    <w:tbl>
      <w:tblPr>
        <w:tblW w:w="9072" w:type="dxa"/>
        <w:tblInd w:w="250" w:type="dxa"/>
        <w:tblLayout w:type="fixed"/>
        <w:tblLook w:val="0000" w:firstRow="0" w:lastRow="0" w:firstColumn="0" w:lastColumn="0" w:noHBand="0" w:noVBand="0"/>
      </w:tblPr>
      <w:tblGrid>
        <w:gridCol w:w="2126"/>
        <w:gridCol w:w="6946"/>
      </w:tblGrid>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PBS Indication:</w:t>
            </w: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pStyle w:val="NormalWeb"/>
              <w:rPr>
                <w:rFonts w:ascii="Arial" w:hAnsi="Arial" w:cs="Arial"/>
                <w:b/>
                <w:strike/>
                <w:sz w:val="20"/>
                <w:u w:val="single"/>
              </w:rPr>
            </w:pPr>
            <w:r w:rsidRPr="003D18A0">
              <w:rPr>
                <w:rFonts w:ascii="Arial Narrow" w:eastAsiaTheme="minorHAnsi" w:hAnsi="Arial Narrow" w:cs="Arial"/>
                <w:sz w:val="20"/>
              </w:rPr>
              <w:t xml:space="preserve">Severe active microscopic </w:t>
            </w:r>
            <w:proofErr w:type="spellStart"/>
            <w:r w:rsidRPr="003D18A0">
              <w:rPr>
                <w:rFonts w:ascii="Arial Narrow" w:eastAsiaTheme="minorHAnsi" w:hAnsi="Arial Narrow" w:cs="Arial"/>
                <w:sz w:val="20"/>
              </w:rPr>
              <w:t>polyangiitis</w:t>
            </w:r>
            <w:proofErr w:type="spellEnd"/>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Pr>
                <w:rFonts w:ascii="Arial Narrow" w:hAnsi="Arial Narrow"/>
                <w:b/>
                <w:sz w:val="20"/>
              </w:rPr>
              <w:t>Treatment phase:</w:t>
            </w:r>
          </w:p>
        </w:tc>
        <w:tc>
          <w:tcPr>
            <w:tcW w:w="6946" w:type="dxa"/>
            <w:tcBorders>
              <w:top w:val="single" w:sz="4" w:space="0" w:color="auto"/>
              <w:left w:val="single" w:sz="4" w:space="0" w:color="auto"/>
              <w:bottom w:val="single" w:sz="4" w:space="0" w:color="auto"/>
              <w:right w:val="single" w:sz="4" w:space="0" w:color="auto"/>
            </w:tcBorders>
          </w:tcPr>
          <w:p w:rsidR="00032DD4" w:rsidRDefault="00032DD4" w:rsidP="00104651">
            <w:pPr>
              <w:rPr>
                <w:rFonts w:ascii="Arial Narrow" w:hAnsi="Arial Narrow"/>
                <w:sz w:val="20"/>
              </w:rPr>
            </w:pPr>
            <w:r>
              <w:rPr>
                <w:rFonts w:ascii="Arial Narrow" w:hAnsi="Arial Narrow"/>
                <w:sz w:val="20"/>
              </w:rPr>
              <w:t>I</w:t>
            </w:r>
            <w:r w:rsidRPr="003D18A0">
              <w:rPr>
                <w:rFonts w:ascii="Arial Narrow" w:hAnsi="Arial Narrow"/>
                <w:sz w:val="20"/>
              </w:rPr>
              <w:t>nduction of remission</w:t>
            </w:r>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3E2182" w:rsidRDefault="00032DD4" w:rsidP="00104651">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946" w:type="dxa"/>
            <w:tcBorders>
              <w:top w:val="single" w:sz="4" w:space="0" w:color="auto"/>
              <w:left w:val="single" w:sz="4" w:space="0" w:color="auto"/>
              <w:bottom w:val="single" w:sz="4" w:space="0" w:color="auto"/>
              <w:right w:val="single" w:sz="4" w:space="0" w:color="auto"/>
            </w:tcBorders>
          </w:tcPr>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032DD4" w:rsidRPr="00106BCF" w:rsidRDefault="00032DD4" w:rsidP="001046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032DD4" w:rsidRPr="00106BCF" w:rsidRDefault="00032DD4" w:rsidP="001046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032DD4" w:rsidRPr="00260CE3" w:rsidRDefault="00032DD4" w:rsidP="001046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32DD4" w:rsidRPr="00320096"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Clinical criteria:</w:t>
            </w:r>
          </w:p>
          <w:p w:rsidR="00032DD4" w:rsidRPr="00260CE3" w:rsidRDefault="00032DD4" w:rsidP="00104651">
            <w:pPr>
              <w:rPr>
                <w:rFonts w:ascii="Arial Narrow" w:hAnsi="Arial Narrow"/>
                <w:i/>
                <w:sz w:val="20"/>
              </w:rPr>
            </w:pPr>
          </w:p>
          <w:p w:rsidR="00032DD4" w:rsidRPr="00260CE3" w:rsidRDefault="00032DD4" w:rsidP="00104651">
            <w:pPr>
              <w:rPr>
                <w:rFonts w:ascii="Arial Narrow" w:hAnsi="Arial Narrow"/>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032DD4">
            <w:pPr>
              <w:pStyle w:val="NormalWeb"/>
              <w:numPr>
                <w:ilvl w:val="0"/>
                <w:numId w:val="3"/>
              </w:numPr>
              <w:spacing w:before="75" w:after="75"/>
              <w:ind w:left="795" w:right="75"/>
              <w:rPr>
                <w:rFonts w:ascii="Arial Narrow" w:hAnsi="Arial Narrow" w:cs="Arial"/>
                <w:sz w:val="20"/>
              </w:rPr>
            </w:pPr>
            <w:r w:rsidRPr="003D18A0">
              <w:rPr>
                <w:rFonts w:ascii="Arial Narrow" w:hAnsi="Arial Narrow" w:cs="Arial"/>
                <w:sz w:val="20"/>
              </w:rPr>
              <w:t xml:space="preserve">The treatment must be for the induction of remission, </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3"/>
              </w:numPr>
              <w:spacing w:before="75" w:after="75"/>
              <w:ind w:left="795" w:right="75"/>
              <w:rPr>
                <w:rFonts w:ascii="Arial Narrow" w:hAnsi="Arial Narrow" w:cs="Arial"/>
                <w:sz w:val="20"/>
              </w:rPr>
            </w:pPr>
            <w:r>
              <w:rPr>
                <w:rFonts w:ascii="Arial Narrow" w:hAnsi="Arial Narrow" w:cs="Arial"/>
                <w:sz w:val="20"/>
              </w:rPr>
              <w:t>P</w:t>
            </w:r>
            <w:r w:rsidRPr="003D18A0">
              <w:rPr>
                <w:rFonts w:ascii="Arial Narrow" w:hAnsi="Arial Narrow" w:cs="Arial"/>
                <w:sz w:val="20"/>
              </w:rPr>
              <w:t>atient must not have previously received this drug for this condition, OR</w:t>
            </w:r>
          </w:p>
          <w:p w:rsidR="00032DD4" w:rsidRPr="003D18A0" w:rsidRDefault="00032DD4" w:rsidP="00032DD4">
            <w:pPr>
              <w:pStyle w:val="NormalWeb"/>
              <w:numPr>
                <w:ilvl w:val="0"/>
                <w:numId w:val="3"/>
              </w:numPr>
              <w:spacing w:before="75" w:after="75"/>
              <w:ind w:left="795" w:right="75"/>
              <w:rPr>
                <w:rFonts w:ascii="Arial Narrow" w:hAnsi="Arial Narrow" w:cs="Arial"/>
                <w:sz w:val="20"/>
              </w:rPr>
            </w:pPr>
            <w:r>
              <w:rPr>
                <w:rFonts w:ascii="Arial Narrow" w:hAnsi="Arial Narrow" w:cs="Arial"/>
                <w:sz w:val="20"/>
              </w:rPr>
              <w:t>P</w:t>
            </w:r>
            <w:r w:rsidRPr="003D18A0">
              <w:rPr>
                <w:rFonts w:ascii="Arial Narrow" w:hAnsi="Arial Narrow" w:cs="Arial"/>
                <w:sz w:val="20"/>
              </w:rPr>
              <w:t xml:space="preserve">atient must have received this drug for this condition prior to </w:t>
            </w:r>
            <w:r>
              <w:rPr>
                <w:rFonts w:ascii="Arial Narrow" w:hAnsi="Arial Narrow" w:cs="Arial"/>
                <w:sz w:val="20"/>
              </w:rPr>
              <w:t>1 January 2016</w:t>
            </w:r>
            <w:r w:rsidRPr="003D18A0">
              <w:rPr>
                <w:rFonts w:ascii="Arial Narrow" w:hAnsi="Arial Narrow" w:cs="Arial"/>
                <w:sz w:val="20"/>
              </w:rPr>
              <w:t>,</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4"/>
              </w:numPr>
              <w:spacing w:before="75" w:after="75"/>
              <w:ind w:left="795" w:right="75"/>
              <w:rPr>
                <w:rFonts w:ascii="Arial Narrow" w:hAnsi="Arial Narrow" w:cs="Arial"/>
                <w:sz w:val="20"/>
              </w:rPr>
            </w:pPr>
            <w:r w:rsidRPr="003D18A0">
              <w:rPr>
                <w:rFonts w:ascii="Arial Narrow" w:hAnsi="Arial Narrow" w:cs="Arial"/>
                <w:sz w:val="20"/>
              </w:rPr>
              <w:t>The treatment must in combination with glucocorticoids,</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5"/>
              </w:numPr>
              <w:spacing w:before="75" w:after="75"/>
              <w:ind w:left="795" w:right="75"/>
              <w:rPr>
                <w:rFonts w:ascii="Arial Narrow" w:hAnsi="Arial Narrow" w:cs="Arial"/>
                <w:sz w:val="20"/>
              </w:rPr>
            </w:pPr>
            <w:r w:rsidRPr="003D18A0">
              <w:rPr>
                <w:rFonts w:ascii="Arial Narrow" w:hAnsi="Arial Narrow" w:cs="Arial"/>
                <w:sz w:val="20"/>
              </w:rPr>
              <w:t>Patient must be at risk of end-organ damage or mortality,</w:t>
            </w:r>
          </w:p>
          <w:p w:rsidR="00032DD4" w:rsidRPr="003D18A0" w:rsidRDefault="00032DD4" w:rsidP="00104651">
            <w:pPr>
              <w:pStyle w:val="NormalWeb"/>
              <w:rPr>
                <w:rFonts w:ascii="Arial Narrow" w:hAnsi="Arial Narrow" w:cs="Arial"/>
                <w:sz w:val="20"/>
              </w:rPr>
            </w:pPr>
            <w:r w:rsidRPr="003D18A0">
              <w:rPr>
                <w:rFonts w:ascii="Arial Narrow" w:hAnsi="Arial Narrow" w:cs="Arial"/>
                <w:b/>
                <w:bCs/>
                <w:sz w:val="20"/>
              </w:rPr>
              <w:t>AND</w:t>
            </w:r>
          </w:p>
          <w:p w:rsidR="00032DD4" w:rsidRPr="003D18A0" w:rsidRDefault="00032DD4" w:rsidP="00032DD4">
            <w:pPr>
              <w:pStyle w:val="NormalWeb"/>
              <w:numPr>
                <w:ilvl w:val="0"/>
                <w:numId w:val="6"/>
              </w:numPr>
              <w:spacing w:before="75" w:after="75"/>
              <w:ind w:left="795" w:right="75"/>
              <w:rPr>
                <w:rFonts w:ascii="Arial Narrow" w:hAnsi="Arial Narrow" w:cs="Arial"/>
                <w:sz w:val="20"/>
              </w:rPr>
            </w:pPr>
            <w:r w:rsidRPr="003D18A0">
              <w:rPr>
                <w:rFonts w:ascii="Arial Narrow" w:hAnsi="Arial Narrow" w:cs="Arial"/>
                <w:sz w:val="20"/>
              </w:rPr>
              <w:t>Patient must be contraindicated, refractory or unable to tolerate cyclophosphamide.</w:t>
            </w:r>
          </w:p>
        </w:tc>
      </w:tr>
      <w:tr w:rsidR="00032DD4" w:rsidRPr="004E4D44"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DC482C" w:rsidRDefault="00032DD4" w:rsidP="00104651">
            <w:pPr>
              <w:rPr>
                <w:rFonts w:ascii="Arial Narrow" w:hAnsi="Arial Narrow"/>
                <w:b/>
                <w:sz w:val="20"/>
              </w:rPr>
            </w:pPr>
            <w:r w:rsidRPr="00260CE3">
              <w:rPr>
                <w:rFonts w:ascii="Arial Narrow" w:hAnsi="Arial Narrow"/>
                <w:b/>
                <w:sz w:val="20"/>
              </w:rPr>
              <w:t>Prescriber Instructions</w:t>
            </w:r>
          </w:p>
          <w:p w:rsidR="00032DD4" w:rsidRPr="00260CE3" w:rsidRDefault="00032DD4" w:rsidP="00104651">
            <w:pPr>
              <w:rPr>
                <w:rFonts w:ascii="Arial Narrow" w:hAnsi="Arial Narrow"/>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spacing w:before="75" w:after="75"/>
              <w:ind w:left="7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Diagnosis should be made according to the Chapel Hill Consensus Conference Nomenclature of the </w:t>
            </w:r>
            <w:proofErr w:type="spellStart"/>
            <w:r w:rsidRPr="003D18A0">
              <w:rPr>
                <w:rFonts w:ascii="Arial Narrow" w:eastAsia="Times New Roman" w:hAnsi="Arial Narrow" w:cs="Arial"/>
                <w:sz w:val="20"/>
                <w:szCs w:val="20"/>
              </w:rPr>
              <w:t>Vasculitides</w:t>
            </w:r>
            <w:proofErr w:type="spellEnd"/>
            <w:r w:rsidRPr="003D18A0">
              <w:rPr>
                <w:rFonts w:ascii="Arial Narrow" w:eastAsia="Times New Roman" w:hAnsi="Arial Narrow" w:cs="Arial"/>
                <w:sz w:val="20"/>
                <w:szCs w:val="20"/>
              </w:rPr>
              <w:t xml:space="preserve"> with anti-neutrophil cytoplasmic antibody (ANCA) positive serology.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This drug is not PBS-subsidised for maintenance therapy.</w:t>
            </w:r>
          </w:p>
        </w:tc>
      </w:tr>
      <w:tr w:rsidR="00032DD4" w:rsidRPr="003D6A69"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Administrative Advice</w:t>
            </w:r>
          </w:p>
          <w:p w:rsidR="00032DD4" w:rsidRPr="00260CE3" w:rsidRDefault="00032DD4" w:rsidP="00104651">
            <w:pPr>
              <w:rPr>
                <w:rFonts w:ascii="Arial Narrow" w:hAnsi="Arial Narrow"/>
                <w:i/>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pStyle w:val="NormalWeb"/>
              <w:rPr>
                <w:rFonts w:ascii="Arial Narrow" w:hAnsi="Arial Narrow" w:cs="Arial"/>
                <w:sz w:val="20"/>
              </w:rPr>
            </w:pPr>
            <w:r w:rsidRPr="003D18A0">
              <w:rPr>
                <w:rFonts w:ascii="Arial Narrow" w:hAnsi="Arial Narrow" w:cs="Arial"/>
                <w:sz w:val="20"/>
              </w:rPr>
              <w:t>Risk of end-organ damage or mortality includes a minimum of one of the following:</w:t>
            </w:r>
          </w:p>
          <w:p w:rsidR="00032DD4" w:rsidRPr="003D18A0" w:rsidRDefault="00032DD4" w:rsidP="00032DD4">
            <w:pPr>
              <w:numPr>
                <w:ilvl w:val="0"/>
                <w:numId w:val="9"/>
              </w:numPr>
              <w:spacing w:before="75" w:after="75"/>
              <w:ind w:left="79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Glomerulonephritis with risk of progression </w:t>
            </w:r>
          </w:p>
          <w:p w:rsidR="00032DD4" w:rsidRPr="003D18A0" w:rsidRDefault="00032DD4" w:rsidP="00032DD4">
            <w:pPr>
              <w:numPr>
                <w:ilvl w:val="0"/>
                <w:numId w:val="9"/>
              </w:numPr>
              <w:spacing w:before="75" w:after="75"/>
              <w:ind w:left="79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Risk to sight including </w:t>
            </w:r>
            <w:proofErr w:type="spellStart"/>
            <w:r w:rsidRPr="003D18A0">
              <w:rPr>
                <w:rFonts w:ascii="Arial Narrow" w:eastAsia="Times New Roman" w:hAnsi="Arial Narrow" w:cs="Arial"/>
                <w:sz w:val="20"/>
                <w:szCs w:val="20"/>
              </w:rPr>
              <w:t>scleritis</w:t>
            </w:r>
            <w:proofErr w:type="spellEnd"/>
            <w:r w:rsidRPr="003D18A0">
              <w:rPr>
                <w:rFonts w:ascii="Arial Narrow" w:eastAsia="Times New Roman" w:hAnsi="Arial Narrow" w:cs="Arial"/>
                <w:sz w:val="20"/>
                <w:szCs w:val="20"/>
              </w:rPr>
              <w:t>/</w:t>
            </w:r>
            <w:proofErr w:type="spellStart"/>
            <w:r w:rsidRPr="003D18A0">
              <w:rPr>
                <w:rFonts w:ascii="Arial Narrow" w:eastAsia="Times New Roman" w:hAnsi="Arial Narrow" w:cs="Arial"/>
                <w:sz w:val="20"/>
                <w:szCs w:val="20"/>
              </w:rPr>
              <w:t>episcleritis</w:t>
            </w:r>
            <w:proofErr w:type="spellEnd"/>
            <w:r w:rsidRPr="003D18A0">
              <w:rPr>
                <w:rFonts w:ascii="Arial Narrow" w:eastAsia="Times New Roman" w:hAnsi="Arial Narrow" w:cs="Arial"/>
                <w:sz w:val="20"/>
                <w:szCs w:val="20"/>
              </w:rPr>
              <w:t xml:space="preserve">, sudden visual loss, uveitis, retinal changes (vasculitis/thrombosis/exudates/haemorrhage) </w:t>
            </w:r>
          </w:p>
          <w:p w:rsidR="00032DD4" w:rsidRPr="003D18A0" w:rsidRDefault="00032DD4" w:rsidP="00032DD4">
            <w:pPr>
              <w:numPr>
                <w:ilvl w:val="0"/>
                <w:numId w:val="9"/>
              </w:numPr>
              <w:spacing w:before="75" w:after="75"/>
              <w:ind w:left="79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Bronchial/subglottic obstruction </w:t>
            </w:r>
          </w:p>
          <w:p w:rsidR="00032DD4" w:rsidRPr="003D18A0" w:rsidRDefault="00032DD4" w:rsidP="00032DD4">
            <w:pPr>
              <w:numPr>
                <w:ilvl w:val="0"/>
                <w:numId w:val="9"/>
              </w:numPr>
              <w:spacing w:before="75" w:after="75"/>
              <w:ind w:left="79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Pulmonary haemorrhage </w:t>
            </w:r>
          </w:p>
          <w:p w:rsidR="00032DD4" w:rsidRPr="003D18A0" w:rsidRDefault="00032DD4" w:rsidP="00032DD4">
            <w:pPr>
              <w:numPr>
                <w:ilvl w:val="0"/>
                <w:numId w:val="9"/>
              </w:numPr>
              <w:spacing w:before="75" w:after="75"/>
              <w:ind w:left="79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Parenchymal lung disease </w:t>
            </w:r>
          </w:p>
          <w:p w:rsidR="00032DD4" w:rsidRPr="003D18A0" w:rsidRDefault="00032DD4" w:rsidP="00032DD4">
            <w:pPr>
              <w:numPr>
                <w:ilvl w:val="0"/>
                <w:numId w:val="9"/>
              </w:numPr>
              <w:spacing w:before="75" w:after="75"/>
              <w:ind w:left="79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Sensory neural hearing loss </w:t>
            </w:r>
          </w:p>
          <w:p w:rsidR="00032DD4" w:rsidRPr="003D18A0" w:rsidRDefault="00032DD4" w:rsidP="00032DD4">
            <w:pPr>
              <w:numPr>
                <w:ilvl w:val="0"/>
                <w:numId w:val="9"/>
              </w:numPr>
              <w:spacing w:before="75" w:after="75"/>
              <w:ind w:left="79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Recurrent </w:t>
            </w:r>
            <w:proofErr w:type="spellStart"/>
            <w:r w:rsidRPr="003D18A0">
              <w:rPr>
                <w:rFonts w:ascii="Arial Narrow" w:eastAsia="Times New Roman" w:hAnsi="Arial Narrow" w:cs="Arial"/>
                <w:sz w:val="20"/>
                <w:szCs w:val="20"/>
              </w:rPr>
              <w:t>sinonasal</w:t>
            </w:r>
            <w:proofErr w:type="spellEnd"/>
            <w:r w:rsidRPr="003D18A0">
              <w:rPr>
                <w:rFonts w:ascii="Arial Narrow" w:eastAsia="Times New Roman" w:hAnsi="Arial Narrow" w:cs="Arial"/>
                <w:sz w:val="20"/>
                <w:szCs w:val="20"/>
              </w:rPr>
              <w:t xml:space="preserve"> disease requiring recurrent surgical interventions </w:t>
            </w:r>
          </w:p>
          <w:p w:rsidR="00032DD4" w:rsidRPr="003D18A0" w:rsidRDefault="00032DD4" w:rsidP="00032DD4">
            <w:pPr>
              <w:numPr>
                <w:ilvl w:val="0"/>
                <w:numId w:val="9"/>
              </w:numPr>
              <w:spacing w:before="75" w:after="75"/>
              <w:ind w:left="79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Meningitis, organic confusion, seizures, stroke, cord lesion, cranial nerve palsy, </w:t>
            </w:r>
            <w:r w:rsidRPr="003D18A0">
              <w:rPr>
                <w:rFonts w:ascii="Arial Narrow" w:eastAsia="Times New Roman" w:hAnsi="Arial Narrow" w:cs="Arial"/>
                <w:sz w:val="20"/>
                <w:szCs w:val="20"/>
              </w:rPr>
              <w:lastRenderedPageBreak/>
              <w:t xml:space="preserve">sensory peripheral neuropathy, motor </w:t>
            </w:r>
            <w:proofErr w:type="spellStart"/>
            <w:r w:rsidRPr="003D18A0">
              <w:rPr>
                <w:rFonts w:ascii="Arial Narrow" w:eastAsia="Times New Roman" w:hAnsi="Arial Narrow" w:cs="Arial"/>
                <w:sz w:val="20"/>
                <w:szCs w:val="20"/>
              </w:rPr>
              <w:t>mononeuritis</w:t>
            </w:r>
            <w:proofErr w:type="spellEnd"/>
            <w:r w:rsidRPr="003D18A0">
              <w:rPr>
                <w:rFonts w:ascii="Arial Narrow" w:eastAsia="Times New Roman" w:hAnsi="Arial Narrow" w:cs="Arial"/>
                <w:sz w:val="20"/>
                <w:szCs w:val="20"/>
              </w:rPr>
              <w:t xml:space="preserve"> multiplex </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 xml:space="preserve">Patients could be considered contraindicated, refractory or unable to tolerate cyclophosphamide for one of the following reasons: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Cyclophosphamide is contraindicated as per the TGA approved Product Information;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Cyclophosphamide is not recommended due to the need to preserve gonad function;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Patient experiences severe toxicity to cyclophosphamide that warrants cessation of treatment;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Patient has life- or organ-threatening deterioration at any time during treatment with cyclophosphamide, where the deterioration is thought to be due to severe uncontrolled active vasculitis;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 xml:space="preserve">Commencing a further treatment cycle with cyclophosphamide would exceed the maximum cumulative dose of cyclophosphamide of 25g; or </w:t>
            </w:r>
          </w:p>
          <w:p w:rsidR="00032DD4" w:rsidRPr="003D18A0" w:rsidRDefault="00032DD4" w:rsidP="00032DD4">
            <w:pPr>
              <w:pStyle w:val="NormalWeb"/>
              <w:numPr>
                <w:ilvl w:val="0"/>
                <w:numId w:val="7"/>
              </w:numPr>
              <w:spacing w:before="75" w:after="75"/>
              <w:ind w:left="795" w:right="75"/>
              <w:rPr>
                <w:rFonts w:ascii="Arial Narrow" w:hAnsi="Arial Narrow" w:cs="Arial"/>
                <w:sz w:val="20"/>
              </w:rPr>
            </w:pPr>
            <w:r w:rsidRPr="003D18A0">
              <w:rPr>
                <w:rFonts w:ascii="Arial Narrow" w:hAnsi="Arial Narrow" w:cs="Arial"/>
                <w:sz w:val="20"/>
              </w:rPr>
              <w:t>Patient</w:t>
            </w:r>
            <w:r w:rsidRPr="003D18A0">
              <w:rPr>
                <w:rFonts w:ascii="Arial Narrow" w:hAnsi="Arial Narrow" w:cs="Arial"/>
                <w:i/>
                <w:sz w:val="20"/>
              </w:rPr>
              <w:t xml:space="preserve">’s </w:t>
            </w:r>
            <w:r w:rsidRPr="003D18A0">
              <w:rPr>
                <w:rFonts w:ascii="Arial Narrow" w:hAnsi="Arial Narrow" w:cs="Arial"/>
                <w:sz w:val="20"/>
              </w:rPr>
              <w:t xml:space="preserve">condition with this indication is persistent despite at least 3 months therapy with cyclophosphamide. </w:t>
            </w:r>
          </w:p>
          <w:p w:rsidR="00032DD4" w:rsidRPr="003D18A0" w:rsidRDefault="00032DD4" w:rsidP="00104651">
            <w:pPr>
              <w:spacing w:before="75" w:after="75"/>
              <w:ind w:left="7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Any queries concerning the arrangements to prescribe may be directed to the Department of Human Services on 1800 700 270 (hours of operation 8 a.m. to 5 p.m. EST Monday to Friday). </w:t>
            </w:r>
          </w:p>
          <w:p w:rsidR="00032DD4" w:rsidRPr="003D18A0" w:rsidRDefault="00032DD4" w:rsidP="00104651">
            <w:pPr>
              <w:spacing w:before="75" w:after="75"/>
              <w:ind w:left="75" w:right="75"/>
              <w:rPr>
                <w:rFonts w:ascii="Arial Narrow" w:eastAsia="Times New Roman" w:hAnsi="Arial Narrow" w:cs="Arial"/>
                <w:sz w:val="20"/>
                <w:szCs w:val="20"/>
              </w:rPr>
            </w:pPr>
            <w:r w:rsidRPr="003D18A0">
              <w:rPr>
                <w:rFonts w:ascii="Arial Narrow" w:eastAsia="Times New Roman" w:hAnsi="Arial Narrow" w:cs="Arial"/>
                <w:sz w:val="20"/>
                <w:szCs w:val="20"/>
              </w:rPr>
              <w:t>Prescribing information (including Authority Application forms and other relevant documentation as applicable) is available on the Department of Human Services website at www.humanservices.gov.au</w:t>
            </w:r>
          </w:p>
          <w:p w:rsidR="00032DD4" w:rsidRPr="003D18A0" w:rsidRDefault="00032DD4" w:rsidP="00104651">
            <w:pPr>
              <w:spacing w:before="75" w:after="75"/>
              <w:ind w:left="75" w:right="75"/>
              <w:rPr>
                <w:rFonts w:ascii="Arial Narrow" w:eastAsia="Times New Roman" w:hAnsi="Arial Narrow" w:cs="Arial"/>
                <w:sz w:val="20"/>
                <w:szCs w:val="20"/>
              </w:rPr>
            </w:pPr>
            <w:r w:rsidRPr="003D18A0">
              <w:rPr>
                <w:rFonts w:ascii="Arial Narrow" w:eastAsia="Times New Roman" w:hAnsi="Arial Narrow" w:cs="Arial"/>
                <w:sz w:val="20"/>
                <w:szCs w:val="20"/>
              </w:rPr>
              <w:t>Applications for authority to prescribe should be forwarded to:</w:t>
            </w:r>
          </w:p>
          <w:p w:rsidR="00032DD4" w:rsidRPr="003D18A0" w:rsidRDefault="00032DD4" w:rsidP="00104651">
            <w:pPr>
              <w:spacing w:before="75" w:after="75"/>
              <w:ind w:left="75" w:right="75"/>
              <w:rPr>
                <w:rFonts w:ascii="Arial Narrow" w:eastAsia="Times New Roman" w:hAnsi="Arial Narrow" w:cs="Arial"/>
                <w:sz w:val="20"/>
                <w:szCs w:val="20"/>
              </w:rPr>
            </w:pPr>
            <w:r w:rsidRPr="003D18A0">
              <w:rPr>
                <w:rFonts w:ascii="Arial Narrow" w:eastAsia="Times New Roman" w:hAnsi="Arial Narrow" w:cs="Arial"/>
                <w:sz w:val="20"/>
                <w:szCs w:val="20"/>
              </w:rPr>
              <w:t xml:space="preserve">Department of Human Services </w:t>
            </w:r>
          </w:p>
          <w:p w:rsidR="00032DD4" w:rsidRPr="003D18A0" w:rsidRDefault="00032DD4" w:rsidP="00104651">
            <w:pPr>
              <w:spacing w:before="75" w:after="75"/>
              <w:ind w:left="75" w:right="75"/>
              <w:rPr>
                <w:rFonts w:ascii="Arial Narrow" w:eastAsia="Times New Roman" w:hAnsi="Arial Narrow" w:cs="Arial"/>
                <w:sz w:val="20"/>
                <w:szCs w:val="20"/>
              </w:rPr>
            </w:pPr>
            <w:r w:rsidRPr="003D18A0">
              <w:rPr>
                <w:rFonts w:ascii="Arial Narrow" w:eastAsia="Times New Roman" w:hAnsi="Arial Narrow" w:cs="Arial"/>
                <w:sz w:val="20"/>
                <w:szCs w:val="20"/>
              </w:rPr>
              <w:t>Prior Written Approval of Complex Drugs</w:t>
            </w:r>
          </w:p>
          <w:p w:rsidR="00032DD4" w:rsidRPr="003D18A0" w:rsidRDefault="00032DD4" w:rsidP="00104651">
            <w:pPr>
              <w:spacing w:before="75" w:after="75"/>
              <w:ind w:left="75" w:right="75"/>
              <w:rPr>
                <w:rFonts w:ascii="Arial Narrow" w:eastAsia="Times New Roman" w:hAnsi="Arial Narrow" w:cs="Arial"/>
                <w:sz w:val="20"/>
                <w:szCs w:val="20"/>
              </w:rPr>
            </w:pPr>
            <w:r w:rsidRPr="003D18A0">
              <w:rPr>
                <w:rFonts w:ascii="Arial Narrow" w:eastAsia="Times New Roman" w:hAnsi="Arial Narrow" w:cs="Arial"/>
                <w:sz w:val="20"/>
                <w:szCs w:val="20"/>
              </w:rPr>
              <w:t>Reply Paid 9826</w:t>
            </w:r>
          </w:p>
          <w:p w:rsidR="00032DD4" w:rsidRPr="003D18A0" w:rsidRDefault="00032DD4" w:rsidP="00104651">
            <w:pPr>
              <w:spacing w:before="75" w:after="75"/>
              <w:ind w:left="75" w:right="75"/>
              <w:rPr>
                <w:rFonts w:ascii="Arial Narrow" w:eastAsia="Times New Roman" w:hAnsi="Arial Narrow" w:cs="Arial"/>
                <w:sz w:val="20"/>
                <w:szCs w:val="20"/>
              </w:rPr>
            </w:pPr>
            <w:r w:rsidRPr="003D18A0">
              <w:rPr>
                <w:rFonts w:ascii="Arial Narrow" w:eastAsia="Times New Roman" w:hAnsi="Arial Narrow" w:cs="Arial"/>
                <w:sz w:val="20"/>
                <w:szCs w:val="20"/>
              </w:rPr>
              <w:t>HOBART TAS 7001</w:t>
            </w:r>
          </w:p>
          <w:p w:rsidR="00032DD4" w:rsidRPr="003D18A0" w:rsidRDefault="00032DD4" w:rsidP="00104651">
            <w:pPr>
              <w:pStyle w:val="NormalWeb"/>
              <w:rPr>
                <w:rFonts w:ascii="Arial Narrow" w:hAnsi="Arial Narrow" w:cs="Arial"/>
                <w:sz w:val="20"/>
              </w:rPr>
            </w:pPr>
            <w:r w:rsidRPr="003D18A0">
              <w:rPr>
                <w:rFonts w:ascii="Arial Narrow" w:hAnsi="Arial Narrow" w:cs="Arial"/>
                <w:sz w:val="20"/>
              </w:rPr>
              <w:t>At the time of authority application, medical practitioners must request the appropriate number of vials to provide sufficient drug for four weeks of treatment.</w:t>
            </w:r>
          </w:p>
        </w:tc>
      </w:tr>
    </w:tbl>
    <w:p w:rsidR="00032DD4" w:rsidRDefault="00032DD4" w:rsidP="00032DD4">
      <w:pPr>
        <w:rPr>
          <w:b/>
          <w:bCs/>
        </w:rPr>
      </w:pPr>
    </w:p>
    <w:tbl>
      <w:tblPr>
        <w:tblW w:w="9072" w:type="dxa"/>
        <w:tblInd w:w="250" w:type="dxa"/>
        <w:tblLayout w:type="fixed"/>
        <w:tblLook w:val="0000" w:firstRow="0" w:lastRow="0" w:firstColumn="0" w:lastColumn="0" w:noHBand="0" w:noVBand="0"/>
      </w:tblPr>
      <w:tblGrid>
        <w:gridCol w:w="2126"/>
        <w:gridCol w:w="6946"/>
      </w:tblGrid>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sidRPr="00260CE3">
              <w:rPr>
                <w:rFonts w:ascii="Arial Narrow" w:hAnsi="Arial Narrow"/>
                <w:b/>
                <w:sz w:val="20"/>
              </w:rPr>
              <w:t>PBS Indication:</w:t>
            </w:r>
          </w:p>
        </w:tc>
        <w:tc>
          <w:tcPr>
            <w:tcW w:w="6946" w:type="dxa"/>
            <w:tcBorders>
              <w:top w:val="single" w:sz="4" w:space="0" w:color="auto"/>
              <w:left w:val="single" w:sz="4" w:space="0" w:color="auto"/>
              <w:bottom w:val="single" w:sz="4" w:space="0" w:color="auto"/>
              <w:right w:val="single" w:sz="4" w:space="0" w:color="auto"/>
            </w:tcBorders>
          </w:tcPr>
          <w:p w:rsidR="00032DD4" w:rsidRPr="003D18A0" w:rsidRDefault="00032DD4" w:rsidP="00104651">
            <w:pPr>
              <w:pStyle w:val="NormalWeb"/>
              <w:rPr>
                <w:rFonts w:ascii="Arial" w:hAnsi="Arial" w:cs="Arial"/>
                <w:b/>
                <w:strike/>
                <w:sz w:val="20"/>
                <w:u w:val="single"/>
              </w:rPr>
            </w:pPr>
            <w:r w:rsidRPr="003D18A0">
              <w:rPr>
                <w:rFonts w:ascii="Arial Narrow" w:eastAsiaTheme="minorHAnsi" w:hAnsi="Arial Narrow" w:cs="Arial"/>
                <w:sz w:val="20"/>
              </w:rPr>
              <w:t xml:space="preserve">Severe active </w:t>
            </w:r>
            <w:proofErr w:type="spellStart"/>
            <w:r w:rsidRPr="003D18A0">
              <w:rPr>
                <w:rFonts w:ascii="Arial Narrow" w:eastAsiaTheme="minorHAnsi" w:hAnsi="Arial Narrow" w:cs="Arial"/>
                <w:sz w:val="20"/>
              </w:rPr>
              <w:t>granulomatosis</w:t>
            </w:r>
            <w:proofErr w:type="spellEnd"/>
            <w:r w:rsidRPr="003D18A0">
              <w:rPr>
                <w:rFonts w:ascii="Arial Narrow" w:eastAsiaTheme="minorHAnsi" w:hAnsi="Arial Narrow" w:cs="Arial"/>
                <w:sz w:val="20"/>
              </w:rPr>
              <w:t xml:space="preserve"> with </w:t>
            </w:r>
            <w:proofErr w:type="spellStart"/>
            <w:r w:rsidRPr="003D18A0">
              <w:rPr>
                <w:rFonts w:ascii="Arial Narrow" w:eastAsiaTheme="minorHAnsi" w:hAnsi="Arial Narrow" w:cs="Arial"/>
                <w:sz w:val="20"/>
              </w:rPr>
              <w:t>polyangiitis</w:t>
            </w:r>
            <w:proofErr w:type="spellEnd"/>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260CE3" w:rsidRDefault="00032DD4" w:rsidP="00104651">
            <w:pPr>
              <w:rPr>
                <w:rFonts w:ascii="Arial Narrow" w:hAnsi="Arial Narrow"/>
                <w:b/>
                <w:sz w:val="20"/>
              </w:rPr>
            </w:pPr>
            <w:r>
              <w:rPr>
                <w:rFonts w:ascii="Arial Narrow" w:hAnsi="Arial Narrow"/>
                <w:b/>
                <w:sz w:val="20"/>
              </w:rPr>
              <w:t>Treatment phase:</w:t>
            </w:r>
          </w:p>
        </w:tc>
        <w:tc>
          <w:tcPr>
            <w:tcW w:w="6946" w:type="dxa"/>
            <w:tcBorders>
              <w:top w:val="single" w:sz="4" w:space="0" w:color="auto"/>
              <w:left w:val="single" w:sz="4" w:space="0" w:color="auto"/>
              <w:bottom w:val="single" w:sz="4" w:space="0" w:color="auto"/>
              <w:right w:val="single" w:sz="4" w:space="0" w:color="auto"/>
            </w:tcBorders>
          </w:tcPr>
          <w:p w:rsidR="00032DD4" w:rsidRDefault="00032DD4" w:rsidP="00104651">
            <w:pPr>
              <w:rPr>
                <w:rFonts w:ascii="Arial Narrow" w:hAnsi="Arial Narrow"/>
                <w:sz w:val="20"/>
              </w:rPr>
            </w:pPr>
            <w:r>
              <w:rPr>
                <w:rFonts w:ascii="Arial Narrow" w:hAnsi="Arial Narrow"/>
                <w:sz w:val="20"/>
              </w:rPr>
              <w:t>Re-i</w:t>
            </w:r>
            <w:r w:rsidRPr="003D18A0">
              <w:rPr>
                <w:rFonts w:ascii="Arial Narrow" w:hAnsi="Arial Narrow"/>
                <w:sz w:val="20"/>
              </w:rPr>
              <w:t>nduction of remission</w:t>
            </w:r>
          </w:p>
        </w:tc>
      </w:tr>
      <w:tr w:rsidR="00032DD4" w:rsidRPr="00260CE3" w:rsidTr="00104651">
        <w:tc>
          <w:tcPr>
            <w:tcW w:w="2126" w:type="dxa"/>
            <w:tcBorders>
              <w:top w:val="single" w:sz="4" w:space="0" w:color="auto"/>
              <w:left w:val="single" w:sz="4" w:space="0" w:color="auto"/>
              <w:bottom w:val="single" w:sz="4" w:space="0" w:color="auto"/>
              <w:right w:val="single" w:sz="4" w:space="0" w:color="auto"/>
            </w:tcBorders>
          </w:tcPr>
          <w:p w:rsidR="00032DD4" w:rsidRPr="003E2182" w:rsidRDefault="00032DD4" w:rsidP="00104651">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946" w:type="dxa"/>
            <w:tcBorders>
              <w:top w:val="single" w:sz="4" w:space="0" w:color="auto"/>
              <w:left w:val="single" w:sz="4" w:space="0" w:color="auto"/>
              <w:bottom w:val="single" w:sz="4" w:space="0" w:color="auto"/>
              <w:right w:val="single" w:sz="4" w:space="0" w:color="auto"/>
            </w:tcBorders>
          </w:tcPr>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32DD4" w:rsidRPr="00106BCF" w:rsidRDefault="00032DD4" w:rsidP="00104651">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032DD4" w:rsidRPr="00106BCF" w:rsidRDefault="00032DD4" w:rsidP="001046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032DD4" w:rsidRPr="00106BCF" w:rsidRDefault="00032DD4" w:rsidP="001046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032DD4" w:rsidRPr="00260CE3" w:rsidRDefault="00032DD4" w:rsidP="001046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1513B">
              <w:rPr>
                <w:rFonts w:ascii="Arial Narrow" w:hAnsi="Arial Narrow"/>
                <w:sz w:val="20"/>
              </w:rPr>
            </w:r>
            <w:r w:rsidR="008151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32DD4" w:rsidRPr="00320096"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0F6C7E" w:rsidRDefault="00032DD4" w:rsidP="00104651">
            <w:pPr>
              <w:rPr>
                <w:rFonts w:ascii="Arial Narrow" w:hAnsi="Arial Narrow"/>
                <w:b/>
                <w:sz w:val="20"/>
              </w:rPr>
            </w:pPr>
            <w:r w:rsidRPr="000F6C7E">
              <w:rPr>
                <w:rFonts w:ascii="Arial Narrow" w:hAnsi="Arial Narrow"/>
                <w:b/>
                <w:sz w:val="20"/>
              </w:rPr>
              <w:t>Clinical criteria:</w:t>
            </w:r>
          </w:p>
          <w:p w:rsidR="00032DD4" w:rsidRPr="000F6C7E" w:rsidRDefault="00032DD4" w:rsidP="00104651">
            <w:pPr>
              <w:rPr>
                <w:rFonts w:ascii="Arial Narrow" w:hAnsi="Arial Narrow"/>
                <w:i/>
                <w:sz w:val="20"/>
              </w:rPr>
            </w:pPr>
          </w:p>
          <w:p w:rsidR="00032DD4" w:rsidRPr="000F6C7E" w:rsidRDefault="00032DD4" w:rsidP="00104651">
            <w:pPr>
              <w:rPr>
                <w:rFonts w:ascii="Arial Narrow" w:hAnsi="Arial Narrow"/>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0F6C7E" w:rsidRDefault="00032DD4" w:rsidP="00032DD4">
            <w:pPr>
              <w:pStyle w:val="NormalWeb"/>
              <w:numPr>
                <w:ilvl w:val="0"/>
                <w:numId w:val="3"/>
              </w:numPr>
              <w:spacing w:before="75" w:after="75"/>
              <w:ind w:left="795" w:right="75"/>
              <w:rPr>
                <w:rFonts w:ascii="Arial Narrow" w:hAnsi="Arial Narrow" w:cs="Arial"/>
                <w:sz w:val="20"/>
              </w:rPr>
            </w:pPr>
            <w:r w:rsidRPr="000F6C7E">
              <w:rPr>
                <w:rFonts w:ascii="Arial Narrow" w:hAnsi="Arial Narrow" w:cs="Arial"/>
                <w:sz w:val="20"/>
              </w:rPr>
              <w:t xml:space="preserve">The treatment must be for the re-induction of remission, </w:t>
            </w:r>
          </w:p>
          <w:p w:rsidR="00032DD4" w:rsidRPr="000F6C7E" w:rsidRDefault="00032DD4" w:rsidP="00104651">
            <w:pPr>
              <w:pStyle w:val="NormalWeb"/>
              <w:rPr>
                <w:rFonts w:ascii="Arial Narrow" w:hAnsi="Arial Narrow" w:cs="Arial"/>
                <w:sz w:val="20"/>
              </w:rPr>
            </w:pPr>
            <w:r w:rsidRPr="000F6C7E">
              <w:rPr>
                <w:rFonts w:ascii="Arial Narrow" w:hAnsi="Arial Narrow" w:cs="Arial"/>
                <w:b/>
                <w:bCs/>
                <w:sz w:val="20"/>
              </w:rPr>
              <w:t>AND</w:t>
            </w:r>
          </w:p>
          <w:p w:rsidR="00032DD4" w:rsidRPr="000F6C7E" w:rsidRDefault="00032DD4" w:rsidP="00032DD4">
            <w:pPr>
              <w:pStyle w:val="NormalWeb"/>
              <w:numPr>
                <w:ilvl w:val="0"/>
                <w:numId w:val="3"/>
              </w:numPr>
              <w:spacing w:before="75" w:after="75"/>
              <w:ind w:left="795" w:right="75"/>
              <w:rPr>
                <w:rFonts w:ascii="Arial Narrow" w:hAnsi="Arial Narrow" w:cs="Arial"/>
                <w:sz w:val="20"/>
              </w:rPr>
            </w:pPr>
            <w:r>
              <w:rPr>
                <w:rFonts w:ascii="Arial Narrow" w:hAnsi="Arial Narrow" w:cs="Arial"/>
                <w:sz w:val="20"/>
              </w:rPr>
              <w:t>P</w:t>
            </w:r>
            <w:r w:rsidRPr="000F6C7E">
              <w:rPr>
                <w:rFonts w:ascii="Arial Narrow" w:hAnsi="Arial Narrow" w:cs="Arial"/>
                <w:sz w:val="20"/>
              </w:rPr>
              <w:t>atient must have previously received and responded to this drug for this condition,</w:t>
            </w:r>
          </w:p>
          <w:p w:rsidR="00032DD4" w:rsidRPr="000F6C7E" w:rsidRDefault="00032DD4" w:rsidP="00104651">
            <w:pPr>
              <w:pStyle w:val="NormalWeb"/>
              <w:rPr>
                <w:rFonts w:ascii="Arial Narrow" w:hAnsi="Arial Narrow" w:cs="Arial"/>
                <w:sz w:val="20"/>
              </w:rPr>
            </w:pPr>
            <w:r w:rsidRPr="000F6C7E">
              <w:rPr>
                <w:rFonts w:ascii="Arial Narrow" w:hAnsi="Arial Narrow" w:cs="Arial"/>
                <w:b/>
                <w:bCs/>
                <w:sz w:val="20"/>
              </w:rPr>
              <w:t>AND</w:t>
            </w:r>
          </w:p>
          <w:p w:rsidR="00032DD4" w:rsidRPr="000F6C7E" w:rsidRDefault="00032DD4" w:rsidP="00032DD4">
            <w:pPr>
              <w:pStyle w:val="NormalWeb"/>
              <w:numPr>
                <w:ilvl w:val="0"/>
                <w:numId w:val="4"/>
              </w:numPr>
              <w:spacing w:before="75" w:after="75"/>
              <w:ind w:left="795" w:right="75"/>
              <w:rPr>
                <w:rFonts w:ascii="Arial Narrow" w:hAnsi="Arial Narrow" w:cs="Arial"/>
                <w:sz w:val="20"/>
              </w:rPr>
            </w:pPr>
            <w:r w:rsidRPr="000F6C7E">
              <w:rPr>
                <w:rFonts w:ascii="Arial Narrow" w:hAnsi="Arial Narrow" w:cs="Arial"/>
                <w:sz w:val="20"/>
              </w:rPr>
              <w:t>The treatment must in combination with glucocorticoids,</w:t>
            </w:r>
          </w:p>
          <w:p w:rsidR="00032DD4" w:rsidRPr="000F6C7E" w:rsidRDefault="00032DD4" w:rsidP="00104651">
            <w:pPr>
              <w:pStyle w:val="NormalWeb"/>
              <w:rPr>
                <w:rFonts w:ascii="Arial Narrow" w:hAnsi="Arial Narrow" w:cs="Arial"/>
                <w:sz w:val="20"/>
              </w:rPr>
            </w:pPr>
            <w:r w:rsidRPr="000F6C7E">
              <w:rPr>
                <w:rFonts w:ascii="Arial Narrow" w:hAnsi="Arial Narrow" w:cs="Arial"/>
                <w:b/>
                <w:bCs/>
                <w:sz w:val="20"/>
              </w:rPr>
              <w:t>AND</w:t>
            </w:r>
          </w:p>
          <w:p w:rsidR="00032DD4" w:rsidRPr="000F6C7E" w:rsidRDefault="00032DD4" w:rsidP="00032DD4">
            <w:pPr>
              <w:pStyle w:val="NormalWeb"/>
              <w:numPr>
                <w:ilvl w:val="0"/>
                <w:numId w:val="5"/>
              </w:numPr>
              <w:spacing w:before="75" w:after="75"/>
              <w:ind w:left="795" w:right="75"/>
              <w:rPr>
                <w:rFonts w:ascii="Arial Narrow" w:hAnsi="Arial Narrow" w:cs="Arial"/>
                <w:sz w:val="20"/>
              </w:rPr>
            </w:pPr>
            <w:r w:rsidRPr="000F6C7E">
              <w:rPr>
                <w:rFonts w:ascii="Arial Narrow" w:hAnsi="Arial Narrow" w:cs="Arial"/>
                <w:sz w:val="20"/>
              </w:rPr>
              <w:t>Patient must be at risk of end-organ damage or mortality,</w:t>
            </w:r>
          </w:p>
          <w:p w:rsidR="00032DD4" w:rsidRPr="000F6C7E" w:rsidRDefault="00032DD4" w:rsidP="00104651">
            <w:pPr>
              <w:pStyle w:val="NormalWeb"/>
              <w:rPr>
                <w:rFonts w:ascii="Arial Narrow" w:hAnsi="Arial Narrow" w:cs="Arial"/>
                <w:sz w:val="20"/>
              </w:rPr>
            </w:pPr>
            <w:r w:rsidRPr="000F6C7E">
              <w:rPr>
                <w:rFonts w:ascii="Arial Narrow" w:hAnsi="Arial Narrow" w:cs="Arial"/>
                <w:b/>
                <w:bCs/>
                <w:sz w:val="20"/>
              </w:rPr>
              <w:t>AND</w:t>
            </w:r>
          </w:p>
          <w:p w:rsidR="00032DD4" w:rsidRPr="000F6C7E" w:rsidRDefault="00032DD4" w:rsidP="00032DD4">
            <w:pPr>
              <w:pStyle w:val="NormalWeb"/>
              <w:numPr>
                <w:ilvl w:val="0"/>
                <w:numId w:val="6"/>
              </w:numPr>
              <w:spacing w:before="75" w:after="75"/>
              <w:ind w:left="795" w:right="75"/>
              <w:rPr>
                <w:rFonts w:ascii="Arial Narrow" w:hAnsi="Arial Narrow" w:cs="Arial"/>
                <w:sz w:val="20"/>
              </w:rPr>
            </w:pPr>
            <w:r w:rsidRPr="000F6C7E">
              <w:rPr>
                <w:rFonts w:ascii="Arial Narrow" w:hAnsi="Arial Narrow" w:cs="Arial"/>
                <w:sz w:val="20"/>
              </w:rPr>
              <w:t xml:space="preserve">Patient must be contraindicated, refractory or unable to tolerate </w:t>
            </w:r>
            <w:r w:rsidRPr="000F6C7E">
              <w:rPr>
                <w:rFonts w:ascii="Arial Narrow" w:hAnsi="Arial Narrow" w:cs="Arial"/>
                <w:sz w:val="20"/>
              </w:rPr>
              <w:lastRenderedPageBreak/>
              <w:t>cyclophosphamide.</w:t>
            </w:r>
          </w:p>
        </w:tc>
      </w:tr>
      <w:tr w:rsidR="00032DD4" w:rsidRPr="004E4D44"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0F6C7E" w:rsidRDefault="00032DD4" w:rsidP="00104651">
            <w:pPr>
              <w:rPr>
                <w:rFonts w:ascii="Arial Narrow" w:hAnsi="Arial Narrow"/>
                <w:b/>
                <w:sz w:val="20"/>
              </w:rPr>
            </w:pPr>
            <w:r w:rsidRPr="000F6C7E">
              <w:rPr>
                <w:rFonts w:ascii="Arial Narrow" w:hAnsi="Arial Narrow"/>
                <w:b/>
                <w:sz w:val="20"/>
              </w:rPr>
              <w:lastRenderedPageBreak/>
              <w:t>Prescriber Instructions</w:t>
            </w:r>
          </w:p>
          <w:p w:rsidR="00032DD4" w:rsidRPr="000F6C7E" w:rsidRDefault="00032DD4" w:rsidP="00104651">
            <w:pPr>
              <w:rPr>
                <w:rFonts w:ascii="Arial Narrow" w:hAnsi="Arial Narrow"/>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0F6C7E" w:rsidRDefault="00032DD4" w:rsidP="00104651">
            <w:pPr>
              <w:spacing w:before="75" w:after="75"/>
              <w:ind w:left="7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Diagnosis should be made according to the Chapel Hill Consensus Conference Nomenclature of the </w:t>
            </w:r>
            <w:proofErr w:type="spellStart"/>
            <w:r w:rsidRPr="000F6C7E">
              <w:rPr>
                <w:rFonts w:ascii="Arial Narrow" w:eastAsia="Times New Roman" w:hAnsi="Arial Narrow" w:cs="Arial"/>
                <w:sz w:val="20"/>
                <w:szCs w:val="20"/>
              </w:rPr>
              <w:t>Vasculitides</w:t>
            </w:r>
            <w:proofErr w:type="spellEnd"/>
            <w:r w:rsidRPr="000F6C7E">
              <w:rPr>
                <w:rFonts w:ascii="Arial Narrow" w:eastAsia="Times New Roman" w:hAnsi="Arial Narrow" w:cs="Arial"/>
                <w:sz w:val="20"/>
                <w:szCs w:val="20"/>
              </w:rPr>
              <w:t xml:space="preserve"> with anti-neutrophil cytoplasmic antibody (ANCA) positive serology. </w:t>
            </w:r>
          </w:p>
          <w:p w:rsidR="00032DD4" w:rsidRPr="000F6C7E" w:rsidRDefault="00032DD4" w:rsidP="00104651">
            <w:pPr>
              <w:pStyle w:val="NormalWeb"/>
              <w:rPr>
                <w:rFonts w:ascii="Arial Narrow" w:hAnsi="Arial Narrow" w:cs="Arial"/>
                <w:sz w:val="20"/>
              </w:rPr>
            </w:pPr>
            <w:r w:rsidRPr="000F6C7E">
              <w:rPr>
                <w:rFonts w:ascii="Arial Narrow" w:hAnsi="Arial Narrow" w:cs="Arial"/>
                <w:sz w:val="20"/>
              </w:rPr>
              <w:t>This drug is not PBS-subsidised for maintenance therapy.</w:t>
            </w:r>
          </w:p>
        </w:tc>
      </w:tr>
      <w:tr w:rsidR="00032DD4" w:rsidRPr="003D6A69" w:rsidTr="00104651">
        <w:trPr>
          <w:trHeight w:val="360"/>
        </w:trPr>
        <w:tc>
          <w:tcPr>
            <w:tcW w:w="2126" w:type="dxa"/>
            <w:tcBorders>
              <w:top w:val="single" w:sz="4" w:space="0" w:color="auto"/>
              <w:left w:val="single" w:sz="4" w:space="0" w:color="auto"/>
              <w:bottom w:val="single" w:sz="4" w:space="0" w:color="auto"/>
              <w:right w:val="single" w:sz="4" w:space="0" w:color="auto"/>
            </w:tcBorders>
          </w:tcPr>
          <w:p w:rsidR="00032DD4" w:rsidRPr="000F6C7E" w:rsidRDefault="00032DD4" w:rsidP="00104651">
            <w:pPr>
              <w:rPr>
                <w:rFonts w:ascii="Arial Narrow" w:hAnsi="Arial Narrow"/>
                <w:b/>
                <w:sz w:val="20"/>
              </w:rPr>
            </w:pPr>
            <w:r w:rsidRPr="000F6C7E">
              <w:rPr>
                <w:rFonts w:ascii="Arial Narrow" w:hAnsi="Arial Narrow"/>
                <w:b/>
                <w:sz w:val="20"/>
              </w:rPr>
              <w:t>Administrative Advice</w:t>
            </w:r>
          </w:p>
          <w:p w:rsidR="00032DD4" w:rsidRPr="000F6C7E" w:rsidRDefault="00032DD4" w:rsidP="00104651">
            <w:pPr>
              <w:rPr>
                <w:rFonts w:ascii="Arial Narrow" w:hAnsi="Arial Narrow"/>
                <w:i/>
                <w:sz w:val="20"/>
              </w:rPr>
            </w:pPr>
          </w:p>
        </w:tc>
        <w:tc>
          <w:tcPr>
            <w:tcW w:w="6946" w:type="dxa"/>
            <w:tcBorders>
              <w:top w:val="single" w:sz="4" w:space="0" w:color="auto"/>
              <w:left w:val="single" w:sz="4" w:space="0" w:color="auto"/>
              <w:bottom w:val="single" w:sz="4" w:space="0" w:color="auto"/>
              <w:right w:val="single" w:sz="4" w:space="0" w:color="auto"/>
            </w:tcBorders>
          </w:tcPr>
          <w:p w:rsidR="00032DD4" w:rsidRPr="000F6C7E" w:rsidRDefault="00032DD4" w:rsidP="00104651">
            <w:pPr>
              <w:pStyle w:val="NormalWeb"/>
              <w:rPr>
                <w:rFonts w:ascii="Arial Narrow" w:hAnsi="Arial Narrow" w:cs="Arial"/>
                <w:sz w:val="20"/>
              </w:rPr>
            </w:pPr>
            <w:r w:rsidRPr="000F6C7E">
              <w:rPr>
                <w:rFonts w:ascii="Arial Narrow" w:hAnsi="Arial Narrow" w:cs="Arial"/>
                <w:sz w:val="20"/>
              </w:rPr>
              <w:t>Risk of end-organ damage or mortality includes a minimum of one of the following:</w:t>
            </w:r>
          </w:p>
          <w:p w:rsidR="00032DD4" w:rsidRPr="000F6C7E" w:rsidRDefault="00032DD4" w:rsidP="00032DD4">
            <w:pPr>
              <w:numPr>
                <w:ilvl w:val="0"/>
                <w:numId w:val="9"/>
              </w:numPr>
              <w:spacing w:before="75" w:after="75"/>
              <w:ind w:left="79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Glomerulonephritis with risk of progression </w:t>
            </w:r>
          </w:p>
          <w:p w:rsidR="00032DD4" w:rsidRPr="000F6C7E" w:rsidRDefault="00032DD4" w:rsidP="00032DD4">
            <w:pPr>
              <w:numPr>
                <w:ilvl w:val="0"/>
                <w:numId w:val="9"/>
              </w:numPr>
              <w:spacing w:before="75" w:after="75"/>
              <w:ind w:left="79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Risk to sight including </w:t>
            </w:r>
            <w:proofErr w:type="spellStart"/>
            <w:r w:rsidRPr="000F6C7E">
              <w:rPr>
                <w:rFonts w:ascii="Arial Narrow" w:eastAsia="Times New Roman" w:hAnsi="Arial Narrow" w:cs="Arial"/>
                <w:sz w:val="20"/>
                <w:szCs w:val="20"/>
              </w:rPr>
              <w:t>scleritis</w:t>
            </w:r>
            <w:proofErr w:type="spellEnd"/>
            <w:r w:rsidRPr="000F6C7E">
              <w:rPr>
                <w:rFonts w:ascii="Arial Narrow" w:eastAsia="Times New Roman" w:hAnsi="Arial Narrow" w:cs="Arial"/>
                <w:sz w:val="20"/>
                <w:szCs w:val="20"/>
              </w:rPr>
              <w:t>/</w:t>
            </w:r>
            <w:proofErr w:type="spellStart"/>
            <w:r w:rsidRPr="000F6C7E">
              <w:rPr>
                <w:rFonts w:ascii="Arial Narrow" w:eastAsia="Times New Roman" w:hAnsi="Arial Narrow" w:cs="Arial"/>
                <w:sz w:val="20"/>
                <w:szCs w:val="20"/>
              </w:rPr>
              <w:t>episcleritis</w:t>
            </w:r>
            <w:proofErr w:type="spellEnd"/>
            <w:r w:rsidRPr="000F6C7E">
              <w:rPr>
                <w:rFonts w:ascii="Arial Narrow" w:eastAsia="Times New Roman" w:hAnsi="Arial Narrow" w:cs="Arial"/>
                <w:sz w:val="20"/>
                <w:szCs w:val="20"/>
              </w:rPr>
              <w:t xml:space="preserve">, sudden visual loss, uveitis, retinal changes (vasculitis/thrombosis/exudates/haemorrhage) </w:t>
            </w:r>
          </w:p>
          <w:p w:rsidR="00032DD4" w:rsidRPr="000F6C7E" w:rsidRDefault="00032DD4" w:rsidP="00032DD4">
            <w:pPr>
              <w:numPr>
                <w:ilvl w:val="0"/>
                <w:numId w:val="9"/>
              </w:numPr>
              <w:spacing w:before="75" w:after="75"/>
              <w:ind w:left="79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Bronchial/subglottic obstruction </w:t>
            </w:r>
          </w:p>
          <w:p w:rsidR="00032DD4" w:rsidRPr="000F6C7E" w:rsidRDefault="00032DD4" w:rsidP="00032DD4">
            <w:pPr>
              <w:numPr>
                <w:ilvl w:val="0"/>
                <w:numId w:val="9"/>
              </w:numPr>
              <w:spacing w:before="75" w:after="75"/>
              <w:ind w:left="79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Pulmonary haemorrhage </w:t>
            </w:r>
          </w:p>
          <w:p w:rsidR="00032DD4" w:rsidRPr="000F6C7E" w:rsidRDefault="00032DD4" w:rsidP="00032DD4">
            <w:pPr>
              <w:numPr>
                <w:ilvl w:val="0"/>
                <w:numId w:val="9"/>
              </w:numPr>
              <w:spacing w:before="75" w:after="75"/>
              <w:ind w:left="79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Parenchymal lung disease </w:t>
            </w:r>
          </w:p>
          <w:p w:rsidR="00032DD4" w:rsidRPr="000F6C7E" w:rsidRDefault="00032DD4" w:rsidP="00032DD4">
            <w:pPr>
              <w:numPr>
                <w:ilvl w:val="0"/>
                <w:numId w:val="9"/>
              </w:numPr>
              <w:spacing w:before="75" w:after="75"/>
              <w:ind w:left="79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Sensory neural hearing loss </w:t>
            </w:r>
          </w:p>
          <w:p w:rsidR="00032DD4" w:rsidRPr="000F6C7E" w:rsidRDefault="00032DD4" w:rsidP="00032DD4">
            <w:pPr>
              <w:numPr>
                <w:ilvl w:val="0"/>
                <w:numId w:val="9"/>
              </w:numPr>
              <w:spacing w:before="75" w:after="75"/>
              <w:ind w:left="79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Recurrent </w:t>
            </w:r>
            <w:proofErr w:type="spellStart"/>
            <w:r w:rsidRPr="000F6C7E">
              <w:rPr>
                <w:rFonts w:ascii="Arial Narrow" w:eastAsia="Times New Roman" w:hAnsi="Arial Narrow" w:cs="Arial"/>
                <w:sz w:val="20"/>
                <w:szCs w:val="20"/>
              </w:rPr>
              <w:t>sinonasal</w:t>
            </w:r>
            <w:proofErr w:type="spellEnd"/>
            <w:r w:rsidRPr="000F6C7E">
              <w:rPr>
                <w:rFonts w:ascii="Arial Narrow" w:eastAsia="Times New Roman" w:hAnsi="Arial Narrow" w:cs="Arial"/>
                <w:sz w:val="20"/>
                <w:szCs w:val="20"/>
              </w:rPr>
              <w:t xml:space="preserve"> disease requiring recurrent surgical interventions </w:t>
            </w:r>
          </w:p>
          <w:p w:rsidR="00032DD4" w:rsidRPr="000F6C7E" w:rsidRDefault="00032DD4" w:rsidP="00032DD4">
            <w:pPr>
              <w:numPr>
                <w:ilvl w:val="0"/>
                <w:numId w:val="9"/>
              </w:numPr>
              <w:spacing w:before="75" w:after="75"/>
              <w:ind w:left="79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Meningitis, organic confusion, seizures, stroke, cord lesion, cranial nerve palsy, sensory peripheral neuropathy, motor </w:t>
            </w:r>
            <w:proofErr w:type="spellStart"/>
            <w:r w:rsidRPr="000F6C7E">
              <w:rPr>
                <w:rFonts w:ascii="Arial Narrow" w:eastAsia="Times New Roman" w:hAnsi="Arial Narrow" w:cs="Arial"/>
                <w:sz w:val="20"/>
                <w:szCs w:val="20"/>
              </w:rPr>
              <w:t>mononeuritis</w:t>
            </w:r>
            <w:proofErr w:type="spellEnd"/>
            <w:r w:rsidRPr="000F6C7E">
              <w:rPr>
                <w:rFonts w:ascii="Arial Narrow" w:eastAsia="Times New Roman" w:hAnsi="Arial Narrow" w:cs="Arial"/>
                <w:sz w:val="20"/>
                <w:szCs w:val="20"/>
              </w:rPr>
              <w:t xml:space="preserve"> multiplex </w:t>
            </w:r>
          </w:p>
          <w:p w:rsidR="00032DD4" w:rsidRPr="000F6C7E" w:rsidRDefault="00032DD4" w:rsidP="00104651">
            <w:pPr>
              <w:pStyle w:val="NormalWeb"/>
              <w:rPr>
                <w:rFonts w:ascii="Arial Narrow" w:hAnsi="Arial Narrow" w:cs="Arial"/>
                <w:sz w:val="20"/>
              </w:rPr>
            </w:pPr>
            <w:r w:rsidRPr="000F6C7E">
              <w:rPr>
                <w:rFonts w:ascii="Arial Narrow" w:hAnsi="Arial Narrow" w:cs="Arial"/>
                <w:sz w:val="20"/>
              </w:rPr>
              <w:t xml:space="preserve">Patients could be considered contraindicated, refractory or unable to tolerate cyclophosphamide for one of the following reasons: </w:t>
            </w:r>
          </w:p>
          <w:p w:rsidR="00032DD4" w:rsidRPr="000F6C7E" w:rsidRDefault="00032DD4" w:rsidP="00032DD4">
            <w:pPr>
              <w:pStyle w:val="NormalWeb"/>
              <w:numPr>
                <w:ilvl w:val="0"/>
                <w:numId w:val="7"/>
              </w:numPr>
              <w:spacing w:before="75" w:after="75"/>
              <w:ind w:left="795" w:right="75"/>
              <w:rPr>
                <w:rFonts w:ascii="Arial Narrow" w:hAnsi="Arial Narrow" w:cs="Arial"/>
                <w:sz w:val="20"/>
              </w:rPr>
            </w:pPr>
            <w:r w:rsidRPr="000F6C7E">
              <w:rPr>
                <w:rFonts w:ascii="Arial Narrow" w:hAnsi="Arial Narrow" w:cs="Arial"/>
                <w:sz w:val="20"/>
              </w:rPr>
              <w:t>Cyclophosphamide is contraindicated as per the TGA approved Product Information;</w:t>
            </w:r>
          </w:p>
          <w:p w:rsidR="00032DD4" w:rsidRPr="000F6C7E" w:rsidRDefault="00032DD4" w:rsidP="00032DD4">
            <w:pPr>
              <w:pStyle w:val="NormalWeb"/>
              <w:numPr>
                <w:ilvl w:val="0"/>
                <w:numId w:val="7"/>
              </w:numPr>
              <w:spacing w:before="75" w:after="75"/>
              <w:ind w:left="795" w:right="75"/>
              <w:rPr>
                <w:rFonts w:ascii="Arial Narrow" w:hAnsi="Arial Narrow" w:cs="Arial"/>
                <w:sz w:val="20"/>
              </w:rPr>
            </w:pPr>
            <w:r w:rsidRPr="000F6C7E">
              <w:rPr>
                <w:rFonts w:ascii="Arial Narrow" w:hAnsi="Arial Narrow" w:cs="Arial"/>
                <w:sz w:val="20"/>
              </w:rPr>
              <w:t>Cyclophosphamide is not recommended due to the need to preserve gonad function;</w:t>
            </w:r>
          </w:p>
          <w:p w:rsidR="00032DD4" w:rsidRPr="000F6C7E" w:rsidRDefault="00032DD4" w:rsidP="00032DD4">
            <w:pPr>
              <w:pStyle w:val="NormalWeb"/>
              <w:numPr>
                <w:ilvl w:val="0"/>
                <w:numId w:val="7"/>
              </w:numPr>
              <w:spacing w:before="75" w:after="75"/>
              <w:ind w:left="795" w:right="75"/>
              <w:rPr>
                <w:rFonts w:ascii="Arial Narrow" w:hAnsi="Arial Narrow" w:cs="Arial"/>
                <w:sz w:val="20"/>
              </w:rPr>
            </w:pPr>
            <w:r w:rsidRPr="000F6C7E">
              <w:rPr>
                <w:rFonts w:ascii="Arial Narrow" w:hAnsi="Arial Narrow" w:cs="Arial"/>
                <w:sz w:val="20"/>
              </w:rPr>
              <w:t>Patient experiences severe toxicity to cyclophosphamide that warrants cessation of treatment;</w:t>
            </w:r>
          </w:p>
          <w:p w:rsidR="00032DD4" w:rsidRPr="000F6C7E" w:rsidRDefault="00032DD4" w:rsidP="00032DD4">
            <w:pPr>
              <w:pStyle w:val="NormalWeb"/>
              <w:numPr>
                <w:ilvl w:val="0"/>
                <w:numId w:val="7"/>
              </w:numPr>
              <w:spacing w:before="75" w:after="75"/>
              <w:ind w:left="795" w:right="75"/>
              <w:rPr>
                <w:rFonts w:ascii="Arial Narrow" w:hAnsi="Arial Narrow" w:cs="Arial"/>
                <w:sz w:val="20"/>
              </w:rPr>
            </w:pPr>
            <w:r w:rsidRPr="000F6C7E">
              <w:rPr>
                <w:rFonts w:ascii="Arial Narrow" w:hAnsi="Arial Narrow" w:cs="Arial"/>
                <w:sz w:val="20"/>
              </w:rPr>
              <w:t>Patient has life- or organ-threatening deterioration at any time during treatment with cyclophosphamide, where the deterioration is thought to be due to severe uncontrolled active vasculitis;</w:t>
            </w:r>
          </w:p>
          <w:p w:rsidR="00032DD4" w:rsidRPr="000F6C7E" w:rsidRDefault="00032DD4" w:rsidP="00032DD4">
            <w:pPr>
              <w:pStyle w:val="NormalWeb"/>
              <w:numPr>
                <w:ilvl w:val="0"/>
                <w:numId w:val="7"/>
              </w:numPr>
              <w:spacing w:before="75" w:after="75"/>
              <w:ind w:left="795" w:right="75"/>
              <w:rPr>
                <w:rFonts w:ascii="Arial Narrow" w:hAnsi="Arial Narrow" w:cs="Arial"/>
                <w:sz w:val="20"/>
              </w:rPr>
            </w:pPr>
            <w:r w:rsidRPr="000F6C7E">
              <w:rPr>
                <w:rFonts w:ascii="Arial Narrow" w:hAnsi="Arial Narrow" w:cs="Arial"/>
                <w:sz w:val="20"/>
              </w:rPr>
              <w:t xml:space="preserve">Commencing a further treatment cycle with cyclophosphamide would exceed the maximum cumulative dose of cyclophosphamide of 25g; or </w:t>
            </w:r>
          </w:p>
          <w:p w:rsidR="00032DD4" w:rsidRPr="000F6C7E" w:rsidRDefault="00032DD4" w:rsidP="00032DD4">
            <w:pPr>
              <w:pStyle w:val="NormalWeb"/>
              <w:numPr>
                <w:ilvl w:val="0"/>
                <w:numId w:val="7"/>
              </w:numPr>
              <w:spacing w:before="75" w:after="75"/>
              <w:ind w:left="795" w:right="75"/>
              <w:rPr>
                <w:rFonts w:ascii="Arial Narrow" w:hAnsi="Arial Narrow" w:cs="Arial"/>
                <w:sz w:val="20"/>
              </w:rPr>
            </w:pPr>
            <w:r w:rsidRPr="000F6C7E">
              <w:rPr>
                <w:rFonts w:ascii="Arial Narrow" w:hAnsi="Arial Narrow" w:cs="Arial"/>
                <w:sz w:val="20"/>
              </w:rPr>
              <w:t xml:space="preserve">Patient’s condition with this indication is persistent despite at least 3 months therapy with cyclophosphamide. </w:t>
            </w:r>
          </w:p>
          <w:p w:rsidR="00032DD4" w:rsidRPr="000F6C7E" w:rsidRDefault="00032DD4" w:rsidP="00104651">
            <w:pPr>
              <w:spacing w:before="75" w:after="75"/>
              <w:ind w:left="7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Any queries concerning the arrangements to prescribe may be directed to the Department of Human Services on 1800 700 270 (hours of operation 8 a.m. to 5 p.m. EST Monday to Friday). </w:t>
            </w:r>
          </w:p>
          <w:p w:rsidR="00032DD4" w:rsidRPr="000F6C7E" w:rsidRDefault="00032DD4" w:rsidP="00104651">
            <w:pPr>
              <w:spacing w:before="75" w:after="75"/>
              <w:ind w:left="75" w:right="75"/>
              <w:rPr>
                <w:rFonts w:ascii="Arial Narrow" w:eastAsia="Times New Roman" w:hAnsi="Arial Narrow" w:cs="Arial"/>
                <w:sz w:val="20"/>
                <w:szCs w:val="20"/>
              </w:rPr>
            </w:pPr>
            <w:r w:rsidRPr="000F6C7E">
              <w:rPr>
                <w:rFonts w:ascii="Arial Narrow" w:eastAsia="Times New Roman" w:hAnsi="Arial Narrow" w:cs="Arial"/>
                <w:sz w:val="20"/>
                <w:szCs w:val="20"/>
              </w:rPr>
              <w:t>Prescribing information (including Authority Application forms and other relevant documentation as applicable) is available on the Department of Human Services website at www.humanservices.gov.au</w:t>
            </w:r>
          </w:p>
          <w:p w:rsidR="00032DD4" w:rsidRPr="000F6C7E" w:rsidRDefault="00032DD4" w:rsidP="00104651">
            <w:pPr>
              <w:spacing w:before="75" w:after="75"/>
              <w:ind w:left="75" w:right="75"/>
              <w:rPr>
                <w:rFonts w:ascii="Arial Narrow" w:eastAsia="Times New Roman" w:hAnsi="Arial Narrow" w:cs="Arial"/>
                <w:sz w:val="20"/>
                <w:szCs w:val="20"/>
              </w:rPr>
            </w:pPr>
            <w:r w:rsidRPr="000F6C7E">
              <w:rPr>
                <w:rFonts w:ascii="Arial Narrow" w:eastAsia="Times New Roman" w:hAnsi="Arial Narrow" w:cs="Arial"/>
                <w:sz w:val="20"/>
                <w:szCs w:val="20"/>
              </w:rPr>
              <w:t>Applications for authority to prescribe should be forwarded to:</w:t>
            </w:r>
          </w:p>
          <w:p w:rsidR="00032DD4" w:rsidRPr="000F6C7E" w:rsidRDefault="00032DD4" w:rsidP="00104651">
            <w:pPr>
              <w:spacing w:before="75" w:after="75"/>
              <w:ind w:left="75" w:right="75"/>
              <w:rPr>
                <w:rFonts w:ascii="Arial Narrow" w:eastAsia="Times New Roman" w:hAnsi="Arial Narrow" w:cs="Arial"/>
                <w:sz w:val="20"/>
                <w:szCs w:val="20"/>
              </w:rPr>
            </w:pPr>
            <w:r w:rsidRPr="000F6C7E">
              <w:rPr>
                <w:rFonts w:ascii="Arial Narrow" w:eastAsia="Times New Roman" w:hAnsi="Arial Narrow" w:cs="Arial"/>
                <w:sz w:val="20"/>
                <w:szCs w:val="20"/>
              </w:rPr>
              <w:t xml:space="preserve">Department of Human Services </w:t>
            </w:r>
          </w:p>
          <w:p w:rsidR="00032DD4" w:rsidRPr="000F6C7E" w:rsidRDefault="00032DD4" w:rsidP="00104651">
            <w:pPr>
              <w:spacing w:before="75" w:after="75"/>
              <w:ind w:left="75" w:right="75"/>
              <w:rPr>
                <w:rFonts w:ascii="Arial Narrow" w:eastAsia="Times New Roman" w:hAnsi="Arial Narrow" w:cs="Arial"/>
                <w:sz w:val="20"/>
                <w:szCs w:val="20"/>
              </w:rPr>
            </w:pPr>
            <w:r w:rsidRPr="000F6C7E">
              <w:rPr>
                <w:rFonts w:ascii="Arial Narrow" w:eastAsia="Times New Roman" w:hAnsi="Arial Narrow" w:cs="Arial"/>
                <w:sz w:val="20"/>
                <w:szCs w:val="20"/>
              </w:rPr>
              <w:t>Prior Written Approval of Complex Drugs</w:t>
            </w:r>
          </w:p>
          <w:p w:rsidR="00032DD4" w:rsidRPr="000F6C7E" w:rsidRDefault="00032DD4" w:rsidP="00104651">
            <w:pPr>
              <w:spacing w:before="75" w:after="75"/>
              <w:ind w:left="75" w:right="75"/>
              <w:rPr>
                <w:rFonts w:ascii="Arial Narrow" w:eastAsia="Times New Roman" w:hAnsi="Arial Narrow" w:cs="Arial"/>
                <w:sz w:val="20"/>
                <w:szCs w:val="20"/>
              </w:rPr>
            </w:pPr>
            <w:r w:rsidRPr="000F6C7E">
              <w:rPr>
                <w:rFonts w:ascii="Arial Narrow" w:eastAsia="Times New Roman" w:hAnsi="Arial Narrow" w:cs="Arial"/>
                <w:sz w:val="20"/>
                <w:szCs w:val="20"/>
              </w:rPr>
              <w:t>Reply Paid 9826</w:t>
            </w:r>
          </w:p>
          <w:p w:rsidR="00032DD4" w:rsidRPr="000F6C7E" w:rsidRDefault="00032DD4" w:rsidP="00104651">
            <w:pPr>
              <w:spacing w:before="75" w:after="75"/>
              <w:ind w:left="75" w:right="75"/>
              <w:rPr>
                <w:rFonts w:ascii="Arial Narrow" w:eastAsia="Times New Roman" w:hAnsi="Arial Narrow" w:cs="Arial"/>
                <w:sz w:val="20"/>
                <w:szCs w:val="20"/>
              </w:rPr>
            </w:pPr>
            <w:r w:rsidRPr="000F6C7E">
              <w:rPr>
                <w:rFonts w:ascii="Arial Narrow" w:eastAsia="Times New Roman" w:hAnsi="Arial Narrow" w:cs="Arial"/>
                <w:sz w:val="20"/>
                <w:szCs w:val="20"/>
              </w:rPr>
              <w:t>HOBART TAS 7001</w:t>
            </w:r>
          </w:p>
          <w:p w:rsidR="00032DD4" w:rsidRPr="000F6C7E" w:rsidRDefault="00032DD4" w:rsidP="00104651">
            <w:pPr>
              <w:pStyle w:val="NormalWeb"/>
              <w:rPr>
                <w:rFonts w:ascii="Arial Narrow" w:hAnsi="Arial Narrow" w:cs="Arial"/>
                <w:sz w:val="20"/>
              </w:rPr>
            </w:pPr>
            <w:r w:rsidRPr="000F6C7E">
              <w:rPr>
                <w:rFonts w:ascii="Arial Narrow" w:hAnsi="Arial Narrow" w:cs="Arial"/>
                <w:sz w:val="20"/>
              </w:rPr>
              <w:t>At the time of authority application, medical practitioners must request the appropriate number of vials to provide sufficient drug for four weeks of treatment.</w:t>
            </w:r>
          </w:p>
        </w:tc>
      </w:tr>
    </w:tbl>
    <w:p w:rsidR="00CF61DC" w:rsidRDefault="00CF61DC" w:rsidP="0070008D">
      <w:pPr>
        <w:spacing w:line="480" w:lineRule="auto"/>
      </w:pPr>
    </w:p>
    <w:p w:rsidR="0070008D" w:rsidRDefault="0070008D">
      <w:pPr>
        <w:rPr>
          <w:rFonts w:ascii="Arial" w:hAnsi="Arial"/>
          <w:b/>
          <w:sz w:val="22"/>
          <w:szCs w:val="22"/>
        </w:rPr>
      </w:pPr>
      <w:r>
        <w:br w:type="page"/>
      </w:r>
    </w:p>
    <w:p w:rsidR="00CF61DC" w:rsidRPr="00085A26" w:rsidRDefault="00CF61DC" w:rsidP="0070008D">
      <w:pPr>
        <w:pStyle w:val="Heading1"/>
      </w:pPr>
      <w:r w:rsidRPr="00085A26">
        <w:lastRenderedPageBreak/>
        <w:t>Context for Decision</w:t>
      </w:r>
    </w:p>
    <w:p w:rsidR="00CF61DC" w:rsidRPr="00B9097C" w:rsidRDefault="00CF61DC" w:rsidP="00CF61DC">
      <w:pPr>
        <w:ind w:left="720"/>
        <w:contextualSpacing/>
        <w:rPr>
          <w:b/>
        </w:rPr>
      </w:pPr>
    </w:p>
    <w:p w:rsidR="00CF61DC" w:rsidRPr="00085A26" w:rsidRDefault="00CF61DC" w:rsidP="00CF61DC">
      <w:pPr>
        <w:ind w:left="720"/>
        <w:rPr>
          <w:rFonts w:ascii="Arial" w:eastAsia="Times New Roman" w:hAnsi="Arial" w:cs="Arial"/>
          <w:sz w:val="22"/>
          <w:szCs w:val="22"/>
        </w:rPr>
      </w:pPr>
      <w:r w:rsidRPr="00085A26">
        <w:rPr>
          <w:rFonts w:ascii="Arial" w:eastAsia="Times New Roman"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F61DC" w:rsidRPr="00B9097C" w:rsidRDefault="00CF61DC" w:rsidP="00CF61DC"/>
    <w:p w:rsidR="00CF61DC" w:rsidRPr="00085A26" w:rsidRDefault="00CF61DC" w:rsidP="0070008D">
      <w:pPr>
        <w:pStyle w:val="Heading1"/>
      </w:pPr>
      <w:r w:rsidRPr="00085A26">
        <w:t>Sponsor’s Comment</w:t>
      </w:r>
    </w:p>
    <w:p w:rsidR="00CF61DC" w:rsidRPr="00B9097C" w:rsidRDefault="00CF61DC" w:rsidP="00CF61DC">
      <w:pPr>
        <w:tabs>
          <w:tab w:val="left" w:pos="2940"/>
        </w:tabs>
        <w:rPr>
          <w:szCs w:val="22"/>
        </w:rPr>
      </w:pPr>
    </w:p>
    <w:p w:rsidR="00A2458C" w:rsidRPr="000E4023" w:rsidRDefault="00A2458C" w:rsidP="00A2458C">
      <w:pPr>
        <w:ind w:left="720"/>
        <w:jc w:val="both"/>
        <w:rPr>
          <w:rFonts w:ascii="Arial" w:hAnsi="Arial" w:cs="Arial"/>
          <w:sz w:val="22"/>
        </w:rPr>
      </w:pPr>
      <w:r w:rsidRPr="000E4023">
        <w:rPr>
          <w:rFonts w:ascii="Arial" w:hAnsi="Arial" w:cs="Arial"/>
          <w:sz w:val="22"/>
        </w:rPr>
        <w:t>Roche agrees with the PBAC’s decision to add the rituximab 100 mg/10 mL injection to the PBS listing for patients with severe, active GPA/MPA.</w:t>
      </w:r>
    </w:p>
    <w:p w:rsidR="00CF61DC" w:rsidRPr="00032DD4" w:rsidRDefault="00CF61DC" w:rsidP="00032DD4">
      <w:pPr>
        <w:jc w:val="both"/>
        <w:rPr>
          <w:rFonts w:ascii="Arial" w:hAnsi="Arial" w:cs="Arial"/>
        </w:rPr>
      </w:pPr>
    </w:p>
    <w:sectPr w:rsidR="00CF61DC" w:rsidRPr="00032DD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024" w:rsidRDefault="00DA1024" w:rsidP="0088348D">
      <w:r>
        <w:separator/>
      </w:r>
    </w:p>
  </w:endnote>
  <w:endnote w:type="continuationSeparator" w:id="0">
    <w:p w:rsidR="00DA1024" w:rsidRDefault="00DA1024" w:rsidP="0088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717181"/>
      <w:docPartObj>
        <w:docPartGallery w:val="Page Numbers (Bottom of Page)"/>
        <w:docPartUnique/>
      </w:docPartObj>
    </w:sdtPr>
    <w:sdtEndPr>
      <w:rPr>
        <w:noProof/>
      </w:rPr>
    </w:sdtEndPr>
    <w:sdtContent>
      <w:p w:rsidR="0088348D" w:rsidRDefault="0088348D">
        <w:pPr>
          <w:pStyle w:val="Footer"/>
          <w:jc w:val="center"/>
        </w:pPr>
        <w:r>
          <w:fldChar w:fldCharType="begin"/>
        </w:r>
        <w:r>
          <w:instrText xml:space="preserve"> PAGE   \* MERGEFORMAT </w:instrText>
        </w:r>
        <w:r>
          <w:fldChar w:fldCharType="separate"/>
        </w:r>
        <w:r w:rsidR="0081513B">
          <w:rPr>
            <w:noProof/>
          </w:rPr>
          <w:t>1</w:t>
        </w:r>
        <w:r>
          <w:rPr>
            <w:noProof/>
          </w:rPr>
          <w:fldChar w:fldCharType="end"/>
        </w:r>
      </w:p>
    </w:sdtContent>
  </w:sdt>
  <w:p w:rsidR="0088348D" w:rsidRDefault="00883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024" w:rsidRDefault="00DA1024" w:rsidP="0088348D">
      <w:r>
        <w:separator/>
      </w:r>
    </w:p>
  </w:footnote>
  <w:footnote w:type="continuationSeparator" w:id="0">
    <w:p w:rsidR="00DA1024" w:rsidRDefault="00DA1024" w:rsidP="00883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1DC" w:rsidRPr="00085A26" w:rsidRDefault="00CF61DC" w:rsidP="00CF61DC">
    <w:pPr>
      <w:pStyle w:val="Header"/>
      <w:jc w:val="center"/>
      <w:rPr>
        <w:rFonts w:ascii="Arial" w:hAnsi="Arial" w:cs="Arial"/>
        <w:sz w:val="22"/>
        <w:szCs w:val="22"/>
      </w:rPr>
    </w:pPr>
    <w:r w:rsidRPr="00085A26">
      <w:rPr>
        <w:rFonts w:ascii="Arial" w:hAnsi="Arial" w:cs="Arial"/>
        <w:i/>
        <w:color w:val="808080"/>
        <w:sz w:val="22"/>
        <w:szCs w:val="22"/>
      </w:rPr>
      <w:t>Public Summary Document – November 2015 PBAC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DB7"/>
    <w:multiLevelType w:val="multilevel"/>
    <w:tmpl w:val="8AA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34920"/>
    <w:multiLevelType w:val="multilevel"/>
    <w:tmpl w:val="1B6E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547EA"/>
    <w:multiLevelType w:val="multilevel"/>
    <w:tmpl w:val="61DE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D4F74"/>
    <w:multiLevelType w:val="multilevel"/>
    <w:tmpl w:val="D66C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A015FD"/>
    <w:multiLevelType w:val="multilevel"/>
    <w:tmpl w:val="71A2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4409C"/>
    <w:multiLevelType w:val="multilevel"/>
    <w:tmpl w:val="DA12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A4A0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24667BF"/>
    <w:multiLevelType w:val="multilevel"/>
    <w:tmpl w:val="4AFE6CF0"/>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746649A5"/>
    <w:multiLevelType w:val="multilevel"/>
    <w:tmpl w:val="21D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5"/>
  </w:num>
  <w:num w:numId="5">
    <w:abstractNumId w:val="8"/>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A"/>
    <w:rsid w:val="00005E53"/>
    <w:rsid w:val="00032DD4"/>
    <w:rsid w:val="000C6604"/>
    <w:rsid w:val="000D6739"/>
    <w:rsid w:val="000E4023"/>
    <w:rsid w:val="0015538D"/>
    <w:rsid w:val="001B3443"/>
    <w:rsid w:val="00286792"/>
    <w:rsid w:val="002879CB"/>
    <w:rsid w:val="002A3C6C"/>
    <w:rsid w:val="0030786C"/>
    <w:rsid w:val="0043497A"/>
    <w:rsid w:val="0048034C"/>
    <w:rsid w:val="004867E2"/>
    <w:rsid w:val="00647F66"/>
    <w:rsid w:val="00665646"/>
    <w:rsid w:val="006C71EC"/>
    <w:rsid w:val="006D13CD"/>
    <w:rsid w:val="0070008D"/>
    <w:rsid w:val="007A77F9"/>
    <w:rsid w:val="0081513B"/>
    <w:rsid w:val="008264EB"/>
    <w:rsid w:val="0088348D"/>
    <w:rsid w:val="009259D1"/>
    <w:rsid w:val="00982AAD"/>
    <w:rsid w:val="009B5EEF"/>
    <w:rsid w:val="009F5959"/>
    <w:rsid w:val="00A2458C"/>
    <w:rsid w:val="00A56993"/>
    <w:rsid w:val="00A70B6D"/>
    <w:rsid w:val="00AB1EC5"/>
    <w:rsid w:val="00AE73DD"/>
    <w:rsid w:val="00B42851"/>
    <w:rsid w:val="00C37AE1"/>
    <w:rsid w:val="00C56871"/>
    <w:rsid w:val="00C60FCD"/>
    <w:rsid w:val="00CB5B1A"/>
    <w:rsid w:val="00CF087C"/>
    <w:rsid w:val="00CF61DC"/>
    <w:rsid w:val="00D034BA"/>
    <w:rsid w:val="00DA1024"/>
    <w:rsid w:val="00DB7B22"/>
    <w:rsid w:val="00EF4810"/>
    <w:rsid w:val="00EF5151"/>
    <w:rsid w:val="00F3599A"/>
    <w:rsid w:val="00FD7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0CA"/>
    <w:rPr>
      <w:rFonts w:eastAsiaTheme="minorEastAsia"/>
      <w:sz w:val="24"/>
      <w:szCs w:val="24"/>
    </w:rPr>
  </w:style>
  <w:style w:type="paragraph" w:styleId="Heading1">
    <w:name w:val="heading 1"/>
    <w:basedOn w:val="ListParagraph"/>
    <w:next w:val="Normal"/>
    <w:qFormat/>
    <w:rsid w:val="0070008D"/>
    <w:pPr>
      <w:numPr>
        <w:numId w:val="1"/>
      </w:numPr>
      <w:jc w:val="both"/>
      <w:outlineLvl w:val="0"/>
    </w:pPr>
    <w:rPr>
      <w:rFonts w:ascii="Arial" w:hAnsi="Arial"/>
      <w:b/>
      <w:sz w:val="22"/>
      <w:szCs w:val="22"/>
    </w:rPr>
  </w:style>
  <w:style w:type="paragraph" w:styleId="Heading2">
    <w:name w:val="heading 2"/>
    <w:basedOn w:val="Normal"/>
    <w:next w:val="Normal"/>
    <w:qFormat/>
    <w:rsid w:val="0070008D"/>
    <w:pPr>
      <w:ind w:left="720" w:hanging="720"/>
      <w:jc w:val="both"/>
      <w:outlineLvl w:val="1"/>
    </w:pPr>
    <w:rPr>
      <w:rFonts w:ascii="Arial" w:hAnsi="Arial"/>
      <w:b/>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FD70CA"/>
    <w:pPr>
      <w:ind w:left="720"/>
      <w:contextualSpacing/>
    </w:pPr>
  </w:style>
  <w:style w:type="character" w:styleId="CommentReference">
    <w:name w:val="annotation reference"/>
    <w:aliases w:val="Table Title"/>
    <w:basedOn w:val="DefaultParagraphFont"/>
    <w:uiPriority w:val="99"/>
    <w:qFormat/>
    <w:rsid w:val="002879CB"/>
    <w:rPr>
      <w:sz w:val="16"/>
      <w:szCs w:val="16"/>
    </w:rPr>
  </w:style>
  <w:style w:type="paragraph" w:styleId="CommentText">
    <w:name w:val="annotation text"/>
    <w:basedOn w:val="Normal"/>
    <w:link w:val="CommentTextChar"/>
    <w:rsid w:val="002879CB"/>
    <w:rPr>
      <w:sz w:val="20"/>
      <w:szCs w:val="20"/>
    </w:rPr>
  </w:style>
  <w:style w:type="character" w:customStyle="1" w:styleId="CommentTextChar">
    <w:name w:val="Comment Text Char"/>
    <w:basedOn w:val="DefaultParagraphFont"/>
    <w:link w:val="CommentText"/>
    <w:rsid w:val="002879CB"/>
    <w:rPr>
      <w:rFonts w:eastAsiaTheme="minorEastAsia"/>
    </w:rPr>
  </w:style>
  <w:style w:type="paragraph" w:styleId="CommentSubject">
    <w:name w:val="annotation subject"/>
    <w:basedOn w:val="CommentText"/>
    <w:next w:val="CommentText"/>
    <w:link w:val="CommentSubjectChar"/>
    <w:rsid w:val="002879CB"/>
    <w:rPr>
      <w:b/>
      <w:bCs/>
    </w:rPr>
  </w:style>
  <w:style w:type="character" w:customStyle="1" w:styleId="CommentSubjectChar">
    <w:name w:val="Comment Subject Char"/>
    <w:basedOn w:val="CommentTextChar"/>
    <w:link w:val="CommentSubject"/>
    <w:rsid w:val="002879CB"/>
    <w:rPr>
      <w:rFonts w:eastAsiaTheme="minorEastAsia"/>
      <w:b/>
      <w:bCs/>
    </w:rPr>
  </w:style>
  <w:style w:type="paragraph" w:styleId="BalloonText">
    <w:name w:val="Balloon Text"/>
    <w:basedOn w:val="Normal"/>
    <w:link w:val="BalloonTextChar"/>
    <w:rsid w:val="002879CB"/>
    <w:rPr>
      <w:rFonts w:ascii="Tahoma" w:hAnsi="Tahoma" w:cs="Tahoma"/>
      <w:sz w:val="16"/>
      <w:szCs w:val="16"/>
    </w:rPr>
  </w:style>
  <w:style w:type="character" w:customStyle="1" w:styleId="BalloonTextChar">
    <w:name w:val="Balloon Text Char"/>
    <w:basedOn w:val="DefaultParagraphFont"/>
    <w:link w:val="BalloonText"/>
    <w:rsid w:val="002879CB"/>
    <w:rPr>
      <w:rFonts w:ascii="Tahoma" w:eastAsiaTheme="minorEastAsia" w:hAnsi="Tahoma" w:cs="Tahoma"/>
      <w:sz w:val="16"/>
      <w:szCs w:val="16"/>
    </w:rPr>
  </w:style>
  <w:style w:type="paragraph" w:styleId="Revision">
    <w:name w:val="Revision"/>
    <w:hidden/>
    <w:uiPriority w:val="99"/>
    <w:semiHidden/>
    <w:rsid w:val="0043497A"/>
    <w:rPr>
      <w:rFonts w:eastAsiaTheme="minorEastAsia"/>
      <w:sz w:val="24"/>
      <w:szCs w:val="24"/>
    </w:rPr>
  </w:style>
  <w:style w:type="paragraph" w:styleId="NormalWeb">
    <w:name w:val="Normal (Web)"/>
    <w:basedOn w:val="Normal"/>
    <w:uiPriority w:val="99"/>
    <w:rsid w:val="00982AAD"/>
    <w:pPr>
      <w:spacing w:before="100" w:after="100"/>
    </w:pPr>
    <w:rPr>
      <w:rFonts w:eastAsia="Times New Roman"/>
      <w:szCs w:val="20"/>
      <w:lang w:val="en-GB" w:eastAsia="en-US"/>
    </w:rPr>
  </w:style>
  <w:style w:type="paragraph" w:styleId="Header">
    <w:name w:val="header"/>
    <w:aliases w:val="Page Header,Header title,he=header,cntr/bld"/>
    <w:basedOn w:val="Normal"/>
    <w:link w:val="HeaderChar"/>
    <w:uiPriority w:val="99"/>
    <w:rsid w:val="0088348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88348D"/>
    <w:rPr>
      <w:rFonts w:eastAsiaTheme="minorEastAsia"/>
      <w:sz w:val="24"/>
      <w:szCs w:val="24"/>
    </w:rPr>
  </w:style>
  <w:style w:type="paragraph" w:styleId="Footer">
    <w:name w:val="footer"/>
    <w:basedOn w:val="Normal"/>
    <w:link w:val="FooterChar"/>
    <w:uiPriority w:val="99"/>
    <w:rsid w:val="0088348D"/>
    <w:pPr>
      <w:tabs>
        <w:tab w:val="center" w:pos="4513"/>
        <w:tab w:val="right" w:pos="9026"/>
      </w:tabs>
    </w:pPr>
  </w:style>
  <w:style w:type="character" w:customStyle="1" w:styleId="FooterChar">
    <w:name w:val="Footer Char"/>
    <w:basedOn w:val="DefaultParagraphFont"/>
    <w:link w:val="Footer"/>
    <w:uiPriority w:val="99"/>
    <w:rsid w:val="0088348D"/>
    <w:rPr>
      <w:rFonts w:eastAsiaTheme="minorEastAsia"/>
      <w:sz w:val="24"/>
      <w:szCs w:val="24"/>
    </w:rPr>
  </w:style>
  <w:style w:type="character" w:styleId="PlaceholderText">
    <w:name w:val="Placeholder Text"/>
    <w:basedOn w:val="DefaultParagraphFont"/>
    <w:uiPriority w:val="99"/>
    <w:semiHidden/>
    <w:rsid w:val="00286792"/>
    <w:rPr>
      <w:color w:val="808080"/>
    </w:rPr>
  </w:style>
  <w:style w:type="paragraph" w:styleId="Title">
    <w:name w:val="Title"/>
    <w:basedOn w:val="Normal"/>
    <w:next w:val="Normal"/>
    <w:link w:val="TitleChar"/>
    <w:qFormat/>
    <w:rsid w:val="0070008D"/>
    <w:pPr>
      <w:tabs>
        <w:tab w:val="left" w:pos="720"/>
        <w:tab w:val="left" w:pos="1440"/>
        <w:tab w:val="left" w:pos="2160"/>
        <w:tab w:val="center" w:pos="4153"/>
      </w:tabs>
      <w:outlineLvl w:val="0"/>
    </w:pPr>
    <w:rPr>
      <w:rFonts w:ascii="Arial" w:hAnsi="Arial" w:cs="Arial"/>
      <w:b/>
      <w:sz w:val="28"/>
      <w:szCs w:val="28"/>
    </w:rPr>
  </w:style>
  <w:style w:type="character" w:customStyle="1" w:styleId="TitleChar">
    <w:name w:val="Title Char"/>
    <w:basedOn w:val="DefaultParagraphFont"/>
    <w:link w:val="Title"/>
    <w:rsid w:val="0070008D"/>
    <w:rPr>
      <w:rFonts w:ascii="Arial" w:eastAsiaTheme="minorEastAsia" w:hAnsi="Arial" w:cs="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0CA"/>
    <w:rPr>
      <w:rFonts w:eastAsiaTheme="minorEastAsia"/>
      <w:sz w:val="24"/>
      <w:szCs w:val="24"/>
    </w:rPr>
  </w:style>
  <w:style w:type="paragraph" w:styleId="Heading1">
    <w:name w:val="heading 1"/>
    <w:basedOn w:val="ListParagraph"/>
    <w:next w:val="Normal"/>
    <w:qFormat/>
    <w:rsid w:val="0070008D"/>
    <w:pPr>
      <w:numPr>
        <w:numId w:val="1"/>
      </w:numPr>
      <w:jc w:val="both"/>
      <w:outlineLvl w:val="0"/>
    </w:pPr>
    <w:rPr>
      <w:rFonts w:ascii="Arial" w:hAnsi="Arial"/>
      <w:b/>
      <w:sz w:val="22"/>
      <w:szCs w:val="22"/>
    </w:rPr>
  </w:style>
  <w:style w:type="paragraph" w:styleId="Heading2">
    <w:name w:val="heading 2"/>
    <w:basedOn w:val="Normal"/>
    <w:next w:val="Normal"/>
    <w:qFormat/>
    <w:rsid w:val="0070008D"/>
    <w:pPr>
      <w:ind w:left="720" w:hanging="720"/>
      <w:jc w:val="both"/>
      <w:outlineLvl w:val="1"/>
    </w:pPr>
    <w:rPr>
      <w:rFonts w:ascii="Arial" w:hAnsi="Arial"/>
      <w:b/>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FD70CA"/>
    <w:pPr>
      <w:ind w:left="720"/>
      <w:contextualSpacing/>
    </w:pPr>
  </w:style>
  <w:style w:type="character" w:styleId="CommentReference">
    <w:name w:val="annotation reference"/>
    <w:aliases w:val="Table Title"/>
    <w:basedOn w:val="DefaultParagraphFont"/>
    <w:uiPriority w:val="99"/>
    <w:qFormat/>
    <w:rsid w:val="002879CB"/>
    <w:rPr>
      <w:sz w:val="16"/>
      <w:szCs w:val="16"/>
    </w:rPr>
  </w:style>
  <w:style w:type="paragraph" w:styleId="CommentText">
    <w:name w:val="annotation text"/>
    <w:basedOn w:val="Normal"/>
    <w:link w:val="CommentTextChar"/>
    <w:rsid w:val="002879CB"/>
    <w:rPr>
      <w:sz w:val="20"/>
      <w:szCs w:val="20"/>
    </w:rPr>
  </w:style>
  <w:style w:type="character" w:customStyle="1" w:styleId="CommentTextChar">
    <w:name w:val="Comment Text Char"/>
    <w:basedOn w:val="DefaultParagraphFont"/>
    <w:link w:val="CommentText"/>
    <w:rsid w:val="002879CB"/>
    <w:rPr>
      <w:rFonts w:eastAsiaTheme="minorEastAsia"/>
    </w:rPr>
  </w:style>
  <w:style w:type="paragraph" w:styleId="CommentSubject">
    <w:name w:val="annotation subject"/>
    <w:basedOn w:val="CommentText"/>
    <w:next w:val="CommentText"/>
    <w:link w:val="CommentSubjectChar"/>
    <w:rsid w:val="002879CB"/>
    <w:rPr>
      <w:b/>
      <w:bCs/>
    </w:rPr>
  </w:style>
  <w:style w:type="character" w:customStyle="1" w:styleId="CommentSubjectChar">
    <w:name w:val="Comment Subject Char"/>
    <w:basedOn w:val="CommentTextChar"/>
    <w:link w:val="CommentSubject"/>
    <w:rsid w:val="002879CB"/>
    <w:rPr>
      <w:rFonts w:eastAsiaTheme="minorEastAsia"/>
      <w:b/>
      <w:bCs/>
    </w:rPr>
  </w:style>
  <w:style w:type="paragraph" w:styleId="BalloonText">
    <w:name w:val="Balloon Text"/>
    <w:basedOn w:val="Normal"/>
    <w:link w:val="BalloonTextChar"/>
    <w:rsid w:val="002879CB"/>
    <w:rPr>
      <w:rFonts w:ascii="Tahoma" w:hAnsi="Tahoma" w:cs="Tahoma"/>
      <w:sz w:val="16"/>
      <w:szCs w:val="16"/>
    </w:rPr>
  </w:style>
  <w:style w:type="character" w:customStyle="1" w:styleId="BalloonTextChar">
    <w:name w:val="Balloon Text Char"/>
    <w:basedOn w:val="DefaultParagraphFont"/>
    <w:link w:val="BalloonText"/>
    <w:rsid w:val="002879CB"/>
    <w:rPr>
      <w:rFonts w:ascii="Tahoma" w:eastAsiaTheme="minorEastAsia" w:hAnsi="Tahoma" w:cs="Tahoma"/>
      <w:sz w:val="16"/>
      <w:szCs w:val="16"/>
    </w:rPr>
  </w:style>
  <w:style w:type="paragraph" w:styleId="Revision">
    <w:name w:val="Revision"/>
    <w:hidden/>
    <w:uiPriority w:val="99"/>
    <w:semiHidden/>
    <w:rsid w:val="0043497A"/>
    <w:rPr>
      <w:rFonts w:eastAsiaTheme="minorEastAsia"/>
      <w:sz w:val="24"/>
      <w:szCs w:val="24"/>
    </w:rPr>
  </w:style>
  <w:style w:type="paragraph" w:styleId="NormalWeb">
    <w:name w:val="Normal (Web)"/>
    <w:basedOn w:val="Normal"/>
    <w:uiPriority w:val="99"/>
    <w:rsid w:val="00982AAD"/>
    <w:pPr>
      <w:spacing w:before="100" w:after="100"/>
    </w:pPr>
    <w:rPr>
      <w:rFonts w:eastAsia="Times New Roman"/>
      <w:szCs w:val="20"/>
      <w:lang w:val="en-GB" w:eastAsia="en-US"/>
    </w:rPr>
  </w:style>
  <w:style w:type="paragraph" w:styleId="Header">
    <w:name w:val="header"/>
    <w:aliases w:val="Page Header,Header title,he=header,cntr/bld"/>
    <w:basedOn w:val="Normal"/>
    <w:link w:val="HeaderChar"/>
    <w:uiPriority w:val="99"/>
    <w:rsid w:val="0088348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88348D"/>
    <w:rPr>
      <w:rFonts w:eastAsiaTheme="minorEastAsia"/>
      <w:sz w:val="24"/>
      <w:szCs w:val="24"/>
    </w:rPr>
  </w:style>
  <w:style w:type="paragraph" w:styleId="Footer">
    <w:name w:val="footer"/>
    <w:basedOn w:val="Normal"/>
    <w:link w:val="FooterChar"/>
    <w:uiPriority w:val="99"/>
    <w:rsid w:val="0088348D"/>
    <w:pPr>
      <w:tabs>
        <w:tab w:val="center" w:pos="4513"/>
        <w:tab w:val="right" w:pos="9026"/>
      </w:tabs>
    </w:pPr>
  </w:style>
  <w:style w:type="character" w:customStyle="1" w:styleId="FooterChar">
    <w:name w:val="Footer Char"/>
    <w:basedOn w:val="DefaultParagraphFont"/>
    <w:link w:val="Footer"/>
    <w:uiPriority w:val="99"/>
    <w:rsid w:val="0088348D"/>
    <w:rPr>
      <w:rFonts w:eastAsiaTheme="minorEastAsia"/>
      <w:sz w:val="24"/>
      <w:szCs w:val="24"/>
    </w:rPr>
  </w:style>
  <w:style w:type="character" w:styleId="PlaceholderText">
    <w:name w:val="Placeholder Text"/>
    <w:basedOn w:val="DefaultParagraphFont"/>
    <w:uiPriority w:val="99"/>
    <w:semiHidden/>
    <w:rsid w:val="00286792"/>
    <w:rPr>
      <w:color w:val="808080"/>
    </w:rPr>
  </w:style>
  <w:style w:type="paragraph" w:styleId="Title">
    <w:name w:val="Title"/>
    <w:basedOn w:val="Normal"/>
    <w:next w:val="Normal"/>
    <w:link w:val="TitleChar"/>
    <w:qFormat/>
    <w:rsid w:val="0070008D"/>
    <w:pPr>
      <w:tabs>
        <w:tab w:val="left" w:pos="720"/>
        <w:tab w:val="left" w:pos="1440"/>
        <w:tab w:val="left" w:pos="2160"/>
        <w:tab w:val="center" w:pos="4153"/>
      </w:tabs>
      <w:outlineLvl w:val="0"/>
    </w:pPr>
    <w:rPr>
      <w:rFonts w:ascii="Arial" w:hAnsi="Arial" w:cs="Arial"/>
      <w:b/>
      <w:sz w:val="28"/>
      <w:szCs w:val="28"/>
    </w:rPr>
  </w:style>
  <w:style w:type="character" w:customStyle="1" w:styleId="TitleChar">
    <w:name w:val="Title Char"/>
    <w:basedOn w:val="DefaultParagraphFont"/>
    <w:link w:val="Title"/>
    <w:rsid w:val="0070008D"/>
    <w:rPr>
      <w:rFonts w:ascii="Arial" w:eastAsiaTheme="minorEastAsia"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74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057D3DEC7A4D4A81CD33009EAE8B78"/>
        <w:category>
          <w:name w:val="General"/>
          <w:gallery w:val="placeholder"/>
        </w:category>
        <w:types>
          <w:type w:val="bbPlcHdr"/>
        </w:types>
        <w:behaviors>
          <w:behavior w:val="content"/>
        </w:behaviors>
        <w:guid w:val="{6D301311-C687-4398-BEA3-C9685C4F9556}"/>
      </w:docPartPr>
      <w:docPartBody>
        <w:p w:rsidR="00386FA3" w:rsidRDefault="00CF45AE">
          <w:r w:rsidRPr="00F718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AE"/>
    <w:rsid w:val="00073ED4"/>
    <w:rsid w:val="00385E98"/>
    <w:rsid w:val="00386FA3"/>
    <w:rsid w:val="006C4E84"/>
    <w:rsid w:val="00AC6EE9"/>
    <w:rsid w:val="00CF45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5A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5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2238</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14.2	RITUXIMAB</vt:lpstr>
    </vt:vector>
  </TitlesOfParts>
  <LinksUpToDate>false</LinksUpToDate>
  <CharactersWithSpaces>16623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	RITUXIMAB</dc:title>
  <dc:creator/>
  <cp:lastModifiedBy/>
  <cp:revision>1</cp:revision>
  <dcterms:created xsi:type="dcterms:W3CDTF">2016-03-03T04:26:00Z</dcterms:created>
  <dcterms:modified xsi:type="dcterms:W3CDTF">2016-03-03T04:31:00Z</dcterms:modified>
</cp:coreProperties>
</file>