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F5" w:rsidRPr="00453A20" w:rsidRDefault="00E3299B" w:rsidP="00195589">
      <w:pPr>
        <w:pStyle w:val="Title"/>
        <w:ind w:left="0"/>
        <w:rPr>
          <w:sz w:val="28"/>
          <w:szCs w:val="28"/>
        </w:rPr>
      </w:pPr>
      <w:bookmarkStart w:id="0" w:name="_Toc429176333"/>
      <w:bookmarkStart w:id="1" w:name="_Toc429395746"/>
      <w:bookmarkStart w:id="2" w:name="_Toc430075654"/>
      <w:bookmarkStart w:id="3" w:name="_Toc380679747"/>
      <w:bookmarkStart w:id="4" w:name="_Toc380742604"/>
      <w:bookmarkStart w:id="5" w:name="_Toc380746171"/>
      <w:bookmarkStart w:id="6" w:name="_Toc380746294"/>
      <w:bookmarkStart w:id="7" w:name="_Toc380746578"/>
      <w:r w:rsidRPr="00453A20">
        <w:rPr>
          <w:sz w:val="28"/>
          <w:szCs w:val="28"/>
        </w:rPr>
        <w:t>5</w:t>
      </w:r>
      <w:r w:rsidR="00301E4C" w:rsidRPr="00453A20">
        <w:rPr>
          <w:sz w:val="28"/>
          <w:szCs w:val="28"/>
        </w:rPr>
        <w:t>.</w:t>
      </w:r>
      <w:r w:rsidRPr="00453A20">
        <w:rPr>
          <w:sz w:val="28"/>
          <w:szCs w:val="28"/>
        </w:rPr>
        <w:t>1</w:t>
      </w:r>
      <w:r w:rsidR="0036661A" w:rsidRPr="00453A20">
        <w:rPr>
          <w:sz w:val="28"/>
          <w:szCs w:val="28"/>
        </w:rPr>
        <w:t>2</w:t>
      </w:r>
      <w:r w:rsidR="005567F5" w:rsidRPr="00453A20">
        <w:rPr>
          <w:sz w:val="28"/>
          <w:szCs w:val="28"/>
        </w:rPr>
        <w:tab/>
        <w:t>PIRFENIDONE</w:t>
      </w:r>
      <w:r w:rsidR="00301E4C" w:rsidRPr="00453A20">
        <w:rPr>
          <w:sz w:val="28"/>
          <w:szCs w:val="28"/>
        </w:rPr>
        <w:t xml:space="preserve"> </w:t>
      </w:r>
    </w:p>
    <w:p w:rsidR="005567F5" w:rsidRPr="00453A20" w:rsidRDefault="00301E4C" w:rsidP="00195589">
      <w:pPr>
        <w:pStyle w:val="Title"/>
        <w:rPr>
          <w:sz w:val="28"/>
        </w:rPr>
      </w:pPr>
      <w:r w:rsidRPr="00453A20">
        <w:rPr>
          <w:sz w:val="28"/>
        </w:rPr>
        <w:t>267</w:t>
      </w:r>
      <w:r w:rsidR="003E28D0" w:rsidRPr="00453A20">
        <w:rPr>
          <w:rFonts w:hint="eastAsia"/>
          <w:sz w:val="28"/>
        </w:rPr>
        <w:t> </w:t>
      </w:r>
      <w:r w:rsidRPr="00453A20">
        <w:rPr>
          <w:sz w:val="28"/>
        </w:rPr>
        <w:t xml:space="preserve">MG CAPSULE, 270, </w:t>
      </w:r>
    </w:p>
    <w:p w:rsidR="00301E4C" w:rsidRPr="00453A20" w:rsidRDefault="00301E4C" w:rsidP="00195589">
      <w:pPr>
        <w:pStyle w:val="Title"/>
        <w:rPr>
          <w:sz w:val="28"/>
        </w:rPr>
      </w:pPr>
      <w:proofErr w:type="gramStart"/>
      <w:r w:rsidRPr="00453A20">
        <w:rPr>
          <w:sz w:val="28"/>
        </w:rPr>
        <w:t>ESBRIET®, ROCHE PRODUCTS PTY LTD.</w:t>
      </w:r>
      <w:bookmarkEnd w:id="0"/>
      <w:bookmarkEnd w:id="1"/>
      <w:bookmarkEnd w:id="2"/>
      <w:proofErr w:type="gramEnd"/>
    </w:p>
    <w:p w:rsidR="00D26C8A" w:rsidRPr="00D26C8A" w:rsidRDefault="00D26C8A" w:rsidP="00195589">
      <w:pPr>
        <w:spacing w:line="480" w:lineRule="auto"/>
      </w:pPr>
    </w:p>
    <w:p w:rsidR="00301E4C" w:rsidRPr="00195589" w:rsidRDefault="00301E4C" w:rsidP="00195589">
      <w:pPr>
        <w:pStyle w:val="Heading1"/>
      </w:pPr>
      <w:bookmarkStart w:id="8" w:name="_Toc429176335"/>
      <w:bookmarkStart w:id="9" w:name="_Toc429395748"/>
      <w:bookmarkStart w:id="10" w:name="_Toc430075656"/>
      <w:r w:rsidRPr="00195589">
        <w:t>Purpose of Application</w:t>
      </w:r>
      <w:bookmarkEnd w:id="8"/>
      <w:bookmarkEnd w:id="9"/>
      <w:bookmarkEnd w:id="10"/>
    </w:p>
    <w:p w:rsidR="00301E4C" w:rsidRPr="00882085" w:rsidRDefault="00301E4C" w:rsidP="00301E4C">
      <w:pPr>
        <w:rPr>
          <w:szCs w:val="22"/>
        </w:rPr>
      </w:pPr>
    </w:p>
    <w:p w:rsidR="00E12A1A" w:rsidRPr="00EE6E2C" w:rsidRDefault="00301E4C" w:rsidP="00B9372F">
      <w:pPr>
        <w:pStyle w:val="ListParagraph"/>
        <w:widowControl/>
        <w:numPr>
          <w:ilvl w:val="1"/>
          <w:numId w:val="2"/>
        </w:numPr>
      </w:pPr>
      <w:r w:rsidRPr="00EE6E2C">
        <w:t xml:space="preserve">Authority required listing (initial treatment: section 100 – HSD; continuing treatment: section 100 – HSD (Community Access) or Section 85) for </w:t>
      </w:r>
      <w:proofErr w:type="spellStart"/>
      <w:r w:rsidRPr="00EE6E2C">
        <w:t>pirfenidone</w:t>
      </w:r>
      <w:proofErr w:type="spellEnd"/>
      <w:r w:rsidRPr="00EE6E2C">
        <w:t xml:space="preserve"> for treatment of idiopathic pulmonary fibrosis (IPF).  The submission proposed that only the initial listing be under the affiliation of a specialist hospital unit and following the establishment of an accurate IPF diagnosis via a multidisciplinary team, prescribing and dispens</w:t>
      </w:r>
      <w:r w:rsidR="003E28D0">
        <w:t>ing can occur in the community.</w:t>
      </w:r>
    </w:p>
    <w:p w:rsidR="00E12A1A" w:rsidRPr="00EE6E2C" w:rsidRDefault="00E12A1A" w:rsidP="00E12A1A">
      <w:pPr>
        <w:widowControl/>
      </w:pPr>
    </w:p>
    <w:p w:rsidR="00301E4C" w:rsidRPr="00EE6E2C" w:rsidRDefault="00E12A1A" w:rsidP="00B9372F">
      <w:pPr>
        <w:pStyle w:val="ListParagraph"/>
        <w:widowControl/>
        <w:numPr>
          <w:ilvl w:val="1"/>
          <w:numId w:val="2"/>
        </w:numPr>
      </w:pPr>
      <w:r w:rsidRPr="00EE6E2C">
        <w:t>Accurate diagnosis of IPF is important as some treatments (</w:t>
      </w:r>
      <w:proofErr w:type="spellStart"/>
      <w:r w:rsidRPr="00EE6E2C">
        <w:t>eg</w:t>
      </w:r>
      <w:proofErr w:type="spellEnd"/>
      <w:r w:rsidRPr="00EE6E2C">
        <w:t xml:space="preserve"> corticosteroids) can be harmful. The multidisciplinary team described in the Prescriber instruction in the restriction needs careful consideration</w:t>
      </w:r>
      <w:r w:rsidR="00071F8F" w:rsidRPr="00EE6E2C">
        <w:t xml:space="preserve"> as to whether it is sufficiently detailed to prevent misdiagnosis.</w:t>
      </w:r>
    </w:p>
    <w:p w:rsidR="00301E4C" w:rsidRDefault="00301E4C" w:rsidP="00195589">
      <w:pPr>
        <w:spacing w:line="480" w:lineRule="auto"/>
      </w:pPr>
    </w:p>
    <w:p w:rsidR="00301E4C" w:rsidRDefault="00301E4C" w:rsidP="00195589">
      <w:pPr>
        <w:pStyle w:val="Heading1"/>
      </w:pPr>
      <w:bookmarkStart w:id="11" w:name="_Toc429176336"/>
      <w:bookmarkStart w:id="12" w:name="_Toc429395749"/>
      <w:bookmarkStart w:id="13" w:name="_Toc430075657"/>
      <w:r w:rsidRPr="00407F2D">
        <w:t>Requested listing</w:t>
      </w:r>
      <w:bookmarkEnd w:id="11"/>
      <w:bookmarkEnd w:id="12"/>
      <w:bookmarkEnd w:id="13"/>
    </w:p>
    <w:p w:rsidR="003D2EAC" w:rsidRPr="003364E0" w:rsidRDefault="003D2EAC" w:rsidP="003364E0">
      <w:pPr>
        <w:rPr>
          <w:rFonts w:eastAsia="SimSun"/>
          <w:iCs/>
          <w:color w:val="000000"/>
          <w:szCs w:val="22"/>
        </w:rPr>
      </w:pPr>
    </w:p>
    <w:p w:rsidR="003D2EAC" w:rsidRPr="00EE6E2C" w:rsidRDefault="003D2EAC" w:rsidP="00B9372F">
      <w:pPr>
        <w:pStyle w:val="ListParagraph"/>
        <w:widowControl/>
        <w:numPr>
          <w:ilvl w:val="1"/>
          <w:numId w:val="2"/>
        </w:numPr>
        <w:rPr>
          <w:szCs w:val="22"/>
        </w:rPr>
      </w:pPr>
      <w:r w:rsidRPr="00EE6E2C">
        <w:rPr>
          <w:rFonts w:eastAsia="SimSun"/>
          <w:iCs/>
          <w:color w:val="000000"/>
          <w:szCs w:val="22"/>
        </w:rPr>
        <w:t>Suggestions and additions proposed by the Secretariat to the requested listing are added in italics and suggested deletions are crossed out with strikethrough.</w:t>
      </w:r>
    </w:p>
    <w:p w:rsidR="00301E4C" w:rsidRDefault="00301E4C" w:rsidP="00301E4C"/>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3D2EAC" w:rsidRPr="00423A22" w:rsidTr="00195589">
        <w:trPr>
          <w:cantSplit/>
          <w:trHeight w:val="471"/>
        </w:trPr>
        <w:tc>
          <w:tcPr>
            <w:tcW w:w="2552" w:type="dxa"/>
            <w:gridSpan w:val="2"/>
            <w:tcBorders>
              <w:bottom w:val="single" w:sz="4" w:space="0" w:color="auto"/>
            </w:tcBorders>
          </w:tcPr>
          <w:p w:rsidR="003D2EAC" w:rsidRPr="00DF50AA" w:rsidRDefault="003D2EAC" w:rsidP="00A03590">
            <w:pPr>
              <w:rPr>
                <w:rFonts w:ascii="Arial Narrow" w:hAnsi="Arial Narrow"/>
                <w:sz w:val="20"/>
              </w:rPr>
            </w:pPr>
            <w:r w:rsidRPr="00DF50AA">
              <w:rPr>
                <w:rFonts w:ascii="Arial Narrow" w:hAnsi="Arial Narrow"/>
                <w:sz w:val="20"/>
              </w:rPr>
              <w:t>Name, Restriction,</w:t>
            </w:r>
          </w:p>
          <w:p w:rsidR="003D2EAC" w:rsidRPr="00423A22" w:rsidRDefault="003D2EAC" w:rsidP="00A03590">
            <w:pPr>
              <w:keepNext/>
              <w:widowControl/>
              <w:ind w:left="-108"/>
              <w:rPr>
                <w:rFonts w:ascii="Arial Narrow" w:hAnsi="Arial Narrow"/>
                <w:snapToGrid/>
                <w:sz w:val="20"/>
                <w:lang w:eastAsia="en-AU"/>
              </w:rPr>
            </w:pPr>
            <w:r w:rsidRPr="00DF50AA">
              <w:rPr>
                <w:rFonts w:ascii="Arial Narrow" w:hAnsi="Arial Narrow"/>
                <w:sz w:val="20"/>
              </w:rPr>
              <w:t>Manner of administration and form</w:t>
            </w:r>
          </w:p>
        </w:tc>
        <w:tc>
          <w:tcPr>
            <w:tcW w:w="567" w:type="dxa"/>
            <w:tcBorders>
              <w:bottom w:val="single" w:sz="4" w:space="0" w:color="auto"/>
            </w:tcBorders>
          </w:tcPr>
          <w:p w:rsidR="003D2EAC" w:rsidRPr="00423A22" w:rsidRDefault="003D2EAC" w:rsidP="00A03590">
            <w:pPr>
              <w:keepNext/>
              <w:widowControl/>
              <w:ind w:left="-108"/>
              <w:rPr>
                <w:rFonts w:ascii="Arial Narrow" w:hAnsi="Arial Narrow"/>
                <w:snapToGrid/>
                <w:sz w:val="20"/>
                <w:lang w:eastAsia="en-AU"/>
              </w:rPr>
            </w:pPr>
            <w:r w:rsidRPr="00423A22">
              <w:rPr>
                <w:rFonts w:ascii="Arial Narrow" w:hAnsi="Arial Narrow"/>
                <w:snapToGrid/>
                <w:sz w:val="20"/>
                <w:lang w:eastAsia="en-AU"/>
              </w:rPr>
              <w:t>Max.</w:t>
            </w:r>
          </w:p>
          <w:p w:rsidR="003D2EAC" w:rsidRPr="00423A22" w:rsidRDefault="003D2EAC" w:rsidP="00A03590">
            <w:pPr>
              <w:keepNext/>
              <w:widowControl/>
              <w:ind w:left="-108"/>
              <w:rPr>
                <w:rFonts w:ascii="Arial Narrow" w:hAnsi="Arial Narrow"/>
                <w:snapToGrid/>
                <w:sz w:val="20"/>
                <w:lang w:eastAsia="en-AU"/>
              </w:rPr>
            </w:pPr>
            <w:proofErr w:type="spellStart"/>
            <w:r w:rsidRPr="00423A22">
              <w:rPr>
                <w:rFonts w:ascii="Arial Narrow" w:hAnsi="Arial Narrow"/>
                <w:snapToGrid/>
                <w:sz w:val="20"/>
                <w:lang w:eastAsia="en-AU"/>
              </w:rPr>
              <w:t>Qty</w:t>
            </w:r>
            <w:proofErr w:type="spellEnd"/>
          </w:p>
        </w:tc>
        <w:tc>
          <w:tcPr>
            <w:tcW w:w="850" w:type="dxa"/>
            <w:tcBorders>
              <w:bottom w:val="single" w:sz="4" w:space="0" w:color="auto"/>
            </w:tcBorders>
          </w:tcPr>
          <w:p w:rsidR="003D2EAC" w:rsidRPr="00423A22" w:rsidRDefault="003D2EAC" w:rsidP="00A03590">
            <w:pPr>
              <w:keepNext/>
              <w:widowControl/>
              <w:ind w:left="-108"/>
              <w:rPr>
                <w:rFonts w:ascii="Arial Narrow" w:hAnsi="Arial Narrow"/>
                <w:snapToGrid/>
                <w:sz w:val="20"/>
                <w:lang w:eastAsia="en-AU"/>
              </w:rPr>
            </w:pPr>
            <w:r w:rsidRPr="00423A22">
              <w:rPr>
                <w:rFonts w:ascii="Arial Narrow" w:hAnsi="Arial Narrow"/>
                <w:snapToGrid/>
                <w:sz w:val="20"/>
                <w:lang w:eastAsia="en-AU"/>
              </w:rPr>
              <w:t>№.of</w:t>
            </w:r>
          </w:p>
          <w:p w:rsidR="003D2EAC" w:rsidRPr="00423A22" w:rsidRDefault="003D2EAC" w:rsidP="00A03590">
            <w:pPr>
              <w:keepNext/>
              <w:widowControl/>
              <w:ind w:left="-108"/>
              <w:rPr>
                <w:rFonts w:ascii="Arial Narrow" w:hAnsi="Arial Narrow"/>
                <w:snapToGrid/>
                <w:sz w:val="20"/>
                <w:lang w:eastAsia="en-AU"/>
              </w:rPr>
            </w:pPr>
            <w:r w:rsidRPr="00423A22">
              <w:rPr>
                <w:rFonts w:ascii="Arial Narrow" w:hAnsi="Arial Narrow"/>
                <w:snapToGrid/>
                <w:sz w:val="20"/>
                <w:lang w:eastAsia="en-AU"/>
              </w:rPr>
              <w:t>Rpts</w:t>
            </w:r>
          </w:p>
        </w:tc>
        <w:tc>
          <w:tcPr>
            <w:tcW w:w="1701" w:type="dxa"/>
            <w:tcBorders>
              <w:bottom w:val="single" w:sz="4" w:space="0" w:color="auto"/>
            </w:tcBorders>
          </w:tcPr>
          <w:p w:rsidR="003D2EAC" w:rsidRPr="00423A22" w:rsidRDefault="003D2EAC" w:rsidP="00A03590">
            <w:pPr>
              <w:keepNext/>
              <w:widowControl/>
              <w:ind w:left="-108"/>
              <w:rPr>
                <w:rFonts w:ascii="Arial Narrow" w:hAnsi="Arial Narrow"/>
                <w:snapToGrid/>
                <w:sz w:val="20"/>
                <w:lang w:eastAsia="en-AU"/>
              </w:rPr>
            </w:pPr>
            <w:r w:rsidRPr="00423A22">
              <w:rPr>
                <w:rFonts w:ascii="Arial Narrow" w:hAnsi="Arial Narrow"/>
                <w:snapToGrid/>
                <w:sz w:val="20"/>
                <w:lang w:eastAsia="en-AU"/>
              </w:rPr>
              <w:t xml:space="preserve">Dispensed Price for Max. </w:t>
            </w:r>
            <w:proofErr w:type="spellStart"/>
            <w:r w:rsidRPr="00423A22">
              <w:rPr>
                <w:rFonts w:ascii="Arial Narrow" w:hAnsi="Arial Narrow"/>
                <w:snapToGrid/>
                <w:sz w:val="20"/>
                <w:lang w:eastAsia="en-AU"/>
              </w:rPr>
              <w:t>Qty</w:t>
            </w:r>
            <w:proofErr w:type="spellEnd"/>
          </w:p>
        </w:tc>
        <w:tc>
          <w:tcPr>
            <w:tcW w:w="2835" w:type="dxa"/>
            <w:gridSpan w:val="2"/>
            <w:tcBorders>
              <w:bottom w:val="single" w:sz="4" w:space="0" w:color="auto"/>
            </w:tcBorders>
          </w:tcPr>
          <w:p w:rsidR="003D2EAC" w:rsidRPr="00423A22" w:rsidRDefault="003D2EAC" w:rsidP="00A03590">
            <w:pPr>
              <w:keepNext/>
              <w:widowControl/>
              <w:rPr>
                <w:rFonts w:ascii="Arial Narrow" w:hAnsi="Arial Narrow"/>
                <w:snapToGrid/>
                <w:sz w:val="20"/>
                <w:lang w:eastAsia="en-AU"/>
              </w:rPr>
            </w:pPr>
            <w:r w:rsidRPr="00423A22">
              <w:rPr>
                <w:rFonts w:ascii="Arial Narrow" w:hAnsi="Arial Narrow"/>
                <w:snapToGrid/>
                <w:sz w:val="20"/>
                <w:lang w:eastAsia="en-AU"/>
              </w:rPr>
              <w:t>Proprietary Name and Manufacturer</w:t>
            </w:r>
          </w:p>
          <w:p w:rsidR="003D2EAC" w:rsidRPr="00423A22" w:rsidRDefault="003D2EAC" w:rsidP="00A03590">
            <w:pPr>
              <w:keepNext/>
              <w:widowControl/>
              <w:rPr>
                <w:rFonts w:ascii="Arial Narrow" w:hAnsi="Arial Narrow"/>
                <w:snapToGrid/>
                <w:sz w:val="20"/>
                <w:lang w:val="fr-FR" w:eastAsia="en-AU"/>
              </w:rPr>
            </w:pPr>
            <w:r w:rsidRPr="00423A22">
              <w:rPr>
                <w:rFonts w:ascii="Arial Narrow" w:hAnsi="Arial Narrow"/>
                <w:snapToGrid/>
                <w:sz w:val="20"/>
                <w:lang w:eastAsia="en-AU"/>
              </w:rPr>
              <w:t xml:space="preserve">  </w:t>
            </w:r>
          </w:p>
        </w:tc>
      </w:tr>
      <w:tr w:rsidR="003D2EAC" w:rsidRPr="00423A22" w:rsidTr="00195589">
        <w:trPr>
          <w:cantSplit/>
          <w:trHeight w:val="577"/>
        </w:trPr>
        <w:tc>
          <w:tcPr>
            <w:tcW w:w="2552" w:type="dxa"/>
            <w:gridSpan w:val="2"/>
          </w:tcPr>
          <w:p w:rsidR="003D2EAC" w:rsidRPr="00423A22" w:rsidRDefault="003D2EAC" w:rsidP="00A03590">
            <w:pPr>
              <w:keepNext/>
              <w:widowControl/>
              <w:ind w:left="-108"/>
              <w:rPr>
                <w:rFonts w:ascii="Arial Narrow" w:hAnsi="Arial Narrow"/>
                <w:snapToGrid/>
                <w:sz w:val="20"/>
                <w:lang w:eastAsia="en-AU"/>
              </w:rPr>
            </w:pPr>
            <w:r w:rsidRPr="00423A22">
              <w:rPr>
                <w:rFonts w:ascii="Arial Narrow" w:hAnsi="Arial Narrow"/>
                <w:smallCaps/>
                <w:snapToGrid/>
                <w:sz w:val="20"/>
                <w:lang w:eastAsia="en-AU"/>
              </w:rPr>
              <w:t>PIRFENIDONE</w:t>
            </w:r>
          </w:p>
          <w:p w:rsidR="003D2EAC" w:rsidRPr="00423A22" w:rsidRDefault="003D2EAC" w:rsidP="003E28D0">
            <w:pPr>
              <w:keepNext/>
              <w:widowControl/>
              <w:ind w:left="-108"/>
              <w:rPr>
                <w:rFonts w:ascii="Arial Narrow" w:hAnsi="Arial Narrow"/>
                <w:snapToGrid/>
                <w:sz w:val="20"/>
                <w:lang w:eastAsia="en-AU"/>
              </w:rPr>
            </w:pPr>
            <w:r w:rsidRPr="00423A22">
              <w:rPr>
                <w:rFonts w:ascii="Arial Narrow" w:hAnsi="Arial Narrow"/>
                <w:snapToGrid/>
                <w:sz w:val="20"/>
                <w:lang w:eastAsia="en-AU"/>
              </w:rPr>
              <w:t>Capsule 267</w:t>
            </w:r>
            <w:r w:rsidR="003E28D0">
              <w:rPr>
                <w:rFonts w:ascii="Arial Narrow" w:hAnsi="Arial Narrow"/>
                <w:snapToGrid/>
                <w:sz w:val="20"/>
                <w:lang w:eastAsia="en-AU"/>
              </w:rPr>
              <w:t> </w:t>
            </w:r>
            <w:r w:rsidRPr="00423A22">
              <w:rPr>
                <w:rFonts w:ascii="Arial Narrow" w:hAnsi="Arial Narrow"/>
                <w:snapToGrid/>
                <w:sz w:val="20"/>
                <w:lang w:eastAsia="en-AU"/>
              </w:rPr>
              <w:t>mg, 270</w:t>
            </w:r>
          </w:p>
        </w:tc>
        <w:tc>
          <w:tcPr>
            <w:tcW w:w="567" w:type="dxa"/>
          </w:tcPr>
          <w:p w:rsidR="003D2EAC" w:rsidRPr="00423A22" w:rsidRDefault="003D2EAC" w:rsidP="00A03590">
            <w:pPr>
              <w:keepNext/>
              <w:widowControl/>
              <w:rPr>
                <w:rFonts w:ascii="Arial Narrow" w:hAnsi="Arial Narrow"/>
                <w:snapToGrid/>
                <w:sz w:val="20"/>
                <w:lang w:eastAsia="en-AU"/>
              </w:rPr>
            </w:pPr>
          </w:p>
          <w:p w:rsidR="003D2EAC" w:rsidRPr="00423A22" w:rsidRDefault="003D2EAC" w:rsidP="00A03590">
            <w:pPr>
              <w:keepNext/>
              <w:widowControl/>
              <w:rPr>
                <w:rFonts w:ascii="Arial Narrow" w:hAnsi="Arial Narrow"/>
                <w:snapToGrid/>
                <w:sz w:val="20"/>
                <w:lang w:eastAsia="en-AU"/>
              </w:rPr>
            </w:pPr>
            <w:r>
              <w:rPr>
                <w:rFonts w:ascii="Arial Narrow" w:hAnsi="Arial Narrow"/>
                <w:snapToGrid/>
                <w:sz w:val="20"/>
                <w:lang w:eastAsia="en-AU"/>
              </w:rPr>
              <w:t>1</w:t>
            </w:r>
          </w:p>
        </w:tc>
        <w:tc>
          <w:tcPr>
            <w:tcW w:w="850" w:type="dxa"/>
          </w:tcPr>
          <w:p w:rsidR="003D2EAC" w:rsidRPr="00423A22" w:rsidRDefault="003D2EAC" w:rsidP="00A03590">
            <w:pPr>
              <w:keepNext/>
              <w:widowControl/>
              <w:rPr>
                <w:rFonts w:ascii="Arial Narrow" w:hAnsi="Arial Narrow"/>
                <w:snapToGrid/>
                <w:sz w:val="20"/>
                <w:lang w:eastAsia="en-AU"/>
              </w:rPr>
            </w:pPr>
          </w:p>
          <w:p w:rsidR="003D2EAC" w:rsidRPr="00423A22" w:rsidRDefault="003D2EAC" w:rsidP="003364E0">
            <w:pPr>
              <w:keepNext/>
              <w:widowControl/>
              <w:ind w:left="-108"/>
              <w:rPr>
                <w:rFonts w:ascii="Arial Narrow" w:hAnsi="Arial Narrow"/>
                <w:snapToGrid/>
                <w:sz w:val="20"/>
                <w:lang w:eastAsia="en-AU"/>
              </w:rPr>
            </w:pPr>
            <w:r w:rsidRPr="00423A22">
              <w:rPr>
                <w:rFonts w:ascii="Arial Narrow" w:hAnsi="Arial Narrow"/>
                <w:snapToGrid/>
                <w:sz w:val="20"/>
                <w:lang w:eastAsia="en-AU"/>
              </w:rPr>
              <w:t>5</w:t>
            </w:r>
          </w:p>
        </w:tc>
        <w:tc>
          <w:tcPr>
            <w:tcW w:w="1701" w:type="dxa"/>
          </w:tcPr>
          <w:p w:rsidR="003D2EAC" w:rsidRPr="00423A22" w:rsidRDefault="003D2EAC" w:rsidP="00A03590">
            <w:pPr>
              <w:keepNext/>
              <w:widowControl/>
              <w:ind w:left="-108"/>
              <w:rPr>
                <w:rFonts w:ascii="Arial Narrow" w:hAnsi="Arial Narrow"/>
                <w:snapToGrid/>
                <w:sz w:val="20"/>
                <w:lang w:eastAsia="en-AU"/>
              </w:rPr>
            </w:pPr>
          </w:p>
          <w:p w:rsidR="003D2EAC" w:rsidRPr="00423A22" w:rsidRDefault="003D2EAC" w:rsidP="003364E0">
            <w:pPr>
              <w:keepNext/>
              <w:widowControl/>
              <w:ind w:left="-108"/>
              <w:rPr>
                <w:rFonts w:ascii="Arial Narrow" w:hAnsi="Arial Narrow"/>
                <w:snapToGrid/>
                <w:sz w:val="20"/>
                <w:lang w:eastAsia="en-AU"/>
              </w:rPr>
            </w:pPr>
            <w:r w:rsidRPr="00423A22">
              <w:rPr>
                <w:rFonts w:ascii="Arial Narrow" w:hAnsi="Arial Narrow"/>
                <w:snapToGrid/>
                <w:sz w:val="20"/>
                <w:lang w:eastAsia="en-AU"/>
              </w:rPr>
              <w:t>$</w:t>
            </w:r>
          </w:p>
        </w:tc>
        <w:tc>
          <w:tcPr>
            <w:tcW w:w="1559" w:type="dxa"/>
          </w:tcPr>
          <w:p w:rsidR="003D2EAC" w:rsidRPr="00423A22" w:rsidRDefault="003D2EAC" w:rsidP="00A03590">
            <w:pPr>
              <w:keepNext/>
              <w:widowControl/>
              <w:rPr>
                <w:rFonts w:ascii="Arial Narrow" w:hAnsi="Arial Narrow"/>
                <w:snapToGrid/>
                <w:sz w:val="20"/>
                <w:lang w:eastAsia="en-AU"/>
              </w:rPr>
            </w:pPr>
          </w:p>
          <w:p w:rsidR="003D2EAC" w:rsidRPr="00423A22" w:rsidRDefault="003D2EAC" w:rsidP="00A03590">
            <w:pPr>
              <w:keepNext/>
              <w:widowControl/>
              <w:rPr>
                <w:rFonts w:ascii="Arial Narrow" w:hAnsi="Arial Narrow"/>
                <w:snapToGrid/>
                <w:sz w:val="20"/>
                <w:lang w:eastAsia="en-AU"/>
              </w:rPr>
            </w:pPr>
            <w:proofErr w:type="spellStart"/>
            <w:r w:rsidRPr="00423A22">
              <w:rPr>
                <w:rFonts w:ascii="Arial Narrow" w:hAnsi="Arial Narrow"/>
                <w:snapToGrid/>
                <w:sz w:val="20"/>
                <w:lang w:eastAsia="en-AU"/>
              </w:rPr>
              <w:t>Esbriet</w:t>
            </w:r>
            <w:proofErr w:type="spellEnd"/>
            <w:r w:rsidR="003E28D0" w:rsidRPr="008B79AA">
              <w:rPr>
                <w:rFonts w:ascii="Arial Narrow" w:hAnsi="Arial Narrow"/>
                <w:snapToGrid/>
                <w:sz w:val="20"/>
                <w:vertAlign w:val="superscript"/>
                <w:lang w:val="en-NZ" w:eastAsia="en-AU"/>
              </w:rPr>
              <w:t>®</w:t>
            </w:r>
          </w:p>
        </w:tc>
        <w:tc>
          <w:tcPr>
            <w:tcW w:w="1276" w:type="dxa"/>
          </w:tcPr>
          <w:p w:rsidR="003D2EAC" w:rsidRPr="00423A22" w:rsidRDefault="003D2EAC" w:rsidP="00A03590">
            <w:pPr>
              <w:keepNext/>
              <w:widowControl/>
              <w:rPr>
                <w:rFonts w:ascii="Arial Narrow" w:hAnsi="Arial Narrow"/>
                <w:snapToGrid/>
                <w:sz w:val="20"/>
                <w:lang w:eastAsia="en-AU"/>
              </w:rPr>
            </w:pPr>
          </w:p>
          <w:p w:rsidR="003D2EAC" w:rsidRPr="00423A22" w:rsidRDefault="003D2EAC" w:rsidP="00A03590">
            <w:pPr>
              <w:keepNext/>
              <w:widowControl/>
              <w:rPr>
                <w:rFonts w:ascii="Arial Narrow" w:hAnsi="Arial Narrow"/>
                <w:snapToGrid/>
                <w:sz w:val="20"/>
                <w:lang w:eastAsia="en-AU"/>
              </w:rPr>
            </w:pPr>
            <w:r w:rsidRPr="00423A22">
              <w:rPr>
                <w:rFonts w:ascii="Arial Narrow" w:hAnsi="Arial Narrow"/>
                <w:snapToGrid/>
                <w:sz w:val="20"/>
                <w:lang w:eastAsia="en-AU"/>
              </w:rPr>
              <w:t>RO</w:t>
            </w:r>
          </w:p>
        </w:tc>
      </w:tr>
      <w:tr w:rsidR="003D2EAC" w:rsidRPr="00423A22" w:rsidTr="00195589">
        <w:trPr>
          <w:cantSplit/>
          <w:trHeight w:val="80"/>
        </w:trPr>
        <w:tc>
          <w:tcPr>
            <w:tcW w:w="8505" w:type="dxa"/>
            <w:gridSpan w:val="7"/>
            <w:tcBorders>
              <w:bottom w:val="single" w:sz="4" w:space="0" w:color="auto"/>
            </w:tcBorders>
          </w:tcPr>
          <w:p w:rsidR="003D2EAC" w:rsidRPr="00423A22" w:rsidRDefault="003D2EAC" w:rsidP="00A03590">
            <w:pPr>
              <w:widowControl/>
              <w:rPr>
                <w:rFonts w:ascii="Arial Narrow" w:hAnsi="Arial Narrow"/>
                <w:snapToGrid/>
                <w:sz w:val="20"/>
                <w:lang w:eastAsia="en-AU"/>
              </w:rPr>
            </w:pP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364E0">
            <w:pPr>
              <w:widowControl/>
              <w:rPr>
                <w:rFonts w:ascii="Arial Narrow" w:hAnsi="Arial Narrow"/>
                <w:b/>
                <w:snapToGrid/>
                <w:sz w:val="20"/>
                <w:lang w:eastAsia="en-AU"/>
              </w:rPr>
            </w:pPr>
            <w:r w:rsidRPr="00423A22">
              <w:rPr>
                <w:rFonts w:ascii="Arial Narrow" w:hAnsi="Arial Narrow"/>
                <w:b/>
                <w:snapToGrid/>
                <w:sz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trike/>
                <w:snapToGrid/>
                <w:sz w:val="20"/>
                <w:lang w:eastAsia="en-AU"/>
              </w:rPr>
            </w:pPr>
            <w:r w:rsidRPr="00423A22">
              <w:rPr>
                <w:rFonts w:ascii="Arial Narrow" w:hAnsi="Arial Narrow"/>
                <w:strike/>
                <w:snapToGrid/>
                <w:sz w:val="20"/>
                <w:lang w:eastAsia="en-AU"/>
              </w:rPr>
              <w:t>Section 100 – Highly Specialised Drugs Program</w:t>
            </w:r>
          </w:p>
          <w:p w:rsidR="003D2EAC" w:rsidRPr="00423A22" w:rsidRDefault="003D2EAC" w:rsidP="003364E0">
            <w:pPr>
              <w:widowControl/>
              <w:jc w:val="left"/>
              <w:rPr>
                <w:rFonts w:ascii="Arial Narrow" w:hAnsi="Arial Narrow"/>
                <w:snapToGrid/>
                <w:sz w:val="20"/>
                <w:lang w:eastAsia="en-AU"/>
              </w:rPr>
            </w:pPr>
            <w:r w:rsidRPr="00423A22">
              <w:rPr>
                <w:rFonts w:ascii="Arial Narrow" w:hAnsi="Arial Narrow"/>
                <w:snapToGrid/>
                <w:sz w:val="20"/>
                <w:lang w:eastAsia="en-AU"/>
              </w:rPr>
              <w:t>GENERAL – General Schedule (Code GE)</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364E0">
            <w:pPr>
              <w:widowControl/>
              <w:rPr>
                <w:rFonts w:ascii="Arial Narrow" w:hAnsi="Arial Narrow"/>
                <w:b/>
                <w:snapToGrid/>
                <w:sz w:val="20"/>
                <w:lang w:eastAsia="en-AU"/>
              </w:rPr>
            </w:pPr>
            <w:r w:rsidRPr="00423A22">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Dental  </w:t>
            </w: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Medical Practitioners  </w:t>
            </w:r>
            <w:r w:rsidRPr="00423A22">
              <w:rPr>
                <w:rFonts w:ascii="Arial Narrow" w:hAnsi="Arial Narrow"/>
                <w:snapToGrid/>
                <w:sz w:val="20"/>
                <w:lang w:eastAsia="en-AU"/>
              </w:rPr>
              <w:fldChar w:fldCharType="begin">
                <w:ffData>
                  <w:name w:val="Check3"/>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Nurse practitioners  </w:t>
            </w: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Optometrists</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Midwives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Initial treatment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Restricted benefit</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In Writing</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3"/>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Telephone</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Emergency</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Electronic</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Streamlined</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jc w:val="left"/>
              <w:rPr>
                <w:rFonts w:ascii="Arial Narrow" w:hAnsi="Arial Narrow"/>
                <w:snapToGrid/>
                <w:sz w:val="20"/>
                <w:lang w:eastAsia="en-AU"/>
              </w:rPr>
            </w:pPr>
            <w:r w:rsidRPr="00423A22">
              <w:rPr>
                <w:rFonts w:ascii="Arial Narrow" w:hAnsi="Arial Narrow"/>
                <w:b/>
                <w:snapToGrid/>
                <w:sz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jc w:val="left"/>
              <w:rPr>
                <w:rFonts w:ascii="Arial Narrow" w:hAnsi="Arial Narrow"/>
                <w:snapToGrid/>
                <w:sz w:val="20"/>
                <w:lang w:eastAsia="en-AU"/>
              </w:rPr>
            </w:pPr>
            <w:r w:rsidRPr="00423A22">
              <w:rPr>
                <w:rFonts w:ascii="Arial Narrow" w:hAnsi="Arial Narrow"/>
                <w:i/>
                <w:snapToGrid/>
                <w:sz w:val="20"/>
                <w:lang w:eastAsia="en-AU"/>
              </w:rPr>
              <w:t xml:space="preserve">Patient must be </w:t>
            </w:r>
            <w:r w:rsidRPr="00423A22">
              <w:rPr>
                <w:rFonts w:ascii="Arial Narrow" w:hAnsi="Arial Narrow"/>
                <w:i/>
                <w:iCs/>
                <w:sz w:val="20"/>
                <w:lang w:eastAsia="en-AU"/>
              </w:rPr>
              <w:t>treated by a respiratory physician or specialist physician experienced in the management of patients with idiopathic pulmonary fibrosis.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lastRenderedPageBreak/>
              <w:t>Clinical criteria:</w:t>
            </w:r>
          </w:p>
          <w:p w:rsidR="003D2EAC" w:rsidRPr="00423A22" w:rsidRDefault="003D2EAC" w:rsidP="003E28D0">
            <w:pPr>
              <w:widowControl/>
              <w:rPr>
                <w:rFonts w:ascii="Arial Narrow" w:hAnsi="Arial Narrow"/>
                <w:snapToGrid/>
                <w:sz w:val="20"/>
                <w:lang w:eastAsia="en-AU"/>
              </w:rPr>
            </w:pPr>
            <w:r w:rsidRPr="00423A22">
              <w:rPr>
                <w:rFonts w:ascii="Arial Narrow" w:hAnsi="Arial Narrow"/>
                <w:i/>
                <w:snapToGrid/>
                <w:sz w:val="20"/>
                <w:lang w:eastAsia="en-AU"/>
              </w:rPr>
              <w:t>(To be finalised)</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i/>
                <w:snapToGrid/>
                <w:sz w:val="20"/>
                <w:lang w:eastAsia="en-AU"/>
              </w:rPr>
              <w:t>Patient must have confirmed diagnosis of idiopathic pulmonary fibrosis;</w:t>
            </w:r>
          </w:p>
          <w:p w:rsidR="003D2EAC" w:rsidRPr="00423A22" w:rsidRDefault="003D2EAC" w:rsidP="003E28D0">
            <w:pPr>
              <w:widowControl/>
              <w:jc w:val="left"/>
              <w:rPr>
                <w:rFonts w:ascii="Arial Narrow" w:hAnsi="Arial Narrow"/>
                <w:i/>
                <w:snapToGrid/>
                <w:sz w:val="20"/>
                <w:lang w:eastAsia="en-AU"/>
              </w:rPr>
            </w:pPr>
          </w:p>
          <w:p w:rsidR="003D2EAC" w:rsidRPr="00423A22" w:rsidRDefault="003D2EAC" w:rsidP="00A03590">
            <w:pPr>
              <w:widowControl/>
              <w:ind w:left="176" w:hanging="176"/>
              <w:jc w:val="left"/>
              <w:rPr>
                <w:rFonts w:ascii="Arial Narrow" w:hAnsi="Arial Narrow"/>
                <w:i/>
                <w:snapToGrid/>
                <w:sz w:val="20"/>
                <w:lang w:eastAsia="en-AU"/>
              </w:rPr>
            </w:pPr>
            <w:r w:rsidRPr="00423A22">
              <w:rPr>
                <w:rFonts w:ascii="Arial Narrow" w:hAnsi="Arial Narrow"/>
                <w:i/>
                <w:snapToGrid/>
                <w:sz w:val="20"/>
                <w:lang w:eastAsia="en-AU"/>
              </w:rPr>
              <w:t>AND</w:t>
            </w:r>
          </w:p>
          <w:p w:rsidR="003D2EAC" w:rsidRPr="00423A22" w:rsidRDefault="003D2EAC" w:rsidP="00A03590">
            <w:pPr>
              <w:widowControl/>
              <w:ind w:left="176" w:hanging="176"/>
              <w:jc w:val="left"/>
              <w:rPr>
                <w:rFonts w:ascii="Arial Narrow" w:hAnsi="Arial Narrow"/>
                <w:snapToGrid/>
                <w:sz w:val="20"/>
                <w:lang w:eastAsia="en-AU"/>
              </w:rPr>
            </w:pP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i/>
                <w:snapToGrid/>
                <w:sz w:val="20"/>
                <w:lang w:eastAsia="en-AU"/>
              </w:rPr>
              <w:t xml:space="preserve">Patient must have chest high resolution computed tomography (HRCT)  with surgical lung biopsy consistent with the diagnosis of idiopathic pulmonary fibrosis; OR </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i/>
                <w:snapToGrid/>
                <w:sz w:val="20"/>
                <w:lang w:eastAsia="en-AU"/>
              </w:rPr>
              <w:t xml:space="preserve">Patient must have chest high resolution computed tomography (HRCT)  without  surgical lung biopsy consistent with the diagnosis of idiopathic pulmonary fibrosis </w:t>
            </w:r>
          </w:p>
          <w:p w:rsidR="003D2EAC" w:rsidRPr="00423A22" w:rsidRDefault="003D2EAC" w:rsidP="003E28D0">
            <w:pPr>
              <w:widowControl/>
              <w:jc w:val="left"/>
              <w:rPr>
                <w:rFonts w:ascii="Arial Narrow" w:hAnsi="Arial Narrow"/>
                <w:snapToGrid/>
                <w:sz w:val="20"/>
                <w:lang w:eastAsia="en-AU"/>
              </w:rPr>
            </w:pPr>
          </w:p>
          <w:p w:rsidR="003D2EAC" w:rsidRPr="00423A22" w:rsidRDefault="003D2EAC" w:rsidP="00A03590">
            <w:pPr>
              <w:widowControl/>
              <w:jc w:val="left"/>
              <w:rPr>
                <w:rFonts w:ascii="Arial Narrow" w:hAnsi="Arial Narrow"/>
                <w:i/>
                <w:snapToGrid/>
                <w:sz w:val="20"/>
                <w:lang w:eastAsia="en-AU"/>
              </w:rPr>
            </w:pPr>
            <w:r w:rsidRPr="00423A22">
              <w:rPr>
                <w:rFonts w:ascii="Arial Narrow" w:hAnsi="Arial Narrow"/>
                <w:i/>
                <w:snapToGrid/>
                <w:sz w:val="20"/>
                <w:lang w:eastAsia="en-AU"/>
              </w:rPr>
              <w:t>AND</w:t>
            </w:r>
          </w:p>
          <w:p w:rsidR="003D2EAC" w:rsidRDefault="003D2EAC" w:rsidP="00A03590">
            <w:pPr>
              <w:widowControl/>
              <w:jc w:val="left"/>
              <w:rPr>
                <w:rFonts w:ascii="Arial Narrow" w:hAnsi="Arial Narrow"/>
                <w:i/>
                <w:snapToGrid/>
                <w:sz w:val="20"/>
                <w:lang w:eastAsia="en-AU"/>
              </w:rPr>
            </w:pPr>
          </w:p>
          <w:p w:rsidR="003D2EAC" w:rsidRPr="00423A22" w:rsidRDefault="003D2EAC" w:rsidP="003E28D0">
            <w:pPr>
              <w:widowControl/>
              <w:jc w:val="left"/>
              <w:rPr>
                <w:rFonts w:ascii="Arial Narrow" w:hAnsi="Arial Narrow"/>
                <w:i/>
                <w:snapToGrid/>
                <w:sz w:val="20"/>
                <w:lang w:eastAsia="en-AU"/>
              </w:rPr>
            </w:pPr>
            <w:r w:rsidRPr="00423A22">
              <w:rPr>
                <w:rFonts w:ascii="Arial Narrow" w:hAnsi="Arial Narrow"/>
                <w:i/>
                <w:snapToGrid/>
                <w:sz w:val="20"/>
                <w:lang w:eastAsia="en-AU"/>
              </w:rPr>
              <w:t>Patient must have percent predicted Forced Vital Capacity (FVC) equal or greater than 50%</w:t>
            </w:r>
          </w:p>
          <w:p w:rsidR="003D2EAC" w:rsidRPr="00423A22" w:rsidRDefault="003D2EAC" w:rsidP="003E28D0">
            <w:pPr>
              <w:widowControl/>
              <w:jc w:val="left"/>
              <w:rPr>
                <w:rFonts w:ascii="Arial Narrow" w:hAnsi="Arial Narrow"/>
                <w:bCs/>
                <w:i/>
                <w:snapToGrid/>
                <w:sz w:val="20"/>
              </w:rPr>
            </w:pPr>
          </w:p>
          <w:p w:rsidR="003D2EAC" w:rsidRPr="00423A22" w:rsidRDefault="003D2EAC" w:rsidP="003E28D0">
            <w:pPr>
              <w:widowControl/>
              <w:jc w:val="left"/>
              <w:rPr>
                <w:rFonts w:ascii="Arial Narrow" w:hAnsi="Arial Narrow"/>
                <w:bCs/>
                <w:i/>
                <w:snapToGrid/>
                <w:sz w:val="20"/>
              </w:rPr>
            </w:pPr>
            <w:r w:rsidRPr="00423A22">
              <w:rPr>
                <w:rFonts w:ascii="Arial Narrow" w:hAnsi="Arial Narrow"/>
                <w:bCs/>
                <w:i/>
                <w:snapToGrid/>
                <w:sz w:val="20"/>
              </w:rPr>
              <w:t>AND</w:t>
            </w:r>
          </w:p>
          <w:p w:rsidR="003D2EAC" w:rsidRDefault="003D2EAC" w:rsidP="003E28D0">
            <w:pPr>
              <w:widowControl/>
              <w:jc w:val="left"/>
              <w:rPr>
                <w:rFonts w:ascii="Arial Narrow" w:hAnsi="Arial Narrow"/>
                <w:i/>
                <w:snapToGrid/>
                <w:sz w:val="20"/>
                <w:lang w:eastAsia="en-AU"/>
              </w:rPr>
            </w:pP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i/>
                <w:snapToGrid/>
                <w:sz w:val="20"/>
                <w:lang w:eastAsia="en-AU"/>
              </w:rPr>
              <w:t>Patient must have percent predicted carbon monoxide diffusing capacity (DL</w:t>
            </w:r>
            <w:r w:rsidRPr="00423A22">
              <w:rPr>
                <w:rFonts w:ascii="Arial Narrow" w:hAnsi="Arial Narrow"/>
                <w:i/>
                <w:snapToGrid/>
                <w:sz w:val="20"/>
                <w:vertAlign w:val="subscript"/>
                <w:lang w:eastAsia="en-AU"/>
              </w:rPr>
              <w:t>CO</w:t>
            </w:r>
            <w:r w:rsidRPr="00423A22">
              <w:rPr>
                <w:rFonts w:ascii="Arial Narrow" w:hAnsi="Arial Narrow"/>
                <w:i/>
                <w:snapToGrid/>
                <w:sz w:val="20"/>
                <w:lang w:eastAsia="en-AU"/>
              </w:rPr>
              <w:t>) equal to or greater than 30%.</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364E0">
            <w:pPr>
              <w:widowControl/>
              <w:rPr>
                <w:rFonts w:ascii="Arial Narrow" w:hAnsi="Arial Narrow"/>
                <w:snapToGrid/>
                <w:sz w:val="20"/>
                <w:lang w:eastAsia="en-AU"/>
              </w:rPr>
            </w:pPr>
            <w:r w:rsidRPr="00423A22">
              <w:rPr>
                <w:rFonts w:ascii="Arial Narrow" w:hAnsi="Arial Narrow"/>
                <w:b/>
                <w:snapToGrid/>
                <w:sz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3364E0">
            <w:pPr>
              <w:widowControl/>
              <w:jc w:val="left"/>
              <w:rPr>
                <w:rFonts w:ascii="Arial Narrow" w:hAnsi="Arial Narrow"/>
                <w:snapToGrid/>
                <w:sz w:val="20"/>
                <w:lang w:eastAsia="en-AU"/>
              </w:rPr>
            </w:pPr>
            <w:r w:rsidRPr="00423A22">
              <w:rPr>
                <w:rFonts w:ascii="Arial Narrow" w:hAnsi="Arial Narrow"/>
                <w:i/>
                <w:snapToGrid/>
                <w:sz w:val="20"/>
                <w:lang w:eastAsia="en-AU"/>
              </w:rPr>
              <w:t>Patient must be aged 40 years or older.</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Prescriber Instruction 1</w:t>
            </w:r>
          </w:p>
          <w:p w:rsidR="003D2EAC" w:rsidRPr="00423A22" w:rsidRDefault="003E28D0" w:rsidP="00A03590">
            <w:pPr>
              <w:widowControl/>
              <w:rPr>
                <w:rFonts w:ascii="Arial Narrow" w:hAnsi="Arial Narrow"/>
                <w:i/>
                <w:snapToGrid/>
                <w:sz w:val="20"/>
                <w:lang w:eastAsia="en-AU"/>
              </w:rPr>
            </w:pPr>
            <w:r>
              <w:rPr>
                <w:rFonts w:ascii="Arial Narrow" w:hAnsi="Arial Narrow"/>
                <w:i/>
                <w:snapToGrid/>
                <w:sz w:val="20"/>
                <w:lang w:eastAsia="en-AU"/>
              </w:rPr>
              <w:t>(To be finalised)</w:t>
            </w:r>
          </w:p>
          <w:p w:rsidR="003D2EAC" w:rsidRPr="00423A22" w:rsidRDefault="003D2EAC" w:rsidP="00A03590">
            <w:pPr>
              <w:widowControl/>
              <w:rPr>
                <w:rFonts w:ascii="Arial Narrow" w:hAnsi="Arial Narrow"/>
                <w:b/>
                <w:snapToGrid/>
                <w:sz w:val="20"/>
                <w:lang w:eastAsia="en-AU"/>
              </w:rPr>
            </w:pPr>
          </w:p>
          <w:p w:rsidR="003D2EAC" w:rsidRPr="00423A22" w:rsidRDefault="003D2EAC" w:rsidP="00A03590">
            <w:pPr>
              <w:widowControl/>
              <w:rPr>
                <w:rFonts w:ascii="Arial Narrow" w:hAnsi="Arial Narrow"/>
                <w:b/>
                <w:snapToGrid/>
                <w:sz w:val="20"/>
                <w:lang w:eastAsia="en-AU"/>
              </w:rPr>
            </w:pPr>
          </w:p>
          <w:p w:rsidR="003D2EAC" w:rsidRPr="00423A22" w:rsidRDefault="003D2EAC" w:rsidP="003E28D0">
            <w:pPr>
              <w:widowControl/>
              <w:rPr>
                <w:rFonts w:ascii="Arial Narrow" w:hAnsi="Arial Narrow"/>
                <w:snapToGrid/>
                <w:sz w:val="20"/>
                <w:lang w:eastAsia="en-AU"/>
              </w:rPr>
            </w:pPr>
            <w:r w:rsidRPr="00423A22">
              <w:rPr>
                <w:rFonts w:ascii="Arial Narrow" w:hAnsi="Arial Narrow"/>
                <w:b/>
                <w:snapToGrid/>
                <w:sz w:val="20"/>
                <w:lang w:eastAsia="en-AU"/>
              </w:rPr>
              <w:t>Prescriber Instruction 2</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i/>
                <w:iCs/>
                <w:sz w:val="20"/>
                <w:lang w:eastAsia="en-AU"/>
              </w:rPr>
            </w:pPr>
            <w:r w:rsidRPr="00423A22">
              <w:rPr>
                <w:rFonts w:ascii="Arial Narrow" w:hAnsi="Arial Narrow"/>
                <w:i/>
                <w:iCs/>
                <w:sz w:val="20"/>
                <w:lang w:eastAsia="en-AU"/>
              </w:rPr>
              <w:t>Consultation with a multidisciplinary team may be necessary in the diagnosis of idiopathic pulmonary fibrosis (IPF). The multidisciplinary team may comprise of at least a pulmonologist, radiologist and where required, pathologist.</w:t>
            </w:r>
          </w:p>
          <w:p w:rsidR="003D2EAC" w:rsidRPr="00423A22" w:rsidRDefault="003D2EAC" w:rsidP="003E28D0">
            <w:pPr>
              <w:widowControl/>
              <w:jc w:val="left"/>
              <w:rPr>
                <w:rFonts w:ascii="Arial Narrow" w:hAnsi="Arial Narrow" w:cs="Calibri"/>
                <w:bCs/>
                <w:i/>
                <w:snapToGrid/>
                <w:sz w:val="20"/>
              </w:rPr>
            </w:pP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Authority applications for initial treatment must be made in writing and must include:</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(a) a completed authority prescription form; and</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(b) a completed IPF Initial PBS authority application form which includes:</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w:t>
            </w:r>
            <w:proofErr w:type="spellStart"/>
            <w:r w:rsidRPr="00423A22">
              <w:rPr>
                <w:rFonts w:ascii="Arial Narrow" w:hAnsi="Arial Narrow" w:cs="Calibri"/>
                <w:bCs/>
                <w:i/>
                <w:snapToGrid/>
                <w:sz w:val="20"/>
              </w:rPr>
              <w:t>i</w:t>
            </w:r>
            <w:proofErr w:type="spellEnd"/>
            <w:r w:rsidRPr="00423A22">
              <w:rPr>
                <w:rFonts w:ascii="Arial Narrow" w:hAnsi="Arial Narrow" w:cs="Calibri"/>
                <w:bCs/>
                <w:i/>
                <w:snapToGrid/>
                <w:sz w:val="20"/>
              </w:rPr>
              <w:t>) a copy of the high-resolution computed tomographic scan with or without surgical lung biopsy results confirming the diagnosis of IPF</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(ii) a copy of the respiratory function test results showing Forced Vital Capacity (FVC) equal to or greater than</w:t>
            </w:r>
            <w:r w:rsidR="003E28D0">
              <w:rPr>
                <w:rFonts w:ascii="Arial Narrow" w:hAnsi="Arial Narrow" w:cs="Calibri"/>
                <w:bCs/>
                <w:i/>
                <w:snapToGrid/>
                <w:sz w:val="20"/>
              </w:rPr>
              <w:t xml:space="preserve"> </w:t>
            </w:r>
            <w:r w:rsidRPr="00423A22">
              <w:rPr>
                <w:rFonts w:ascii="Arial Narrow" w:hAnsi="Arial Narrow" w:cs="Calibri"/>
                <w:bCs/>
                <w:i/>
                <w:snapToGrid/>
                <w:sz w:val="20"/>
              </w:rPr>
              <w:t>50%</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AND</w:t>
            </w:r>
          </w:p>
          <w:p w:rsidR="003D2EAC" w:rsidRPr="00423A22" w:rsidRDefault="003D2EAC" w:rsidP="003E28D0">
            <w:pPr>
              <w:widowControl/>
              <w:jc w:val="left"/>
              <w:rPr>
                <w:rFonts w:ascii="Arial Narrow" w:hAnsi="Arial Narrow"/>
                <w:snapToGrid/>
                <w:sz w:val="20"/>
                <w:lang w:eastAsia="en-AU"/>
              </w:rPr>
            </w:pPr>
            <w:r w:rsidRPr="00423A22">
              <w:rPr>
                <w:rFonts w:ascii="Arial Narrow" w:hAnsi="Arial Narrow" w:cs="Times New Roman"/>
                <w:i/>
                <w:snapToGrid/>
                <w:sz w:val="20"/>
                <w:lang w:eastAsia="en-AU"/>
              </w:rPr>
              <w:t xml:space="preserve">(iii) </w:t>
            </w:r>
            <w:proofErr w:type="gramStart"/>
            <w:r w:rsidRPr="00423A22">
              <w:rPr>
                <w:rFonts w:ascii="Arial Narrow" w:hAnsi="Arial Narrow" w:cs="Times New Roman"/>
                <w:i/>
                <w:snapToGrid/>
                <w:sz w:val="20"/>
                <w:lang w:eastAsia="en-AU"/>
              </w:rPr>
              <w:t>a</w:t>
            </w:r>
            <w:proofErr w:type="gramEnd"/>
            <w:r w:rsidRPr="00423A22">
              <w:rPr>
                <w:rFonts w:ascii="Arial Narrow" w:hAnsi="Arial Narrow" w:cs="Times New Roman"/>
                <w:i/>
                <w:snapToGrid/>
                <w:sz w:val="20"/>
                <w:lang w:eastAsia="en-AU"/>
              </w:rPr>
              <w:t xml:space="preserve"> copy of the percent predicted carbon monoxide diffusing capacity (DL</w:t>
            </w:r>
            <w:r w:rsidRPr="00423A22">
              <w:rPr>
                <w:rFonts w:ascii="Arial Narrow" w:hAnsi="Arial Narrow" w:cs="Times New Roman"/>
                <w:i/>
                <w:snapToGrid/>
                <w:sz w:val="20"/>
                <w:vertAlign w:val="subscript"/>
                <w:lang w:eastAsia="en-AU"/>
              </w:rPr>
              <w:t>CO</w:t>
            </w:r>
            <w:r w:rsidRPr="00423A22">
              <w:rPr>
                <w:rFonts w:ascii="Arial Narrow" w:hAnsi="Arial Narrow" w:cs="Times New Roman"/>
                <w:i/>
                <w:snapToGrid/>
                <w:sz w:val="20"/>
                <w:lang w:eastAsia="en-AU"/>
              </w:rPr>
              <w:t>) equal or greater than 30%.</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Administrative Advice 1</w:t>
            </w:r>
          </w:p>
          <w:p w:rsidR="003D2EAC" w:rsidRPr="00423A22" w:rsidRDefault="003D2EAC" w:rsidP="00A03590">
            <w:pPr>
              <w:widowControl/>
              <w:rPr>
                <w:rFonts w:ascii="Arial Narrow" w:hAnsi="Arial Narrow"/>
                <w:i/>
                <w:snapToGrid/>
                <w:sz w:val="20"/>
                <w:lang w:eastAsia="en-AU"/>
              </w:rPr>
            </w:pPr>
          </w:p>
          <w:p w:rsidR="003D2EAC" w:rsidRPr="00423A22" w:rsidRDefault="003D2EAC" w:rsidP="00A03590">
            <w:pPr>
              <w:widowControl/>
              <w:rPr>
                <w:rFonts w:ascii="Arial Narrow" w:hAnsi="Arial Narrow"/>
                <w:i/>
                <w:snapToGrid/>
                <w:sz w:val="20"/>
                <w:lang w:eastAsia="en-AU"/>
              </w:rPr>
            </w:pPr>
          </w:p>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Administrative Advice 2</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maximum quantities will be authorised.</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repeats will be authorised.</w:t>
            </w:r>
          </w:p>
          <w:p w:rsidR="003D2EAC" w:rsidRPr="00423A22" w:rsidRDefault="003D2EAC" w:rsidP="003E28D0">
            <w:pPr>
              <w:widowControl/>
              <w:jc w:val="left"/>
              <w:rPr>
                <w:rFonts w:ascii="Arial Narrow" w:hAnsi="Arial Narrow" w:cs="Calibri"/>
                <w:bCs/>
                <w:i/>
                <w:snapToGrid/>
                <w:sz w:val="20"/>
              </w:rPr>
            </w:pP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Any queries concerning the arrangements to prescribe may be directed to the Department of Human Services on 1800 700 270 (hours of operation 8 a.m. to 5 p.m. EST Monday to Friday).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Prescribing information (including Authority Application forms and other relevant documentation as applicable) is available on the Department of Human Services website at www.humanservices.gov.au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Applications for authority to prescribe should be forwarded to: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Department of Human Services</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Prior Written Approval of Complex Drugs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Reply Paid 9826 </w:t>
            </w:r>
          </w:p>
          <w:p w:rsidR="003D2EAC" w:rsidRPr="00745EA4"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HOBART TAS 7001</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Cautions</w:t>
            </w:r>
          </w:p>
        </w:tc>
        <w:tc>
          <w:tcPr>
            <w:tcW w:w="6379" w:type="dxa"/>
            <w:gridSpan w:val="6"/>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bl>
    <w:p w:rsidR="003D2EAC" w:rsidRDefault="003D2EAC" w:rsidP="003364E0">
      <w:pPr>
        <w:widowControl/>
      </w:pPr>
    </w:p>
    <w:p w:rsidR="003D2EAC" w:rsidRDefault="003D2EAC" w:rsidP="003364E0">
      <w:pPr>
        <w:widowControl/>
      </w:pPr>
    </w:p>
    <w:tbl>
      <w:tblPr>
        <w:tblW w:w="8505" w:type="dxa"/>
        <w:tblInd w:w="817" w:type="dxa"/>
        <w:tblLayout w:type="fixed"/>
        <w:tblLook w:val="0000" w:firstRow="0" w:lastRow="0" w:firstColumn="0" w:lastColumn="0" w:noHBand="0" w:noVBand="0"/>
      </w:tblPr>
      <w:tblGrid>
        <w:gridCol w:w="2126"/>
        <w:gridCol w:w="6379"/>
      </w:tblGrid>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b/>
                <w:snapToGrid/>
                <w:sz w:val="20"/>
                <w:lang w:eastAsia="en-AU"/>
              </w:rPr>
            </w:pPr>
            <w:r w:rsidRPr="00423A22">
              <w:rPr>
                <w:rFonts w:ascii="Arial Narrow" w:hAnsi="Arial Narrow"/>
                <w:b/>
                <w:snapToGrid/>
                <w:sz w:val="20"/>
                <w:lang w:eastAsia="en-AU"/>
              </w:rPr>
              <w:t>Category / Program</w:t>
            </w:r>
          </w:p>
        </w:tc>
        <w:tc>
          <w:tcPr>
            <w:tcW w:w="6379" w:type="dxa"/>
            <w:tcBorders>
              <w:top w:val="single" w:sz="4" w:space="0" w:color="auto"/>
              <w:left w:val="single" w:sz="4" w:space="0" w:color="auto"/>
              <w:bottom w:val="single" w:sz="4" w:space="0" w:color="auto"/>
              <w:right w:val="single" w:sz="4" w:space="0" w:color="auto"/>
            </w:tcBorders>
          </w:tcPr>
          <w:p w:rsidR="003D2EAC" w:rsidRPr="00745EA4" w:rsidRDefault="003D2EAC" w:rsidP="00A03590">
            <w:pPr>
              <w:widowControl/>
              <w:spacing w:before="20" w:after="20"/>
              <w:jc w:val="left"/>
              <w:rPr>
                <w:rFonts w:ascii="Arial Narrow" w:hAnsi="Arial Narrow" w:cs="Calibri"/>
                <w:bCs/>
                <w:i/>
                <w:strike/>
                <w:snapToGrid/>
                <w:sz w:val="20"/>
              </w:rPr>
            </w:pPr>
            <w:r w:rsidRPr="00745EA4">
              <w:rPr>
                <w:rFonts w:ascii="Arial Narrow" w:hAnsi="Arial Narrow" w:cs="Calibri"/>
                <w:bCs/>
                <w:i/>
                <w:strike/>
                <w:snapToGrid/>
                <w:sz w:val="20"/>
              </w:rPr>
              <w:t>Section 100 – Highly Specialised Drugs Program (Community Access)</w:t>
            </w:r>
          </w:p>
          <w:p w:rsidR="003D2EAC" w:rsidRPr="00423A22" w:rsidRDefault="003D2EAC" w:rsidP="003E28D0">
            <w:pPr>
              <w:widowControl/>
              <w:jc w:val="left"/>
              <w:rPr>
                <w:rFonts w:ascii="Arial Narrow" w:hAnsi="Arial Narrow"/>
                <w:snapToGrid/>
                <w:sz w:val="20"/>
                <w:lang w:eastAsia="en-AU"/>
              </w:rPr>
            </w:pPr>
            <w:r w:rsidRPr="00423A22">
              <w:rPr>
                <w:rFonts w:ascii="Arial Narrow" w:hAnsi="Arial Narrow"/>
                <w:snapToGrid/>
                <w:sz w:val="20"/>
                <w:lang w:eastAsia="en-AU"/>
              </w:rPr>
              <w:t>GENERAL – General Schedule (Code GE)</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b/>
                <w:snapToGrid/>
                <w:sz w:val="20"/>
                <w:lang w:eastAsia="en-AU"/>
              </w:rPr>
            </w:pPr>
            <w:r w:rsidRPr="00423A22">
              <w:rPr>
                <w:rFonts w:ascii="Arial Narrow" w:hAnsi="Arial Narrow"/>
                <w:b/>
                <w:snapToGrid/>
                <w:sz w:val="20"/>
                <w:lang w:eastAsia="en-AU"/>
              </w:rPr>
              <w:t>Prescriber type:</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Dental  </w:t>
            </w: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Medical Practitioners  </w:t>
            </w:r>
            <w:r w:rsidRPr="00423A22">
              <w:rPr>
                <w:rFonts w:ascii="Arial Narrow" w:hAnsi="Arial Narrow"/>
                <w:snapToGrid/>
                <w:sz w:val="20"/>
                <w:lang w:eastAsia="en-AU"/>
              </w:rPr>
              <w:fldChar w:fldCharType="begin">
                <w:ffData>
                  <w:name w:val="Check3"/>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Nurse practitioners  </w:t>
            </w: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Optometrists</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Midwives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lastRenderedPageBreak/>
              <w:t>Episodicity:</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Continuing treatment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Restriction Level / Method:</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Restricted benefit</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In Writing</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3"/>
                  <w:enabled/>
                  <w:calcOnExit w:val="0"/>
                  <w:checkBox>
                    <w:sizeAuto/>
                    <w:default w:val="1"/>
                  </w:checkBox>
                </w:ffData>
              </w:fldChar>
            </w:r>
            <w:bookmarkStart w:id="14" w:name="Check3"/>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bookmarkEnd w:id="14"/>
            <w:r w:rsidRPr="00423A22">
              <w:rPr>
                <w:rFonts w:ascii="Arial Narrow" w:hAnsi="Arial Narrow"/>
                <w:snapToGrid/>
                <w:sz w:val="20"/>
                <w:lang w:eastAsia="en-AU"/>
              </w:rPr>
              <w:t>Authority Required - Telephone</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Emergency</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Electronic</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Streamlined</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jc w:val="left"/>
              <w:rPr>
                <w:rFonts w:ascii="Arial Narrow" w:hAnsi="Arial Narrow"/>
                <w:snapToGrid/>
                <w:sz w:val="20"/>
                <w:lang w:eastAsia="en-AU"/>
              </w:rPr>
            </w:pPr>
            <w:r w:rsidRPr="00423A22">
              <w:rPr>
                <w:rFonts w:ascii="Arial Narrow" w:hAnsi="Arial Narrow"/>
                <w:b/>
                <w:snapToGrid/>
                <w:sz w:val="20"/>
                <w:lang w:eastAsia="en-AU"/>
              </w:rPr>
              <w:t>Treatment criteria:</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jc w:val="left"/>
              <w:rPr>
                <w:rFonts w:ascii="Arial Narrow" w:hAnsi="Arial Narrow"/>
                <w:snapToGrid/>
                <w:sz w:val="20"/>
                <w:lang w:eastAsia="en-AU"/>
              </w:rPr>
            </w:pPr>
            <w:r w:rsidRPr="00423A22">
              <w:rPr>
                <w:rFonts w:ascii="Arial Narrow" w:hAnsi="Arial Narrow" w:cs="Times New Roman"/>
                <w:i/>
                <w:snapToGrid/>
                <w:sz w:val="20"/>
                <w:lang w:eastAsia="en-AU"/>
              </w:rPr>
              <w:t>Must be treated by a respiratory physician or specialist physician experienced in the management of patients with idiopathic pulmonary fibrosis.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Clinical criteria:</w:t>
            </w:r>
          </w:p>
          <w:p w:rsidR="003D2EAC" w:rsidRPr="00423A22" w:rsidRDefault="003D2EAC" w:rsidP="003E28D0">
            <w:pPr>
              <w:widowControl/>
              <w:rPr>
                <w:rFonts w:ascii="Arial Narrow" w:hAnsi="Arial Narrow"/>
                <w:snapToGrid/>
                <w:sz w:val="20"/>
                <w:lang w:eastAsia="en-AU"/>
              </w:rPr>
            </w:pPr>
            <w:r w:rsidRPr="00423A22">
              <w:rPr>
                <w:rFonts w:ascii="Arial Narrow" w:hAnsi="Arial Narrow"/>
                <w:i/>
                <w:snapToGrid/>
                <w:sz w:val="20"/>
                <w:lang w:eastAsia="en-AU"/>
              </w:rPr>
              <w:t>(To be finalised)</w:t>
            </w:r>
          </w:p>
        </w:tc>
        <w:tc>
          <w:tcPr>
            <w:tcW w:w="6379" w:type="dxa"/>
            <w:tcBorders>
              <w:top w:val="single" w:sz="4" w:space="0" w:color="auto"/>
              <w:left w:val="single" w:sz="4" w:space="0" w:color="auto"/>
              <w:bottom w:val="single" w:sz="4" w:space="0" w:color="auto"/>
              <w:right w:val="single" w:sz="4" w:space="0" w:color="auto"/>
            </w:tcBorders>
          </w:tcPr>
          <w:p w:rsidR="003D2EAC" w:rsidRPr="00AE3D1A" w:rsidRDefault="003D2EAC" w:rsidP="00A03590">
            <w:pPr>
              <w:widowControl/>
              <w:spacing w:before="20" w:after="20"/>
              <w:jc w:val="left"/>
              <w:rPr>
                <w:rFonts w:ascii="Arial Narrow" w:hAnsi="Arial Narrow" w:cs="Calibri"/>
                <w:bCs/>
                <w:i/>
                <w:snapToGrid/>
                <w:sz w:val="20"/>
              </w:rPr>
            </w:pPr>
            <w:r w:rsidRPr="00423A22">
              <w:rPr>
                <w:rFonts w:ascii="Arial Narrow" w:hAnsi="Arial Narrow" w:cs="Calibri"/>
                <w:bCs/>
                <w:i/>
                <w:snapToGrid/>
                <w:sz w:val="20"/>
              </w:rPr>
              <w:t>Patient must have previously received PBS subsidised treatment with this drug.</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snapToGrid/>
                <w:sz w:val="20"/>
                <w:lang w:eastAsia="en-AU"/>
              </w:rPr>
            </w:pPr>
            <w:r w:rsidRPr="00423A22">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3D2EAC" w:rsidRPr="00AE3D1A" w:rsidRDefault="003D2EAC" w:rsidP="00A03590">
            <w:pPr>
              <w:widowControl/>
              <w:jc w:val="left"/>
              <w:rPr>
                <w:rFonts w:ascii="Arial Narrow" w:hAnsi="Arial Narrow"/>
                <w:i/>
                <w:snapToGrid/>
                <w:sz w:val="20"/>
                <w:lang w:eastAsia="en-AU"/>
              </w:rPr>
            </w:pPr>
            <w:r w:rsidRPr="00423A22">
              <w:rPr>
                <w:rFonts w:ascii="Arial Narrow" w:hAnsi="Arial Narrow"/>
                <w:i/>
                <w:snapToGrid/>
                <w:sz w:val="20"/>
                <w:lang w:eastAsia="en-AU"/>
              </w:rPr>
              <w:t>Patient must be aged 40 years or older.</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snapToGrid/>
                <w:sz w:val="20"/>
                <w:lang w:eastAsia="en-AU"/>
              </w:rPr>
            </w:pPr>
            <w:r w:rsidRPr="00423A22">
              <w:rPr>
                <w:rFonts w:ascii="Arial Narrow" w:hAnsi="Arial Narrow"/>
                <w:b/>
                <w:snapToGrid/>
                <w:sz w:val="20"/>
                <w:lang w:eastAsia="en-AU"/>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Administrative Advice 1</w:t>
            </w:r>
          </w:p>
          <w:p w:rsidR="003D2EAC" w:rsidRDefault="003D2EAC" w:rsidP="00A03590">
            <w:pPr>
              <w:widowControl/>
              <w:rPr>
                <w:rFonts w:ascii="Arial Narrow" w:hAnsi="Arial Narrow"/>
                <w:b/>
                <w:snapToGrid/>
                <w:sz w:val="20"/>
                <w:lang w:eastAsia="en-AU"/>
              </w:rPr>
            </w:pPr>
          </w:p>
          <w:p w:rsidR="003364E0" w:rsidRPr="00423A22" w:rsidRDefault="003364E0" w:rsidP="00A03590">
            <w:pPr>
              <w:widowControl/>
              <w:rPr>
                <w:rFonts w:ascii="Arial Narrow" w:hAnsi="Arial Narrow"/>
                <w:b/>
                <w:snapToGrid/>
                <w:sz w:val="20"/>
                <w:lang w:eastAsia="en-AU"/>
              </w:rPr>
            </w:pPr>
          </w:p>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Administrative Advice 2</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maximum quantities will be authorised.</w:t>
            </w:r>
          </w:p>
          <w:p w:rsidR="003D2EAC"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repeats will be authorised.</w:t>
            </w:r>
          </w:p>
          <w:p w:rsidR="003364E0" w:rsidRPr="00423A22" w:rsidRDefault="003364E0" w:rsidP="003E28D0">
            <w:pPr>
              <w:widowControl/>
              <w:jc w:val="left"/>
              <w:rPr>
                <w:rFonts w:ascii="Arial Narrow" w:hAnsi="Arial Narrow" w:cs="Calibri"/>
                <w:bCs/>
                <w:i/>
                <w:snapToGrid/>
                <w:sz w:val="20"/>
              </w:rPr>
            </w:pP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Any queries concerning the arrangements to prescribe may be directed to the Department of Human Services on 1800 700 270 (hours of operation 8 a.m. to 5 p.m. EST Monday to Friday).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Prescribing information (including Authority Application forms and other relevant documentation as applicable) is available on the Department of Human Services website at www.humanservices.gov.au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Applications for authority to prescribe should be forwarded to: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Department of Human Services</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Prior Written Approval of Complex Drugs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Reply Paid 9826 </w:t>
            </w:r>
          </w:p>
          <w:p w:rsidR="003D2EAC" w:rsidRPr="00423A22" w:rsidRDefault="003D2EAC" w:rsidP="003E28D0">
            <w:pPr>
              <w:widowControl/>
              <w:jc w:val="left"/>
              <w:rPr>
                <w:rFonts w:ascii="Arial Narrow" w:hAnsi="Arial Narrow"/>
                <w:snapToGrid/>
                <w:sz w:val="20"/>
                <w:lang w:eastAsia="en-AU"/>
              </w:rPr>
            </w:pPr>
            <w:r w:rsidRPr="00423A22">
              <w:rPr>
                <w:rFonts w:ascii="Arial Narrow" w:hAnsi="Arial Narrow" w:cs="Calibri"/>
                <w:bCs/>
                <w:i/>
                <w:snapToGrid/>
                <w:sz w:val="20"/>
              </w:rPr>
              <w:t>HOBART TAS 7001</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Cautions</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bl>
    <w:p w:rsidR="003D2EAC" w:rsidRDefault="003D2EAC" w:rsidP="00E813E0">
      <w:pPr>
        <w:widowControl/>
      </w:pPr>
    </w:p>
    <w:tbl>
      <w:tblPr>
        <w:tblW w:w="8505" w:type="dxa"/>
        <w:tblInd w:w="817" w:type="dxa"/>
        <w:tblLayout w:type="fixed"/>
        <w:tblLook w:val="0000" w:firstRow="0" w:lastRow="0" w:firstColumn="0" w:lastColumn="0" w:noHBand="0" w:noVBand="0"/>
      </w:tblPr>
      <w:tblGrid>
        <w:gridCol w:w="2126"/>
        <w:gridCol w:w="6379"/>
      </w:tblGrid>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b/>
                <w:snapToGrid/>
                <w:sz w:val="20"/>
                <w:lang w:eastAsia="en-AU"/>
              </w:rPr>
            </w:pPr>
            <w:r w:rsidRPr="00423A22">
              <w:rPr>
                <w:rFonts w:ascii="Arial Narrow" w:hAnsi="Arial Narrow"/>
                <w:b/>
                <w:snapToGrid/>
                <w:sz w:val="20"/>
                <w:lang w:eastAsia="en-AU"/>
              </w:rPr>
              <w:t>Category / Program</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spacing w:before="20" w:after="20"/>
              <w:jc w:val="left"/>
              <w:rPr>
                <w:rFonts w:ascii="Calibri" w:hAnsi="Calibri" w:cs="Calibri"/>
                <w:bCs/>
                <w:i/>
                <w:strike/>
                <w:snapToGrid/>
                <w:sz w:val="20"/>
              </w:rPr>
            </w:pPr>
            <w:r w:rsidRPr="00423A22">
              <w:rPr>
                <w:rFonts w:ascii="Calibri" w:hAnsi="Calibri" w:cs="Calibri"/>
                <w:bCs/>
                <w:i/>
                <w:strike/>
                <w:snapToGrid/>
                <w:sz w:val="20"/>
              </w:rPr>
              <w:t>Section 100 – Highly Specialised Drugs Program (Community Access)</w:t>
            </w:r>
          </w:p>
          <w:p w:rsidR="003D2EAC" w:rsidRPr="00423A22" w:rsidRDefault="003D2EAC" w:rsidP="003E28D0">
            <w:pPr>
              <w:widowControl/>
              <w:spacing w:before="20" w:after="20"/>
              <w:jc w:val="left"/>
              <w:rPr>
                <w:rFonts w:ascii="Arial Narrow" w:hAnsi="Arial Narrow"/>
                <w:snapToGrid/>
                <w:sz w:val="20"/>
                <w:lang w:eastAsia="en-AU"/>
              </w:rPr>
            </w:pPr>
            <w:r w:rsidRPr="00423A22">
              <w:rPr>
                <w:rFonts w:ascii="Arial Narrow" w:hAnsi="Arial Narrow"/>
                <w:bCs/>
                <w:snapToGrid/>
                <w:sz w:val="20"/>
              </w:rPr>
              <w:t>GENERAL – General Schedule (Code GE)</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b/>
                <w:snapToGrid/>
                <w:sz w:val="20"/>
                <w:lang w:eastAsia="en-AU"/>
              </w:rPr>
            </w:pPr>
            <w:r w:rsidRPr="00423A22">
              <w:rPr>
                <w:rFonts w:ascii="Arial Narrow" w:hAnsi="Arial Narrow"/>
                <w:b/>
                <w:snapToGrid/>
                <w:sz w:val="20"/>
                <w:lang w:eastAsia="en-AU"/>
              </w:rPr>
              <w:t>Prescriber type:</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Dental  </w:t>
            </w: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Medical Practitioners  </w:t>
            </w:r>
            <w:r w:rsidRPr="00423A22">
              <w:rPr>
                <w:rFonts w:ascii="Arial Narrow" w:hAnsi="Arial Narrow"/>
                <w:snapToGrid/>
                <w:sz w:val="20"/>
                <w:lang w:eastAsia="en-AU"/>
              </w:rPr>
              <w:fldChar w:fldCharType="begin">
                <w:ffData>
                  <w:name w:val="Check3"/>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Nurse practitioners  </w:t>
            </w: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Optometrists</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Midwives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i/>
                <w:snapToGrid/>
                <w:sz w:val="20"/>
                <w:lang w:eastAsia="en-AU"/>
              </w:rPr>
              <w:t>Initial PBS-subsidised treatment</w:t>
            </w:r>
            <w:r w:rsidRPr="00423A22">
              <w:rPr>
                <w:rFonts w:ascii="Arial Narrow" w:hAnsi="Arial Narrow"/>
                <w:snapToGrid/>
                <w:sz w:val="20"/>
                <w:lang w:eastAsia="en-AU"/>
              </w:rPr>
              <w:t xml:space="preserve"> (grandfather patient)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lastRenderedPageBreak/>
              <w:t>Restriction Level / Method:</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Restricted benefit</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In Writing</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3"/>
                  <w:enabled/>
                  <w:calcOnExit w:val="0"/>
                  <w:checkBox>
                    <w:sizeAuto/>
                    <w:default w:val="1"/>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Telephone</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Emergency</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Electronic</w:t>
            </w:r>
          </w:p>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A60BD0">
              <w:rPr>
                <w:rFonts w:ascii="Arial Narrow" w:hAnsi="Arial Narrow"/>
                <w:snapToGrid/>
                <w:sz w:val="20"/>
                <w:lang w:eastAsia="en-AU"/>
              </w:rPr>
            </w:r>
            <w:r w:rsidR="00A60BD0">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Streamlined</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jc w:val="left"/>
              <w:rPr>
                <w:rFonts w:ascii="Arial Narrow" w:hAnsi="Arial Narrow"/>
                <w:snapToGrid/>
                <w:sz w:val="20"/>
                <w:lang w:eastAsia="en-AU"/>
              </w:rPr>
            </w:pPr>
            <w:r w:rsidRPr="00423A22">
              <w:rPr>
                <w:rFonts w:ascii="Arial Narrow" w:hAnsi="Arial Narrow"/>
                <w:b/>
                <w:snapToGrid/>
                <w:sz w:val="20"/>
                <w:lang w:eastAsia="en-AU"/>
              </w:rPr>
              <w:t>Treatment criteria:</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cs="Times New Roman"/>
                <w:i/>
                <w:snapToGrid/>
                <w:sz w:val="20"/>
                <w:lang w:eastAsia="en-AU"/>
              </w:rPr>
              <w:t>Must be treated by a respiratory physician or specialist physician experienced in the management of patients with idiopathic pulmonary fibrosis.</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snapToGrid/>
                <w:sz w:val="20"/>
                <w:lang w:eastAsia="en-AU"/>
              </w:rPr>
            </w:pPr>
            <w:r w:rsidRPr="00423A22">
              <w:rPr>
                <w:rFonts w:ascii="Arial Narrow" w:hAnsi="Arial Narrow"/>
                <w:b/>
                <w:snapToGrid/>
                <w:sz w:val="20"/>
                <w:lang w:eastAsia="en-AU"/>
              </w:rPr>
              <w:t>Clinical criteria</w:t>
            </w:r>
          </w:p>
          <w:p w:rsidR="003D2EAC" w:rsidRPr="00423A22" w:rsidRDefault="003D2EAC" w:rsidP="00A03590">
            <w:pPr>
              <w:widowControl/>
              <w:rPr>
                <w:rFonts w:ascii="Arial Narrow" w:hAnsi="Arial Narrow"/>
                <w:snapToGrid/>
                <w:sz w:val="20"/>
                <w:lang w:eastAsia="en-AU"/>
              </w:rPr>
            </w:pPr>
            <w:r w:rsidRPr="00423A22">
              <w:rPr>
                <w:rFonts w:ascii="Arial Narrow" w:hAnsi="Arial Narrow"/>
                <w:i/>
                <w:snapToGrid/>
                <w:sz w:val="20"/>
                <w:lang w:eastAsia="en-AU"/>
              </w:rPr>
              <w:t>(To be finalised)</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cs="Times New Roman"/>
                <w:i/>
                <w:snapToGrid/>
                <w:sz w:val="20"/>
                <w:lang w:eastAsia="en-AU"/>
              </w:rPr>
              <w:t>Patient must have received non-PBS subsidised treatment with this drug prior to [listing date]</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snapToGrid/>
                <w:sz w:val="20"/>
                <w:lang w:eastAsia="en-AU"/>
              </w:rPr>
            </w:pPr>
            <w:r w:rsidRPr="00423A22">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snapToGrid/>
                <w:sz w:val="20"/>
                <w:lang w:eastAsia="en-AU"/>
              </w:rPr>
            </w:pPr>
            <w:r w:rsidRPr="00423A22">
              <w:rPr>
                <w:rFonts w:ascii="Arial Narrow" w:hAnsi="Arial Narrow"/>
                <w:iCs/>
                <w:sz w:val="20"/>
                <w:lang w:eastAsia="en-AU"/>
              </w:rPr>
              <w:t>Patient must be aged 40 years or older.</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snapToGrid/>
                <w:sz w:val="20"/>
                <w:lang w:eastAsia="en-AU"/>
              </w:rPr>
            </w:pPr>
            <w:r w:rsidRPr="00423A22">
              <w:rPr>
                <w:rFonts w:ascii="Arial Narrow" w:hAnsi="Arial Narrow"/>
                <w:b/>
                <w:snapToGrid/>
                <w:sz w:val="20"/>
                <w:lang w:eastAsia="en-AU"/>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rPr>
                <w:rFonts w:ascii="Arial Narrow" w:hAnsi="Arial Narrow"/>
                <w:b/>
                <w:snapToGrid/>
                <w:sz w:val="20"/>
                <w:lang w:eastAsia="en-AU"/>
              </w:rPr>
            </w:pPr>
            <w:r w:rsidRPr="00423A22">
              <w:rPr>
                <w:rFonts w:ascii="Arial Narrow" w:hAnsi="Arial Narrow"/>
                <w:b/>
                <w:snapToGrid/>
                <w:sz w:val="20"/>
                <w:lang w:eastAsia="en-AU"/>
              </w:rPr>
              <w:t>Administrative Advice 1</w:t>
            </w:r>
          </w:p>
          <w:p w:rsidR="003D2EAC" w:rsidRDefault="003D2EAC" w:rsidP="00A03590">
            <w:pPr>
              <w:widowControl/>
              <w:rPr>
                <w:rFonts w:ascii="Arial Narrow" w:hAnsi="Arial Narrow"/>
                <w:i/>
                <w:snapToGrid/>
                <w:sz w:val="20"/>
                <w:lang w:eastAsia="en-AU"/>
              </w:rPr>
            </w:pPr>
          </w:p>
          <w:p w:rsidR="003364E0" w:rsidRPr="00423A22" w:rsidRDefault="003364E0" w:rsidP="00A03590">
            <w:pPr>
              <w:widowControl/>
              <w:rPr>
                <w:rFonts w:ascii="Arial Narrow" w:hAnsi="Arial Narrow"/>
                <w:i/>
                <w:snapToGrid/>
                <w:sz w:val="20"/>
                <w:lang w:eastAsia="en-AU"/>
              </w:rPr>
            </w:pPr>
          </w:p>
          <w:p w:rsidR="003D2EAC" w:rsidRPr="00423A22" w:rsidRDefault="003D2EAC" w:rsidP="003364E0">
            <w:pPr>
              <w:widowControl/>
              <w:rPr>
                <w:rFonts w:ascii="Arial Narrow" w:hAnsi="Arial Narrow"/>
                <w:i/>
                <w:snapToGrid/>
                <w:sz w:val="20"/>
                <w:lang w:eastAsia="en-AU"/>
              </w:rPr>
            </w:pPr>
            <w:r w:rsidRPr="00423A22">
              <w:rPr>
                <w:rFonts w:ascii="Arial Narrow" w:hAnsi="Arial Narrow"/>
                <w:b/>
                <w:snapToGrid/>
                <w:sz w:val="20"/>
                <w:lang w:eastAsia="en-AU"/>
              </w:rPr>
              <w:t>Administrative Advice 2</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maximum quantities will be authorised.</w:t>
            </w:r>
          </w:p>
          <w:p w:rsidR="003D2EAC"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repeats will be authorised.</w:t>
            </w:r>
          </w:p>
          <w:p w:rsidR="003364E0" w:rsidRPr="00423A22" w:rsidRDefault="003364E0" w:rsidP="003E28D0">
            <w:pPr>
              <w:widowControl/>
              <w:jc w:val="left"/>
              <w:rPr>
                <w:rFonts w:ascii="Arial Narrow" w:hAnsi="Arial Narrow" w:cs="Calibri"/>
                <w:bCs/>
                <w:i/>
                <w:snapToGrid/>
                <w:sz w:val="20"/>
              </w:rPr>
            </w:pP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Any queries concerning the arrangements to prescribe may be directed to the Department of Human Services on 1800 700 270 (hours of operation 8 a.m. to 5 p.m. EST Monday to Friday).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Prescribing information (including Authority Application forms and other relevant documentation as applicable) is available on the Department of Human Services website at www.humanservices.gov.au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Applications for authority to prescribe should be forwarded to: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Department of Human Services</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Prior Written Approval of Complex Drugs </w:t>
            </w:r>
          </w:p>
          <w:p w:rsidR="003D2EAC" w:rsidRPr="00423A22"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 xml:space="preserve">Reply Paid 9826 </w:t>
            </w:r>
          </w:p>
          <w:p w:rsidR="003D2EAC" w:rsidRPr="00AE3D1A" w:rsidRDefault="003D2EAC" w:rsidP="003E28D0">
            <w:pPr>
              <w:widowControl/>
              <w:jc w:val="left"/>
              <w:rPr>
                <w:rFonts w:ascii="Arial Narrow" w:hAnsi="Arial Narrow" w:cs="Calibri"/>
                <w:bCs/>
                <w:i/>
                <w:snapToGrid/>
                <w:sz w:val="20"/>
              </w:rPr>
            </w:pPr>
            <w:r w:rsidRPr="00423A22">
              <w:rPr>
                <w:rFonts w:ascii="Arial Narrow" w:hAnsi="Arial Narrow" w:cs="Calibri"/>
                <w:bCs/>
                <w:i/>
                <w:snapToGrid/>
                <w:sz w:val="20"/>
              </w:rPr>
              <w:t>HOBART TAS 7001</w:t>
            </w:r>
          </w:p>
        </w:tc>
      </w:tr>
      <w:tr w:rsidR="003D2EAC" w:rsidRPr="00423A22" w:rsidTr="00195589">
        <w:trPr>
          <w:cantSplit/>
          <w:trHeight w:val="360"/>
        </w:trPr>
        <w:tc>
          <w:tcPr>
            <w:tcW w:w="2126" w:type="dxa"/>
            <w:tcBorders>
              <w:top w:val="single" w:sz="4" w:space="0" w:color="auto"/>
              <w:left w:val="single" w:sz="4" w:space="0" w:color="auto"/>
              <w:bottom w:val="single" w:sz="4" w:space="0" w:color="auto"/>
              <w:right w:val="single" w:sz="4" w:space="0" w:color="auto"/>
            </w:tcBorders>
          </w:tcPr>
          <w:p w:rsidR="003D2EAC" w:rsidRPr="00423A22" w:rsidRDefault="003D2EAC" w:rsidP="003E28D0">
            <w:pPr>
              <w:widowControl/>
              <w:rPr>
                <w:rFonts w:ascii="Arial Narrow" w:hAnsi="Arial Narrow"/>
                <w:i/>
                <w:snapToGrid/>
                <w:sz w:val="20"/>
                <w:lang w:eastAsia="en-AU"/>
              </w:rPr>
            </w:pPr>
            <w:r w:rsidRPr="00423A22">
              <w:rPr>
                <w:rFonts w:ascii="Arial Narrow" w:hAnsi="Arial Narrow"/>
                <w:b/>
                <w:snapToGrid/>
                <w:sz w:val="20"/>
                <w:lang w:eastAsia="en-AU"/>
              </w:rPr>
              <w:t>Cautions</w:t>
            </w:r>
          </w:p>
        </w:tc>
        <w:tc>
          <w:tcPr>
            <w:tcW w:w="6379" w:type="dxa"/>
            <w:tcBorders>
              <w:top w:val="single" w:sz="4" w:space="0" w:color="auto"/>
              <w:left w:val="single" w:sz="4" w:space="0" w:color="auto"/>
              <w:bottom w:val="single" w:sz="4" w:space="0" w:color="auto"/>
              <w:right w:val="single" w:sz="4" w:space="0" w:color="auto"/>
            </w:tcBorders>
          </w:tcPr>
          <w:p w:rsidR="003D2EAC" w:rsidRPr="00423A22" w:rsidRDefault="003D2EAC" w:rsidP="00A03590">
            <w:pPr>
              <w:widowControl/>
              <w:jc w:val="left"/>
              <w:rPr>
                <w:rFonts w:ascii="Arial Narrow" w:hAnsi="Arial Narrow"/>
                <w:snapToGrid/>
                <w:sz w:val="20"/>
                <w:lang w:eastAsia="en-AU"/>
              </w:rPr>
            </w:pPr>
            <w:r w:rsidRPr="00423A22">
              <w:rPr>
                <w:rFonts w:ascii="Arial Narrow" w:hAnsi="Arial Narrow"/>
                <w:snapToGrid/>
                <w:sz w:val="20"/>
                <w:lang w:eastAsia="en-AU"/>
              </w:rPr>
              <w:t>-</w:t>
            </w:r>
          </w:p>
        </w:tc>
      </w:tr>
    </w:tbl>
    <w:p w:rsidR="003D2EAC" w:rsidRDefault="003D2EAC" w:rsidP="001E158C">
      <w:pPr>
        <w:widowControl/>
      </w:pPr>
    </w:p>
    <w:p w:rsidR="00301E4C" w:rsidRPr="00F27C6A" w:rsidRDefault="003D2EAC" w:rsidP="00B9372F">
      <w:pPr>
        <w:pStyle w:val="ListParagraph"/>
        <w:widowControl/>
        <w:numPr>
          <w:ilvl w:val="1"/>
          <w:numId w:val="2"/>
        </w:numPr>
        <w:rPr>
          <w:szCs w:val="22"/>
        </w:rPr>
      </w:pPr>
      <w:r w:rsidRPr="00F27C6A">
        <w:rPr>
          <w:szCs w:val="22"/>
        </w:rPr>
        <w:t xml:space="preserve">The submission sought listing on the basis of a cost utility analysis (CUA) comparing </w:t>
      </w:r>
      <w:proofErr w:type="spellStart"/>
      <w:r w:rsidRPr="00F27C6A">
        <w:rPr>
          <w:szCs w:val="22"/>
        </w:rPr>
        <w:t>pirfenidone</w:t>
      </w:r>
      <w:proofErr w:type="spellEnd"/>
      <w:r w:rsidRPr="00F27C6A">
        <w:rPr>
          <w:szCs w:val="22"/>
        </w:rPr>
        <w:t xml:space="preserve"> to best supportive care (BSC).</w:t>
      </w:r>
    </w:p>
    <w:p w:rsidR="00301E4C" w:rsidRPr="001E158C" w:rsidRDefault="00301E4C" w:rsidP="00301E4C">
      <w:pPr>
        <w:widowControl/>
        <w:rPr>
          <w:szCs w:val="22"/>
        </w:rPr>
      </w:pPr>
    </w:p>
    <w:p w:rsidR="00301E4C" w:rsidRPr="001E158C" w:rsidRDefault="00301E4C" w:rsidP="00B9372F">
      <w:pPr>
        <w:pStyle w:val="ListParagraph"/>
        <w:widowControl/>
        <w:numPr>
          <w:ilvl w:val="1"/>
          <w:numId w:val="2"/>
        </w:numPr>
        <w:rPr>
          <w:szCs w:val="22"/>
        </w:rPr>
      </w:pPr>
      <w:r w:rsidRPr="00EE6E2C">
        <w:rPr>
          <w:szCs w:val="22"/>
        </w:rPr>
        <w:t xml:space="preserve">The submission proposed a </w:t>
      </w:r>
      <w:r w:rsidR="00942648">
        <w:rPr>
          <w:szCs w:val="22"/>
        </w:rPr>
        <w:t xml:space="preserve">Special Pricing Arrangement (SPA) </w:t>
      </w:r>
      <w:r w:rsidRPr="00EE6E2C">
        <w:rPr>
          <w:szCs w:val="22"/>
        </w:rPr>
        <w:t xml:space="preserve">with </w:t>
      </w:r>
      <w:r w:rsidR="00AF4647">
        <w:rPr>
          <w:noProof/>
          <w:color w:val="000000"/>
          <w:szCs w:val="22"/>
          <w:highlight w:val="black"/>
        </w:rPr>
        <w:t>'''</w:t>
      </w:r>
      <w:r w:rsidRPr="00EE6E2C">
        <w:rPr>
          <w:szCs w:val="22"/>
        </w:rPr>
        <w:t xml:space="preserve">% rebate on the ex-manufacturer price for </w:t>
      </w:r>
      <w:proofErr w:type="spellStart"/>
      <w:r w:rsidRPr="00EE6E2C">
        <w:rPr>
          <w:szCs w:val="22"/>
        </w:rPr>
        <w:t>pirfenidone</w:t>
      </w:r>
      <w:proofErr w:type="spellEnd"/>
      <w:r w:rsidRPr="00EE6E2C">
        <w:rPr>
          <w:szCs w:val="22"/>
        </w:rPr>
        <w:t>.  This equate</w:t>
      </w:r>
      <w:r w:rsidR="0058187E" w:rsidRPr="00EE6E2C">
        <w:rPr>
          <w:szCs w:val="22"/>
        </w:rPr>
        <w:t>d</w:t>
      </w:r>
      <w:r w:rsidRPr="00EE6E2C">
        <w:rPr>
          <w:szCs w:val="22"/>
        </w:rPr>
        <w:t xml:space="preserve"> to an effective dispensed price for the maximum quantity (</w:t>
      </w:r>
      <w:proofErr w:type="spellStart"/>
      <w:r w:rsidRPr="00EE6E2C">
        <w:rPr>
          <w:szCs w:val="22"/>
        </w:rPr>
        <w:t>pirfenidone</w:t>
      </w:r>
      <w:proofErr w:type="spellEnd"/>
      <w:r w:rsidRPr="00EE6E2C">
        <w:rPr>
          <w:szCs w:val="22"/>
        </w:rPr>
        <w:t xml:space="preserve"> 267</w:t>
      </w:r>
      <w:r w:rsidR="001E158C">
        <w:rPr>
          <w:szCs w:val="22"/>
        </w:rPr>
        <w:t> </w:t>
      </w:r>
      <w:r w:rsidRPr="00EE6E2C">
        <w:rPr>
          <w:szCs w:val="22"/>
        </w:rPr>
        <w:t>mg x 270 capsules) of $</w:t>
      </w:r>
      <w:r w:rsidR="00AF4647">
        <w:rPr>
          <w:noProof/>
          <w:color w:val="000000"/>
          <w:szCs w:val="22"/>
          <w:highlight w:val="black"/>
        </w:rPr>
        <w:t>'''''''''''''''''''''''</w:t>
      </w:r>
      <w:r w:rsidRPr="00EE6E2C">
        <w:rPr>
          <w:szCs w:val="22"/>
        </w:rPr>
        <w:t xml:space="preserve"> in public hospitals and $</w:t>
      </w:r>
      <w:r w:rsidR="00AF4647">
        <w:rPr>
          <w:noProof/>
          <w:color w:val="000000"/>
          <w:szCs w:val="22"/>
          <w:highlight w:val="black"/>
        </w:rPr>
        <w:t>'''''''''''''''''''''</w:t>
      </w:r>
      <w:r w:rsidRPr="00EE6E2C">
        <w:rPr>
          <w:szCs w:val="22"/>
        </w:rPr>
        <w:t xml:space="preserve"> in private hospitals.  In addition, the submission indicated that the expiry of the </w:t>
      </w:r>
      <w:proofErr w:type="spellStart"/>
      <w:r w:rsidRPr="00EE6E2C">
        <w:rPr>
          <w:szCs w:val="22"/>
        </w:rPr>
        <w:t>pirfenidone</w:t>
      </w:r>
      <w:proofErr w:type="spellEnd"/>
      <w:r w:rsidRPr="00EE6E2C">
        <w:rPr>
          <w:szCs w:val="22"/>
        </w:rPr>
        <w:t xml:space="preserve"> patent in Australia is of further relevance to the requested price.  Following TGA approval, the sponsor anticipates that a data exclusivity period of 5 years will apply to </w:t>
      </w:r>
      <w:proofErr w:type="spellStart"/>
      <w:r w:rsidRPr="00EE6E2C">
        <w:rPr>
          <w:szCs w:val="22"/>
        </w:rPr>
        <w:t>pirfenidone</w:t>
      </w:r>
      <w:proofErr w:type="spellEnd"/>
      <w:r w:rsidRPr="00EE6E2C">
        <w:rPr>
          <w:szCs w:val="22"/>
        </w:rPr>
        <w:t xml:space="preserve"> prior to generic competition.  The submission assumed that a price reduction of </w:t>
      </w:r>
      <w:r w:rsidRPr="002D30C4">
        <w:rPr>
          <w:szCs w:val="22"/>
        </w:rPr>
        <w:t>47.4</w:t>
      </w:r>
      <w:r w:rsidRPr="00EE6E2C">
        <w:rPr>
          <w:szCs w:val="22"/>
        </w:rPr>
        <w:t xml:space="preserve">% will apply to </w:t>
      </w:r>
      <w:proofErr w:type="spellStart"/>
      <w:r w:rsidRPr="00EE6E2C">
        <w:rPr>
          <w:szCs w:val="22"/>
        </w:rPr>
        <w:t>pirfenidone</w:t>
      </w:r>
      <w:proofErr w:type="spellEnd"/>
      <w:r w:rsidRPr="00EE6E2C">
        <w:rPr>
          <w:szCs w:val="22"/>
        </w:rPr>
        <w:t xml:space="preserve"> following this period, consistent with the average reduction due to price disclosure claimed in the</w:t>
      </w:r>
      <w:r w:rsidR="0058187E" w:rsidRPr="00EE6E2C">
        <w:rPr>
          <w:szCs w:val="22"/>
        </w:rPr>
        <w:t xml:space="preserve"> Medicines</w:t>
      </w:r>
      <w:r w:rsidRPr="00EE6E2C">
        <w:rPr>
          <w:szCs w:val="22"/>
        </w:rPr>
        <w:t xml:space="preserve"> Australia 2015-16 Federal Government Budget submission.  This price reduction is incorporated into the economic evaluation.  Given that the submission has not included any commitment to mandate this price reduction 5 years post listing, the incorporation of this factor in the economic evaluation was </w:t>
      </w:r>
      <w:r w:rsidR="00430392">
        <w:rPr>
          <w:szCs w:val="22"/>
        </w:rPr>
        <w:t xml:space="preserve">considered by the evaluator to be </w:t>
      </w:r>
      <w:r w:rsidRPr="00EE6E2C">
        <w:rPr>
          <w:szCs w:val="22"/>
        </w:rPr>
        <w:t>highly inappropriate.  The extent of competition that will exist in the IPF market following the introduction of generics and following impacts on price disclosure cannot be predicted with certainty.  Consequently, the exclusion of this price reduction from the economic model was necessary with a revised based case being presented (refer to Economic analysis</w:t>
      </w:r>
      <w:r w:rsidR="0058187E" w:rsidRPr="00EE6E2C">
        <w:rPr>
          <w:szCs w:val="22"/>
        </w:rPr>
        <w:t xml:space="preserve"> below</w:t>
      </w:r>
      <w:r w:rsidRPr="00EE6E2C">
        <w:rPr>
          <w:szCs w:val="22"/>
        </w:rPr>
        <w:t xml:space="preserve">). </w:t>
      </w:r>
      <w:r w:rsidR="001E158C">
        <w:rPr>
          <w:szCs w:val="22"/>
        </w:rPr>
        <w:t xml:space="preserve"> </w:t>
      </w:r>
      <w:r w:rsidR="00BB11F7" w:rsidRPr="00EE6E2C">
        <w:rPr>
          <w:szCs w:val="22"/>
        </w:rPr>
        <w:t>The ESC agreed this is appropriate and the price reduction should not be factored in to the economic evaluation.</w:t>
      </w:r>
    </w:p>
    <w:p w:rsidR="00301E4C" w:rsidRPr="00F27C6A" w:rsidRDefault="00301E4C" w:rsidP="00301E4C">
      <w:pPr>
        <w:widowControl/>
        <w:rPr>
          <w:szCs w:val="22"/>
        </w:rPr>
      </w:pPr>
    </w:p>
    <w:p w:rsidR="005955C7" w:rsidRPr="001E158C" w:rsidRDefault="00301E4C" w:rsidP="00B9372F">
      <w:pPr>
        <w:pStyle w:val="ListParagraph"/>
        <w:widowControl/>
        <w:numPr>
          <w:ilvl w:val="1"/>
          <w:numId w:val="2"/>
        </w:numPr>
      </w:pPr>
      <w:r w:rsidRPr="00F27C6A">
        <w:t>Clinical criteria for ongoing therapy is limited to patients who have previously received PBS subsidised treatment or non-PBS subsidised treatment prior to listing.  Consequently</w:t>
      </w:r>
      <w:r w:rsidRPr="00B149C4">
        <w:t xml:space="preserve">, once initiated on treatment, there is the potential for therapy to occur indefinitely.  While this is consistent with the submission’s claim that chronic treatment will occur in clinical practice, it should be noted that the recent update to the American Thoracic Society (ATS) clinical practice guidelines for IPF (Raghu 2015) states that the current available evidence for </w:t>
      </w:r>
      <w:proofErr w:type="spellStart"/>
      <w:r w:rsidRPr="00B149C4">
        <w:t>pirfenidone</w:t>
      </w:r>
      <w:proofErr w:type="spellEnd"/>
      <w:r w:rsidRPr="00B149C4">
        <w:t xml:space="preserve"> does not allow suggestions about the optimal duration of therapy, and it is unknown how long treatment effect endures with ongoing therapies.</w:t>
      </w:r>
    </w:p>
    <w:p w:rsidR="005955C7" w:rsidRPr="001E158C" w:rsidRDefault="005955C7" w:rsidP="005955C7"/>
    <w:p w:rsidR="00301E4C" w:rsidRPr="00EE6E2C" w:rsidRDefault="00071F8F" w:rsidP="00B9372F">
      <w:pPr>
        <w:pStyle w:val="ListParagraph"/>
        <w:widowControl/>
        <w:numPr>
          <w:ilvl w:val="1"/>
          <w:numId w:val="2"/>
        </w:numPr>
      </w:pPr>
      <w:r w:rsidRPr="00EE6E2C">
        <w:t xml:space="preserve">The ESC discussed the difficulty of </w:t>
      </w:r>
      <w:r w:rsidR="005955C7" w:rsidRPr="00EE6E2C">
        <w:t>having a continuation rule</w:t>
      </w:r>
      <w:r w:rsidRPr="00EE6E2C">
        <w:t xml:space="preserve"> for IPF treatment</w:t>
      </w:r>
      <w:r w:rsidR="005955C7" w:rsidRPr="00EE6E2C">
        <w:t xml:space="preserve"> based on response</w:t>
      </w:r>
      <w:r w:rsidRPr="00EE6E2C">
        <w:t xml:space="preserve">. The </w:t>
      </w:r>
      <w:r w:rsidR="005955C7" w:rsidRPr="00EE6E2C">
        <w:t>purpose of treatment is to prevent progression of the disease, as once patients progress there can be no further gains in lung function. There is no way to know if patients are responding to treatment, only that they are not getting worse.</w:t>
      </w:r>
    </w:p>
    <w:p w:rsidR="00301E4C" w:rsidRPr="00EE6E2C" w:rsidRDefault="00301E4C" w:rsidP="00301E4C"/>
    <w:p w:rsidR="00EE70EA" w:rsidRPr="00EE6E2C" w:rsidRDefault="00301E4C" w:rsidP="00B9372F">
      <w:pPr>
        <w:pStyle w:val="ListParagraph"/>
        <w:widowControl/>
        <w:numPr>
          <w:ilvl w:val="1"/>
          <w:numId w:val="2"/>
        </w:numPr>
        <w:rPr>
          <w:szCs w:val="22"/>
        </w:rPr>
      </w:pPr>
      <w:r w:rsidRPr="00EE6E2C">
        <w:t xml:space="preserve">The requested restriction has not specified whether </w:t>
      </w:r>
      <w:proofErr w:type="spellStart"/>
      <w:r w:rsidRPr="00EE6E2C">
        <w:t>pirfenidone</w:t>
      </w:r>
      <w:proofErr w:type="spellEnd"/>
      <w:r w:rsidRPr="00EE6E2C">
        <w:t xml:space="preserve"> should be used as sole therapy for the treatment of IPF.  Combination treatment was not permitted in the pivotal trials.  Given the complex pathology of IPF, combination treatment with </w:t>
      </w:r>
      <w:proofErr w:type="spellStart"/>
      <w:r w:rsidRPr="00EE6E2C">
        <w:t>nintedanib</w:t>
      </w:r>
      <w:proofErr w:type="spellEnd"/>
      <w:r w:rsidRPr="00EE6E2C">
        <w:t xml:space="preserve"> and </w:t>
      </w:r>
      <w:proofErr w:type="spellStart"/>
      <w:r w:rsidRPr="00EE6E2C">
        <w:t>pirfenidone</w:t>
      </w:r>
      <w:proofErr w:type="spellEnd"/>
      <w:r w:rsidRPr="00EE6E2C">
        <w:t xml:space="preserve"> has been suggested in the literature as a possible future regimen for patients with definite or probable IPF (</w:t>
      </w:r>
      <w:proofErr w:type="spellStart"/>
      <w:r w:rsidRPr="00EE6E2C">
        <w:t>Wuyts</w:t>
      </w:r>
      <w:proofErr w:type="spellEnd"/>
      <w:r w:rsidRPr="00EE6E2C">
        <w:t xml:space="preserve"> 2014, Wells 2015).  </w:t>
      </w:r>
      <w:r w:rsidR="00EE70EA" w:rsidRPr="00EE6E2C">
        <w:rPr>
          <w:szCs w:val="22"/>
        </w:rPr>
        <w:t xml:space="preserve">The ESC considered that the combination of </w:t>
      </w:r>
      <w:proofErr w:type="spellStart"/>
      <w:r w:rsidR="00EE70EA" w:rsidRPr="00EE6E2C">
        <w:rPr>
          <w:szCs w:val="22"/>
        </w:rPr>
        <w:t>nintedanib</w:t>
      </w:r>
      <w:proofErr w:type="spellEnd"/>
      <w:r w:rsidR="00EE70EA" w:rsidRPr="00EE6E2C">
        <w:rPr>
          <w:szCs w:val="22"/>
        </w:rPr>
        <w:t xml:space="preserve"> and </w:t>
      </w:r>
      <w:proofErr w:type="spellStart"/>
      <w:r w:rsidR="00EE70EA" w:rsidRPr="00EE6E2C">
        <w:rPr>
          <w:szCs w:val="22"/>
        </w:rPr>
        <w:t>pirfenidone</w:t>
      </w:r>
      <w:proofErr w:type="spellEnd"/>
      <w:r w:rsidR="00EE70EA" w:rsidRPr="00EE6E2C">
        <w:rPr>
          <w:szCs w:val="22"/>
        </w:rPr>
        <w:t xml:space="preserve"> is not supported by clinical evidence and a note should be added to the Cautions in the PBS listing to advise prescribers that the combination should not be used.</w:t>
      </w:r>
    </w:p>
    <w:p w:rsidR="00301E4C" w:rsidRDefault="00301E4C" w:rsidP="00301E4C"/>
    <w:p w:rsidR="00753CD1" w:rsidRDefault="003364E0" w:rsidP="00EC35C9">
      <w:pPr>
        <w:ind w:left="709"/>
        <w:rPr>
          <w:i/>
        </w:rPr>
      </w:pPr>
      <w:r>
        <w:rPr>
          <w:i/>
        </w:rPr>
        <w:t>For m</w:t>
      </w:r>
      <w:r w:rsidR="00753CD1" w:rsidRPr="00A35AFB">
        <w:rPr>
          <w:i/>
        </w:rPr>
        <w:t>ore detail on PBAC’s view, see section 7 “PBAC outcome”</w:t>
      </w:r>
      <w:r w:rsidR="001E158C">
        <w:rPr>
          <w:i/>
        </w:rPr>
        <w:t>.</w:t>
      </w:r>
    </w:p>
    <w:p w:rsidR="001E158C" w:rsidRPr="00882085" w:rsidRDefault="001E158C" w:rsidP="00195589">
      <w:pPr>
        <w:spacing w:line="480" w:lineRule="auto"/>
      </w:pPr>
    </w:p>
    <w:p w:rsidR="00301E4C" w:rsidRPr="00864F01" w:rsidRDefault="00301E4C" w:rsidP="00195589">
      <w:pPr>
        <w:pStyle w:val="Heading1"/>
      </w:pPr>
      <w:bookmarkStart w:id="15" w:name="_Toc429176337"/>
      <w:bookmarkStart w:id="16" w:name="_Toc429395750"/>
      <w:bookmarkStart w:id="17" w:name="_Toc430075658"/>
      <w:r w:rsidRPr="00864F01">
        <w:t>Background</w:t>
      </w:r>
      <w:bookmarkEnd w:id="15"/>
      <w:bookmarkEnd w:id="16"/>
      <w:bookmarkEnd w:id="17"/>
    </w:p>
    <w:p w:rsidR="00301E4C" w:rsidRPr="00864F01" w:rsidRDefault="00301E4C" w:rsidP="00301E4C">
      <w:pPr>
        <w:rPr>
          <w:szCs w:val="22"/>
        </w:rPr>
      </w:pPr>
    </w:p>
    <w:p w:rsidR="00301E4C" w:rsidRPr="00EE6E2C" w:rsidRDefault="00864F01" w:rsidP="00B9372F">
      <w:pPr>
        <w:pStyle w:val="ListParagraph"/>
        <w:widowControl/>
        <w:numPr>
          <w:ilvl w:val="1"/>
          <w:numId w:val="2"/>
        </w:numPr>
        <w:rPr>
          <w:szCs w:val="22"/>
        </w:rPr>
      </w:pPr>
      <w:r w:rsidRPr="00EE6E2C">
        <w:rPr>
          <w:szCs w:val="22"/>
        </w:rPr>
        <w:t xml:space="preserve">The first round clinical evaluation report </w:t>
      </w:r>
      <w:r w:rsidR="00430392">
        <w:rPr>
          <w:szCs w:val="22"/>
        </w:rPr>
        <w:t xml:space="preserve">from the TGA </w:t>
      </w:r>
      <w:r w:rsidRPr="00EE6E2C">
        <w:rPr>
          <w:szCs w:val="22"/>
        </w:rPr>
        <w:t xml:space="preserve">was received just after the ESC meeting in October 2015. </w:t>
      </w:r>
      <w:r w:rsidR="001E158C">
        <w:rPr>
          <w:szCs w:val="22"/>
        </w:rPr>
        <w:t xml:space="preserve"> </w:t>
      </w:r>
      <w:r w:rsidR="00301E4C" w:rsidRPr="00EE6E2C">
        <w:rPr>
          <w:szCs w:val="22"/>
        </w:rPr>
        <w:t xml:space="preserve">The submission was made under the TGA/PBAC Parallel Process, with the delegate’s consideration expected in </w:t>
      </w:r>
      <w:r w:rsidR="00CD300D">
        <w:rPr>
          <w:szCs w:val="22"/>
        </w:rPr>
        <w:t>January</w:t>
      </w:r>
      <w:r w:rsidR="001E158C">
        <w:rPr>
          <w:szCs w:val="22"/>
        </w:rPr>
        <w:t xml:space="preserve"> 2016.</w:t>
      </w:r>
    </w:p>
    <w:p w:rsidR="00301E4C" w:rsidRDefault="00301E4C" w:rsidP="00195589">
      <w:pPr>
        <w:widowControl/>
        <w:spacing w:line="480" w:lineRule="auto"/>
        <w:jc w:val="left"/>
      </w:pPr>
    </w:p>
    <w:p w:rsidR="00301E4C" w:rsidRPr="00407F2D" w:rsidRDefault="00301E4C" w:rsidP="00195589">
      <w:pPr>
        <w:pStyle w:val="Heading1"/>
      </w:pPr>
      <w:bookmarkStart w:id="18" w:name="_Toc429176338"/>
      <w:bookmarkStart w:id="19" w:name="_Toc429395751"/>
      <w:bookmarkStart w:id="20" w:name="_Toc430075659"/>
      <w:r w:rsidRPr="00407F2D">
        <w:t>Clinical place for the proposed therapy</w:t>
      </w:r>
      <w:bookmarkEnd w:id="18"/>
      <w:bookmarkEnd w:id="19"/>
      <w:bookmarkEnd w:id="20"/>
    </w:p>
    <w:p w:rsidR="00301E4C" w:rsidRPr="00882085" w:rsidRDefault="00301E4C" w:rsidP="00195589">
      <w:pPr>
        <w:rPr>
          <w:szCs w:val="22"/>
        </w:rPr>
      </w:pPr>
    </w:p>
    <w:p w:rsidR="00301E4C" w:rsidRPr="00EA0FD2" w:rsidRDefault="00301E4C" w:rsidP="00195589">
      <w:pPr>
        <w:pStyle w:val="ListParagraph"/>
        <w:widowControl/>
        <w:numPr>
          <w:ilvl w:val="1"/>
          <w:numId w:val="2"/>
        </w:numPr>
        <w:rPr>
          <w:szCs w:val="22"/>
        </w:rPr>
      </w:pPr>
      <w:r w:rsidRPr="00EA0FD2">
        <w:t>IPF</w:t>
      </w:r>
      <w:r>
        <w:t xml:space="preserve"> is a specific form of chronic, progressive, fibrosing, idiopathic interstitial pneumonia (IIP).  It is the most common IIP and the most severe and frequently occurring of the broader category of all interstitial lung diseases (ILD).  IPF is an irreversible and fatal disease (median survival: 3 to 5 years), causing a progressive decline in lung function, which increasingly restricts routin</w:t>
      </w:r>
      <w:r w:rsidR="004A4F12">
        <w:t>e</w:t>
      </w:r>
      <w:r>
        <w:t xml:space="preserve"> physical activity due to disrupted alveolar-capillary barrier architecture, leading to impaired gas exchange.  No medications are listed on the PBS specific</w:t>
      </w:r>
      <w:r w:rsidR="003364E0">
        <w:t>ally for the treatment of IPF.</w:t>
      </w:r>
    </w:p>
    <w:p w:rsidR="00301E4C" w:rsidRPr="002C2775" w:rsidRDefault="00301E4C" w:rsidP="00301E4C">
      <w:pPr>
        <w:widowControl/>
        <w:rPr>
          <w:szCs w:val="22"/>
        </w:rPr>
      </w:pPr>
    </w:p>
    <w:p w:rsidR="00301E4C" w:rsidRDefault="00301E4C" w:rsidP="00B9372F">
      <w:pPr>
        <w:pStyle w:val="ListParagraph"/>
        <w:widowControl/>
        <w:numPr>
          <w:ilvl w:val="1"/>
          <w:numId w:val="2"/>
        </w:numPr>
        <w:rPr>
          <w:szCs w:val="22"/>
        </w:rPr>
      </w:pPr>
      <w:r w:rsidRPr="00EA0FD2">
        <w:rPr>
          <w:szCs w:val="22"/>
        </w:rPr>
        <w:t xml:space="preserve">The submission proposed that </w:t>
      </w:r>
      <w:proofErr w:type="spellStart"/>
      <w:r w:rsidRPr="00EA0FD2">
        <w:rPr>
          <w:szCs w:val="22"/>
        </w:rPr>
        <w:t>pirfenidone</w:t>
      </w:r>
      <w:proofErr w:type="spellEnd"/>
      <w:r w:rsidRPr="00EA0FD2">
        <w:rPr>
          <w:szCs w:val="22"/>
        </w:rPr>
        <w:t xml:space="preserve"> be given concomitantly with BSC for the treatment of IPF</w:t>
      </w:r>
      <w:r w:rsidR="0058187E">
        <w:rPr>
          <w:szCs w:val="22"/>
        </w:rPr>
        <w:t>.</w:t>
      </w:r>
    </w:p>
    <w:p w:rsidR="00DF40F4" w:rsidRPr="00DF40F4" w:rsidRDefault="00DF40F4" w:rsidP="00DF40F4">
      <w:pPr>
        <w:pStyle w:val="ListParagraph"/>
        <w:spacing w:line="720" w:lineRule="auto"/>
        <w:rPr>
          <w:szCs w:val="22"/>
        </w:rPr>
      </w:pPr>
    </w:p>
    <w:p w:rsidR="00301E4C" w:rsidRPr="00407F2D" w:rsidRDefault="00301E4C" w:rsidP="00195589">
      <w:pPr>
        <w:pStyle w:val="Heading1"/>
      </w:pPr>
      <w:bookmarkStart w:id="21" w:name="_Toc430075660"/>
      <w:r w:rsidRPr="00407F2D">
        <w:lastRenderedPageBreak/>
        <w:t>Comparator</w:t>
      </w:r>
      <w:bookmarkEnd w:id="21"/>
    </w:p>
    <w:p w:rsidR="00301E4C" w:rsidRPr="00882085" w:rsidRDefault="00301E4C" w:rsidP="00301E4C"/>
    <w:p w:rsidR="00301E4C" w:rsidRPr="00527EC2" w:rsidRDefault="00301E4C" w:rsidP="00B9372F">
      <w:pPr>
        <w:pStyle w:val="ListParagraph"/>
        <w:widowControl/>
        <w:numPr>
          <w:ilvl w:val="1"/>
          <w:numId w:val="2"/>
        </w:numPr>
        <w:rPr>
          <w:szCs w:val="22"/>
        </w:rPr>
      </w:pPr>
      <w:r w:rsidRPr="006E1730">
        <w:t xml:space="preserve">The submission nominated BSC as the main comparator.  </w:t>
      </w:r>
      <w:r w:rsidR="00C8669C">
        <w:t>The ESC considered this</w:t>
      </w:r>
      <w:r w:rsidRPr="00527EC2">
        <w:t xml:space="preserve"> was appropriate</w:t>
      </w:r>
      <w:r w:rsidR="0058187E" w:rsidRPr="00527EC2">
        <w:t>.</w:t>
      </w:r>
    </w:p>
    <w:p w:rsidR="00301E4C" w:rsidRPr="003364E0" w:rsidRDefault="00301E4C" w:rsidP="00301E4C">
      <w:pPr>
        <w:widowControl/>
        <w:rPr>
          <w:szCs w:val="22"/>
        </w:rPr>
      </w:pPr>
    </w:p>
    <w:p w:rsidR="00301E4C" w:rsidRPr="00B50DB8" w:rsidRDefault="00301E4C" w:rsidP="00B9372F">
      <w:pPr>
        <w:pStyle w:val="ListParagraph"/>
        <w:widowControl/>
        <w:numPr>
          <w:ilvl w:val="1"/>
          <w:numId w:val="2"/>
        </w:numPr>
        <w:rPr>
          <w:szCs w:val="22"/>
        </w:rPr>
      </w:pPr>
      <w:r w:rsidRPr="006E1730">
        <w:rPr>
          <w:szCs w:val="22"/>
        </w:rPr>
        <w:t>The submission state</w:t>
      </w:r>
      <w:r>
        <w:rPr>
          <w:szCs w:val="22"/>
        </w:rPr>
        <w:t>d</w:t>
      </w:r>
      <w:r w:rsidRPr="006E1730">
        <w:rPr>
          <w:szCs w:val="22"/>
        </w:rPr>
        <w:t xml:space="preserve"> that the sponsor </w:t>
      </w:r>
      <w:r>
        <w:rPr>
          <w:szCs w:val="22"/>
        </w:rPr>
        <w:t>wa</w:t>
      </w:r>
      <w:r w:rsidRPr="006E1730">
        <w:rPr>
          <w:szCs w:val="22"/>
        </w:rPr>
        <w:t>s aware that nintedanib, another novel agent for the treatment of IPF</w:t>
      </w:r>
      <w:r w:rsidR="0058187E">
        <w:rPr>
          <w:szCs w:val="22"/>
        </w:rPr>
        <w:t>,</w:t>
      </w:r>
      <w:r w:rsidRPr="006E1730">
        <w:rPr>
          <w:szCs w:val="22"/>
        </w:rPr>
        <w:t xml:space="preserve"> was considered by the PBAC at the March 2015 meeting.  Although this agent </w:t>
      </w:r>
      <w:r>
        <w:rPr>
          <w:szCs w:val="22"/>
        </w:rPr>
        <w:t>has</w:t>
      </w:r>
      <w:r w:rsidRPr="006E1730">
        <w:rPr>
          <w:szCs w:val="22"/>
        </w:rPr>
        <w:t xml:space="preserve"> yet to be TGA approved or PBS listed, the submission included nintedanib as a supplementary comparator on the basis that it is also used for the t</w:t>
      </w:r>
      <w:r w:rsidR="003364E0">
        <w:rPr>
          <w:szCs w:val="22"/>
        </w:rPr>
        <w:t>reatment of patients with IPF.</w:t>
      </w:r>
    </w:p>
    <w:p w:rsidR="00753CD1" w:rsidRDefault="00753CD1" w:rsidP="00753CD1"/>
    <w:p w:rsidR="00753CD1" w:rsidRDefault="003364E0" w:rsidP="00EC35C9">
      <w:pPr>
        <w:ind w:left="709"/>
        <w:rPr>
          <w:i/>
        </w:rPr>
      </w:pPr>
      <w:r>
        <w:rPr>
          <w:i/>
        </w:rPr>
        <w:t>For m</w:t>
      </w:r>
      <w:r w:rsidR="00753CD1" w:rsidRPr="00A35AFB">
        <w:rPr>
          <w:i/>
        </w:rPr>
        <w:t>ore detail on PBAC’s view, see section 7 “PBAC outcome”</w:t>
      </w:r>
      <w:r>
        <w:rPr>
          <w:i/>
        </w:rPr>
        <w:t>.</w:t>
      </w:r>
    </w:p>
    <w:p w:rsidR="0058187E" w:rsidRDefault="0058187E" w:rsidP="00195589">
      <w:pPr>
        <w:spacing w:line="480" w:lineRule="auto"/>
        <w:rPr>
          <w:szCs w:val="22"/>
        </w:rPr>
      </w:pPr>
    </w:p>
    <w:p w:rsidR="00301E4C" w:rsidRPr="00407F2D" w:rsidRDefault="00301E4C" w:rsidP="00195589">
      <w:pPr>
        <w:pStyle w:val="Heading1"/>
      </w:pPr>
      <w:bookmarkStart w:id="22" w:name="_Toc429176339"/>
      <w:bookmarkStart w:id="23" w:name="_Toc429395752"/>
      <w:bookmarkStart w:id="24" w:name="_Toc430075661"/>
      <w:r>
        <w:t>C</w:t>
      </w:r>
      <w:r w:rsidRPr="00407F2D">
        <w:t>onsideration of the evidence</w:t>
      </w:r>
      <w:bookmarkEnd w:id="22"/>
      <w:bookmarkEnd w:id="23"/>
      <w:bookmarkEnd w:id="24"/>
    </w:p>
    <w:p w:rsidR="00301E4C" w:rsidRDefault="00301E4C" w:rsidP="00301E4C"/>
    <w:p w:rsidR="00CD300D" w:rsidRPr="00493D5D" w:rsidRDefault="00CD300D" w:rsidP="00195589">
      <w:pPr>
        <w:pStyle w:val="Heading2"/>
      </w:pPr>
      <w:r w:rsidRPr="00493D5D">
        <w:t>Sponsor hearing</w:t>
      </w:r>
    </w:p>
    <w:p w:rsidR="00CD300D" w:rsidRDefault="00CD300D" w:rsidP="00CD300D"/>
    <w:p w:rsidR="00CD300D" w:rsidRDefault="00CD300D" w:rsidP="00B9372F">
      <w:pPr>
        <w:pStyle w:val="ListParagraph"/>
        <w:widowControl/>
        <w:numPr>
          <w:ilvl w:val="1"/>
          <w:numId w:val="2"/>
        </w:numPr>
      </w:pPr>
      <w:r>
        <w:t>There was no hearing for this item.</w:t>
      </w:r>
    </w:p>
    <w:p w:rsidR="00CD300D" w:rsidRDefault="00CD300D" w:rsidP="00CD300D"/>
    <w:p w:rsidR="00CD300D" w:rsidRDefault="00CD300D" w:rsidP="00195589">
      <w:pPr>
        <w:pStyle w:val="Heading2"/>
      </w:pPr>
      <w:r w:rsidRPr="00493D5D">
        <w:t>Consumer comments</w:t>
      </w:r>
    </w:p>
    <w:p w:rsidR="00E46F83" w:rsidRPr="008E74B4" w:rsidRDefault="00E46F83" w:rsidP="00CD300D"/>
    <w:p w:rsidR="00CD300D" w:rsidRDefault="00CD300D" w:rsidP="00B9372F">
      <w:pPr>
        <w:pStyle w:val="ListParagraph"/>
        <w:widowControl/>
        <w:numPr>
          <w:ilvl w:val="1"/>
          <w:numId w:val="2"/>
        </w:numPr>
      </w:pPr>
      <w:r>
        <w:t>The PBAC noted and welcome</w:t>
      </w:r>
      <w:r w:rsidR="00E46F83">
        <w:t>d the input from individuals (48), health care professionals (4</w:t>
      </w:r>
      <w:r>
        <w:t xml:space="preserve">) and organisations (3) via the Consumer Comments facility on the PBS website.  The comments described </w:t>
      </w:r>
      <w:r w:rsidR="00466AF8">
        <w:t xml:space="preserve">the benefits of treatment with </w:t>
      </w:r>
      <w:proofErr w:type="spellStart"/>
      <w:r w:rsidR="00466AF8">
        <w:t>pirfenidone</w:t>
      </w:r>
      <w:proofErr w:type="spellEnd"/>
      <w:r>
        <w:t xml:space="preserve"> in patients with IPF in slowing down the progression of IPF and improving the quality of life.</w:t>
      </w:r>
      <w:r w:rsidR="003364E0">
        <w:t xml:space="preserve"> </w:t>
      </w:r>
      <w:r>
        <w:t xml:space="preserve"> The comments also requested the PBAC eligibility for the drug include patients with FVC &lt;50% because the patients with FVC 40-50% may still be functional, though they were excluded from clinical trial</w:t>
      </w:r>
      <w:r w:rsidR="00466AF8">
        <w:t>s</w:t>
      </w:r>
      <w:r>
        <w:t xml:space="preserve">. </w:t>
      </w:r>
      <w:r w:rsidR="003364E0">
        <w:t xml:space="preserve"> </w:t>
      </w:r>
      <w:r>
        <w:t>It was further commented that c</w:t>
      </w:r>
      <w:r w:rsidRPr="000A543F">
        <w:t>onfirmation of diagnosis via a designated tertiary hospital w</w:t>
      </w:r>
      <w:r w:rsidR="008E74B4">
        <w:t>ould</w:t>
      </w:r>
      <w:r w:rsidRPr="000A543F">
        <w:t xml:space="preserve"> make it difficult to access the drug for respiratory physicians working outside the metropolitan areas</w:t>
      </w:r>
      <w:r>
        <w:t>.</w:t>
      </w:r>
    </w:p>
    <w:p w:rsidR="00CD300D" w:rsidRDefault="00CD300D" w:rsidP="00CD300D"/>
    <w:p w:rsidR="00CD300D" w:rsidRDefault="00CD300D" w:rsidP="00B9372F">
      <w:pPr>
        <w:pStyle w:val="ListParagraph"/>
        <w:widowControl/>
        <w:numPr>
          <w:ilvl w:val="1"/>
          <w:numId w:val="2"/>
        </w:numPr>
      </w:pPr>
      <w:r>
        <w:t xml:space="preserve">The PBAC noted the advice received from Lung Foundation Australia, Department of Respiratory and Sleep Medicine, RPA hospital NSW, and Department of Respiratory Medicine, Eastern Health Victoria clarifying the likely use of </w:t>
      </w:r>
      <w:proofErr w:type="spellStart"/>
      <w:r w:rsidR="00466AF8">
        <w:t>pirfenidone</w:t>
      </w:r>
      <w:proofErr w:type="spellEnd"/>
      <w:r>
        <w:t xml:space="preserve"> in clinical practice.  The organisations provided advice in support of PBS listing</w:t>
      </w:r>
      <w:r w:rsidR="008F259B" w:rsidRPr="008F259B">
        <w:t xml:space="preserve"> </w:t>
      </w:r>
      <w:r w:rsidR="008F259B">
        <w:t>given the anti-fibrotic treatments improve the prognosis for patients, with The Lung Foundation noting these drugs</w:t>
      </w:r>
      <w:r>
        <w:t xml:space="preserve"> been shown to alter the natural history of IPF. </w:t>
      </w:r>
      <w:r w:rsidR="003364E0">
        <w:t xml:space="preserve"> </w:t>
      </w:r>
      <w:r>
        <w:t xml:space="preserve">However, Department of Respiratory and Sleep Medicine, RPA hospital NSW stated that 20% of patients referred to the Australian IPF Registry were over-diagnosed with IPF. </w:t>
      </w:r>
      <w:r w:rsidR="008E74B4">
        <w:t xml:space="preserve"> </w:t>
      </w:r>
      <w:r>
        <w:t>Thus, it was strongly recommended</w:t>
      </w:r>
      <w:r w:rsidR="008E74B4">
        <w:t xml:space="preserve"> to</w:t>
      </w:r>
      <w:r>
        <w:t xml:space="preserve"> </w:t>
      </w:r>
      <w:r w:rsidR="00C8669C">
        <w:t>r</w:t>
      </w:r>
      <w:r w:rsidR="008E74B4">
        <w:t>estrict</w:t>
      </w:r>
      <w:r>
        <w:t xml:space="preserve"> this medication to specialist centres only, where an accurate IPF diagnosis could be made via specialist interstitial lung disease (ILD) multidisciplinary team. </w:t>
      </w:r>
      <w:r w:rsidR="008E74B4">
        <w:t xml:space="preserve"> </w:t>
      </w:r>
      <w:r>
        <w:t>This w</w:t>
      </w:r>
      <w:r w:rsidR="008E74B4">
        <w:t>ould</w:t>
      </w:r>
      <w:r>
        <w:t xml:space="preserve"> enable controlled prescription to patients with accurate IPF diagnosis and prevent over-prescription by non-ILD specialists.</w:t>
      </w:r>
    </w:p>
    <w:p w:rsidR="00CD300D" w:rsidRDefault="00CD300D" w:rsidP="00CD300D">
      <w:pPr>
        <w:widowControl/>
      </w:pPr>
    </w:p>
    <w:p w:rsidR="00CD300D" w:rsidRPr="00882085" w:rsidRDefault="00CD300D" w:rsidP="00B9372F">
      <w:pPr>
        <w:pStyle w:val="ListParagraph"/>
        <w:widowControl/>
        <w:numPr>
          <w:ilvl w:val="1"/>
          <w:numId w:val="2"/>
        </w:numPr>
      </w:pPr>
      <w:r>
        <w:t>The PBAC noted that this advice was supportive of the evidence provided in the submission.</w:t>
      </w:r>
    </w:p>
    <w:p w:rsidR="00E46F83" w:rsidRPr="008E74B4" w:rsidRDefault="00E46F83" w:rsidP="000333E0">
      <w:pPr>
        <w:pStyle w:val="BodyText"/>
        <w:spacing w:line="720" w:lineRule="auto"/>
      </w:pPr>
      <w:bookmarkStart w:id="25" w:name="_Toc429176340"/>
      <w:bookmarkStart w:id="26" w:name="_Toc429395753"/>
      <w:bookmarkStart w:id="27" w:name="_Toc430075662"/>
    </w:p>
    <w:p w:rsidR="00301E4C" w:rsidRPr="002C2775" w:rsidRDefault="00301E4C" w:rsidP="0045035F">
      <w:pPr>
        <w:pStyle w:val="Heading2"/>
      </w:pPr>
      <w:r w:rsidRPr="002C2775">
        <w:lastRenderedPageBreak/>
        <w:t>Clinical trials</w:t>
      </w:r>
      <w:bookmarkEnd w:id="25"/>
      <w:bookmarkEnd w:id="26"/>
      <w:bookmarkEnd w:id="27"/>
    </w:p>
    <w:p w:rsidR="00301E4C" w:rsidRPr="00882085" w:rsidRDefault="00301E4C" w:rsidP="00301E4C">
      <w:pPr>
        <w:rPr>
          <w:szCs w:val="22"/>
        </w:rPr>
      </w:pPr>
    </w:p>
    <w:p w:rsidR="00301E4C" w:rsidRPr="00B50DB8" w:rsidRDefault="00301E4C" w:rsidP="00B9372F">
      <w:pPr>
        <w:pStyle w:val="ListParagraph"/>
        <w:widowControl/>
        <w:numPr>
          <w:ilvl w:val="1"/>
          <w:numId w:val="2"/>
        </w:numPr>
        <w:rPr>
          <w:szCs w:val="22"/>
        </w:rPr>
      </w:pPr>
      <w:r w:rsidRPr="00862502">
        <w:t xml:space="preserve">The submission </w:t>
      </w:r>
      <w:r>
        <w:t>wa</w:t>
      </w:r>
      <w:r w:rsidRPr="00862502">
        <w:t xml:space="preserve">s based on </w:t>
      </w:r>
      <w:r>
        <w:t>three</w:t>
      </w:r>
      <w:r w:rsidRPr="00862502">
        <w:t xml:space="preserve"> head-to-head trial</w:t>
      </w:r>
      <w:r>
        <w:t>s</w:t>
      </w:r>
      <w:r w:rsidRPr="00862502">
        <w:t xml:space="preserve"> comparing </w:t>
      </w:r>
      <w:proofErr w:type="spellStart"/>
      <w:r>
        <w:t>pirfenidone</w:t>
      </w:r>
      <w:proofErr w:type="spellEnd"/>
      <w:r w:rsidRPr="00862502">
        <w:t xml:space="preserve"> to </w:t>
      </w:r>
      <w:r>
        <w:t>placebo: ASCEND</w:t>
      </w:r>
      <w:r w:rsidRPr="00862502">
        <w:t xml:space="preserve"> (n=</w:t>
      </w:r>
      <w:r>
        <w:t>555</w:t>
      </w:r>
      <w:r w:rsidRPr="00862502">
        <w:t>)</w:t>
      </w:r>
      <w:r>
        <w:t xml:space="preserve">, </w:t>
      </w:r>
      <w:r w:rsidRPr="00B6755E">
        <w:t>CAPACITY-2</w:t>
      </w:r>
      <w:r>
        <w:t xml:space="preserve"> (n=435) and CAPACITY-1 (n=344)</w:t>
      </w:r>
      <w:r w:rsidRPr="00862502">
        <w:t>.</w:t>
      </w:r>
    </w:p>
    <w:p w:rsidR="00301E4C" w:rsidRPr="00862502" w:rsidRDefault="00301E4C" w:rsidP="00301E4C">
      <w:pPr>
        <w:widowControl/>
        <w:rPr>
          <w:szCs w:val="22"/>
        </w:rPr>
      </w:pPr>
    </w:p>
    <w:p w:rsidR="00301E4C" w:rsidRPr="00B50DB8" w:rsidRDefault="00301E4C" w:rsidP="00B9372F">
      <w:pPr>
        <w:pStyle w:val="ListParagraph"/>
        <w:widowControl/>
        <w:numPr>
          <w:ilvl w:val="1"/>
          <w:numId w:val="2"/>
        </w:numPr>
        <w:rPr>
          <w:szCs w:val="22"/>
        </w:rPr>
      </w:pPr>
      <w:r w:rsidRPr="00B50DB8">
        <w:rPr>
          <w:szCs w:val="22"/>
        </w:rPr>
        <w:t>Details of the trials presented in the submission a</w:t>
      </w:r>
      <w:r w:rsidR="008E74B4">
        <w:rPr>
          <w:szCs w:val="22"/>
        </w:rPr>
        <w:t>re provided in the table below.</w:t>
      </w:r>
    </w:p>
    <w:p w:rsidR="00301E4C" w:rsidRPr="00862502" w:rsidRDefault="00301E4C" w:rsidP="00195589">
      <w:pPr>
        <w:widowControl/>
        <w:rPr>
          <w:szCs w:val="22"/>
        </w:rPr>
      </w:pPr>
    </w:p>
    <w:p w:rsidR="00301E4C" w:rsidRDefault="00301E4C" w:rsidP="003D2EAC">
      <w:pPr>
        <w:widowControl/>
        <w:ind w:firstLine="720"/>
        <w:jc w:val="left"/>
        <w:rPr>
          <w:rStyle w:val="CommentReference"/>
        </w:rPr>
      </w:pPr>
      <w:r w:rsidRPr="000812CA">
        <w:rPr>
          <w:rStyle w:val="CommentReference"/>
        </w:rPr>
        <w:t>Table</w:t>
      </w:r>
      <w:r>
        <w:rPr>
          <w:rStyle w:val="CommentReference"/>
        </w:rPr>
        <w:t xml:space="preserve"> 1</w:t>
      </w:r>
      <w:r w:rsidRPr="000812CA">
        <w:rPr>
          <w:rStyle w:val="CommentReference"/>
        </w:rPr>
        <w:t>: Trials and associated reports presented in the submission</w:t>
      </w:r>
    </w:p>
    <w:tbl>
      <w:tblPr>
        <w:tblW w:w="470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43"/>
        <w:gridCol w:w="143"/>
        <w:gridCol w:w="4984"/>
        <w:gridCol w:w="2268"/>
      </w:tblGrid>
      <w:tr w:rsidR="00301E4C" w:rsidRPr="00951B07" w:rsidTr="008E74B4">
        <w:trPr>
          <w:trHeight w:val="20"/>
        </w:trPr>
        <w:tc>
          <w:tcPr>
            <w:tcW w:w="669" w:type="pct"/>
          </w:tcPr>
          <w:p w:rsidR="00301E4C" w:rsidRPr="00951B07" w:rsidRDefault="00301E4C" w:rsidP="00ED5652">
            <w:pPr>
              <w:jc w:val="left"/>
              <w:rPr>
                <w:rFonts w:ascii="Arial Narrow" w:hAnsi="Arial Narrow"/>
                <w:b/>
                <w:sz w:val="20"/>
              </w:rPr>
            </w:pPr>
            <w:r w:rsidRPr="00951B07">
              <w:rPr>
                <w:rFonts w:ascii="Arial Narrow" w:hAnsi="Arial Narrow"/>
                <w:b/>
                <w:sz w:val="20"/>
              </w:rPr>
              <w:t>Trial ID</w:t>
            </w:r>
          </w:p>
        </w:tc>
        <w:tc>
          <w:tcPr>
            <w:tcW w:w="3002" w:type="pct"/>
            <w:gridSpan w:val="2"/>
          </w:tcPr>
          <w:p w:rsidR="00301E4C" w:rsidRPr="00951B07" w:rsidRDefault="00301E4C" w:rsidP="00ED5652">
            <w:pPr>
              <w:jc w:val="center"/>
              <w:rPr>
                <w:rFonts w:ascii="Arial Narrow" w:hAnsi="Arial Narrow"/>
                <w:b/>
                <w:sz w:val="20"/>
              </w:rPr>
            </w:pPr>
            <w:r w:rsidRPr="00951B07">
              <w:rPr>
                <w:rFonts w:ascii="Arial Narrow" w:hAnsi="Arial Narrow"/>
                <w:b/>
                <w:sz w:val="20"/>
              </w:rPr>
              <w:t>Protocol title/ Publication title</w:t>
            </w:r>
          </w:p>
        </w:tc>
        <w:tc>
          <w:tcPr>
            <w:tcW w:w="1328" w:type="pct"/>
          </w:tcPr>
          <w:p w:rsidR="00301E4C" w:rsidRPr="00951B07" w:rsidRDefault="00301E4C" w:rsidP="00ED5652">
            <w:pPr>
              <w:jc w:val="center"/>
              <w:rPr>
                <w:rFonts w:ascii="Arial Narrow" w:hAnsi="Arial Narrow"/>
                <w:b/>
                <w:sz w:val="20"/>
              </w:rPr>
            </w:pPr>
            <w:r w:rsidRPr="00951B07">
              <w:rPr>
                <w:rFonts w:ascii="Arial Narrow" w:hAnsi="Arial Narrow"/>
                <w:b/>
                <w:sz w:val="20"/>
              </w:rPr>
              <w:t>Publication citation</w:t>
            </w:r>
          </w:p>
        </w:tc>
      </w:tr>
      <w:tr w:rsidR="00301E4C" w:rsidRPr="00951B07" w:rsidTr="008E74B4">
        <w:trPr>
          <w:trHeight w:val="20"/>
        </w:trPr>
        <w:tc>
          <w:tcPr>
            <w:tcW w:w="5000" w:type="pct"/>
            <w:gridSpan w:val="4"/>
          </w:tcPr>
          <w:p w:rsidR="00301E4C" w:rsidRPr="00951B07" w:rsidRDefault="00301E4C" w:rsidP="00ED5652">
            <w:pPr>
              <w:jc w:val="left"/>
              <w:rPr>
                <w:rFonts w:ascii="Arial Narrow" w:hAnsi="Arial Narrow"/>
                <w:b/>
                <w:sz w:val="20"/>
              </w:rPr>
            </w:pPr>
            <w:proofErr w:type="spellStart"/>
            <w:r w:rsidRPr="00951B07">
              <w:rPr>
                <w:rFonts w:ascii="Arial Narrow" w:hAnsi="Arial Narrow"/>
                <w:b/>
                <w:sz w:val="20"/>
              </w:rPr>
              <w:t>Pirfenidone</w:t>
            </w:r>
            <w:proofErr w:type="spellEnd"/>
            <w:r w:rsidRPr="00951B07">
              <w:rPr>
                <w:rFonts w:ascii="Arial Narrow" w:hAnsi="Arial Narrow"/>
                <w:b/>
                <w:sz w:val="20"/>
              </w:rPr>
              <w:t xml:space="preserve"> trials</w:t>
            </w:r>
          </w:p>
        </w:tc>
      </w:tr>
      <w:tr w:rsidR="00301E4C" w:rsidRPr="00951B07" w:rsidTr="008E74B4">
        <w:trPr>
          <w:trHeight w:val="20"/>
        </w:trPr>
        <w:tc>
          <w:tcPr>
            <w:tcW w:w="753" w:type="pct"/>
            <w:gridSpan w:val="2"/>
            <w:vMerge w:val="restart"/>
          </w:tcPr>
          <w:p w:rsidR="00301E4C" w:rsidRPr="00951B07" w:rsidRDefault="00301E4C" w:rsidP="00ED5652">
            <w:pPr>
              <w:jc w:val="left"/>
              <w:rPr>
                <w:rFonts w:ascii="Arial Narrow" w:hAnsi="Arial Narrow"/>
                <w:sz w:val="20"/>
              </w:rPr>
            </w:pPr>
            <w:r w:rsidRPr="00951B07">
              <w:rPr>
                <w:rFonts w:ascii="Arial Narrow" w:hAnsi="Arial Narrow"/>
                <w:sz w:val="20"/>
              </w:rPr>
              <w:t>PIPF-016 (ASCEND)</w:t>
            </w:r>
          </w:p>
        </w:tc>
        <w:tc>
          <w:tcPr>
            <w:tcW w:w="2919" w:type="pct"/>
            <w:tcBorders>
              <w:bottom w:val="nil"/>
            </w:tcBorders>
          </w:tcPr>
          <w:p w:rsidR="00301E4C" w:rsidRPr="00951B07" w:rsidRDefault="00301E4C" w:rsidP="00ED5652">
            <w:pPr>
              <w:jc w:val="left"/>
              <w:rPr>
                <w:rFonts w:ascii="Arial Narrow" w:hAnsi="Arial Narrow"/>
                <w:bCs/>
                <w:sz w:val="20"/>
              </w:rPr>
            </w:pPr>
            <w:r w:rsidRPr="00951B07">
              <w:rPr>
                <w:rFonts w:ascii="Arial Narrow" w:hAnsi="Arial Narrow"/>
                <w:bCs/>
                <w:sz w:val="20"/>
              </w:rPr>
              <w:t xml:space="preserve">Final Clinical Study Report – PIPF-016. A randomised, double-blind, placebo-controlled, phase 3 study of the efficacy and safety of </w:t>
            </w:r>
            <w:proofErr w:type="spellStart"/>
            <w:r w:rsidRPr="00951B07">
              <w:rPr>
                <w:rFonts w:ascii="Arial Narrow" w:hAnsi="Arial Narrow"/>
                <w:bCs/>
                <w:sz w:val="20"/>
              </w:rPr>
              <w:t>pirfenidone</w:t>
            </w:r>
            <w:proofErr w:type="spellEnd"/>
            <w:r w:rsidRPr="00951B07">
              <w:rPr>
                <w:rFonts w:ascii="Arial Narrow" w:hAnsi="Arial Narrow"/>
                <w:bCs/>
                <w:sz w:val="20"/>
              </w:rPr>
              <w:t xml:space="preserve"> in patients with idiopathic pulmonary fibrosis.</w:t>
            </w:r>
          </w:p>
          <w:p w:rsidR="00301E4C" w:rsidRPr="00951B07" w:rsidRDefault="00301E4C" w:rsidP="00ED5652">
            <w:pPr>
              <w:jc w:val="left"/>
              <w:rPr>
                <w:rFonts w:ascii="Arial Narrow" w:hAnsi="Arial Narrow"/>
                <w:sz w:val="20"/>
              </w:rPr>
            </w:pPr>
          </w:p>
        </w:tc>
        <w:tc>
          <w:tcPr>
            <w:tcW w:w="1328" w:type="pct"/>
            <w:tcBorders>
              <w:bottom w:val="nil"/>
            </w:tcBorders>
          </w:tcPr>
          <w:p w:rsidR="00301E4C" w:rsidRPr="00951B07" w:rsidRDefault="00301E4C" w:rsidP="00ED5652">
            <w:pPr>
              <w:jc w:val="left"/>
              <w:rPr>
                <w:rFonts w:ascii="Arial Narrow" w:hAnsi="Arial Narrow"/>
                <w:sz w:val="20"/>
              </w:rPr>
            </w:pPr>
            <w:r w:rsidRPr="00951B07">
              <w:rPr>
                <w:rFonts w:ascii="Arial Narrow" w:hAnsi="Arial Narrow"/>
                <w:sz w:val="20"/>
              </w:rPr>
              <w:t>22 May 2014</w:t>
            </w:r>
          </w:p>
        </w:tc>
      </w:tr>
      <w:tr w:rsidR="00301E4C" w:rsidRPr="00951B07" w:rsidTr="008E74B4">
        <w:trPr>
          <w:trHeight w:val="20"/>
        </w:trPr>
        <w:tc>
          <w:tcPr>
            <w:tcW w:w="753" w:type="pct"/>
            <w:gridSpan w:val="2"/>
            <w:vMerge/>
          </w:tcPr>
          <w:p w:rsidR="00301E4C" w:rsidRPr="00951B07" w:rsidRDefault="00301E4C" w:rsidP="00ED5652">
            <w:pPr>
              <w:jc w:val="left"/>
              <w:rPr>
                <w:rFonts w:ascii="Arial Narrow" w:hAnsi="Arial Narrow"/>
                <w:sz w:val="20"/>
              </w:rPr>
            </w:pPr>
          </w:p>
        </w:tc>
        <w:tc>
          <w:tcPr>
            <w:tcW w:w="2919" w:type="pct"/>
            <w:tcBorders>
              <w:top w:val="nil"/>
            </w:tcBorders>
          </w:tcPr>
          <w:p w:rsidR="00301E4C" w:rsidRPr="00951B07" w:rsidRDefault="00301E4C" w:rsidP="00ED5652">
            <w:pPr>
              <w:keepNext/>
              <w:jc w:val="left"/>
              <w:rPr>
                <w:rFonts w:ascii="Arial Narrow" w:hAnsi="Arial Narrow"/>
                <w:bCs/>
                <w:sz w:val="20"/>
              </w:rPr>
            </w:pPr>
            <w:r w:rsidRPr="00951B07">
              <w:rPr>
                <w:rFonts w:ascii="Arial Narrow" w:hAnsi="Arial Narrow" w:cstheme="minorHAnsi"/>
                <w:bCs/>
                <w:snapToGrid/>
                <w:sz w:val="20"/>
              </w:rPr>
              <w:t>King Jr TE, Bradford WZ, Castro-</w:t>
            </w:r>
            <w:proofErr w:type="spellStart"/>
            <w:r w:rsidRPr="00951B07">
              <w:rPr>
                <w:rFonts w:ascii="Arial Narrow" w:hAnsi="Arial Narrow" w:cstheme="minorHAnsi"/>
                <w:bCs/>
                <w:snapToGrid/>
                <w:sz w:val="20"/>
              </w:rPr>
              <w:t>Bernardini</w:t>
            </w:r>
            <w:proofErr w:type="spellEnd"/>
            <w:r w:rsidRPr="00951B07">
              <w:rPr>
                <w:rFonts w:ascii="Arial Narrow" w:hAnsi="Arial Narrow" w:cstheme="minorHAnsi"/>
                <w:bCs/>
                <w:snapToGrid/>
                <w:sz w:val="20"/>
              </w:rPr>
              <w:t xml:space="preserve"> S, et al. A phase 3 trial of </w:t>
            </w:r>
            <w:proofErr w:type="spellStart"/>
            <w:r w:rsidRPr="00951B07">
              <w:rPr>
                <w:rFonts w:ascii="Arial Narrow" w:hAnsi="Arial Narrow" w:cstheme="minorHAnsi"/>
                <w:bCs/>
                <w:snapToGrid/>
                <w:sz w:val="20"/>
              </w:rPr>
              <w:t>pirfenidone</w:t>
            </w:r>
            <w:proofErr w:type="spellEnd"/>
            <w:r w:rsidRPr="00951B07">
              <w:rPr>
                <w:rFonts w:ascii="Arial Narrow" w:hAnsi="Arial Narrow" w:cstheme="minorHAnsi"/>
                <w:bCs/>
                <w:snapToGrid/>
                <w:sz w:val="20"/>
              </w:rPr>
              <w:t xml:space="preserve"> in patients with idiopathic pulmonary fibrosis. </w:t>
            </w:r>
          </w:p>
        </w:tc>
        <w:tc>
          <w:tcPr>
            <w:tcW w:w="1328" w:type="pct"/>
            <w:tcBorders>
              <w:top w:val="nil"/>
            </w:tcBorders>
          </w:tcPr>
          <w:p w:rsidR="00301E4C" w:rsidRPr="00951B07" w:rsidRDefault="00301E4C" w:rsidP="00ED5652">
            <w:pPr>
              <w:jc w:val="left"/>
              <w:rPr>
                <w:rFonts w:ascii="Arial Narrow" w:hAnsi="Arial Narrow"/>
                <w:sz w:val="20"/>
              </w:rPr>
            </w:pPr>
            <w:r w:rsidRPr="00951B07">
              <w:rPr>
                <w:rFonts w:ascii="Arial Narrow" w:hAnsi="Arial Narrow"/>
                <w:i/>
                <w:sz w:val="20"/>
              </w:rPr>
              <w:t xml:space="preserve">The New England Journal of Medicine. </w:t>
            </w:r>
            <w:r w:rsidRPr="00951B07">
              <w:rPr>
                <w:rFonts w:ascii="Arial Narrow" w:hAnsi="Arial Narrow"/>
                <w:sz w:val="20"/>
              </w:rPr>
              <w:t>2014; 370 (22): 2083-2092</w:t>
            </w:r>
          </w:p>
        </w:tc>
      </w:tr>
      <w:tr w:rsidR="00301E4C" w:rsidRPr="00951B07" w:rsidTr="008E74B4">
        <w:trPr>
          <w:trHeight w:val="20"/>
        </w:trPr>
        <w:tc>
          <w:tcPr>
            <w:tcW w:w="753" w:type="pct"/>
            <w:gridSpan w:val="2"/>
            <w:vMerge w:val="restart"/>
          </w:tcPr>
          <w:p w:rsidR="00301E4C" w:rsidRPr="00951B07" w:rsidRDefault="00301E4C" w:rsidP="00ED5652">
            <w:pPr>
              <w:jc w:val="left"/>
              <w:rPr>
                <w:rFonts w:ascii="Arial Narrow" w:hAnsi="Arial Narrow"/>
                <w:sz w:val="20"/>
              </w:rPr>
            </w:pPr>
            <w:r w:rsidRPr="00951B07">
              <w:rPr>
                <w:rFonts w:ascii="Arial Narrow" w:hAnsi="Arial Narrow"/>
                <w:sz w:val="20"/>
              </w:rPr>
              <w:t xml:space="preserve">PIPF-004 (CAPACITY-2); </w:t>
            </w:r>
          </w:p>
          <w:p w:rsidR="00301E4C" w:rsidRPr="00951B07" w:rsidRDefault="00301E4C" w:rsidP="00ED5652">
            <w:pPr>
              <w:jc w:val="left"/>
              <w:rPr>
                <w:rFonts w:ascii="Arial Narrow" w:hAnsi="Arial Narrow"/>
                <w:sz w:val="20"/>
              </w:rPr>
            </w:pPr>
            <w:r w:rsidRPr="00951B07">
              <w:rPr>
                <w:rFonts w:ascii="Arial Narrow" w:hAnsi="Arial Narrow"/>
                <w:sz w:val="20"/>
              </w:rPr>
              <w:t>PIPF-006</w:t>
            </w:r>
          </w:p>
          <w:p w:rsidR="00301E4C" w:rsidRPr="00951B07" w:rsidRDefault="00301E4C" w:rsidP="00ED5652">
            <w:pPr>
              <w:jc w:val="left"/>
              <w:rPr>
                <w:rFonts w:ascii="Arial Narrow" w:hAnsi="Arial Narrow"/>
                <w:sz w:val="20"/>
              </w:rPr>
            </w:pPr>
            <w:r w:rsidRPr="00951B07">
              <w:rPr>
                <w:rFonts w:ascii="Arial Narrow" w:hAnsi="Arial Narrow"/>
                <w:sz w:val="20"/>
              </w:rPr>
              <w:t>(CAPACITY-1)</w:t>
            </w:r>
          </w:p>
        </w:tc>
        <w:tc>
          <w:tcPr>
            <w:tcW w:w="2919" w:type="pct"/>
            <w:tcBorders>
              <w:bottom w:val="nil"/>
            </w:tcBorders>
          </w:tcPr>
          <w:p w:rsidR="00301E4C" w:rsidRPr="00951B07" w:rsidRDefault="00301E4C" w:rsidP="00ED5652">
            <w:pPr>
              <w:jc w:val="left"/>
              <w:rPr>
                <w:rFonts w:ascii="Arial Narrow" w:hAnsi="Arial Narrow"/>
                <w:bCs/>
                <w:sz w:val="20"/>
              </w:rPr>
            </w:pPr>
            <w:r w:rsidRPr="00951B07">
              <w:rPr>
                <w:rFonts w:ascii="Arial Narrow" w:hAnsi="Arial Narrow"/>
                <w:bCs/>
                <w:sz w:val="20"/>
              </w:rPr>
              <w:t xml:space="preserve">Clinical Study Report – PIPF-004. A randomised, double-blind, placebo-controlled, phase 3, three-arm study of the safety and efficacy of </w:t>
            </w:r>
            <w:proofErr w:type="spellStart"/>
            <w:r w:rsidRPr="00951B07">
              <w:rPr>
                <w:rFonts w:ascii="Arial Narrow" w:hAnsi="Arial Narrow"/>
                <w:bCs/>
                <w:sz w:val="20"/>
              </w:rPr>
              <w:t>pirfenidone</w:t>
            </w:r>
            <w:proofErr w:type="spellEnd"/>
            <w:r w:rsidRPr="00951B07">
              <w:rPr>
                <w:rFonts w:ascii="Arial Narrow" w:hAnsi="Arial Narrow"/>
                <w:bCs/>
                <w:sz w:val="20"/>
              </w:rPr>
              <w:t xml:space="preserve"> in patients with</w:t>
            </w:r>
            <w:r w:rsidR="008E74B4">
              <w:rPr>
                <w:rFonts w:ascii="Arial Narrow" w:hAnsi="Arial Narrow"/>
                <w:bCs/>
                <w:sz w:val="20"/>
              </w:rPr>
              <w:t xml:space="preserve"> idiopathic pulmonary fibrosis.</w:t>
            </w:r>
          </w:p>
          <w:p w:rsidR="00301E4C" w:rsidRPr="00951B07" w:rsidRDefault="00301E4C" w:rsidP="00ED5652">
            <w:pPr>
              <w:jc w:val="left"/>
              <w:rPr>
                <w:rFonts w:ascii="Arial Narrow" w:hAnsi="Arial Narrow"/>
                <w:sz w:val="20"/>
              </w:rPr>
            </w:pPr>
          </w:p>
        </w:tc>
        <w:tc>
          <w:tcPr>
            <w:tcW w:w="1328" w:type="pct"/>
            <w:tcBorders>
              <w:bottom w:val="nil"/>
            </w:tcBorders>
          </w:tcPr>
          <w:p w:rsidR="00301E4C" w:rsidRPr="00951B07" w:rsidRDefault="00301E4C" w:rsidP="00ED5652">
            <w:pPr>
              <w:jc w:val="left"/>
              <w:rPr>
                <w:rFonts w:ascii="Arial Narrow" w:hAnsi="Arial Narrow"/>
                <w:sz w:val="20"/>
              </w:rPr>
            </w:pPr>
            <w:r w:rsidRPr="00951B07">
              <w:rPr>
                <w:rFonts w:ascii="Arial Narrow" w:hAnsi="Arial Narrow"/>
                <w:sz w:val="20"/>
              </w:rPr>
              <w:t>June 2009</w:t>
            </w:r>
          </w:p>
        </w:tc>
      </w:tr>
      <w:tr w:rsidR="00301E4C" w:rsidRPr="00951B07" w:rsidTr="008E74B4">
        <w:trPr>
          <w:trHeight w:val="20"/>
        </w:trPr>
        <w:tc>
          <w:tcPr>
            <w:tcW w:w="753" w:type="pct"/>
            <w:gridSpan w:val="2"/>
            <w:vMerge/>
          </w:tcPr>
          <w:p w:rsidR="00301E4C" w:rsidRPr="00951B07" w:rsidRDefault="00301E4C" w:rsidP="00ED5652">
            <w:pPr>
              <w:jc w:val="left"/>
              <w:rPr>
                <w:rFonts w:ascii="Arial Narrow" w:hAnsi="Arial Narrow"/>
                <w:sz w:val="20"/>
              </w:rPr>
            </w:pPr>
          </w:p>
        </w:tc>
        <w:tc>
          <w:tcPr>
            <w:tcW w:w="2919" w:type="pct"/>
            <w:tcBorders>
              <w:top w:val="nil"/>
              <w:bottom w:val="nil"/>
            </w:tcBorders>
          </w:tcPr>
          <w:p w:rsidR="00301E4C" w:rsidRPr="00951B07" w:rsidRDefault="00301E4C" w:rsidP="00ED5652">
            <w:pPr>
              <w:jc w:val="left"/>
              <w:rPr>
                <w:rFonts w:ascii="Arial Narrow" w:hAnsi="Arial Narrow"/>
                <w:bCs/>
                <w:sz w:val="20"/>
              </w:rPr>
            </w:pPr>
            <w:r w:rsidRPr="00951B07">
              <w:rPr>
                <w:rFonts w:ascii="Arial Narrow" w:hAnsi="Arial Narrow"/>
                <w:bCs/>
                <w:sz w:val="20"/>
              </w:rPr>
              <w:t xml:space="preserve">Clinical Study Report – PIPF-006. A randomised, double-blind, placebo-controlled, phase 3 study of the safety and efficacy of </w:t>
            </w:r>
            <w:proofErr w:type="spellStart"/>
            <w:r w:rsidRPr="00951B07">
              <w:rPr>
                <w:rFonts w:ascii="Arial Narrow" w:hAnsi="Arial Narrow"/>
                <w:bCs/>
                <w:sz w:val="20"/>
              </w:rPr>
              <w:t>pirfenidone</w:t>
            </w:r>
            <w:proofErr w:type="spellEnd"/>
            <w:r w:rsidRPr="00951B07">
              <w:rPr>
                <w:rFonts w:ascii="Arial Narrow" w:hAnsi="Arial Narrow"/>
                <w:bCs/>
                <w:sz w:val="20"/>
              </w:rPr>
              <w:t xml:space="preserve"> in patients with idiopathic pulmonary fibrosis. </w:t>
            </w:r>
          </w:p>
          <w:p w:rsidR="00301E4C" w:rsidRPr="00951B07" w:rsidRDefault="00301E4C" w:rsidP="00ED5652">
            <w:pPr>
              <w:jc w:val="left"/>
              <w:rPr>
                <w:rFonts w:ascii="Arial Narrow" w:hAnsi="Arial Narrow"/>
                <w:bCs/>
                <w:sz w:val="20"/>
              </w:rPr>
            </w:pPr>
          </w:p>
        </w:tc>
        <w:tc>
          <w:tcPr>
            <w:tcW w:w="1328" w:type="pct"/>
            <w:tcBorders>
              <w:top w:val="nil"/>
              <w:bottom w:val="nil"/>
            </w:tcBorders>
          </w:tcPr>
          <w:p w:rsidR="00301E4C" w:rsidRPr="00951B07" w:rsidRDefault="00301E4C" w:rsidP="00ED5652">
            <w:pPr>
              <w:jc w:val="left"/>
              <w:rPr>
                <w:rFonts w:ascii="Arial Narrow" w:hAnsi="Arial Narrow"/>
                <w:sz w:val="20"/>
              </w:rPr>
            </w:pPr>
            <w:r w:rsidRPr="00951B07">
              <w:rPr>
                <w:rFonts w:ascii="Arial Narrow" w:hAnsi="Arial Narrow"/>
                <w:sz w:val="20"/>
              </w:rPr>
              <w:t>June 2009</w:t>
            </w:r>
          </w:p>
        </w:tc>
      </w:tr>
      <w:tr w:rsidR="00301E4C" w:rsidRPr="00951B07" w:rsidTr="008E74B4">
        <w:trPr>
          <w:trHeight w:val="20"/>
        </w:trPr>
        <w:tc>
          <w:tcPr>
            <w:tcW w:w="753" w:type="pct"/>
            <w:gridSpan w:val="2"/>
            <w:vMerge/>
          </w:tcPr>
          <w:p w:rsidR="00301E4C" w:rsidRPr="00951B07" w:rsidRDefault="00301E4C" w:rsidP="00ED5652">
            <w:pPr>
              <w:jc w:val="left"/>
              <w:rPr>
                <w:rFonts w:ascii="Arial Narrow" w:hAnsi="Arial Narrow"/>
                <w:sz w:val="20"/>
              </w:rPr>
            </w:pPr>
          </w:p>
        </w:tc>
        <w:tc>
          <w:tcPr>
            <w:tcW w:w="2919" w:type="pct"/>
            <w:tcBorders>
              <w:top w:val="nil"/>
              <w:bottom w:val="nil"/>
            </w:tcBorders>
          </w:tcPr>
          <w:p w:rsidR="00301E4C" w:rsidRPr="00951B07" w:rsidRDefault="00301E4C" w:rsidP="00ED5652">
            <w:pPr>
              <w:jc w:val="left"/>
              <w:rPr>
                <w:rFonts w:ascii="Arial Narrow" w:hAnsi="Arial Narrow"/>
                <w:bCs/>
                <w:sz w:val="20"/>
              </w:rPr>
            </w:pPr>
            <w:r w:rsidRPr="00951B07">
              <w:rPr>
                <w:rFonts w:ascii="Arial Narrow" w:hAnsi="Arial Narrow"/>
                <w:bCs/>
                <w:sz w:val="20"/>
              </w:rPr>
              <w:t xml:space="preserve">Noble PW, </w:t>
            </w:r>
            <w:proofErr w:type="spellStart"/>
            <w:r w:rsidRPr="00951B07">
              <w:rPr>
                <w:rFonts w:ascii="Arial Narrow" w:hAnsi="Arial Narrow"/>
                <w:bCs/>
                <w:sz w:val="20"/>
              </w:rPr>
              <w:t>Albera</w:t>
            </w:r>
            <w:proofErr w:type="spellEnd"/>
            <w:r w:rsidRPr="00951B07">
              <w:rPr>
                <w:rFonts w:ascii="Arial Narrow" w:hAnsi="Arial Narrow"/>
                <w:bCs/>
                <w:sz w:val="20"/>
              </w:rPr>
              <w:t xml:space="preserve"> C, </w:t>
            </w:r>
            <w:proofErr w:type="gramStart"/>
            <w:r w:rsidRPr="00951B07">
              <w:rPr>
                <w:rFonts w:ascii="Arial Narrow" w:hAnsi="Arial Narrow"/>
                <w:bCs/>
                <w:sz w:val="20"/>
              </w:rPr>
              <w:t>Bradford</w:t>
            </w:r>
            <w:proofErr w:type="gramEnd"/>
            <w:r w:rsidRPr="00951B07">
              <w:rPr>
                <w:rFonts w:ascii="Arial Narrow" w:hAnsi="Arial Narrow"/>
                <w:bCs/>
                <w:sz w:val="20"/>
              </w:rPr>
              <w:t xml:space="preserve"> WZ, et al. </w:t>
            </w:r>
            <w:proofErr w:type="spellStart"/>
            <w:r w:rsidRPr="00951B07">
              <w:rPr>
                <w:rFonts w:ascii="Arial Narrow" w:hAnsi="Arial Narrow"/>
                <w:bCs/>
                <w:sz w:val="20"/>
              </w:rPr>
              <w:t>Pirfenidone</w:t>
            </w:r>
            <w:proofErr w:type="spellEnd"/>
            <w:r w:rsidRPr="00951B07">
              <w:rPr>
                <w:rFonts w:ascii="Arial Narrow" w:hAnsi="Arial Narrow"/>
                <w:bCs/>
                <w:sz w:val="20"/>
              </w:rPr>
              <w:t xml:space="preserve"> in patients with idiopathic pulmonary fibrosis (CAPACITY): Two randomised trials. </w:t>
            </w:r>
          </w:p>
          <w:p w:rsidR="00301E4C" w:rsidRPr="00951B07" w:rsidRDefault="00301E4C" w:rsidP="00ED5652">
            <w:pPr>
              <w:jc w:val="left"/>
              <w:rPr>
                <w:rFonts w:ascii="Arial Narrow" w:hAnsi="Arial Narrow"/>
                <w:sz w:val="20"/>
              </w:rPr>
            </w:pPr>
          </w:p>
        </w:tc>
        <w:tc>
          <w:tcPr>
            <w:tcW w:w="1328" w:type="pct"/>
            <w:tcBorders>
              <w:top w:val="nil"/>
              <w:bottom w:val="nil"/>
            </w:tcBorders>
          </w:tcPr>
          <w:p w:rsidR="00301E4C" w:rsidRPr="00951B07" w:rsidRDefault="00301E4C" w:rsidP="00ED5652">
            <w:pPr>
              <w:jc w:val="left"/>
              <w:rPr>
                <w:rFonts w:ascii="Arial Narrow" w:hAnsi="Arial Narrow"/>
                <w:sz w:val="20"/>
              </w:rPr>
            </w:pPr>
            <w:r w:rsidRPr="00951B07">
              <w:rPr>
                <w:rFonts w:ascii="Arial Narrow" w:hAnsi="Arial Narrow"/>
                <w:i/>
                <w:sz w:val="20"/>
              </w:rPr>
              <w:t>The Lancet</w:t>
            </w:r>
            <w:r w:rsidRPr="00951B07">
              <w:rPr>
                <w:rFonts w:ascii="Arial Narrow" w:hAnsi="Arial Narrow"/>
                <w:sz w:val="20"/>
              </w:rPr>
              <w:t>. 2011; 377(9779): 1760-1769</w:t>
            </w:r>
          </w:p>
        </w:tc>
      </w:tr>
      <w:tr w:rsidR="00301E4C" w:rsidRPr="00951B07" w:rsidTr="008E74B4">
        <w:trPr>
          <w:trHeight w:val="20"/>
        </w:trPr>
        <w:tc>
          <w:tcPr>
            <w:tcW w:w="753" w:type="pct"/>
            <w:gridSpan w:val="2"/>
            <w:vMerge/>
          </w:tcPr>
          <w:p w:rsidR="00301E4C" w:rsidRPr="00951B07" w:rsidRDefault="00301E4C" w:rsidP="00ED5652">
            <w:pPr>
              <w:jc w:val="left"/>
              <w:rPr>
                <w:rFonts w:ascii="Arial Narrow" w:hAnsi="Arial Narrow"/>
                <w:sz w:val="20"/>
              </w:rPr>
            </w:pPr>
          </w:p>
        </w:tc>
        <w:tc>
          <w:tcPr>
            <w:tcW w:w="2919" w:type="pct"/>
            <w:tcBorders>
              <w:top w:val="nil"/>
              <w:bottom w:val="nil"/>
            </w:tcBorders>
          </w:tcPr>
          <w:p w:rsidR="00301E4C" w:rsidRPr="00951B07" w:rsidRDefault="00301E4C" w:rsidP="00ED5652">
            <w:pPr>
              <w:jc w:val="left"/>
              <w:rPr>
                <w:rFonts w:ascii="Arial Narrow" w:hAnsi="Arial Narrow"/>
                <w:bCs/>
                <w:sz w:val="20"/>
              </w:rPr>
            </w:pPr>
            <w:proofErr w:type="spellStart"/>
            <w:r w:rsidRPr="00951B07">
              <w:rPr>
                <w:rFonts w:ascii="Arial Narrow" w:hAnsi="Arial Narrow"/>
                <w:bCs/>
                <w:sz w:val="20"/>
              </w:rPr>
              <w:t>Albera</w:t>
            </w:r>
            <w:proofErr w:type="spellEnd"/>
            <w:r w:rsidRPr="00951B07">
              <w:rPr>
                <w:rFonts w:ascii="Arial Narrow" w:hAnsi="Arial Narrow"/>
                <w:bCs/>
                <w:sz w:val="20"/>
              </w:rPr>
              <w:t xml:space="preserve"> C, Du Bois RM, Bradford WZ, et al. Prognostic significance of Surgical Lung Biopsy (SLB) in a well-characterized cohort of patients with Idiopathic Pulmonary Fibrosis (IPF). </w:t>
            </w:r>
          </w:p>
          <w:p w:rsidR="00301E4C" w:rsidRPr="00951B07" w:rsidRDefault="00301E4C" w:rsidP="00ED5652">
            <w:pPr>
              <w:jc w:val="left"/>
              <w:rPr>
                <w:rFonts w:ascii="Arial Narrow" w:hAnsi="Arial Narrow"/>
                <w:bCs/>
                <w:sz w:val="20"/>
              </w:rPr>
            </w:pPr>
          </w:p>
        </w:tc>
        <w:tc>
          <w:tcPr>
            <w:tcW w:w="1328" w:type="pct"/>
            <w:tcBorders>
              <w:top w:val="nil"/>
              <w:bottom w:val="nil"/>
            </w:tcBorders>
          </w:tcPr>
          <w:p w:rsidR="00301E4C" w:rsidRPr="00951B07" w:rsidRDefault="00301E4C" w:rsidP="00ED5652">
            <w:pPr>
              <w:jc w:val="left"/>
              <w:rPr>
                <w:rFonts w:ascii="Arial Narrow" w:hAnsi="Arial Narrow"/>
                <w:i/>
                <w:sz w:val="20"/>
              </w:rPr>
            </w:pPr>
            <w:r w:rsidRPr="00951B07">
              <w:rPr>
                <w:rFonts w:ascii="Arial Narrow" w:hAnsi="Arial Narrow"/>
                <w:i/>
                <w:sz w:val="20"/>
              </w:rPr>
              <w:t>American Journal of Respiratory and Critical Care Medicine. 2010; 181(1)</w:t>
            </w:r>
          </w:p>
        </w:tc>
      </w:tr>
      <w:tr w:rsidR="00301E4C" w:rsidRPr="00951B07" w:rsidTr="008E74B4">
        <w:trPr>
          <w:trHeight w:val="20"/>
        </w:trPr>
        <w:tc>
          <w:tcPr>
            <w:tcW w:w="753" w:type="pct"/>
            <w:gridSpan w:val="2"/>
            <w:vMerge/>
          </w:tcPr>
          <w:p w:rsidR="00301E4C" w:rsidRPr="00951B07" w:rsidRDefault="00301E4C" w:rsidP="00ED5652">
            <w:pPr>
              <w:jc w:val="left"/>
              <w:rPr>
                <w:rFonts w:ascii="Arial Narrow" w:hAnsi="Arial Narrow"/>
                <w:sz w:val="20"/>
              </w:rPr>
            </w:pPr>
          </w:p>
        </w:tc>
        <w:tc>
          <w:tcPr>
            <w:tcW w:w="2919" w:type="pct"/>
            <w:tcBorders>
              <w:top w:val="nil"/>
              <w:bottom w:val="nil"/>
            </w:tcBorders>
          </w:tcPr>
          <w:p w:rsidR="00301E4C" w:rsidRPr="00951B07" w:rsidRDefault="00301E4C" w:rsidP="00ED5652">
            <w:pPr>
              <w:jc w:val="left"/>
              <w:rPr>
                <w:rFonts w:ascii="Arial Narrow" w:hAnsi="Arial Narrow"/>
                <w:bCs/>
                <w:sz w:val="20"/>
              </w:rPr>
            </w:pPr>
            <w:proofErr w:type="spellStart"/>
            <w:r w:rsidRPr="00951B07">
              <w:rPr>
                <w:rFonts w:ascii="Arial Narrow" w:hAnsi="Arial Narrow"/>
                <w:bCs/>
                <w:sz w:val="20"/>
              </w:rPr>
              <w:t>Sahn</w:t>
            </w:r>
            <w:proofErr w:type="spellEnd"/>
            <w:r w:rsidRPr="00951B07">
              <w:rPr>
                <w:rFonts w:ascii="Arial Narrow" w:hAnsi="Arial Narrow"/>
                <w:bCs/>
                <w:sz w:val="20"/>
              </w:rPr>
              <w:t xml:space="preserve"> SA, </w:t>
            </w:r>
            <w:proofErr w:type="spellStart"/>
            <w:r w:rsidRPr="00951B07">
              <w:rPr>
                <w:rFonts w:ascii="Arial Narrow" w:hAnsi="Arial Narrow"/>
                <w:bCs/>
                <w:sz w:val="20"/>
              </w:rPr>
              <w:t>Albera</w:t>
            </w:r>
            <w:proofErr w:type="spellEnd"/>
            <w:r w:rsidRPr="00951B07">
              <w:rPr>
                <w:rFonts w:ascii="Arial Narrow" w:hAnsi="Arial Narrow"/>
                <w:bCs/>
                <w:sz w:val="20"/>
              </w:rPr>
              <w:t xml:space="preserve"> C, Du Bois RM, et al. Clinical outcomes with </w:t>
            </w:r>
            <w:proofErr w:type="spellStart"/>
            <w:r w:rsidRPr="00951B07">
              <w:rPr>
                <w:rFonts w:ascii="Arial Narrow" w:hAnsi="Arial Narrow"/>
                <w:bCs/>
                <w:sz w:val="20"/>
              </w:rPr>
              <w:t>pirfenidone</w:t>
            </w:r>
            <w:proofErr w:type="spellEnd"/>
            <w:r w:rsidRPr="00951B07">
              <w:rPr>
                <w:rFonts w:ascii="Arial Narrow" w:hAnsi="Arial Narrow"/>
                <w:bCs/>
                <w:sz w:val="20"/>
              </w:rPr>
              <w:t xml:space="preserve"> therapy in Treatment-adherent (TA) patients with Idiopathic Pulmonary Fibrosis (IPF). </w:t>
            </w:r>
          </w:p>
          <w:p w:rsidR="00301E4C" w:rsidRPr="00951B07" w:rsidRDefault="00301E4C" w:rsidP="00ED5652">
            <w:pPr>
              <w:jc w:val="left"/>
              <w:rPr>
                <w:rFonts w:ascii="Arial Narrow" w:hAnsi="Arial Narrow"/>
                <w:bCs/>
                <w:sz w:val="20"/>
              </w:rPr>
            </w:pPr>
          </w:p>
        </w:tc>
        <w:tc>
          <w:tcPr>
            <w:tcW w:w="1328" w:type="pct"/>
            <w:tcBorders>
              <w:top w:val="nil"/>
              <w:bottom w:val="nil"/>
            </w:tcBorders>
          </w:tcPr>
          <w:p w:rsidR="00301E4C" w:rsidRPr="00951B07" w:rsidRDefault="00301E4C" w:rsidP="00ED5652">
            <w:pPr>
              <w:jc w:val="left"/>
              <w:rPr>
                <w:rFonts w:ascii="Arial Narrow" w:hAnsi="Arial Narrow"/>
                <w:i/>
                <w:sz w:val="20"/>
              </w:rPr>
            </w:pPr>
            <w:r w:rsidRPr="00951B07">
              <w:rPr>
                <w:rFonts w:ascii="Arial Narrow" w:hAnsi="Arial Narrow"/>
                <w:i/>
                <w:sz w:val="20"/>
              </w:rPr>
              <w:t>American Journal of Respiratory and Critical Care Medicine. 2010; 181(1)</w:t>
            </w:r>
          </w:p>
        </w:tc>
      </w:tr>
      <w:tr w:rsidR="00301E4C" w:rsidRPr="00951B07" w:rsidTr="008E74B4">
        <w:trPr>
          <w:trHeight w:val="20"/>
        </w:trPr>
        <w:tc>
          <w:tcPr>
            <w:tcW w:w="753" w:type="pct"/>
            <w:gridSpan w:val="2"/>
            <w:vMerge/>
          </w:tcPr>
          <w:p w:rsidR="00301E4C" w:rsidRPr="00951B07" w:rsidRDefault="00301E4C" w:rsidP="00ED5652">
            <w:pPr>
              <w:jc w:val="left"/>
              <w:rPr>
                <w:rFonts w:ascii="Arial Narrow" w:hAnsi="Arial Narrow"/>
                <w:sz w:val="20"/>
              </w:rPr>
            </w:pPr>
          </w:p>
        </w:tc>
        <w:tc>
          <w:tcPr>
            <w:tcW w:w="2919" w:type="pct"/>
            <w:tcBorders>
              <w:top w:val="nil"/>
              <w:bottom w:val="nil"/>
            </w:tcBorders>
          </w:tcPr>
          <w:p w:rsidR="00301E4C" w:rsidRPr="00951B07" w:rsidRDefault="00301E4C" w:rsidP="00ED5652">
            <w:pPr>
              <w:jc w:val="left"/>
              <w:rPr>
                <w:rFonts w:ascii="Arial Narrow" w:hAnsi="Arial Narrow"/>
                <w:bCs/>
                <w:sz w:val="20"/>
              </w:rPr>
            </w:pPr>
            <w:proofErr w:type="spellStart"/>
            <w:r w:rsidRPr="00951B07">
              <w:rPr>
                <w:rFonts w:ascii="Arial Narrow" w:hAnsi="Arial Narrow"/>
                <w:bCs/>
                <w:sz w:val="20"/>
              </w:rPr>
              <w:t>Valeyre</w:t>
            </w:r>
            <w:proofErr w:type="spellEnd"/>
            <w:r w:rsidRPr="00951B07">
              <w:rPr>
                <w:rFonts w:ascii="Arial Narrow" w:hAnsi="Arial Narrow"/>
                <w:bCs/>
                <w:sz w:val="20"/>
              </w:rPr>
              <w:t xml:space="preserve"> D, </w:t>
            </w:r>
            <w:proofErr w:type="spellStart"/>
            <w:r w:rsidRPr="00951B07">
              <w:rPr>
                <w:rFonts w:ascii="Arial Narrow" w:hAnsi="Arial Narrow"/>
                <w:bCs/>
                <w:sz w:val="20"/>
              </w:rPr>
              <w:t>Albera</w:t>
            </w:r>
            <w:proofErr w:type="spellEnd"/>
            <w:r w:rsidRPr="00951B07">
              <w:rPr>
                <w:rFonts w:ascii="Arial Narrow" w:hAnsi="Arial Narrow"/>
                <w:bCs/>
                <w:sz w:val="20"/>
              </w:rPr>
              <w:t xml:space="preserve"> C, Du Bois RM, et al. 6 Minute Walk Distance (6MWD) And Forced Vital Capacity (FVC) In patients with Idiopathic Pulmonary Fibrosis (IPF): Similar pattern of </w:t>
            </w:r>
            <w:proofErr w:type="spellStart"/>
            <w:r w:rsidRPr="00951B07">
              <w:rPr>
                <w:rFonts w:ascii="Arial Narrow" w:hAnsi="Arial Narrow"/>
                <w:bCs/>
                <w:sz w:val="20"/>
              </w:rPr>
              <w:t>pirfenidone</w:t>
            </w:r>
            <w:proofErr w:type="spellEnd"/>
            <w:r w:rsidRPr="00951B07">
              <w:rPr>
                <w:rFonts w:ascii="Arial Narrow" w:hAnsi="Arial Narrow"/>
                <w:bCs/>
                <w:sz w:val="20"/>
              </w:rPr>
              <w:t xml:space="preserve"> response. </w:t>
            </w:r>
          </w:p>
          <w:p w:rsidR="00301E4C" w:rsidRPr="00951B07" w:rsidRDefault="00301E4C" w:rsidP="00ED5652">
            <w:pPr>
              <w:jc w:val="left"/>
              <w:rPr>
                <w:rFonts w:ascii="Arial Narrow" w:hAnsi="Arial Narrow"/>
                <w:bCs/>
                <w:sz w:val="20"/>
              </w:rPr>
            </w:pPr>
          </w:p>
        </w:tc>
        <w:tc>
          <w:tcPr>
            <w:tcW w:w="1328" w:type="pct"/>
            <w:tcBorders>
              <w:top w:val="nil"/>
              <w:bottom w:val="nil"/>
            </w:tcBorders>
          </w:tcPr>
          <w:p w:rsidR="00301E4C" w:rsidRPr="00951B07" w:rsidRDefault="00301E4C" w:rsidP="00ED5652">
            <w:pPr>
              <w:jc w:val="left"/>
              <w:rPr>
                <w:rFonts w:ascii="Arial Narrow" w:hAnsi="Arial Narrow"/>
                <w:i/>
                <w:sz w:val="20"/>
              </w:rPr>
            </w:pPr>
            <w:r w:rsidRPr="00951B07">
              <w:rPr>
                <w:rFonts w:ascii="Arial Narrow" w:hAnsi="Arial Narrow"/>
                <w:i/>
                <w:sz w:val="20"/>
              </w:rPr>
              <w:t>American Journal of Respiratory and Critical Care Medicine. 2010; 181(1)</w:t>
            </w:r>
          </w:p>
        </w:tc>
      </w:tr>
      <w:tr w:rsidR="00301E4C" w:rsidRPr="00951B07" w:rsidTr="008E74B4">
        <w:trPr>
          <w:trHeight w:val="20"/>
        </w:trPr>
        <w:tc>
          <w:tcPr>
            <w:tcW w:w="753" w:type="pct"/>
            <w:gridSpan w:val="2"/>
            <w:vMerge/>
          </w:tcPr>
          <w:p w:rsidR="00301E4C" w:rsidRPr="00951B07" w:rsidRDefault="00301E4C" w:rsidP="00ED5652">
            <w:pPr>
              <w:jc w:val="left"/>
              <w:rPr>
                <w:rFonts w:ascii="Arial Narrow" w:hAnsi="Arial Narrow"/>
                <w:sz w:val="20"/>
              </w:rPr>
            </w:pPr>
          </w:p>
        </w:tc>
        <w:tc>
          <w:tcPr>
            <w:tcW w:w="2919" w:type="pct"/>
            <w:tcBorders>
              <w:top w:val="nil"/>
              <w:bottom w:val="single" w:sz="4" w:space="0" w:color="auto"/>
            </w:tcBorders>
          </w:tcPr>
          <w:p w:rsidR="00301E4C" w:rsidRPr="00951B07" w:rsidRDefault="00301E4C" w:rsidP="00ED5652">
            <w:pPr>
              <w:jc w:val="left"/>
              <w:rPr>
                <w:rFonts w:ascii="Arial Narrow" w:hAnsi="Arial Narrow"/>
                <w:sz w:val="20"/>
              </w:rPr>
            </w:pPr>
            <w:proofErr w:type="spellStart"/>
            <w:r w:rsidRPr="00951B07">
              <w:rPr>
                <w:rFonts w:ascii="Arial Narrow" w:hAnsi="Arial Narrow"/>
                <w:bCs/>
                <w:sz w:val="20"/>
              </w:rPr>
              <w:t>Sahn</w:t>
            </w:r>
            <w:proofErr w:type="spellEnd"/>
            <w:r w:rsidRPr="00951B07">
              <w:rPr>
                <w:rFonts w:ascii="Arial Narrow" w:hAnsi="Arial Narrow"/>
                <w:bCs/>
                <w:sz w:val="20"/>
              </w:rPr>
              <w:t xml:space="preserve"> SA, </w:t>
            </w:r>
            <w:proofErr w:type="spellStart"/>
            <w:r w:rsidRPr="00951B07">
              <w:rPr>
                <w:rFonts w:ascii="Arial Narrow" w:hAnsi="Arial Narrow"/>
                <w:bCs/>
                <w:sz w:val="20"/>
              </w:rPr>
              <w:t>Albera</w:t>
            </w:r>
            <w:proofErr w:type="spellEnd"/>
            <w:r w:rsidRPr="00951B07">
              <w:rPr>
                <w:rFonts w:ascii="Arial Narrow" w:hAnsi="Arial Narrow"/>
                <w:bCs/>
                <w:sz w:val="20"/>
              </w:rPr>
              <w:t xml:space="preserve"> C, Du Bois RM, et al. The effect of treatment with </w:t>
            </w:r>
            <w:proofErr w:type="spellStart"/>
            <w:r w:rsidRPr="00951B07">
              <w:rPr>
                <w:rFonts w:ascii="Arial Narrow" w:hAnsi="Arial Narrow"/>
                <w:bCs/>
                <w:sz w:val="20"/>
              </w:rPr>
              <w:t>pirfenidone</w:t>
            </w:r>
            <w:proofErr w:type="spellEnd"/>
            <w:r w:rsidRPr="00951B07">
              <w:rPr>
                <w:rFonts w:ascii="Arial Narrow" w:hAnsi="Arial Narrow"/>
                <w:bCs/>
                <w:sz w:val="20"/>
              </w:rPr>
              <w:t xml:space="preserve"> on progression-free survival in patients with Idiopathic Pulmonary Fibrosis (IPF): Exploratory analysis of outcomes using novel criteria for disease progression. </w:t>
            </w:r>
          </w:p>
        </w:tc>
        <w:tc>
          <w:tcPr>
            <w:tcW w:w="1328" w:type="pct"/>
            <w:tcBorders>
              <w:top w:val="nil"/>
              <w:bottom w:val="single" w:sz="4" w:space="0" w:color="auto"/>
            </w:tcBorders>
          </w:tcPr>
          <w:p w:rsidR="00301E4C" w:rsidRPr="00951B07" w:rsidRDefault="00301E4C" w:rsidP="00ED5652">
            <w:pPr>
              <w:jc w:val="left"/>
              <w:rPr>
                <w:rFonts w:ascii="Arial Narrow" w:hAnsi="Arial Narrow"/>
                <w:sz w:val="20"/>
              </w:rPr>
            </w:pPr>
            <w:r w:rsidRPr="00951B07">
              <w:rPr>
                <w:rFonts w:ascii="Arial Narrow" w:hAnsi="Arial Narrow"/>
                <w:i/>
                <w:sz w:val="20"/>
              </w:rPr>
              <w:t xml:space="preserve">American Journal of Respiratory and Critical Care Medicine. </w:t>
            </w:r>
            <w:r w:rsidRPr="00951B07">
              <w:rPr>
                <w:rFonts w:ascii="Arial Narrow" w:hAnsi="Arial Narrow"/>
                <w:sz w:val="20"/>
              </w:rPr>
              <w:t>2011; 183(1)</w:t>
            </w:r>
          </w:p>
        </w:tc>
      </w:tr>
    </w:tbl>
    <w:p w:rsidR="00301E4C" w:rsidRDefault="00301E4C" w:rsidP="00301E4C">
      <w:pPr>
        <w:pStyle w:val="TableFooter"/>
        <w:ind w:firstLine="720"/>
      </w:pPr>
      <w:r w:rsidRPr="00D13A3E">
        <w:t>Source:</w:t>
      </w:r>
      <w:r>
        <w:t xml:space="preserve"> Table B.2.3, p5-6 of Section B-DRT </w:t>
      </w:r>
      <w:r w:rsidRPr="00D13A3E">
        <w:t>of the submission</w:t>
      </w:r>
    </w:p>
    <w:p w:rsidR="00CD5288" w:rsidRDefault="00CD5288">
      <w:pPr>
        <w:widowControl/>
        <w:jc w:val="left"/>
        <w:rPr>
          <w:szCs w:val="22"/>
        </w:rPr>
      </w:pPr>
      <w:r>
        <w:rPr>
          <w:szCs w:val="22"/>
        </w:rPr>
        <w:br w:type="page"/>
      </w:r>
    </w:p>
    <w:p w:rsidR="00301E4C" w:rsidRPr="00B50DB8" w:rsidRDefault="00301E4C" w:rsidP="00B9372F">
      <w:pPr>
        <w:pStyle w:val="ListParagraph"/>
        <w:widowControl/>
        <w:numPr>
          <w:ilvl w:val="1"/>
          <w:numId w:val="2"/>
        </w:numPr>
        <w:rPr>
          <w:szCs w:val="22"/>
        </w:rPr>
      </w:pPr>
      <w:r w:rsidRPr="00B50DB8">
        <w:rPr>
          <w:szCs w:val="22"/>
        </w:rPr>
        <w:lastRenderedPageBreak/>
        <w:t>The key features of the direct randomised trial</w:t>
      </w:r>
      <w:r>
        <w:rPr>
          <w:szCs w:val="22"/>
        </w:rPr>
        <w:t>s</w:t>
      </w:r>
      <w:r w:rsidRPr="00B50DB8">
        <w:rPr>
          <w:szCs w:val="22"/>
        </w:rPr>
        <w:t xml:space="preserve"> are </w:t>
      </w:r>
      <w:r w:rsidR="008E74B4">
        <w:rPr>
          <w:szCs w:val="22"/>
        </w:rPr>
        <w:t>summarised in the table below.</w:t>
      </w:r>
    </w:p>
    <w:p w:rsidR="0045035F" w:rsidRDefault="0045035F">
      <w:pPr>
        <w:widowControl/>
        <w:jc w:val="left"/>
        <w:rPr>
          <w:rStyle w:val="CommentReference"/>
        </w:rPr>
      </w:pPr>
      <w:bookmarkStart w:id="28" w:name="_GoBack"/>
      <w:bookmarkEnd w:id="28"/>
    </w:p>
    <w:p w:rsidR="00301E4C" w:rsidRPr="00E2771E" w:rsidRDefault="00301E4C" w:rsidP="00DA23D4">
      <w:pPr>
        <w:widowControl/>
        <w:ind w:firstLine="720"/>
        <w:jc w:val="left"/>
        <w:rPr>
          <w:rStyle w:val="CommentReference"/>
        </w:rPr>
      </w:pPr>
      <w:r w:rsidRPr="00E2771E">
        <w:rPr>
          <w:rStyle w:val="CommentReference"/>
        </w:rPr>
        <w:t xml:space="preserve">Table </w:t>
      </w:r>
      <w:r>
        <w:rPr>
          <w:rStyle w:val="CommentReference"/>
        </w:rPr>
        <w:t>2</w:t>
      </w:r>
      <w:r w:rsidRPr="00E2771E">
        <w:rPr>
          <w:rStyle w:val="CommentReference"/>
        </w:rPr>
        <w:t>: Key features of the included evidence</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425"/>
        <w:gridCol w:w="1135"/>
        <w:gridCol w:w="709"/>
        <w:gridCol w:w="992"/>
        <w:gridCol w:w="1133"/>
        <w:gridCol w:w="2977"/>
      </w:tblGrid>
      <w:tr w:rsidR="00301E4C" w:rsidRPr="00E2771E" w:rsidTr="00DF40F4">
        <w:trPr>
          <w:tblHeader/>
        </w:trPr>
        <w:tc>
          <w:tcPr>
            <w:tcW w:w="667" w:type="pct"/>
            <w:shd w:val="clear" w:color="auto" w:fill="auto"/>
            <w:vAlign w:val="center"/>
          </w:tcPr>
          <w:p w:rsidR="00301E4C" w:rsidRPr="00E2771E" w:rsidRDefault="00301E4C" w:rsidP="00ED5652">
            <w:pPr>
              <w:jc w:val="left"/>
              <w:rPr>
                <w:rFonts w:ascii="Arial Narrow" w:hAnsi="Arial Narrow"/>
                <w:b/>
                <w:sz w:val="20"/>
                <w:lang w:val="en-US"/>
              </w:rPr>
            </w:pPr>
            <w:r w:rsidRPr="00E2771E">
              <w:rPr>
                <w:rFonts w:ascii="Arial Narrow" w:hAnsi="Arial Narrow"/>
                <w:b/>
                <w:sz w:val="20"/>
                <w:lang w:val="en-US"/>
              </w:rPr>
              <w:t>Trial</w:t>
            </w:r>
          </w:p>
        </w:tc>
        <w:tc>
          <w:tcPr>
            <w:tcW w:w="250" w:type="pct"/>
            <w:shd w:val="clear" w:color="auto" w:fill="auto"/>
            <w:vAlign w:val="center"/>
          </w:tcPr>
          <w:p w:rsidR="00301E4C" w:rsidRPr="00E2771E" w:rsidRDefault="00301E4C" w:rsidP="00ED5652">
            <w:pPr>
              <w:jc w:val="center"/>
              <w:rPr>
                <w:rFonts w:ascii="Arial Narrow" w:hAnsi="Arial Narrow"/>
                <w:b/>
                <w:sz w:val="20"/>
                <w:lang w:val="en-US"/>
              </w:rPr>
            </w:pPr>
            <w:r w:rsidRPr="00E2771E">
              <w:rPr>
                <w:rFonts w:ascii="Arial Narrow" w:hAnsi="Arial Narrow"/>
                <w:b/>
                <w:sz w:val="20"/>
                <w:lang w:val="en-US"/>
              </w:rPr>
              <w:t>N</w:t>
            </w:r>
          </w:p>
        </w:tc>
        <w:tc>
          <w:tcPr>
            <w:tcW w:w="667" w:type="pct"/>
            <w:shd w:val="clear" w:color="auto" w:fill="auto"/>
            <w:vAlign w:val="center"/>
          </w:tcPr>
          <w:p w:rsidR="00301E4C" w:rsidRPr="00E2771E" w:rsidRDefault="00301E4C" w:rsidP="00ED5652">
            <w:pPr>
              <w:jc w:val="center"/>
              <w:rPr>
                <w:rFonts w:ascii="Arial Narrow" w:hAnsi="Arial Narrow"/>
                <w:b/>
                <w:sz w:val="20"/>
                <w:lang w:val="en-US"/>
              </w:rPr>
            </w:pPr>
            <w:r w:rsidRPr="00E2771E">
              <w:rPr>
                <w:rFonts w:ascii="Arial Narrow" w:hAnsi="Arial Narrow"/>
                <w:b/>
                <w:sz w:val="20"/>
                <w:lang w:val="en-US"/>
              </w:rPr>
              <w:t>Design/ duration</w:t>
            </w:r>
          </w:p>
        </w:tc>
        <w:tc>
          <w:tcPr>
            <w:tcW w:w="417" w:type="pct"/>
            <w:shd w:val="clear" w:color="auto" w:fill="auto"/>
            <w:vAlign w:val="center"/>
          </w:tcPr>
          <w:p w:rsidR="00301E4C" w:rsidRPr="00E2771E" w:rsidRDefault="00301E4C" w:rsidP="00ED5652">
            <w:pPr>
              <w:jc w:val="center"/>
              <w:rPr>
                <w:rFonts w:ascii="Arial Narrow" w:hAnsi="Arial Narrow"/>
                <w:b/>
                <w:sz w:val="20"/>
                <w:lang w:val="en-US"/>
              </w:rPr>
            </w:pPr>
            <w:r w:rsidRPr="00E2771E">
              <w:rPr>
                <w:rFonts w:ascii="Arial Narrow" w:hAnsi="Arial Narrow"/>
                <w:b/>
                <w:sz w:val="20"/>
                <w:lang w:val="en-US"/>
              </w:rPr>
              <w:t>Risk of bias</w:t>
            </w:r>
          </w:p>
        </w:tc>
        <w:tc>
          <w:tcPr>
            <w:tcW w:w="583" w:type="pct"/>
            <w:shd w:val="clear" w:color="auto" w:fill="auto"/>
            <w:vAlign w:val="center"/>
          </w:tcPr>
          <w:p w:rsidR="00301E4C" w:rsidRPr="00E2771E" w:rsidRDefault="00301E4C" w:rsidP="00ED5652">
            <w:pPr>
              <w:jc w:val="center"/>
              <w:rPr>
                <w:rFonts w:ascii="Arial Narrow" w:hAnsi="Arial Narrow"/>
                <w:b/>
                <w:sz w:val="20"/>
                <w:lang w:val="en-US"/>
              </w:rPr>
            </w:pPr>
            <w:r w:rsidRPr="00E2771E">
              <w:rPr>
                <w:rFonts w:ascii="Arial Narrow" w:hAnsi="Arial Narrow"/>
                <w:b/>
                <w:sz w:val="20"/>
                <w:lang w:val="en-US"/>
              </w:rPr>
              <w:t>Patient population</w:t>
            </w:r>
          </w:p>
        </w:tc>
        <w:tc>
          <w:tcPr>
            <w:tcW w:w="666" w:type="pct"/>
            <w:shd w:val="clear" w:color="auto" w:fill="auto"/>
            <w:vAlign w:val="center"/>
          </w:tcPr>
          <w:p w:rsidR="00301E4C" w:rsidRPr="00E2771E" w:rsidRDefault="00301E4C" w:rsidP="00ED5652">
            <w:pPr>
              <w:jc w:val="center"/>
              <w:rPr>
                <w:rFonts w:ascii="Arial Narrow" w:hAnsi="Arial Narrow"/>
                <w:b/>
                <w:sz w:val="20"/>
                <w:lang w:val="en-US"/>
              </w:rPr>
            </w:pPr>
            <w:r w:rsidRPr="00E2771E">
              <w:rPr>
                <w:rFonts w:ascii="Arial Narrow" w:hAnsi="Arial Narrow"/>
                <w:b/>
                <w:sz w:val="20"/>
                <w:lang w:val="en-US"/>
              </w:rPr>
              <w:t>Outcome(s)</w:t>
            </w:r>
          </w:p>
        </w:tc>
        <w:tc>
          <w:tcPr>
            <w:tcW w:w="1750" w:type="pct"/>
            <w:shd w:val="clear" w:color="auto" w:fill="auto"/>
            <w:vAlign w:val="center"/>
          </w:tcPr>
          <w:p w:rsidR="00301E4C" w:rsidRPr="00E2771E" w:rsidRDefault="00301E4C" w:rsidP="00ED5652">
            <w:pPr>
              <w:jc w:val="center"/>
              <w:rPr>
                <w:rFonts w:ascii="Arial Narrow" w:hAnsi="Arial Narrow"/>
                <w:b/>
                <w:sz w:val="20"/>
                <w:lang w:val="en-US"/>
              </w:rPr>
            </w:pPr>
            <w:r w:rsidRPr="00E2771E">
              <w:rPr>
                <w:rFonts w:ascii="Arial Narrow" w:hAnsi="Arial Narrow"/>
                <w:b/>
                <w:sz w:val="20"/>
                <w:lang w:val="en-US"/>
              </w:rPr>
              <w:t>Use in modelled evaluation</w:t>
            </w:r>
          </w:p>
        </w:tc>
      </w:tr>
      <w:tr w:rsidR="00301E4C" w:rsidRPr="00E2771E" w:rsidTr="008E74B4">
        <w:tc>
          <w:tcPr>
            <w:tcW w:w="667" w:type="pct"/>
            <w:shd w:val="clear" w:color="auto" w:fill="auto"/>
            <w:vAlign w:val="center"/>
          </w:tcPr>
          <w:p w:rsidR="00301E4C" w:rsidRPr="00E2771E" w:rsidRDefault="00301E4C" w:rsidP="00ED5652">
            <w:pPr>
              <w:jc w:val="left"/>
              <w:rPr>
                <w:rFonts w:ascii="Arial Narrow" w:hAnsi="Arial Narrow"/>
                <w:sz w:val="20"/>
                <w:lang w:val="en-US"/>
              </w:rPr>
            </w:pPr>
            <w:r>
              <w:rPr>
                <w:rFonts w:ascii="Arial Narrow" w:hAnsi="Arial Narrow"/>
                <w:sz w:val="20"/>
                <w:lang w:val="en-US"/>
              </w:rPr>
              <w:t>ASCEND</w:t>
            </w:r>
          </w:p>
        </w:tc>
        <w:tc>
          <w:tcPr>
            <w:tcW w:w="250" w:type="pct"/>
            <w:shd w:val="clear" w:color="auto" w:fill="auto"/>
            <w:vAlign w:val="center"/>
          </w:tcPr>
          <w:p w:rsidR="00301E4C" w:rsidRPr="00E2771E" w:rsidRDefault="00301E4C" w:rsidP="00ED5652">
            <w:pPr>
              <w:jc w:val="center"/>
              <w:rPr>
                <w:rFonts w:ascii="Arial Narrow" w:hAnsi="Arial Narrow"/>
                <w:sz w:val="20"/>
                <w:lang w:val="en-US"/>
              </w:rPr>
            </w:pPr>
            <w:r>
              <w:rPr>
                <w:rFonts w:ascii="Arial Narrow" w:hAnsi="Arial Narrow"/>
                <w:sz w:val="20"/>
                <w:lang w:val="en-US"/>
              </w:rPr>
              <w:t>555</w:t>
            </w:r>
          </w:p>
        </w:tc>
        <w:tc>
          <w:tcPr>
            <w:tcW w:w="667" w:type="pct"/>
            <w:shd w:val="clear" w:color="auto" w:fill="auto"/>
            <w:vAlign w:val="center"/>
          </w:tcPr>
          <w:p w:rsidR="00301E4C" w:rsidRPr="00E2771E" w:rsidRDefault="00301E4C" w:rsidP="00ED5652">
            <w:pPr>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DB, MC, MN, phase III;</w:t>
            </w:r>
          </w:p>
          <w:p w:rsidR="00301E4C" w:rsidRPr="00E2771E" w:rsidRDefault="00301E4C" w:rsidP="00ED5652">
            <w:pPr>
              <w:jc w:val="center"/>
              <w:rPr>
                <w:rFonts w:ascii="Arial Narrow" w:hAnsi="Arial Narrow"/>
                <w:sz w:val="20"/>
                <w:lang w:val="en-US"/>
              </w:rPr>
            </w:pPr>
            <w:r>
              <w:rPr>
                <w:rFonts w:ascii="Arial Narrow" w:hAnsi="Arial Narrow"/>
                <w:sz w:val="20"/>
                <w:lang w:val="en-US"/>
              </w:rPr>
              <w:t>52 weeks</w:t>
            </w:r>
          </w:p>
        </w:tc>
        <w:tc>
          <w:tcPr>
            <w:tcW w:w="417" w:type="pct"/>
            <w:shd w:val="clear" w:color="auto" w:fill="auto"/>
            <w:vAlign w:val="center"/>
          </w:tcPr>
          <w:p w:rsidR="00301E4C" w:rsidRPr="00E2771E" w:rsidRDefault="00301E4C" w:rsidP="00ED5652">
            <w:pPr>
              <w:jc w:val="center"/>
              <w:rPr>
                <w:rFonts w:ascii="Arial Narrow" w:hAnsi="Arial Narrow"/>
                <w:sz w:val="20"/>
                <w:lang w:val="en-US"/>
              </w:rPr>
            </w:pPr>
            <w:r w:rsidRPr="00E2771E">
              <w:rPr>
                <w:rFonts w:ascii="Arial Narrow" w:hAnsi="Arial Narrow"/>
                <w:sz w:val="20"/>
                <w:lang w:val="en-US"/>
              </w:rPr>
              <w:t>Low</w:t>
            </w:r>
          </w:p>
        </w:tc>
        <w:tc>
          <w:tcPr>
            <w:tcW w:w="583" w:type="pct"/>
            <w:vAlign w:val="center"/>
          </w:tcPr>
          <w:p w:rsidR="00301E4C" w:rsidRPr="00E2771E" w:rsidRDefault="00301E4C" w:rsidP="00ED5652">
            <w:pPr>
              <w:jc w:val="center"/>
              <w:rPr>
                <w:rFonts w:ascii="Arial Narrow" w:hAnsi="Arial Narrow"/>
                <w:sz w:val="20"/>
                <w:lang w:val="en-US"/>
              </w:rPr>
            </w:pPr>
            <w:r>
              <w:rPr>
                <w:rFonts w:ascii="Arial Narrow" w:hAnsi="Arial Narrow"/>
                <w:sz w:val="20"/>
                <w:lang w:eastAsia="en-AU"/>
              </w:rPr>
              <w:t>IPF</w:t>
            </w:r>
          </w:p>
        </w:tc>
        <w:tc>
          <w:tcPr>
            <w:tcW w:w="666" w:type="pct"/>
            <w:vMerge w:val="restart"/>
            <w:vAlign w:val="center"/>
          </w:tcPr>
          <w:p w:rsidR="00301E4C" w:rsidRPr="00E2771E" w:rsidRDefault="00301E4C" w:rsidP="00ED5652">
            <w:pPr>
              <w:jc w:val="center"/>
              <w:rPr>
                <w:rFonts w:ascii="Arial Narrow" w:hAnsi="Arial Narrow"/>
                <w:sz w:val="20"/>
                <w:lang w:val="en-US"/>
              </w:rPr>
            </w:pPr>
            <w:r w:rsidRPr="009845B2">
              <w:rPr>
                <w:rFonts w:ascii="Arial Narrow" w:hAnsi="Arial Narrow"/>
                <w:sz w:val="20"/>
                <w:lang w:val="ru-RU" w:eastAsia="en-AU"/>
              </w:rPr>
              <w:t>С</w:t>
            </w:r>
            <w:r w:rsidRPr="009845B2">
              <w:rPr>
                <w:rFonts w:ascii="Arial Narrow" w:hAnsi="Arial Narrow"/>
                <w:sz w:val="20"/>
                <w:lang w:val="hr-HR" w:eastAsia="en-AU"/>
              </w:rPr>
              <w:t>hange</w:t>
            </w:r>
            <w:r w:rsidRPr="009845B2">
              <w:rPr>
                <w:rFonts w:ascii="Arial Narrow" w:hAnsi="Arial Narrow"/>
                <w:sz w:val="20"/>
                <w:lang w:eastAsia="en-AU"/>
              </w:rPr>
              <w:t xml:space="preserve"> in </w:t>
            </w:r>
            <w:proofErr w:type="spellStart"/>
            <w:r w:rsidRPr="009845B2">
              <w:rPr>
                <w:rFonts w:ascii="Arial Narrow" w:hAnsi="Arial Narrow"/>
                <w:sz w:val="20"/>
                <w:lang w:eastAsia="en-AU"/>
              </w:rPr>
              <w:t>FVC%Pred</w:t>
            </w:r>
            <w:proofErr w:type="spellEnd"/>
            <w:r w:rsidRPr="009845B2">
              <w:rPr>
                <w:rFonts w:ascii="Arial Narrow" w:hAnsi="Arial Narrow"/>
                <w:sz w:val="20"/>
                <w:lang w:eastAsia="en-AU"/>
              </w:rPr>
              <w:t>: baseline to week 52 (ASCEND) or week 72 (CAPACITY)</w:t>
            </w:r>
          </w:p>
        </w:tc>
        <w:tc>
          <w:tcPr>
            <w:tcW w:w="1750" w:type="pct"/>
            <w:vMerge w:val="restart"/>
            <w:vAlign w:val="center"/>
          </w:tcPr>
          <w:p w:rsidR="00301E4C" w:rsidRPr="00E2771E" w:rsidRDefault="00301E4C" w:rsidP="00ED5652">
            <w:pPr>
              <w:jc w:val="center"/>
              <w:rPr>
                <w:rFonts w:ascii="Arial Narrow" w:hAnsi="Arial Narrow"/>
                <w:sz w:val="20"/>
                <w:lang w:val="en-US"/>
              </w:rPr>
            </w:pPr>
            <w:r w:rsidRPr="009845B2">
              <w:rPr>
                <w:rFonts w:ascii="Arial Narrow" w:hAnsi="Arial Narrow"/>
                <w:sz w:val="20"/>
                <w:lang w:val="hr-HR" w:eastAsia="en-AU"/>
              </w:rPr>
              <w:t>Kaplan</w:t>
            </w:r>
            <w:r>
              <w:rPr>
                <w:rFonts w:ascii="Arial Narrow" w:hAnsi="Arial Narrow"/>
                <w:sz w:val="20"/>
                <w:lang w:val="hr-HR" w:eastAsia="en-AU"/>
              </w:rPr>
              <w:t>-M</w:t>
            </w:r>
            <w:r w:rsidRPr="009845B2">
              <w:rPr>
                <w:rFonts w:ascii="Arial Narrow" w:hAnsi="Arial Narrow"/>
                <w:sz w:val="20"/>
                <w:lang w:val="hr-HR" w:eastAsia="en-AU"/>
              </w:rPr>
              <w:t>eier estimates: overall survival (6.2 years follow-up</w:t>
            </w:r>
            <w:r>
              <w:rPr>
                <w:rFonts w:ascii="Arial Narrow" w:hAnsi="Arial Narrow"/>
                <w:sz w:val="20"/>
                <w:lang w:val="hr-HR" w:eastAsia="en-AU"/>
              </w:rPr>
              <w:t>^</w:t>
            </w:r>
            <w:r w:rsidRPr="009845B2">
              <w:rPr>
                <w:rFonts w:ascii="Arial Narrow" w:hAnsi="Arial Narrow"/>
                <w:sz w:val="20"/>
                <w:lang w:val="hr-HR" w:eastAsia="en-AU"/>
              </w:rPr>
              <w:t>); progression free survival (log-</w:t>
            </w:r>
            <w:r>
              <w:rPr>
                <w:rFonts w:ascii="Arial Narrow" w:hAnsi="Arial Narrow"/>
                <w:sz w:val="20"/>
                <w:lang w:val="hr-HR" w:eastAsia="en-AU"/>
              </w:rPr>
              <w:t>normal</w:t>
            </w:r>
            <w:r w:rsidRPr="009845B2">
              <w:rPr>
                <w:rFonts w:ascii="Arial Narrow" w:hAnsi="Arial Narrow"/>
                <w:sz w:val="20"/>
                <w:lang w:val="hr-HR" w:eastAsia="en-AU"/>
              </w:rPr>
              <w:t xml:space="preserve"> parametric extrapolation), treatment duration (gompertz extrapolation^); probability and duration of hospitalisations (CAPACITY 1 and 2)</w:t>
            </w:r>
          </w:p>
        </w:tc>
      </w:tr>
      <w:tr w:rsidR="00301E4C" w:rsidRPr="00E2771E" w:rsidTr="008E74B4">
        <w:tc>
          <w:tcPr>
            <w:tcW w:w="667" w:type="pct"/>
            <w:shd w:val="clear" w:color="auto" w:fill="auto"/>
            <w:vAlign w:val="center"/>
          </w:tcPr>
          <w:p w:rsidR="00301E4C" w:rsidRPr="00E2771E" w:rsidRDefault="00301E4C" w:rsidP="00ED5652">
            <w:pPr>
              <w:jc w:val="left"/>
              <w:rPr>
                <w:rFonts w:ascii="Arial Narrow" w:hAnsi="Arial Narrow"/>
                <w:sz w:val="20"/>
                <w:lang w:val="en-US"/>
              </w:rPr>
            </w:pPr>
            <w:r>
              <w:rPr>
                <w:rFonts w:ascii="Arial Narrow" w:hAnsi="Arial Narrow"/>
                <w:sz w:val="20"/>
                <w:lang w:val="en-US"/>
              </w:rPr>
              <w:t>CAPACITY-2*</w:t>
            </w:r>
          </w:p>
        </w:tc>
        <w:tc>
          <w:tcPr>
            <w:tcW w:w="250" w:type="pct"/>
            <w:shd w:val="clear" w:color="auto" w:fill="auto"/>
            <w:vAlign w:val="center"/>
          </w:tcPr>
          <w:p w:rsidR="00301E4C" w:rsidRPr="00E2771E" w:rsidRDefault="00301E4C" w:rsidP="00ED5652">
            <w:pPr>
              <w:jc w:val="center"/>
              <w:rPr>
                <w:rFonts w:ascii="Arial Narrow" w:hAnsi="Arial Narrow"/>
                <w:sz w:val="20"/>
                <w:lang w:val="en-US"/>
              </w:rPr>
            </w:pPr>
            <w:r>
              <w:rPr>
                <w:rFonts w:ascii="Arial Narrow" w:hAnsi="Arial Narrow"/>
                <w:sz w:val="20"/>
                <w:lang w:val="en-US"/>
              </w:rPr>
              <w:t>435</w:t>
            </w:r>
          </w:p>
        </w:tc>
        <w:tc>
          <w:tcPr>
            <w:tcW w:w="667" w:type="pct"/>
            <w:vMerge w:val="restart"/>
            <w:shd w:val="clear" w:color="auto" w:fill="auto"/>
            <w:vAlign w:val="center"/>
          </w:tcPr>
          <w:p w:rsidR="00301E4C" w:rsidRPr="00E2771E" w:rsidRDefault="00301E4C" w:rsidP="00ED5652">
            <w:pPr>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DB, MC, MN, phase III;</w:t>
            </w:r>
          </w:p>
          <w:p w:rsidR="00301E4C" w:rsidRPr="00E2771E" w:rsidRDefault="00301E4C" w:rsidP="00ED5652">
            <w:pPr>
              <w:jc w:val="center"/>
              <w:rPr>
                <w:rFonts w:ascii="Arial Narrow" w:hAnsi="Arial Narrow"/>
                <w:sz w:val="20"/>
                <w:lang w:val="en-US"/>
              </w:rPr>
            </w:pPr>
            <w:r>
              <w:rPr>
                <w:rFonts w:ascii="Arial Narrow" w:hAnsi="Arial Narrow"/>
                <w:sz w:val="20"/>
                <w:lang w:val="en-US"/>
              </w:rPr>
              <w:t>72 weeks</w:t>
            </w:r>
          </w:p>
        </w:tc>
        <w:tc>
          <w:tcPr>
            <w:tcW w:w="417" w:type="pct"/>
            <w:vMerge w:val="restart"/>
            <w:shd w:val="clear" w:color="auto" w:fill="auto"/>
            <w:vAlign w:val="center"/>
          </w:tcPr>
          <w:p w:rsidR="00301E4C" w:rsidRPr="00E2771E" w:rsidRDefault="00301E4C" w:rsidP="00ED5652">
            <w:pPr>
              <w:jc w:val="center"/>
              <w:rPr>
                <w:rFonts w:ascii="Arial Narrow" w:hAnsi="Arial Narrow"/>
                <w:sz w:val="20"/>
                <w:lang w:val="en-US"/>
              </w:rPr>
            </w:pPr>
            <w:r w:rsidRPr="00E2771E">
              <w:rPr>
                <w:rFonts w:ascii="Arial Narrow" w:hAnsi="Arial Narrow"/>
                <w:sz w:val="20"/>
                <w:lang w:val="en-US"/>
              </w:rPr>
              <w:t>Low</w:t>
            </w:r>
          </w:p>
        </w:tc>
        <w:tc>
          <w:tcPr>
            <w:tcW w:w="583" w:type="pct"/>
            <w:vMerge w:val="restart"/>
            <w:shd w:val="clear" w:color="auto" w:fill="auto"/>
            <w:vAlign w:val="center"/>
          </w:tcPr>
          <w:p w:rsidR="00301E4C" w:rsidRPr="00E2771E" w:rsidRDefault="00301E4C" w:rsidP="00ED5652">
            <w:pPr>
              <w:jc w:val="center"/>
              <w:rPr>
                <w:rFonts w:ascii="Arial Narrow" w:hAnsi="Arial Narrow"/>
                <w:sz w:val="20"/>
                <w:lang w:val="en-US"/>
              </w:rPr>
            </w:pPr>
            <w:r>
              <w:rPr>
                <w:rFonts w:ascii="Arial Narrow" w:hAnsi="Arial Narrow"/>
                <w:sz w:val="20"/>
                <w:lang w:val="en-US"/>
              </w:rPr>
              <w:t>IPF</w:t>
            </w:r>
          </w:p>
        </w:tc>
        <w:tc>
          <w:tcPr>
            <w:tcW w:w="666" w:type="pct"/>
            <w:vMerge/>
            <w:shd w:val="clear" w:color="auto" w:fill="auto"/>
            <w:vAlign w:val="center"/>
          </w:tcPr>
          <w:p w:rsidR="00301E4C" w:rsidRPr="00E2771E" w:rsidRDefault="00301E4C" w:rsidP="00ED5652">
            <w:pPr>
              <w:jc w:val="center"/>
              <w:rPr>
                <w:rFonts w:ascii="Arial Narrow" w:hAnsi="Arial Narrow"/>
                <w:sz w:val="20"/>
                <w:lang w:val="en-US"/>
              </w:rPr>
            </w:pPr>
          </w:p>
        </w:tc>
        <w:tc>
          <w:tcPr>
            <w:tcW w:w="1750" w:type="pct"/>
            <w:vMerge/>
            <w:shd w:val="clear" w:color="auto" w:fill="auto"/>
            <w:vAlign w:val="center"/>
          </w:tcPr>
          <w:p w:rsidR="00301E4C" w:rsidRPr="00E2771E" w:rsidRDefault="00301E4C" w:rsidP="00ED5652">
            <w:pPr>
              <w:jc w:val="center"/>
              <w:rPr>
                <w:rFonts w:ascii="Arial Narrow" w:hAnsi="Arial Narrow"/>
                <w:sz w:val="20"/>
                <w:lang w:val="en-US"/>
              </w:rPr>
            </w:pPr>
          </w:p>
        </w:tc>
      </w:tr>
      <w:tr w:rsidR="00301E4C" w:rsidRPr="00E2771E" w:rsidTr="008E74B4">
        <w:tc>
          <w:tcPr>
            <w:tcW w:w="667" w:type="pct"/>
            <w:shd w:val="clear" w:color="auto" w:fill="auto"/>
            <w:vAlign w:val="center"/>
          </w:tcPr>
          <w:p w:rsidR="00301E4C" w:rsidRPr="00E2771E" w:rsidRDefault="00301E4C" w:rsidP="00ED5652">
            <w:pPr>
              <w:jc w:val="left"/>
              <w:rPr>
                <w:rFonts w:ascii="Arial Narrow" w:hAnsi="Arial Narrow"/>
                <w:sz w:val="20"/>
                <w:lang w:val="en-US"/>
              </w:rPr>
            </w:pPr>
            <w:r>
              <w:rPr>
                <w:rFonts w:ascii="Arial Narrow" w:hAnsi="Arial Narrow"/>
                <w:sz w:val="20"/>
                <w:lang w:val="en-US"/>
              </w:rPr>
              <w:t>CAPACITY-1</w:t>
            </w:r>
          </w:p>
        </w:tc>
        <w:tc>
          <w:tcPr>
            <w:tcW w:w="250" w:type="pct"/>
            <w:shd w:val="clear" w:color="auto" w:fill="auto"/>
            <w:vAlign w:val="center"/>
          </w:tcPr>
          <w:p w:rsidR="00301E4C" w:rsidRPr="00E2771E" w:rsidRDefault="00301E4C" w:rsidP="00ED5652">
            <w:pPr>
              <w:jc w:val="center"/>
              <w:rPr>
                <w:rFonts w:ascii="Arial Narrow" w:hAnsi="Arial Narrow"/>
                <w:sz w:val="20"/>
                <w:lang w:val="en-US"/>
              </w:rPr>
            </w:pPr>
            <w:r>
              <w:rPr>
                <w:rFonts w:ascii="Arial Narrow" w:hAnsi="Arial Narrow"/>
                <w:sz w:val="20"/>
                <w:lang w:val="en-US"/>
              </w:rPr>
              <w:t>344</w:t>
            </w:r>
          </w:p>
        </w:tc>
        <w:tc>
          <w:tcPr>
            <w:tcW w:w="667" w:type="pct"/>
            <w:vMerge/>
            <w:shd w:val="clear" w:color="auto" w:fill="auto"/>
            <w:vAlign w:val="center"/>
          </w:tcPr>
          <w:p w:rsidR="00301E4C" w:rsidRPr="00E2771E" w:rsidRDefault="00301E4C" w:rsidP="00ED5652">
            <w:pPr>
              <w:jc w:val="center"/>
              <w:rPr>
                <w:rFonts w:ascii="Arial Narrow" w:hAnsi="Arial Narrow"/>
                <w:sz w:val="20"/>
                <w:lang w:val="en-US"/>
              </w:rPr>
            </w:pPr>
          </w:p>
        </w:tc>
        <w:tc>
          <w:tcPr>
            <w:tcW w:w="417" w:type="pct"/>
            <w:vMerge/>
            <w:shd w:val="clear" w:color="auto" w:fill="auto"/>
            <w:vAlign w:val="center"/>
          </w:tcPr>
          <w:p w:rsidR="00301E4C" w:rsidRPr="00E2771E" w:rsidRDefault="00301E4C" w:rsidP="00ED5652">
            <w:pPr>
              <w:jc w:val="center"/>
              <w:rPr>
                <w:rFonts w:ascii="Arial Narrow" w:hAnsi="Arial Narrow"/>
                <w:sz w:val="20"/>
                <w:lang w:val="en-US"/>
              </w:rPr>
            </w:pPr>
          </w:p>
        </w:tc>
        <w:tc>
          <w:tcPr>
            <w:tcW w:w="583" w:type="pct"/>
            <w:vMerge/>
            <w:shd w:val="clear" w:color="auto" w:fill="auto"/>
            <w:vAlign w:val="center"/>
          </w:tcPr>
          <w:p w:rsidR="00301E4C" w:rsidRPr="00E2771E" w:rsidRDefault="00301E4C" w:rsidP="00ED5652">
            <w:pPr>
              <w:jc w:val="center"/>
              <w:rPr>
                <w:rFonts w:ascii="Arial Narrow" w:hAnsi="Arial Narrow"/>
                <w:sz w:val="20"/>
                <w:lang w:val="en-US"/>
              </w:rPr>
            </w:pPr>
          </w:p>
        </w:tc>
        <w:tc>
          <w:tcPr>
            <w:tcW w:w="666" w:type="pct"/>
            <w:vMerge/>
            <w:shd w:val="clear" w:color="auto" w:fill="auto"/>
            <w:vAlign w:val="center"/>
          </w:tcPr>
          <w:p w:rsidR="00301E4C" w:rsidRPr="00E2771E" w:rsidRDefault="00301E4C" w:rsidP="00ED5652">
            <w:pPr>
              <w:jc w:val="center"/>
              <w:rPr>
                <w:rFonts w:ascii="Arial Narrow" w:hAnsi="Arial Narrow"/>
                <w:sz w:val="20"/>
                <w:lang w:val="en-US"/>
              </w:rPr>
            </w:pPr>
          </w:p>
        </w:tc>
        <w:tc>
          <w:tcPr>
            <w:tcW w:w="1750" w:type="pct"/>
            <w:vMerge/>
            <w:shd w:val="clear" w:color="auto" w:fill="auto"/>
            <w:vAlign w:val="center"/>
          </w:tcPr>
          <w:p w:rsidR="00301E4C" w:rsidRPr="00E2771E" w:rsidRDefault="00301E4C" w:rsidP="00ED5652">
            <w:pPr>
              <w:jc w:val="center"/>
              <w:rPr>
                <w:rFonts w:ascii="Arial Narrow" w:hAnsi="Arial Narrow"/>
                <w:sz w:val="20"/>
                <w:lang w:val="en-US"/>
              </w:rPr>
            </w:pPr>
          </w:p>
        </w:tc>
      </w:tr>
    </w:tbl>
    <w:p w:rsidR="00301E4C" w:rsidRPr="0072416F" w:rsidRDefault="00301E4C" w:rsidP="00301E4C">
      <w:pPr>
        <w:pStyle w:val="TableFooter"/>
        <w:ind w:left="720"/>
      </w:pPr>
      <w:r>
        <w:t xml:space="preserve">Abbreviations: </w:t>
      </w:r>
      <w:r w:rsidRPr="0072416F">
        <w:t>MC</w:t>
      </w:r>
      <w:r>
        <w:t xml:space="preserve"> </w:t>
      </w:r>
      <w:r w:rsidRPr="0072416F">
        <w:t>=</w:t>
      </w:r>
      <w:r>
        <w:t xml:space="preserve"> </w:t>
      </w:r>
      <w:r w:rsidRPr="0072416F">
        <w:t xml:space="preserve">multicentre; </w:t>
      </w:r>
      <w:r>
        <w:t>DB = double blind; MN = multinational</w:t>
      </w:r>
      <w:r w:rsidRPr="0072416F">
        <w:t>; R</w:t>
      </w:r>
      <w:r>
        <w:t xml:space="preserve"> </w:t>
      </w:r>
      <w:r w:rsidRPr="0072416F">
        <w:t>=</w:t>
      </w:r>
      <w:r>
        <w:t xml:space="preserve"> </w:t>
      </w:r>
      <w:r w:rsidRPr="0072416F">
        <w:t>randomised</w:t>
      </w:r>
      <w:r>
        <w:t xml:space="preserve">; </w:t>
      </w:r>
      <w:proofErr w:type="spellStart"/>
      <w:r>
        <w:t>FVC%Pred</w:t>
      </w:r>
      <w:proofErr w:type="spellEnd"/>
      <w:r>
        <w:t xml:space="preserve"> = forced vital capacity percent predicted; IPF = idiopathic pulmonary fibrosis. *Results from CAPACITY-2 were limited to the 2403mg per day group as this was consistent with the proposed dosage in the draft PI. ^</w:t>
      </w:r>
      <w:r w:rsidRPr="005B3744">
        <w:t xml:space="preserve"> Follow-up data from RECAP (long term extension study) also included in Kaplan-Meier estimates of survival and time to off treatment for </w:t>
      </w:r>
      <w:proofErr w:type="spellStart"/>
      <w:r w:rsidRPr="005B3744">
        <w:t>pirfenidone</w:t>
      </w:r>
      <w:proofErr w:type="spellEnd"/>
      <w:r w:rsidRPr="005B3744">
        <w:t xml:space="preserve">; survival data for BSC was only available to 2 years.  </w:t>
      </w:r>
      <w:r w:rsidRPr="0072416F">
        <w:t>Source: compiled during the evaluation</w:t>
      </w:r>
    </w:p>
    <w:p w:rsidR="00301E4C" w:rsidRDefault="00301E4C" w:rsidP="00301E4C"/>
    <w:p w:rsidR="00301E4C" w:rsidRDefault="00301E4C" w:rsidP="00B9372F">
      <w:pPr>
        <w:pStyle w:val="ListParagraph"/>
        <w:widowControl/>
        <w:numPr>
          <w:ilvl w:val="1"/>
          <w:numId w:val="2"/>
        </w:numPr>
      </w:pPr>
      <w:r>
        <w:t>Results from CAPACITY-1 and 2 were known prior to the planning of ASCEND.  While many aspects of the trial design for ASCEND were similar to the CAPACITY</w:t>
      </w:r>
      <w:r w:rsidR="0058187E">
        <w:t xml:space="preserve"> trials</w:t>
      </w:r>
      <w:r>
        <w:t>, key differences were observed in the following areas:</w:t>
      </w:r>
    </w:p>
    <w:p w:rsidR="00301E4C" w:rsidRDefault="00301E4C" w:rsidP="00E813E0">
      <w:pPr>
        <w:pStyle w:val="ListParagraph"/>
        <w:widowControl/>
        <w:numPr>
          <w:ilvl w:val="0"/>
          <w:numId w:val="1"/>
        </w:numPr>
        <w:ind w:left="993" w:hanging="284"/>
      </w:pPr>
      <w:r w:rsidRPr="00E813E0">
        <w:rPr>
          <w:szCs w:val="22"/>
        </w:rPr>
        <w:t>Trial</w:t>
      </w:r>
      <w:r>
        <w:t xml:space="preserve"> duration: 52 weeks for ASCEND compared to 72 weeks in CAPACITY.</w:t>
      </w:r>
    </w:p>
    <w:p w:rsidR="00301E4C" w:rsidRPr="00DA23D4" w:rsidRDefault="00301E4C" w:rsidP="00E813E0">
      <w:pPr>
        <w:pStyle w:val="ListParagraph"/>
        <w:widowControl/>
        <w:numPr>
          <w:ilvl w:val="0"/>
          <w:numId w:val="1"/>
        </w:numPr>
        <w:ind w:left="993" w:hanging="284"/>
      </w:pPr>
      <w:r w:rsidRPr="00E813E0">
        <w:rPr>
          <w:szCs w:val="22"/>
        </w:rPr>
        <w:t>Inclusion</w:t>
      </w:r>
      <w:r>
        <w:t xml:space="preserve"> criteria from CAPACITY was adjusted in ASCEND to include IPF patients with a lower DL</w:t>
      </w:r>
      <w:r w:rsidRPr="00D34ABA">
        <w:rPr>
          <w:vertAlign w:val="subscript"/>
        </w:rPr>
        <w:t>CO</w:t>
      </w:r>
      <w:r>
        <w:t>, higher FEV</w:t>
      </w:r>
      <w:r w:rsidRPr="00D34ABA">
        <w:rPr>
          <w:vertAlign w:val="subscript"/>
        </w:rPr>
        <w:t>1</w:t>
      </w:r>
      <w:r>
        <w:t xml:space="preserve">/FVC ratio and longer time since diagnosis.  The CSR for ASCEND indicated that changes to the inclusion criteria were done with the intent of recruiting patients with a greater risk of disease progression.  </w:t>
      </w:r>
      <w:r w:rsidRPr="00DA23D4">
        <w:t xml:space="preserve">These differences are reflected in the comparison of disease state characteristics, with reduced measures of pulmonary function (ASCEND vs CAPACITY: </w:t>
      </w:r>
      <w:proofErr w:type="spellStart"/>
      <w:r w:rsidRPr="00DA23D4">
        <w:t>FVC%Pred</w:t>
      </w:r>
      <w:proofErr w:type="spellEnd"/>
      <w:r w:rsidRPr="00DA23D4">
        <w:t>: 67.8-68.6% vs 73.1-76.2% and DL</w:t>
      </w:r>
      <w:r w:rsidRPr="00DA23D4">
        <w:rPr>
          <w:vertAlign w:val="subscript"/>
        </w:rPr>
        <w:t>CO</w:t>
      </w:r>
      <w:r w:rsidRPr="00DA23D4">
        <w:t>: 43.7-44.2% vs 46.1-47.8%) and longer time since IPF diagnosis (ASCEND vs CAPACITY: 1.7 years vs 1.1-1.3 years) reported in ASCEND.  This is of consequence to the exchangeabil</w:t>
      </w:r>
      <w:r w:rsidR="008E74B4">
        <w:t xml:space="preserve">ity of the </w:t>
      </w:r>
      <w:proofErr w:type="spellStart"/>
      <w:r w:rsidR="008E74B4">
        <w:t>pirfenidone</w:t>
      </w:r>
      <w:proofErr w:type="spellEnd"/>
      <w:r w:rsidR="008E74B4">
        <w:t xml:space="preserve"> trials.</w:t>
      </w:r>
    </w:p>
    <w:p w:rsidR="00301E4C" w:rsidRDefault="00301E4C" w:rsidP="00E813E0">
      <w:pPr>
        <w:pStyle w:val="ListParagraph"/>
        <w:widowControl/>
        <w:numPr>
          <w:ilvl w:val="0"/>
          <w:numId w:val="1"/>
        </w:numPr>
        <w:ind w:left="993" w:hanging="284"/>
      </w:pPr>
      <w:r w:rsidRPr="00E813E0">
        <w:rPr>
          <w:szCs w:val="22"/>
        </w:rPr>
        <w:t>Secondary</w:t>
      </w:r>
      <w:r>
        <w:t xml:space="preserve"> endpoints: key secondary endpoints were revised in ASCEND, with change from 6 minute walk test (6MWT) distance introduced; definition of progression free survival (PFS) changed (substitution of DL</w:t>
      </w:r>
      <w:r w:rsidRPr="00414C97">
        <w:rPr>
          <w:vertAlign w:val="subscript"/>
        </w:rPr>
        <w:t>CO</w:t>
      </w:r>
      <w:r>
        <w:t>≥15% increase for 6MWT≥50m decrease; FVC%Pred≥10% decrease retained); and the removal of time to worsening of IPF (included the assessme</w:t>
      </w:r>
      <w:r w:rsidR="008E74B4">
        <w:t>nt of acute IPF exacerbation).</w:t>
      </w:r>
    </w:p>
    <w:p w:rsidR="00301E4C" w:rsidRDefault="00301E4C" w:rsidP="00301E4C">
      <w:pPr>
        <w:widowControl/>
      </w:pPr>
    </w:p>
    <w:p w:rsidR="00301E4C" w:rsidRPr="00DA23D4" w:rsidRDefault="00301E4C" w:rsidP="00B9372F">
      <w:pPr>
        <w:pStyle w:val="ListParagraph"/>
        <w:widowControl/>
        <w:numPr>
          <w:ilvl w:val="1"/>
          <w:numId w:val="2"/>
        </w:numPr>
      </w:pPr>
      <w:r w:rsidRPr="00DA23D4">
        <w:t xml:space="preserve">The above observations do not imply that it was unreasonable to update the ASCEND trial design, given the expectation that investigators would incorporate advancements in the understanding of IPF disease progression.  Nevertheless, there is the potential risk that prior knowledge of results from CAPACITY (refer to </w:t>
      </w:r>
      <w:r w:rsidR="0058187E" w:rsidRPr="00DA23D4">
        <w:t>T</w:t>
      </w:r>
      <w:r w:rsidRPr="00DA23D4">
        <w:t xml:space="preserve">able 3 below) influenced the selection of patients, outcome factors and analyses with the view of increasing the observed treatment effect associated with </w:t>
      </w:r>
      <w:proofErr w:type="spellStart"/>
      <w:r w:rsidRPr="00DA23D4">
        <w:t>pirfenidone</w:t>
      </w:r>
      <w:proofErr w:type="spellEnd"/>
      <w:r w:rsidRPr="00DA23D4">
        <w:t>.  The adjustments to trial duration and secondary endpoints in ASCEND were of particular consequence to the pre-specified time to event meta-analyses presented by the submission:</w:t>
      </w:r>
    </w:p>
    <w:p w:rsidR="00301E4C" w:rsidRPr="00DA23D4" w:rsidRDefault="00301E4C" w:rsidP="00E813E0">
      <w:pPr>
        <w:pStyle w:val="ListParagraph"/>
        <w:widowControl/>
        <w:numPr>
          <w:ilvl w:val="0"/>
          <w:numId w:val="1"/>
        </w:numPr>
        <w:ind w:left="993" w:hanging="284"/>
      </w:pPr>
      <w:r w:rsidRPr="00E813E0">
        <w:rPr>
          <w:szCs w:val="22"/>
        </w:rPr>
        <w:t>Censoring</w:t>
      </w:r>
      <w:r w:rsidRPr="00DA23D4">
        <w:t xml:space="preserve"> of data from CAPACITY-1 and 2 to allow a 52-week comparison in the meta-analyses had profound impact on the estimated treatment effect for overall survival (refer to </w:t>
      </w:r>
      <w:r w:rsidR="0058187E" w:rsidRPr="00DA23D4">
        <w:t>C</w:t>
      </w:r>
      <w:r w:rsidRPr="00DA23D4">
        <w:t>omparative effectiveness</w:t>
      </w:r>
      <w:r w:rsidR="0058187E" w:rsidRPr="00DA23D4">
        <w:t xml:space="preserve"> below</w:t>
      </w:r>
      <w:r w:rsidRPr="00DA23D4">
        <w:t>)</w:t>
      </w:r>
      <w:r w:rsidR="0058187E" w:rsidRPr="00DA23D4">
        <w:t>.</w:t>
      </w:r>
    </w:p>
    <w:p w:rsidR="00301E4C" w:rsidRDefault="00301E4C" w:rsidP="00E813E0">
      <w:pPr>
        <w:pStyle w:val="ListParagraph"/>
        <w:widowControl/>
        <w:numPr>
          <w:ilvl w:val="0"/>
          <w:numId w:val="1"/>
        </w:numPr>
        <w:ind w:left="993" w:hanging="284"/>
      </w:pPr>
      <w:r w:rsidRPr="00DA23D4">
        <w:t xml:space="preserve">PFS was primarily driven by 6MWT≥50m decrease.  While a relationship between 6MWT and survival has been observed in an IPF clinical trial investigating </w:t>
      </w:r>
      <w:r w:rsidRPr="00DA23D4">
        <w:lastRenderedPageBreak/>
        <w:t>interferon Ɣ-1b (du Bois 2014), the submission does not present any evidence</w:t>
      </w:r>
      <w:r>
        <w:rPr>
          <w:i/>
        </w:rPr>
        <w:t xml:space="preserve"> </w:t>
      </w:r>
      <w:r w:rsidRPr="00DA23D4">
        <w:t xml:space="preserve">regarding the formal validation of PFS as an appropriate composite outcome measure for IPF.  In addition, no </w:t>
      </w:r>
      <w:proofErr w:type="spellStart"/>
      <w:r w:rsidRPr="00DA23D4">
        <w:t>pirfenidone</w:t>
      </w:r>
      <w:proofErr w:type="spellEnd"/>
      <w:r w:rsidRPr="00DA23D4">
        <w:t xml:space="preserve"> trial based analyses were presented to indicate whether any relationship with OS could be reli</w:t>
      </w:r>
      <w:r w:rsidR="008E74B4">
        <w:t>ably determined or quantified.</w:t>
      </w:r>
    </w:p>
    <w:p w:rsidR="00142C54" w:rsidRDefault="00142C54" w:rsidP="008E74B4">
      <w:pPr>
        <w:widowControl/>
      </w:pPr>
    </w:p>
    <w:p w:rsidR="00AF6413" w:rsidRPr="0058239F" w:rsidRDefault="00142C54" w:rsidP="00B9372F">
      <w:pPr>
        <w:pStyle w:val="ListParagraph"/>
        <w:widowControl/>
        <w:numPr>
          <w:ilvl w:val="1"/>
          <w:numId w:val="2"/>
        </w:numPr>
      </w:pPr>
      <w:r w:rsidRPr="0058239F">
        <w:t xml:space="preserve">The ESC noted the additional information provided in the PSCR (p2) where the baseline values </w:t>
      </w:r>
      <w:r w:rsidRPr="0058239F">
        <w:rPr>
          <w:bCs/>
        </w:rPr>
        <w:t xml:space="preserve">for key physiological measures of disease status were overlapping across the individual studies, supporting the similarities between trial populations and pooling of data across ASCEND, CAPACITY-2 and CAPACITY-1. </w:t>
      </w:r>
      <w:r w:rsidRPr="0058239F">
        <w:t>Overall, the ESC concluded that there is a reasonable similarity between patients in these studies.</w:t>
      </w:r>
    </w:p>
    <w:p w:rsidR="00301E4C" w:rsidRPr="00DA23D4" w:rsidRDefault="00301E4C" w:rsidP="00301E4C">
      <w:pPr>
        <w:widowControl/>
      </w:pPr>
    </w:p>
    <w:p w:rsidR="00301E4C" w:rsidRPr="002C2775" w:rsidRDefault="00301E4C" w:rsidP="0045035F">
      <w:pPr>
        <w:pStyle w:val="Heading2"/>
      </w:pPr>
      <w:bookmarkStart w:id="29" w:name="_Toc429395754"/>
      <w:bookmarkStart w:id="30" w:name="_Toc430075663"/>
      <w:r w:rsidRPr="002C2775">
        <w:t>Comparative effectiveness</w:t>
      </w:r>
      <w:bookmarkEnd w:id="29"/>
      <w:bookmarkEnd w:id="30"/>
    </w:p>
    <w:p w:rsidR="00301E4C" w:rsidRDefault="00301E4C" w:rsidP="00301E4C">
      <w:pPr>
        <w:widowControl/>
      </w:pPr>
    </w:p>
    <w:p w:rsidR="00301E4C" w:rsidRDefault="00301E4C" w:rsidP="00B9372F">
      <w:pPr>
        <w:pStyle w:val="ListParagraph"/>
        <w:widowControl/>
        <w:numPr>
          <w:ilvl w:val="1"/>
          <w:numId w:val="2"/>
        </w:numPr>
        <w:rPr>
          <w:szCs w:val="22"/>
        </w:rPr>
      </w:pPr>
      <w:r>
        <w:t>Section B-DRT of the submission relied sole</w:t>
      </w:r>
      <w:r w:rsidR="0058187E">
        <w:t>ly on the</w:t>
      </w:r>
      <w:r>
        <w:t xml:space="preserve"> presentation of the results of the meta-analyses (ASCEND, CAPACITY-2 and CAPACITY-1).  </w:t>
      </w:r>
      <w:r w:rsidRPr="00834986">
        <w:t>Although the submission claims that results from the pooled analysis are a single, stable and robust estimate</w:t>
      </w:r>
      <w:r w:rsidR="00034083">
        <w:t>,</w:t>
      </w:r>
      <w:r w:rsidRPr="00834986">
        <w:t xml:space="preserve"> this can only be comprehensively evaluated through the concomitant examination of the individual trial results.  Given the likely non-exchangeability of the trial participants and the potential impact of censoring on the observed treatment effect (refer above)</w:t>
      </w:r>
      <w:r w:rsidR="004D2076" w:rsidRPr="00834986">
        <w:t>;</w:t>
      </w:r>
      <w:r w:rsidRPr="00834986">
        <w:t xml:space="preserve"> this necessitates the concomitant examination of the individual trial results.</w:t>
      </w:r>
      <w:r w:rsidRPr="000D137A">
        <w:rPr>
          <w:i/>
        </w:rPr>
        <w:t xml:space="preserve">  </w:t>
      </w:r>
      <w:r>
        <w:rPr>
          <w:szCs w:val="22"/>
        </w:rPr>
        <w:t xml:space="preserve">Key results for the primary outcome (change in </w:t>
      </w:r>
      <w:proofErr w:type="spellStart"/>
      <w:r>
        <w:rPr>
          <w:szCs w:val="22"/>
        </w:rPr>
        <w:t>FVC%Pred</w:t>
      </w:r>
      <w:proofErr w:type="spellEnd"/>
      <w:r>
        <w:rPr>
          <w:szCs w:val="22"/>
        </w:rPr>
        <w:t xml:space="preserve">; </w:t>
      </w:r>
      <w:proofErr w:type="spellStart"/>
      <w:r>
        <w:rPr>
          <w:szCs w:val="22"/>
        </w:rPr>
        <w:t>FVC%Pred</w:t>
      </w:r>
      <w:proofErr w:type="spellEnd"/>
      <w:r>
        <w:rPr>
          <w:szCs w:val="22"/>
        </w:rPr>
        <w:t xml:space="preserve"> response), clinically relevant outcomes (OS, time to worsening of IPF) and variables directly used in the economic evaluation (PFS) are presented in the table below.</w:t>
      </w:r>
    </w:p>
    <w:p w:rsidR="00301E4C" w:rsidRDefault="00301E4C" w:rsidP="00301E4C">
      <w:pPr>
        <w:widowControl/>
        <w:rPr>
          <w:szCs w:val="22"/>
        </w:rPr>
      </w:pPr>
    </w:p>
    <w:p w:rsidR="00301E4C" w:rsidRDefault="00301E4C" w:rsidP="00301E4C">
      <w:pPr>
        <w:ind w:firstLine="720"/>
        <w:rPr>
          <w:rStyle w:val="CommentReference"/>
        </w:rPr>
      </w:pPr>
      <w:r w:rsidRPr="001F7361">
        <w:rPr>
          <w:rStyle w:val="CommentReference"/>
        </w:rPr>
        <w:t xml:space="preserve">Table </w:t>
      </w:r>
      <w:r>
        <w:rPr>
          <w:rStyle w:val="CommentReference"/>
        </w:rPr>
        <w:t>3: Summary of results for key efficacy outcome</w:t>
      </w:r>
      <w:r w:rsidR="008E74B4">
        <w:rPr>
          <w:rStyle w:val="CommentReference"/>
        </w:rPr>
        <w:t xml:space="preserve">s from the </w:t>
      </w:r>
      <w:proofErr w:type="spellStart"/>
      <w:r w:rsidR="008E74B4">
        <w:rPr>
          <w:rStyle w:val="CommentReference"/>
        </w:rPr>
        <w:t>pirfenidone</w:t>
      </w:r>
      <w:proofErr w:type="spellEnd"/>
      <w:r w:rsidR="008E74B4">
        <w:rPr>
          <w:rStyle w:val="CommentReference"/>
        </w:rPr>
        <w:t xml:space="preserve"> trials</w:t>
      </w:r>
    </w:p>
    <w:tbl>
      <w:tblPr>
        <w:tblStyle w:val="TableGrid"/>
        <w:tblW w:w="8363" w:type="dxa"/>
        <w:tblInd w:w="737" w:type="dxa"/>
        <w:tblCellMar>
          <w:left w:w="28" w:type="dxa"/>
          <w:right w:w="28" w:type="dxa"/>
        </w:tblCellMar>
        <w:tblLook w:val="04A0" w:firstRow="1" w:lastRow="0" w:firstColumn="1" w:lastColumn="0" w:noHBand="0" w:noVBand="1"/>
        <w:tblCaption w:val="Table 3: : Summary of results for key efficacy outcomes "/>
        <w:tblDescription w:val="Key results for the primary outcome (change in FVC%Pred; FVC%Pred response), clinically relevant outcomes (OS, time to worsening of IPF) and PFS."/>
      </w:tblPr>
      <w:tblGrid>
        <w:gridCol w:w="1985"/>
        <w:gridCol w:w="1559"/>
        <w:gridCol w:w="1410"/>
        <w:gridCol w:w="7"/>
        <w:gridCol w:w="1701"/>
        <w:gridCol w:w="1701"/>
      </w:tblGrid>
      <w:tr w:rsidR="00301E4C" w:rsidRPr="00EE465E" w:rsidTr="00B314BB">
        <w:trPr>
          <w:tblHeader/>
        </w:trPr>
        <w:tc>
          <w:tcPr>
            <w:tcW w:w="3544" w:type="dxa"/>
            <w:gridSpan w:val="2"/>
            <w:vMerge w:val="restart"/>
            <w:vAlign w:val="center"/>
          </w:tcPr>
          <w:p w:rsidR="00301E4C" w:rsidRPr="00EC597A" w:rsidRDefault="00301E4C" w:rsidP="00ED5652">
            <w:pPr>
              <w:pStyle w:val="TableFooter"/>
              <w:jc w:val="left"/>
              <w:rPr>
                <w:b/>
                <w:sz w:val="20"/>
              </w:rPr>
            </w:pPr>
            <w:r w:rsidRPr="00EC597A">
              <w:rPr>
                <w:b/>
                <w:sz w:val="20"/>
              </w:rPr>
              <w:t>Outcome</w:t>
            </w:r>
          </w:p>
        </w:tc>
        <w:tc>
          <w:tcPr>
            <w:tcW w:w="4819" w:type="dxa"/>
            <w:gridSpan w:val="4"/>
            <w:vAlign w:val="center"/>
          </w:tcPr>
          <w:p w:rsidR="00301E4C" w:rsidRPr="00EC597A" w:rsidRDefault="00301E4C" w:rsidP="00ED5652">
            <w:pPr>
              <w:pStyle w:val="TableFooter"/>
              <w:jc w:val="center"/>
              <w:rPr>
                <w:b/>
                <w:sz w:val="20"/>
              </w:rPr>
            </w:pPr>
            <w:proofErr w:type="spellStart"/>
            <w:r w:rsidRPr="00EC597A">
              <w:rPr>
                <w:b/>
                <w:sz w:val="20"/>
              </w:rPr>
              <w:t>Pirfenidone</w:t>
            </w:r>
            <w:proofErr w:type="spellEnd"/>
            <w:r w:rsidRPr="00EC597A">
              <w:rPr>
                <w:b/>
                <w:sz w:val="20"/>
              </w:rPr>
              <w:t xml:space="preserve"> vs placebo</w:t>
            </w:r>
            <w:r>
              <w:rPr>
                <w:b/>
                <w:sz w:val="20"/>
              </w:rPr>
              <w:t>^</w:t>
            </w:r>
          </w:p>
        </w:tc>
      </w:tr>
      <w:tr w:rsidR="00301E4C" w:rsidRPr="00EE465E" w:rsidTr="00B314BB">
        <w:trPr>
          <w:tblHeader/>
        </w:trPr>
        <w:tc>
          <w:tcPr>
            <w:tcW w:w="3544" w:type="dxa"/>
            <w:gridSpan w:val="2"/>
            <w:vMerge/>
            <w:vAlign w:val="center"/>
          </w:tcPr>
          <w:p w:rsidR="00301E4C" w:rsidRDefault="00301E4C" w:rsidP="00ED5652">
            <w:pPr>
              <w:pStyle w:val="TableFooter"/>
              <w:jc w:val="left"/>
              <w:rPr>
                <w:sz w:val="20"/>
              </w:rPr>
            </w:pPr>
          </w:p>
        </w:tc>
        <w:tc>
          <w:tcPr>
            <w:tcW w:w="3118" w:type="dxa"/>
            <w:gridSpan w:val="3"/>
            <w:vAlign w:val="center"/>
          </w:tcPr>
          <w:p w:rsidR="00301E4C" w:rsidRPr="00EC597A" w:rsidRDefault="00301E4C" w:rsidP="00ED5652">
            <w:pPr>
              <w:pStyle w:val="TableFooter"/>
              <w:jc w:val="center"/>
              <w:rPr>
                <w:b/>
                <w:sz w:val="20"/>
              </w:rPr>
            </w:pPr>
            <w:r w:rsidRPr="00EC597A">
              <w:rPr>
                <w:b/>
                <w:sz w:val="20"/>
              </w:rPr>
              <w:t>Individual trial results</w:t>
            </w:r>
          </w:p>
        </w:tc>
        <w:tc>
          <w:tcPr>
            <w:tcW w:w="1701" w:type="dxa"/>
            <w:vAlign w:val="center"/>
          </w:tcPr>
          <w:p w:rsidR="00301E4C" w:rsidRPr="00EC597A" w:rsidRDefault="00301E4C" w:rsidP="00ED5652">
            <w:pPr>
              <w:pStyle w:val="TableFooter"/>
              <w:jc w:val="center"/>
              <w:rPr>
                <w:b/>
                <w:sz w:val="20"/>
              </w:rPr>
            </w:pPr>
            <w:r w:rsidRPr="00EC597A">
              <w:rPr>
                <w:b/>
                <w:sz w:val="20"/>
              </w:rPr>
              <w:t>Meta-analyses</w:t>
            </w:r>
          </w:p>
        </w:tc>
      </w:tr>
      <w:tr w:rsidR="00301E4C" w:rsidRPr="00EE465E" w:rsidTr="00ED5652">
        <w:tc>
          <w:tcPr>
            <w:tcW w:w="1985" w:type="dxa"/>
            <w:vMerge w:val="restart"/>
            <w:vAlign w:val="center"/>
          </w:tcPr>
          <w:p w:rsidR="00301E4C" w:rsidRDefault="00301E4C" w:rsidP="00ED5652">
            <w:pPr>
              <w:pStyle w:val="TableFooter"/>
              <w:jc w:val="left"/>
              <w:rPr>
                <w:sz w:val="20"/>
              </w:rPr>
            </w:pPr>
            <w:r>
              <w:rPr>
                <w:sz w:val="20"/>
              </w:rPr>
              <w:t xml:space="preserve">Absolute change in </w:t>
            </w:r>
            <w:proofErr w:type="spellStart"/>
            <w:r>
              <w:rPr>
                <w:sz w:val="20"/>
              </w:rPr>
              <w:t>FVC%Pred</w:t>
            </w:r>
            <w:proofErr w:type="spellEnd"/>
            <w:r>
              <w:rPr>
                <w:sz w:val="20"/>
              </w:rPr>
              <w:t xml:space="preserve">; </w:t>
            </w:r>
          </w:p>
          <w:p w:rsidR="00301E4C" w:rsidRPr="00EE465E" w:rsidRDefault="00301E4C" w:rsidP="00ED5652">
            <w:pPr>
              <w:pStyle w:val="TableFooter"/>
              <w:jc w:val="left"/>
              <w:rPr>
                <w:sz w:val="20"/>
              </w:rPr>
            </w:pPr>
            <w:r>
              <w:rPr>
                <w:sz w:val="20"/>
              </w:rPr>
              <w:t>MD (95% CI)</w:t>
            </w:r>
          </w:p>
        </w:tc>
        <w:tc>
          <w:tcPr>
            <w:tcW w:w="1559" w:type="dxa"/>
            <w:vMerge w:val="restart"/>
            <w:vAlign w:val="center"/>
          </w:tcPr>
          <w:p w:rsidR="00301E4C" w:rsidRPr="00EE465E" w:rsidRDefault="00301E4C" w:rsidP="00ED5652">
            <w:pPr>
              <w:pStyle w:val="TableFooter"/>
              <w:jc w:val="center"/>
              <w:rPr>
                <w:sz w:val="20"/>
              </w:rPr>
            </w:pPr>
            <w:r>
              <w:rPr>
                <w:sz w:val="20"/>
              </w:rPr>
              <w:t>To week 72</w:t>
            </w:r>
          </w:p>
        </w:tc>
        <w:tc>
          <w:tcPr>
            <w:tcW w:w="1417" w:type="dxa"/>
            <w:gridSpan w:val="2"/>
            <w:vAlign w:val="center"/>
          </w:tcPr>
          <w:p w:rsidR="00301E4C" w:rsidRPr="00EE465E" w:rsidRDefault="00301E4C" w:rsidP="00ED5652">
            <w:pPr>
              <w:pStyle w:val="TableFooter"/>
              <w:jc w:val="center"/>
              <w:rPr>
                <w:sz w:val="20"/>
              </w:rPr>
            </w:pPr>
            <w:r>
              <w:rPr>
                <w:sz w:val="20"/>
              </w:rPr>
              <w:t>CAPACITY-1</w:t>
            </w:r>
          </w:p>
        </w:tc>
        <w:tc>
          <w:tcPr>
            <w:tcW w:w="1701" w:type="dxa"/>
          </w:tcPr>
          <w:p w:rsidR="00301E4C" w:rsidRPr="00AF4647" w:rsidRDefault="00AF4647" w:rsidP="00ED5652">
            <w:pPr>
              <w:pStyle w:val="TableFooter"/>
              <w:jc w:val="center"/>
              <w:rPr>
                <w:sz w:val="20"/>
                <w:highlight w:val="black"/>
              </w:rPr>
            </w:pPr>
            <w:r>
              <w:rPr>
                <w:noProof/>
                <w:color w:val="000000"/>
                <w:sz w:val="20"/>
                <w:highlight w:val="black"/>
              </w:rPr>
              <w:t>''''''' '''''''''''''' ''''''''''''</w:t>
            </w:r>
          </w:p>
        </w:tc>
        <w:tc>
          <w:tcPr>
            <w:tcW w:w="1701" w:type="dxa"/>
            <w:vMerge w:val="restart"/>
            <w:vAlign w:val="center"/>
          </w:tcPr>
          <w:p w:rsidR="00301E4C" w:rsidRPr="00AF4647" w:rsidRDefault="00AF4647" w:rsidP="00ED5652">
            <w:pPr>
              <w:pStyle w:val="TableFooter"/>
              <w:jc w:val="center"/>
              <w:rPr>
                <w:sz w:val="20"/>
                <w:highlight w:val="black"/>
              </w:rPr>
            </w:pPr>
            <w:r>
              <w:rPr>
                <w:i/>
                <w:noProof/>
                <w:color w:val="000000"/>
                <w:sz w:val="20"/>
                <w:highlight w:val="black"/>
              </w:rPr>
              <w:t>'''''''' '''''''''''''''' ''''''''''''</w:t>
            </w:r>
          </w:p>
        </w:tc>
      </w:tr>
      <w:tr w:rsidR="00301E4C" w:rsidRPr="00EE465E" w:rsidTr="00ED5652">
        <w:tc>
          <w:tcPr>
            <w:tcW w:w="1985" w:type="dxa"/>
            <w:vMerge/>
            <w:vAlign w:val="center"/>
          </w:tcPr>
          <w:p w:rsidR="00301E4C" w:rsidRDefault="00301E4C" w:rsidP="00ED5652">
            <w:pPr>
              <w:pStyle w:val="TableFooter"/>
              <w:jc w:val="left"/>
              <w:rPr>
                <w:sz w:val="20"/>
              </w:rPr>
            </w:pPr>
          </w:p>
        </w:tc>
        <w:tc>
          <w:tcPr>
            <w:tcW w:w="1559" w:type="dxa"/>
            <w:vMerge/>
            <w:vAlign w:val="center"/>
          </w:tcPr>
          <w:p w:rsidR="00301E4C"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Pr>
                <w:sz w:val="20"/>
              </w:rPr>
              <w:t>CAPACITY-2</w:t>
            </w:r>
          </w:p>
        </w:tc>
        <w:tc>
          <w:tcPr>
            <w:tcW w:w="1701" w:type="dxa"/>
          </w:tcPr>
          <w:p w:rsidR="00301E4C" w:rsidRPr="00AF4647" w:rsidRDefault="00AF4647" w:rsidP="00ED5652">
            <w:pPr>
              <w:pStyle w:val="TableFooter"/>
              <w:jc w:val="center"/>
              <w:rPr>
                <w:sz w:val="20"/>
                <w:highlight w:val="black"/>
              </w:rPr>
            </w:pPr>
            <w:r>
              <w:rPr>
                <w:b/>
                <w:noProof/>
                <w:color w:val="000000"/>
                <w:sz w:val="20"/>
                <w:highlight w:val="black"/>
              </w:rPr>
              <w:t>'''''' ''''''''''' ''''''''''</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restart"/>
            <w:vAlign w:val="center"/>
          </w:tcPr>
          <w:p w:rsidR="00301E4C" w:rsidRPr="00EE465E" w:rsidRDefault="00301E4C" w:rsidP="00ED5652">
            <w:pPr>
              <w:pStyle w:val="TableFooter"/>
              <w:jc w:val="center"/>
              <w:rPr>
                <w:sz w:val="20"/>
              </w:rPr>
            </w:pPr>
            <w:r>
              <w:rPr>
                <w:sz w:val="20"/>
              </w:rPr>
              <w:t>To week 52</w:t>
            </w:r>
          </w:p>
        </w:tc>
        <w:tc>
          <w:tcPr>
            <w:tcW w:w="1417" w:type="dxa"/>
            <w:gridSpan w:val="2"/>
            <w:vAlign w:val="center"/>
          </w:tcPr>
          <w:p w:rsidR="00301E4C" w:rsidRPr="00EE465E" w:rsidRDefault="00301E4C" w:rsidP="00ED5652">
            <w:pPr>
              <w:pStyle w:val="TableFooter"/>
              <w:jc w:val="center"/>
              <w:rPr>
                <w:sz w:val="20"/>
              </w:rPr>
            </w:pPr>
            <w:r w:rsidRPr="009845B2">
              <w:rPr>
                <w:sz w:val="20"/>
              </w:rPr>
              <w:t>CAPACITY-1</w:t>
            </w:r>
          </w:p>
        </w:tc>
        <w:tc>
          <w:tcPr>
            <w:tcW w:w="1701" w:type="dxa"/>
          </w:tcPr>
          <w:p w:rsidR="00301E4C" w:rsidRPr="00AF4647" w:rsidRDefault="00AF4647" w:rsidP="00ED5652">
            <w:pPr>
              <w:pStyle w:val="TableFooter"/>
              <w:jc w:val="center"/>
              <w:rPr>
                <w:sz w:val="20"/>
                <w:highlight w:val="black"/>
              </w:rPr>
            </w:pPr>
            <w:r>
              <w:rPr>
                <w:noProof/>
                <w:color w:val="000000"/>
                <w:sz w:val="20"/>
                <w:highlight w:val="black"/>
              </w:rPr>
              <w:t>'''''''' '''''''''''''''' '''''''''''''</w:t>
            </w:r>
          </w:p>
        </w:tc>
        <w:tc>
          <w:tcPr>
            <w:tcW w:w="1701" w:type="dxa"/>
            <w:vMerge w:val="restart"/>
            <w:vAlign w:val="center"/>
          </w:tcPr>
          <w:p w:rsidR="00301E4C" w:rsidRPr="00AF4647" w:rsidRDefault="00AF4647" w:rsidP="00ED5652">
            <w:pPr>
              <w:pStyle w:val="TableFooter"/>
              <w:jc w:val="center"/>
              <w:rPr>
                <w:sz w:val="20"/>
                <w:highlight w:val="black"/>
              </w:rPr>
            </w:pPr>
            <w:r>
              <w:rPr>
                <w:b/>
                <w:i/>
                <w:noProof/>
                <w:color w:val="000000"/>
                <w:sz w:val="20"/>
                <w:highlight w:val="black"/>
              </w:rPr>
              <w:t>'''''' ''''''''''''' '''''''''</w:t>
            </w: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ign w:val="center"/>
          </w:tcPr>
          <w:p w:rsidR="00301E4C"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sidRPr="009845B2">
              <w:rPr>
                <w:sz w:val="20"/>
              </w:rPr>
              <w:t>CAPACITY-2</w:t>
            </w:r>
          </w:p>
        </w:tc>
        <w:tc>
          <w:tcPr>
            <w:tcW w:w="1701" w:type="dxa"/>
          </w:tcPr>
          <w:p w:rsidR="00301E4C" w:rsidRPr="00AF4647" w:rsidRDefault="00AF4647" w:rsidP="00ED5652">
            <w:pPr>
              <w:pStyle w:val="TableFooter"/>
              <w:jc w:val="center"/>
              <w:rPr>
                <w:sz w:val="20"/>
                <w:highlight w:val="black"/>
              </w:rPr>
            </w:pPr>
            <w:r>
              <w:rPr>
                <w:b/>
                <w:noProof/>
                <w:color w:val="000000"/>
                <w:sz w:val="20"/>
                <w:highlight w:val="black"/>
              </w:rPr>
              <w:t>''''''' '''''''''''' '''''''''</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ign w:val="center"/>
          </w:tcPr>
          <w:p w:rsidR="00301E4C"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sidRPr="009845B2">
              <w:rPr>
                <w:sz w:val="20"/>
              </w:rPr>
              <w:t>ASCEND</w:t>
            </w:r>
          </w:p>
        </w:tc>
        <w:tc>
          <w:tcPr>
            <w:tcW w:w="1701" w:type="dxa"/>
          </w:tcPr>
          <w:p w:rsidR="00301E4C" w:rsidRPr="00AF4647" w:rsidRDefault="00AF4647" w:rsidP="00ED5652">
            <w:pPr>
              <w:pStyle w:val="TableFooter"/>
              <w:jc w:val="center"/>
              <w:rPr>
                <w:sz w:val="20"/>
                <w:highlight w:val="black"/>
              </w:rPr>
            </w:pPr>
            <w:r>
              <w:rPr>
                <w:b/>
                <w:noProof/>
                <w:color w:val="000000"/>
                <w:sz w:val="20"/>
                <w:highlight w:val="black"/>
              </w:rPr>
              <w:t>'''''' '''''''''' ''''''''''</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restart"/>
            <w:vAlign w:val="center"/>
          </w:tcPr>
          <w:p w:rsidR="00301E4C" w:rsidRDefault="00301E4C" w:rsidP="00ED5652">
            <w:pPr>
              <w:pStyle w:val="TableFooter"/>
              <w:jc w:val="left"/>
              <w:rPr>
                <w:sz w:val="20"/>
              </w:rPr>
            </w:pPr>
            <w:proofErr w:type="spellStart"/>
            <w:r>
              <w:rPr>
                <w:sz w:val="20"/>
              </w:rPr>
              <w:t>FVC%Pred</w:t>
            </w:r>
            <w:proofErr w:type="spellEnd"/>
            <w:r>
              <w:rPr>
                <w:sz w:val="20"/>
              </w:rPr>
              <w:t xml:space="preserve"> response - d</w:t>
            </w:r>
            <w:r w:rsidRPr="00EC597A">
              <w:rPr>
                <w:sz w:val="20"/>
              </w:rPr>
              <w:t xml:space="preserve">ecline of </w:t>
            </w:r>
            <w:r>
              <w:rPr>
                <w:sz w:val="20"/>
              </w:rPr>
              <w:t>≥</w:t>
            </w:r>
            <w:r w:rsidRPr="00EC597A">
              <w:rPr>
                <w:sz w:val="20"/>
              </w:rPr>
              <w:t>10% to 0%</w:t>
            </w:r>
            <w:r>
              <w:rPr>
                <w:sz w:val="20"/>
              </w:rPr>
              <w:t xml:space="preserve">; </w:t>
            </w:r>
          </w:p>
          <w:p w:rsidR="00301E4C" w:rsidRPr="00EE465E" w:rsidRDefault="00301E4C" w:rsidP="00ED5652">
            <w:pPr>
              <w:pStyle w:val="TableFooter"/>
              <w:jc w:val="left"/>
              <w:rPr>
                <w:sz w:val="20"/>
              </w:rPr>
            </w:pPr>
            <w:r>
              <w:rPr>
                <w:sz w:val="20"/>
              </w:rPr>
              <w:t>RR (95% CI)</w:t>
            </w:r>
          </w:p>
        </w:tc>
        <w:tc>
          <w:tcPr>
            <w:tcW w:w="1559" w:type="dxa"/>
            <w:vMerge w:val="restart"/>
            <w:vAlign w:val="center"/>
          </w:tcPr>
          <w:p w:rsidR="00301E4C" w:rsidRPr="00EE465E" w:rsidRDefault="00301E4C" w:rsidP="00ED5652">
            <w:pPr>
              <w:pStyle w:val="TableFooter"/>
              <w:jc w:val="center"/>
              <w:rPr>
                <w:sz w:val="20"/>
              </w:rPr>
            </w:pPr>
            <w:r>
              <w:rPr>
                <w:sz w:val="20"/>
              </w:rPr>
              <w:t>To week 52</w:t>
            </w:r>
          </w:p>
        </w:tc>
        <w:tc>
          <w:tcPr>
            <w:tcW w:w="1417" w:type="dxa"/>
            <w:gridSpan w:val="2"/>
            <w:vAlign w:val="center"/>
          </w:tcPr>
          <w:p w:rsidR="00301E4C" w:rsidRPr="00EE465E" w:rsidRDefault="00301E4C" w:rsidP="00ED5652">
            <w:pPr>
              <w:pStyle w:val="TableFooter"/>
              <w:jc w:val="center"/>
              <w:rPr>
                <w:sz w:val="20"/>
              </w:rPr>
            </w:pPr>
            <w:r w:rsidRPr="009845B2">
              <w:rPr>
                <w:sz w:val="20"/>
              </w:rPr>
              <w:t>CAPACITY-1</w:t>
            </w:r>
          </w:p>
        </w:tc>
        <w:tc>
          <w:tcPr>
            <w:tcW w:w="1701" w:type="dxa"/>
            <w:vAlign w:val="center"/>
          </w:tcPr>
          <w:p w:rsidR="00301E4C" w:rsidRPr="00AF4647" w:rsidRDefault="00AF4647" w:rsidP="00ED5652">
            <w:pPr>
              <w:pStyle w:val="TableFooter"/>
              <w:jc w:val="center"/>
              <w:rPr>
                <w:sz w:val="20"/>
                <w:highlight w:val="black"/>
              </w:rPr>
            </w:pPr>
            <w:r>
              <w:rPr>
                <w:rFonts w:eastAsia="Calibri" w:cs="Times New Roman"/>
                <w:iCs/>
                <w:noProof/>
                <w:snapToGrid/>
                <w:color w:val="000000"/>
                <w:sz w:val="20"/>
                <w:highlight w:val="black"/>
              </w:rPr>
              <w:t>'''''''' '''''''''' ''''''''''</w:t>
            </w:r>
          </w:p>
        </w:tc>
        <w:tc>
          <w:tcPr>
            <w:tcW w:w="1701" w:type="dxa"/>
            <w:vMerge w:val="restart"/>
            <w:vAlign w:val="center"/>
          </w:tcPr>
          <w:p w:rsidR="00301E4C" w:rsidRPr="00AF4647" w:rsidRDefault="00AF4647" w:rsidP="00ED5652">
            <w:pPr>
              <w:pStyle w:val="TableFooter"/>
              <w:jc w:val="center"/>
              <w:rPr>
                <w:sz w:val="20"/>
                <w:highlight w:val="black"/>
              </w:rPr>
            </w:pPr>
            <w:r>
              <w:rPr>
                <w:rFonts w:eastAsia="Calibri" w:cs="Times New Roman"/>
                <w:b/>
                <w:i/>
                <w:noProof/>
                <w:snapToGrid/>
                <w:color w:val="000000"/>
                <w:sz w:val="20"/>
                <w:highlight w:val="black"/>
              </w:rPr>
              <w:t>'''''''' '''''''''''' ''''''''''</w:t>
            </w:r>
          </w:p>
        </w:tc>
      </w:tr>
      <w:tr w:rsidR="00301E4C" w:rsidRPr="00EE465E" w:rsidTr="00ED5652">
        <w:tc>
          <w:tcPr>
            <w:tcW w:w="1985" w:type="dxa"/>
            <w:vMerge/>
            <w:vAlign w:val="center"/>
          </w:tcPr>
          <w:p w:rsidR="00301E4C" w:rsidRDefault="00301E4C" w:rsidP="00ED5652">
            <w:pPr>
              <w:pStyle w:val="TableFooter"/>
              <w:jc w:val="left"/>
              <w:rPr>
                <w:sz w:val="20"/>
              </w:rPr>
            </w:pPr>
          </w:p>
        </w:tc>
        <w:tc>
          <w:tcPr>
            <w:tcW w:w="1559" w:type="dxa"/>
            <w:vMerge/>
            <w:vAlign w:val="center"/>
          </w:tcPr>
          <w:p w:rsidR="00301E4C"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sidRPr="009845B2">
              <w:rPr>
                <w:sz w:val="20"/>
              </w:rPr>
              <w:t>CAPACITY-2</w:t>
            </w:r>
          </w:p>
        </w:tc>
        <w:tc>
          <w:tcPr>
            <w:tcW w:w="1701" w:type="dxa"/>
            <w:vAlign w:val="center"/>
          </w:tcPr>
          <w:p w:rsidR="00301E4C" w:rsidRPr="00AF4647" w:rsidRDefault="00AF4647" w:rsidP="00ED5652">
            <w:pPr>
              <w:pStyle w:val="TableFooter"/>
              <w:jc w:val="center"/>
              <w:rPr>
                <w:sz w:val="20"/>
                <w:highlight w:val="black"/>
              </w:rPr>
            </w:pPr>
            <w:r>
              <w:rPr>
                <w:rFonts w:eastAsia="Calibri" w:cs="Times New Roman"/>
                <w:b/>
                <w:iCs/>
                <w:noProof/>
                <w:snapToGrid/>
                <w:color w:val="000000"/>
                <w:sz w:val="20"/>
                <w:highlight w:val="black"/>
              </w:rPr>
              <w:t>'''''' ''''''''' '''''''</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ign w:val="center"/>
          </w:tcPr>
          <w:p w:rsidR="00301E4C" w:rsidRDefault="00301E4C" w:rsidP="00ED5652">
            <w:pPr>
              <w:pStyle w:val="TableFooter"/>
              <w:jc w:val="left"/>
              <w:rPr>
                <w:sz w:val="20"/>
              </w:rPr>
            </w:pPr>
          </w:p>
        </w:tc>
        <w:tc>
          <w:tcPr>
            <w:tcW w:w="1559" w:type="dxa"/>
            <w:vMerge/>
            <w:vAlign w:val="center"/>
          </w:tcPr>
          <w:p w:rsidR="00301E4C"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sidRPr="009845B2">
              <w:rPr>
                <w:sz w:val="20"/>
              </w:rPr>
              <w:t>ASCEND</w:t>
            </w:r>
          </w:p>
        </w:tc>
        <w:tc>
          <w:tcPr>
            <w:tcW w:w="1701" w:type="dxa"/>
            <w:vAlign w:val="center"/>
          </w:tcPr>
          <w:p w:rsidR="00301E4C" w:rsidRPr="00AF4647" w:rsidRDefault="00AF4647" w:rsidP="00ED5652">
            <w:pPr>
              <w:pStyle w:val="TableFooter"/>
              <w:jc w:val="center"/>
              <w:rPr>
                <w:sz w:val="20"/>
                <w:highlight w:val="black"/>
              </w:rPr>
            </w:pPr>
            <w:r>
              <w:rPr>
                <w:rFonts w:eastAsia="Calibri" w:cs="Times New Roman"/>
                <w:b/>
                <w:iCs/>
                <w:noProof/>
                <w:snapToGrid/>
                <w:color w:val="000000"/>
                <w:sz w:val="20"/>
                <w:highlight w:val="black"/>
              </w:rPr>
              <w:t>'''''' '''''''' '''''''</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restart"/>
            <w:vAlign w:val="center"/>
          </w:tcPr>
          <w:p w:rsidR="00301E4C" w:rsidRDefault="00301E4C" w:rsidP="00ED5652">
            <w:pPr>
              <w:pStyle w:val="TableFooter"/>
              <w:jc w:val="left"/>
              <w:rPr>
                <w:sz w:val="20"/>
              </w:rPr>
            </w:pPr>
            <w:r>
              <w:rPr>
                <w:sz w:val="20"/>
              </w:rPr>
              <w:t xml:space="preserve">Overall survival; </w:t>
            </w:r>
          </w:p>
          <w:p w:rsidR="00301E4C" w:rsidRPr="00EE465E" w:rsidRDefault="00301E4C" w:rsidP="00ED5652">
            <w:pPr>
              <w:pStyle w:val="TableFooter"/>
              <w:jc w:val="left"/>
              <w:rPr>
                <w:sz w:val="20"/>
              </w:rPr>
            </w:pPr>
            <w:r>
              <w:rPr>
                <w:sz w:val="20"/>
              </w:rPr>
              <w:t>HR (95% CI)</w:t>
            </w:r>
          </w:p>
        </w:tc>
        <w:tc>
          <w:tcPr>
            <w:tcW w:w="1559" w:type="dxa"/>
            <w:vMerge w:val="restart"/>
            <w:vAlign w:val="center"/>
          </w:tcPr>
          <w:p w:rsidR="00301E4C" w:rsidRPr="00EE465E" w:rsidRDefault="00301E4C" w:rsidP="00ED5652">
            <w:pPr>
              <w:pStyle w:val="TableFooter"/>
              <w:jc w:val="center"/>
              <w:rPr>
                <w:sz w:val="20"/>
              </w:rPr>
            </w:pPr>
            <w:r>
              <w:rPr>
                <w:sz w:val="20"/>
              </w:rPr>
              <w:t>Cut-off: 52 weeks</w:t>
            </w:r>
          </w:p>
        </w:tc>
        <w:tc>
          <w:tcPr>
            <w:tcW w:w="1417" w:type="dxa"/>
            <w:gridSpan w:val="2"/>
            <w:vAlign w:val="center"/>
          </w:tcPr>
          <w:p w:rsidR="00301E4C" w:rsidRPr="00EE465E" w:rsidRDefault="00301E4C" w:rsidP="00ED5652">
            <w:pPr>
              <w:pStyle w:val="TableFooter"/>
              <w:jc w:val="center"/>
              <w:rPr>
                <w:sz w:val="20"/>
              </w:rPr>
            </w:pPr>
            <w:r w:rsidRPr="009845B2">
              <w:rPr>
                <w:sz w:val="20"/>
              </w:rPr>
              <w:t>CAPACITY-1</w:t>
            </w:r>
          </w:p>
        </w:tc>
        <w:tc>
          <w:tcPr>
            <w:tcW w:w="1701" w:type="dxa"/>
            <w:vAlign w:val="center"/>
          </w:tcPr>
          <w:p w:rsidR="00301E4C" w:rsidRPr="00AF4647" w:rsidRDefault="00AF4647" w:rsidP="00ED5652">
            <w:pPr>
              <w:pStyle w:val="TableFooter"/>
              <w:jc w:val="center"/>
              <w:rPr>
                <w:sz w:val="20"/>
                <w:highlight w:val="black"/>
              </w:rPr>
            </w:pPr>
            <w:r>
              <w:rPr>
                <w:bCs/>
                <w:noProof/>
                <w:color w:val="000000"/>
                <w:sz w:val="20"/>
                <w:highlight w:val="black"/>
              </w:rPr>
              <w:t>'''''''''' ''''''''''''''''''''''''</w:t>
            </w:r>
          </w:p>
        </w:tc>
        <w:tc>
          <w:tcPr>
            <w:tcW w:w="1701" w:type="dxa"/>
            <w:vMerge w:val="restart"/>
            <w:vAlign w:val="center"/>
          </w:tcPr>
          <w:p w:rsidR="00301E4C" w:rsidRPr="00EE465E" w:rsidRDefault="00301E4C" w:rsidP="00ED5652">
            <w:pPr>
              <w:pStyle w:val="TableFooter"/>
              <w:jc w:val="center"/>
              <w:rPr>
                <w:sz w:val="20"/>
              </w:rPr>
            </w:pPr>
            <w:r w:rsidRPr="009845B2">
              <w:rPr>
                <w:b/>
                <w:bCs/>
                <w:sz w:val="20"/>
              </w:rPr>
              <w:t>0.52 (0.31, 0.87)</w:t>
            </w: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ign w:val="center"/>
          </w:tcPr>
          <w:p w:rsidR="00301E4C" w:rsidRPr="00EE465E"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sidRPr="009845B2">
              <w:rPr>
                <w:sz w:val="20"/>
              </w:rPr>
              <w:t>CAPACITY-2</w:t>
            </w:r>
          </w:p>
        </w:tc>
        <w:tc>
          <w:tcPr>
            <w:tcW w:w="1701" w:type="dxa"/>
            <w:vAlign w:val="center"/>
          </w:tcPr>
          <w:p w:rsidR="00301E4C" w:rsidRPr="00AF4647" w:rsidRDefault="00AF4647" w:rsidP="00ED5652">
            <w:pPr>
              <w:pStyle w:val="TableFooter"/>
              <w:jc w:val="center"/>
              <w:rPr>
                <w:sz w:val="20"/>
                <w:highlight w:val="black"/>
              </w:rPr>
            </w:pPr>
            <w:r>
              <w:rPr>
                <w:bCs/>
                <w:noProof/>
                <w:color w:val="000000"/>
                <w:sz w:val="20"/>
                <w:highlight w:val="black"/>
              </w:rPr>
              <w:t>'''''''''' '''''''''''''''''''''''''''</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ign w:val="center"/>
          </w:tcPr>
          <w:p w:rsidR="00301E4C" w:rsidRPr="00EE465E"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sidRPr="009845B2">
              <w:rPr>
                <w:sz w:val="20"/>
              </w:rPr>
              <w:t>ASCEND</w:t>
            </w:r>
          </w:p>
        </w:tc>
        <w:tc>
          <w:tcPr>
            <w:tcW w:w="1701" w:type="dxa"/>
            <w:vAlign w:val="center"/>
          </w:tcPr>
          <w:p w:rsidR="00301E4C" w:rsidRPr="00834986" w:rsidRDefault="00301E4C" w:rsidP="00ED5652">
            <w:pPr>
              <w:pStyle w:val="TableFooter"/>
              <w:jc w:val="center"/>
              <w:rPr>
                <w:sz w:val="20"/>
              </w:rPr>
            </w:pPr>
            <w:r w:rsidRPr="00834986">
              <w:rPr>
                <w:sz w:val="20"/>
              </w:rPr>
              <w:t>0.55 (0.26, 1.15)</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restart"/>
            <w:vAlign w:val="center"/>
          </w:tcPr>
          <w:p w:rsidR="00301E4C" w:rsidRPr="00834986" w:rsidRDefault="00301E4C" w:rsidP="00ED5652">
            <w:pPr>
              <w:pStyle w:val="TableFooter"/>
              <w:jc w:val="center"/>
              <w:rPr>
                <w:sz w:val="20"/>
              </w:rPr>
            </w:pPr>
            <w:r w:rsidRPr="00834986">
              <w:rPr>
                <w:sz w:val="20"/>
              </w:rPr>
              <w:t>Vital status: end of study*</w:t>
            </w:r>
          </w:p>
        </w:tc>
        <w:tc>
          <w:tcPr>
            <w:tcW w:w="1417" w:type="dxa"/>
            <w:gridSpan w:val="2"/>
            <w:vAlign w:val="center"/>
          </w:tcPr>
          <w:p w:rsidR="00301E4C" w:rsidRPr="007240D7" w:rsidRDefault="00301E4C" w:rsidP="00ED5652">
            <w:pPr>
              <w:pStyle w:val="TableFooter"/>
              <w:jc w:val="center"/>
              <w:rPr>
                <w:i/>
                <w:sz w:val="20"/>
              </w:rPr>
            </w:pPr>
            <w:r w:rsidRPr="007240D7">
              <w:rPr>
                <w:i/>
                <w:sz w:val="20"/>
              </w:rPr>
              <w:t>CAPACITY-1</w:t>
            </w:r>
          </w:p>
        </w:tc>
        <w:tc>
          <w:tcPr>
            <w:tcW w:w="1701" w:type="dxa"/>
            <w:vAlign w:val="center"/>
          </w:tcPr>
          <w:p w:rsidR="00301E4C" w:rsidRPr="00834986" w:rsidRDefault="00301E4C" w:rsidP="00ED5652">
            <w:pPr>
              <w:pStyle w:val="TableFooter"/>
              <w:jc w:val="center"/>
              <w:rPr>
                <w:sz w:val="20"/>
              </w:rPr>
            </w:pPr>
            <w:r w:rsidRPr="00834986">
              <w:rPr>
                <w:bCs/>
                <w:sz w:val="20"/>
              </w:rPr>
              <w:t>1.07 (0.55,2.08)</w:t>
            </w:r>
          </w:p>
        </w:tc>
        <w:tc>
          <w:tcPr>
            <w:tcW w:w="1701" w:type="dxa"/>
            <w:vMerge w:val="restart"/>
            <w:vAlign w:val="center"/>
          </w:tcPr>
          <w:p w:rsidR="00301E4C" w:rsidRPr="00EE465E" w:rsidRDefault="00301E4C" w:rsidP="00ED5652">
            <w:pPr>
              <w:pStyle w:val="TableFooter"/>
              <w:jc w:val="center"/>
              <w:rPr>
                <w:sz w:val="20"/>
              </w:rPr>
            </w:pPr>
            <w:r w:rsidRPr="009845B2">
              <w:rPr>
                <w:bCs/>
                <w:i/>
                <w:sz w:val="20"/>
              </w:rPr>
              <w:t>0.75 (0.50,1.11)</w:t>
            </w: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ign w:val="center"/>
          </w:tcPr>
          <w:p w:rsidR="00301E4C" w:rsidRPr="007240D7" w:rsidRDefault="00301E4C" w:rsidP="00ED5652">
            <w:pPr>
              <w:pStyle w:val="TableFooter"/>
              <w:jc w:val="center"/>
              <w:rPr>
                <w:i/>
                <w:sz w:val="20"/>
              </w:rPr>
            </w:pPr>
          </w:p>
        </w:tc>
        <w:tc>
          <w:tcPr>
            <w:tcW w:w="1417" w:type="dxa"/>
            <w:gridSpan w:val="2"/>
            <w:vAlign w:val="center"/>
          </w:tcPr>
          <w:p w:rsidR="00301E4C" w:rsidRPr="007240D7" w:rsidRDefault="00301E4C" w:rsidP="00ED5652">
            <w:pPr>
              <w:pStyle w:val="TableFooter"/>
              <w:jc w:val="center"/>
              <w:rPr>
                <w:i/>
                <w:sz w:val="20"/>
              </w:rPr>
            </w:pPr>
            <w:r w:rsidRPr="007240D7">
              <w:rPr>
                <w:i/>
                <w:sz w:val="20"/>
              </w:rPr>
              <w:t>CAPACITY-2</w:t>
            </w:r>
          </w:p>
        </w:tc>
        <w:tc>
          <w:tcPr>
            <w:tcW w:w="1701" w:type="dxa"/>
            <w:vAlign w:val="center"/>
          </w:tcPr>
          <w:p w:rsidR="00301E4C" w:rsidRPr="00834986" w:rsidRDefault="00301E4C" w:rsidP="00ED5652">
            <w:pPr>
              <w:pStyle w:val="TableFooter"/>
              <w:jc w:val="center"/>
              <w:rPr>
                <w:sz w:val="20"/>
              </w:rPr>
            </w:pPr>
            <w:r w:rsidRPr="00834986">
              <w:rPr>
                <w:bCs/>
                <w:sz w:val="20"/>
              </w:rPr>
              <w:t>0.65 (0.33,1.29)</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rPr>
          <w:trHeight w:val="239"/>
        </w:trPr>
        <w:tc>
          <w:tcPr>
            <w:tcW w:w="1985" w:type="dxa"/>
            <w:vMerge/>
            <w:tcBorders>
              <w:bottom w:val="single" w:sz="4" w:space="0" w:color="auto"/>
            </w:tcBorders>
            <w:vAlign w:val="center"/>
          </w:tcPr>
          <w:p w:rsidR="00301E4C" w:rsidRPr="00EE465E" w:rsidRDefault="00301E4C" w:rsidP="00ED5652">
            <w:pPr>
              <w:pStyle w:val="TableFooter"/>
              <w:jc w:val="left"/>
              <w:rPr>
                <w:sz w:val="20"/>
              </w:rPr>
            </w:pPr>
          </w:p>
        </w:tc>
        <w:tc>
          <w:tcPr>
            <w:tcW w:w="1559" w:type="dxa"/>
            <w:vMerge/>
            <w:tcBorders>
              <w:bottom w:val="single" w:sz="4" w:space="0" w:color="auto"/>
            </w:tcBorders>
            <w:vAlign w:val="center"/>
          </w:tcPr>
          <w:p w:rsidR="00301E4C" w:rsidRPr="007240D7" w:rsidRDefault="00301E4C" w:rsidP="00ED5652">
            <w:pPr>
              <w:pStyle w:val="TableFooter"/>
              <w:jc w:val="center"/>
              <w:rPr>
                <w:i/>
                <w:sz w:val="20"/>
              </w:rPr>
            </w:pPr>
          </w:p>
        </w:tc>
        <w:tc>
          <w:tcPr>
            <w:tcW w:w="1417" w:type="dxa"/>
            <w:gridSpan w:val="2"/>
            <w:tcBorders>
              <w:bottom w:val="single" w:sz="4" w:space="0" w:color="auto"/>
            </w:tcBorders>
            <w:vAlign w:val="center"/>
          </w:tcPr>
          <w:p w:rsidR="00301E4C" w:rsidRPr="007240D7" w:rsidRDefault="00301E4C" w:rsidP="00ED5652">
            <w:pPr>
              <w:pStyle w:val="TableFooter"/>
              <w:jc w:val="center"/>
              <w:rPr>
                <w:i/>
                <w:sz w:val="20"/>
              </w:rPr>
            </w:pPr>
            <w:r w:rsidRPr="007240D7">
              <w:rPr>
                <w:i/>
                <w:sz w:val="20"/>
              </w:rPr>
              <w:t>ASCEND</w:t>
            </w:r>
          </w:p>
        </w:tc>
        <w:tc>
          <w:tcPr>
            <w:tcW w:w="1701" w:type="dxa"/>
            <w:tcBorders>
              <w:bottom w:val="single" w:sz="4" w:space="0" w:color="auto"/>
            </w:tcBorders>
            <w:vAlign w:val="center"/>
          </w:tcPr>
          <w:p w:rsidR="00301E4C" w:rsidRPr="00834986" w:rsidRDefault="00301E4C" w:rsidP="00ED5652">
            <w:pPr>
              <w:pStyle w:val="TableFooter"/>
              <w:jc w:val="center"/>
              <w:rPr>
                <w:sz w:val="20"/>
              </w:rPr>
            </w:pPr>
            <w:r w:rsidRPr="00834986">
              <w:rPr>
                <w:bCs/>
                <w:sz w:val="20"/>
              </w:rPr>
              <w:t>0.57 (0.28,1.16)</w:t>
            </w:r>
          </w:p>
        </w:tc>
        <w:tc>
          <w:tcPr>
            <w:tcW w:w="1701" w:type="dxa"/>
            <w:vMerge/>
            <w:tcBorders>
              <w:bottom w:val="single" w:sz="4" w:space="0" w:color="auto"/>
            </w:tcBorders>
            <w:vAlign w:val="center"/>
          </w:tcPr>
          <w:p w:rsidR="00301E4C" w:rsidRPr="00EE465E" w:rsidRDefault="00301E4C" w:rsidP="00ED5652">
            <w:pPr>
              <w:pStyle w:val="TableFooter"/>
              <w:jc w:val="center"/>
              <w:rPr>
                <w:sz w:val="20"/>
              </w:rPr>
            </w:pPr>
          </w:p>
        </w:tc>
      </w:tr>
      <w:tr w:rsidR="00301E4C" w:rsidRPr="00EE465E" w:rsidTr="00ED5652">
        <w:tc>
          <w:tcPr>
            <w:tcW w:w="1985" w:type="dxa"/>
            <w:vMerge w:val="restart"/>
            <w:vAlign w:val="center"/>
          </w:tcPr>
          <w:p w:rsidR="00301E4C" w:rsidRPr="00EE465E" w:rsidRDefault="00301E4C" w:rsidP="00ED5652">
            <w:pPr>
              <w:pStyle w:val="TableFooter"/>
              <w:jc w:val="left"/>
              <w:rPr>
                <w:sz w:val="20"/>
              </w:rPr>
            </w:pPr>
            <w:r>
              <w:rPr>
                <w:sz w:val="20"/>
              </w:rPr>
              <w:t>Progression free survival; HR (95% CI)</w:t>
            </w:r>
          </w:p>
        </w:tc>
        <w:tc>
          <w:tcPr>
            <w:tcW w:w="1559" w:type="dxa"/>
            <w:vMerge w:val="restart"/>
            <w:vAlign w:val="center"/>
          </w:tcPr>
          <w:p w:rsidR="00301E4C" w:rsidRPr="00EE465E" w:rsidRDefault="00301E4C" w:rsidP="00ED5652">
            <w:pPr>
              <w:pStyle w:val="TableFooter"/>
              <w:jc w:val="center"/>
              <w:rPr>
                <w:sz w:val="20"/>
              </w:rPr>
            </w:pPr>
            <w:r>
              <w:rPr>
                <w:sz w:val="20"/>
              </w:rPr>
              <w:t>Cut off: 72 weeks</w:t>
            </w:r>
          </w:p>
        </w:tc>
        <w:tc>
          <w:tcPr>
            <w:tcW w:w="1417" w:type="dxa"/>
            <w:gridSpan w:val="2"/>
            <w:vAlign w:val="center"/>
          </w:tcPr>
          <w:p w:rsidR="00301E4C" w:rsidRPr="00EE465E" w:rsidRDefault="00301E4C" w:rsidP="00ED5652">
            <w:pPr>
              <w:pStyle w:val="TableFooter"/>
              <w:jc w:val="center"/>
              <w:rPr>
                <w:sz w:val="20"/>
              </w:rPr>
            </w:pPr>
            <w:r>
              <w:rPr>
                <w:sz w:val="20"/>
              </w:rPr>
              <w:t>CAPACITY-1</w:t>
            </w:r>
          </w:p>
        </w:tc>
        <w:tc>
          <w:tcPr>
            <w:tcW w:w="1701" w:type="dxa"/>
            <w:vAlign w:val="center"/>
          </w:tcPr>
          <w:p w:rsidR="00301E4C" w:rsidRPr="00834986" w:rsidRDefault="00301E4C" w:rsidP="00ED5652">
            <w:pPr>
              <w:pStyle w:val="TableFooter"/>
              <w:jc w:val="center"/>
              <w:rPr>
                <w:sz w:val="20"/>
              </w:rPr>
            </w:pPr>
            <w:r w:rsidRPr="00834986">
              <w:rPr>
                <w:bCs/>
                <w:sz w:val="20"/>
              </w:rPr>
              <w:t>0.84 (0.58, 1.22)</w:t>
            </w:r>
          </w:p>
        </w:tc>
        <w:tc>
          <w:tcPr>
            <w:tcW w:w="1701" w:type="dxa"/>
            <w:vMerge w:val="restart"/>
            <w:vAlign w:val="center"/>
          </w:tcPr>
          <w:p w:rsidR="00301E4C" w:rsidRPr="00EE465E" w:rsidRDefault="00301E4C" w:rsidP="00ED5652">
            <w:pPr>
              <w:pStyle w:val="TableFooter"/>
              <w:jc w:val="center"/>
              <w:rPr>
                <w:sz w:val="20"/>
              </w:rPr>
            </w:pPr>
            <w:r w:rsidRPr="009845B2">
              <w:rPr>
                <w:b/>
                <w:bCs/>
                <w:sz w:val="20"/>
              </w:rPr>
              <w:t>0.74 (0.57, 0.96)</w:t>
            </w:r>
          </w:p>
        </w:tc>
      </w:tr>
      <w:tr w:rsidR="00301E4C" w:rsidRPr="00EE465E" w:rsidTr="00ED5652">
        <w:tc>
          <w:tcPr>
            <w:tcW w:w="1985" w:type="dxa"/>
            <w:vMerge/>
            <w:vAlign w:val="center"/>
          </w:tcPr>
          <w:p w:rsidR="00301E4C" w:rsidRDefault="00301E4C" w:rsidP="00ED5652">
            <w:pPr>
              <w:pStyle w:val="TableFooter"/>
              <w:jc w:val="left"/>
              <w:rPr>
                <w:sz w:val="20"/>
              </w:rPr>
            </w:pPr>
          </w:p>
        </w:tc>
        <w:tc>
          <w:tcPr>
            <w:tcW w:w="1559" w:type="dxa"/>
            <w:vMerge/>
            <w:vAlign w:val="center"/>
          </w:tcPr>
          <w:p w:rsidR="00301E4C"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Pr>
                <w:sz w:val="20"/>
              </w:rPr>
              <w:t>CAPACITY-2</w:t>
            </w:r>
          </w:p>
        </w:tc>
        <w:tc>
          <w:tcPr>
            <w:tcW w:w="1701" w:type="dxa"/>
            <w:vAlign w:val="center"/>
          </w:tcPr>
          <w:p w:rsidR="00301E4C" w:rsidRPr="00834986" w:rsidRDefault="00301E4C" w:rsidP="00ED5652">
            <w:pPr>
              <w:pStyle w:val="TableFooter"/>
              <w:jc w:val="center"/>
              <w:rPr>
                <w:sz w:val="20"/>
              </w:rPr>
            </w:pPr>
            <w:r w:rsidRPr="00834986">
              <w:rPr>
                <w:b/>
                <w:bCs/>
                <w:sz w:val="20"/>
              </w:rPr>
              <w:t>0.64 (0.44, 0.95)</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restart"/>
            <w:vAlign w:val="center"/>
          </w:tcPr>
          <w:p w:rsidR="00301E4C" w:rsidRPr="00EE465E" w:rsidRDefault="00301E4C" w:rsidP="00ED5652">
            <w:pPr>
              <w:pStyle w:val="TableFooter"/>
              <w:jc w:val="center"/>
              <w:rPr>
                <w:sz w:val="20"/>
              </w:rPr>
            </w:pPr>
            <w:r>
              <w:rPr>
                <w:sz w:val="20"/>
              </w:rPr>
              <w:t>Cut off: 52 weeks</w:t>
            </w:r>
          </w:p>
        </w:tc>
        <w:tc>
          <w:tcPr>
            <w:tcW w:w="1410" w:type="dxa"/>
            <w:vAlign w:val="center"/>
          </w:tcPr>
          <w:p w:rsidR="00301E4C" w:rsidRPr="00EE465E" w:rsidRDefault="00301E4C" w:rsidP="00ED5652">
            <w:pPr>
              <w:pStyle w:val="TableFooter"/>
              <w:jc w:val="center"/>
              <w:rPr>
                <w:sz w:val="20"/>
              </w:rPr>
            </w:pPr>
            <w:r w:rsidRPr="009845B2">
              <w:rPr>
                <w:sz w:val="20"/>
              </w:rPr>
              <w:t>CAPACITY-1</w:t>
            </w:r>
          </w:p>
        </w:tc>
        <w:tc>
          <w:tcPr>
            <w:tcW w:w="1708" w:type="dxa"/>
            <w:gridSpan w:val="2"/>
            <w:vAlign w:val="center"/>
          </w:tcPr>
          <w:p w:rsidR="00301E4C" w:rsidRPr="00834986" w:rsidRDefault="00301E4C" w:rsidP="00ED5652">
            <w:pPr>
              <w:pStyle w:val="TableFooter"/>
              <w:jc w:val="center"/>
              <w:rPr>
                <w:sz w:val="20"/>
              </w:rPr>
            </w:pPr>
            <w:r w:rsidRPr="00834986">
              <w:rPr>
                <w:sz w:val="20"/>
              </w:rPr>
              <w:t>0.78 (0.52, 1.15)</w:t>
            </w:r>
          </w:p>
        </w:tc>
        <w:tc>
          <w:tcPr>
            <w:tcW w:w="1701" w:type="dxa"/>
            <w:vMerge w:val="restart"/>
            <w:vAlign w:val="center"/>
          </w:tcPr>
          <w:p w:rsidR="00301E4C" w:rsidRPr="00EE465E" w:rsidRDefault="00301E4C" w:rsidP="00ED5652">
            <w:pPr>
              <w:pStyle w:val="TableFooter"/>
              <w:jc w:val="center"/>
              <w:rPr>
                <w:sz w:val="20"/>
              </w:rPr>
            </w:pPr>
            <w:r w:rsidRPr="009845B2">
              <w:rPr>
                <w:b/>
                <w:bCs/>
                <w:sz w:val="20"/>
              </w:rPr>
              <w:t>0.62 (0.51, 0.75)</w:t>
            </w: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ign w:val="center"/>
          </w:tcPr>
          <w:p w:rsidR="00301E4C" w:rsidRDefault="00301E4C" w:rsidP="00ED5652">
            <w:pPr>
              <w:pStyle w:val="TableFooter"/>
              <w:jc w:val="center"/>
              <w:rPr>
                <w:sz w:val="20"/>
              </w:rPr>
            </w:pPr>
          </w:p>
        </w:tc>
        <w:tc>
          <w:tcPr>
            <w:tcW w:w="1410" w:type="dxa"/>
            <w:vAlign w:val="center"/>
          </w:tcPr>
          <w:p w:rsidR="00301E4C" w:rsidRPr="00EE465E" w:rsidRDefault="00301E4C" w:rsidP="00ED5652">
            <w:pPr>
              <w:pStyle w:val="TableFooter"/>
              <w:jc w:val="center"/>
              <w:rPr>
                <w:sz w:val="20"/>
              </w:rPr>
            </w:pPr>
            <w:r w:rsidRPr="009845B2">
              <w:rPr>
                <w:sz w:val="20"/>
              </w:rPr>
              <w:t>CAPACITY-2</w:t>
            </w:r>
          </w:p>
        </w:tc>
        <w:tc>
          <w:tcPr>
            <w:tcW w:w="1708" w:type="dxa"/>
            <w:gridSpan w:val="2"/>
            <w:vAlign w:val="center"/>
          </w:tcPr>
          <w:p w:rsidR="00301E4C" w:rsidRPr="00834986" w:rsidRDefault="00301E4C" w:rsidP="00ED5652">
            <w:pPr>
              <w:pStyle w:val="TableFooter"/>
              <w:jc w:val="center"/>
              <w:rPr>
                <w:sz w:val="20"/>
              </w:rPr>
            </w:pPr>
            <w:r w:rsidRPr="00834986">
              <w:rPr>
                <w:sz w:val="20"/>
              </w:rPr>
              <w:t>0.58 (0.50, 0.83)</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ign w:val="center"/>
          </w:tcPr>
          <w:p w:rsidR="00301E4C" w:rsidRDefault="00301E4C" w:rsidP="00ED5652">
            <w:pPr>
              <w:pStyle w:val="TableFooter"/>
              <w:jc w:val="center"/>
              <w:rPr>
                <w:sz w:val="20"/>
              </w:rPr>
            </w:pPr>
          </w:p>
        </w:tc>
        <w:tc>
          <w:tcPr>
            <w:tcW w:w="1410" w:type="dxa"/>
            <w:vAlign w:val="center"/>
          </w:tcPr>
          <w:p w:rsidR="00301E4C" w:rsidRPr="00EE465E" w:rsidRDefault="00301E4C" w:rsidP="00ED5652">
            <w:pPr>
              <w:pStyle w:val="TableFooter"/>
              <w:jc w:val="center"/>
              <w:rPr>
                <w:sz w:val="20"/>
              </w:rPr>
            </w:pPr>
            <w:r w:rsidRPr="009845B2">
              <w:rPr>
                <w:sz w:val="20"/>
              </w:rPr>
              <w:t>ASCEND</w:t>
            </w:r>
          </w:p>
        </w:tc>
        <w:tc>
          <w:tcPr>
            <w:tcW w:w="1708" w:type="dxa"/>
            <w:gridSpan w:val="2"/>
            <w:vAlign w:val="center"/>
          </w:tcPr>
          <w:p w:rsidR="00301E4C" w:rsidRPr="00834986" w:rsidRDefault="00301E4C" w:rsidP="00ED5652">
            <w:pPr>
              <w:pStyle w:val="TableFooter"/>
              <w:jc w:val="center"/>
              <w:rPr>
                <w:sz w:val="20"/>
              </w:rPr>
            </w:pPr>
            <w:r w:rsidRPr="00834986">
              <w:rPr>
                <w:sz w:val="20"/>
              </w:rPr>
              <w:t>0.57 (0.43, 0.77)</w:t>
            </w:r>
          </w:p>
        </w:tc>
        <w:tc>
          <w:tcPr>
            <w:tcW w:w="1701" w:type="dxa"/>
            <w:vMerge/>
            <w:vAlign w:val="center"/>
          </w:tcPr>
          <w:p w:rsidR="00301E4C" w:rsidRPr="00EE465E" w:rsidRDefault="00301E4C" w:rsidP="00ED5652">
            <w:pPr>
              <w:pStyle w:val="TableFooter"/>
              <w:jc w:val="center"/>
              <w:rPr>
                <w:sz w:val="20"/>
              </w:rPr>
            </w:pPr>
          </w:p>
        </w:tc>
      </w:tr>
      <w:tr w:rsidR="00301E4C" w:rsidRPr="00EE465E" w:rsidTr="00ED5652">
        <w:tc>
          <w:tcPr>
            <w:tcW w:w="1985" w:type="dxa"/>
            <w:vMerge w:val="restart"/>
            <w:vAlign w:val="center"/>
          </w:tcPr>
          <w:p w:rsidR="00301E4C" w:rsidRDefault="00301E4C" w:rsidP="00ED5652">
            <w:pPr>
              <w:pStyle w:val="TableFooter"/>
              <w:jc w:val="left"/>
              <w:rPr>
                <w:sz w:val="20"/>
              </w:rPr>
            </w:pPr>
            <w:r>
              <w:rPr>
                <w:sz w:val="20"/>
              </w:rPr>
              <w:t xml:space="preserve">Time to worsening of IPF; </w:t>
            </w:r>
          </w:p>
          <w:p w:rsidR="00301E4C" w:rsidRPr="00EE465E" w:rsidRDefault="00301E4C" w:rsidP="00ED5652">
            <w:pPr>
              <w:pStyle w:val="TableFooter"/>
              <w:jc w:val="left"/>
              <w:rPr>
                <w:sz w:val="20"/>
              </w:rPr>
            </w:pPr>
            <w:r>
              <w:rPr>
                <w:sz w:val="20"/>
              </w:rPr>
              <w:t>HR (95 % CI)</w:t>
            </w:r>
          </w:p>
        </w:tc>
        <w:tc>
          <w:tcPr>
            <w:tcW w:w="1559" w:type="dxa"/>
            <w:vMerge w:val="restart"/>
            <w:vAlign w:val="center"/>
          </w:tcPr>
          <w:p w:rsidR="00301E4C" w:rsidRPr="00EE465E" w:rsidRDefault="00301E4C" w:rsidP="00ED5652">
            <w:pPr>
              <w:pStyle w:val="TableFooter"/>
              <w:jc w:val="center"/>
              <w:rPr>
                <w:sz w:val="20"/>
              </w:rPr>
            </w:pPr>
            <w:r>
              <w:rPr>
                <w:sz w:val="20"/>
              </w:rPr>
              <w:t>Cut off: 72 weeks</w:t>
            </w:r>
          </w:p>
        </w:tc>
        <w:tc>
          <w:tcPr>
            <w:tcW w:w="1417" w:type="dxa"/>
            <w:gridSpan w:val="2"/>
            <w:vAlign w:val="center"/>
          </w:tcPr>
          <w:p w:rsidR="00301E4C" w:rsidRPr="00EE465E" w:rsidRDefault="00301E4C" w:rsidP="00ED5652">
            <w:pPr>
              <w:pStyle w:val="TableFooter"/>
              <w:jc w:val="center"/>
              <w:rPr>
                <w:sz w:val="20"/>
              </w:rPr>
            </w:pPr>
            <w:r w:rsidRPr="009845B2">
              <w:rPr>
                <w:sz w:val="20"/>
              </w:rPr>
              <w:t>CAPACITY-1</w:t>
            </w:r>
          </w:p>
        </w:tc>
        <w:tc>
          <w:tcPr>
            <w:tcW w:w="1701" w:type="dxa"/>
            <w:vAlign w:val="center"/>
          </w:tcPr>
          <w:p w:rsidR="00301E4C" w:rsidRPr="00834986" w:rsidRDefault="00301E4C" w:rsidP="00ED5652">
            <w:pPr>
              <w:pStyle w:val="TableFooter"/>
              <w:jc w:val="center"/>
              <w:rPr>
                <w:sz w:val="20"/>
              </w:rPr>
            </w:pPr>
            <w:r w:rsidRPr="00834986">
              <w:rPr>
                <w:bCs/>
                <w:sz w:val="20"/>
              </w:rPr>
              <w:t>0.73 (0.43, 1.24)</w:t>
            </w:r>
          </w:p>
        </w:tc>
        <w:tc>
          <w:tcPr>
            <w:tcW w:w="1701" w:type="dxa"/>
            <w:vMerge w:val="restart"/>
            <w:vAlign w:val="center"/>
          </w:tcPr>
          <w:p w:rsidR="00301E4C" w:rsidRPr="00EE465E" w:rsidRDefault="00301E4C" w:rsidP="00ED5652">
            <w:pPr>
              <w:pStyle w:val="TableFooter"/>
              <w:jc w:val="center"/>
              <w:rPr>
                <w:sz w:val="20"/>
              </w:rPr>
            </w:pPr>
            <w:r w:rsidRPr="009845B2">
              <w:rPr>
                <w:bCs/>
                <w:sz w:val="20"/>
              </w:rPr>
              <w:t>0.78 (0.54, 1.14)</w:t>
            </w:r>
          </w:p>
        </w:tc>
      </w:tr>
      <w:tr w:rsidR="00301E4C" w:rsidRPr="00EE465E" w:rsidTr="00ED5652">
        <w:tc>
          <w:tcPr>
            <w:tcW w:w="1985" w:type="dxa"/>
            <w:vMerge/>
            <w:vAlign w:val="center"/>
          </w:tcPr>
          <w:p w:rsidR="00301E4C" w:rsidRPr="00EE465E" w:rsidRDefault="00301E4C" w:rsidP="00ED5652">
            <w:pPr>
              <w:pStyle w:val="TableFooter"/>
              <w:jc w:val="left"/>
              <w:rPr>
                <w:sz w:val="20"/>
              </w:rPr>
            </w:pPr>
          </w:p>
        </w:tc>
        <w:tc>
          <w:tcPr>
            <w:tcW w:w="1559" w:type="dxa"/>
            <w:vMerge/>
            <w:vAlign w:val="center"/>
          </w:tcPr>
          <w:p w:rsidR="00301E4C" w:rsidRPr="00EE465E" w:rsidRDefault="00301E4C" w:rsidP="00ED5652">
            <w:pPr>
              <w:pStyle w:val="TableFooter"/>
              <w:jc w:val="center"/>
              <w:rPr>
                <w:sz w:val="20"/>
              </w:rPr>
            </w:pPr>
          </w:p>
        </w:tc>
        <w:tc>
          <w:tcPr>
            <w:tcW w:w="1417" w:type="dxa"/>
            <w:gridSpan w:val="2"/>
            <w:vAlign w:val="center"/>
          </w:tcPr>
          <w:p w:rsidR="00301E4C" w:rsidRPr="00EE465E" w:rsidRDefault="00301E4C" w:rsidP="00ED5652">
            <w:pPr>
              <w:pStyle w:val="TableFooter"/>
              <w:jc w:val="center"/>
              <w:rPr>
                <w:sz w:val="20"/>
              </w:rPr>
            </w:pPr>
            <w:r w:rsidRPr="009845B2">
              <w:rPr>
                <w:sz w:val="20"/>
              </w:rPr>
              <w:t>CAPACITY-2</w:t>
            </w:r>
          </w:p>
        </w:tc>
        <w:tc>
          <w:tcPr>
            <w:tcW w:w="1701" w:type="dxa"/>
            <w:vAlign w:val="center"/>
          </w:tcPr>
          <w:p w:rsidR="00301E4C" w:rsidRPr="00834986" w:rsidRDefault="00301E4C" w:rsidP="00ED5652">
            <w:pPr>
              <w:pStyle w:val="TableFooter"/>
              <w:jc w:val="center"/>
              <w:rPr>
                <w:sz w:val="20"/>
              </w:rPr>
            </w:pPr>
            <w:r w:rsidRPr="00834986">
              <w:rPr>
                <w:bCs/>
                <w:sz w:val="20"/>
              </w:rPr>
              <w:t>0.84 (0.50, 1.42)</w:t>
            </w:r>
          </w:p>
        </w:tc>
        <w:tc>
          <w:tcPr>
            <w:tcW w:w="1701" w:type="dxa"/>
            <w:vMerge/>
            <w:vAlign w:val="center"/>
          </w:tcPr>
          <w:p w:rsidR="00301E4C" w:rsidRPr="00EE465E" w:rsidRDefault="00301E4C" w:rsidP="00ED5652">
            <w:pPr>
              <w:pStyle w:val="TableFooter"/>
              <w:jc w:val="center"/>
              <w:rPr>
                <w:sz w:val="20"/>
              </w:rPr>
            </w:pPr>
          </w:p>
        </w:tc>
      </w:tr>
    </w:tbl>
    <w:p w:rsidR="00301E4C" w:rsidRDefault="00301E4C" w:rsidP="00301E4C">
      <w:pPr>
        <w:ind w:left="720"/>
        <w:rPr>
          <w:rFonts w:ascii="Arial Narrow" w:hAnsi="Arial Narrow"/>
          <w:bCs/>
          <w:sz w:val="18"/>
          <w:szCs w:val="18"/>
        </w:rPr>
      </w:pPr>
      <w:r>
        <w:rPr>
          <w:rFonts w:ascii="Arial Narrow" w:hAnsi="Arial Narrow"/>
          <w:bCs/>
          <w:sz w:val="18"/>
          <w:szCs w:val="18"/>
        </w:rPr>
        <w:t xml:space="preserve">Abbreviations: </w:t>
      </w:r>
      <w:proofErr w:type="spellStart"/>
      <w:r>
        <w:rPr>
          <w:rFonts w:ascii="Arial Narrow" w:hAnsi="Arial Narrow"/>
          <w:bCs/>
          <w:sz w:val="18"/>
          <w:szCs w:val="18"/>
        </w:rPr>
        <w:t>FVC%Pred</w:t>
      </w:r>
      <w:proofErr w:type="spellEnd"/>
      <w:r>
        <w:rPr>
          <w:rFonts w:ascii="Arial Narrow" w:hAnsi="Arial Narrow"/>
          <w:bCs/>
          <w:sz w:val="18"/>
          <w:szCs w:val="18"/>
        </w:rPr>
        <w:t>=forced vital capacity percent predicted; IPF=idiopathic pulmonary fibrosis; HR=hazard ratio; MD=mean difference; 95% CI=95% confidence interval; RR=relative risk</w:t>
      </w:r>
    </w:p>
    <w:p w:rsidR="00301E4C" w:rsidRDefault="00301E4C" w:rsidP="00301E4C">
      <w:pPr>
        <w:ind w:firstLine="720"/>
        <w:rPr>
          <w:rFonts w:ascii="Arial Narrow" w:hAnsi="Arial Narrow"/>
          <w:bCs/>
          <w:sz w:val="18"/>
          <w:szCs w:val="18"/>
        </w:rPr>
      </w:pPr>
      <w:r w:rsidRPr="009845B2">
        <w:rPr>
          <w:rFonts w:ascii="Arial Narrow" w:hAnsi="Arial Narrow"/>
          <w:bCs/>
          <w:sz w:val="18"/>
          <w:szCs w:val="18"/>
        </w:rPr>
        <w:t xml:space="preserve">Figures in </w:t>
      </w:r>
      <w:r w:rsidRPr="009845B2">
        <w:rPr>
          <w:rFonts w:ascii="Arial Narrow" w:hAnsi="Arial Narrow"/>
          <w:b/>
          <w:bCs/>
          <w:sz w:val="18"/>
          <w:szCs w:val="18"/>
        </w:rPr>
        <w:t>bold</w:t>
      </w:r>
      <w:r w:rsidRPr="009845B2">
        <w:rPr>
          <w:rFonts w:ascii="Arial Narrow" w:hAnsi="Arial Narrow"/>
          <w:bCs/>
          <w:sz w:val="18"/>
          <w:szCs w:val="18"/>
        </w:rPr>
        <w:t xml:space="preserve"> indicate results that are statistically significant.  </w:t>
      </w:r>
    </w:p>
    <w:p w:rsidR="00301E4C" w:rsidRPr="00681441" w:rsidRDefault="00301E4C" w:rsidP="00301E4C">
      <w:pPr>
        <w:ind w:left="720"/>
        <w:rPr>
          <w:rFonts w:ascii="Arial Narrow" w:hAnsi="Arial Narrow"/>
          <w:bCs/>
          <w:sz w:val="18"/>
          <w:szCs w:val="18"/>
        </w:rPr>
      </w:pPr>
      <w:r w:rsidRPr="00681441">
        <w:rPr>
          <w:rFonts w:ascii="Arial Narrow" w:hAnsi="Arial Narrow"/>
          <w:sz w:val="18"/>
          <w:szCs w:val="18"/>
        </w:rPr>
        <w:t>*</w:t>
      </w:r>
      <w:r>
        <w:rPr>
          <w:rFonts w:ascii="Arial Narrow" w:hAnsi="Arial Narrow"/>
          <w:sz w:val="18"/>
          <w:szCs w:val="18"/>
        </w:rPr>
        <w:t xml:space="preserve"> </w:t>
      </w:r>
      <w:r w:rsidRPr="00681441">
        <w:rPr>
          <w:rFonts w:ascii="Arial Narrow" w:hAnsi="Arial Narrow"/>
          <w:sz w:val="18"/>
          <w:szCs w:val="18"/>
        </w:rPr>
        <w:t>Vital status</w:t>
      </w:r>
      <w:r>
        <w:rPr>
          <w:rFonts w:ascii="Arial Narrow" w:hAnsi="Arial Narrow"/>
          <w:sz w:val="18"/>
          <w:szCs w:val="18"/>
        </w:rPr>
        <w:t xml:space="preserve"> - e</w:t>
      </w:r>
      <w:r w:rsidRPr="00681441">
        <w:rPr>
          <w:rFonts w:ascii="Arial Narrow" w:hAnsi="Arial Narrow"/>
          <w:sz w:val="18"/>
          <w:szCs w:val="18"/>
        </w:rPr>
        <w:t xml:space="preserve">nd of Study: deaths that occurred at any time during the study regardless of whether patients continued on </w:t>
      </w:r>
      <w:r w:rsidRPr="00681441">
        <w:rPr>
          <w:rFonts w:ascii="Arial Narrow" w:hAnsi="Arial Narrow"/>
          <w:sz w:val="18"/>
          <w:szCs w:val="18"/>
        </w:rPr>
        <w:lastRenderedPageBreak/>
        <w:t>study treatment or study assessments</w:t>
      </w:r>
    </w:p>
    <w:p w:rsidR="00301E4C" w:rsidRDefault="00301E4C" w:rsidP="00301E4C">
      <w:pPr>
        <w:ind w:left="720"/>
        <w:rPr>
          <w:rFonts w:ascii="Arial Narrow" w:hAnsi="Arial Narrow"/>
          <w:bCs/>
          <w:i/>
          <w:sz w:val="18"/>
          <w:szCs w:val="18"/>
        </w:rPr>
      </w:pPr>
      <w:r w:rsidRPr="000D137A">
        <w:rPr>
          <w:rFonts w:ascii="Arial Narrow" w:hAnsi="Arial Narrow"/>
          <w:bCs/>
          <w:i/>
          <w:sz w:val="18"/>
          <w:szCs w:val="18"/>
        </w:rPr>
        <w:t xml:space="preserve">^ </w:t>
      </w:r>
      <w:r w:rsidRPr="00834986">
        <w:rPr>
          <w:rFonts w:ascii="Arial Narrow" w:hAnsi="Arial Narrow"/>
          <w:bCs/>
          <w:sz w:val="18"/>
          <w:szCs w:val="18"/>
        </w:rPr>
        <w:t xml:space="preserve">The results of the meta-analyses presented in the submission omitted numerous variables recommended by the PBAC Guidelines (version 4.4, pp104-105):  statistical measures of relative risk (RR) and accompanying 95% confidence intervals for relative difference (RD) and mean difference (MD).  Meta-analyses analyses in italics, with the exception of overall survival (vital </w:t>
      </w:r>
      <w:r w:rsidR="007E20F5" w:rsidRPr="00834986">
        <w:rPr>
          <w:rFonts w:ascii="Arial Narrow" w:hAnsi="Arial Narrow"/>
          <w:bCs/>
          <w:sz w:val="18"/>
          <w:szCs w:val="18"/>
        </w:rPr>
        <w:t>status: end</w:t>
      </w:r>
      <w:r w:rsidRPr="00834986">
        <w:rPr>
          <w:rFonts w:ascii="Arial Narrow" w:hAnsi="Arial Narrow"/>
          <w:bCs/>
          <w:sz w:val="18"/>
          <w:szCs w:val="18"/>
        </w:rPr>
        <w:t xml:space="preserve"> of study), were conducted during the evaluation using </w:t>
      </w:r>
      <w:proofErr w:type="spellStart"/>
      <w:r w:rsidRPr="00834986">
        <w:rPr>
          <w:rFonts w:ascii="Arial Narrow" w:hAnsi="Arial Narrow"/>
          <w:bCs/>
          <w:sz w:val="18"/>
          <w:szCs w:val="18"/>
        </w:rPr>
        <w:t>StatsDirect</w:t>
      </w:r>
      <w:proofErr w:type="spellEnd"/>
      <w:r w:rsidRPr="00834986">
        <w:rPr>
          <w:rFonts w:ascii="Arial Narrow" w:hAnsi="Arial Narrow"/>
          <w:bCs/>
          <w:sz w:val="18"/>
          <w:szCs w:val="18"/>
        </w:rPr>
        <w:t xml:space="preserve"> version 2.7.9 using the </w:t>
      </w:r>
      <w:proofErr w:type="spellStart"/>
      <w:r w:rsidRPr="00834986">
        <w:rPr>
          <w:rFonts w:ascii="Arial Narrow" w:hAnsi="Arial Narrow"/>
          <w:bCs/>
          <w:sz w:val="18"/>
          <w:szCs w:val="18"/>
        </w:rPr>
        <w:t>DerSimonian</w:t>
      </w:r>
      <w:proofErr w:type="spellEnd"/>
      <w:r w:rsidRPr="00834986">
        <w:rPr>
          <w:rFonts w:ascii="Arial Narrow" w:hAnsi="Arial Narrow"/>
          <w:bCs/>
          <w:sz w:val="18"/>
          <w:szCs w:val="18"/>
        </w:rPr>
        <w:t>-Laird random effects model.</w:t>
      </w:r>
      <w:r w:rsidRPr="000D137A">
        <w:rPr>
          <w:rFonts w:ascii="Arial Narrow" w:hAnsi="Arial Narrow"/>
          <w:bCs/>
          <w:i/>
          <w:sz w:val="18"/>
          <w:szCs w:val="18"/>
        </w:rPr>
        <w:t xml:space="preserve">  </w:t>
      </w:r>
    </w:p>
    <w:p w:rsidR="00301E4C" w:rsidRPr="00EA6E87" w:rsidRDefault="00301E4C" w:rsidP="00301E4C">
      <w:pPr>
        <w:ind w:left="720"/>
        <w:rPr>
          <w:rFonts w:ascii="Arial Narrow" w:hAnsi="Arial Narrow"/>
          <w:bCs/>
          <w:sz w:val="18"/>
          <w:szCs w:val="18"/>
        </w:rPr>
      </w:pPr>
      <w:r w:rsidRPr="00D422A7">
        <w:rPr>
          <w:rFonts w:ascii="Arial Narrow" w:hAnsi="Arial Narrow"/>
          <w:bCs/>
          <w:sz w:val="18"/>
          <w:szCs w:val="18"/>
        </w:rPr>
        <w:t>Source</w:t>
      </w:r>
      <w:r>
        <w:rPr>
          <w:rFonts w:ascii="Arial Narrow" w:hAnsi="Arial Narrow"/>
          <w:bCs/>
          <w:i/>
          <w:sz w:val="18"/>
          <w:szCs w:val="18"/>
        </w:rPr>
        <w:t xml:space="preserve">: </w:t>
      </w:r>
      <w:r w:rsidRPr="00EA6E87">
        <w:rPr>
          <w:rFonts w:ascii="Arial Narrow" w:hAnsi="Arial Narrow"/>
          <w:sz w:val="18"/>
          <w:szCs w:val="18"/>
        </w:rPr>
        <w:t xml:space="preserve">Table B(a).2.1, p5, Table B(a).3.1, p8, Supplementary appendix to Section B of the submission; Table 11, p68, Tables 2.1-3, 2.1-4, p313-332; Table 4.1-1, p467-471, 2014 Resubmission integrated summary of efficacy; </w:t>
      </w:r>
      <w:r w:rsidRPr="00EA6E87">
        <w:rPr>
          <w:rFonts w:ascii="Arial Narrow" w:hAnsi="Arial Narrow"/>
          <w:bCs/>
          <w:sz w:val="18"/>
          <w:szCs w:val="18"/>
        </w:rPr>
        <w:t>T</w:t>
      </w:r>
      <w:r>
        <w:rPr>
          <w:rFonts w:ascii="Arial Narrow" w:hAnsi="Arial Narrow"/>
          <w:bCs/>
          <w:sz w:val="18"/>
          <w:szCs w:val="18"/>
        </w:rPr>
        <w:t>able 25-</w:t>
      </w:r>
      <w:r w:rsidRPr="00EA6E87">
        <w:rPr>
          <w:rFonts w:ascii="Arial Narrow" w:hAnsi="Arial Narrow"/>
          <w:bCs/>
          <w:sz w:val="18"/>
          <w:szCs w:val="18"/>
        </w:rPr>
        <w:t xml:space="preserve">26, p84-87, </w:t>
      </w:r>
      <w:r w:rsidRPr="00EA6E87">
        <w:rPr>
          <w:rFonts w:ascii="Arial Narrow" w:hAnsi="Arial Narrow"/>
          <w:sz w:val="18"/>
          <w:szCs w:val="18"/>
        </w:rPr>
        <w:t xml:space="preserve">Table 14.2.1-6, p543, </w:t>
      </w:r>
      <w:r w:rsidRPr="00EA6E87">
        <w:rPr>
          <w:rFonts w:ascii="Arial Narrow" w:hAnsi="Arial Narrow"/>
          <w:bCs/>
          <w:sz w:val="18"/>
          <w:szCs w:val="18"/>
        </w:rPr>
        <w:t xml:space="preserve">Table 14.2.2-15, p592, Table 14.2.2-11, p588, Table 14.2.2-7, p584, </w:t>
      </w:r>
      <w:r w:rsidRPr="00EA6E87">
        <w:rPr>
          <w:rFonts w:ascii="Arial Narrow" w:hAnsi="Arial Narrow"/>
          <w:sz w:val="18"/>
          <w:szCs w:val="18"/>
        </w:rPr>
        <w:t xml:space="preserve">ASCEND CSR; Table 11-9, p132, Table 14.2.1-1, p518, Table 14.2.2-1, p563, CAPACITY-1 CSR; Table 11-9, p140, Table 14.2.1-1, p561, Table 14.2.2-1, p603, CAPACITY-2 CSR; </w:t>
      </w:r>
      <w:r w:rsidRPr="00EA6E87">
        <w:rPr>
          <w:rFonts w:ascii="Arial Narrow" w:hAnsi="Arial Narrow"/>
          <w:bCs/>
          <w:sz w:val="18"/>
          <w:szCs w:val="18"/>
        </w:rPr>
        <w:t xml:space="preserve">Table 8, p21 of FDA- </w:t>
      </w:r>
      <w:proofErr w:type="spellStart"/>
      <w:r w:rsidRPr="00EA6E87">
        <w:rPr>
          <w:rFonts w:ascii="Arial Narrow" w:hAnsi="Arial Narrow"/>
          <w:bCs/>
          <w:sz w:val="18"/>
          <w:szCs w:val="18"/>
        </w:rPr>
        <w:t>pirfenidone</w:t>
      </w:r>
      <w:proofErr w:type="spellEnd"/>
      <w:r w:rsidRPr="00EA6E87">
        <w:rPr>
          <w:rFonts w:ascii="Arial Narrow" w:hAnsi="Arial Narrow"/>
          <w:bCs/>
          <w:sz w:val="18"/>
          <w:szCs w:val="18"/>
        </w:rPr>
        <w:t xml:space="preserve"> cross discipline team leader review; Table B.6.4, p49, Section B-DRT; Table 7-22, p134, Table 7-29, p146,  Integrated summary of effectiveness 2009</w:t>
      </w:r>
    </w:p>
    <w:p w:rsidR="00301E4C" w:rsidRDefault="00301E4C" w:rsidP="00301E4C">
      <w:pPr>
        <w:rPr>
          <w:szCs w:val="22"/>
        </w:rPr>
      </w:pPr>
    </w:p>
    <w:p w:rsidR="00480DD6" w:rsidRPr="008E74B4" w:rsidRDefault="00301E4C" w:rsidP="00B9372F">
      <w:pPr>
        <w:pStyle w:val="ListParagraph"/>
        <w:numPr>
          <w:ilvl w:val="1"/>
          <w:numId w:val="2"/>
        </w:numPr>
        <w:rPr>
          <w:szCs w:val="22"/>
        </w:rPr>
      </w:pPr>
      <w:r w:rsidRPr="00834986">
        <w:rPr>
          <w:szCs w:val="22"/>
        </w:rPr>
        <w:t xml:space="preserve">While statistically significant differences were observed in ASCEND and CAPACITY-2 for the primary efficacy analysis of mean change from baseline </w:t>
      </w:r>
      <w:proofErr w:type="spellStart"/>
      <w:r w:rsidRPr="00834986">
        <w:rPr>
          <w:szCs w:val="22"/>
        </w:rPr>
        <w:t>FVC%Pred</w:t>
      </w:r>
      <w:proofErr w:type="spellEnd"/>
      <w:r w:rsidRPr="00834986">
        <w:rPr>
          <w:szCs w:val="22"/>
        </w:rPr>
        <w:t xml:space="preserve"> at week 52 and 72, results from CAPACITY-1 did not reach significance, with the point estimates (week 72: 0.6%; week 52: 1.9%) unlikely to be clinically significant.  In addition, considerable variability across the placebo arms (week 52: -</w:t>
      </w:r>
      <w:r w:rsidR="00AF4647">
        <w:rPr>
          <w:noProof/>
          <w:color w:val="000000"/>
          <w:szCs w:val="22"/>
          <w:highlight w:val="black"/>
        </w:rPr>
        <w:t>'''''''</w:t>
      </w:r>
      <w:r w:rsidRPr="00834986">
        <w:rPr>
          <w:szCs w:val="22"/>
        </w:rPr>
        <w:t>% to -</w:t>
      </w:r>
      <w:r w:rsidR="00AF4647">
        <w:rPr>
          <w:noProof/>
          <w:color w:val="000000"/>
          <w:szCs w:val="22"/>
          <w:highlight w:val="black"/>
        </w:rPr>
        <w:t>'''''''''''</w:t>
      </w:r>
      <w:r w:rsidRPr="00834986">
        <w:rPr>
          <w:szCs w:val="22"/>
        </w:rPr>
        <w:t>%; week 72: -</w:t>
      </w:r>
      <w:r w:rsidR="00AF4647">
        <w:rPr>
          <w:noProof/>
          <w:color w:val="000000"/>
          <w:szCs w:val="22"/>
          <w:highlight w:val="black"/>
        </w:rPr>
        <w:t>'''''''</w:t>
      </w:r>
      <w:r w:rsidRPr="00834986">
        <w:rPr>
          <w:szCs w:val="22"/>
        </w:rPr>
        <w:t>% to -</w:t>
      </w:r>
      <w:proofErr w:type="gramStart"/>
      <w:r w:rsidR="00AF4647">
        <w:rPr>
          <w:noProof/>
          <w:color w:val="000000"/>
          <w:szCs w:val="22"/>
          <w:highlight w:val="black"/>
        </w:rPr>
        <w:t>''''''''''''</w:t>
      </w:r>
      <w:r w:rsidRPr="00834986">
        <w:rPr>
          <w:szCs w:val="22"/>
        </w:rPr>
        <w:t>%</w:t>
      </w:r>
      <w:proofErr w:type="gramEnd"/>
      <w:r w:rsidRPr="00834986">
        <w:rPr>
          <w:szCs w:val="22"/>
        </w:rPr>
        <w:t>) brought into question the comparability of the trial populations.</w:t>
      </w:r>
    </w:p>
    <w:p w:rsidR="00301E4C" w:rsidRPr="008E74B4" w:rsidRDefault="00301E4C" w:rsidP="00301E4C">
      <w:pPr>
        <w:widowControl/>
        <w:rPr>
          <w:szCs w:val="22"/>
        </w:rPr>
      </w:pPr>
    </w:p>
    <w:p w:rsidR="00301E4C" w:rsidRPr="0058239F" w:rsidRDefault="0058187E" w:rsidP="00B9372F">
      <w:pPr>
        <w:pStyle w:val="ListParagraph"/>
        <w:widowControl/>
        <w:numPr>
          <w:ilvl w:val="1"/>
          <w:numId w:val="2"/>
        </w:numPr>
        <w:rPr>
          <w:szCs w:val="22"/>
        </w:rPr>
      </w:pPr>
      <w:r w:rsidRPr="00834986">
        <w:rPr>
          <w:szCs w:val="22"/>
        </w:rPr>
        <w:t>In regard</w:t>
      </w:r>
      <w:r w:rsidR="00301E4C" w:rsidRPr="00834986">
        <w:rPr>
          <w:szCs w:val="22"/>
        </w:rPr>
        <w:t xml:space="preserve"> to overall survival, although the base case analysis (cut-off at 52 weeks) indicated statistically significant benefits in favour of </w:t>
      </w:r>
      <w:proofErr w:type="spellStart"/>
      <w:r w:rsidR="00301E4C" w:rsidRPr="00834986">
        <w:rPr>
          <w:szCs w:val="22"/>
        </w:rPr>
        <w:t>pirfenidone</w:t>
      </w:r>
      <w:proofErr w:type="spellEnd"/>
      <w:r w:rsidR="00301E4C" w:rsidRPr="00834986">
        <w:rPr>
          <w:szCs w:val="22"/>
        </w:rPr>
        <w:t xml:space="preserve"> (HR = 0.52%, 95% CI: 0.31, 0.87), the vital status-end of study exploratory analysis reported in the FDA cross discipline team leader review for </w:t>
      </w:r>
      <w:proofErr w:type="spellStart"/>
      <w:r w:rsidR="00301E4C" w:rsidRPr="00834986">
        <w:rPr>
          <w:szCs w:val="22"/>
        </w:rPr>
        <w:t>pirfenidone</w:t>
      </w:r>
      <w:proofErr w:type="spellEnd"/>
      <w:r w:rsidR="00301E4C" w:rsidRPr="00834986">
        <w:rPr>
          <w:szCs w:val="22"/>
        </w:rPr>
        <w:t xml:space="preserve"> (located during the evaluation) reported non-significant differences (HR = 0.75, 95% CI: 0.50, 1.11).  The review considered that vital status-end of study survival analysis more appropriately informed the efficacy of a drug with respect to disease modification/survival. </w:t>
      </w:r>
      <w:r w:rsidR="00DB6076" w:rsidRPr="0058239F">
        <w:rPr>
          <w:szCs w:val="22"/>
        </w:rPr>
        <w:t xml:space="preserve">The ESC noted that the PSCR </w:t>
      </w:r>
      <w:r w:rsidR="0039156D" w:rsidRPr="0058239F">
        <w:rPr>
          <w:szCs w:val="22"/>
        </w:rPr>
        <w:t>(</w:t>
      </w:r>
      <w:r w:rsidR="0062196C" w:rsidRPr="0058239F">
        <w:rPr>
          <w:szCs w:val="22"/>
        </w:rPr>
        <w:t>p3</w:t>
      </w:r>
      <w:r w:rsidR="0039156D" w:rsidRPr="0058239F">
        <w:rPr>
          <w:szCs w:val="22"/>
        </w:rPr>
        <w:t xml:space="preserve">) </w:t>
      </w:r>
      <w:r w:rsidR="00DB6076" w:rsidRPr="0058239F">
        <w:rPr>
          <w:szCs w:val="22"/>
        </w:rPr>
        <w:t>addresse</w:t>
      </w:r>
      <w:r w:rsidR="0039156D" w:rsidRPr="0058239F">
        <w:rPr>
          <w:szCs w:val="22"/>
        </w:rPr>
        <w:t>d</w:t>
      </w:r>
      <w:r w:rsidR="00DB6076" w:rsidRPr="0058239F">
        <w:rPr>
          <w:szCs w:val="22"/>
        </w:rPr>
        <w:t xml:space="preserve"> this issue and argue</w:t>
      </w:r>
      <w:r w:rsidR="0039156D" w:rsidRPr="0058239F">
        <w:rPr>
          <w:szCs w:val="22"/>
        </w:rPr>
        <w:t>d</w:t>
      </w:r>
      <w:r w:rsidR="00DB6076" w:rsidRPr="0058239F">
        <w:rPr>
          <w:szCs w:val="22"/>
        </w:rPr>
        <w:t xml:space="preserve"> that the totality of evidence has been accepted by the FDA and EMA, and further that a recent NEJM</w:t>
      </w:r>
      <w:r w:rsidR="006A3BDE" w:rsidRPr="0058239F">
        <w:rPr>
          <w:rStyle w:val="FootnoteReference"/>
          <w:szCs w:val="22"/>
        </w:rPr>
        <w:footnoteReference w:id="1"/>
      </w:r>
      <w:r w:rsidR="00DB6076" w:rsidRPr="0058239F">
        <w:rPr>
          <w:szCs w:val="22"/>
        </w:rPr>
        <w:t xml:space="preserve"> editorial indicates acceptance of FV</w:t>
      </w:r>
      <w:r w:rsidR="008E74B4">
        <w:rPr>
          <w:szCs w:val="22"/>
        </w:rPr>
        <w:t>C as a surrogate for mortality.</w:t>
      </w:r>
    </w:p>
    <w:p w:rsidR="0090363B" w:rsidRPr="008E74B4" w:rsidRDefault="0090363B" w:rsidP="0090363B">
      <w:pPr>
        <w:widowControl/>
        <w:rPr>
          <w:szCs w:val="22"/>
        </w:rPr>
      </w:pPr>
    </w:p>
    <w:p w:rsidR="00632E43" w:rsidRPr="008E74B4" w:rsidRDefault="00301E4C" w:rsidP="00B9372F">
      <w:pPr>
        <w:pStyle w:val="ListParagraph"/>
        <w:widowControl/>
        <w:numPr>
          <w:ilvl w:val="1"/>
          <w:numId w:val="2"/>
        </w:numPr>
        <w:rPr>
          <w:szCs w:val="22"/>
        </w:rPr>
      </w:pPr>
      <w:r>
        <w:rPr>
          <w:szCs w:val="22"/>
        </w:rPr>
        <w:t>A brief summary of results from the indirect comparison with ni</w:t>
      </w:r>
      <w:r w:rsidR="0058187E">
        <w:rPr>
          <w:szCs w:val="22"/>
        </w:rPr>
        <w:t>n</w:t>
      </w:r>
      <w:r>
        <w:rPr>
          <w:szCs w:val="22"/>
        </w:rPr>
        <w:t xml:space="preserve">tedanib is provided in the table below.  </w:t>
      </w:r>
      <w:r w:rsidRPr="00834986">
        <w:rPr>
          <w:szCs w:val="22"/>
        </w:rPr>
        <w:t>Although no statistically significant differences were observed across the analyses, the reliability of the indirect comparison was limited by the lack of exchangeability for the trial populations (</w:t>
      </w:r>
      <w:proofErr w:type="spellStart"/>
      <w:r w:rsidRPr="00834986">
        <w:rPr>
          <w:szCs w:val="22"/>
        </w:rPr>
        <w:t>FVC%Pred</w:t>
      </w:r>
      <w:proofErr w:type="spellEnd"/>
      <w:r w:rsidRPr="00834986">
        <w:rPr>
          <w:szCs w:val="22"/>
        </w:rPr>
        <w:t xml:space="preserve"> at baseline: ASCEND: 68%; Trial 32 and 34: 78-81%).</w:t>
      </w:r>
    </w:p>
    <w:p w:rsidR="0090363B" w:rsidRPr="008E74B4" w:rsidRDefault="0090363B" w:rsidP="00632E43">
      <w:pPr>
        <w:widowControl/>
        <w:rPr>
          <w:szCs w:val="22"/>
        </w:rPr>
      </w:pPr>
    </w:p>
    <w:p w:rsidR="00301E4C" w:rsidRPr="008E74B4" w:rsidRDefault="00301E4C" w:rsidP="00632E43">
      <w:pPr>
        <w:widowControl/>
        <w:ind w:firstLine="720"/>
        <w:jc w:val="left"/>
        <w:rPr>
          <w:rStyle w:val="CommentReference"/>
          <w:b w:val="0"/>
          <w:szCs w:val="20"/>
        </w:rPr>
      </w:pPr>
      <w:r>
        <w:rPr>
          <w:rStyle w:val="CommentReference"/>
        </w:rPr>
        <w:t xml:space="preserve">Table 4: Summary of results from the indirect comparison of </w:t>
      </w:r>
      <w:proofErr w:type="spellStart"/>
      <w:r>
        <w:rPr>
          <w:rStyle w:val="CommentReference"/>
        </w:rPr>
        <w:t>pirfenidone</w:t>
      </w:r>
      <w:proofErr w:type="spellEnd"/>
      <w:r>
        <w:rPr>
          <w:rStyle w:val="CommentReference"/>
        </w:rPr>
        <w:t xml:space="preserve"> and </w:t>
      </w:r>
      <w:proofErr w:type="spellStart"/>
      <w:r>
        <w:rPr>
          <w:rStyle w:val="CommentReference"/>
        </w:rPr>
        <w:t>nintedanib</w:t>
      </w:r>
      <w:proofErr w:type="spellEnd"/>
    </w:p>
    <w:tbl>
      <w:tblPr>
        <w:tblStyle w:val="TableGrid8"/>
        <w:tblW w:w="8363" w:type="dxa"/>
        <w:tblInd w:w="737" w:type="dxa"/>
        <w:tblCellMar>
          <w:left w:w="28" w:type="dxa"/>
          <w:right w:w="28" w:type="dxa"/>
        </w:tblCellMar>
        <w:tblLook w:val="04A0" w:firstRow="1" w:lastRow="0" w:firstColumn="1" w:lastColumn="0" w:noHBand="0" w:noVBand="1"/>
        <w:tblCaption w:val="Table 4: Summary of results from the indirect comparison of pirfenidone and nintedanib"/>
      </w:tblPr>
      <w:tblGrid>
        <w:gridCol w:w="1843"/>
        <w:gridCol w:w="2268"/>
        <w:gridCol w:w="4252"/>
      </w:tblGrid>
      <w:tr w:rsidR="00301E4C" w:rsidRPr="00B20AC3" w:rsidTr="00B314BB">
        <w:trPr>
          <w:trHeight w:val="20"/>
          <w:tblHeader/>
        </w:trPr>
        <w:tc>
          <w:tcPr>
            <w:tcW w:w="4111" w:type="dxa"/>
            <w:gridSpan w:val="2"/>
            <w:vAlign w:val="center"/>
          </w:tcPr>
          <w:p w:rsidR="00301E4C" w:rsidRPr="00B20AC3" w:rsidRDefault="00301E4C" w:rsidP="00ED5652">
            <w:pPr>
              <w:jc w:val="left"/>
              <w:rPr>
                <w:rFonts w:ascii="Arial Narrow" w:hAnsi="Arial Narrow"/>
                <w:b/>
                <w:sz w:val="20"/>
                <w:szCs w:val="16"/>
                <w:lang w:eastAsia="en-AU"/>
              </w:rPr>
            </w:pPr>
            <w:r w:rsidRPr="00B20AC3">
              <w:rPr>
                <w:rFonts w:ascii="Arial Narrow" w:hAnsi="Arial Narrow"/>
                <w:b/>
                <w:sz w:val="20"/>
                <w:szCs w:val="16"/>
                <w:lang w:eastAsia="en-AU"/>
              </w:rPr>
              <w:t>Outcome</w:t>
            </w:r>
          </w:p>
        </w:tc>
        <w:tc>
          <w:tcPr>
            <w:tcW w:w="4252" w:type="dxa"/>
            <w:vAlign w:val="center"/>
          </w:tcPr>
          <w:p w:rsidR="00301E4C" w:rsidRPr="00B20AC3" w:rsidRDefault="00301E4C" w:rsidP="00ED5652">
            <w:pPr>
              <w:jc w:val="center"/>
              <w:rPr>
                <w:rFonts w:ascii="Arial Narrow" w:hAnsi="Arial Narrow"/>
                <w:b/>
                <w:sz w:val="20"/>
                <w:szCs w:val="16"/>
                <w:lang w:eastAsia="en-AU"/>
              </w:rPr>
            </w:pPr>
            <w:r w:rsidRPr="00B20AC3">
              <w:rPr>
                <w:rFonts w:ascii="Arial Narrow" w:hAnsi="Arial Narrow"/>
                <w:b/>
                <w:sz w:val="20"/>
                <w:szCs w:val="16"/>
                <w:lang w:eastAsia="en-AU"/>
              </w:rPr>
              <w:t xml:space="preserve">Indirect comparison: </w:t>
            </w:r>
            <w:r>
              <w:rPr>
                <w:rFonts w:ascii="Arial Narrow" w:hAnsi="Arial Narrow"/>
                <w:b/>
                <w:sz w:val="20"/>
                <w:szCs w:val="16"/>
                <w:lang w:eastAsia="en-AU"/>
              </w:rPr>
              <w:t xml:space="preserve"> </w:t>
            </w:r>
            <w:proofErr w:type="spellStart"/>
            <w:r w:rsidRPr="00B20AC3">
              <w:rPr>
                <w:rFonts w:ascii="Arial Narrow" w:hAnsi="Arial Narrow"/>
                <w:b/>
                <w:sz w:val="20"/>
                <w:szCs w:val="16"/>
                <w:lang w:eastAsia="en-AU"/>
              </w:rPr>
              <w:t>pirfenidone</w:t>
            </w:r>
            <w:proofErr w:type="spellEnd"/>
            <w:r w:rsidRPr="00B20AC3">
              <w:rPr>
                <w:rFonts w:ascii="Arial Narrow" w:hAnsi="Arial Narrow"/>
                <w:b/>
                <w:sz w:val="20"/>
                <w:szCs w:val="16"/>
                <w:lang w:eastAsia="en-AU"/>
              </w:rPr>
              <w:t xml:space="preserve"> vs </w:t>
            </w:r>
            <w:proofErr w:type="spellStart"/>
            <w:r w:rsidRPr="00B20AC3">
              <w:rPr>
                <w:rFonts w:ascii="Arial Narrow" w:hAnsi="Arial Narrow"/>
                <w:b/>
                <w:sz w:val="20"/>
                <w:szCs w:val="16"/>
                <w:lang w:eastAsia="en-AU"/>
              </w:rPr>
              <w:t>nintedanib</w:t>
            </w:r>
            <w:proofErr w:type="spellEnd"/>
          </w:p>
        </w:tc>
      </w:tr>
      <w:tr w:rsidR="00301E4C" w:rsidRPr="00B20AC3" w:rsidTr="00ED5652">
        <w:trPr>
          <w:trHeight w:val="20"/>
        </w:trPr>
        <w:tc>
          <w:tcPr>
            <w:tcW w:w="1843" w:type="dxa"/>
            <w:vAlign w:val="center"/>
          </w:tcPr>
          <w:p w:rsidR="00301E4C" w:rsidRPr="00B20AC3" w:rsidRDefault="00301E4C" w:rsidP="00ED5652">
            <w:pPr>
              <w:jc w:val="left"/>
              <w:rPr>
                <w:rFonts w:ascii="Arial Narrow" w:hAnsi="Arial Narrow"/>
                <w:sz w:val="20"/>
                <w:szCs w:val="16"/>
                <w:lang w:eastAsia="en-AU"/>
              </w:rPr>
            </w:pPr>
            <w:r w:rsidRPr="00B20AC3">
              <w:rPr>
                <w:rFonts w:ascii="Arial Narrow" w:hAnsi="Arial Narrow"/>
                <w:sz w:val="20"/>
                <w:szCs w:val="16"/>
                <w:lang w:eastAsia="en-AU"/>
              </w:rPr>
              <w:t xml:space="preserve">Change in </w:t>
            </w:r>
            <w:proofErr w:type="spellStart"/>
            <w:r w:rsidRPr="00B20AC3">
              <w:rPr>
                <w:rFonts w:ascii="Arial Narrow" w:hAnsi="Arial Narrow"/>
                <w:sz w:val="20"/>
                <w:szCs w:val="16"/>
                <w:lang w:eastAsia="en-AU"/>
              </w:rPr>
              <w:t>FVC%Pred</w:t>
            </w:r>
            <w:proofErr w:type="spellEnd"/>
          </w:p>
        </w:tc>
        <w:tc>
          <w:tcPr>
            <w:tcW w:w="2268" w:type="dxa"/>
            <w:vAlign w:val="center"/>
          </w:tcPr>
          <w:p w:rsidR="00301E4C" w:rsidRPr="00B20AC3" w:rsidRDefault="00301E4C" w:rsidP="00ED5652">
            <w:pPr>
              <w:jc w:val="center"/>
              <w:rPr>
                <w:rFonts w:ascii="Arial Narrow" w:hAnsi="Arial Narrow"/>
                <w:sz w:val="20"/>
                <w:szCs w:val="16"/>
                <w:lang w:eastAsia="en-AU"/>
              </w:rPr>
            </w:pPr>
            <w:r w:rsidRPr="00B20AC3">
              <w:rPr>
                <w:rFonts w:ascii="Arial Narrow" w:hAnsi="Arial Narrow"/>
                <w:sz w:val="20"/>
                <w:szCs w:val="16"/>
                <w:lang w:eastAsia="en-AU"/>
              </w:rPr>
              <w:t>Mean difference (95% CI)</w:t>
            </w:r>
          </w:p>
        </w:tc>
        <w:tc>
          <w:tcPr>
            <w:tcW w:w="4252" w:type="dxa"/>
            <w:vAlign w:val="center"/>
          </w:tcPr>
          <w:p w:rsidR="00301E4C" w:rsidRPr="00AF4647" w:rsidRDefault="00AF4647" w:rsidP="00ED5652">
            <w:pPr>
              <w:jc w:val="center"/>
              <w:rPr>
                <w:rFonts w:ascii="Arial Narrow" w:hAnsi="Arial Narrow"/>
                <w:sz w:val="20"/>
                <w:szCs w:val="16"/>
                <w:highlight w:val="black"/>
                <w:lang w:eastAsia="en-AU"/>
              </w:rPr>
            </w:pPr>
            <w:r>
              <w:rPr>
                <w:rFonts w:ascii="Arial Narrow" w:hAnsi="Arial Narrow"/>
                <w:noProof/>
                <w:color w:val="000000"/>
                <w:sz w:val="20"/>
                <w:szCs w:val="16"/>
                <w:highlight w:val="black"/>
                <w:lang w:eastAsia="en-AU"/>
              </w:rPr>
              <w:t>'''''''''' '''''''''''''''' '''''''''''</w:t>
            </w:r>
          </w:p>
        </w:tc>
      </w:tr>
      <w:tr w:rsidR="00301E4C" w:rsidRPr="00B20AC3" w:rsidTr="00ED5652">
        <w:trPr>
          <w:trHeight w:val="20"/>
        </w:trPr>
        <w:tc>
          <w:tcPr>
            <w:tcW w:w="1843" w:type="dxa"/>
            <w:vAlign w:val="center"/>
          </w:tcPr>
          <w:p w:rsidR="00301E4C" w:rsidRPr="00B20AC3" w:rsidRDefault="00301E4C" w:rsidP="00ED5652">
            <w:pPr>
              <w:jc w:val="left"/>
              <w:rPr>
                <w:rFonts w:ascii="Arial Narrow" w:hAnsi="Arial Narrow"/>
                <w:sz w:val="20"/>
                <w:szCs w:val="16"/>
                <w:lang w:eastAsia="en-AU"/>
              </w:rPr>
            </w:pPr>
            <w:r w:rsidRPr="00B20AC3">
              <w:rPr>
                <w:rFonts w:ascii="Arial Narrow" w:hAnsi="Arial Narrow"/>
                <w:sz w:val="20"/>
                <w:szCs w:val="16"/>
                <w:lang w:eastAsia="en-AU"/>
              </w:rPr>
              <w:t>All-cause mortality</w:t>
            </w:r>
          </w:p>
        </w:tc>
        <w:tc>
          <w:tcPr>
            <w:tcW w:w="2268" w:type="dxa"/>
            <w:vAlign w:val="center"/>
          </w:tcPr>
          <w:p w:rsidR="00301E4C" w:rsidRPr="00B20AC3" w:rsidRDefault="00301E4C" w:rsidP="00ED5652">
            <w:pPr>
              <w:jc w:val="center"/>
              <w:rPr>
                <w:rFonts w:ascii="Arial Narrow" w:hAnsi="Arial Narrow"/>
                <w:sz w:val="20"/>
                <w:szCs w:val="16"/>
                <w:lang w:eastAsia="en-AU"/>
              </w:rPr>
            </w:pPr>
            <w:r w:rsidRPr="00B20AC3">
              <w:rPr>
                <w:rFonts w:ascii="Arial Narrow" w:hAnsi="Arial Narrow"/>
                <w:sz w:val="20"/>
                <w:szCs w:val="16"/>
                <w:lang w:eastAsia="en-AU"/>
              </w:rPr>
              <w:t>HR</w:t>
            </w:r>
            <w:r>
              <w:rPr>
                <w:rFonts w:ascii="Arial Narrow" w:hAnsi="Arial Narrow"/>
                <w:sz w:val="20"/>
                <w:szCs w:val="16"/>
                <w:lang w:eastAsia="en-AU"/>
              </w:rPr>
              <w:t xml:space="preserve"> </w:t>
            </w:r>
            <w:r w:rsidRPr="00B20AC3">
              <w:rPr>
                <w:rFonts w:ascii="Arial Narrow" w:hAnsi="Arial Narrow"/>
                <w:sz w:val="20"/>
                <w:szCs w:val="16"/>
                <w:lang w:eastAsia="en-AU"/>
              </w:rPr>
              <w:t>(95% CI)</w:t>
            </w:r>
          </w:p>
        </w:tc>
        <w:tc>
          <w:tcPr>
            <w:tcW w:w="4252" w:type="dxa"/>
            <w:vAlign w:val="center"/>
          </w:tcPr>
          <w:p w:rsidR="00301E4C" w:rsidRPr="00AF4647" w:rsidRDefault="00AF4647" w:rsidP="00ED5652">
            <w:pPr>
              <w:jc w:val="center"/>
              <w:rPr>
                <w:rFonts w:ascii="Arial Narrow" w:hAnsi="Arial Narrow"/>
                <w:sz w:val="20"/>
                <w:szCs w:val="16"/>
                <w:highlight w:val="black"/>
                <w:lang w:eastAsia="en-AU"/>
              </w:rPr>
            </w:pPr>
            <w:r>
              <w:rPr>
                <w:rFonts w:ascii="Arial Narrow" w:hAnsi="Arial Narrow"/>
                <w:noProof/>
                <w:color w:val="000000"/>
                <w:sz w:val="20"/>
                <w:szCs w:val="16"/>
                <w:highlight w:val="black"/>
                <w:lang w:eastAsia="en-AU"/>
              </w:rPr>
              <w:t>''''''''''' '''''''''''''' '''''''''''''</w:t>
            </w:r>
          </w:p>
        </w:tc>
      </w:tr>
      <w:tr w:rsidR="00301E4C" w:rsidRPr="00B20AC3" w:rsidTr="00ED5652">
        <w:trPr>
          <w:trHeight w:val="20"/>
        </w:trPr>
        <w:tc>
          <w:tcPr>
            <w:tcW w:w="1843" w:type="dxa"/>
            <w:vAlign w:val="center"/>
          </w:tcPr>
          <w:p w:rsidR="00301E4C" w:rsidRPr="00B20AC3" w:rsidRDefault="00301E4C" w:rsidP="00ED5652">
            <w:pPr>
              <w:jc w:val="left"/>
              <w:rPr>
                <w:rFonts w:ascii="Arial Narrow" w:hAnsi="Arial Narrow"/>
                <w:sz w:val="20"/>
                <w:szCs w:val="16"/>
                <w:lang w:eastAsia="en-AU"/>
              </w:rPr>
            </w:pPr>
            <w:r w:rsidRPr="00B20AC3">
              <w:rPr>
                <w:rFonts w:ascii="Arial Narrow" w:hAnsi="Arial Narrow"/>
                <w:sz w:val="20"/>
                <w:szCs w:val="16"/>
                <w:lang w:eastAsia="en-AU"/>
              </w:rPr>
              <w:t>IPF-related mortality</w:t>
            </w:r>
          </w:p>
        </w:tc>
        <w:tc>
          <w:tcPr>
            <w:tcW w:w="2268" w:type="dxa"/>
            <w:vAlign w:val="center"/>
          </w:tcPr>
          <w:p w:rsidR="00301E4C" w:rsidRPr="00B20AC3" w:rsidRDefault="00301E4C" w:rsidP="00ED5652">
            <w:pPr>
              <w:jc w:val="center"/>
              <w:rPr>
                <w:rFonts w:ascii="Arial Narrow" w:hAnsi="Arial Narrow"/>
                <w:sz w:val="20"/>
                <w:szCs w:val="16"/>
                <w:lang w:eastAsia="en-AU"/>
              </w:rPr>
            </w:pPr>
            <w:r w:rsidRPr="00B20AC3">
              <w:rPr>
                <w:rFonts w:ascii="Arial Narrow" w:hAnsi="Arial Narrow"/>
                <w:sz w:val="20"/>
                <w:szCs w:val="16"/>
                <w:lang w:eastAsia="en-AU"/>
              </w:rPr>
              <w:t>HR</w:t>
            </w:r>
            <w:r>
              <w:rPr>
                <w:rFonts w:ascii="Arial Narrow" w:hAnsi="Arial Narrow"/>
                <w:sz w:val="20"/>
                <w:szCs w:val="16"/>
                <w:lang w:eastAsia="en-AU"/>
              </w:rPr>
              <w:t xml:space="preserve"> </w:t>
            </w:r>
            <w:r w:rsidRPr="00B20AC3">
              <w:rPr>
                <w:rFonts w:ascii="Arial Narrow" w:hAnsi="Arial Narrow"/>
                <w:sz w:val="20"/>
                <w:szCs w:val="16"/>
                <w:lang w:eastAsia="en-AU"/>
              </w:rPr>
              <w:t>(95% CI)</w:t>
            </w:r>
          </w:p>
        </w:tc>
        <w:tc>
          <w:tcPr>
            <w:tcW w:w="4252" w:type="dxa"/>
            <w:vAlign w:val="center"/>
          </w:tcPr>
          <w:p w:rsidR="00301E4C" w:rsidRPr="00AF4647" w:rsidRDefault="00AF4647" w:rsidP="00ED5652">
            <w:pPr>
              <w:jc w:val="center"/>
              <w:rPr>
                <w:rFonts w:ascii="Arial Narrow" w:hAnsi="Arial Narrow"/>
                <w:sz w:val="20"/>
                <w:szCs w:val="16"/>
                <w:highlight w:val="black"/>
                <w:lang w:eastAsia="en-AU"/>
              </w:rPr>
            </w:pPr>
            <w:r>
              <w:rPr>
                <w:rFonts w:ascii="Arial Narrow" w:hAnsi="Arial Narrow"/>
                <w:noProof/>
                <w:color w:val="000000"/>
                <w:sz w:val="20"/>
                <w:szCs w:val="16"/>
                <w:highlight w:val="black"/>
                <w:lang w:eastAsia="en-AU"/>
              </w:rPr>
              <w:t>'''''''''' ''''''''''''''' ''''''''''''''</w:t>
            </w:r>
          </w:p>
        </w:tc>
      </w:tr>
    </w:tbl>
    <w:p w:rsidR="00301E4C" w:rsidRPr="00B20AC3" w:rsidRDefault="00301E4C" w:rsidP="00301E4C">
      <w:pPr>
        <w:ind w:left="720"/>
        <w:rPr>
          <w:rFonts w:ascii="Arial Narrow" w:hAnsi="Arial Narrow"/>
          <w:bCs/>
          <w:sz w:val="18"/>
          <w:szCs w:val="16"/>
        </w:rPr>
      </w:pPr>
      <w:r w:rsidRPr="00B20AC3">
        <w:rPr>
          <w:rFonts w:ascii="Arial Narrow" w:hAnsi="Arial Narrow"/>
          <w:bCs/>
          <w:sz w:val="18"/>
          <w:szCs w:val="16"/>
        </w:rPr>
        <w:t>Abbreviations: CI=confidence interval; FVC = forced vi</w:t>
      </w:r>
      <w:r w:rsidR="008E74B4">
        <w:rPr>
          <w:rFonts w:ascii="Arial Narrow" w:hAnsi="Arial Narrow"/>
          <w:bCs/>
          <w:sz w:val="18"/>
          <w:szCs w:val="16"/>
        </w:rPr>
        <w:t>tal capacity; HR=hazard ratio.</w:t>
      </w:r>
    </w:p>
    <w:p w:rsidR="00301E4C" w:rsidRPr="00B20AC3" w:rsidRDefault="00301E4C" w:rsidP="00301E4C">
      <w:pPr>
        <w:ind w:firstLine="720"/>
        <w:rPr>
          <w:rFonts w:ascii="Arial Narrow" w:hAnsi="Arial Narrow"/>
          <w:bCs/>
          <w:sz w:val="18"/>
          <w:szCs w:val="16"/>
        </w:rPr>
      </w:pPr>
      <w:r w:rsidRPr="00B20AC3">
        <w:rPr>
          <w:rFonts w:ascii="Arial Narrow" w:hAnsi="Arial Narrow"/>
          <w:bCs/>
          <w:sz w:val="18"/>
          <w:szCs w:val="16"/>
        </w:rPr>
        <w:t>Source: Table B(</w:t>
      </w:r>
      <w:proofErr w:type="spellStart"/>
      <w:r w:rsidRPr="00B20AC3">
        <w:rPr>
          <w:rFonts w:ascii="Arial Narrow" w:hAnsi="Arial Narrow"/>
          <w:bCs/>
          <w:sz w:val="18"/>
          <w:szCs w:val="16"/>
        </w:rPr>
        <w:t>i</w:t>
      </w:r>
      <w:proofErr w:type="spellEnd"/>
      <w:r w:rsidRPr="00B20AC3">
        <w:rPr>
          <w:rFonts w:ascii="Arial Narrow" w:hAnsi="Arial Narrow"/>
          <w:bCs/>
          <w:sz w:val="18"/>
          <w:szCs w:val="16"/>
        </w:rPr>
        <w:t>).6.2, B(</w:t>
      </w:r>
      <w:proofErr w:type="spellStart"/>
      <w:r w:rsidRPr="00B20AC3">
        <w:rPr>
          <w:rFonts w:ascii="Arial Narrow" w:hAnsi="Arial Narrow"/>
          <w:bCs/>
          <w:sz w:val="18"/>
          <w:szCs w:val="16"/>
        </w:rPr>
        <w:t>i</w:t>
      </w:r>
      <w:proofErr w:type="spellEnd"/>
      <w:r w:rsidRPr="00B20AC3">
        <w:rPr>
          <w:rFonts w:ascii="Arial Narrow" w:hAnsi="Arial Narrow"/>
          <w:bCs/>
          <w:sz w:val="18"/>
          <w:szCs w:val="16"/>
        </w:rPr>
        <w:t>).6.4</w:t>
      </w:r>
      <w:r>
        <w:rPr>
          <w:rFonts w:ascii="Arial Narrow" w:hAnsi="Arial Narrow"/>
          <w:bCs/>
          <w:sz w:val="18"/>
          <w:szCs w:val="16"/>
        </w:rPr>
        <w:t>-</w:t>
      </w:r>
      <w:r w:rsidRPr="00B20AC3">
        <w:rPr>
          <w:rFonts w:ascii="Arial Narrow" w:hAnsi="Arial Narrow"/>
          <w:bCs/>
          <w:sz w:val="18"/>
          <w:szCs w:val="16"/>
        </w:rPr>
        <w:t xml:space="preserve"> B(</w:t>
      </w:r>
      <w:proofErr w:type="spellStart"/>
      <w:r w:rsidRPr="00B20AC3">
        <w:rPr>
          <w:rFonts w:ascii="Arial Narrow" w:hAnsi="Arial Narrow"/>
          <w:bCs/>
          <w:sz w:val="18"/>
          <w:szCs w:val="16"/>
        </w:rPr>
        <w:t>i</w:t>
      </w:r>
      <w:proofErr w:type="spellEnd"/>
      <w:r w:rsidRPr="00B20AC3">
        <w:rPr>
          <w:rFonts w:ascii="Arial Narrow" w:hAnsi="Arial Narrow"/>
          <w:bCs/>
          <w:sz w:val="18"/>
          <w:szCs w:val="16"/>
        </w:rPr>
        <w:t>).6.5, p27, 29</w:t>
      </w:r>
      <w:r>
        <w:rPr>
          <w:rFonts w:ascii="Arial Narrow" w:hAnsi="Arial Narrow"/>
          <w:bCs/>
          <w:sz w:val="18"/>
          <w:szCs w:val="16"/>
        </w:rPr>
        <w:t>-</w:t>
      </w:r>
      <w:r w:rsidRPr="00B20AC3">
        <w:rPr>
          <w:rFonts w:ascii="Arial Narrow" w:hAnsi="Arial Narrow"/>
          <w:bCs/>
          <w:sz w:val="18"/>
          <w:szCs w:val="16"/>
        </w:rPr>
        <w:t>30 of Section B-</w:t>
      </w:r>
      <w:r>
        <w:rPr>
          <w:rFonts w:ascii="Arial Narrow" w:hAnsi="Arial Narrow"/>
          <w:bCs/>
          <w:sz w:val="18"/>
          <w:szCs w:val="16"/>
        </w:rPr>
        <w:t>ICRT</w:t>
      </w:r>
    </w:p>
    <w:p w:rsidR="00301E4C" w:rsidRPr="008E74B4" w:rsidRDefault="00301E4C" w:rsidP="008E74B4">
      <w:pPr>
        <w:widowControl/>
        <w:rPr>
          <w:szCs w:val="22"/>
        </w:rPr>
      </w:pPr>
    </w:p>
    <w:p w:rsidR="006A3BDE" w:rsidRPr="0058239F" w:rsidRDefault="006A3BDE" w:rsidP="00B9372F">
      <w:pPr>
        <w:pStyle w:val="ListParagraph"/>
        <w:widowControl/>
        <w:numPr>
          <w:ilvl w:val="1"/>
          <w:numId w:val="2"/>
        </w:numPr>
      </w:pPr>
      <w:r w:rsidRPr="0058239F">
        <w:t xml:space="preserve">Although the reduction in FVC in the placebo groups of the </w:t>
      </w:r>
      <w:proofErr w:type="spellStart"/>
      <w:r w:rsidRPr="0058239F">
        <w:t>pirfenidone</w:t>
      </w:r>
      <w:proofErr w:type="spellEnd"/>
      <w:r w:rsidRPr="0058239F">
        <w:t xml:space="preserve"> studies are similar, as noted in the FDA report in the NEJM</w:t>
      </w:r>
      <w:r w:rsidR="001D13BB" w:rsidRPr="0058239F">
        <w:t xml:space="preserve"> (see figure below)</w:t>
      </w:r>
      <w:r w:rsidRPr="0058239F">
        <w:t>, it is important to note that the CAPACITY studies were over 72 weeks and the ASCEND over 52 weeks, the same as nintedanib. The</w:t>
      </w:r>
      <w:r w:rsidR="001D13BB" w:rsidRPr="0058239F">
        <w:t xml:space="preserve"> ESC considered it clear that</w:t>
      </w:r>
      <w:r w:rsidRPr="0058239F">
        <w:t xml:space="preserve"> the </w:t>
      </w:r>
      <w:proofErr w:type="spellStart"/>
      <w:r w:rsidRPr="0058239F">
        <w:t>pirfenidone</w:t>
      </w:r>
      <w:proofErr w:type="spellEnd"/>
      <w:r w:rsidRPr="006A3BDE">
        <w:rPr>
          <w:i/>
        </w:rPr>
        <w:t xml:space="preserve"> </w:t>
      </w:r>
      <w:r w:rsidRPr="0058239F">
        <w:lastRenderedPageBreak/>
        <w:t>studies recruited patients with more accelerated decline in FVC than the nintedanib studies, especially the ASCEND study</w:t>
      </w:r>
      <w:r w:rsidR="001D13BB" w:rsidRPr="0058239F">
        <w:t>.</w:t>
      </w:r>
    </w:p>
    <w:p w:rsidR="001D13BB" w:rsidRPr="00EC35C9" w:rsidRDefault="001D13BB" w:rsidP="001D13BB">
      <w:pPr>
        <w:widowControl/>
      </w:pPr>
    </w:p>
    <w:p w:rsidR="001D13BB" w:rsidRPr="006A3BDE" w:rsidRDefault="001D13BB" w:rsidP="001D13BB">
      <w:pPr>
        <w:pStyle w:val="ListParagraph"/>
        <w:widowControl/>
        <w:rPr>
          <w:i/>
        </w:rPr>
      </w:pPr>
      <w:r>
        <w:rPr>
          <w:noProof/>
          <w:snapToGrid/>
          <w:lang w:eastAsia="en-AU"/>
        </w:rPr>
        <w:drawing>
          <wp:inline distT="0" distB="0" distL="0" distR="0" wp14:anchorId="7229B266" wp14:editId="44ADE492">
            <wp:extent cx="5359179" cy="2600076"/>
            <wp:effectExtent l="0" t="0" r="0" b="0"/>
            <wp:docPr id="20" name="Picture 20" title="Figure: FDA review of of pirfenidone and nintedanib, The New England Journal of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59614" cy="2600287"/>
                    </a:xfrm>
                    <a:prstGeom prst="rect">
                      <a:avLst/>
                    </a:prstGeom>
                  </pic:spPr>
                </pic:pic>
              </a:graphicData>
            </a:graphic>
          </wp:inline>
        </w:drawing>
      </w:r>
    </w:p>
    <w:p w:rsidR="001D13BB" w:rsidRPr="001D13BB" w:rsidRDefault="001D13BB" w:rsidP="001D13BB">
      <w:pPr>
        <w:ind w:left="720"/>
        <w:rPr>
          <w:rFonts w:ascii="Arial Narrow" w:hAnsi="Arial Narrow"/>
          <w:sz w:val="18"/>
          <w:szCs w:val="18"/>
        </w:rPr>
      </w:pPr>
      <w:r w:rsidRPr="001D13BB">
        <w:rPr>
          <w:rFonts w:ascii="Arial Narrow" w:hAnsi="Arial Narrow"/>
          <w:sz w:val="18"/>
          <w:szCs w:val="18"/>
        </w:rPr>
        <w:t xml:space="preserve">* The studies are listed in chronologic order by drug, with study numbers as referenced in the product labels and the months in which enrolment ended. Data for forced vital capacity are the absolute values for the change from baseline to week 52 for </w:t>
      </w:r>
      <w:proofErr w:type="spellStart"/>
      <w:r w:rsidRPr="001D13BB">
        <w:rPr>
          <w:rFonts w:ascii="Arial Narrow" w:hAnsi="Arial Narrow"/>
          <w:sz w:val="18"/>
          <w:szCs w:val="18"/>
        </w:rPr>
        <w:t>pirfenidone</w:t>
      </w:r>
      <w:proofErr w:type="spellEnd"/>
      <w:r w:rsidRPr="001D13BB">
        <w:rPr>
          <w:rFonts w:ascii="Arial Narrow" w:hAnsi="Arial Narrow"/>
          <w:sz w:val="18"/>
          <w:szCs w:val="18"/>
        </w:rPr>
        <w:t xml:space="preserve"> study 1, to week 72 for </w:t>
      </w:r>
      <w:proofErr w:type="spellStart"/>
      <w:r w:rsidRPr="001D13BB">
        <w:rPr>
          <w:rFonts w:ascii="Arial Narrow" w:hAnsi="Arial Narrow"/>
          <w:sz w:val="18"/>
          <w:szCs w:val="18"/>
        </w:rPr>
        <w:t>pirfenidone</w:t>
      </w:r>
      <w:proofErr w:type="spellEnd"/>
      <w:r w:rsidRPr="001D13BB">
        <w:rPr>
          <w:rFonts w:ascii="Arial Narrow" w:hAnsi="Arial Narrow"/>
          <w:sz w:val="18"/>
          <w:szCs w:val="18"/>
        </w:rPr>
        <w:t xml:space="preserve"> studies 2 and 3, and to week 52 for all nintedanib studies; the change from baseline for </w:t>
      </w:r>
      <w:proofErr w:type="spellStart"/>
      <w:r w:rsidRPr="001D13BB">
        <w:rPr>
          <w:rFonts w:ascii="Arial Narrow" w:hAnsi="Arial Narrow"/>
          <w:sz w:val="18"/>
          <w:szCs w:val="18"/>
        </w:rPr>
        <w:t>pirfenidone</w:t>
      </w:r>
      <w:proofErr w:type="spellEnd"/>
      <w:r w:rsidRPr="001D13BB">
        <w:rPr>
          <w:rFonts w:ascii="Arial Narrow" w:hAnsi="Arial Narrow"/>
          <w:sz w:val="18"/>
          <w:szCs w:val="18"/>
        </w:rPr>
        <w:t xml:space="preserve"> studies was based on descriptive statistics, and the change from baseline for nintedanib studies was based on regression analysis. Mortality data are from the vital status analysis (from randomization to the time of death) and include all deaths irrespective of the cause and of whether the patient had continued treatment. Hazard ratios for time to death are based on Cox proportional-hazards regression analysis. CI denotes confidence interval.</w:t>
      </w:r>
    </w:p>
    <w:p w:rsidR="006A3BDE" w:rsidRDefault="001D13BB" w:rsidP="001D13BB">
      <w:pPr>
        <w:ind w:left="720"/>
        <w:rPr>
          <w:rFonts w:ascii="Arial Narrow" w:hAnsi="Arial Narrow"/>
          <w:i/>
          <w:sz w:val="20"/>
        </w:rPr>
      </w:pPr>
      <w:r>
        <w:rPr>
          <w:rFonts w:ascii="Arial Narrow" w:hAnsi="Arial Narrow"/>
          <w:i/>
          <w:sz w:val="20"/>
        </w:rPr>
        <w:t xml:space="preserve">Source: </w:t>
      </w:r>
      <w:proofErr w:type="spellStart"/>
      <w:r w:rsidRPr="001D13BB">
        <w:rPr>
          <w:rFonts w:ascii="Arial Narrow" w:hAnsi="Arial Narrow"/>
          <w:i/>
          <w:sz w:val="20"/>
        </w:rPr>
        <w:t>Karimi</w:t>
      </w:r>
      <w:proofErr w:type="spellEnd"/>
      <w:r w:rsidRPr="001D13BB">
        <w:rPr>
          <w:rFonts w:ascii="Arial Narrow" w:hAnsi="Arial Narrow"/>
          <w:i/>
          <w:sz w:val="20"/>
        </w:rPr>
        <w:t xml:space="preserve">-Shah BA, Chowdhury BA. </w:t>
      </w:r>
      <w:proofErr w:type="gramStart"/>
      <w:r w:rsidRPr="001D13BB">
        <w:rPr>
          <w:rFonts w:ascii="Arial Narrow" w:hAnsi="Arial Narrow"/>
          <w:i/>
          <w:sz w:val="20"/>
        </w:rPr>
        <w:t>Forced vital capacity in</w:t>
      </w:r>
      <w:r w:rsidR="001572BE">
        <w:rPr>
          <w:rFonts w:ascii="Arial Narrow" w:hAnsi="Arial Narrow"/>
          <w:i/>
          <w:sz w:val="20"/>
        </w:rPr>
        <w:t xml:space="preserve"> idiopathic pulmonary fibrosis-</w:t>
      </w:r>
      <w:r w:rsidRPr="001D13BB">
        <w:rPr>
          <w:rFonts w:ascii="Arial Narrow" w:hAnsi="Arial Narrow"/>
          <w:i/>
          <w:sz w:val="20"/>
        </w:rPr>
        <w:t xml:space="preserve">FDA review of </w:t>
      </w:r>
      <w:proofErr w:type="spellStart"/>
      <w:r w:rsidRPr="001D13BB">
        <w:rPr>
          <w:rFonts w:ascii="Arial Narrow" w:hAnsi="Arial Narrow"/>
          <w:i/>
          <w:sz w:val="20"/>
        </w:rPr>
        <w:t>pirfenidone</w:t>
      </w:r>
      <w:proofErr w:type="spellEnd"/>
      <w:r w:rsidRPr="001D13BB">
        <w:rPr>
          <w:rFonts w:ascii="Arial Narrow" w:hAnsi="Arial Narrow"/>
          <w:i/>
          <w:sz w:val="20"/>
        </w:rPr>
        <w:t xml:space="preserve"> and </w:t>
      </w:r>
      <w:proofErr w:type="spellStart"/>
      <w:r w:rsidRPr="001D13BB">
        <w:rPr>
          <w:rFonts w:ascii="Arial Narrow" w:hAnsi="Arial Narrow"/>
          <w:i/>
          <w:sz w:val="20"/>
        </w:rPr>
        <w:t>nintedanib</w:t>
      </w:r>
      <w:proofErr w:type="spellEnd"/>
      <w:r w:rsidRPr="001D13BB">
        <w:rPr>
          <w:rFonts w:ascii="Arial Narrow" w:hAnsi="Arial Narrow"/>
          <w:i/>
          <w:sz w:val="20"/>
        </w:rPr>
        <w:t>.</w:t>
      </w:r>
      <w:proofErr w:type="gramEnd"/>
      <w:r w:rsidRPr="001D13BB">
        <w:rPr>
          <w:rFonts w:ascii="Arial Narrow" w:hAnsi="Arial Narrow"/>
          <w:i/>
          <w:sz w:val="20"/>
        </w:rPr>
        <w:t xml:space="preserve"> </w:t>
      </w:r>
      <w:proofErr w:type="gramStart"/>
      <w:r w:rsidRPr="001D13BB">
        <w:rPr>
          <w:rFonts w:ascii="Arial Narrow" w:hAnsi="Arial Narrow"/>
          <w:i/>
          <w:sz w:val="20"/>
        </w:rPr>
        <w:t>The New England Journal of Medicine.</w:t>
      </w:r>
      <w:proofErr w:type="gramEnd"/>
      <w:r w:rsidRPr="001D13BB">
        <w:rPr>
          <w:rFonts w:ascii="Arial Narrow" w:hAnsi="Arial Narrow"/>
          <w:i/>
          <w:sz w:val="20"/>
        </w:rPr>
        <w:t xml:space="preserve"> 2015</w:t>
      </w:r>
      <w:proofErr w:type="gramStart"/>
      <w:r w:rsidRPr="001D13BB">
        <w:rPr>
          <w:rFonts w:ascii="Arial Narrow" w:hAnsi="Arial Narrow"/>
          <w:i/>
          <w:sz w:val="20"/>
        </w:rPr>
        <w:t>;372</w:t>
      </w:r>
      <w:proofErr w:type="gramEnd"/>
      <w:r w:rsidRPr="001D13BB">
        <w:rPr>
          <w:rFonts w:ascii="Arial Narrow" w:hAnsi="Arial Narrow"/>
          <w:i/>
          <w:sz w:val="20"/>
        </w:rPr>
        <w:t>(13):</w:t>
      </w:r>
      <w:r>
        <w:rPr>
          <w:rFonts w:ascii="Arial Narrow" w:hAnsi="Arial Narrow"/>
          <w:i/>
          <w:sz w:val="20"/>
        </w:rPr>
        <w:t>p 1190.</w:t>
      </w:r>
    </w:p>
    <w:p w:rsidR="001D13BB" w:rsidRPr="00EC35C9" w:rsidRDefault="001D13BB" w:rsidP="00EC35C9">
      <w:pPr>
        <w:rPr>
          <w:szCs w:val="22"/>
        </w:rPr>
      </w:pPr>
    </w:p>
    <w:p w:rsidR="002F7B33" w:rsidRDefault="00301E4C" w:rsidP="00B9372F">
      <w:pPr>
        <w:pStyle w:val="ListParagraph"/>
        <w:numPr>
          <w:ilvl w:val="1"/>
          <w:numId w:val="2"/>
        </w:numPr>
        <w:rPr>
          <w:szCs w:val="22"/>
        </w:rPr>
      </w:pPr>
      <w:r w:rsidRPr="00834986">
        <w:rPr>
          <w:szCs w:val="22"/>
        </w:rPr>
        <w:t xml:space="preserve">During the evaluation, results from a network meta-analyses published by </w:t>
      </w:r>
      <w:proofErr w:type="spellStart"/>
      <w:r w:rsidRPr="00834986">
        <w:rPr>
          <w:szCs w:val="22"/>
        </w:rPr>
        <w:t>Loveman</w:t>
      </w:r>
      <w:proofErr w:type="spellEnd"/>
      <w:r w:rsidRPr="00834986">
        <w:rPr>
          <w:szCs w:val="22"/>
        </w:rPr>
        <w:t xml:space="preserve"> 2015</w:t>
      </w:r>
      <w:r w:rsidR="0056546D">
        <w:rPr>
          <w:rStyle w:val="FootnoteReference"/>
          <w:szCs w:val="22"/>
        </w:rPr>
        <w:footnoteReference w:id="2"/>
      </w:r>
      <w:r w:rsidRPr="00834986">
        <w:rPr>
          <w:szCs w:val="22"/>
        </w:rPr>
        <w:t xml:space="preserve"> were located.  While </w:t>
      </w:r>
      <w:proofErr w:type="spellStart"/>
      <w:r w:rsidRPr="00834986">
        <w:rPr>
          <w:szCs w:val="22"/>
        </w:rPr>
        <w:t>pirfenidone</w:t>
      </w:r>
      <w:proofErr w:type="spellEnd"/>
      <w:r w:rsidRPr="00834986">
        <w:rPr>
          <w:szCs w:val="22"/>
        </w:rPr>
        <w:t xml:space="preserve"> and </w:t>
      </w:r>
      <w:proofErr w:type="spellStart"/>
      <w:r w:rsidRPr="00834986">
        <w:rPr>
          <w:szCs w:val="22"/>
        </w:rPr>
        <w:t>ni</w:t>
      </w:r>
      <w:r w:rsidR="00125567" w:rsidRPr="00834986">
        <w:rPr>
          <w:szCs w:val="22"/>
        </w:rPr>
        <w:t>n</w:t>
      </w:r>
      <w:r w:rsidR="007E20F5" w:rsidRPr="00834986">
        <w:rPr>
          <w:szCs w:val="22"/>
        </w:rPr>
        <w:t>te</w:t>
      </w:r>
      <w:r w:rsidRPr="00834986">
        <w:rPr>
          <w:szCs w:val="22"/>
        </w:rPr>
        <w:t>danib</w:t>
      </w:r>
      <w:proofErr w:type="spellEnd"/>
      <w:r w:rsidRPr="00834986">
        <w:rPr>
          <w:szCs w:val="22"/>
        </w:rPr>
        <w:t xml:space="preserve"> demonstrated beneficial effects, the authors concluded that nintedanib appeared to have a superior benefit for slowing decline in FVC (OR = 0.67, 95% CI: 0.51, 0.88).</w:t>
      </w:r>
    </w:p>
    <w:p w:rsidR="00632E43" w:rsidRPr="00EC35C9" w:rsidRDefault="00632E43" w:rsidP="00632E43">
      <w:pPr>
        <w:rPr>
          <w:szCs w:val="22"/>
        </w:rPr>
      </w:pPr>
    </w:p>
    <w:p w:rsidR="002915DA" w:rsidRPr="0058239F" w:rsidRDefault="002915DA" w:rsidP="00B9372F">
      <w:pPr>
        <w:pStyle w:val="ListParagraph"/>
        <w:numPr>
          <w:ilvl w:val="1"/>
          <w:numId w:val="2"/>
        </w:numPr>
        <w:rPr>
          <w:szCs w:val="22"/>
        </w:rPr>
      </w:pPr>
      <w:r w:rsidRPr="0058239F">
        <w:rPr>
          <w:szCs w:val="22"/>
        </w:rPr>
        <w:t xml:space="preserve">The ESC considered that the data from the meta-analysis, by </w:t>
      </w:r>
      <w:proofErr w:type="spellStart"/>
      <w:r w:rsidRPr="0058239F">
        <w:rPr>
          <w:szCs w:val="22"/>
        </w:rPr>
        <w:t>Loveman</w:t>
      </w:r>
      <w:proofErr w:type="spellEnd"/>
      <w:r w:rsidR="001D13BB" w:rsidRPr="0058239F">
        <w:rPr>
          <w:szCs w:val="22"/>
        </w:rPr>
        <w:t xml:space="preserve"> 2015</w:t>
      </w:r>
      <w:r w:rsidRPr="0058239F">
        <w:rPr>
          <w:szCs w:val="22"/>
        </w:rPr>
        <w:t xml:space="preserve">, is valuable in not only providing another approach to the meta-analysis of the data and reassurance that the trials had similar patients but suggesting that </w:t>
      </w:r>
      <w:proofErr w:type="spellStart"/>
      <w:r w:rsidRPr="0058239F">
        <w:rPr>
          <w:szCs w:val="22"/>
        </w:rPr>
        <w:t>pirfenidone</w:t>
      </w:r>
      <w:proofErr w:type="spellEnd"/>
      <w:r w:rsidRPr="0058239F">
        <w:rPr>
          <w:szCs w:val="22"/>
        </w:rPr>
        <w:t xml:space="preserve"> is inferior to nintedanib</w:t>
      </w:r>
      <w:r w:rsidR="001D13BB" w:rsidRPr="0058239F">
        <w:rPr>
          <w:szCs w:val="22"/>
        </w:rPr>
        <w:t>,</w:t>
      </w:r>
      <w:r w:rsidRPr="0058239F">
        <w:rPr>
          <w:szCs w:val="22"/>
        </w:rPr>
        <w:t xml:space="preserve"> with respect to slowing the decline in FVC. The ESC noted in the review by </w:t>
      </w:r>
      <w:proofErr w:type="spellStart"/>
      <w:r w:rsidRPr="0058239F">
        <w:rPr>
          <w:szCs w:val="22"/>
        </w:rPr>
        <w:t>Loveman</w:t>
      </w:r>
      <w:proofErr w:type="spellEnd"/>
      <w:r w:rsidR="001D13BB" w:rsidRPr="0058239F">
        <w:rPr>
          <w:szCs w:val="22"/>
        </w:rPr>
        <w:t xml:space="preserve"> 2015</w:t>
      </w:r>
      <w:r w:rsidRPr="0058239F">
        <w:rPr>
          <w:szCs w:val="22"/>
        </w:rPr>
        <w:t xml:space="preserve">, there is conflicting data where </w:t>
      </w:r>
      <w:proofErr w:type="spellStart"/>
      <w:r w:rsidRPr="0058239F">
        <w:rPr>
          <w:szCs w:val="22"/>
        </w:rPr>
        <w:t>pirfenidone</w:t>
      </w:r>
      <w:proofErr w:type="spellEnd"/>
      <w:r w:rsidRPr="0058239F">
        <w:rPr>
          <w:szCs w:val="22"/>
        </w:rPr>
        <w:t xml:space="preserve"> has a trend to better overall survival but nintedanib has a trend to better prevention of exacerbations.</w:t>
      </w:r>
    </w:p>
    <w:p w:rsidR="00632E43" w:rsidRPr="0058239F" w:rsidRDefault="00632E43">
      <w:pPr>
        <w:widowControl/>
        <w:jc w:val="left"/>
        <w:rPr>
          <w:szCs w:val="22"/>
        </w:rPr>
      </w:pPr>
      <w:r w:rsidRPr="0058239F">
        <w:rPr>
          <w:szCs w:val="22"/>
        </w:rPr>
        <w:br w:type="page"/>
      </w:r>
    </w:p>
    <w:p w:rsidR="00301E4C" w:rsidRPr="00EC35C9" w:rsidRDefault="00301E4C" w:rsidP="0045035F">
      <w:pPr>
        <w:pStyle w:val="Heading2"/>
        <w:rPr>
          <w:szCs w:val="22"/>
        </w:rPr>
      </w:pPr>
      <w:bookmarkStart w:id="31" w:name="_Toc429176342"/>
      <w:bookmarkStart w:id="32" w:name="_Toc429395755"/>
      <w:bookmarkStart w:id="33" w:name="_Toc430075664"/>
      <w:r w:rsidRPr="00EC35C9">
        <w:lastRenderedPageBreak/>
        <w:t>Comparative harms</w:t>
      </w:r>
      <w:bookmarkEnd w:id="31"/>
      <w:bookmarkEnd w:id="32"/>
      <w:bookmarkEnd w:id="33"/>
    </w:p>
    <w:p w:rsidR="00301E4C" w:rsidRPr="00882085" w:rsidRDefault="00301E4C" w:rsidP="00301E4C">
      <w:pPr>
        <w:ind w:left="720" w:hanging="720"/>
        <w:rPr>
          <w:szCs w:val="22"/>
        </w:rPr>
      </w:pPr>
    </w:p>
    <w:p w:rsidR="00301E4C" w:rsidRDefault="00301E4C" w:rsidP="00B9372F">
      <w:pPr>
        <w:pStyle w:val="ListParagraph"/>
        <w:widowControl/>
        <w:numPr>
          <w:ilvl w:val="1"/>
          <w:numId w:val="2"/>
        </w:numPr>
        <w:rPr>
          <w:szCs w:val="22"/>
        </w:rPr>
      </w:pPr>
      <w:r>
        <w:rPr>
          <w:szCs w:val="22"/>
        </w:rPr>
        <w:t>Key results from the meta-analyses of safety outcomes are presented in the following table.</w:t>
      </w:r>
    </w:p>
    <w:p w:rsidR="00301E4C" w:rsidRPr="00383F52" w:rsidRDefault="00301E4C" w:rsidP="00301E4C">
      <w:pPr>
        <w:rPr>
          <w:rStyle w:val="CommentReference"/>
          <w:rFonts w:ascii="Arial" w:hAnsi="Arial"/>
          <w:b w:val="0"/>
          <w:sz w:val="22"/>
        </w:rPr>
      </w:pPr>
    </w:p>
    <w:p w:rsidR="00301E4C" w:rsidRPr="00413325" w:rsidRDefault="00301E4C" w:rsidP="00ED1D18">
      <w:pPr>
        <w:widowControl/>
        <w:ind w:firstLine="720"/>
        <w:jc w:val="left"/>
        <w:rPr>
          <w:rStyle w:val="CommentReference"/>
        </w:rPr>
      </w:pPr>
      <w:r>
        <w:rPr>
          <w:rStyle w:val="CommentReference"/>
        </w:rPr>
        <w:t xml:space="preserve">Table 5: Summary of the meta-analyses of key safety outcomes from the </w:t>
      </w:r>
      <w:proofErr w:type="spellStart"/>
      <w:r>
        <w:rPr>
          <w:rStyle w:val="CommentReference"/>
        </w:rPr>
        <w:t>pirfenidone</w:t>
      </w:r>
      <w:proofErr w:type="spellEnd"/>
      <w:r>
        <w:rPr>
          <w:rStyle w:val="CommentReference"/>
        </w:rPr>
        <w:t xml:space="preserve"> trials</w:t>
      </w:r>
    </w:p>
    <w:tbl>
      <w:tblPr>
        <w:tblStyle w:val="TableGrid"/>
        <w:tblW w:w="0" w:type="auto"/>
        <w:tblInd w:w="737" w:type="dxa"/>
        <w:tblLayout w:type="fixed"/>
        <w:tblCellMar>
          <w:left w:w="28" w:type="dxa"/>
          <w:right w:w="28" w:type="dxa"/>
        </w:tblCellMar>
        <w:tblLook w:val="04A0" w:firstRow="1" w:lastRow="0" w:firstColumn="1" w:lastColumn="0" w:noHBand="0" w:noVBand="1"/>
        <w:tblCaption w:val="Table 5: Summary of the meta-analyses of key safety outcomes from the pirfenidone trials"/>
      </w:tblPr>
      <w:tblGrid>
        <w:gridCol w:w="1701"/>
        <w:gridCol w:w="1843"/>
        <w:gridCol w:w="4802"/>
      </w:tblGrid>
      <w:tr w:rsidR="00301E4C" w:rsidTr="00ED5652">
        <w:trPr>
          <w:tblHeader/>
        </w:trPr>
        <w:tc>
          <w:tcPr>
            <w:tcW w:w="3544" w:type="dxa"/>
            <w:gridSpan w:val="2"/>
            <w:vAlign w:val="center"/>
          </w:tcPr>
          <w:p w:rsidR="00301E4C" w:rsidRDefault="00301E4C" w:rsidP="00ED5652">
            <w:pPr>
              <w:jc w:val="left"/>
              <w:rPr>
                <w:rStyle w:val="CommentReference"/>
                <w:b w:val="0"/>
              </w:rPr>
            </w:pPr>
          </w:p>
        </w:tc>
        <w:tc>
          <w:tcPr>
            <w:tcW w:w="4802" w:type="dxa"/>
            <w:vAlign w:val="center"/>
          </w:tcPr>
          <w:p w:rsidR="00301E4C" w:rsidRPr="00DB3DE1" w:rsidRDefault="00301E4C" w:rsidP="00ED5652">
            <w:pPr>
              <w:jc w:val="center"/>
              <w:rPr>
                <w:rStyle w:val="CommentReference"/>
              </w:rPr>
            </w:pPr>
            <w:r w:rsidRPr="00DB3DE1">
              <w:rPr>
                <w:rStyle w:val="CommentReference"/>
              </w:rPr>
              <w:t>Meta</w:t>
            </w:r>
            <w:r>
              <w:rPr>
                <w:rStyle w:val="CommentReference"/>
              </w:rPr>
              <w:t>-</w:t>
            </w:r>
            <w:r w:rsidRPr="00DB3DE1">
              <w:rPr>
                <w:rStyle w:val="CommentReference"/>
              </w:rPr>
              <w:t>analysis</w:t>
            </w:r>
            <w:r>
              <w:rPr>
                <w:rStyle w:val="CommentReference"/>
              </w:rPr>
              <w:t>*</w:t>
            </w:r>
            <w:r w:rsidRPr="00DB3DE1">
              <w:rPr>
                <w:rStyle w:val="CommentReference"/>
              </w:rPr>
              <w:t xml:space="preserve"> (</w:t>
            </w:r>
            <w:r>
              <w:rPr>
                <w:rStyle w:val="CommentReference"/>
              </w:rPr>
              <w:t>ASCEND, CAPACITY 1 and 2</w:t>
            </w:r>
            <w:r w:rsidRPr="00DB3DE1">
              <w:rPr>
                <w:rStyle w:val="CommentReference"/>
              </w:rPr>
              <w:t>): RR (95% CI)</w:t>
            </w:r>
          </w:p>
        </w:tc>
      </w:tr>
      <w:tr w:rsidR="00301E4C" w:rsidTr="00ED5652">
        <w:tc>
          <w:tcPr>
            <w:tcW w:w="8346" w:type="dxa"/>
            <w:gridSpan w:val="3"/>
            <w:vAlign w:val="center"/>
          </w:tcPr>
          <w:p w:rsidR="00301E4C" w:rsidRPr="00DB3DE1" w:rsidRDefault="00301E4C" w:rsidP="00ED5652">
            <w:pPr>
              <w:jc w:val="left"/>
              <w:rPr>
                <w:rStyle w:val="CommentReference"/>
              </w:rPr>
            </w:pPr>
            <w:r>
              <w:rPr>
                <w:rStyle w:val="CommentReference"/>
              </w:rPr>
              <w:t>Overall safety outcomes</w:t>
            </w:r>
          </w:p>
        </w:tc>
      </w:tr>
      <w:tr w:rsidR="00301E4C" w:rsidTr="00ED5652">
        <w:tc>
          <w:tcPr>
            <w:tcW w:w="3544" w:type="dxa"/>
            <w:gridSpan w:val="2"/>
            <w:vAlign w:val="center"/>
          </w:tcPr>
          <w:p w:rsidR="00301E4C" w:rsidRDefault="00301E4C" w:rsidP="00ED5652">
            <w:pPr>
              <w:jc w:val="left"/>
              <w:rPr>
                <w:rStyle w:val="CommentReference"/>
                <w:b w:val="0"/>
              </w:rPr>
            </w:pPr>
            <w:r>
              <w:rPr>
                <w:rStyle w:val="CommentReference"/>
                <w:b w:val="0"/>
              </w:rPr>
              <w:t>Number of patients with any TEAEs</w:t>
            </w:r>
          </w:p>
        </w:tc>
        <w:tc>
          <w:tcPr>
            <w:tcW w:w="4802" w:type="dxa"/>
            <w:vAlign w:val="center"/>
          </w:tcPr>
          <w:p w:rsidR="00301E4C" w:rsidRPr="00AF4647" w:rsidRDefault="00AF4647" w:rsidP="00ED5652">
            <w:pPr>
              <w:jc w:val="center"/>
              <w:rPr>
                <w:rStyle w:val="CommentReference"/>
                <w:b w:val="0"/>
                <w:highlight w:val="black"/>
              </w:rPr>
            </w:pPr>
            <w:r>
              <w:rPr>
                <w:rStyle w:val="CommentReference"/>
                <w:b w:val="0"/>
                <w:noProof/>
                <w:color w:val="000000"/>
                <w:highlight w:val="black"/>
              </w:rPr>
              <w:t>'''''''''' ''''''''''''' ''''''''''''</w:t>
            </w:r>
          </w:p>
        </w:tc>
      </w:tr>
      <w:tr w:rsidR="00301E4C" w:rsidTr="00ED5652">
        <w:tc>
          <w:tcPr>
            <w:tcW w:w="3544" w:type="dxa"/>
            <w:gridSpan w:val="2"/>
            <w:vAlign w:val="center"/>
          </w:tcPr>
          <w:p w:rsidR="00301E4C" w:rsidRDefault="00301E4C" w:rsidP="00ED5652">
            <w:pPr>
              <w:jc w:val="left"/>
              <w:rPr>
                <w:rStyle w:val="CommentReference"/>
                <w:b w:val="0"/>
              </w:rPr>
            </w:pPr>
            <w:r>
              <w:rPr>
                <w:rStyle w:val="CommentReference"/>
                <w:b w:val="0"/>
              </w:rPr>
              <w:t>Any treatment related  TEAEs</w:t>
            </w:r>
          </w:p>
        </w:tc>
        <w:tc>
          <w:tcPr>
            <w:tcW w:w="4802" w:type="dxa"/>
            <w:vAlign w:val="center"/>
          </w:tcPr>
          <w:p w:rsidR="00301E4C" w:rsidRPr="00AF4647" w:rsidRDefault="00AF4647" w:rsidP="00ED5652">
            <w:pPr>
              <w:jc w:val="center"/>
              <w:rPr>
                <w:rStyle w:val="CommentReference"/>
                <w:b w:val="0"/>
                <w:highlight w:val="black"/>
              </w:rPr>
            </w:pPr>
            <w:r>
              <w:rPr>
                <w:rStyle w:val="CommentReference"/>
                <w:b w:val="0"/>
                <w:noProof/>
                <w:color w:val="000000"/>
                <w:highlight w:val="black"/>
              </w:rPr>
              <w:t>'''''''''' ''''''''''''''' ''''''''''''</w:t>
            </w:r>
          </w:p>
        </w:tc>
      </w:tr>
      <w:tr w:rsidR="00301E4C" w:rsidTr="00ED5652">
        <w:tc>
          <w:tcPr>
            <w:tcW w:w="3544" w:type="dxa"/>
            <w:gridSpan w:val="2"/>
            <w:vAlign w:val="center"/>
          </w:tcPr>
          <w:p w:rsidR="00301E4C" w:rsidRDefault="00301E4C" w:rsidP="00ED5652">
            <w:pPr>
              <w:jc w:val="left"/>
              <w:rPr>
                <w:rStyle w:val="CommentReference"/>
                <w:b w:val="0"/>
              </w:rPr>
            </w:pPr>
            <w:r>
              <w:rPr>
                <w:rStyle w:val="CommentReference"/>
                <w:b w:val="0"/>
              </w:rPr>
              <w:t>Patients with AEs leading to discontinuation</w:t>
            </w:r>
          </w:p>
        </w:tc>
        <w:tc>
          <w:tcPr>
            <w:tcW w:w="4802" w:type="dxa"/>
            <w:vAlign w:val="center"/>
          </w:tcPr>
          <w:p w:rsidR="00301E4C" w:rsidRPr="00AF4647" w:rsidRDefault="00AF4647" w:rsidP="00ED5652">
            <w:pPr>
              <w:jc w:val="center"/>
              <w:rPr>
                <w:rStyle w:val="CommentReference"/>
                <w:b w:val="0"/>
                <w:highlight w:val="black"/>
              </w:rPr>
            </w:pPr>
            <w:r>
              <w:rPr>
                <w:rStyle w:val="CommentReference"/>
                <w:b w:val="0"/>
                <w:noProof/>
                <w:color w:val="000000"/>
                <w:highlight w:val="black"/>
              </w:rPr>
              <w:t>'''''''''' ''''''''''''''' ''''''''''''''</w:t>
            </w:r>
          </w:p>
        </w:tc>
      </w:tr>
      <w:tr w:rsidR="00301E4C" w:rsidTr="00ED5652">
        <w:tc>
          <w:tcPr>
            <w:tcW w:w="3544" w:type="dxa"/>
            <w:gridSpan w:val="2"/>
            <w:vAlign w:val="center"/>
          </w:tcPr>
          <w:p w:rsidR="00301E4C" w:rsidRDefault="00301E4C" w:rsidP="00ED5652">
            <w:pPr>
              <w:jc w:val="left"/>
              <w:rPr>
                <w:rStyle w:val="CommentReference"/>
                <w:b w:val="0"/>
              </w:rPr>
            </w:pPr>
            <w:r>
              <w:rPr>
                <w:rStyle w:val="CommentReference"/>
                <w:b w:val="0"/>
              </w:rPr>
              <w:t>Patients with treatment emergent SAEs</w:t>
            </w:r>
          </w:p>
        </w:tc>
        <w:tc>
          <w:tcPr>
            <w:tcW w:w="4802" w:type="dxa"/>
            <w:vAlign w:val="center"/>
          </w:tcPr>
          <w:p w:rsidR="00301E4C" w:rsidRPr="00AF4647" w:rsidRDefault="00AF4647" w:rsidP="00ED5652">
            <w:pPr>
              <w:jc w:val="center"/>
              <w:rPr>
                <w:rStyle w:val="CommentReference"/>
                <w:b w:val="0"/>
                <w:highlight w:val="black"/>
              </w:rPr>
            </w:pPr>
            <w:r>
              <w:rPr>
                <w:rStyle w:val="CommentReference"/>
                <w:b w:val="0"/>
                <w:noProof/>
                <w:color w:val="000000"/>
                <w:highlight w:val="black"/>
              </w:rPr>
              <w:t>'''''''''''' '''''''''''''' '''''''''''''</w:t>
            </w:r>
          </w:p>
        </w:tc>
      </w:tr>
      <w:tr w:rsidR="00301E4C" w:rsidTr="00ED5652">
        <w:tc>
          <w:tcPr>
            <w:tcW w:w="8346" w:type="dxa"/>
            <w:gridSpan w:val="3"/>
            <w:vAlign w:val="center"/>
          </w:tcPr>
          <w:p w:rsidR="00301E4C" w:rsidRPr="00612414" w:rsidRDefault="00301E4C" w:rsidP="00ED5652">
            <w:pPr>
              <w:jc w:val="left"/>
              <w:rPr>
                <w:rStyle w:val="CommentReference"/>
                <w:b w:val="0"/>
              </w:rPr>
            </w:pPr>
            <w:r>
              <w:rPr>
                <w:rStyle w:val="CommentReference"/>
              </w:rPr>
              <w:t>Common adverse events (&gt;5%)</w:t>
            </w:r>
          </w:p>
        </w:tc>
      </w:tr>
      <w:tr w:rsidR="00301E4C" w:rsidTr="00ED5652">
        <w:tc>
          <w:tcPr>
            <w:tcW w:w="1701" w:type="dxa"/>
            <w:vMerge w:val="restart"/>
            <w:vAlign w:val="center"/>
          </w:tcPr>
          <w:p w:rsidR="00301E4C" w:rsidRDefault="00301E4C" w:rsidP="00ED5652">
            <w:pPr>
              <w:jc w:val="left"/>
              <w:rPr>
                <w:rStyle w:val="CommentReference"/>
                <w:b w:val="0"/>
              </w:rPr>
            </w:pPr>
            <w:r>
              <w:rPr>
                <w:rStyle w:val="CommentReference"/>
                <w:b w:val="0"/>
              </w:rPr>
              <w:t>Gastrointestinal disorders</w:t>
            </w:r>
          </w:p>
        </w:tc>
        <w:tc>
          <w:tcPr>
            <w:tcW w:w="1843" w:type="dxa"/>
            <w:vAlign w:val="center"/>
          </w:tcPr>
          <w:p w:rsidR="00301E4C" w:rsidRDefault="00301E4C" w:rsidP="00ED5652">
            <w:pPr>
              <w:jc w:val="left"/>
              <w:rPr>
                <w:rStyle w:val="CommentReference"/>
                <w:b w:val="0"/>
              </w:rPr>
            </w:pPr>
            <w:r>
              <w:rPr>
                <w:rStyle w:val="CommentReference"/>
                <w:b w:val="0"/>
              </w:rPr>
              <w:t>Stomach discomfort</w:t>
            </w:r>
          </w:p>
        </w:tc>
        <w:tc>
          <w:tcPr>
            <w:tcW w:w="4802" w:type="dxa"/>
            <w:vAlign w:val="center"/>
          </w:tcPr>
          <w:p w:rsidR="00301E4C" w:rsidRPr="00AF4647"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ign w:val="center"/>
          </w:tcPr>
          <w:p w:rsidR="00301E4C" w:rsidRDefault="00301E4C" w:rsidP="00ED5652">
            <w:pPr>
              <w:jc w:val="left"/>
              <w:rPr>
                <w:rStyle w:val="CommentReference"/>
                <w:b w:val="0"/>
              </w:rPr>
            </w:pPr>
          </w:p>
        </w:tc>
        <w:tc>
          <w:tcPr>
            <w:tcW w:w="1843" w:type="dxa"/>
            <w:vAlign w:val="center"/>
          </w:tcPr>
          <w:p w:rsidR="00301E4C" w:rsidRDefault="00301E4C" w:rsidP="00ED5652">
            <w:pPr>
              <w:jc w:val="left"/>
              <w:rPr>
                <w:rStyle w:val="CommentReference"/>
                <w:b w:val="0"/>
              </w:rPr>
            </w:pPr>
            <w:r>
              <w:rPr>
                <w:rStyle w:val="CommentReference"/>
                <w:b w:val="0"/>
              </w:rPr>
              <w:t>Dyspepsia</w:t>
            </w:r>
          </w:p>
        </w:tc>
        <w:tc>
          <w:tcPr>
            <w:tcW w:w="4802" w:type="dxa"/>
            <w:vAlign w:val="center"/>
          </w:tcPr>
          <w:p w:rsidR="00301E4C" w:rsidRPr="00AF4647"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ign w:val="center"/>
          </w:tcPr>
          <w:p w:rsidR="00301E4C" w:rsidRDefault="00301E4C" w:rsidP="00ED5652">
            <w:pPr>
              <w:jc w:val="left"/>
              <w:rPr>
                <w:rStyle w:val="CommentReference"/>
                <w:b w:val="0"/>
              </w:rPr>
            </w:pPr>
          </w:p>
        </w:tc>
        <w:tc>
          <w:tcPr>
            <w:tcW w:w="1843" w:type="dxa"/>
            <w:vAlign w:val="center"/>
          </w:tcPr>
          <w:p w:rsidR="00301E4C" w:rsidRDefault="00301E4C" w:rsidP="00ED5652">
            <w:pPr>
              <w:jc w:val="left"/>
              <w:rPr>
                <w:rStyle w:val="CommentReference"/>
                <w:b w:val="0"/>
              </w:rPr>
            </w:pPr>
            <w:r>
              <w:rPr>
                <w:rStyle w:val="CommentReference"/>
                <w:b w:val="0"/>
              </w:rPr>
              <w:t>Nausea</w:t>
            </w:r>
          </w:p>
        </w:tc>
        <w:tc>
          <w:tcPr>
            <w:tcW w:w="4802" w:type="dxa"/>
            <w:vAlign w:val="center"/>
          </w:tcPr>
          <w:p w:rsidR="00301E4C" w:rsidRPr="00AF4647"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ign w:val="center"/>
          </w:tcPr>
          <w:p w:rsidR="00301E4C" w:rsidRDefault="00301E4C" w:rsidP="00ED5652">
            <w:pPr>
              <w:jc w:val="left"/>
              <w:rPr>
                <w:rStyle w:val="CommentReference"/>
                <w:b w:val="0"/>
              </w:rPr>
            </w:pPr>
          </w:p>
        </w:tc>
        <w:tc>
          <w:tcPr>
            <w:tcW w:w="1843" w:type="dxa"/>
            <w:vAlign w:val="center"/>
          </w:tcPr>
          <w:p w:rsidR="00301E4C" w:rsidRDefault="00301E4C" w:rsidP="00ED5652">
            <w:pPr>
              <w:jc w:val="left"/>
              <w:rPr>
                <w:rStyle w:val="CommentReference"/>
                <w:b w:val="0"/>
              </w:rPr>
            </w:pPr>
            <w:r>
              <w:rPr>
                <w:rStyle w:val="CommentReference"/>
                <w:b w:val="0"/>
              </w:rPr>
              <w:t>GORD</w:t>
            </w:r>
          </w:p>
        </w:tc>
        <w:tc>
          <w:tcPr>
            <w:tcW w:w="4802" w:type="dxa"/>
            <w:vAlign w:val="center"/>
          </w:tcPr>
          <w:p w:rsidR="00301E4C" w:rsidRPr="00AF4647" w:rsidRDefault="00AF4647" w:rsidP="00ED5652">
            <w:pPr>
              <w:jc w:val="center"/>
              <w:rPr>
                <w:rFonts w:ascii="Arial Narrow" w:hAnsi="Arial Narrow"/>
                <w:sz w:val="20"/>
                <w:highlight w:val="black"/>
              </w:rPr>
            </w:pPr>
            <w:r>
              <w:rPr>
                <w:rFonts w:ascii="Arial Narrow" w:hAnsi="Arial Narrow"/>
                <w:noProof/>
                <w:color w:val="000000"/>
                <w:sz w:val="20"/>
                <w:highlight w:val="black"/>
              </w:rPr>
              <w:t>'''''''''' '''''''''''''' '''''''''''''</w:t>
            </w:r>
          </w:p>
        </w:tc>
      </w:tr>
      <w:tr w:rsidR="00301E4C" w:rsidTr="00ED5652">
        <w:tc>
          <w:tcPr>
            <w:tcW w:w="1701" w:type="dxa"/>
            <w:vMerge w:val="restart"/>
            <w:vAlign w:val="center"/>
          </w:tcPr>
          <w:p w:rsidR="00301E4C" w:rsidRDefault="00301E4C" w:rsidP="00ED5652">
            <w:pPr>
              <w:jc w:val="left"/>
              <w:rPr>
                <w:rStyle w:val="CommentReference"/>
                <w:b w:val="0"/>
              </w:rPr>
            </w:pPr>
            <w:r>
              <w:rPr>
                <w:rStyle w:val="CommentReference"/>
                <w:b w:val="0"/>
              </w:rPr>
              <w:t>General disorders</w:t>
            </w:r>
          </w:p>
        </w:tc>
        <w:tc>
          <w:tcPr>
            <w:tcW w:w="1843" w:type="dxa"/>
            <w:vAlign w:val="center"/>
          </w:tcPr>
          <w:p w:rsidR="00301E4C" w:rsidRDefault="00301E4C" w:rsidP="00ED5652">
            <w:pPr>
              <w:jc w:val="left"/>
              <w:rPr>
                <w:rStyle w:val="CommentReference"/>
                <w:b w:val="0"/>
              </w:rPr>
            </w:pPr>
            <w:r>
              <w:rPr>
                <w:rStyle w:val="CommentReference"/>
                <w:b w:val="0"/>
              </w:rPr>
              <w:t>Asthenia</w:t>
            </w:r>
          </w:p>
        </w:tc>
        <w:tc>
          <w:tcPr>
            <w:tcW w:w="4802" w:type="dxa"/>
            <w:vAlign w:val="center"/>
          </w:tcPr>
          <w:p w:rsidR="00301E4C" w:rsidRPr="00AF4647"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ign w:val="center"/>
          </w:tcPr>
          <w:p w:rsidR="00301E4C" w:rsidDel="009F390B" w:rsidRDefault="00301E4C" w:rsidP="00ED5652">
            <w:pPr>
              <w:jc w:val="left"/>
              <w:rPr>
                <w:rStyle w:val="CommentReference"/>
                <w:b w:val="0"/>
              </w:rPr>
            </w:pPr>
          </w:p>
        </w:tc>
        <w:tc>
          <w:tcPr>
            <w:tcW w:w="1843" w:type="dxa"/>
            <w:vAlign w:val="center"/>
          </w:tcPr>
          <w:p w:rsidR="00301E4C" w:rsidRDefault="00301E4C" w:rsidP="00ED5652">
            <w:pPr>
              <w:jc w:val="left"/>
              <w:rPr>
                <w:rStyle w:val="CommentReference"/>
                <w:b w:val="0"/>
              </w:rPr>
            </w:pPr>
            <w:r>
              <w:rPr>
                <w:rStyle w:val="CommentReference"/>
                <w:b w:val="0"/>
              </w:rPr>
              <w:t>Fatigue</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ign w:val="center"/>
          </w:tcPr>
          <w:p w:rsidR="00301E4C" w:rsidDel="009F390B" w:rsidRDefault="00301E4C" w:rsidP="00ED5652">
            <w:pPr>
              <w:jc w:val="left"/>
              <w:rPr>
                <w:rStyle w:val="CommentReference"/>
                <w:b w:val="0"/>
              </w:rPr>
            </w:pPr>
          </w:p>
        </w:tc>
        <w:tc>
          <w:tcPr>
            <w:tcW w:w="1843" w:type="dxa"/>
            <w:vAlign w:val="center"/>
          </w:tcPr>
          <w:p w:rsidR="00301E4C" w:rsidRDefault="00301E4C" w:rsidP="00ED5652">
            <w:pPr>
              <w:jc w:val="left"/>
              <w:rPr>
                <w:rStyle w:val="CommentReference"/>
                <w:b w:val="0"/>
              </w:rPr>
            </w:pPr>
            <w:r>
              <w:rPr>
                <w:rStyle w:val="CommentReference"/>
                <w:b w:val="0"/>
              </w:rPr>
              <w:t>Oedema peripheral</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Align w:val="center"/>
          </w:tcPr>
          <w:p w:rsidR="00301E4C" w:rsidDel="009F390B" w:rsidRDefault="00301E4C" w:rsidP="00ED5652">
            <w:pPr>
              <w:jc w:val="left"/>
              <w:rPr>
                <w:rStyle w:val="CommentReference"/>
                <w:b w:val="0"/>
              </w:rPr>
            </w:pPr>
            <w:r>
              <w:rPr>
                <w:rStyle w:val="CommentReference"/>
                <w:b w:val="0"/>
              </w:rPr>
              <w:t>Investigations</w:t>
            </w:r>
          </w:p>
        </w:tc>
        <w:tc>
          <w:tcPr>
            <w:tcW w:w="1843" w:type="dxa"/>
            <w:vAlign w:val="center"/>
          </w:tcPr>
          <w:p w:rsidR="00301E4C" w:rsidRDefault="00301E4C" w:rsidP="00ED5652">
            <w:pPr>
              <w:jc w:val="left"/>
              <w:rPr>
                <w:rStyle w:val="CommentReference"/>
                <w:b w:val="0"/>
              </w:rPr>
            </w:pPr>
            <w:r>
              <w:rPr>
                <w:rStyle w:val="CommentReference"/>
                <w:b w:val="0"/>
              </w:rPr>
              <w:t>Weight decreased</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restart"/>
            <w:vAlign w:val="center"/>
          </w:tcPr>
          <w:p w:rsidR="00301E4C" w:rsidDel="009F390B" w:rsidRDefault="00301E4C" w:rsidP="00ED5652">
            <w:pPr>
              <w:jc w:val="left"/>
              <w:rPr>
                <w:rStyle w:val="CommentReference"/>
                <w:b w:val="0"/>
              </w:rPr>
            </w:pPr>
            <w:r>
              <w:rPr>
                <w:rStyle w:val="CommentReference"/>
                <w:b w:val="0"/>
              </w:rPr>
              <w:t>Metabolism and nutrition disorders</w:t>
            </w:r>
          </w:p>
        </w:tc>
        <w:tc>
          <w:tcPr>
            <w:tcW w:w="1843" w:type="dxa"/>
            <w:vAlign w:val="center"/>
          </w:tcPr>
          <w:p w:rsidR="00301E4C" w:rsidRDefault="00301E4C" w:rsidP="00ED5652">
            <w:pPr>
              <w:jc w:val="left"/>
              <w:rPr>
                <w:rStyle w:val="CommentReference"/>
                <w:b w:val="0"/>
              </w:rPr>
            </w:pPr>
            <w:r>
              <w:rPr>
                <w:rStyle w:val="CommentReference"/>
                <w:b w:val="0"/>
              </w:rPr>
              <w:t>Anorexia</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ign w:val="center"/>
          </w:tcPr>
          <w:p w:rsidR="00301E4C" w:rsidDel="009F390B" w:rsidRDefault="00301E4C" w:rsidP="00ED5652">
            <w:pPr>
              <w:jc w:val="left"/>
              <w:rPr>
                <w:rStyle w:val="CommentReference"/>
                <w:b w:val="0"/>
              </w:rPr>
            </w:pPr>
          </w:p>
        </w:tc>
        <w:tc>
          <w:tcPr>
            <w:tcW w:w="1843" w:type="dxa"/>
            <w:vAlign w:val="center"/>
          </w:tcPr>
          <w:p w:rsidR="00301E4C" w:rsidRDefault="00301E4C" w:rsidP="00ED5652">
            <w:pPr>
              <w:jc w:val="left"/>
              <w:rPr>
                <w:rStyle w:val="CommentReference"/>
                <w:b w:val="0"/>
              </w:rPr>
            </w:pPr>
            <w:r>
              <w:rPr>
                <w:rStyle w:val="CommentReference"/>
                <w:b w:val="0"/>
              </w:rPr>
              <w:t>Decreased appetite</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restart"/>
            <w:vAlign w:val="center"/>
          </w:tcPr>
          <w:p w:rsidR="00301E4C" w:rsidDel="009F390B" w:rsidRDefault="00301E4C" w:rsidP="00ED5652">
            <w:pPr>
              <w:jc w:val="left"/>
              <w:rPr>
                <w:rStyle w:val="CommentReference"/>
                <w:b w:val="0"/>
              </w:rPr>
            </w:pPr>
            <w:r>
              <w:rPr>
                <w:rStyle w:val="CommentReference"/>
                <w:b w:val="0"/>
              </w:rPr>
              <w:t>Nervous system disorders</w:t>
            </w:r>
          </w:p>
        </w:tc>
        <w:tc>
          <w:tcPr>
            <w:tcW w:w="1843" w:type="dxa"/>
            <w:vAlign w:val="center"/>
          </w:tcPr>
          <w:p w:rsidR="00301E4C" w:rsidRDefault="00301E4C" w:rsidP="00ED5652">
            <w:pPr>
              <w:jc w:val="left"/>
              <w:rPr>
                <w:rStyle w:val="CommentReference"/>
                <w:b w:val="0"/>
              </w:rPr>
            </w:pPr>
            <w:proofErr w:type="spellStart"/>
            <w:r>
              <w:rPr>
                <w:rStyle w:val="CommentReference"/>
                <w:b w:val="0"/>
              </w:rPr>
              <w:t>Dysgeusia</w:t>
            </w:r>
            <w:proofErr w:type="spellEnd"/>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ign w:val="center"/>
          </w:tcPr>
          <w:p w:rsidR="00301E4C" w:rsidDel="009F390B" w:rsidRDefault="00301E4C" w:rsidP="00ED5652">
            <w:pPr>
              <w:jc w:val="left"/>
              <w:rPr>
                <w:rStyle w:val="CommentReference"/>
                <w:b w:val="0"/>
              </w:rPr>
            </w:pPr>
          </w:p>
        </w:tc>
        <w:tc>
          <w:tcPr>
            <w:tcW w:w="1843" w:type="dxa"/>
            <w:vAlign w:val="center"/>
          </w:tcPr>
          <w:p w:rsidR="00301E4C" w:rsidRDefault="00301E4C" w:rsidP="00ED5652">
            <w:pPr>
              <w:jc w:val="left"/>
              <w:rPr>
                <w:rStyle w:val="CommentReference"/>
                <w:b w:val="0"/>
              </w:rPr>
            </w:pPr>
            <w:r>
              <w:rPr>
                <w:rStyle w:val="CommentReference"/>
                <w:b w:val="0"/>
              </w:rPr>
              <w:t>Dizziness</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Align w:val="center"/>
          </w:tcPr>
          <w:p w:rsidR="00301E4C" w:rsidDel="009F390B" w:rsidRDefault="00301E4C" w:rsidP="00ED5652">
            <w:pPr>
              <w:jc w:val="left"/>
              <w:rPr>
                <w:rStyle w:val="CommentReference"/>
                <w:b w:val="0"/>
              </w:rPr>
            </w:pPr>
            <w:r>
              <w:rPr>
                <w:rStyle w:val="CommentReference"/>
                <w:b w:val="0"/>
              </w:rPr>
              <w:t>Psychiatric disorders</w:t>
            </w:r>
          </w:p>
        </w:tc>
        <w:tc>
          <w:tcPr>
            <w:tcW w:w="1843" w:type="dxa"/>
            <w:vAlign w:val="center"/>
          </w:tcPr>
          <w:p w:rsidR="00301E4C" w:rsidRDefault="00301E4C" w:rsidP="00ED5652">
            <w:pPr>
              <w:jc w:val="left"/>
              <w:rPr>
                <w:rStyle w:val="CommentReference"/>
                <w:b w:val="0"/>
              </w:rPr>
            </w:pPr>
            <w:r>
              <w:rPr>
                <w:rStyle w:val="CommentReference"/>
                <w:b w:val="0"/>
              </w:rPr>
              <w:t>Insomnia</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Align w:val="center"/>
          </w:tcPr>
          <w:p w:rsidR="00301E4C" w:rsidDel="009F390B" w:rsidRDefault="00301E4C" w:rsidP="00ED5652">
            <w:pPr>
              <w:jc w:val="left"/>
              <w:rPr>
                <w:rStyle w:val="CommentReference"/>
                <w:b w:val="0"/>
              </w:rPr>
            </w:pPr>
            <w:r>
              <w:rPr>
                <w:rStyle w:val="CommentReference"/>
                <w:b w:val="0"/>
              </w:rPr>
              <w:t>Respiratory disorders</w:t>
            </w:r>
          </w:p>
        </w:tc>
        <w:tc>
          <w:tcPr>
            <w:tcW w:w="1843" w:type="dxa"/>
            <w:vAlign w:val="center"/>
          </w:tcPr>
          <w:p w:rsidR="00301E4C" w:rsidRDefault="00301E4C" w:rsidP="00ED5652">
            <w:pPr>
              <w:jc w:val="left"/>
              <w:rPr>
                <w:rStyle w:val="CommentReference"/>
                <w:b w:val="0"/>
              </w:rPr>
            </w:pPr>
            <w:r>
              <w:rPr>
                <w:rStyle w:val="CommentReference"/>
                <w:b w:val="0"/>
              </w:rPr>
              <w:t>IPF</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restart"/>
            <w:vAlign w:val="center"/>
          </w:tcPr>
          <w:p w:rsidR="00301E4C" w:rsidDel="009F390B" w:rsidRDefault="00301E4C" w:rsidP="00ED5652">
            <w:pPr>
              <w:jc w:val="left"/>
              <w:rPr>
                <w:rStyle w:val="CommentReference"/>
                <w:b w:val="0"/>
              </w:rPr>
            </w:pPr>
            <w:r>
              <w:rPr>
                <w:rStyle w:val="CommentReference"/>
                <w:b w:val="0"/>
              </w:rPr>
              <w:t>Skin &amp; subcutaneous tissue disorders</w:t>
            </w:r>
          </w:p>
        </w:tc>
        <w:tc>
          <w:tcPr>
            <w:tcW w:w="1843" w:type="dxa"/>
            <w:vAlign w:val="center"/>
          </w:tcPr>
          <w:p w:rsidR="00301E4C" w:rsidRDefault="00301E4C" w:rsidP="00ED5652">
            <w:pPr>
              <w:jc w:val="left"/>
              <w:rPr>
                <w:rStyle w:val="CommentReference"/>
                <w:b w:val="0"/>
              </w:rPr>
            </w:pPr>
            <w:r>
              <w:rPr>
                <w:rStyle w:val="CommentReference"/>
                <w:b w:val="0"/>
              </w:rPr>
              <w:t>Photosensitivity reaction</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r w:rsidR="00301E4C" w:rsidTr="00ED5652">
        <w:tc>
          <w:tcPr>
            <w:tcW w:w="1701" w:type="dxa"/>
            <w:vMerge/>
            <w:vAlign w:val="center"/>
          </w:tcPr>
          <w:p w:rsidR="00301E4C" w:rsidRDefault="00301E4C" w:rsidP="00ED5652">
            <w:pPr>
              <w:jc w:val="left"/>
              <w:rPr>
                <w:rStyle w:val="CommentReference"/>
                <w:b w:val="0"/>
              </w:rPr>
            </w:pPr>
          </w:p>
        </w:tc>
        <w:tc>
          <w:tcPr>
            <w:tcW w:w="1843" w:type="dxa"/>
            <w:vAlign w:val="center"/>
          </w:tcPr>
          <w:p w:rsidR="00301E4C" w:rsidRDefault="00301E4C" w:rsidP="00ED5652">
            <w:pPr>
              <w:jc w:val="left"/>
              <w:rPr>
                <w:rStyle w:val="CommentReference"/>
                <w:b w:val="0"/>
              </w:rPr>
            </w:pPr>
            <w:r>
              <w:rPr>
                <w:rStyle w:val="CommentReference"/>
                <w:b w:val="0"/>
              </w:rPr>
              <w:t>Rash</w:t>
            </w:r>
          </w:p>
        </w:tc>
        <w:tc>
          <w:tcPr>
            <w:tcW w:w="4802" w:type="dxa"/>
            <w:vAlign w:val="center"/>
          </w:tcPr>
          <w:p w:rsidR="00301E4C" w:rsidRPr="00AF4647" w:rsidDel="009F390B" w:rsidRDefault="00AF4647" w:rsidP="00ED5652">
            <w:pPr>
              <w:jc w:val="center"/>
              <w:rPr>
                <w:rStyle w:val="CommentReference"/>
                <w:highlight w:val="black"/>
              </w:rPr>
            </w:pPr>
            <w:r>
              <w:rPr>
                <w:rFonts w:ascii="Arial Narrow" w:hAnsi="Arial Narrow"/>
                <w:noProof/>
                <w:color w:val="000000"/>
                <w:sz w:val="20"/>
                <w:highlight w:val="black"/>
              </w:rPr>
              <w:t>''''''''''' ''''''''''''' '''''''''''</w:t>
            </w:r>
          </w:p>
        </w:tc>
      </w:tr>
    </w:tbl>
    <w:p w:rsidR="00301E4C" w:rsidRDefault="00301E4C" w:rsidP="00301E4C">
      <w:pPr>
        <w:pStyle w:val="TableFooter"/>
        <w:keepNext/>
        <w:ind w:left="720"/>
      </w:pPr>
      <w:r>
        <w:t>Abbreviations: AE= adverse event;</w:t>
      </w:r>
      <w:r w:rsidRPr="00C362EE">
        <w:t xml:space="preserve"> </w:t>
      </w:r>
      <w:r>
        <w:t>GORD = gastro-oesophageal reflux disease; IPF = idiopathic pulmonary fibrosis; SAE = serious adverse event;</w:t>
      </w:r>
      <w:r w:rsidRPr="00C362EE">
        <w:t xml:space="preserve"> </w:t>
      </w:r>
      <w:r>
        <w:t>TEAE = treatment emergent adverse event; RR=relative risk; 95% CI=95% confidence interval</w:t>
      </w:r>
    </w:p>
    <w:p w:rsidR="00301E4C" w:rsidRPr="00DA267E" w:rsidRDefault="00301E4C" w:rsidP="00301E4C">
      <w:pPr>
        <w:pStyle w:val="TableFooter"/>
        <w:keepNext/>
        <w:ind w:left="720"/>
        <w:rPr>
          <w:i/>
        </w:rPr>
      </w:pPr>
      <w:r w:rsidRPr="00834986">
        <w:t>* It appears that the submission used a fixed effects model in the meta-analyses of safety data.  This is not consistent with the PBAC Guidelines (Version 4.4, p107), which recommend the random effects model when conducting a meta-analysis.  The re-calculation of estimates was not feasible during the evaluation, due to the extensive number of adverse event items reported in the main body of the submission.  Overall, it is unclear whether a random effects analysis would substantively impact on the interpretation of the safety results</w:t>
      </w:r>
      <w:r w:rsidRPr="00DA267E">
        <w:rPr>
          <w:i/>
        </w:rPr>
        <w:t xml:space="preserve">.  </w:t>
      </w:r>
    </w:p>
    <w:p w:rsidR="00301E4C" w:rsidRPr="00612414" w:rsidRDefault="00301E4C" w:rsidP="00301E4C">
      <w:pPr>
        <w:pStyle w:val="TableFooter"/>
        <w:ind w:firstLine="720"/>
      </w:pPr>
      <w:r>
        <w:t xml:space="preserve">Source: </w:t>
      </w:r>
      <w:r w:rsidR="00CF0BB2">
        <w:t>Table B.6.9, p59 and Table B.6.1</w:t>
      </w:r>
      <w:r>
        <w:t>0, p61-63, Section B-DRT of the submission</w:t>
      </w:r>
    </w:p>
    <w:p w:rsidR="00301E4C" w:rsidRPr="00383F52" w:rsidRDefault="00301E4C" w:rsidP="00301E4C">
      <w:pPr>
        <w:pStyle w:val="ListParagraph"/>
        <w:ind w:left="0"/>
      </w:pPr>
    </w:p>
    <w:p w:rsidR="00301E4C" w:rsidRPr="00383F52" w:rsidRDefault="00301E4C" w:rsidP="00B9372F">
      <w:pPr>
        <w:pStyle w:val="ListParagraph"/>
        <w:widowControl/>
        <w:numPr>
          <w:ilvl w:val="1"/>
          <w:numId w:val="2"/>
        </w:numPr>
      </w:pPr>
      <w:r>
        <w:t xml:space="preserve">In terms of common adverse events (&gt;5%), </w:t>
      </w:r>
      <w:proofErr w:type="spellStart"/>
      <w:r>
        <w:t>pirfenidone</w:t>
      </w:r>
      <w:proofErr w:type="spellEnd"/>
      <w:r>
        <w:t xml:space="preserve"> was associated with statistically significantly higher instances of adverse events in several items across system organ classes.  The highest relative differences were observed in the skin and subcutaneous tissue disorders (photosensitivity reaction, rash) and gastrointestinal disorders (stomach discomfort, dyspepsia).  Also a significant increase was observed in gastro-oesophageal reflux disease, a known co-morbidity of IPF.  Significant reductions were observed </w:t>
      </w:r>
      <w:r w:rsidR="00EC35C9">
        <w:t>for IPF and peripheral oedema.</w:t>
      </w:r>
    </w:p>
    <w:p w:rsidR="00EC35C9" w:rsidRDefault="00EC35C9">
      <w:pPr>
        <w:widowControl/>
        <w:jc w:val="left"/>
        <w:rPr>
          <w:szCs w:val="22"/>
        </w:rPr>
      </w:pPr>
    </w:p>
    <w:p w:rsidR="00301E4C" w:rsidRPr="00EC35C9" w:rsidRDefault="00301E4C" w:rsidP="000333E0">
      <w:pPr>
        <w:pStyle w:val="Heading2"/>
      </w:pPr>
      <w:bookmarkStart w:id="34" w:name="_Toc429176343"/>
      <w:bookmarkStart w:id="35" w:name="_Toc429395756"/>
      <w:bookmarkStart w:id="36" w:name="_Toc430075665"/>
      <w:r w:rsidRPr="00EC35C9">
        <w:t>Benefits/harms</w:t>
      </w:r>
      <w:bookmarkEnd w:id="34"/>
      <w:bookmarkEnd w:id="35"/>
      <w:bookmarkEnd w:id="36"/>
    </w:p>
    <w:p w:rsidR="00301E4C" w:rsidRPr="007F1017" w:rsidRDefault="00301E4C" w:rsidP="00301E4C">
      <w:pPr>
        <w:pStyle w:val="ListParagraph"/>
        <w:ind w:left="0"/>
        <w:rPr>
          <w:szCs w:val="22"/>
        </w:rPr>
      </w:pPr>
    </w:p>
    <w:p w:rsidR="00632E43" w:rsidRDefault="00301E4C" w:rsidP="00B9372F">
      <w:pPr>
        <w:pStyle w:val="ListParagraph"/>
        <w:widowControl/>
        <w:numPr>
          <w:ilvl w:val="1"/>
          <w:numId w:val="2"/>
        </w:numPr>
        <w:rPr>
          <w:szCs w:val="22"/>
        </w:rPr>
      </w:pPr>
      <w:r w:rsidRPr="00B50DB8">
        <w:rPr>
          <w:szCs w:val="22"/>
        </w:rPr>
        <w:t xml:space="preserve">A summary of the comparative benefits and harms for </w:t>
      </w:r>
      <w:proofErr w:type="spellStart"/>
      <w:r>
        <w:rPr>
          <w:szCs w:val="22"/>
        </w:rPr>
        <w:t>pirfenidone</w:t>
      </w:r>
      <w:proofErr w:type="spellEnd"/>
      <w:r w:rsidRPr="00B50DB8">
        <w:rPr>
          <w:szCs w:val="22"/>
        </w:rPr>
        <w:t xml:space="preserve"> versus </w:t>
      </w:r>
      <w:r>
        <w:rPr>
          <w:szCs w:val="22"/>
        </w:rPr>
        <w:t>placebo</w:t>
      </w:r>
      <w:r w:rsidRPr="00B50DB8">
        <w:rPr>
          <w:szCs w:val="22"/>
        </w:rPr>
        <w:t xml:space="preserve"> i</w:t>
      </w:r>
      <w:r w:rsidR="00EC35C9">
        <w:rPr>
          <w:szCs w:val="22"/>
        </w:rPr>
        <w:t>s presented in the table below.</w:t>
      </w:r>
    </w:p>
    <w:p w:rsidR="00301E4C" w:rsidRDefault="00301E4C" w:rsidP="002D30C4">
      <w:pPr>
        <w:spacing w:line="720" w:lineRule="auto"/>
      </w:pPr>
    </w:p>
    <w:p w:rsidR="00195589" w:rsidRDefault="00195589">
      <w:pPr>
        <w:widowControl/>
        <w:jc w:val="left"/>
        <w:rPr>
          <w:rStyle w:val="CommentReference"/>
        </w:rPr>
      </w:pPr>
      <w:r>
        <w:rPr>
          <w:rStyle w:val="CommentReference"/>
        </w:rPr>
        <w:br w:type="page"/>
      </w:r>
    </w:p>
    <w:p w:rsidR="00301E4C" w:rsidRPr="00A578DC" w:rsidRDefault="00301E4C" w:rsidP="00EC35C9">
      <w:pPr>
        <w:widowControl/>
        <w:ind w:left="709"/>
        <w:jc w:val="left"/>
        <w:rPr>
          <w:rStyle w:val="CommentReference"/>
        </w:rPr>
      </w:pPr>
      <w:r w:rsidRPr="00A578DC">
        <w:rPr>
          <w:rStyle w:val="CommentReference"/>
        </w:rPr>
        <w:lastRenderedPageBreak/>
        <w:t xml:space="preserve">Table </w:t>
      </w:r>
      <w:r>
        <w:rPr>
          <w:rStyle w:val="CommentReference"/>
        </w:rPr>
        <w:t>6</w:t>
      </w:r>
      <w:r w:rsidRPr="00A578DC">
        <w:rPr>
          <w:rStyle w:val="CommentReference"/>
        </w:rPr>
        <w:t xml:space="preserve">: Summary of comparative benefits and harms for </w:t>
      </w:r>
      <w:proofErr w:type="spellStart"/>
      <w:r>
        <w:rPr>
          <w:rStyle w:val="CommentReference"/>
        </w:rPr>
        <w:t>pirfenidone</w:t>
      </w:r>
      <w:proofErr w:type="spellEnd"/>
      <w:r w:rsidRPr="00A578DC">
        <w:rPr>
          <w:rStyle w:val="CommentReference"/>
        </w:rPr>
        <w:t xml:space="preserve"> and </w:t>
      </w:r>
      <w:r>
        <w:rPr>
          <w:rStyle w:val="CommentReference"/>
        </w:rPr>
        <w:t>placebo</w:t>
      </w:r>
    </w:p>
    <w:tbl>
      <w:tblPr>
        <w:tblStyle w:val="TableGrid"/>
        <w:tblW w:w="4599" w:type="pct"/>
        <w:tblInd w:w="698" w:type="dxa"/>
        <w:tblLayout w:type="fixed"/>
        <w:tblCellMar>
          <w:left w:w="28" w:type="dxa"/>
          <w:right w:w="28" w:type="dxa"/>
        </w:tblCellMar>
        <w:tblLook w:val="04A0" w:firstRow="1" w:lastRow="0" w:firstColumn="1" w:lastColumn="0" w:noHBand="0" w:noVBand="1"/>
        <w:tblCaption w:val="Table 6: Summary of comparative benefits and harms for pirfenidone and placebo"/>
      </w:tblPr>
      <w:tblGrid>
        <w:gridCol w:w="1403"/>
        <w:gridCol w:w="448"/>
        <w:gridCol w:w="856"/>
        <w:gridCol w:w="20"/>
        <w:gridCol w:w="693"/>
        <w:gridCol w:w="566"/>
        <w:gridCol w:w="17"/>
        <w:gridCol w:w="30"/>
        <w:gridCol w:w="807"/>
        <w:gridCol w:w="1013"/>
        <w:gridCol w:w="1003"/>
        <w:gridCol w:w="1499"/>
      </w:tblGrid>
      <w:tr w:rsidR="00301E4C" w:rsidRPr="00627E27" w:rsidTr="00B314BB">
        <w:trPr>
          <w:trHeight w:val="469"/>
          <w:tblHeader/>
        </w:trPr>
        <w:tc>
          <w:tcPr>
            <w:tcW w:w="840" w:type="pct"/>
            <w:shd w:val="clear" w:color="auto" w:fill="auto"/>
            <w:vAlign w:val="center"/>
          </w:tcPr>
          <w:p w:rsidR="00301E4C" w:rsidRPr="00627E27" w:rsidRDefault="00301E4C" w:rsidP="00ED5652">
            <w:pPr>
              <w:rPr>
                <w:rFonts w:ascii="Arial Narrow" w:hAnsi="Arial Narrow"/>
                <w:b/>
                <w:color w:val="000000"/>
                <w:sz w:val="20"/>
                <w:szCs w:val="18"/>
              </w:rPr>
            </w:pPr>
            <w:r w:rsidRPr="00627E27">
              <w:rPr>
                <w:rFonts w:ascii="Arial Narrow" w:hAnsi="Arial Narrow"/>
                <w:b/>
                <w:color w:val="000000"/>
                <w:sz w:val="20"/>
                <w:szCs w:val="18"/>
              </w:rPr>
              <w:t>Trial</w:t>
            </w:r>
          </w:p>
        </w:tc>
        <w:tc>
          <w:tcPr>
            <w:tcW w:w="792" w:type="pct"/>
            <w:gridSpan w:val="3"/>
            <w:vAlign w:val="center"/>
          </w:tcPr>
          <w:p w:rsidR="00301E4C" w:rsidRPr="00627E27" w:rsidRDefault="00301E4C" w:rsidP="00ED5652">
            <w:pPr>
              <w:jc w:val="center"/>
              <w:rPr>
                <w:rFonts w:ascii="Arial Narrow" w:hAnsi="Arial Narrow"/>
                <w:b/>
                <w:color w:val="000000"/>
                <w:sz w:val="20"/>
                <w:szCs w:val="18"/>
              </w:rPr>
            </w:pPr>
            <w:proofErr w:type="spellStart"/>
            <w:r w:rsidRPr="00627E27">
              <w:rPr>
                <w:rFonts w:ascii="Arial Narrow" w:hAnsi="Arial Narrow"/>
                <w:b/>
                <w:color w:val="000000"/>
                <w:sz w:val="20"/>
                <w:szCs w:val="18"/>
              </w:rPr>
              <w:t>Pirfenidone</w:t>
            </w:r>
            <w:proofErr w:type="spellEnd"/>
          </w:p>
        </w:tc>
        <w:tc>
          <w:tcPr>
            <w:tcW w:w="782" w:type="pct"/>
            <w:gridSpan w:val="4"/>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Placebo</w:t>
            </w:r>
          </w:p>
        </w:tc>
        <w:tc>
          <w:tcPr>
            <w:tcW w:w="1088" w:type="pct"/>
            <w:gridSpan w:val="2"/>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Absolute difference: median survival</w:t>
            </w:r>
          </w:p>
        </w:tc>
        <w:tc>
          <w:tcPr>
            <w:tcW w:w="1498" w:type="pct"/>
            <w:gridSpan w:val="2"/>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HR% (95% CI)</w:t>
            </w:r>
          </w:p>
        </w:tc>
      </w:tr>
      <w:tr w:rsidR="00301E4C" w:rsidRPr="00627E27" w:rsidTr="00ED5652">
        <w:trPr>
          <w:trHeight w:val="20"/>
        </w:trPr>
        <w:tc>
          <w:tcPr>
            <w:tcW w:w="5000" w:type="pct"/>
            <w:gridSpan w:val="12"/>
            <w:shd w:val="clear" w:color="auto" w:fill="auto"/>
            <w:vAlign w:val="center"/>
          </w:tcPr>
          <w:p w:rsidR="00301E4C" w:rsidRPr="00627E27" w:rsidRDefault="00301E4C" w:rsidP="00ED5652">
            <w:pPr>
              <w:rPr>
                <w:rFonts w:ascii="Arial Narrow" w:hAnsi="Arial Narrow"/>
                <w:b/>
                <w:color w:val="000000"/>
                <w:sz w:val="20"/>
                <w:szCs w:val="18"/>
              </w:rPr>
            </w:pPr>
            <w:r w:rsidRPr="00627E27">
              <w:rPr>
                <w:rFonts w:ascii="Arial Narrow" w:hAnsi="Arial Narrow"/>
                <w:b/>
                <w:color w:val="000000"/>
                <w:sz w:val="20"/>
                <w:szCs w:val="18"/>
              </w:rPr>
              <w:t>Benefits</w:t>
            </w:r>
          </w:p>
        </w:tc>
      </w:tr>
      <w:tr w:rsidR="00301E4C" w:rsidRPr="00627E27" w:rsidTr="00ED5652">
        <w:trPr>
          <w:trHeight w:val="20"/>
        </w:trPr>
        <w:tc>
          <w:tcPr>
            <w:tcW w:w="5000" w:type="pct"/>
            <w:gridSpan w:val="12"/>
            <w:shd w:val="clear" w:color="auto" w:fill="auto"/>
            <w:vAlign w:val="center"/>
          </w:tcPr>
          <w:p w:rsidR="00301E4C" w:rsidRPr="00627E27" w:rsidRDefault="00301E4C" w:rsidP="00ED5652">
            <w:pPr>
              <w:rPr>
                <w:rFonts w:ascii="Arial Narrow" w:hAnsi="Arial Narrow"/>
                <w:b/>
                <w:color w:val="000000"/>
                <w:sz w:val="20"/>
                <w:szCs w:val="18"/>
              </w:rPr>
            </w:pPr>
            <w:r w:rsidRPr="00627E27">
              <w:rPr>
                <w:rFonts w:ascii="Arial Narrow" w:hAnsi="Arial Narrow"/>
                <w:b/>
                <w:color w:val="000000"/>
                <w:sz w:val="20"/>
                <w:szCs w:val="18"/>
              </w:rPr>
              <w:t>Overall survival: vital-status – end of study</w:t>
            </w:r>
          </w:p>
        </w:tc>
      </w:tr>
      <w:tr w:rsidR="00301E4C" w:rsidRPr="00627E27" w:rsidTr="00ED5652">
        <w:trPr>
          <w:trHeight w:val="20"/>
        </w:trPr>
        <w:tc>
          <w:tcPr>
            <w:tcW w:w="840" w:type="pct"/>
            <w:shd w:val="clear" w:color="auto" w:fill="auto"/>
            <w:vAlign w:val="center"/>
          </w:tcPr>
          <w:p w:rsidR="00301E4C" w:rsidRPr="00627E27" w:rsidRDefault="00301E4C" w:rsidP="00ED5652">
            <w:pPr>
              <w:rPr>
                <w:rFonts w:ascii="Arial Narrow" w:hAnsi="Arial Narrow"/>
                <w:color w:val="000000"/>
                <w:sz w:val="20"/>
                <w:szCs w:val="18"/>
              </w:rPr>
            </w:pPr>
            <w:r w:rsidRPr="00627E27">
              <w:rPr>
                <w:rFonts w:ascii="Arial Narrow" w:hAnsi="Arial Narrow"/>
                <w:color w:val="000000"/>
                <w:sz w:val="20"/>
                <w:szCs w:val="18"/>
              </w:rPr>
              <w:t xml:space="preserve">ASCEND, CAPACITY-1 &amp; 2 </w:t>
            </w:r>
          </w:p>
        </w:tc>
        <w:tc>
          <w:tcPr>
            <w:tcW w:w="792" w:type="pct"/>
            <w:gridSpan w:val="3"/>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44/623</w:t>
            </w:r>
          </w:p>
        </w:tc>
        <w:tc>
          <w:tcPr>
            <w:tcW w:w="764" w:type="pct"/>
            <w:gridSpan w:val="3"/>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58/624</w:t>
            </w:r>
          </w:p>
        </w:tc>
        <w:tc>
          <w:tcPr>
            <w:tcW w:w="1106" w:type="pct"/>
            <w:gridSpan w:val="3"/>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NA</w:t>
            </w:r>
          </w:p>
        </w:tc>
        <w:tc>
          <w:tcPr>
            <w:tcW w:w="1498" w:type="pct"/>
            <w:gridSpan w:val="2"/>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0.75 (0.50,1.11)</w:t>
            </w:r>
          </w:p>
        </w:tc>
      </w:tr>
      <w:tr w:rsidR="00301E4C" w:rsidRPr="00627E27" w:rsidTr="00ED5652">
        <w:trPr>
          <w:trHeight w:val="20"/>
        </w:trPr>
        <w:tc>
          <w:tcPr>
            <w:tcW w:w="5000" w:type="pct"/>
            <w:gridSpan w:val="12"/>
            <w:tcBorders>
              <w:top w:val="double" w:sz="4" w:space="0" w:color="auto"/>
            </w:tcBorders>
            <w:shd w:val="clear" w:color="auto" w:fill="auto"/>
            <w:vAlign w:val="center"/>
          </w:tcPr>
          <w:p w:rsidR="00301E4C" w:rsidRPr="00627E27" w:rsidRDefault="00301E4C" w:rsidP="00ED5652">
            <w:pPr>
              <w:rPr>
                <w:rFonts w:ascii="Arial Narrow" w:hAnsi="Arial Narrow"/>
                <w:b/>
                <w:color w:val="000000"/>
                <w:sz w:val="20"/>
                <w:szCs w:val="18"/>
              </w:rPr>
            </w:pPr>
            <w:r w:rsidRPr="00627E27">
              <w:rPr>
                <w:rFonts w:ascii="Arial Narrow" w:hAnsi="Arial Narrow"/>
                <w:b/>
                <w:color w:val="000000"/>
                <w:sz w:val="20"/>
                <w:szCs w:val="18"/>
              </w:rPr>
              <w:t xml:space="preserve">Absolute change in </w:t>
            </w:r>
            <w:proofErr w:type="spellStart"/>
            <w:r w:rsidRPr="00627E27">
              <w:rPr>
                <w:rFonts w:ascii="Arial Narrow" w:hAnsi="Arial Narrow"/>
                <w:b/>
                <w:color w:val="000000"/>
                <w:sz w:val="20"/>
                <w:szCs w:val="18"/>
              </w:rPr>
              <w:t>FVC%Pred</w:t>
            </w:r>
            <w:proofErr w:type="spellEnd"/>
            <w:r w:rsidRPr="00627E27">
              <w:rPr>
                <w:rFonts w:ascii="Arial Narrow" w:hAnsi="Arial Narrow"/>
                <w:b/>
                <w:color w:val="000000"/>
                <w:sz w:val="20"/>
                <w:szCs w:val="18"/>
              </w:rPr>
              <w:t xml:space="preserve"> from baseline to week 52^</w:t>
            </w:r>
          </w:p>
        </w:tc>
      </w:tr>
      <w:tr w:rsidR="00301E4C" w:rsidRPr="00627E27" w:rsidTr="00ED5652">
        <w:trPr>
          <w:trHeight w:val="20"/>
        </w:trPr>
        <w:tc>
          <w:tcPr>
            <w:tcW w:w="840" w:type="pct"/>
            <w:vMerge w:val="restart"/>
            <w:shd w:val="clear" w:color="auto" w:fill="auto"/>
            <w:vAlign w:val="center"/>
          </w:tcPr>
          <w:p w:rsidR="00301E4C" w:rsidRPr="00627E27" w:rsidRDefault="00301E4C" w:rsidP="00ED5652">
            <w:pPr>
              <w:rPr>
                <w:rFonts w:ascii="Arial Narrow" w:hAnsi="Arial Narrow"/>
                <w:color w:val="000000"/>
                <w:sz w:val="20"/>
                <w:szCs w:val="18"/>
              </w:rPr>
            </w:pPr>
          </w:p>
        </w:tc>
        <w:tc>
          <w:tcPr>
            <w:tcW w:w="1207" w:type="pct"/>
            <w:gridSpan w:val="4"/>
            <w:vAlign w:val="center"/>
          </w:tcPr>
          <w:p w:rsidR="00301E4C" w:rsidRPr="00627E27" w:rsidRDefault="00301E4C" w:rsidP="00ED5652">
            <w:pPr>
              <w:jc w:val="center"/>
              <w:rPr>
                <w:rFonts w:ascii="Arial Narrow" w:hAnsi="Arial Narrow"/>
                <w:color w:val="000000"/>
                <w:sz w:val="20"/>
                <w:szCs w:val="18"/>
              </w:rPr>
            </w:pPr>
            <w:proofErr w:type="spellStart"/>
            <w:r w:rsidRPr="00627E27">
              <w:rPr>
                <w:rFonts w:ascii="Arial Narrow" w:hAnsi="Arial Narrow"/>
                <w:b/>
                <w:color w:val="000000"/>
                <w:sz w:val="20"/>
                <w:szCs w:val="18"/>
              </w:rPr>
              <w:t>Pirfenidone</w:t>
            </w:r>
            <w:proofErr w:type="spellEnd"/>
          </w:p>
        </w:tc>
        <w:tc>
          <w:tcPr>
            <w:tcW w:w="1455" w:type="pct"/>
            <w:gridSpan w:val="5"/>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b/>
                <w:color w:val="000000"/>
                <w:sz w:val="20"/>
                <w:szCs w:val="18"/>
              </w:rPr>
              <w:t>Placebo</w:t>
            </w:r>
          </w:p>
        </w:tc>
        <w:tc>
          <w:tcPr>
            <w:tcW w:w="1498" w:type="pct"/>
            <w:gridSpan w:val="2"/>
            <w:vMerge w:val="restart"/>
            <w:vAlign w:val="center"/>
          </w:tcPr>
          <w:p w:rsidR="00301E4C" w:rsidRPr="00627E27" w:rsidRDefault="00301E4C" w:rsidP="00ED5652">
            <w:pPr>
              <w:jc w:val="center"/>
              <w:rPr>
                <w:rFonts w:ascii="Arial Narrow" w:hAnsi="Arial Narrow"/>
                <w:b/>
                <w:sz w:val="20"/>
                <w:szCs w:val="18"/>
              </w:rPr>
            </w:pPr>
            <w:r w:rsidRPr="00627E27">
              <w:rPr>
                <w:rFonts w:ascii="Arial Narrow" w:hAnsi="Arial Narrow"/>
                <w:b/>
                <w:sz w:val="20"/>
                <w:szCs w:val="18"/>
              </w:rPr>
              <w:t xml:space="preserve">Mean difference (95% CI): </w:t>
            </w:r>
          </w:p>
          <w:p w:rsidR="00301E4C" w:rsidRPr="00627E27" w:rsidRDefault="00301E4C" w:rsidP="00ED5652">
            <w:pPr>
              <w:jc w:val="center"/>
              <w:rPr>
                <w:rFonts w:ascii="Arial Narrow" w:hAnsi="Arial Narrow"/>
                <w:b/>
                <w:sz w:val="20"/>
                <w:szCs w:val="18"/>
              </w:rPr>
            </w:pPr>
            <w:proofErr w:type="spellStart"/>
            <w:r w:rsidRPr="00627E27">
              <w:rPr>
                <w:rFonts w:ascii="Arial Narrow" w:hAnsi="Arial Narrow"/>
                <w:b/>
                <w:sz w:val="20"/>
                <w:szCs w:val="18"/>
              </w:rPr>
              <w:t>Pirfenidone</w:t>
            </w:r>
            <w:proofErr w:type="spellEnd"/>
            <w:r w:rsidRPr="00627E27">
              <w:rPr>
                <w:rFonts w:ascii="Arial Narrow" w:hAnsi="Arial Narrow"/>
                <w:b/>
                <w:sz w:val="20"/>
                <w:szCs w:val="18"/>
              </w:rPr>
              <w:t xml:space="preserve"> vs. placebo</w:t>
            </w:r>
          </w:p>
        </w:tc>
      </w:tr>
      <w:tr w:rsidR="00301E4C" w:rsidRPr="00627E27" w:rsidTr="00ED5652">
        <w:trPr>
          <w:trHeight w:val="20"/>
        </w:trPr>
        <w:tc>
          <w:tcPr>
            <w:tcW w:w="840" w:type="pct"/>
            <w:vMerge/>
            <w:shd w:val="clear" w:color="auto" w:fill="auto"/>
            <w:vAlign w:val="center"/>
          </w:tcPr>
          <w:p w:rsidR="00301E4C" w:rsidRPr="00627E27" w:rsidRDefault="00301E4C" w:rsidP="00ED5652">
            <w:pPr>
              <w:rPr>
                <w:rFonts w:ascii="Arial Narrow" w:hAnsi="Arial Narrow"/>
                <w:color w:val="000000"/>
                <w:sz w:val="20"/>
                <w:szCs w:val="18"/>
              </w:rPr>
            </w:pPr>
          </w:p>
        </w:tc>
        <w:tc>
          <w:tcPr>
            <w:tcW w:w="268" w:type="pct"/>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n</w:t>
            </w:r>
          </w:p>
        </w:tc>
        <w:tc>
          <w:tcPr>
            <w:tcW w:w="512" w:type="pct"/>
            <w:vAlign w:val="center"/>
          </w:tcPr>
          <w:p w:rsidR="00301E4C" w:rsidRPr="00627E27" w:rsidRDefault="00301E4C" w:rsidP="00ED5652">
            <w:pPr>
              <w:jc w:val="center"/>
              <w:rPr>
                <w:rFonts w:ascii="Arial Narrow" w:hAnsi="Arial Narrow"/>
                <w:b/>
                <w:sz w:val="20"/>
                <w:szCs w:val="18"/>
              </w:rPr>
            </w:pPr>
            <w:r w:rsidRPr="00627E27">
              <w:rPr>
                <w:rFonts w:ascii="Arial Narrow" w:hAnsi="Arial Narrow"/>
                <w:b/>
                <w:sz w:val="20"/>
                <w:szCs w:val="18"/>
              </w:rPr>
              <w:t xml:space="preserve">Mean ∆ baseline </w:t>
            </w:r>
          </w:p>
        </w:tc>
        <w:tc>
          <w:tcPr>
            <w:tcW w:w="427" w:type="pct"/>
            <w:gridSpan w:val="2"/>
            <w:vAlign w:val="center"/>
          </w:tcPr>
          <w:p w:rsidR="00301E4C" w:rsidRPr="00627E27" w:rsidRDefault="00301E4C" w:rsidP="00ED5652">
            <w:pPr>
              <w:jc w:val="center"/>
              <w:rPr>
                <w:rFonts w:ascii="Arial Narrow" w:hAnsi="Arial Narrow"/>
                <w:b/>
                <w:sz w:val="20"/>
                <w:szCs w:val="18"/>
              </w:rPr>
            </w:pPr>
            <w:r w:rsidRPr="00627E27">
              <w:rPr>
                <w:rFonts w:ascii="Arial Narrow" w:hAnsi="Arial Narrow"/>
                <w:b/>
                <w:sz w:val="20"/>
                <w:szCs w:val="18"/>
              </w:rPr>
              <w:t>SD</w:t>
            </w:r>
          </w:p>
        </w:tc>
        <w:tc>
          <w:tcPr>
            <w:tcW w:w="339" w:type="pct"/>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n</w:t>
            </w:r>
          </w:p>
        </w:tc>
        <w:tc>
          <w:tcPr>
            <w:tcW w:w="511" w:type="pct"/>
            <w:gridSpan w:val="3"/>
            <w:vAlign w:val="center"/>
          </w:tcPr>
          <w:p w:rsidR="00301E4C" w:rsidRPr="00627E27" w:rsidRDefault="00301E4C" w:rsidP="00ED5652">
            <w:pPr>
              <w:jc w:val="center"/>
              <w:rPr>
                <w:rFonts w:ascii="Arial Narrow" w:hAnsi="Arial Narrow"/>
                <w:b/>
                <w:sz w:val="20"/>
                <w:szCs w:val="18"/>
              </w:rPr>
            </w:pPr>
            <w:r w:rsidRPr="00627E27">
              <w:rPr>
                <w:rFonts w:ascii="Arial Narrow" w:hAnsi="Arial Narrow"/>
                <w:b/>
                <w:sz w:val="20"/>
                <w:szCs w:val="18"/>
              </w:rPr>
              <w:t xml:space="preserve">Mean ∆ baseline </w:t>
            </w:r>
          </w:p>
        </w:tc>
        <w:tc>
          <w:tcPr>
            <w:tcW w:w="606" w:type="pct"/>
            <w:vAlign w:val="center"/>
          </w:tcPr>
          <w:p w:rsidR="00301E4C" w:rsidRPr="00627E27" w:rsidRDefault="00301E4C" w:rsidP="00ED5652">
            <w:pPr>
              <w:jc w:val="center"/>
              <w:rPr>
                <w:rFonts w:ascii="Arial Narrow" w:hAnsi="Arial Narrow"/>
                <w:b/>
                <w:sz w:val="20"/>
                <w:szCs w:val="18"/>
              </w:rPr>
            </w:pPr>
            <w:r w:rsidRPr="00627E27">
              <w:rPr>
                <w:rFonts w:ascii="Arial Narrow" w:hAnsi="Arial Narrow"/>
                <w:b/>
                <w:sz w:val="20"/>
                <w:szCs w:val="18"/>
              </w:rPr>
              <w:t>SD</w:t>
            </w:r>
          </w:p>
        </w:tc>
        <w:tc>
          <w:tcPr>
            <w:tcW w:w="1498" w:type="pct"/>
            <w:gridSpan w:val="2"/>
            <w:vMerge/>
            <w:vAlign w:val="center"/>
          </w:tcPr>
          <w:p w:rsidR="00301E4C" w:rsidRPr="00627E27" w:rsidRDefault="00301E4C" w:rsidP="00ED5652">
            <w:pPr>
              <w:jc w:val="center"/>
              <w:rPr>
                <w:rFonts w:ascii="Arial Narrow" w:hAnsi="Arial Narrow"/>
                <w:b/>
                <w:sz w:val="20"/>
                <w:szCs w:val="18"/>
              </w:rPr>
            </w:pPr>
          </w:p>
        </w:tc>
      </w:tr>
      <w:tr w:rsidR="00301E4C" w:rsidRPr="00627E27" w:rsidTr="00ED5652">
        <w:trPr>
          <w:trHeight w:val="20"/>
        </w:trPr>
        <w:tc>
          <w:tcPr>
            <w:tcW w:w="840" w:type="pct"/>
            <w:tcBorders>
              <w:bottom w:val="single" w:sz="4" w:space="0" w:color="auto"/>
            </w:tcBorders>
            <w:shd w:val="clear" w:color="auto" w:fill="auto"/>
            <w:vAlign w:val="center"/>
          </w:tcPr>
          <w:p w:rsidR="00301E4C" w:rsidRPr="00627E27" w:rsidRDefault="00301E4C" w:rsidP="00ED5652">
            <w:pPr>
              <w:rPr>
                <w:rFonts w:ascii="Arial Narrow" w:hAnsi="Arial Narrow"/>
                <w:color w:val="000000"/>
                <w:sz w:val="20"/>
                <w:szCs w:val="18"/>
              </w:rPr>
            </w:pPr>
            <w:r w:rsidRPr="00627E27">
              <w:rPr>
                <w:rFonts w:ascii="Arial Narrow" w:hAnsi="Arial Narrow"/>
                <w:color w:val="000000"/>
                <w:sz w:val="20"/>
                <w:szCs w:val="18"/>
              </w:rPr>
              <w:t>CAPACITY-1</w:t>
            </w:r>
          </w:p>
        </w:tc>
        <w:tc>
          <w:tcPr>
            <w:tcW w:w="268" w:type="pct"/>
            <w:tcBorders>
              <w:bottom w:val="sing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171</w:t>
            </w:r>
          </w:p>
        </w:tc>
        <w:tc>
          <w:tcPr>
            <w:tcW w:w="512" w:type="pct"/>
            <w:tcBorders>
              <w:bottom w:val="sing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-5.0</w:t>
            </w:r>
          </w:p>
        </w:tc>
        <w:tc>
          <w:tcPr>
            <w:tcW w:w="427" w:type="pct"/>
            <w:gridSpan w:val="2"/>
            <w:tcBorders>
              <w:bottom w:val="single" w:sz="4" w:space="0" w:color="auto"/>
            </w:tcBorders>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39" w:type="pct"/>
            <w:tcBorders>
              <w:bottom w:val="sing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173</w:t>
            </w:r>
          </w:p>
        </w:tc>
        <w:tc>
          <w:tcPr>
            <w:tcW w:w="511" w:type="pct"/>
            <w:gridSpan w:val="3"/>
            <w:tcBorders>
              <w:bottom w:val="sing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-6.9</w:t>
            </w:r>
          </w:p>
        </w:tc>
        <w:tc>
          <w:tcPr>
            <w:tcW w:w="606" w:type="pct"/>
            <w:tcBorders>
              <w:bottom w:val="single" w:sz="4" w:space="0" w:color="auto"/>
            </w:tcBorders>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498" w:type="pct"/>
            <w:gridSpan w:val="2"/>
            <w:vMerge w:val="restart"/>
            <w:vAlign w:val="center"/>
          </w:tcPr>
          <w:p w:rsidR="00301E4C" w:rsidRPr="00AF4647" w:rsidRDefault="00AF4647" w:rsidP="00ED5652">
            <w:pPr>
              <w:jc w:val="center"/>
              <w:rPr>
                <w:rFonts w:ascii="Arial Narrow" w:hAnsi="Arial Narrow"/>
                <w:sz w:val="20"/>
                <w:szCs w:val="18"/>
                <w:highlight w:val="black"/>
              </w:rPr>
            </w:pPr>
            <w:r>
              <w:rPr>
                <w:rFonts w:ascii="Arial Narrow" w:hAnsi="Arial Narrow"/>
                <w:noProof/>
                <w:color w:val="000000"/>
                <w:sz w:val="20"/>
                <w:szCs w:val="18"/>
                <w:highlight w:val="black"/>
              </w:rPr>
              <w:t>'''''''' ''''''''''''' ''''''''''''</w:t>
            </w:r>
          </w:p>
        </w:tc>
      </w:tr>
      <w:tr w:rsidR="00301E4C" w:rsidRPr="00627E27" w:rsidTr="00ED5652">
        <w:trPr>
          <w:trHeight w:val="20"/>
        </w:trPr>
        <w:tc>
          <w:tcPr>
            <w:tcW w:w="840" w:type="pct"/>
            <w:tcBorders>
              <w:bottom w:val="single" w:sz="4" w:space="0" w:color="auto"/>
            </w:tcBorders>
            <w:shd w:val="clear" w:color="auto" w:fill="auto"/>
            <w:vAlign w:val="center"/>
          </w:tcPr>
          <w:p w:rsidR="00301E4C" w:rsidRPr="00627E27" w:rsidRDefault="00301E4C" w:rsidP="00ED5652">
            <w:pPr>
              <w:rPr>
                <w:rFonts w:ascii="Arial Narrow" w:hAnsi="Arial Narrow"/>
                <w:color w:val="000000"/>
                <w:sz w:val="20"/>
                <w:szCs w:val="18"/>
              </w:rPr>
            </w:pPr>
            <w:r w:rsidRPr="00627E27">
              <w:rPr>
                <w:rFonts w:ascii="Arial Narrow" w:hAnsi="Arial Narrow"/>
                <w:color w:val="000000"/>
                <w:sz w:val="20"/>
                <w:szCs w:val="18"/>
              </w:rPr>
              <w:t>CAPACITY-2</w:t>
            </w:r>
          </w:p>
        </w:tc>
        <w:tc>
          <w:tcPr>
            <w:tcW w:w="268" w:type="pct"/>
            <w:tcBorders>
              <w:bottom w:val="sing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174</w:t>
            </w:r>
          </w:p>
        </w:tc>
        <w:tc>
          <w:tcPr>
            <w:tcW w:w="512" w:type="pct"/>
            <w:tcBorders>
              <w:bottom w:val="sing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-4.4</w:t>
            </w:r>
          </w:p>
        </w:tc>
        <w:tc>
          <w:tcPr>
            <w:tcW w:w="427" w:type="pct"/>
            <w:gridSpan w:val="2"/>
            <w:tcBorders>
              <w:bottom w:val="single" w:sz="4" w:space="0" w:color="auto"/>
            </w:tcBorders>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39" w:type="pct"/>
            <w:tcBorders>
              <w:bottom w:val="sing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174</w:t>
            </w:r>
          </w:p>
        </w:tc>
        <w:tc>
          <w:tcPr>
            <w:tcW w:w="511" w:type="pct"/>
            <w:gridSpan w:val="3"/>
            <w:tcBorders>
              <w:bottom w:val="sing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-9.2</w:t>
            </w:r>
          </w:p>
        </w:tc>
        <w:tc>
          <w:tcPr>
            <w:tcW w:w="606" w:type="pct"/>
            <w:tcBorders>
              <w:bottom w:val="single" w:sz="4" w:space="0" w:color="auto"/>
            </w:tcBorders>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498" w:type="pct"/>
            <w:gridSpan w:val="2"/>
            <w:vMerge/>
            <w:vAlign w:val="center"/>
          </w:tcPr>
          <w:p w:rsidR="00301E4C" w:rsidRPr="00627E27" w:rsidRDefault="00301E4C" w:rsidP="00ED5652">
            <w:pPr>
              <w:jc w:val="center"/>
              <w:rPr>
                <w:rFonts w:ascii="Arial Narrow" w:hAnsi="Arial Narrow"/>
                <w:sz w:val="20"/>
                <w:szCs w:val="18"/>
              </w:rPr>
            </w:pPr>
          </w:p>
        </w:tc>
      </w:tr>
      <w:tr w:rsidR="00301E4C" w:rsidRPr="00627E27" w:rsidTr="00ED5652">
        <w:trPr>
          <w:trHeight w:val="20"/>
        </w:trPr>
        <w:tc>
          <w:tcPr>
            <w:tcW w:w="840" w:type="pct"/>
            <w:tcBorders>
              <w:top w:val="single" w:sz="4" w:space="0" w:color="auto"/>
              <w:bottom w:val="double" w:sz="4" w:space="0" w:color="auto"/>
            </w:tcBorders>
            <w:shd w:val="clear" w:color="auto" w:fill="auto"/>
            <w:vAlign w:val="center"/>
          </w:tcPr>
          <w:p w:rsidR="00301E4C" w:rsidRPr="00627E27" w:rsidRDefault="00301E4C" w:rsidP="00ED5652">
            <w:pPr>
              <w:rPr>
                <w:rFonts w:ascii="Arial Narrow" w:hAnsi="Arial Narrow"/>
                <w:color w:val="000000"/>
                <w:sz w:val="20"/>
                <w:szCs w:val="18"/>
              </w:rPr>
            </w:pPr>
            <w:r w:rsidRPr="00627E27">
              <w:rPr>
                <w:rFonts w:ascii="Arial Narrow" w:hAnsi="Arial Narrow"/>
                <w:color w:val="000000"/>
                <w:sz w:val="20"/>
                <w:szCs w:val="18"/>
              </w:rPr>
              <w:t>ASCEND</w:t>
            </w:r>
          </w:p>
        </w:tc>
        <w:tc>
          <w:tcPr>
            <w:tcW w:w="268" w:type="pct"/>
            <w:tcBorders>
              <w:top w:val="single" w:sz="4" w:space="0" w:color="auto"/>
              <w:bottom w:val="doub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278</w:t>
            </w:r>
          </w:p>
        </w:tc>
        <w:tc>
          <w:tcPr>
            <w:tcW w:w="512" w:type="pct"/>
            <w:tcBorders>
              <w:top w:val="single" w:sz="4" w:space="0" w:color="auto"/>
              <w:bottom w:val="doub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w:t>
            </w:r>
            <w:r w:rsidR="00AF4647">
              <w:rPr>
                <w:rFonts w:ascii="Arial Narrow" w:hAnsi="Arial Narrow"/>
                <w:noProof/>
                <w:color w:val="000000"/>
                <w:sz w:val="20"/>
                <w:szCs w:val="18"/>
                <w:highlight w:val="black"/>
              </w:rPr>
              <w:t>'''''''</w:t>
            </w:r>
          </w:p>
        </w:tc>
        <w:tc>
          <w:tcPr>
            <w:tcW w:w="427" w:type="pct"/>
            <w:gridSpan w:val="2"/>
            <w:tcBorders>
              <w:top w:val="single" w:sz="4" w:space="0" w:color="auto"/>
              <w:bottom w:val="double" w:sz="4" w:space="0" w:color="auto"/>
            </w:tcBorders>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39" w:type="pct"/>
            <w:tcBorders>
              <w:top w:val="single" w:sz="4" w:space="0" w:color="auto"/>
              <w:bottom w:val="doub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277</w:t>
            </w:r>
          </w:p>
        </w:tc>
        <w:tc>
          <w:tcPr>
            <w:tcW w:w="511" w:type="pct"/>
            <w:gridSpan w:val="3"/>
            <w:tcBorders>
              <w:top w:val="single" w:sz="4" w:space="0" w:color="auto"/>
              <w:bottom w:val="double" w:sz="4" w:space="0" w:color="auto"/>
            </w:tcBorders>
            <w:vAlign w:val="center"/>
          </w:tcPr>
          <w:p w:rsidR="00301E4C" w:rsidRPr="00627E27" w:rsidRDefault="00301E4C" w:rsidP="00ED5652">
            <w:pPr>
              <w:jc w:val="center"/>
              <w:rPr>
                <w:rFonts w:ascii="Arial Narrow" w:hAnsi="Arial Narrow"/>
                <w:color w:val="000000"/>
                <w:sz w:val="20"/>
                <w:szCs w:val="18"/>
              </w:rPr>
            </w:pPr>
            <w:r w:rsidRPr="00627E27">
              <w:rPr>
                <w:rFonts w:ascii="Arial Narrow" w:hAnsi="Arial Narrow"/>
                <w:color w:val="000000"/>
                <w:sz w:val="20"/>
                <w:szCs w:val="18"/>
              </w:rPr>
              <w:t>-</w:t>
            </w:r>
            <w:r w:rsidR="00AF4647">
              <w:rPr>
                <w:rFonts w:ascii="Arial Narrow" w:hAnsi="Arial Narrow"/>
                <w:noProof/>
                <w:color w:val="000000"/>
                <w:sz w:val="20"/>
                <w:szCs w:val="18"/>
                <w:highlight w:val="black"/>
              </w:rPr>
              <w:t>''''''''''''</w:t>
            </w:r>
          </w:p>
        </w:tc>
        <w:tc>
          <w:tcPr>
            <w:tcW w:w="606" w:type="pct"/>
            <w:tcBorders>
              <w:top w:val="single" w:sz="4" w:space="0" w:color="auto"/>
              <w:bottom w:val="double" w:sz="4" w:space="0" w:color="auto"/>
            </w:tcBorders>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498" w:type="pct"/>
            <w:gridSpan w:val="2"/>
            <w:vMerge/>
            <w:tcBorders>
              <w:bottom w:val="double" w:sz="4" w:space="0" w:color="auto"/>
            </w:tcBorders>
            <w:vAlign w:val="center"/>
          </w:tcPr>
          <w:p w:rsidR="00301E4C" w:rsidRPr="00627E27" w:rsidRDefault="00301E4C" w:rsidP="00ED5652">
            <w:pPr>
              <w:jc w:val="center"/>
              <w:rPr>
                <w:rFonts w:ascii="Arial Narrow" w:hAnsi="Arial Narrow"/>
                <w:sz w:val="20"/>
                <w:szCs w:val="18"/>
              </w:rPr>
            </w:pPr>
          </w:p>
        </w:tc>
      </w:tr>
      <w:tr w:rsidR="00301E4C" w:rsidRPr="00627E27" w:rsidTr="00ED5652">
        <w:trPr>
          <w:trHeight w:val="20"/>
        </w:trPr>
        <w:tc>
          <w:tcPr>
            <w:tcW w:w="5000" w:type="pct"/>
            <w:gridSpan w:val="12"/>
            <w:tcBorders>
              <w:top w:val="double" w:sz="4" w:space="0" w:color="auto"/>
            </w:tcBorders>
            <w:shd w:val="clear" w:color="auto" w:fill="auto"/>
            <w:vAlign w:val="center"/>
          </w:tcPr>
          <w:p w:rsidR="00301E4C" w:rsidRPr="00627E27" w:rsidRDefault="00301E4C" w:rsidP="00ED5652">
            <w:pPr>
              <w:rPr>
                <w:rFonts w:ascii="Arial Narrow" w:hAnsi="Arial Narrow"/>
                <w:b/>
                <w:color w:val="000000"/>
                <w:sz w:val="20"/>
                <w:szCs w:val="18"/>
              </w:rPr>
            </w:pPr>
            <w:r w:rsidRPr="00627E27">
              <w:rPr>
                <w:rFonts w:ascii="Arial Narrow" w:hAnsi="Arial Narrow"/>
                <w:b/>
                <w:color w:val="000000"/>
                <w:sz w:val="20"/>
                <w:szCs w:val="18"/>
              </w:rPr>
              <w:t xml:space="preserve">Harms^ </w:t>
            </w:r>
          </w:p>
        </w:tc>
      </w:tr>
      <w:tr w:rsidR="00301E4C" w:rsidRPr="00627E27" w:rsidTr="00ED5652">
        <w:trPr>
          <w:trHeight w:val="20"/>
        </w:trPr>
        <w:tc>
          <w:tcPr>
            <w:tcW w:w="840" w:type="pct"/>
            <w:vMerge w:val="restart"/>
            <w:shd w:val="clear" w:color="auto" w:fill="auto"/>
            <w:vAlign w:val="center"/>
          </w:tcPr>
          <w:p w:rsidR="00301E4C" w:rsidRPr="00627E27" w:rsidRDefault="00301E4C" w:rsidP="00ED5652">
            <w:pPr>
              <w:rPr>
                <w:rFonts w:ascii="Arial Narrow" w:hAnsi="Arial Narrow"/>
                <w:b/>
                <w:color w:val="000000"/>
                <w:sz w:val="20"/>
                <w:szCs w:val="18"/>
              </w:rPr>
            </w:pPr>
          </w:p>
        </w:tc>
        <w:tc>
          <w:tcPr>
            <w:tcW w:w="780" w:type="pct"/>
            <w:gridSpan w:val="2"/>
            <w:vMerge w:val="restart"/>
            <w:vAlign w:val="center"/>
          </w:tcPr>
          <w:p w:rsidR="00301E4C" w:rsidRPr="00627E27" w:rsidRDefault="00301E4C" w:rsidP="00ED5652">
            <w:pPr>
              <w:jc w:val="center"/>
              <w:rPr>
                <w:rFonts w:ascii="Arial Narrow" w:hAnsi="Arial Narrow"/>
                <w:b/>
                <w:color w:val="000000"/>
                <w:sz w:val="20"/>
                <w:szCs w:val="18"/>
              </w:rPr>
            </w:pPr>
            <w:proofErr w:type="spellStart"/>
            <w:r w:rsidRPr="00627E27">
              <w:rPr>
                <w:rFonts w:ascii="Arial Narrow" w:hAnsi="Arial Narrow"/>
                <w:b/>
                <w:color w:val="000000"/>
                <w:sz w:val="20"/>
                <w:szCs w:val="18"/>
              </w:rPr>
              <w:t>Pirfenidone</w:t>
            </w:r>
            <w:proofErr w:type="spellEnd"/>
          </w:p>
        </w:tc>
        <w:tc>
          <w:tcPr>
            <w:tcW w:w="427" w:type="pct"/>
            <w:gridSpan w:val="2"/>
            <w:vMerge w:val="restart"/>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Placebo</w:t>
            </w:r>
          </w:p>
        </w:tc>
        <w:tc>
          <w:tcPr>
            <w:tcW w:w="849" w:type="pct"/>
            <w:gridSpan w:val="4"/>
            <w:vMerge w:val="restart"/>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RR (95% CI)</w:t>
            </w:r>
          </w:p>
        </w:tc>
        <w:tc>
          <w:tcPr>
            <w:tcW w:w="1206" w:type="pct"/>
            <w:gridSpan w:val="2"/>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 xml:space="preserve">Event rate/100 patients* </w:t>
            </w:r>
          </w:p>
        </w:tc>
        <w:tc>
          <w:tcPr>
            <w:tcW w:w="898" w:type="pct"/>
            <w:vMerge w:val="restart"/>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RD% (95% CI)</w:t>
            </w:r>
          </w:p>
        </w:tc>
      </w:tr>
      <w:tr w:rsidR="00301E4C" w:rsidRPr="00627E27" w:rsidTr="00ED5652">
        <w:trPr>
          <w:trHeight w:val="20"/>
        </w:trPr>
        <w:tc>
          <w:tcPr>
            <w:tcW w:w="840" w:type="pct"/>
            <w:vMerge/>
            <w:shd w:val="clear" w:color="auto" w:fill="auto"/>
            <w:vAlign w:val="center"/>
          </w:tcPr>
          <w:p w:rsidR="00301E4C" w:rsidRPr="00627E27" w:rsidRDefault="00301E4C" w:rsidP="00ED5652">
            <w:pPr>
              <w:rPr>
                <w:rFonts w:ascii="Arial Narrow" w:hAnsi="Arial Narrow"/>
                <w:b/>
                <w:color w:val="000000"/>
                <w:sz w:val="20"/>
                <w:szCs w:val="18"/>
              </w:rPr>
            </w:pPr>
          </w:p>
        </w:tc>
        <w:tc>
          <w:tcPr>
            <w:tcW w:w="780" w:type="pct"/>
            <w:gridSpan w:val="2"/>
            <w:vMerge/>
            <w:vAlign w:val="center"/>
          </w:tcPr>
          <w:p w:rsidR="00301E4C" w:rsidRPr="00627E27" w:rsidRDefault="00301E4C" w:rsidP="00ED5652">
            <w:pPr>
              <w:jc w:val="center"/>
              <w:rPr>
                <w:rFonts w:ascii="Arial Narrow" w:hAnsi="Arial Narrow"/>
                <w:b/>
                <w:color w:val="000000"/>
                <w:sz w:val="20"/>
                <w:szCs w:val="18"/>
              </w:rPr>
            </w:pPr>
          </w:p>
        </w:tc>
        <w:tc>
          <w:tcPr>
            <w:tcW w:w="427" w:type="pct"/>
            <w:gridSpan w:val="2"/>
            <w:vMerge/>
            <w:vAlign w:val="center"/>
          </w:tcPr>
          <w:p w:rsidR="00301E4C" w:rsidRPr="00627E27" w:rsidRDefault="00301E4C" w:rsidP="00ED5652">
            <w:pPr>
              <w:jc w:val="center"/>
              <w:rPr>
                <w:rFonts w:ascii="Arial Narrow" w:hAnsi="Arial Narrow"/>
                <w:b/>
                <w:color w:val="000000"/>
                <w:sz w:val="20"/>
                <w:szCs w:val="18"/>
              </w:rPr>
            </w:pPr>
          </w:p>
        </w:tc>
        <w:tc>
          <w:tcPr>
            <w:tcW w:w="849" w:type="pct"/>
            <w:gridSpan w:val="4"/>
            <w:vMerge/>
            <w:vAlign w:val="center"/>
          </w:tcPr>
          <w:p w:rsidR="00301E4C" w:rsidRPr="00627E27" w:rsidRDefault="00301E4C" w:rsidP="00ED5652">
            <w:pPr>
              <w:jc w:val="center"/>
              <w:rPr>
                <w:rFonts w:ascii="Arial Narrow" w:hAnsi="Arial Narrow"/>
                <w:b/>
                <w:color w:val="000000"/>
                <w:sz w:val="20"/>
                <w:szCs w:val="18"/>
              </w:rPr>
            </w:pPr>
          </w:p>
        </w:tc>
        <w:tc>
          <w:tcPr>
            <w:tcW w:w="606" w:type="pct"/>
            <w:vAlign w:val="center"/>
          </w:tcPr>
          <w:p w:rsidR="00301E4C" w:rsidRPr="00627E27" w:rsidRDefault="00301E4C" w:rsidP="00ED5652">
            <w:pPr>
              <w:jc w:val="center"/>
              <w:rPr>
                <w:rFonts w:ascii="Arial Narrow" w:hAnsi="Arial Narrow"/>
                <w:b/>
                <w:color w:val="000000"/>
                <w:sz w:val="20"/>
                <w:szCs w:val="18"/>
              </w:rPr>
            </w:pPr>
            <w:proofErr w:type="spellStart"/>
            <w:r w:rsidRPr="00627E27">
              <w:rPr>
                <w:rFonts w:ascii="Arial Narrow" w:hAnsi="Arial Narrow"/>
                <w:b/>
                <w:color w:val="000000"/>
                <w:sz w:val="20"/>
                <w:szCs w:val="18"/>
              </w:rPr>
              <w:t>Pirfenidone</w:t>
            </w:r>
            <w:proofErr w:type="spellEnd"/>
          </w:p>
        </w:tc>
        <w:tc>
          <w:tcPr>
            <w:tcW w:w="600" w:type="pct"/>
            <w:vAlign w:val="center"/>
          </w:tcPr>
          <w:p w:rsidR="00301E4C" w:rsidRPr="00627E27" w:rsidRDefault="00301E4C" w:rsidP="00ED5652">
            <w:pPr>
              <w:jc w:val="center"/>
              <w:rPr>
                <w:rFonts w:ascii="Arial Narrow" w:hAnsi="Arial Narrow"/>
                <w:b/>
                <w:color w:val="000000"/>
                <w:sz w:val="20"/>
                <w:szCs w:val="18"/>
              </w:rPr>
            </w:pPr>
            <w:r w:rsidRPr="00627E27">
              <w:rPr>
                <w:rFonts w:ascii="Arial Narrow" w:hAnsi="Arial Narrow"/>
                <w:b/>
                <w:color w:val="000000"/>
                <w:sz w:val="20"/>
                <w:szCs w:val="18"/>
              </w:rPr>
              <w:t>Placebo</w:t>
            </w:r>
          </w:p>
        </w:tc>
        <w:tc>
          <w:tcPr>
            <w:tcW w:w="898" w:type="pct"/>
            <w:vMerge/>
            <w:vAlign w:val="center"/>
          </w:tcPr>
          <w:p w:rsidR="00301E4C" w:rsidRPr="00627E27" w:rsidRDefault="00301E4C" w:rsidP="00ED5652">
            <w:pPr>
              <w:jc w:val="center"/>
              <w:rPr>
                <w:rFonts w:ascii="Arial Narrow" w:hAnsi="Arial Narrow"/>
                <w:b/>
                <w:color w:val="000000"/>
                <w:sz w:val="20"/>
                <w:szCs w:val="18"/>
              </w:rPr>
            </w:pPr>
          </w:p>
        </w:tc>
      </w:tr>
      <w:tr w:rsidR="00301E4C" w:rsidRPr="00627E27" w:rsidTr="00ED5652">
        <w:trPr>
          <w:trHeight w:val="20"/>
        </w:trPr>
        <w:tc>
          <w:tcPr>
            <w:tcW w:w="5000" w:type="pct"/>
            <w:gridSpan w:val="12"/>
            <w:shd w:val="clear" w:color="auto" w:fill="auto"/>
            <w:vAlign w:val="center"/>
          </w:tcPr>
          <w:p w:rsidR="00301E4C" w:rsidRPr="00627E27" w:rsidRDefault="00301E4C" w:rsidP="00ED5652">
            <w:pPr>
              <w:rPr>
                <w:rFonts w:ascii="Arial Narrow" w:hAnsi="Arial Narrow"/>
                <w:b/>
                <w:color w:val="000000"/>
                <w:sz w:val="20"/>
                <w:szCs w:val="18"/>
              </w:rPr>
            </w:pPr>
            <w:r w:rsidRPr="00627E27">
              <w:rPr>
                <w:rFonts w:ascii="Arial Narrow" w:hAnsi="Arial Narrow"/>
                <w:b/>
                <w:color w:val="000000"/>
                <w:sz w:val="20"/>
                <w:szCs w:val="18"/>
              </w:rPr>
              <w:t>Photosensitivity reaction</w:t>
            </w:r>
          </w:p>
        </w:tc>
      </w:tr>
      <w:tr w:rsidR="00301E4C" w:rsidRPr="00627E27" w:rsidTr="00ED5652">
        <w:trPr>
          <w:trHeight w:val="20"/>
        </w:trPr>
        <w:tc>
          <w:tcPr>
            <w:tcW w:w="840" w:type="pct"/>
            <w:shd w:val="clear" w:color="auto" w:fill="auto"/>
            <w:vAlign w:val="center"/>
          </w:tcPr>
          <w:p w:rsidR="00301E4C" w:rsidRPr="00627E27" w:rsidRDefault="00301E4C" w:rsidP="00ED5652">
            <w:pPr>
              <w:rPr>
                <w:rFonts w:ascii="Arial Narrow" w:hAnsi="Arial Narrow"/>
                <w:color w:val="000000"/>
                <w:sz w:val="20"/>
                <w:szCs w:val="18"/>
              </w:rPr>
            </w:pPr>
            <w:r w:rsidRPr="00627E27">
              <w:rPr>
                <w:rFonts w:ascii="Arial Narrow" w:hAnsi="Arial Narrow"/>
                <w:color w:val="000000"/>
                <w:sz w:val="20"/>
                <w:szCs w:val="18"/>
              </w:rPr>
              <w:t xml:space="preserve">ASCEND, CAPACITY-1 &amp; 2 </w:t>
            </w:r>
          </w:p>
        </w:tc>
        <w:tc>
          <w:tcPr>
            <w:tcW w:w="780" w:type="pct"/>
            <w:gridSpan w:val="2"/>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7" w:type="pct"/>
            <w:gridSpan w:val="2"/>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9" w:type="pct"/>
            <w:gridSpan w:val="4"/>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06"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00"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98"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301E4C" w:rsidRPr="00627E27" w:rsidTr="00ED5652">
        <w:trPr>
          <w:trHeight w:val="20"/>
        </w:trPr>
        <w:tc>
          <w:tcPr>
            <w:tcW w:w="5000" w:type="pct"/>
            <w:gridSpan w:val="12"/>
            <w:shd w:val="clear" w:color="auto" w:fill="auto"/>
            <w:vAlign w:val="center"/>
          </w:tcPr>
          <w:p w:rsidR="00301E4C" w:rsidRPr="00627E27" w:rsidRDefault="00301E4C" w:rsidP="00ED5652">
            <w:pPr>
              <w:rPr>
                <w:rFonts w:ascii="Arial Narrow" w:hAnsi="Arial Narrow"/>
                <w:b/>
                <w:color w:val="000000"/>
                <w:sz w:val="20"/>
                <w:szCs w:val="18"/>
              </w:rPr>
            </w:pPr>
            <w:r w:rsidRPr="00627E27">
              <w:rPr>
                <w:rFonts w:ascii="Arial Narrow" w:hAnsi="Arial Narrow"/>
                <w:b/>
                <w:color w:val="000000"/>
                <w:sz w:val="20"/>
                <w:szCs w:val="18"/>
              </w:rPr>
              <w:t>Rash</w:t>
            </w:r>
          </w:p>
        </w:tc>
      </w:tr>
      <w:tr w:rsidR="00301E4C" w:rsidRPr="00627E27" w:rsidTr="00ED5652">
        <w:trPr>
          <w:trHeight w:val="20"/>
        </w:trPr>
        <w:tc>
          <w:tcPr>
            <w:tcW w:w="840" w:type="pct"/>
            <w:shd w:val="clear" w:color="auto" w:fill="auto"/>
            <w:vAlign w:val="center"/>
          </w:tcPr>
          <w:p w:rsidR="00301E4C" w:rsidRPr="00627E27" w:rsidRDefault="00301E4C" w:rsidP="00ED5652">
            <w:pPr>
              <w:rPr>
                <w:rFonts w:ascii="Arial Narrow" w:hAnsi="Arial Narrow"/>
                <w:color w:val="000000"/>
                <w:sz w:val="20"/>
                <w:szCs w:val="18"/>
              </w:rPr>
            </w:pPr>
            <w:r w:rsidRPr="00627E27">
              <w:rPr>
                <w:rFonts w:ascii="Arial Narrow" w:hAnsi="Arial Narrow"/>
                <w:color w:val="000000"/>
                <w:sz w:val="20"/>
                <w:szCs w:val="18"/>
              </w:rPr>
              <w:t xml:space="preserve">ASCEND, CAPACITY-1 &amp; 2 </w:t>
            </w:r>
          </w:p>
        </w:tc>
        <w:tc>
          <w:tcPr>
            <w:tcW w:w="780" w:type="pct"/>
            <w:gridSpan w:val="2"/>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7" w:type="pct"/>
            <w:gridSpan w:val="2"/>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9" w:type="pct"/>
            <w:gridSpan w:val="4"/>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06"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00"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98"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301E4C" w:rsidRPr="00627E27" w:rsidTr="00ED5652">
        <w:trPr>
          <w:trHeight w:val="20"/>
        </w:trPr>
        <w:tc>
          <w:tcPr>
            <w:tcW w:w="5000" w:type="pct"/>
            <w:gridSpan w:val="12"/>
            <w:shd w:val="clear" w:color="auto" w:fill="auto"/>
            <w:vAlign w:val="center"/>
          </w:tcPr>
          <w:p w:rsidR="00301E4C" w:rsidRPr="00627E27" w:rsidRDefault="00301E4C" w:rsidP="00ED5652">
            <w:pPr>
              <w:rPr>
                <w:rFonts w:ascii="Arial Narrow" w:hAnsi="Arial Narrow"/>
                <w:color w:val="000000"/>
                <w:sz w:val="20"/>
                <w:szCs w:val="18"/>
              </w:rPr>
            </w:pPr>
            <w:r w:rsidRPr="00627E27">
              <w:rPr>
                <w:rFonts w:ascii="Arial Narrow" w:hAnsi="Arial Narrow"/>
                <w:b/>
                <w:color w:val="000000"/>
                <w:sz w:val="20"/>
                <w:szCs w:val="18"/>
              </w:rPr>
              <w:t>Stomach discomfort</w:t>
            </w:r>
          </w:p>
        </w:tc>
      </w:tr>
      <w:tr w:rsidR="00301E4C" w:rsidRPr="00627E27" w:rsidTr="00ED5652">
        <w:trPr>
          <w:trHeight w:val="20"/>
        </w:trPr>
        <w:tc>
          <w:tcPr>
            <w:tcW w:w="840" w:type="pct"/>
            <w:shd w:val="clear" w:color="auto" w:fill="auto"/>
            <w:vAlign w:val="center"/>
          </w:tcPr>
          <w:p w:rsidR="00301E4C" w:rsidRPr="00627E27" w:rsidRDefault="00301E4C" w:rsidP="00ED5652">
            <w:pPr>
              <w:rPr>
                <w:rFonts w:ascii="Arial Narrow" w:hAnsi="Arial Narrow"/>
                <w:color w:val="000000"/>
                <w:sz w:val="20"/>
                <w:szCs w:val="18"/>
              </w:rPr>
            </w:pPr>
            <w:r w:rsidRPr="00627E27">
              <w:rPr>
                <w:rFonts w:ascii="Arial Narrow" w:hAnsi="Arial Narrow"/>
                <w:color w:val="000000"/>
                <w:sz w:val="20"/>
                <w:szCs w:val="18"/>
              </w:rPr>
              <w:t xml:space="preserve">ASCEND, CAPACITY-1 &amp; 2 </w:t>
            </w:r>
          </w:p>
        </w:tc>
        <w:tc>
          <w:tcPr>
            <w:tcW w:w="780" w:type="pct"/>
            <w:gridSpan w:val="2"/>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427" w:type="pct"/>
            <w:gridSpan w:val="2"/>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849" w:type="pct"/>
            <w:gridSpan w:val="4"/>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highlight w:val="black"/>
              </w:rPr>
              <w:t xml:space="preserve">'''''''''' '''''''''''' ''''''''''''' </w:t>
            </w:r>
          </w:p>
        </w:tc>
        <w:tc>
          <w:tcPr>
            <w:tcW w:w="606"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600"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898" w:type="pct"/>
            <w:vAlign w:val="center"/>
          </w:tcPr>
          <w:p w:rsidR="00301E4C" w:rsidRPr="00AF4647" w:rsidRDefault="00AF4647" w:rsidP="00ED5652">
            <w:pPr>
              <w:jc w:val="center"/>
              <w:rPr>
                <w:rFonts w:ascii="Arial Narrow" w:hAnsi="Arial Narrow"/>
                <w:color w:val="000000"/>
                <w:sz w:val="20"/>
                <w:szCs w:val="18"/>
                <w:highlight w:val="black"/>
              </w:rPr>
            </w:pPr>
            <w:r>
              <w:rPr>
                <w:rFonts w:ascii="Arial Narrow" w:hAnsi="Arial Narrow"/>
                <w:noProof/>
                <w:color w:val="000000"/>
                <w:sz w:val="20"/>
                <w:highlight w:val="black"/>
              </w:rPr>
              <w:t xml:space="preserve">''''''''' ''''''''''' '''''''''' </w:t>
            </w:r>
          </w:p>
        </w:tc>
      </w:tr>
    </w:tbl>
    <w:p w:rsidR="00301E4C" w:rsidRDefault="00301E4C" w:rsidP="00301E4C">
      <w:pPr>
        <w:pStyle w:val="TableFooter"/>
        <w:ind w:firstLine="720"/>
      </w:pPr>
      <w:r w:rsidRPr="0072416F">
        <w:t>Abbreviations: RD = risk difference; RR = risk ratio</w:t>
      </w:r>
      <w:r>
        <w:t xml:space="preserve">; </w:t>
      </w:r>
      <w:proofErr w:type="spellStart"/>
      <w:r>
        <w:t>FVC%Pred</w:t>
      </w:r>
      <w:proofErr w:type="spellEnd"/>
      <w:r>
        <w:t xml:space="preserve"> = Forced vital capacity percent predicted</w:t>
      </w:r>
    </w:p>
    <w:p w:rsidR="00301E4C" w:rsidRDefault="00301E4C" w:rsidP="00301E4C">
      <w:pPr>
        <w:pStyle w:val="TableFooter"/>
        <w:ind w:left="720"/>
      </w:pPr>
      <w:r w:rsidRPr="0072416F">
        <w:t xml:space="preserve">* </w:t>
      </w:r>
      <w:r>
        <w:t>Duration: ASCEND = 52 weeks; CAPACITY-2 = 72 weeks; CAPACITY-1 = 72 weeks</w:t>
      </w:r>
    </w:p>
    <w:p w:rsidR="00301E4C" w:rsidRPr="0072416F" w:rsidRDefault="00301E4C" w:rsidP="00301E4C">
      <w:pPr>
        <w:pStyle w:val="TableFooter"/>
        <w:ind w:left="720"/>
      </w:pPr>
      <w:r>
        <w:t>^ Mean difference, relative risk and risk difference (%) were calculated from the meta-analysis of ASCEND, CAPACITY-1 and CAPACITY-2 according to the random effects model (</w:t>
      </w:r>
      <w:proofErr w:type="spellStart"/>
      <w:r>
        <w:t>DerSimonian</w:t>
      </w:r>
      <w:proofErr w:type="spellEnd"/>
      <w:r>
        <w:t xml:space="preserve">-Laird; </w:t>
      </w:r>
      <w:proofErr w:type="spellStart"/>
      <w:r>
        <w:t>StatsDirect</w:t>
      </w:r>
      <w:proofErr w:type="spellEnd"/>
      <w:r>
        <w:t xml:space="preserve"> Version 2.7.9).  </w:t>
      </w:r>
    </w:p>
    <w:p w:rsidR="00301E4C" w:rsidRPr="0072416F" w:rsidRDefault="00301E4C" w:rsidP="00301E4C">
      <w:pPr>
        <w:pStyle w:val="TableFooter"/>
        <w:ind w:firstLine="720"/>
      </w:pPr>
      <w:r w:rsidRPr="0072416F">
        <w:t>Source: Compiled during the evaluation</w:t>
      </w:r>
    </w:p>
    <w:p w:rsidR="00301E4C" w:rsidRDefault="00301E4C" w:rsidP="00301E4C"/>
    <w:p w:rsidR="00301E4C" w:rsidRDefault="00301E4C" w:rsidP="00B9372F">
      <w:pPr>
        <w:pStyle w:val="ListParagraph"/>
        <w:widowControl/>
        <w:numPr>
          <w:ilvl w:val="1"/>
          <w:numId w:val="2"/>
        </w:numPr>
        <w:rPr>
          <w:szCs w:val="22"/>
        </w:rPr>
      </w:pPr>
      <w:r w:rsidRPr="002546B0">
        <w:rPr>
          <w:szCs w:val="22"/>
        </w:rPr>
        <w:t xml:space="preserve">On the basis of </w:t>
      </w:r>
      <w:r>
        <w:rPr>
          <w:szCs w:val="22"/>
        </w:rPr>
        <w:t>direct</w:t>
      </w:r>
      <w:r w:rsidRPr="002546B0">
        <w:rPr>
          <w:szCs w:val="22"/>
        </w:rPr>
        <w:t xml:space="preserve"> evidence presented by the submission, </w:t>
      </w:r>
      <w:r>
        <w:rPr>
          <w:szCs w:val="22"/>
        </w:rPr>
        <w:t xml:space="preserve">in comparison to placebo, </w:t>
      </w:r>
      <w:proofErr w:type="spellStart"/>
      <w:r>
        <w:rPr>
          <w:szCs w:val="22"/>
        </w:rPr>
        <w:t>pirfenidone</w:t>
      </w:r>
      <w:proofErr w:type="spellEnd"/>
      <w:r>
        <w:rPr>
          <w:szCs w:val="22"/>
        </w:rPr>
        <w:t xml:space="preserve"> was associated with</w:t>
      </w:r>
      <w:r w:rsidRPr="002546B0">
        <w:rPr>
          <w:szCs w:val="22"/>
        </w:rPr>
        <w:t>:</w:t>
      </w:r>
    </w:p>
    <w:p w:rsidR="00301E4C" w:rsidRDefault="00301E4C" w:rsidP="00E813E0">
      <w:pPr>
        <w:pStyle w:val="ListParagraph"/>
        <w:widowControl/>
        <w:numPr>
          <w:ilvl w:val="0"/>
          <w:numId w:val="1"/>
        </w:numPr>
        <w:ind w:left="993" w:hanging="284"/>
        <w:rPr>
          <w:szCs w:val="22"/>
        </w:rPr>
      </w:pPr>
      <w:r w:rsidRPr="00E813E0">
        <w:rPr>
          <w:szCs w:val="22"/>
        </w:rPr>
        <w:t>Approximately</w:t>
      </w:r>
      <w:r>
        <w:rPr>
          <w:szCs w:val="22"/>
        </w:rPr>
        <w:t xml:space="preserve"> a 4.0% reduction in absolute change in </w:t>
      </w:r>
      <w:r w:rsidR="00C74EBB">
        <w:t>f</w:t>
      </w:r>
      <w:r w:rsidR="0056546D">
        <w:t>orced vital capacity percent predicted</w:t>
      </w:r>
      <w:r w:rsidR="0056546D">
        <w:rPr>
          <w:szCs w:val="22"/>
        </w:rPr>
        <w:t xml:space="preserve"> (</w:t>
      </w:r>
      <w:r>
        <w:rPr>
          <w:szCs w:val="22"/>
        </w:rPr>
        <w:t>FVC%</w:t>
      </w:r>
      <w:r w:rsidR="005A6A09">
        <w:rPr>
          <w:szCs w:val="22"/>
        </w:rPr>
        <w:t xml:space="preserve"> </w:t>
      </w:r>
      <w:proofErr w:type="spellStart"/>
      <w:r>
        <w:rPr>
          <w:szCs w:val="22"/>
        </w:rPr>
        <w:t>Pred</w:t>
      </w:r>
      <w:proofErr w:type="spellEnd"/>
      <w:r w:rsidR="0056546D">
        <w:rPr>
          <w:szCs w:val="22"/>
        </w:rPr>
        <w:t>)</w:t>
      </w:r>
      <w:r>
        <w:rPr>
          <w:szCs w:val="22"/>
        </w:rPr>
        <w:t xml:space="preserve"> from baseline to week 52.</w:t>
      </w:r>
    </w:p>
    <w:p w:rsidR="0056546D" w:rsidRPr="00E96DC1" w:rsidRDefault="0056546D" w:rsidP="00B9372F">
      <w:pPr>
        <w:pStyle w:val="ListParagraph"/>
        <w:widowControl/>
        <w:numPr>
          <w:ilvl w:val="0"/>
          <w:numId w:val="1"/>
        </w:numPr>
        <w:ind w:left="993" w:hanging="284"/>
        <w:rPr>
          <w:szCs w:val="22"/>
        </w:rPr>
      </w:pPr>
      <w:r w:rsidRPr="00E96DC1">
        <w:rPr>
          <w:szCs w:val="22"/>
        </w:rPr>
        <w:t>Insufficient evidence to support a significant difference in OS</w:t>
      </w:r>
      <w:r w:rsidR="00C74EBB" w:rsidRPr="00E96DC1">
        <w:rPr>
          <w:szCs w:val="22"/>
        </w:rPr>
        <w:t>.</w:t>
      </w:r>
    </w:p>
    <w:p w:rsidR="00301E4C" w:rsidRPr="00050F3F" w:rsidRDefault="00301E4C" w:rsidP="00301E4C">
      <w:pPr>
        <w:widowControl/>
        <w:rPr>
          <w:szCs w:val="22"/>
        </w:rPr>
      </w:pPr>
    </w:p>
    <w:p w:rsidR="00301E4C" w:rsidRPr="00B50DB8" w:rsidRDefault="00301E4C" w:rsidP="00B9372F">
      <w:pPr>
        <w:pStyle w:val="ListParagraph"/>
        <w:widowControl/>
        <w:numPr>
          <w:ilvl w:val="1"/>
          <w:numId w:val="2"/>
        </w:numPr>
        <w:rPr>
          <w:szCs w:val="22"/>
        </w:rPr>
      </w:pPr>
      <w:r w:rsidRPr="00CF6EE4">
        <w:t xml:space="preserve">On the basis of direct evidence presented by the submission, for every 100 patients treated with </w:t>
      </w:r>
      <w:proofErr w:type="spellStart"/>
      <w:r>
        <w:t>pirfenidone</w:t>
      </w:r>
      <w:proofErr w:type="spellEnd"/>
      <w:r w:rsidRPr="00CF6EE4">
        <w:t xml:space="preserve"> in comparison to </w:t>
      </w:r>
      <w:r>
        <w:t>placebo:</w:t>
      </w:r>
    </w:p>
    <w:p w:rsidR="00301E4C" w:rsidRPr="00CF6EE4" w:rsidRDefault="00301E4C" w:rsidP="00B9372F">
      <w:pPr>
        <w:pStyle w:val="ListParagraph"/>
        <w:widowControl/>
        <w:numPr>
          <w:ilvl w:val="0"/>
          <w:numId w:val="1"/>
        </w:numPr>
        <w:ind w:left="993" w:hanging="284"/>
      </w:pPr>
      <w:r w:rsidRPr="00CF6EE4">
        <w:t xml:space="preserve">Approximately </w:t>
      </w:r>
      <w:r>
        <w:t>8</w:t>
      </w:r>
      <w:r w:rsidRPr="00CF6EE4">
        <w:t xml:space="preserve"> additional patients would have </w:t>
      </w:r>
      <w:r>
        <w:t>a photosensitivity reaction</w:t>
      </w:r>
      <w:r w:rsidRPr="00CF6EE4">
        <w:t xml:space="preserve"> over </w:t>
      </w:r>
      <w:r w:rsidR="004D2076" w:rsidRPr="00CF6EE4">
        <w:t>52</w:t>
      </w:r>
      <w:r>
        <w:t>-72 week</w:t>
      </w:r>
      <w:r w:rsidRPr="00CF6EE4">
        <w:t xml:space="preserve"> duration of follow-up</w:t>
      </w:r>
      <w:r>
        <w:t>.</w:t>
      </w:r>
    </w:p>
    <w:p w:rsidR="00301E4C" w:rsidRPr="00CF6EE4" w:rsidRDefault="00301E4C" w:rsidP="00B9372F">
      <w:pPr>
        <w:pStyle w:val="ListParagraph"/>
        <w:widowControl/>
        <w:numPr>
          <w:ilvl w:val="0"/>
          <w:numId w:val="1"/>
        </w:numPr>
        <w:ind w:left="993" w:hanging="284"/>
      </w:pPr>
      <w:r>
        <w:t xml:space="preserve">Approximately 20 additional patients would have a rash over </w:t>
      </w:r>
      <w:r w:rsidR="004D2076">
        <w:t>52</w:t>
      </w:r>
      <w:r>
        <w:t>-72 week duration of follow-up.</w:t>
      </w:r>
    </w:p>
    <w:p w:rsidR="00301E4C" w:rsidRDefault="00301E4C" w:rsidP="00B9372F">
      <w:pPr>
        <w:pStyle w:val="ListParagraph"/>
        <w:widowControl/>
        <w:numPr>
          <w:ilvl w:val="0"/>
          <w:numId w:val="1"/>
        </w:numPr>
        <w:ind w:left="993" w:hanging="284"/>
      </w:pPr>
      <w:r w:rsidRPr="00CF6EE4">
        <w:t xml:space="preserve">Approximately </w:t>
      </w:r>
      <w:r>
        <w:t xml:space="preserve">6 additional </w:t>
      </w:r>
      <w:r w:rsidRPr="00CF6EE4">
        <w:t xml:space="preserve">patients would have </w:t>
      </w:r>
      <w:r>
        <w:t xml:space="preserve">stomach discomfort </w:t>
      </w:r>
      <w:r w:rsidRPr="00CF6EE4">
        <w:t xml:space="preserve">over </w:t>
      </w:r>
      <w:r w:rsidR="004D2076" w:rsidRPr="00CF6EE4">
        <w:t>52</w:t>
      </w:r>
      <w:r>
        <w:t>-72 week duration of follow-up.</w:t>
      </w:r>
    </w:p>
    <w:p w:rsidR="00DF40F4" w:rsidRDefault="00DF40F4" w:rsidP="000333E0">
      <w:pPr>
        <w:pStyle w:val="BodyText"/>
      </w:pPr>
      <w:bookmarkStart w:id="37" w:name="_Toc429176344"/>
      <w:bookmarkStart w:id="38" w:name="_Toc429395757"/>
      <w:bookmarkStart w:id="39" w:name="_Toc430075666"/>
    </w:p>
    <w:p w:rsidR="00301E4C" w:rsidRPr="0045035F" w:rsidRDefault="00301E4C" w:rsidP="00301E4C">
      <w:pPr>
        <w:pStyle w:val="Heading2"/>
      </w:pPr>
      <w:r w:rsidRPr="0045035F">
        <w:t>Clinical claim</w:t>
      </w:r>
      <w:bookmarkEnd w:id="37"/>
      <w:bookmarkEnd w:id="38"/>
      <w:bookmarkEnd w:id="39"/>
    </w:p>
    <w:p w:rsidR="00301E4C" w:rsidRPr="00882085" w:rsidRDefault="00301E4C" w:rsidP="00301E4C">
      <w:pPr>
        <w:ind w:left="720" w:hanging="720"/>
        <w:rPr>
          <w:szCs w:val="22"/>
        </w:rPr>
      </w:pPr>
    </w:p>
    <w:p w:rsidR="00301E4C" w:rsidRPr="00EE5EF2" w:rsidRDefault="00301E4C" w:rsidP="00B9372F">
      <w:pPr>
        <w:pStyle w:val="ListParagraph"/>
        <w:widowControl/>
        <w:numPr>
          <w:ilvl w:val="1"/>
          <w:numId w:val="2"/>
        </w:numPr>
        <w:rPr>
          <w:szCs w:val="22"/>
        </w:rPr>
      </w:pPr>
      <w:r w:rsidRPr="003456FB">
        <w:t xml:space="preserve">The submission described </w:t>
      </w:r>
      <w:proofErr w:type="spellStart"/>
      <w:r w:rsidRPr="003456FB">
        <w:t>pirfenidone</w:t>
      </w:r>
      <w:proofErr w:type="spellEnd"/>
      <w:r w:rsidRPr="003456FB">
        <w:t xml:space="preserve"> as having a superior efficacy profile when compared with placebo in patients with IPF.  </w:t>
      </w:r>
      <w:r w:rsidRPr="00EE5EF2">
        <w:t xml:space="preserve">While the evidence appears to broadly point towards superiority in terms of efficacy, the claimed treatment effect across the </w:t>
      </w:r>
      <w:r w:rsidRPr="00EE5EF2">
        <w:lastRenderedPageBreak/>
        <w:t>pooled analyses is likely to be unreliable, especially for the patient relevant outcomes of OS and acute IPF exacerbations, given the following reasons:</w:t>
      </w:r>
      <w:r w:rsidRPr="00EE5EF2">
        <w:rPr>
          <w:szCs w:val="22"/>
        </w:rPr>
        <w:t xml:space="preserve"> </w:t>
      </w:r>
    </w:p>
    <w:p w:rsidR="00034083" w:rsidRDefault="00301E4C" w:rsidP="00B9372F">
      <w:pPr>
        <w:pStyle w:val="ListParagraph"/>
        <w:widowControl/>
        <w:numPr>
          <w:ilvl w:val="0"/>
          <w:numId w:val="1"/>
        </w:numPr>
        <w:ind w:left="993" w:hanging="284"/>
        <w:rPr>
          <w:szCs w:val="22"/>
        </w:rPr>
      </w:pPr>
      <w:r w:rsidRPr="00EE5EF2">
        <w:rPr>
          <w:szCs w:val="22"/>
        </w:rPr>
        <w:t xml:space="preserve">Exchangeability of the </w:t>
      </w:r>
      <w:proofErr w:type="spellStart"/>
      <w:r w:rsidRPr="00EE5EF2">
        <w:rPr>
          <w:szCs w:val="22"/>
        </w:rPr>
        <w:t>pirfenidone</w:t>
      </w:r>
      <w:proofErr w:type="spellEnd"/>
      <w:r w:rsidRPr="00EE5EF2">
        <w:rPr>
          <w:szCs w:val="22"/>
        </w:rPr>
        <w:t xml:space="preserve"> trial populations: the recruitment of patients in ASCEND with a greater likelihood of disease progression and substantial variability across the placebo arm response rates for </w:t>
      </w:r>
      <w:proofErr w:type="spellStart"/>
      <w:r w:rsidRPr="00EE5EF2">
        <w:rPr>
          <w:szCs w:val="22"/>
        </w:rPr>
        <w:t>FVC%Pred</w:t>
      </w:r>
      <w:proofErr w:type="spellEnd"/>
      <w:r w:rsidRPr="00EE5EF2">
        <w:rPr>
          <w:szCs w:val="22"/>
        </w:rPr>
        <w:t xml:space="preserve"> are indicative of the lack of consistency in the IPF populations of the pivotal trials.  </w:t>
      </w:r>
    </w:p>
    <w:p w:rsidR="00301E4C" w:rsidRPr="0058239F" w:rsidRDefault="00034083" w:rsidP="00B9372F">
      <w:pPr>
        <w:pStyle w:val="ListParagraph"/>
        <w:widowControl/>
        <w:numPr>
          <w:ilvl w:val="1"/>
          <w:numId w:val="1"/>
        </w:numPr>
        <w:rPr>
          <w:szCs w:val="22"/>
        </w:rPr>
      </w:pPr>
      <w:r w:rsidRPr="0058239F">
        <w:t>The PSCR (p. 1) argued that: the trials were similar in design</w:t>
      </w:r>
      <w:r w:rsidR="0056546D" w:rsidRPr="0058239F">
        <w:t>,</w:t>
      </w:r>
      <w:r w:rsidRPr="0058239F">
        <w:t xml:space="preserve"> eligibility criteria, patient population, intervention and comparator, and that pooling of data has been considered acceptable by other regulatory authorities (e.g. EMA); differences in inclusion criteria such as time since diagnosis are minor and not clinically significant. The ESC noted that the overall effect in the pooled analysis is driven by the ASCEND study which was planned in response to the rejection by the FDA on the basis of CAPACITY 1 and 2. Careful selection for the ASCEND study is reflected in the fact that of 1,562 screened patients, 1,007 were excluded because of exclusion criteria.  However, the ESC further noted the information provided in Figure 1 of the PSCR and considered there is reasonable similarity between </w:t>
      </w:r>
      <w:r w:rsidR="00D473C8">
        <w:t>patients in the three studies.</w:t>
      </w:r>
    </w:p>
    <w:p w:rsidR="004E7168" w:rsidRDefault="00301E4C" w:rsidP="00B9372F">
      <w:pPr>
        <w:pStyle w:val="ListParagraph"/>
        <w:widowControl/>
        <w:numPr>
          <w:ilvl w:val="0"/>
          <w:numId w:val="1"/>
        </w:numPr>
        <w:ind w:left="993" w:hanging="284"/>
        <w:rPr>
          <w:szCs w:val="22"/>
        </w:rPr>
      </w:pPr>
      <w:r w:rsidRPr="00EE5EF2">
        <w:rPr>
          <w:szCs w:val="22"/>
        </w:rPr>
        <w:t xml:space="preserve">Inconsistencies across the results of the individual </w:t>
      </w:r>
      <w:proofErr w:type="spellStart"/>
      <w:r w:rsidRPr="00EE5EF2">
        <w:rPr>
          <w:szCs w:val="22"/>
        </w:rPr>
        <w:t>pirfenidone</w:t>
      </w:r>
      <w:proofErr w:type="spellEnd"/>
      <w:r w:rsidRPr="00EE5EF2">
        <w:rPr>
          <w:szCs w:val="22"/>
        </w:rPr>
        <w:t xml:space="preserve"> trials: while statistically significant differences for the primary outcome of change in </w:t>
      </w:r>
      <w:proofErr w:type="spellStart"/>
      <w:r w:rsidRPr="00EE5EF2">
        <w:rPr>
          <w:szCs w:val="22"/>
        </w:rPr>
        <w:t>FVC%Pred</w:t>
      </w:r>
      <w:proofErr w:type="spellEnd"/>
      <w:r w:rsidRPr="00EE5EF2">
        <w:rPr>
          <w:szCs w:val="22"/>
        </w:rPr>
        <w:t xml:space="preserve"> were observed in ASCEND and CAPACITY-2, this w</w:t>
      </w:r>
      <w:r w:rsidR="00D473C8">
        <w:rPr>
          <w:szCs w:val="22"/>
        </w:rPr>
        <w:t>as not achieved in CAPACITY-1.</w:t>
      </w:r>
    </w:p>
    <w:p w:rsidR="00034083" w:rsidRPr="0058239F" w:rsidRDefault="00034083" w:rsidP="00B9372F">
      <w:pPr>
        <w:pStyle w:val="ListParagraph"/>
        <w:widowControl/>
        <w:numPr>
          <w:ilvl w:val="1"/>
          <w:numId w:val="1"/>
        </w:numPr>
      </w:pPr>
      <w:r w:rsidRPr="0058239F">
        <w:rPr>
          <w:szCs w:val="22"/>
        </w:rPr>
        <w:t>The</w:t>
      </w:r>
      <w:r w:rsidRPr="0058239F">
        <w:t xml:space="preserve"> PSCR (p2) explained why the primary endpoint was not met including that a significant imbalance was observed resulting in a higher proportion of patients trending towards borderline obstructive disease in the CAPACITY-1 placebo arm. The PSCR further notes that due to the inconsistency in results of the primary outcome in the CAPACITY trials, a third phase III trial (ASCEND) was requested by the FDA to confirm the efficacy of </w:t>
      </w:r>
      <w:proofErr w:type="spellStart"/>
      <w:r w:rsidRPr="0058239F">
        <w:t>pirfenidone</w:t>
      </w:r>
      <w:proofErr w:type="spellEnd"/>
      <w:r w:rsidRPr="0058239F">
        <w:t xml:space="preserve"> in patients with IPF, and was specifically designed to exclude patients with borderline obstructive disease.  ESC considered </w:t>
      </w:r>
      <w:proofErr w:type="spellStart"/>
      <w:r w:rsidRPr="0058239F">
        <w:t>pirfenidone</w:t>
      </w:r>
      <w:proofErr w:type="spellEnd"/>
      <w:r w:rsidRPr="0058239F">
        <w:t xml:space="preserve"> appeared effective in relation to change in </w:t>
      </w:r>
      <w:proofErr w:type="spellStart"/>
      <w:r w:rsidRPr="0058239F">
        <w:t>FVC%Pred</w:t>
      </w:r>
      <w:proofErr w:type="spellEnd"/>
      <w:r w:rsidRPr="0058239F">
        <w:t xml:space="preserve">, but not exacerbations. </w:t>
      </w:r>
      <w:r w:rsidRPr="0058239F" w:rsidDel="00F90CCA">
        <w:t xml:space="preserve"> </w:t>
      </w:r>
    </w:p>
    <w:p w:rsidR="004E7168" w:rsidRDefault="00301E4C" w:rsidP="00B9372F">
      <w:pPr>
        <w:pStyle w:val="ListParagraph"/>
        <w:widowControl/>
        <w:numPr>
          <w:ilvl w:val="0"/>
          <w:numId w:val="1"/>
        </w:numPr>
        <w:ind w:left="993" w:hanging="284"/>
        <w:rPr>
          <w:szCs w:val="22"/>
        </w:rPr>
      </w:pPr>
      <w:r w:rsidRPr="004E7168">
        <w:rPr>
          <w:szCs w:val="22"/>
        </w:rPr>
        <w:t>Reliability of the base case estimate of OS (cut-off at 52-weeks): vital status – end of study analysis (preferred for the demonstration of efficacy) presented in the FDA cross discipline team leader review did not demonstrate statistically sign</w:t>
      </w:r>
      <w:r w:rsidR="00D473C8">
        <w:rPr>
          <w:szCs w:val="22"/>
        </w:rPr>
        <w:t>ificant benefits for survival.</w:t>
      </w:r>
    </w:p>
    <w:p w:rsidR="00034083" w:rsidRPr="0058239F" w:rsidRDefault="00034083" w:rsidP="00B9372F">
      <w:pPr>
        <w:pStyle w:val="ListParagraph"/>
        <w:widowControl/>
        <w:numPr>
          <w:ilvl w:val="1"/>
          <w:numId w:val="1"/>
        </w:numPr>
        <w:rPr>
          <w:szCs w:val="22"/>
        </w:rPr>
      </w:pPr>
      <w:r w:rsidRPr="0058239F">
        <w:t>The PSCR (p3) argued that it may not be appropriate to rely on this analysis and presented evidence that the FDA has accepted FVC as a surrogate for mortality in IPF. The ESC noted the significance of the OS outcomes depended on the analysis chosen; the FDA</w:t>
      </w:r>
      <w:r w:rsidRPr="0058239F">
        <w:rPr>
          <w:rStyle w:val="FootnoteReference"/>
        </w:rPr>
        <w:footnoteReference w:id="3"/>
      </w:r>
      <w:r w:rsidRPr="0058239F">
        <w:t xml:space="preserve"> had reported the preferred</w:t>
      </w:r>
      <w:r w:rsidRPr="00A974F1">
        <w:rPr>
          <w:i/>
        </w:rPr>
        <w:t xml:space="preserve"> </w:t>
      </w:r>
      <w:r w:rsidRPr="0058239F">
        <w:t>analysis for OS is t</w:t>
      </w:r>
      <w:r w:rsidR="006C772B" w:rsidRPr="0058239F">
        <w:t>he vital status analysis which i</w:t>
      </w:r>
      <w:r w:rsidRPr="0058239F">
        <w:t>s not significant</w:t>
      </w:r>
      <w:r w:rsidR="006C772B" w:rsidRPr="0058239F">
        <w:t>. The submission used the</w:t>
      </w:r>
      <w:r w:rsidRPr="0058239F">
        <w:t xml:space="preserve"> on-treatment analysis, preferred for safety analyses,</w:t>
      </w:r>
      <w:r w:rsidR="006C772B" w:rsidRPr="0058239F">
        <w:t xml:space="preserve"> to support a significant difference in OS</w:t>
      </w:r>
      <w:r w:rsidRPr="0058239F">
        <w:t xml:space="preserve">: </w:t>
      </w:r>
      <w:r w:rsidR="006C772B" w:rsidRPr="0058239F">
        <w:t xml:space="preserve">vital status: </w:t>
      </w:r>
      <w:r w:rsidRPr="0058239F">
        <w:t>0.75 (0.50</w:t>
      </w:r>
      <w:proofErr w:type="gramStart"/>
      <w:r w:rsidRPr="0058239F">
        <w:t>,1.11</w:t>
      </w:r>
      <w:proofErr w:type="gramEnd"/>
      <w:r w:rsidRPr="0058239F">
        <w:t xml:space="preserve">) vs </w:t>
      </w:r>
      <w:r w:rsidR="006C772B" w:rsidRPr="0058239F">
        <w:t xml:space="preserve">on-treatment: </w:t>
      </w:r>
      <w:r w:rsidRPr="0058239F">
        <w:rPr>
          <w:b/>
        </w:rPr>
        <w:t>0.52 (0.31, 0.87).</w:t>
      </w:r>
    </w:p>
    <w:p w:rsidR="00301E4C" w:rsidRPr="0058239F" w:rsidRDefault="00301E4C" w:rsidP="00B9372F">
      <w:pPr>
        <w:pStyle w:val="ListParagraph"/>
        <w:widowControl/>
        <w:numPr>
          <w:ilvl w:val="0"/>
          <w:numId w:val="1"/>
        </w:numPr>
        <w:ind w:left="993" w:hanging="284"/>
        <w:rPr>
          <w:szCs w:val="22"/>
        </w:rPr>
      </w:pPr>
      <w:r w:rsidRPr="00EE5EF2">
        <w:rPr>
          <w:szCs w:val="22"/>
        </w:rPr>
        <w:t>No formal validation of PFS as an appropriate</w:t>
      </w:r>
      <w:r w:rsidR="004D2076" w:rsidRPr="00EE5EF2">
        <w:rPr>
          <w:szCs w:val="22"/>
        </w:rPr>
        <w:t xml:space="preserve"> composite outcome in IPF;</w:t>
      </w:r>
      <w:r w:rsidRPr="00EE5EF2">
        <w:rPr>
          <w:szCs w:val="22"/>
        </w:rPr>
        <w:t xml:space="preserve"> the submission did not provide any evidence to quantify the </w:t>
      </w:r>
      <w:r w:rsidR="004D2076" w:rsidRPr="00EE5EF2">
        <w:rPr>
          <w:szCs w:val="22"/>
        </w:rPr>
        <w:t>relationship between PFS and OS n</w:t>
      </w:r>
      <w:r w:rsidRPr="00EE5EF2">
        <w:rPr>
          <w:szCs w:val="22"/>
        </w:rPr>
        <w:t>oting that the definition was changed from that used in the CAPACITY trials to increase the projected event rate.</w:t>
      </w:r>
      <w:r w:rsidR="006C772B">
        <w:rPr>
          <w:szCs w:val="22"/>
        </w:rPr>
        <w:t xml:space="preserve"> </w:t>
      </w:r>
      <w:r w:rsidR="006C772B" w:rsidRPr="0058239F">
        <w:t>The PSCR (p. 3) noted that the submission does not make the claim that PFS is a surrogate for OS in IPF.</w:t>
      </w:r>
    </w:p>
    <w:p w:rsidR="00301E4C" w:rsidRPr="00D473C8" w:rsidRDefault="00301E4C" w:rsidP="00B9372F">
      <w:pPr>
        <w:pStyle w:val="ListParagraph"/>
        <w:widowControl/>
        <w:numPr>
          <w:ilvl w:val="0"/>
          <w:numId w:val="1"/>
        </w:numPr>
        <w:ind w:left="993" w:hanging="284"/>
        <w:rPr>
          <w:szCs w:val="22"/>
        </w:rPr>
      </w:pPr>
      <w:r w:rsidRPr="00EE5EF2">
        <w:rPr>
          <w:szCs w:val="22"/>
        </w:rPr>
        <w:lastRenderedPageBreak/>
        <w:t>Assessment of acute IPF exacerbations was limited to the CAPACITY trials within the composite outcome measure of time to worsening of IPF.  No statistically</w:t>
      </w:r>
      <w:r>
        <w:rPr>
          <w:i/>
          <w:szCs w:val="22"/>
        </w:rPr>
        <w:t xml:space="preserve"> </w:t>
      </w:r>
      <w:r w:rsidRPr="00EE5EF2">
        <w:rPr>
          <w:szCs w:val="22"/>
        </w:rPr>
        <w:t>significant differences were observed.</w:t>
      </w:r>
    </w:p>
    <w:p w:rsidR="00301E4C" w:rsidRPr="00D473C8" w:rsidRDefault="00301E4C" w:rsidP="00301E4C">
      <w:pPr>
        <w:widowControl/>
        <w:rPr>
          <w:szCs w:val="22"/>
        </w:rPr>
      </w:pPr>
    </w:p>
    <w:p w:rsidR="00E121AE" w:rsidRDefault="00301E4C" w:rsidP="00B9372F">
      <w:pPr>
        <w:pStyle w:val="ListParagraph"/>
        <w:widowControl/>
        <w:numPr>
          <w:ilvl w:val="1"/>
          <w:numId w:val="2"/>
        </w:numPr>
        <w:rPr>
          <w:szCs w:val="22"/>
        </w:rPr>
      </w:pPr>
      <w:r>
        <w:rPr>
          <w:szCs w:val="22"/>
        </w:rPr>
        <w:t xml:space="preserve">The submission described </w:t>
      </w:r>
      <w:proofErr w:type="spellStart"/>
      <w:r>
        <w:rPr>
          <w:szCs w:val="22"/>
        </w:rPr>
        <w:t>pirfenidone</w:t>
      </w:r>
      <w:proofErr w:type="spellEnd"/>
      <w:r>
        <w:rPr>
          <w:szCs w:val="22"/>
        </w:rPr>
        <w:t xml:space="preserve"> as having an acceptable safety profile when compared with placebo in patients with IPF</w:t>
      </w:r>
      <w:r w:rsidRPr="00EE5EF2">
        <w:rPr>
          <w:szCs w:val="22"/>
        </w:rPr>
        <w:t xml:space="preserve">.   Although the adverse event profile of </w:t>
      </w:r>
      <w:proofErr w:type="spellStart"/>
      <w:r w:rsidRPr="00EE5EF2">
        <w:rPr>
          <w:szCs w:val="22"/>
        </w:rPr>
        <w:t>pirfenidone</w:t>
      </w:r>
      <w:proofErr w:type="spellEnd"/>
      <w:r w:rsidRPr="00EE5EF2">
        <w:rPr>
          <w:szCs w:val="22"/>
        </w:rPr>
        <w:t xml:space="preserve"> is well established with up to 10 years post-marketing experience, the direct evidence presented by the submission indicated significantly increased risks in several items across system organ classes.  Given the lack of trial based utilities the impact of these adverse events on health related quality of life is not certain.  Consequently, </w:t>
      </w:r>
      <w:r w:rsidR="00034083" w:rsidRPr="00627E27">
        <w:rPr>
          <w:szCs w:val="22"/>
        </w:rPr>
        <w:t>the ESC agreed</w:t>
      </w:r>
      <w:r w:rsidRPr="00EE5EF2">
        <w:rPr>
          <w:szCs w:val="22"/>
        </w:rPr>
        <w:t xml:space="preserve"> that the evidence would more reasonably support a claim of inferiority in terms of safety.</w:t>
      </w:r>
    </w:p>
    <w:p w:rsidR="00E121AE" w:rsidRPr="00D473C8" w:rsidRDefault="00E121AE" w:rsidP="00E121AE">
      <w:pPr>
        <w:widowControl/>
        <w:rPr>
          <w:szCs w:val="22"/>
        </w:rPr>
      </w:pPr>
    </w:p>
    <w:p w:rsidR="00301E4C" w:rsidRDefault="00E121AE" w:rsidP="00B9372F">
      <w:pPr>
        <w:pStyle w:val="ListParagraph"/>
        <w:widowControl/>
        <w:numPr>
          <w:ilvl w:val="1"/>
          <w:numId w:val="2"/>
        </w:numPr>
        <w:rPr>
          <w:szCs w:val="22"/>
        </w:rPr>
      </w:pPr>
      <w:r w:rsidRPr="0058239F">
        <w:rPr>
          <w:szCs w:val="22"/>
        </w:rPr>
        <w:t xml:space="preserve">The ESC </w:t>
      </w:r>
      <w:r w:rsidR="00034083" w:rsidRPr="0058239F">
        <w:rPr>
          <w:szCs w:val="22"/>
        </w:rPr>
        <w:t>considere</w:t>
      </w:r>
      <w:r w:rsidRPr="0058239F">
        <w:rPr>
          <w:szCs w:val="22"/>
        </w:rPr>
        <w:t xml:space="preserve">d that the </w:t>
      </w:r>
      <w:proofErr w:type="spellStart"/>
      <w:r w:rsidRPr="0058239F">
        <w:rPr>
          <w:szCs w:val="22"/>
        </w:rPr>
        <w:t>pirfenidone</w:t>
      </w:r>
      <w:proofErr w:type="spellEnd"/>
      <w:r w:rsidRPr="0058239F">
        <w:rPr>
          <w:szCs w:val="22"/>
        </w:rPr>
        <w:t xml:space="preserve"> is superior in efficacy </w:t>
      </w:r>
      <w:r w:rsidR="00034083" w:rsidRPr="0058239F">
        <w:rPr>
          <w:szCs w:val="22"/>
        </w:rPr>
        <w:t xml:space="preserve">to placebo </w:t>
      </w:r>
      <w:r w:rsidRPr="0058239F">
        <w:rPr>
          <w:szCs w:val="22"/>
        </w:rPr>
        <w:t xml:space="preserve">and has </w:t>
      </w:r>
      <w:r w:rsidR="00034083" w:rsidRPr="0058239F">
        <w:rPr>
          <w:szCs w:val="22"/>
        </w:rPr>
        <w:t>an</w:t>
      </w:r>
      <w:r w:rsidRPr="0058239F">
        <w:rPr>
          <w:szCs w:val="22"/>
        </w:rPr>
        <w:t xml:space="preserve"> inferior safety profile</w:t>
      </w:r>
      <w:r w:rsidR="00453A78" w:rsidRPr="0058239F">
        <w:rPr>
          <w:szCs w:val="22"/>
        </w:rPr>
        <w:t>.</w:t>
      </w:r>
    </w:p>
    <w:p w:rsidR="00753CD1" w:rsidRPr="00D473C8" w:rsidRDefault="00753CD1" w:rsidP="00753CD1">
      <w:pPr>
        <w:rPr>
          <w:szCs w:val="22"/>
        </w:rPr>
      </w:pPr>
    </w:p>
    <w:p w:rsidR="00753CD1" w:rsidRPr="0058239F" w:rsidRDefault="00753CD1" w:rsidP="00B9372F">
      <w:pPr>
        <w:pStyle w:val="ListParagraph"/>
        <w:widowControl/>
        <w:numPr>
          <w:ilvl w:val="1"/>
          <w:numId w:val="2"/>
        </w:numPr>
        <w:rPr>
          <w:szCs w:val="22"/>
        </w:rPr>
      </w:pPr>
      <w:r>
        <w:rPr>
          <w:szCs w:val="22"/>
        </w:rPr>
        <w:t>The PBAC agreed with the ESC’s conclusion.</w:t>
      </w:r>
    </w:p>
    <w:p w:rsidR="00753CD1" w:rsidRDefault="00753CD1" w:rsidP="00753CD1"/>
    <w:p w:rsidR="00753CD1" w:rsidRDefault="00EC35C9" w:rsidP="00EC35C9">
      <w:pPr>
        <w:ind w:left="709"/>
        <w:rPr>
          <w:i/>
        </w:rPr>
      </w:pPr>
      <w:r>
        <w:rPr>
          <w:i/>
        </w:rPr>
        <w:t>For m</w:t>
      </w:r>
      <w:r w:rsidR="00753CD1" w:rsidRPr="00A35AFB">
        <w:rPr>
          <w:i/>
        </w:rPr>
        <w:t>ore detail on PBAC’s view, see section 7 “PBAC outcome”</w:t>
      </w:r>
      <w:r>
        <w:rPr>
          <w:i/>
        </w:rPr>
        <w:t>.</w:t>
      </w:r>
    </w:p>
    <w:p w:rsidR="00301E4C" w:rsidRPr="00EE5EF2" w:rsidRDefault="00301E4C" w:rsidP="00301E4C">
      <w:pPr>
        <w:ind w:left="720" w:hanging="720"/>
        <w:rPr>
          <w:szCs w:val="22"/>
        </w:rPr>
      </w:pPr>
    </w:p>
    <w:p w:rsidR="00301E4C" w:rsidRPr="0045035F" w:rsidRDefault="00301E4C" w:rsidP="00301E4C">
      <w:pPr>
        <w:pStyle w:val="Heading2"/>
      </w:pPr>
      <w:bookmarkStart w:id="40" w:name="_Toc429176345"/>
      <w:bookmarkStart w:id="41" w:name="_Toc429395758"/>
      <w:bookmarkStart w:id="42" w:name="_Toc430075667"/>
      <w:r w:rsidRPr="0045035F">
        <w:t>Economic analysis</w:t>
      </w:r>
      <w:bookmarkEnd w:id="40"/>
      <w:bookmarkEnd w:id="41"/>
      <w:bookmarkEnd w:id="42"/>
    </w:p>
    <w:p w:rsidR="0056546D" w:rsidRPr="0056546D" w:rsidRDefault="0056546D" w:rsidP="00D473C8">
      <w:pPr>
        <w:widowControl/>
      </w:pPr>
    </w:p>
    <w:p w:rsidR="00301E4C" w:rsidRPr="0058239F" w:rsidRDefault="00301E4C" w:rsidP="00B9372F">
      <w:pPr>
        <w:pStyle w:val="ListParagraph"/>
        <w:widowControl/>
        <w:numPr>
          <w:ilvl w:val="1"/>
          <w:numId w:val="2"/>
        </w:numPr>
      </w:pPr>
      <w:r w:rsidRPr="008B6E03">
        <w:rPr>
          <w:szCs w:val="22"/>
        </w:rPr>
        <w:t>The</w:t>
      </w:r>
      <w:r w:rsidRPr="008B6E03">
        <w:t xml:space="preserve"> submission presented a modelled economic evaluation using a cost utility analysis.  The RSA proposed by the sponsor was incorporated into the economic evaluation</w:t>
      </w:r>
      <w:r w:rsidR="0006316D">
        <w:t xml:space="preserve">. </w:t>
      </w:r>
      <w:r w:rsidR="0006316D" w:rsidRPr="0058239F">
        <w:rPr>
          <w:szCs w:val="22"/>
        </w:rPr>
        <w:t xml:space="preserve">The </w:t>
      </w:r>
      <w:r w:rsidR="00627E27">
        <w:rPr>
          <w:szCs w:val="22"/>
        </w:rPr>
        <w:t xml:space="preserve">ESC considered the </w:t>
      </w:r>
      <w:r w:rsidR="0006316D" w:rsidRPr="0058239F">
        <w:rPr>
          <w:szCs w:val="22"/>
        </w:rPr>
        <w:t xml:space="preserve">assumed price reduction of 47.4% after year 5, due to generic competition, should not </w:t>
      </w:r>
      <w:r w:rsidR="00627E27">
        <w:rPr>
          <w:szCs w:val="22"/>
        </w:rPr>
        <w:t xml:space="preserve">have </w:t>
      </w:r>
      <w:r w:rsidR="0006316D" w:rsidRPr="0058239F">
        <w:rPr>
          <w:szCs w:val="22"/>
        </w:rPr>
        <w:t>be</w:t>
      </w:r>
      <w:r w:rsidR="00627E27">
        <w:rPr>
          <w:szCs w:val="22"/>
        </w:rPr>
        <w:t>en</w:t>
      </w:r>
      <w:r w:rsidR="0006316D" w:rsidRPr="0058239F">
        <w:rPr>
          <w:szCs w:val="22"/>
        </w:rPr>
        <w:t xml:space="preserve"> factored in to the economic evaluation.</w:t>
      </w:r>
    </w:p>
    <w:p w:rsidR="00301E4C" w:rsidRPr="0058239F" w:rsidRDefault="00301E4C" w:rsidP="00301E4C">
      <w:pPr>
        <w:widowControl/>
        <w:ind w:left="720" w:hanging="720"/>
        <w:rPr>
          <w:szCs w:val="22"/>
        </w:rPr>
      </w:pPr>
    </w:p>
    <w:p w:rsidR="00301E4C" w:rsidRDefault="00301E4C" w:rsidP="00AF2F23">
      <w:pPr>
        <w:widowControl/>
        <w:ind w:firstLine="720"/>
        <w:jc w:val="left"/>
        <w:rPr>
          <w:rStyle w:val="CommentReference"/>
        </w:rPr>
      </w:pPr>
      <w:r w:rsidRPr="00A56B6A">
        <w:rPr>
          <w:rStyle w:val="CommentReference"/>
        </w:rPr>
        <w:t xml:space="preserve">Table </w:t>
      </w:r>
      <w:r w:rsidR="00125567">
        <w:rPr>
          <w:rStyle w:val="CommentReference"/>
        </w:rPr>
        <w:t>7</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52"/>
        <w:gridCol w:w="7093"/>
      </w:tblGrid>
      <w:tr w:rsidR="00301E4C" w:rsidRPr="00E2771E" w:rsidTr="00ED5652">
        <w:trPr>
          <w:tblHeader/>
        </w:trPr>
        <w:tc>
          <w:tcPr>
            <w:tcW w:w="750" w:type="pct"/>
            <w:shd w:val="clear" w:color="auto" w:fill="auto"/>
            <w:vAlign w:val="center"/>
          </w:tcPr>
          <w:p w:rsidR="00301E4C" w:rsidRPr="00E2771E" w:rsidRDefault="00301E4C" w:rsidP="00ED5652">
            <w:pPr>
              <w:jc w:val="left"/>
              <w:rPr>
                <w:rFonts w:ascii="Arial Narrow" w:hAnsi="Arial Narrow"/>
                <w:b/>
                <w:sz w:val="20"/>
              </w:rPr>
            </w:pPr>
            <w:r w:rsidRPr="00E2771E">
              <w:rPr>
                <w:rFonts w:ascii="Arial Narrow" w:hAnsi="Arial Narrow"/>
                <w:b/>
                <w:sz w:val="20"/>
              </w:rPr>
              <w:t>Component</w:t>
            </w:r>
          </w:p>
        </w:tc>
        <w:tc>
          <w:tcPr>
            <w:tcW w:w="4250" w:type="pct"/>
            <w:shd w:val="clear" w:color="auto" w:fill="auto"/>
            <w:vAlign w:val="center"/>
          </w:tcPr>
          <w:p w:rsidR="00301E4C" w:rsidRPr="00E2771E" w:rsidRDefault="00301E4C" w:rsidP="00ED5652">
            <w:pPr>
              <w:jc w:val="center"/>
              <w:rPr>
                <w:rFonts w:ascii="Arial Narrow" w:hAnsi="Arial Narrow"/>
                <w:b/>
                <w:sz w:val="20"/>
              </w:rPr>
            </w:pPr>
            <w:r w:rsidRPr="00E2771E">
              <w:rPr>
                <w:rFonts w:ascii="Arial Narrow" w:hAnsi="Arial Narrow"/>
                <w:b/>
                <w:sz w:val="20"/>
              </w:rPr>
              <w:t>Summary</w:t>
            </w:r>
          </w:p>
        </w:tc>
      </w:tr>
      <w:tr w:rsidR="00301E4C" w:rsidRPr="00E2771E" w:rsidTr="00ED5652">
        <w:tc>
          <w:tcPr>
            <w:tcW w:w="750" w:type="pct"/>
            <w:shd w:val="clear" w:color="auto" w:fill="auto"/>
            <w:vAlign w:val="center"/>
          </w:tcPr>
          <w:p w:rsidR="00301E4C" w:rsidRPr="00E2771E" w:rsidRDefault="00301E4C" w:rsidP="00ED5652">
            <w:pPr>
              <w:jc w:val="left"/>
              <w:rPr>
                <w:rFonts w:ascii="Arial Narrow" w:hAnsi="Arial Narrow"/>
                <w:sz w:val="20"/>
              </w:rPr>
            </w:pPr>
            <w:r w:rsidRPr="00E2771E">
              <w:rPr>
                <w:rFonts w:ascii="Arial Narrow" w:hAnsi="Arial Narrow"/>
                <w:sz w:val="20"/>
              </w:rPr>
              <w:t>Time horizon</w:t>
            </w:r>
          </w:p>
        </w:tc>
        <w:tc>
          <w:tcPr>
            <w:tcW w:w="4250" w:type="pct"/>
            <w:shd w:val="clear" w:color="auto" w:fill="auto"/>
            <w:vAlign w:val="center"/>
          </w:tcPr>
          <w:p w:rsidR="00301E4C" w:rsidRPr="00E2771E" w:rsidRDefault="00301E4C" w:rsidP="00ED5652">
            <w:pPr>
              <w:jc w:val="left"/>
              <w:rPr>
                <w:rFonts w:ascii="Arial Narrow" w:hAnsi="Arial Narrow"/>
                <w:sz w:val="20"/>
              </w:rPr>
            </w:pPr>
            <w:r w:rsidRPr="00650D5B">
              <w:rPr>
                <w:rFonts w:ascii="Arial Narrow" w:hAnsi="Arial Narrow"/>
                <w:sz w:val="20"/>
              </w:rPr>
              <w:t xml:space="preserve">16 years in the model base case versus 72 weeks in the </w:t>
            </w:r>
            <w:proofErr w:type="spellStart"/>
            <w:r w:rsidRPr="00650D5B">
              <w:rPr>
                <w:rFonts w:ascii="Arial Narrow" w:hAnsi="Arial Narrow"/>
                <w:sz w:val="20"/>
              </w:rPr>
              <w:t>pirfenidone</w:t>
            </w:r>
            <w:proofErr w:type="spellEnd"/>
            <w:r w:rsidRPr="00650D5B">
              <w:rPr>
                <w:rFonts w:ascii="Arial Narrow" w:hAnsi="Arial Narrow"/>
                <w:sz w:val="20"/>
              </w:rPr>
              <w:t xml:space="preserve"> CAPACITY trials and 52 weeks in the ASCEND trial (plus an open-label extension study to 6.2</w:t>
            </w:r>
            <w:r w:rsidR="00911F0E">
              <w:rPr>
                <w:rFonts w:ascii="Arial Narrow" w:hAnsi="Arial Narrow"/>
                <w:sz w:val="20"/>
              </w:rPr>
              <w:t xml:space="preserve"> </w:t>
            </w:r>
            <w:r w:rsidRPr="00650D5B">
              <w:rPr>
                <w:rFonts w:ascii="Arial Narrow" w:hAnsi="Arial Narrow"/>
                <w:sz w:val="20"/>
              </w:rPr>
              <w:t>years)</w:t>
            </w:r>
          </w:p>
        </w:tc>
      </w:tr>
      <w:tr w:rsidR="00301E4C" w:rsidRPr="00E2771E" w:rsidTr="00ED5652">
        <w:tc>
          <w:tcPr>
            <w:tcW w:w="750" w:type="pct"/>
            <w:shd w:val="clear" w:color="auto" w:fill="auto"/>
            <w:vAlign w:val="center"/>
          </w:tcPr>
          <w:p w:rsidR="00301E4C" w:rsidRPr="00E2771E" w:rsidRDefault="00301E4C" w:rsidP="00ED5652">
            <w:pPr>
              <w:jc w:val="left"/>
              <w:rPr>
                <w:rFonts w:ascii="Arial Narrow" w:hAnsi="Arial Narrow"/>
                <w:sz w:val="20"/>
              </w:rPr>
            </w:pPr>
            <w:r w:rsidRPr="00E2771E">
              <w:rPr>
                <w:rFonts w:ascii="Arial Narrow" w:hAnsi="Arial Narrow"/>
                <w:sz w:val="20"/>
              </w:rPr>
              <w:t>Outcomes</w:t>
            </w:r>
          </w:p>
        </w:tc>
        <w:tc>
          <w:tcPr>
            <w:tcW w:w="4250" w:type="pct"/>
            <w:shd w:val="clear" w:color="auto" w:fill="auto"/>
            <w:vAlign w:val="center"/>
          </w:tcPr>
          <w:p w:rsidR="00301E4C" w:rsidRPr="00E2771E" w:rsidRDefault="00301E4C" w:rsidP="00ED5652">
            <w:pPr>
              <w:jc w:val="left"/>
              <w:rPr>
                <w:rFonts w:ascii="Arial Narrow" w:hAnsi="Arial Narrow"/>
                <w:sz w:val="20"/>
              </w:rPr>
            </w:pPr>
            <w:r w:rsidRPr="004C74B9">
              <w:rPr>
                <w:rFonts w:ascii="Arial Narrow" w:hAnsi="Arial Narrow"/>
                <w:sz w:val="20"/>
              </w:rPr>
              <w:t>LYG and QALYs</w:t>
            </w:r>
          </w:p>
        </w:tc>
      </w:tr>
      <w:tr w:rsidR="00301E4C" w:rsidRPr="00E2771E" w:rsidTr="00ED5652">
        <w:tc>
          <w:tcPr>
            <w:tcW w:w="750" w:type="pct"/>
            <w:shd w:val="clear" w:color="auto" w:fill="auto"/>
            <w:vAlign w:val="center"/>
          </w:tcPr>
          <w:p w:rsidR="00301E4C" w:rsidRPr="00E2771E" w:rsidRDefault="00301E4C" w:rsidP="00ED5652">
            <w:pPr>
              <w:jc w:val="left"/>
              <w:rPr>
                <w:rFonts w:ascii="Arial Narrow" w:hAnsi="Arial Narrow"/>
                <w:sz w:val="20"/>
              </w:rPr>
            </w:pPr>
            <w:r w:rsidRPr="00E2771E">
              <w:rPr>
                <w:rFonts w:ascii="Arial Narrow" w:hAnsi="Arial Narrow"/>
                <w:sz w:val="20"/>
              </w:rPr>
              <w:t>Methods used to generate results</w:t>
            </w:r>
          </w:p>
        </w:tc>
        <w:tc>
          <w:tcPr>
            <w:tcW w:w="4250" w:type="pct"/>
            <w:shd w:val="clear" w:color="auto" w:fill="auto"/>
            <w:vAlign w:val="center"/>
          </w:tcPr>
          <w:p w:rsidR="00301E4C" w:rsidRPr="00E2771E" w:rsidRDefault="00301E4C" w:rsidP="00ED5652">
            <w:pPr>
              <w:jc w:val="left"/>
              <w:rPr>
                <w:rFonts w:ascii="Arial Narrow" w:hAnsi="Arial Narrow"/>
                <w:sz w:val="20"/>
              </w:rPr>
            </w:pPr>
            <w:r>
              <w:rPr>
                <w:rFonts w:ascii="Arial Narrow" w:hAnsi="Arial Narrow"/>
                <w:sz w:val="20"/>
              </w:rPr>
              <w:t xml:space="preserve">Kaplan-Meier plots to 2 years for OS with BSC alone, followed by digitised information from Strand 2014 with Weibull function fitted from 6.2 to 16 years. Pooled Kaplan-Meier plots to 6.2 years for OS with </w:t>
            </w:r>
            <w:proofErr w:type="spellStart"/>
            <w:r>
              <w:rPr>
                <w:rFonts w:ascii="Arial Narrow" w:hAnsi="Arial Narrow"/>
                <w:sz w:val="20"/>
              </w:rPr>
              <w:t>pirfenidone</w:t>
            </w:r>
            <w:proofErr w:type="spellEnd"/>
            <w:r>
              <w:rPr>
                <w:rFonts w:ascii="Arial Narrow" w:hAnsi="Arial Narrow"/>
                <w:sz w:val="20"/>
              </w:rPr>
              <w:t xml:space="preserve"> followed by mortality risk of BSC (Weibull function from Strand 2014). For PFS, pooled Kaplan-Meier plots to median of 16 months followed by log-normal model to 16 years. Time on treatment with </w:t>
            </w:r>
            <w:proofErr w:type="spellStart"/>
            <w:r>
              <w:rPr>
                <w:rFonts w:ascii="Arial Narrow" w:hAnsi="Arial Narrow"/>
                <w:sz w:val="20"/>
              </w:rPr>
              <w:t>pirfenidone</w:t>
            </w:r>
            <w:proofErr w:type="spellEnd"/>
            <w:r>
              <w:rPr>
                <w:rFonts w:ascii="Arial Narrow" w:hAnsi="Arial Narrow"/>
                <w:sz w:val="20"/>
              </w:rPr>
              <w:t xml:space="preserve"> to 16 years from extrapolation of pooled Kaplan-Meier data for discontinuati</w:t>
            </w:r>
            <w:r w:rsidR="00911F0E">
              <w:rPr>
                <w:rFonts w:ascii="Arial Narrow" w:hAnsi="Arial Narrow"/>
                <w:sz w:val="20"/>
              </w:rPr>
              <w:t>on of treatment in clinical tria</w:t>
            </w:r>
            <w:r>
              <w:rPr>
                <w:rFonts w:ascii="Arial Narrow" w:hAnsi="Arial Narrow"/>
                <w:sz w:val="20"/>
              </w:rPr>
              <w:t>ls</w:t>
            </w:r>
            <w:r w:rsidR="00911F0E">
              <w:rPr>
                <w:rFonts w:ascii="Arial Narrow" w:hAnsi="Arial Narrow"/>
                <w:sz w:val="20"/>
              </w:rPr>
              <w:t>.</w:t>
            </w:r>
          </w:p>
        </w:tc>
      </w:tr>
      <w:tr w:rsidR="00301E4C" w:rsidRPr="00E2771E" w:rsidTr="00ED5652">
        <w:tc>
          <w:tcPr>
            <w:tcW w:w="750" w:type="pct"/>
            <w:shd w:val="clear" w:color="auto" w:fill="auto"/>
            <w:vAlign w:val="center"/>
          </w:tcPr>
          <w:p w:rsidR="00301E4C" w:rsidRPr="00E2771E" w:rsidRDefault="00301E4C" w:rsidP="00ED5652">
            <w:pPr>
              <w:jc w:val="left"/>
              <w:rPr>
                <w:rFonts w:ascii="Arial Narrow" w:hAnsi="Arial Narrow"/>
                <w:sz w:val="20"/>
              </w:rPr>
            </w:pPr>
            <w:r w:rsidRPr="00E2771E">
              <w:rPr>
                <w:rFonts w:ascii="Arial Narrow" w:hAnsi="Arial Narrow"/>
                <w:sz w:val="20"/>
              </w:rPr>
              <w:t>Health states</w:t>
            </w:r>
          </w:p>
        </w:tc>
        <w:tc>
          <w:tcPr>
            <w:tcW w:w="4250" w:type="pct"/>
            <w:shd w:val="clear" w:color="auto" w:fill="auto"/>
            <w:vAlign w:val="center"/>
          </w:tcPr>
          <w:p w:rsidR="00301E4C" w:rsidRPr="00E2771E" w:rsidRDefault="00301E4C" w:rsidP="00320653">
            <w:pPr>
              <w:jc w:val="left"/>
              <w:rPr>
                <w:rFonts w:ascii="Arial Narrow" w:hAnsi="Arial Narrow"/>
                <w:sz w:val="20"/>
              </w:rPr>
            </w:pPr>
            <w:r>
              <w:rPr>
                <w:rFonts w:ascii="Arial Narrow" w:hAnsi="Arial Narrow"/>
                <w:sz w:val="20"/>
              </w:rPr>
              <w:t xml:space="preserve">PFS, </w:t>
            </w:r>
            <w:r w:rsidR="00320653">
              <w:rPr>
                <w:rFonts w:ascii="Arial Narrow" w:hAnsi="Arial Narrow"/>
                <w:sz w:val="20"/>
              </w:rPr>
              <w:t>p</w:t>
            </w:r>
            <w:r>
              <w:rPr>
                <w:rFonts w:ascii="Arial Narrow" w:hAnsi="Arial Narrow"/>
                <w:sz w:val="20"/>
              </w:rPr>
              <w:t xml:space="preserve">rogression, </w:t>
            </w:r>
            <w:r w:rsidR="00320653">
              <w:rPr>
                <w:rFonts w:ascii="Arial Narrow" w:hAnsi="Arial Narrow"/>
                <w:sz w:val="20"/>
              </w:rPr>
              <w:t>l</w:t>
            </w:r>
            <w:r>
              <w:rPr>
                <w:rFonts w:ascii="Arial Narrow" w:hAnsi="Arial Narrow"/>
                <w:sz w:val="20"/>
              </w:rPr>
              <w:t xml:space="preserve">ung </w:t>
            </w:r>
            <w:r w:rsidR="00320653">
              <w:rPr>
                <w:rFonts w:ascii="Arial Narrow" w:hAnsi="Arial Narrow"/>
                <w:sz w:val="20"/>
              </w:rPr>
              <w:t>t</w:t>
            </w:r>
            <w:r>
              <w:rPr>
                <w:rFonts w:ascii="Arial Narrow" w:hAnsi="Arial Narrow"/>
                <w:sz w:val="20"/>
              </w:rPr>
              <w:t xml:space="preserve">ransplant, </w:t>
            </w:r>
            <w:r w:rsidR="00320653">
              <w:rPr>
                <w:rFonts w:ascii="Arial Narrow" w:hAnsi="Arial Narrow"/>
                <w:sz w:val="20"/>
              </w:rPr>
              <w:t>d</w:t>
            </w:r>
            <w:r>
              <w:rPr>
                <w:rFonts w:ascii="Arial Narrow" w:hAnsi="Arial Narrow"/>
                <w:sz w:val="20"/>
              </w:rPr>
              <w:t>eath</w:t>
            </w:r>
          </w:p>
        </w:tc>
      </w:tr>
      <w:tr w:rsidR="00301E4C" w:rsidRPr="00E2771E" w:rsidTr="00ED5652">
        <w:tc>
          <w:tcPr>
            <w:tcW w:w="750" w:type="pct"/>
            <w:shd w:val="clear" w:color="auto" w:fill="auto"/>
            <w:vAlign w:val="center"/>
          </w:tcPr>
          <w:p w:rsidR="00301E4C" w:rsidRPr="00E2771E" w:rsidRDefault="00301E4C" w:rsidP="00ED5652">
            <w:pPr>
              <w:jc w:val="left"/>
              <w:rPr>
                <w:rFonts w:ascii="Arial Narrow" w:hAnsi="Arial Narrow"/>
                <w:sz w:val="20"/>
              </w:rPr>
            </w:pPr>
            <w:r w:rsidRPr="00E2771E">
              <w:rPr>
                <w:rFonts w:ascii="Arial Narrow" w:hAnsi="Arial Narrow"/>
                <w:sz w:val="20"/>
              </w:rPr>
              <w:t>Cycle length</w:t>
            </w:r>
          </w:p>
        </w:tc>
        <w:tc>
          <w:tcPr>
            <w:tcW w:w="4250" w:type="pct"/>
            <w:shd w:val="clear" w:color="auto" w:fill="auto"/>
            <w:vAlign w:val="center"/>
          </w:tcPr>
          <w:p w:rsidR="00301E4C" w:rsidRPr="00E2771E" w:rsidRDefault="00301E4C" w:rsidP="00ED5652">
            <w:pPr>
              <w:jc w:val="left"/>
              <w:rPr>
                <w:rFonts w:ascii="Arial Narrow" w:hAnsi="Arial Narrow"/>
                <w:sz w:val="20"/>
              </w:rPr>
            </w:pPr>
            <w:r>
              <w:rPr>
                <w:rFonts w:ascii="Arial Narrow" w:hAnsi="Arial Narrow"/>
                <w:sz w:val="20"/>
              </w:rPr>
              <w:t>3 months</w:t>
            </w:r>
          </w:p>
        </w:tc>
      </w:tr>
      <w:tr w:rsidR="00301E4C" w:rsidRPr="00E2771E" w:rsidTr="00ED5652">
        <w:tc>
          <w:tcPr>
            <w:tcW w:w="750" w:type="pct"/>
            <w:shd w:val="clear" w:color="auto" w:fill="auto"/>
            <w:vAlign w:val="center"/>
          </w:tcPr>
          <w:p w:rsidR="00301E4C" w:rsidRPr="00E2771E" w:rsidRDefault="00301E4C" w:rsidP="00ED5652">
            <w:pPr>
              <w:jc w:val="left"/>
              <w:rPr>
                <w:rFonts w:ascii="Arial Narrow" w:hAnsi="Arial Narrow"/>
                <w:sz w:val="20"/>
              </w:rPr>
            </w:pPr>
            <w:r w:rsidRPr="00E2771E">
              <w:rPr>
                <w:rFonts w:ascii="Arial Narrow" w:hAnsi="Arial Narrow"/>
                <w:sz w:val="20"/>
              </w:rPr>
              <w:t>Transition probabilities</w:t>
            </w:r>
          </w:p>
        </w:tc>
        <w:tc>
          <w:tcPr>
            <w:tcW w:w="4250" w:type="pct"/>
            <w:shd w:val="clear" w:color="auto" w:fill="auto"/>
            <w:vAlign w:val="center"/>
          </w:tcPr>
          <w:p w:rsidR="00301E4C" w:rsidRDefault="00301E4C" w:rsidP="00ED5652">
            <w:pPr>
              <w:jc w:val="left"/>
              <w:rPr>
                <w:rFonts w:ascii="Arial Narrow" w:hAnsi="Arial Narrow"/>
                <w:sz w:val="20"/>
              </w:rPr>
            </w:pPr>
            <w:proofErr w:type="spellStart"/>
            <w:r>
              <w:rPr>
                <w:rFonts w:ascii="Arial Narrow" w:hAnsi="Arial Narrow"/>
                <w:sz w:val="20"/>
              </w:rPr>
              <w:t>Pirfenidone</w:t>
            </w:r>
            <w:proofErr w:type="spellEnd"/>
            <w:r>
              <w:rPr>
                <w:rFonts w:ascii="Arial Narrow" w:hAnsi="Arial Narrow"/>
                <w:sz w:val="20"/>
              </w:rPr>
              <w:t>: Kaplan-Meier data for OS, PFS and time on treatment and parametric model extrapolation to 6.2 years, followed by fitted function from Strand 2014 (same as mortality risk for BSC) to 16 years</w:t>
            </w:r>
          </w:p>
          <w:p w:rsidR="00301E4C" w:rsidRPr="00E2771E" w:rsidRDefault="00911F0E" w:rsidP="00ED5652">
            <w:pPr>
              <w:jc w:val="left"/>
              <w:rPr>
                <w:rFonts w:ascii="Arial Narrow" w:hAnsi="Arial Narrow"/>
                <w:sz w:val="20"/>
              </w:rPr>
            </w:pPr>
            <w:r>
              <w:rPr>
                <w:rFonts w:ascii="Arial Narrow" w:hAnsi="Arial Narrow"/>
                <w:sz w:val="20"/>
              </w:rPr>
              <w:t>BSC:</w:t>
            </w:r>
            <w:r w:rsidR="00301E4C">
              <w:rPr>
                <w:rFonts w:ascii="Arial Narrow" w:hAnsi="Arial Narrow"/>
                <w:sz w:val="20"/>
              </w:rPr>
              <w:t xml:space="preserve"> Kaplan-Meier data for OS and extrapolation using Strand 2014; and Kaplan-Meier data for OS, and Kaplan-Meier data for PFS plus parametric extrapolation to 16 years.</w:t>
            </w:r>
          </w:p>
        </w:tc>
      </w:tr>
    </w:tbl>
    <w:p w:rsidR="00301E4C" w:rsidRPr="00275C5A" w:rsidRDefault="00301E4C" w:rsidP="00301E4C">
      <w:pPr>
        <w:pStyle w:val="TableFooter"/>
        <w:ind w:firstLine="720"/>
      </w:pPr>
      <w:r w:rsidRPr="00275C5A">
        <w:t>Source: compiled during the evaluation</w:t>
      </w:r>
    </w:p>
    <w:p w:rsidR="00301E4C" w:rsidRPr="00275C5A" w:rsidRDefault="00301E4C" w:rsidP="00301E4C">
      <w:pPr>
        <w:widowControl/>
        <w:rPr>
          <w:szCs w:val="22"/>
        </w:rPr>
      </w:pPr>
    </w:p>
    <w:p w:rsidR="00301E4C" w:rsidRPr="00BE6C37" w:rsidRDefault="00E402E8" w:rsidP="00B9372F">
      <w:pPr>
        <w:pStyle w:val="ListParagraph"/>
        <w:widowControl/>
        <w:numPr>
          <w:ilvl w:val="1"/>
          <w:numId w:val="2"/>
        </w:numPr>
        <w:rPr>
          <w:szCs w:val="22"/>
        </w:rPr>
      </w:pPr>
      <w:r>
        <w:t xml:space="preserve">Key drivers of the model are described in the table below.  </w:t>
      </w:r>
      <w:r w:rsidR="00301E4C" w:rsidRPr="00EE5EF2">
        <w:t xml:space="preserve">The key driver is OS. </w:t>
      </w:r>
      <w:r w:rsidR="00D473C8">
        <w:t xml:space="preserve"> </w:t>
      </w:r>
      <w:r w:rsidR="00301E4C" w:rsidRPr="00EE5EF2">
        <w:t xml:space="preserve">This is determined by the submission’s approach to translation issues (extrapolation) including an assumption </w:t>
      </w:r>
      <w:proofErr w:type="gramStart"/>
      <w:r w:rsidR="00301E4C" w:rsidRPr="00EE5EF2">
        <w:t>that</w:t>
      </w:r>
      <w:proofErr w:type="gramEnd"/>
      <w:r w:rsidR="00301E4C" w:rsidRPr="00EE5EF2">
        <w:t xml:space="preserve"> 16 years is an appropriate time-horizon and extrapolation methods based upon doubtful statistical significance of the secondary </w:t>
      </w:r>
      <w:r w:rsidR="00301E4C" w:rsidRPr="00EE5EF2">
        <w:lastRenderedPageBreak/>
        <w:t xml:space="preserve">outcome of OS at 52 weeks, and further extrapolation from the open-label extension study which is likely to have produced biased results. </w:t>
      </w:r>
      <w:r w:rsidR="00D473C8">
        <w:t xml:space="preserve"> </w:t>
      </w:r>
      <w:r w:rsidR="00301E4C" w:rsidRPr="00EE5EF2">
        <w:t>The impact of this driver i</w:t>
      </w:r>
      <w:r w:rsidR="00D473C8">
        <w:t xml:space="preserve">s high and favours </w:t>
      </w:r>
      <w:proofErr w:type="spellStart"/>
      <w:r w:rsidR="00D473C8">
        <w:t>pirfenidone</w:t>
      </w:r>
      <w:proofErr w:type="spellEnd"/>
      <w:r w:rsidR="00D473C8">
        <w:t>.</w:t>
      </w:r>
    </w:p>
    <w:p w:rsidR="001033BF" w:rsidRPr="001033BF" w:rsidRDefault="001033BF" w:rsidP="001033BF">
      <w:pPr>
        <w:widowControl/>
      </w:pPr>
    </w:p>
    <w:p w:rsidR="001033BF" w:rsidRPr="0058239F" w:rsidRDefault="001033BF" w:rsidP="00B9372F">
      <w:pPr>
        <w:pStyle w:val="ListParagraph"/>
        <w:numPr>
          <w:ilvl w:val="1"/>
          <w:numId w:val="2"/>
        </w:numPr>
      </w:pPr>
      <w:r w:rsidRPr="0058239F">
        <w:t>The ESC noted that the modelling of OS in the BSC arm is partitioned into three parts (1) KM data from the pooled trials to 2 years, (2) KM data from Strand 2014 to 6.2 years and (3) Weibull extrapolation of the Strand</w:t>
      </w:r>
      <w:r w:rsidR="0006316D" w:rsidRPr="0058239F">
        <w:t xml:space="preserve"> 2014</w:t>
      </w:r>
      <w:r w:rsidRPr="0058239F">
        <w:t xml:space="preserve"> digitised KM data to 16 years. The main issue with this is the historic data from Strand 2014 may underestimate BSC compared with BSC in the trials, therefore over-estimatin</w:t>
      </w:r>
      <w:r w:rsidR="00D473C8">
        <w:t xml:space="preserve">g the benefit from </w:t>
      </w:r>
      <w:proofErr w:type="spellStart"/>
      <w:r w:rsidR="00D473C8">
        <w:t>pirfenidone</w:t>
      </w:r>
      <w:proofErr w:type="spellEnd"/>
      <w:r w:rsidR="00D473C8">
        <w:t>.</w:t>
      </w:r>
    </w:p>
    <w:p w:rsidR="001033BF" w:rsidRPr="00D473C8" w:rsidRDefault="001033BF" w:rsidP="001033BF">
      <w:pPr>
        <w:rPr>
          <w:szCs w:val="22"/>
        </w:rPr>
      </w:pPr>
    </w:p>
    <w:p w:rsidR="00BE6C37" w:rsidRPr="0058239F" w:rsidRDefault="00BE6C37" w:rsidP="00B9372F">
      <w:pPr>
        <w:pStyle w:val="ListParagraph"/>
        <w:numPr>
          <w:ilvl w:val="1"/>
          <w:numId w:val="2"/>
        </w:numPr>
        <w:rPr>
          <w:szCs w:val="22"/>
        </w:rPr>
      </w:pPr>
      <w:r w:rsidRPr="0058239F">
        <w:t>The ESC</w:t>
      </w:r>
      <w:r w:rsidRPr="0058239F">
        <w:rPr>
          <w:szCs w:val="22"/>
        </w:rPr>
        <w:t xml:space="preserve"> </w:t>
      </w:r>
      <w:r w:rsidR="00F57560" w:rsidRPr="0058239F">
        <w:rPr>
          <w:szCs w:val="22"/>
        </w:rPr>
        <w:t>noted the key issues</w:t>
      </w:r>
      <w:r w:rsidRPr="0058239F">
        <w:rPr>
          <w:szCs w:val="22"/>
        </w:rPr>
        <w:t xml:space="preserve"> on the extrapolation of time</w:t>
      </w:r>
      <w:r w:rsidR="001033BF" w:rsidRPr="0058239F">
        <w:rPr>
          <w:szCs w:val="22"/>
        </w:rPr>
        <w:t xml:space="preserve"> on-treatment with </w:t>
      </w:r>
      <w:proofErr w:type="spellStart"/>
      <w:r w:rsidR="001033BF" w:rsidRPr="0058239F">
        <w:rPr>
          <w:szCs w:val="22"/>
        </w:rPr>
        <w:t>p</w:t>
      </w:r>
      <w:r w:rsidR="00F57560" w:rsidRPr="0058239F">
        <w:rPr>
          <w:szCs w:val="22"/>
        </w:rPr>
        <w:t>irfenidone</w:t>
      </w:r>
      <w:proofErr w:type="spellEnd"/>
      <w:r w:rsidR="00F57560" w:rsidRPr="0058239F">
        <w:rPr>
          <w:szCs w:val="22"/>
        </w:rPr>
        <w:t xml:space="preserve"> </w:t>
      </w:r>
      <w:r w:rsidRPr="0058239F">
        <w:rPr>
          <w:szCs w:val="22"/>
        </w:rPr>
        <w:t>is that the data from the trial does not take account of reason for discontinuation, which means that it may over-estimate continuation on treatment beyond the trial; however, equally it may not be reasonable to assume continued efficacy and therefore same discontinuation rates over years 7-16 as in years 0-6.</w:t>
      </w:r>
    </w:p>
    <w:p w:rsidR="00301E4C" w:rsidRPr="00D473C8" w:rsidRDefault="00301E4C" w:rsidP="00627E27">
      <w:pPr>
        <w:widowControl/>
        <w:rPr>
          <w:szCs w:val="22"/>
        </w:rPr>
      </w:pPr>
    </w:p>
    <w:p w:rsidR="00301E4C" w:rsidRDefault="00301E4C" w:rsidP="00301E4C">
      <w:pPr>
        <w:ind w:firstLine="720"/>
        <w:rPr>
          <w:rStyle w:val="CommentReference"/>
        </w:rPr>
      </w:pPr>
      <w:r w:rsidRPr="00A56B6A">
        <w:rPr>
          <w:rStyle w:val="CommentReference"/>
        </w:rPr>
        <w:t xml:space="preserve">Table </w:t>
      </w:r>
      <w:r w:rsidR="00125567">
        <w:rPr>
          <w:rStyle w:val="CommentReference"/>
        </w:rPr>
        <w:t>8</w:t>
      </w:r>
      <w:r w:rsidRPr="00A56B6A">
        <w:rPr>
          <w:rStyle w:val="CommentReference"/>
        </w:rPr>
        <w:t>: Key drivers of the model</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2"/>
        <w:gridCol w:w="5832"/>
        <w:gridCol w:w="1521"/>
      </w:tblGrid>
      <w:tr w:rsidR="00301E4C" w:rsidRPr="00E2771E" w:rsidTr="00ED5652">
        <w:trPr>
          <w:tblHeader/>
        </w:trPr>
        <w:tc>
          <w:tcPr>
            <w:tcW w:w="610" w:type="pct"/>
            <w:shd w:val="clear" w:color="auto" w:fill="auto"/>
            <w:vAlign w:val="center"/>
          </w:tcPr>
          <w:p w:rsidR="00301E4C" w:rsidRPr="00E2771E" w:rsidRDefault="00301E4C" w:rsidP="00ED5652">
            <w:pPr>
              <w:jc w:val="left"/>
              <w:rPr>
                <w:rFonts w:ascii="Arial Narrow" w:hAnsi="Arial Narrow"/>
                <w:b/>
                <w:sz w:val="20"/>
                <w:lang w:val="en-US"/>
              </w:rPr>
            </w:pPr>
            <w:r w:rsidRPr="00E2771E">
              <w:rPr>
                <w:rFonts w:ascii="Arial Narrow" w:hAnsi="Arial Narrow"/>
                <w:b/>
                <w:sz w:val="20"/>
                <w:lang w:val="en-US"/>
              </w:rPr>
              <w:t>Description</w:t>
            </w:r>
          </w:p>
        </w:tc>
        <w:tc>
          <w:tcPr>
            <w:tcW w:w="3482" w:type="pct"/>
            <w:shd w:val="clear" w:color="auto" w:fill="auto"/>
            <w:vAlign w:val="center"/>
          </w:tcPr>
          <w:p w:rsidR="00301E4C" w:rsidRPr="00E2771E" w:rsidRDefault="00301E4C" w:rsidP="00ED5652">
            <w:pPr>
              <w:jc w:val="center"/>
              <w:rPr>
                <w:rFonts w:ascii="Arial Narrow" w:hAnsi="Arial Narrow"/>
                <w:b/>
                <w:sz w:val="20"/>
                <w:lang w:val="en-US"/>
              </w:rPr>
            </w:pPr>
            <w:r w:rsidRPr="00E2771E">
              <w:rPr>
                <w:rFonts w:ascii="Arial Narrow" w:hAnsi="Arial Narrow"/>
                <w:b/>
                <w:sz w:val="20"/>
                <w:lang w:val="en-US"/>
              </w:rPr>
              <w:t>Method/Value</w:t>
            </w:r>
          </w:p>
        </w:tc>
        <w:tc>
          <w:tcPr>
            <w:tcW w:w="908" w:type="pct"/>
            <w:shd w:val="clear" w:color="auto" w:fill="auto"/>
            <w:vAlign w:val="center"/>
          </w:tcPr>
          <w:p w:rsidR="00301E4C" w:rsidRPr="00E2771E" w:rsidRDefault="00301E4C" w:rsidP="00ED5652">
            <w:pPr>
              <w:jc w:val="center"/>
              <w:rPr>
                <w:rFonts w:ascii="Arial Narrow" w:hAnsi="Arial Narrow"/>
                <w:b/>
                <w:sz w:val="20"/>
                <w:lang w:val="en-US"/>
              </w:rPr>
            </w:pPr>
            <w:r w:rsidRPr="00E2771E">
              <w:rPr>
                <w:rFonts w:ascii="Arial Narrow" w:hAnsi="Arial Narrow"/>
                <w:b/>
                <w:sz w:val="20"/>
                <w:lang w:val="en-US"/>
              </w:rPr>
              <w:t>Impact</w:t>
            </w:r>
          </w:p>
        </w:tc>
      </w:tr>
      <w:tr w:rsidR="00301E4C" w:rsidRPr="00E2771E" w:rsidTr="00ED5652">
        <w:tc>
          <w:tcPr>
            <w:tcW w:w="610" w:type="pct"/>
            <w:shd w:val="clear" w:color="auto" w:fill="auto"/>
            <w:vAlign w:val="center"/>
          </w:tcPr>
          <w:p w:rsidR="00301E4C" w:rsidRPr="00E2771E" w:rsidRDefault="00301E4C" w:rsidP="00ED5652">
            <w:pPr>
              <w:jc w:val="left"/>
              <w:rPr>
                <w:rFonts w:ascii="Arial Narrow" w:hAnsi="Arial Narrow"/>
                <w:sz w:val="20"/>
                <w:lang w:val="en-US"/>
              </w:rPr>
            </w:pPr>
            <w:r w:rsidRPr="00E2771E">
              <w:rPr>
                <w:rFonts w:ascii="Arial Narrow" w:hAnsi="Arial Narrow"/>
                <w:sz w:val="20"/>
                <w:lang w:val="en-US"/>
              </w:rPr>
              <w:t>Time horizon</w:t>
            </w:r>
          </w:p>
        </w:tc>
        <w:tc>
          <w:tcPr>
            <w:tcW w:w="3482" w:type="pct"/>
            <w:shd w:val="clear" w:color="auto" w:fill="auto"/>
            <w:vAlign w:val="center"/>
          </w:tcPr>
          <w:p w:rsidR="00301E4C" w:rsidRPr="00E2771E" w:rsidRDefault="00301E4C" w:rsidP="00ED5652">
            <w:pPr>
              <w:jc w:val="center"/>
              <w:rPr>
                <w:rFonts w:ascii="Arial Narrow" w:hAnsi="Arial Narrow"/>
                <w:sz w:val="20"/>
                <w:lang w:val="en-US"/>
              </w:rPr>
            </w:pPr>
            <w:r>
              <w:rPr>
                <w:rFonts w:ascii="Arial Narrow" w:hAnsi="Arial Narrow"/>
                <w:sz w:val="20"/>
                <w:lang w:val="en-US"/>
              </w:rPr>
              <w:t>16</w:t>
            </w:r>
            <w:r w:rsidRPr="00E2771E">
              <w:rPr>
                <w:rFonts w:ascii="Arial Narrow" w:hAnsi="Arial Narrow"/>
                <w:sz w:val="20"/>
                <w:lang w:val="en-US"/>
              </w:rPr>
              <w:t xml:space="preserve"> years; assumed from</w:t>
            </w:r>
            <w:r>
              <w:rPr>
                <w:rFonts w:ascii="Arial Narrow" w:hAnsi="Arial Narrow"/>
                <w:sz w:val="20"/>
                <w:lang w:val="en-US"/>
              </w:rPr>
              <w:t xml:space="preserve"> pooled data of 52-72 weeks, and an extension study to 6.2 years followed by fitted parametric functions to 16 years</w:t>
            </w:r>
          </w:p>
        </w:tc>
        <w:tc>
          <w:tcPr>
            <w:tcW w:w="908" w:type="pct"/>
            <w:shd w:val="clear" w:color="auto" w:fill="auto"/>
            <w:vAlign w:val="center"/>
          </w:tcPr>
          <w:p w:rsidR="00301E4C" w:rsidRPr="00E2771E" w:rsidRDefault="00301E4C" w:rsidP="00ED5652">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pirfenidone</w:t>
            </w:r>
            <w:proofErr w:type="spellEnd"/>
          </w:p>
        </w:tc>
      </w:tr>
      <w:tr w:rsidR="00301E4C" w:rsidRPr="00E2771E" w:rsidTr="00ED5652">
        <w:tc>
          <w:tcPr>
            <w:tcW w:w="610" w:type="pct"/>
            <w:shd w:val="clear" w:color="auto" w:fill="auto"/>
            <w:vAlign w:val="center"/>
          </w:tcPr>
          <w:p w:rsidR="00301E4C" w:rsidRPr="00E2771E" w:rsidRDefault="00301E4C" w:rsidP="00ED5652">
            <w:pPr>
              <w:jc w:val="left"/>
              <w:rPr>
                <w:rFonts w:ascii="Arial Narrow" w:hAnsi="Arial Narrow"/>
                <w:sz w:val="20"/>
                <w:lang w:val="en-US"/>
              </w:rPr>
            </w:pPr>
            <w:r>
              <w:rPr>
                <w:rFonts w:ascii="Arial Narrow" w:hAnsi="Arial Narrow"/>
                <w:sz w:val="20"/>
                <w:lang w:val="en-US"/>
              </w:rPr>
              <w:t>Extrapolation of OS</w:t>
            </w:r>
          </w:p>
        </w:tc>
        <w:tc>
          <w:tcPr>
            <w:tcW w:w="3482" w:type="pct"/>
            <w:shd w:val="clear" w:color="auto" w:fill="auto"/>
            <w:vAlign w:val="center"/>
          </w:tcPr>
          <w:p w:rsidR="00301E4C" w:rsidRDefault="00301E4C" w:rsidP="00ED5652">
            <w:pPr>
              <w:jc w:val="center"/>
              <w:rPr>
                <w:rFonts w:ascii="Arial Narrow" w:hAnsi="Arial Narrow"/>
                <w:sz w:val="20"/>
                <w:lang w:val="en-US"/>
              </w:rPr>
            </w:pPr>
            <w:proofErr w:type="spellStart"/>
            <w:r>
              <w:rPr>
                <w:rFonts w:ascii="Arial Narrow" w:hAnsi="Arial Narrow"/>
                <w:sz w:val="20"/>
                <w:lang w:val="en-US"/>
              </w:rPr>
              <w:t>Pirfenidone</w:t>
            </w:r>
            <w:proofErr w:type="spellEnd"/>
            <w:r>
              <w:rPr>
                <w:rFonts w:ascii="Arial Narrow" w:hAnsi="Arial Narrow"/>
                <w:sz w:val="20"/>
                <w:lang w:val="en-US"/>
              </w:rPr>
              <w:t xml:space="preserve">: Between 2-6.2 years, OS estimates are derived from a biased source (RECAP extension study); </w:t>
            </w:r>
          </w:p>
          <w:p w:rsidR="00301E4C" w:rsidRDefault="00301E4C" w:rsidP="00ED5652">
            <w:pPr>
              <w:jc w:val="center"/>
              <w:rPr>
                <w:rFonts w:ascii="Arial Narrow" w:hAnsi="Arial Narrow"/>
                <w:sz w:val="20"/>
                <w:lang w:val="en-US"/>
              </w:rPr>
            </w:pPr>
            <w:r>
              <w:rPr>
                <w:rFonts w:ascii="Arial Narrow" w:hAnsi="Arial Narrow"/>
                <w:sz w:val="20"/>
                <w:lang w:val="en-US"/>
              </w:rPr>
              <w:t xml:space="preserve">BSC: Beyond 2 years, the OS projection for BSC patients relies upon historical data (Strand 2014) that may underestimate survival for BSC. </w:t>
            </w:r>
          </w:p>
        </w:tc>
        <w:tc>
          <w:tcPr>
            <w:tcW w:w="908" w:type="pct"/>
            <w:shd w:val="clear" w:color="auto" w:fill="auto"/>
            <w:vAlign w:val="center"/>
          </w:tcPr>
          <w:p w:rsidR="00301E4C" w:rsidRDefault="00301E4C" w:rsidP="00ED5652">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pirfenidone</w:t>
            </w:r>
            <w:proofErr w:type="spellEnd"/>
          </w:p>
        </w:tc>
      </w:tr>
      <w:tr w:rsidR="00301E4C" w:rsidRPr="00E2771E" w:rsidTr="00ED5652">
        <w:tc>
          <w:tcPr>
            <w:tcW w:w="610" w:type="pct"/>
            <w:shd w:val="clear" w:color="auto" w:fill="auto"/>
            <w:vAlign w:val="center"/>
          </w:tcPr>
          <w:p w:rsidR="00301E4C" w:rsidRPr="00E2771E" w:rsidRDefault="00301E4C" w:rsidP="00ED5652">
            <w:pPr>
              <w:jc w:val="left"/>
              <w:rPr>
                <w:rFonts w:ascii="Arial Narrow" w:hAnsi="Arial Narrow"/>
                <w:sz w:val="20"/>
                <w:lang w:val="en-US"/>
              </w:rPr>
            </w:pPr>
            <w:r>
              <w:rPr>
                <w:rFonts w:ascii="Arial Narrow" w:hAnsi="Arial Narrow"/>
                <w:sz w:val="20"/>
                <w:lang w:val="en-US"/>
              </w:rPr>
              <w:t>Time on treatment</w:t>
            </w:r>
          </w:p>
        </w:tc>
        <w:tc>
          <w:tcPr>
            <w:tcW w:w="3482" w:type="pct"/>
            <w:shd w:val="clear" w:color="auto" w:fill="auto"/>
            <w:vAlign w:val="center"/>
          </w:tcPr>
          <w:p w:rsidR="00301E4C" w:rsidRDefault="00301E4C" w:rsidP="00ED5652">
            <w:pPr>
              <w:jc w:val="center"/>
              <w:rPr>
                <w:rFonts w:ascii="Arial Narrow" w:hAnsi="Arial Narrow"/>
                <w:sz w:val="20"/>
                <w:lang w:val="en-US"/>
              </w:rPr>
            </w:pPr>
            <w:r>
              <w:rPr>
                <w:rFonts w:ascii="Arial Narrow" w:hAnsi="Arial Narrow"/>
                <w:sz w:val="20"/>
                <w:lang w:val="en-US"/>
              </w:rPr>
              <w:t>Discontinuation rates from pooled data to 6.2 years which appears not to have adjusted for discontinuation due to death when applied to the model</w:t>
            </w:r>
          </w:p>
        </w:tc>
        <w:tc>
          <w:tcPr>
            <w:tcW w:w="908" w:type="pct"/>
            <w:shd w:val="clear" w:color="auto" w:fill="auto"/>
            <w:vAlign w:val="center"/>
          </w:tcPr>
          <w:p w:rsidR="00301E4C" w:rsidRDefault="007E20F5" w:rsidP="00ED5652">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pi</w:t>
            </w:r>
            <w:r w:rsidR="00301E4C">
              <w:rPr>
                <w:rFonts w:ascii="Arial Narrow" w:hAnsi="Arial Narrow"/>
                <w:sz w:val="20"/>
                <w:lang w:val="en-US"/>
              </w:rPr>
              <w:t>rfenidone</w:t>
            </w:r>
            <w:proofErr w:type="spellEnd"/>
          </w:p>
        </w:tc>
      </w:tr>
      <w:tr w:rsidR="00301E4C" w:rsidRPr="00E2771E" w:rsidTr="00ED5652">
        <w:tc>
          <w:tcPr>
            <w:tcW w:w="610" w:type="pct"/>
            <w:shd w:val="clear" w:color="auto" w:fill="auto"/>
            <w:vAlign w:val="center"/>
          </w:tcPr>
          <w:p w:rsidR="00301E4C" w:rsidRPr="00E2771E" w:rsidRDefault="00301E4C" w:rsidP="00ED5652">
            <w:pPr>
              <w:jc w:val="left"/>
              <w:rPr>
                <w:rFonts w:ascii="Arial Narrow" w:hAnsi="Arial Narrow"/>
                <w:sz w:val="20"/>
                <w:lang w:val="en-US"/>
              </w:rPr>
            </w:pPr>
            <w:r>
              <w:rPr>
                <w:rFonts w:ascii="Arial Narrow" w:hAnsi="Arial Narrow"/>
                <w:sz w:val="20"/>
                <w:lang w:val="en-US"/>
              </w:rPr>
              <w:t>The utility of Progression</w:t>
            </w:r>
          </w:p>
        </w:tc>
        <w:tc>
          <w:tcPr>
            <w:tcW w:w="3482" w:type="pct"/>
            <w:shd w:val="clear" w:color="auto" w:fill="auto"/>
            <w:vAlign w:val="center"/>
          </w:tcPr>
          <w:p w:rsidR="00301E4C" w:rsidRPr="00E2771E" w:rsidRDefault="00301E4C" w:rsidP="00ED5652">
            <w:pPr>
              <w:jc w:val="center"/>
              <w:rPr>
                <w:rFonts w:ascii="Arial Narrow" w:hAnsi="Arial Narrow"/>
                <w:sz w:val="20"/>
                <w:lang w:val="en-US"/>
              </w:rPr>
            </w:pPr>
            <w:r>
              <w:rPr>
                <w:rFonts w:ascii="Arial Narrow" w:hAnsi="Arial Narrow"/>
                <w:sz w:val="20"/>
                <w:lang w:val="en-US"/>
              </w:rPr>
              <w:t>Sourced from the literature</w:t>
            </w:r>
          </w:p>
        </w:tc>
        <w:tc>
          <w:tcPr>
            <w:tcW w:w="908" w:type="pct"/>
            <w:shd w:val="clear" w:color="auto" w:fill="auto"/>
            <w:vAlign w:val="center"/>
          </w:tcPr>
          <w:p w:rsidR="00301E4C" w:rsidRPr="00E2771E" w:rsidRDefault="00301E4C" w:rsidP="00ED5652">
            <w:pPr>
              <w:jc w:val="center"/>
              <w:rPr>
                <w:rFonts w:ascii="Arial Narrow" w:hAnsi="Arial Narrow"/>
                <w:sz w:val="20"/>
                <w:lang w:val="en-US"/>
              </w:rPr>
            </w:pPr>
            <w:r>
              <w:rPr>
                <w:rFonts w:ascii="Arial Narrow" w:hAnsi="Arial Narrow"/>
                <w:sz w:val="20"/>
                <w:lang w:val="en-US"/>
              </w:rPr>
              <w:t xml:space="preserve">Moderate,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pirfenidone</w:t>
            </w:r>
            <w:proofErr w:type="spellEnd"/>
          </w:p>
        </w:tc>
      </w:tr>
    </w:tbl>
    <w:p w:rsidR="00301E4C" w:rsidRPr="00D110BD" w:rsidRDefault="00301E4C" w:rsidP="00301E4C">
      <w:pPr>
        <w:pStyle w:val="TableFooter"/>
        <w:ind w:firstLine="720"/>
      </w:pPr>
      <w:r w:rsidRPr="00D110BD">
        <w:t>Source: compiled during the evaluation</w:t>
      </w:r>
    </w:p>
    <w:p w:rsidR="00301E4C" w:rsidRPr="00275C5A" w:rsidRDefault="00301E4C" w:rsidP="00301E4C">
      <w:pPr>
        <w:widowControl/>
        <w:rPr>
          <w:szCs w:val="22"/>
        </w:rPr>
      </w:pPr>
    </w:p>
    <w:p w:rsidR="00666068" w:rsidRDefault="00666068" w:rsidP="00666068">
      <w:pPr>
        <w:pStyle w:val="ListParagraph"/>
        <w:widowControl/>
        <w:numPr>
          <w:ilvl w:val="1"/>
          <w:numId w:val="2"/>
        </w:numPr>
        <w:rPr>
          <w:szCs w:val="22"/>
        </w:rPr>
      </w:pPr>
      <w:r w:rsidRPr="00D473C8">
        <w:rPr>
          <w:szCs w:val="22"/>
        </w:rPr>
        <w:t xml:space="preserve">The ESC noted issues with the costing of adverse events and exacerbations which are effectively captured in costs of hospitalisations and taken from the trial data. </w:t>
      </w:r>
      <w:r w:rsidR="00D473C8" w:rsidRPr="00D473C8">
        <w:rPr>
          <w:szCs w:val="22"/>
        </w:rPr>
        <w:t xml:space="preserve"> </w:t>
      </w:r>
      <w:r w:rsidRPr="00D473C8">
        <w:rPr>
          <w:szCs w:val="22"/>
        </w:rPr>
        <w:t xml:space="preserve">The key issue is that the average length of stay (ALOS) in the </w:t>
      </w:r>
      <w:proofErr w:type="spellStart"/>
      <w:r w:rsidRPr="00D473C8">
        <w:rPr>
          <w:szCs w:val="22"/>
        </w:rPr>
        <w:t>p</w:t>
      </w:r>
      <w:r w:rsidR="004A4F12">
        <w:rPr>
          <w:szCs w:val="22"/>
        </w:rPr>
        <w:t>i</w:t>
      </w:r>
      <w:r w:rsidRPr="00D473C8">
        <w:rPr>
          <w:szCs w:val="22"/>
        </w:rPr>
        <w:t>rf</w:t>
      </w:r>
      <w:r w:rsidR="004A4F12">
        <w:rPr>
          <w:szCs w:val="22"/>
        </w:rPr>
        <w:t>e</w:t>
      </w:r>
      <w:r w:rsidRPr="00D473C8">
        <w:rPr>
          <w:szCs w:val="22"/>
        </w:rPr>
        <w:t>nidone</w:t>
      </w:r>
      <w:proofErr w:type="spellEnd"/>
      <w:r w:rsidRPr="00D473C8">
        <w:rPr>
          <w:szCs w:val="22"/>
        </w:rPr>
        <w:t xml:space="preserve"> arm is half that of the BSC arm, but the rate of hospitalisation is the same.  This raises concerns about whether it is appropriate to adjust the DRG</w:t>
      </w:r>
      <w:r w:rsidR="00D473C8">
        <w:rPr>
          <w:szCs w:val="22"/>
        </w:rPr>
        <w:t xml:space="preserve"> costs for differences in ALOS.</w:t>
      </w:r>
    </w:p>
    <w:p w:rsidR="00D473C8" w:rsidRPr="00D473C8" w:rsidRDefault="00D473C8" w:rsidP="00D473C8">
      <w:pPr>
        <w:widowControl/>
        <w:rPr>
          <w:szCs w:val="22"/>
        </w:rPr>
      </w:pPr>
    </w:p>
    <w:p w:rsidR="00632E43" w:rsidRDefault="00301E4C" w:rsidP="00B9372F">
      <w:pPr>
        <w:pStyle w:val="ListParagraph"/>
        <w:widowControl/>
        <w:numPr>
          <w:ilvl w:val="1"/>
          <w:numId w:val="2"/>
        </w:numPr>
      </w:pPr>
      <w:r>
        <w:t>The results of the stepped economic evaluation are provided in the table below</w:t>
      </w:r>
      <w:r w:rsidR="00E402E8">
        <w:t xml:space="preserve">.  </w:t>
      </w:r>
      <w:r w:rsidR="00E402E8" w:rsidRPr="00175B8B">
        <w:t>Given the lack of difference in ICERs between steps 2 ($</w:t>
      </w:r>
      <w:r w:rsidR="00AF4647">
        <w:rPr>
          <w:noProof/>
          <w:color w:val="000000"/>
          <w:highlight w:val="black"/>
        </w:rPr>
        <w:t>'''''''''''''''''</w:t>
      </w:r>
      <w:r w:rsidR="00E402E8" w:rsidRPr="00175B8B">
        <w:t>) and 8 ($</w:t>
      </w:r>
      <w:r w:rsidR="00AF4647">
        <w:rPr>
          <w:noProof/>
          <w:color w:val="000000"/>
          <w:highlight w:val="black"/>
        </w:rPr>
        <w:t>'''''''''''''''</w:t>
      </w:r>
      <w:r w:rsidR="00E402E8" w:rsidRPr="00175B8B">
        <w:t xml:space="preserve">), steps 3 to 7 (incorporation of medical </w:t>
      </w:r>
      <w:r w:rsidR="00632134" w:rsidRPr="00175B8B">
        <w:t>resource utilisation (MRU)</w:t>
      </w:r>
      <w:r w:rsidR="00E402E8" w:rsidRPr="00175B8B">
        <w:t xml:space="preserve"> costs, </w:t>
      </w:r>
      <w:r w:rsidR="00BB4798" w:rsidRPr="00175B8B">
        <w:t>AE costs, lung transplant costs and</w:t>
      </w:r>
      <w:r w:rsidR="00E402E8" w:rsidRPr="00175B8B">
        <w:t xml:space="preserve"> end of life costs) are not presented.</w:t>
      </w:r>
      <w:r w:rsidR="00BB4798">
        <w:rPr>
          <w:i/>
        </w:rPr>
        <w:t xml:space="preserve">  </w:t>
      </w:r>
      <w:r w:rsidR="00BB4798" w:rsidRPr="00BB4798">
        <w:t>The application of utilities was considered a separate step by the submission, but the</w:t>
      </w:r>
      <w:r w:rsidR="001918A1">
        <w:t xml:space="preserve"> submissio</w:t>
      </w:r>
      <w:r w:rsidR="00E6440F">
        <w:t>n noted that the</w:t>
      </w:r>
      <w:r w:rsidR="00BB4798" w:rsidRPr="00BB4798">
        <w:t xml:space="preserve"> weighting of life years to determine QALYs occurred at each step of the model.</w:t>
      </w:r>
    </w:p>
    <w:p w:rsidR="00753CD1" w:rsidRPr="00D473C8" w:rsidRDefault="00753CD1" w:rsidP="00753CD1">
      <w:pPr>
        <w:widowControl/>
        <w:jc w:val="left"/>
        <w:rPr>
          <w:rStyle w:val="CommentReference"/>
          <w:rFonts w:ascii="Arial" w:hAnsi="Arial"/>
          <w:b w:val="0"/>
          <w:sz w:val="22"/>
          <w:szCs w:val="22"/>
        </w:rPr>
      </w:pPr>
    </w:p>
    <w:p w:rsidR="00195589" w:rsidRDefault="00195589">
      <w:pPr>
        <w:widowControl/>
        <w:jc w:val="left"/>
        <w:rPr>
          <w:rStyle w:val="CommentReference"/>
        </w:rPr>
      </w:pPr>
      <w:r>
        <w:rPr>
          <w:rStyle w:val="CommentReference"/>
        </w:rPr>
        <w:br w:type="page"/>
      </w:r>
    </w:p>
    <w:p w:rsidR="00301E4C" w:rsidRDefault="00301E4C" w:rsidP="00753CD1">
      <w:pPr>
        <w:widowControl/>
        <w:ind w:firstLine="720"/>
        <w:jc w:val="left"/>
        <w:rPr>
          <w:rStyle w:val="CommentReference"/>
        </w:rPr>
      </w:pPr>
      <w:r>
        <w:rPr>
          <w:rStyle w:val="CommentReference"/>
        </w:rPr>
        <w:lastRenderedPageBreak/>
        <w:t xml:space="preserve">Table </w:t>
      </w:r>
      <w:r w:rsidR="00125567">
        <w:rPr>
          <w:rStyle w:val="CommentReference"/>
        </w:rPr>
        <w:t>9</w:t>
      </w:r>
      <w:r w:rsidRPr="001222FC">
        <w:rPr>
          <w:rStyle w:val="CommentReference"/>
        </w:rPr>
        <w:t>: Results of the stepped economic evaluation</w:t>
      </w:r>
    </w:p>
    <w:tbl>
      <w:tblPr>
        <w:tblW w:w="4612" w:type="pct"/>
        <w:tblInd w:w="699" w:type="dxa"/>
        <w:tblCellMar>
          <w:left w:w="28" w:type="dxa"/>
          <w:right w:w="28" w:type="dxa"/>
        </w:tblCellMar>
        <w:tblLook w:val="04A0" w:firstRow="1" w:lastRow="0" w:firstColumn="1" w:lastColumn="0" w:noHBand="0" w:noVBand="1"/>
      </w:tblPr>
      <w:tblGrid>
        <w:gridCol w:w="2574"/>
        <w:gridCol w:w="2143"/>
        <w:gridCol w:w="1716"/>
        <w:gridCol w:w="1945"/>
      </w:tblGrid>
      <w:tr w:rsidR="00301E4C" w:rsidRPr="007A6B1E" w:rsidTr="00ED5652">
        <w:trPr>
          <w:tblHeader/>
        </w:trPr>
        <w:tc>
          <w:tcPr>
            <w:tcW w:w="153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01E4C" w:rsidRPr="007A6B1E" w:rsidRDefault="00301E4C" w:rsidP="00ED5652">
            <w:pPr>
              <w:jc w:val="left"/>
              <w:rPr>
                <w:rFonts w:ascii="Arial Narrow" w:hAnsi="Arial Narrow" w:cs="Times New Roman"/>
                <w:b/>
                <w:bCs/>
                <w:snapToGrid/>
                <w:color w:val="000000"/>
                <w:sz w:val="20"/>
                <w:lang w:eastAsia="en-AU"/>
              </w:rPr>
            </w:pPr>
            <w:r w:rsidRPr="007A6B1E">
              <w:rPr>
                <w:rFonts w:ascii="Arial Narrow" w:hAnsi="Arial Narrow" w:cs="Times New Roman"/>
                <w:b/>
                <w:bCs/>
                <w:snapToGrid/>
                <w:color w:val="000000"/>
                <w:sz w:val="20"/>
                <w:lang w:eastAsia="en-AU"/>
              </w:rPr>
              <w:t>Step and component</w:t>
            </w:r>
          </w:p>
        </w:tc>
        <w:tc>
          <w:tcPr>
            <w:tcW w:w="1279" w:type="pct"/>
            <w:tcBorders>
              <w:top w:val="single" w:sz="8" w:space="0" w:color="auto"/>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b/>
                <w:bCs/>
                <w:snapToGrid/>
                <w:color w:val="000000"/>
                <w:sz w:val="20"/>
                <w:lang w:eastAsia="en-AU"/>
              </w:rPr>
            </w:pPr>
            <w:proofErr w:type="spellStart"/>
            <w:r w:rsidRPr="007A6B1E">
              <w:rPr>
                <w:rFonts w:ascii="Arial Narrow" w:hAnsi="Arial Narrow" w:cs="Times New Roman"/>
                <w:b/>
                <w:bCs/>
                <w:snapToGrid/>
                <w:color w:val="000000"/>
                <w:sz w:val="20"/>
                <w:lang w:eastAsia="en-AU"/>
              </w:rPr>
              <w:t>Pirfenidone</w:t>
            </w:r>
            <w:proofErr w:type="spellEnd"/>
          </w:p>
        </w:tc>
        <w:tc>
          <w:tcPr>
            <w:tcW w:w="1024" w:type="pct"/>
            <w:tcBorders>
              <w:top w:val="single" w:sz="8" w:space="0" w:color="auto"/>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b/>
                <w:bCs/>
                <w:snapToGrid/>
                <w:color w:val="000000"/>
                <w:sz w:val="20"/>
                <w:lang w:eastAsia="en-AU"/>
              </w:rPr>
            </w:pPr>
            <w:r w:rsidRPr="007A6B1E">
              <w:rPr>
                <w:rFonts w:ascii="Arial Narrow" w:hAnsi="Arial Narrow" w:cs="Times New Roman"/>
                <w:b/>
                <w:bCs/>
                <w:snapToGrid/>
                <w:color w:val="000000"/>
                <w:sz w:val="20"/>
                <w:lang w:eastAsia="en-AU"/>
              </w:rPr>
              <w:t>BSC</w:t>
            </w:r>
          </w:p>
        </w:tc>
        <w:tc>
          <w:tcPr>
            <w:tcW w:w="1161" w:type="pct"/>
            <w:tcBorders>
              <w:top w:val="single" w:sz="8" w:space="0" w:color="auto"/>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bCs/>
                <w:snapToGrid/>
                <w:color w:val="000000"/>
                <w:sz w:val="20"/>
                <w:lang w:eastAsia="en-AU"/>
              </w:rPr>
            </w:pPr>
            <w:r w:rsidRPr="007A6B1E">
              <w:rPr>
                <w:rFonts w:ascii="Arial Narrow" w:hAnsi="Arial Narrow" w:cs="Times New Roman"/>
                <w:b/>
                <w:bCs/>
                <w:snapToGrid/>
                <w:color w:val="000000"/>
                <w:sz w:val="20"/>
                <w:lang w:eastAsia="en-AU"/>
              </w:rPr>
              <w:t>Increment</w:t>
            </w:r>
            <w:r>
              <w:rPr>
                <w:rFonts w:ascii="Arial Narrow" w:hAnsi="Arial Narrow" w:cs="Times New Roman"/>
                <w:b/>
                <w:bCs/>
                <w:snapToGrid/>
                <w:color w:val="000000"/>
                <w:sz w:val="20"/>
                <w:lang w:eastAsia="en-AU"/>
              </w:rPr>
              <w:t xml:space="preserve"> </w:t>
            </w:r>
            <w:r>
              <w:rPr>
                <w:rFonts w:ascii="Times New Roman" w:hAnsi="Times New Roman" w:cs="Times New Roman"/>
                <w:b/>
                <w:bCs/>
                <w:snapToGrid/>
                <w:color w:val="000000"/>
                <w:sz w:val="20"/>
                <w:lang w:eastAsia="en-AU"/>
              </w:rPr>
              <w:t>†</w:t>
            </w:r>
          </w:p>
        </w:tc>
      </w:tr>
      <w:tr w:rsidR="00301E4C" w:rsidRPr="007A6B1E" w:rsidTr="00ED5652">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01E4C" w:rsidRPr="007A6B1E" w:rsidRDefault="00301E4C" w:rsidP="00ED5652">
            <w:pPr>
              <w:jc w:val="left"/>
              <w:rPr>
                <w:rFonts w:ascii="Arial Narrow" w:hAnsi="Arial Narrow" w:cs="Times New Roman"/>
                <w:b/>
                <w:bCs/>
                <w:snapToGrid/>
                <w:color w:val="000000"/>
                <w:sz w:val="20"/>
                <w:lang w:eastAsia="en-AU"/>
              </w:rPr>
            </w:pPr>
            <w:r w:rsidRPr="007A6B1E">
              <w:rPr>
                <w:rFonts w:ascii="Arial Narrow" w:hAnsi="Arial Narrow" w:cs="Arial Narrow"/>
                <w:b/>
                <w:bCs/>
                <w:snapToGrid/>
                <w:color w:val="000000"/>
                <w:sz w:val="20"/>
                <w:lang w:eastAsia="en-AU"/>
              </w:rPr>
              <w:t>Step 1: trial-based costs and outcomes</w:t>
            </w:r>
          </w:p>
        </w:tc>
      </w:tr>
      <w:tr w:rsidR="00301E4C" w:rsidRPr="007A6B1E" w:rsidTr="00ED5652">
        <w:tc>
          <w:tcPr>
            <w:tcW w:w="1536" w:type="pct"/>
            <w:tcBorders>
              <w:top w:val="nil"/>
              <w:left w:val="single" w:sz="8" w:space="0" w:color="auto"/>
              <w:bottom w:val="single" w:sz="8" w:space="0" w:color="auto"/>
              <w:right w:val="single" w:sz="8" w:space="0" w:color="auto"/>
            </w:tcBorders>
            <w:shd w:val="clear" w:color="auto" w:fill="auto"/>
            <w:vAlign w:val="center"/>
            <w:hideMark/>
          </w:tcPr>
          <w:p w:rsidR="00301E4C" w:rsidRPr="007A6B1E" w:rsidRDefault="00301E4C" w:rsidP="00ED5652">
            <w:pPr>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Costs</w:t>
            </w:r>
          </w:p>
        </w:tc>
        <w:tc>
          <w:tcPr>
            <w:tcW w:w="1279"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w:t>
            </w:r>
            <w:r w:rsidR="00AF4647">
              <w:rPr>
                <w:rFonts w:ascii="Arial Narrow" w:hAnsi="Arial Narrow" w:cs="Times New Roman"/>
                <w:noProof/>
                <w:snapToGrid/>
                <w:color w:val="000000"/>
                <w:sz w:val="20"/>
                <w:highlight w:val="black"/>
                <w:lang w:eastAsia="en-AU"/>
              </w:rPr>
              <w:t>''''''''''''''''</w:t>
            </w:r>
          </w:p>
        </w:tc>
        <w:tc>
          <w:tcPr>
            <w:tcW w:w="1024"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$0</w:t>
            </w:r>
          </w:p>
        </w:tc>
        <w:tc>
          <w:tcPr>
            <w:tcW w:w="1161"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w:t>
            </w:r>
            <w:r w:rsidR="00AF4647">
              <w:rPr>
                <w:rFonts w:ascii="Arial Narrow" w:hAnsi="Arial Narrow" w:cs="Times New Roman"/>
                <w:noProof/>
                <w:snapToGrid/>
                <w:color w:val="000000"/>
                <w:sz w:val="20"/>
                <w:highlight w:val="black"/>
                <w:lang w:eastAsia="en-AU"/>
              </w:rPr>
              <w:t>''''''''''''''''''</w:t>
            </w:r>
          </w:p>
        </w:tc>
      </w:tr>
      <w:tr w:rsidR="00301E4C" w:rsidRPr="007A6B1E" w:rsidTr="00ED5652">
        <w:tc>
          <w:tcPr>
            <w:tcW w:w="1536" w:type="pct"/>
            <w:tcBorders>
              <w:top w:val="nil"/>
              <w:left w:val="single" w:sz="8" w:space="0" w:color="auto"/>
              <w:bottom w:val="single" w:sz="8" w:space="0" w:color="auto"/>
              <w:right w:val="single" w:sz="8" w:space="0" w:color="auto"/>
            </w:tcBorders>
            <w:shd w:val="clear" w:color="auto" w:fill="auto"/>
            <w:vAlign w:val="center"/>
            <w:hideMark/>
          </w:tcPr>
          <w:p w:rsidR="00301E4C" w:rsidRPr="007A6B1E" w:rsidRDefault="00301E4C" w:rsidP="00ED5652">
            <w:pPr>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QALY</w:t>
            </w:r>
          </w:p>
        </w:tc>
        <w:tc>
          <w:tcPr>
            <w:tcW w:w="1279"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024"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161"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301E4C" w:rsidRPr="007A6B1E" w:rsidTr="00ED5652">
        <w:tc>
          <w:tcPr>
            <w:tcW w:w="383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01E4C" w:rsidRPr="007A6B1E" w:rsidRDefault="00301E4C" w:rsidP="00ED5652">
            <w:pPr>
              <w:jc w:val="left"/>
              <w:rPr>
                <w:rFonts w:ascii="Arial Narrow" w:hAnsi="Arial Narrow" w:cs="Times New Roman"/>
                <w:b/>
                <w:bCs/>
                <w:snapToGrid/>
                <w:color w:val="000000"/>
                <w:sz w:val="20"/>
                <w:lang w:eastAsia="en-AU"/>
              </w:rPr>
            </w:pPr>
            <w:r w:rsidRPr="007A6B1E">
              <w:rPr>
                <w:rFonts w:ascii="Arial Narrow" w:hAnsi="Arial Narrow" w:cs="Times New Roman"/>
                <w:b/>
                <w:bCs/>
                <w:snapToGrid/>
                <w:color w:val="000000"/>
                <w:sz w:val="20"/>
                <w:lang w:eastAsia="en-AU"/>
              </w:rPr>
              <w:t>Incremental cost/extra QALY gained</w:t>
            </w:r>
          </w:p>
        </w:tc>
        <w:tc>
          <w:tcPr>
            <w:tcW w:w="1161"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b/>
                <w:bCs/>
                <w:snapToGrid/>
                <w:color w:val="000000"/>
                <w:sz w:val="20"/>
                <w:lang w:eastAsia="en-AU"/>
              </w:rPr>
            </w:pPr>
            <w:r w:rsidRPr="00C629B7">
              <w:rPr>
                <w:rFonts w:ascii="Arial Narrow" w:hAnsi="Arial Narrow" w:cs="Times New Roman"/>
                <w:b/>
                <w:bCs/>
                <w:snapToGrid/>
                <w:color w:val="000000"/>
                <w:sz w:val="20"/>
                <w:lang w:eastAsia="en-AU"/>
              </w:rPr>
              <w:t>$</w:t>
            </w:r>
            <w:r w:rsidR="00AF4647">
              <w:rPr>
                <w:rFonts w:ascii="Arial Narrow" w:hAnsi="Arial Narrow" w:cs="Times New Roman"/>
                <w:b/>
                <w:bCs/>
                <w:noProof/>
                <w:snapToGrid/>
                <w:color w:val="000000"/>
                <w:sz w:val="20"/>
                <w:highlight w:val="black"/>
                <w:lang w:eastAsia="en-AU"/>
              </w:rPr>
              <w:t>'''''''''''''''''</w:t>
            </w:r>
            <w:r>
              <w:rPr>
                <w:rFonts w:ascii="Arial Narrow" w:hAnsi="Arial Narrow" w:cs="Times New Roman"/>
                <w:b/>
                <w:bCs/>
                <w:snapToGrid/>
                <w:color w:val="000000"/>
                <w:sz w:val="20"/>
                <w:lang w:eastAsia="en-AU"/>
              </w:rPr>
              <w:t xml:space="preserve"> </w:t>
            </w:r>
            <w:r w:rsidRPr="00C629B7">
              <w:rPr>
                <w:rFonts w:ascii="Arial Narrow" w:hAnsi="Arial Narrow" w:cs="Times New Roman"/>
                <w:b/>
                <w:bCs/>
                <w:i/>
                <w:snapToGrid/>
                <w:color w:val="000000"/>
                <w:sz w:val="20"/>
                <w:lang w:eastAsia="en-AU"/>
              </w:rPr>
              <w:t>(</w:t>
            </w:r>
            <w:r w:rsidRPr="007A6B1E">
              <w:rPr>
                <w:rFonts w:ascii="Arial Narrow" w:hAnsi="Arial Narrow" w:cs="Times New Roman"/>
                <w:b/>
                <w:bCs/>
                <w:i/>
                <w:snapToGrid/>
                <w:color w:val="000000"/>
                <w:sz w:val="20"/>
                <w:lang w:eastAsia="en-AU"/>
              </w:rPr>
              <w:t>$</w:t>
            </w:r>
            <w:r w:rsidR="00AF4647">
              <w:rPr>
                <w:rFonts w:ascii="Arial Narrow" w:hAnsi="Arial Narrow" w:cs="Times New Roman"/>
                <w:b/>
                <w:bCs/>
                <w:i/>
                <w:noProof/>
                <w:snapToGrid/>
                <w:color w:val="000000"/>
                <w:sz w:val="20"/>
                <w:highlight w:val="black"/>
                <w:lang w:eastAsia="en-AU"/>
              </w:rPr>
              <w:t>'''''''''''''''</w:t>
            </w:r>
            <w:r>
              <w:rPr>
                <w:rFonts w:ascii="Arial Narrow" w:hAnsi="Arial Narrow" w:cs="Times New Roman"/>
                <w:b/>
                <w:bCs/>
                <w:snapToGrid/>
                <w:color w:val="000000"/>
                <w:sz w:val="20"/>
                <w:lang w:eastAsia="en-AU"/>
              </w:rPr>
              <w:t>)</w:t>
            </w:r>
          </w:p>
        </w:tc>
      </w:tr>
      <w:tr w:rsidR="00301E4C" w:rsidRPr="007A6B1E" w:rsidTr="00ED5652">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01E4C" w:rsidRPr="007A6B1E" w:rsidRDefault="00301E4C" w:rsidP="00ED5652">
            <w:pPr>
              <w:jc w:val="left"/>
              <w:rPr>
                <w:rFonts w:ascii="Arial Narrow" w:hAnsi="Arial Narrow" w:cs="Times New Roman"/>
                <w:b/>
                <w:bCs/>
                <w:snapToGrid/>
                <w:color w:val="000000"/>
                <w:sz w:val="20"/>
                <w:lang w:eastAsia="en-AU"/>
              </w:rPr>
            </w:pPr>
            <w:r w:rsidRPr="007A6B1E">
              <w:rPr>
                <w:rFonts w:ascii="Arial Narrow" w:hAnsi="Arial Narrow" w:cs="Arial Narrow"/>
                <w:b/>
                <w:bCs/>
                <w:snapToGrid/>
                <w:color w:val="000000"/>
                <w:sz w:val="20"/>
                <w:lang w:eastAsia="en-AU"/>
              </w:rPr>
              <w:t>Step 2: modelled evaluation (extrapolation beyond clinical trials)</w:t>
            </w:r>
          </w:p>
        </w:tc>
      </w:tr>
      <w:tr w:rsidR="00301E4C" w:rsidRPr="007A6B1E" w:rsidTr="00ED5652">
        <w:tc>
          <w:tcPr>
            <w:tcW w:w="1536" w:type="pct"/>
            <w:tcBorders>
              <w:top w:val="nil"/>
              <w:left w:val="single" w:sz="8" w:space="0" w:color="auto"/>
              <w:bottom w:val="single" w:sz="8" w:space="0" w:color="auto"/>
              <w:right w:val="single" w:sz="8" w:space="0" w:color="auto"/>
            </w:tcBorders>
            <w:shd w:val="clear" w:color="auto" w:fill="auto"/>
            <w:vAlign w:val="center"/>
            <w:hideMark/>
          </w:tcPr>
          <w:p w:rsidR="00301E4C" w:rsidRPr="007A6B1E" w:rsidRDefault="00301E4C" w:rsidP="00ED5652">
            <w:pPr>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Costs</w:t>
            </w:r>
          </w:p>
        </w:tc>
        <w:tc>
          <w:tcPr>
            <w:tcW w:w="1279"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w:t>
            </w:r>
            <w:r w:rsidR="00AF4647">
              <w:rPr>
                <w:rFonts w:ascii="Arial Narrow" w:hAnsi="Arial Narrow" w:cs="Times New Roman"/>
                <w:noProof/>
                <w:snapToGrid/>
                <w:color w:val="000000"/>
                <w:sz w:val="20"/>
                <w:highlight w:val="black"/>
                <w:lang w:eastAsia="en-AU"/>
              </w:rPr>
              <w:t>''''''''''''''''''</w:t>
            </w:r>
          </w:p>
        </w:tc>
        <w:tc>
          <w:tcPr>
            <w:tcW w:w="1024"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$0</w:t>
            </w:r>
          </w:p>
        </w:tc>
        <w:tc>
          <w:tcPr>
            <w:tcW w:w="1161"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w:t>
            </w:r>
            <w:r w:rsidR="00AF4647">
              <w:rPr>
                <w:rFonts w:ascii="Arial Narrow" w:hAnsi="Arial Narrow" w:cs="Times New Roman"/>
                <w:noProof/>
                <w:snapToGrid/>
                <w:color w:val="000000"/>
                <w:sz w:val="20"/>
                <w:highlight w:val="black"/>
                <w:lang w:eastAsia="en-AU"/>
              </w:rPr>
              <w:t>'''''''''''''''''''''</w:t>
            </w:r>
          </w:p>
        </w:tc>
      </w:tr>
      <w:tr w:rsidR="00301E4C" w:rsidRPr="007A6B1E" w:rsidTr="00ED5652">
        <w:tc>
          <w:tcPr>
            <w:tcW w:w="1536" w:type="pct"/>
            <w:tcBorders>
              <w:top w:val="nil"/>
              <w:left w:val="single" w:sz="8" w:space="0" w:color="auto"/>
              <w:bottom w:val="single" w:sz="8" w:space="0" w:color="auto"/>
              <w:right w:val="single" w:sz="8" w:space="0" w:color="auto"/>
            </w:tcBorders>
            <w:shd w:val="clear" w:color="auto" w:fill="auto"/>
            <w:vAlign w:val="center"/>
            <w:hideMark/>
          </w:tcPr>
          <w:p w:rsidR="00301E4C" w:rsidRPr="007A6B1E" w:rsidRDefault="00301E4C" w:rsidP="00ED5652">
            <w:pPr>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QALY</w:t>
            </w:r>
          </w:p>
        </w:tc>
        <w:tc>
          <w:tcPr>
            <w:tcW w:w="1279"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024"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161"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301E4C" w:rsidRPr="007A6B1E" w:rsidTr="00ED5652">
        <w:tc>
          <w:tcPr>
            <w:tcW w:w="383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01E4C" w:rsidRPr="007A6B1E" w:rsidRDefault="00301E4C" w:rsidP="00ED5652">
            <w:pPr>
              <w:jc w:val="left"/>
              <w:rPr>
                <w:rFonts w:ascii="Arial Narrow" w:hAnsi="Arial Narrow" w:cs="Times New Roman"/>
                <w:b/>
                <w:bCs/>
                <w:snapToGrid/>
                <w:color w:val="000000"/>
                <w:sz w:val="20"/>
                <w:lang w:eastAsia="en-AU"/>
              </w:rPr>
            </w:pPr>
            <w:r w:rsidRPr="007A6B1E">
              <w:rPr>
                <w:rFonts w:ascii="Arial Narrow" w:hAnsi="Arial Narrow" w:cs="Times New Roman"/>
                <w:b/>
                <w:bCs/>
                <w:snapToGrid/>
                <w:color w:val="000000"/>
                <w:sz w:val="20"/>
                <w:lang w:eastAsia="en-AU"/>
              </w:rPr>
              <w:t>Incremental cost/extra QALY gained</w:t>
            </w:r>
          </w:p>
        </w:tc>
        <w:tc>
          <w:tcPr>
            <w:tcW w:w="1161"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b/>
                <w:bCs/>
                <w:snapToGrid/>
                <w:color w:val="000000"/>
                <w:sz w:val="20"/>
                <w:lang w:eastAsia="en-AU"/>
              </w:rPr>
            </w:pPr>
            <w:r w:rsidRPr="00C629B7">
              <w:rPr>
                <w:rFonts w:ascii="Arial Narrow" w:hAnsi="Arial Narrow" w:cs="Times New Roman"/>
                <w:b/>
                <w:bCs/>
                <w:snapToGrid/>
                <w:color w:val="000000"/>
                <w:sz w:val="20"/>
                <w:lang w:eastAsia="en-AU"/>
              </w:rPr>
              <w:t>$</w:t>
            </w:r>
            <w:r w:rsidR="00AF4647">
              <w:rPr>
                <w:rFonts w:ascii="Arial Narrow" w:hAnsi="Arial Narrow" w:cs="Times New Roman"/>
                <w:b/>
                <w:bCs/>
                <w:noProof/>
                <w:snapToGrid/>
                <w:color w:val="000000"/>
                <w:sz w:val="20"/>
                <w:highlight w:val="black"/>
                <w:lang w:eastAsia="en-AU"/>
              </w:rPr>
              <w:t>''''''''''''</w:t>
            </w:r>
            <w:r>
              <w:rPr>
                <w:rFonts w:ascii="Arial Narrow" w:hAnsi="Arial Narrow" w:cs="Times New Roman"/>
                <w:b/>
                <w:bCs/>
                <w:snapToGrid/>
                <w:color w:val="000000"/>
                <w:sz w:val="20"/>
                <w:lang w:eastAsia="en-AU"/>
              </w:rPr>
              <w:t xml:space="preserve"> </w:t>
            </w:r>
            <w:r w:rsidRPr="00C629B7">
              <w:rPr>
                <w:rFonts w:ascii="Arial Narrow" w:hAnsi="Arial Narrow" w:cs="Times New Roman"/>
                <w:b/>
                <w:bCs/>
                <w:i/>
                <w:snapToGrid/>
                <w:color w:val="000000"/>
                <w:sz w:val="20"/>
                <w:lang w:eastAsia="en-AU"/>
              </w:rPr>
              <w:t>(</w:t>
            </w:r>
            <w:r w:rsidRPr="007A6B1E">
              <w:rPr>
                <w:rFonts w:ascii="Arial Narrow" w:hAnsi="Arial Narrow" w:cs="Times New Roman"/>
                <w:b/>
                <w:bCs/>
                <w:i/>
                <w:snapToGrid/>
                <w:color w:val="000000"/>
                <w:sz w:val="20"/>
                <w:lang w:eastAsia="en-AU"/>
              </w:rPr>
              <w:t>$</w:t>
            </w:r>
            <w:r w:rsidR="00AF4647">
              <w:rPr>
                <w:rFonts w:ascii="Arial Narrow" w:hAnsi="Arial Narrow" w:cs="Times New Roman"/>
                <w:b/>
                <w:bCs/>
                <w:i/>
                <w:noProof/>
                <w:snapToGrid/>
                <w:color w:val="000000"/>
                <w:sz w:val="20"/>
                <w:highlight w:val="black"/>
                <w:lang w:eastAsia="en-AU"/>
              </w:rPr>
              <w:t>'''''''''''''</w:t>
            </w:r>
            <w:r>
              <w:rPr>
                <w:rFonts w:ascii="Arial Narrow" w:hAnsi="Arial Narrow" w:cs="Times New Roman"/>
                <w:b/>
                <w:bCs/>
                <w:snapToGrid/>
                <w:color w:val="000000"/>
                <w:sz w:val="20"/>
                <w:lang w:eastAsia="en-AU"/>
              </w:rPr>
              <w:t>)</w:t>
            </w:r>
          </w:p>
        </w:tc>
      </w:tr>
      <w:tr w:rsidR="00301E4C" w:rsidRPr="007A6B1E" w:rsidTr="00ED5652">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01E4C" w:rsidRPr="007A6B1E" w:rsidRDefault="00301E4C" w:rsidP="00ED5652">
            <w:pPr>
              <w:jc w:val="left"/>
              <w:rPr>
                <w:rFonts w:ascii="Arial Narrow" w:hAnsi="Arial Narrow" w:cs="Times New Roman"/>
                <w:b/>
                <w:bCs/>
                <w:snapToGrid/>
                <w:color w:val="000000"/>
                <w:sz w:val="20"/>
                <w:lang w:eastAsia="en-AU"/>
              </w:rPr>
            </w:pPr>
            <w:r w:rsidRPr="007A6B1E">
              <w:rPr>
                <w:rFonts w:ascii="Arial Narrow" w:hAnsi="Arial Narrow" w:cs="Arial Narrow"/>
                <w:b/>
                <w:bCs/>
                <w:snapToGrid/>
                <w:color w:val="000000"/>
                <w:sz w:val="20"/>
                <w:lang w:eastAsia="en-AU"/>
              </w:rPr>
              <w:t>Step 8: modelled evaluation (incorporation of proposed rebate)</w:t>
            </w:r>
          </w:p>
        </w:tc>
      </w:tr>
      <w:tr w:rsidR="00301E4C" w:rsidRPr="007A6B1E" w:rsidTr="00ED5652">
        <w:tc>
          <w:tcPr>
            <w:tcW w:w="1536" w:type="pct"/>
            <w:tcBorders>
              <w:top w:val="nil"/>
              <w:left w:val="single" w:sz="8" w:space="0" w:color="auto"/>
              <w:bottom w:val="single" w:sz="8" w:space="0" w:color="auto"/>
              <w:right w:val="single" w:sz="8" w:space="0" w:color="auto"/>
            </w:tcBorders>
            <w:shd w:val="clear" w:color="auto" w:fill="auto"/>
            <w:vAlign w:val="center"/>
            <w:hideMark/>
          </w:tcPr>
          <w:p w:rsidR="00301E4C" w:rsidRPr="007A6B1E" w:rsidRDefault="00301E4C" w:rsidP="00ED5652">
            <w:pPr>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Costs</w:t>
            </w:r>
          </w:p>
        </w:tc>
        <w:tc>
          <w:tcPr>
            <w:tcW w:w="1279"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w:t>
            </w:r>
            <w:r w:rsidR="00AF4647">
              <w:rPr>
                <w:rFonts w:ascii="Arial Narrow" w:hAnsi="Arial Narrow" w:cs="Times New Roman"/>
                <w:noProof/>
                <w:snapToGrid/>
                <w:color w:val="000000"/>
                <w:sz w:val="20"/>
                <w:highlight w:val="black"/>
                <w:lang w:eastAsia="en-AU"/>
              </w:rPr>
              <w:t>'''''''''''''''''''</w:t>
            </w:r>
          </w:p>
        </w:tc>
        <w:tc>
          <w:tcPr>
            <w:tcW w:w="1024"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$39,577</w:t>
            </w:r>
          </w:p>
        </w:tc>
        <w:tc>
          <w:tcPr>
            <w:tcW w:w="1161"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w:t>
            </w:r>
            <w:r w:rsidR="00AF4647">
              <w:rPr>
                <w:rFonts w:ascii="Arial Narrow" w:hAnsi="Arial Narrow" w:cs="Times New Roman"/>
                <w:noProof/>
                <w:snapToGrid/>
                <w:color w:val="000000"/>
                <w:sz w:val="20"/>
                <w:highlight w:val="black"/>
                <w:lang w:eastAsia="en-AU"/>
              </w:rPr>
              <w:t>''''''''''''''''</w:t>
            </w:r>
          </w:p>
        </w:tc>
      </w:tr>
      <w:tr w:rsidR="00301E4C" w:rsidRPr="007A6B1E" w:rsidTr="00ED5652">
        <w:tc>
          <w:tcPr>
            <w:tcW w:w="1536" w:type="pct"/>
            <w:tcBorders>
              <w:top w:val="nil"/>
              <w:left w:val="single" w:sz="8" w:space="0" w:color="auto"/>
              <w:bottom w:val="single" w:sz="8" w:space="0" w:color="auto"/>
              <w:right w:val="single" w:sz="8" w:space="0" w:color="auto"/>
            </w:tcBorders>
            <w:shd w:val="clear" w:color="auto" w:fill="auto"/>
            <w:vAlign w:val="center"/>
            <w:hideMark/>
          </w:tcPr>
          <w:p w:rsidR="00301E4C" w:rsidRPr="007A6B1E" w:rsidRDefault="00301E4C" w:rsidP="00ED5652">
            <w:pPr>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QALY</w:t>
            </w:r>
          </w:p>
        </w:tc>
        <w:tc>
          <w:tcPr>
            <w:tcW w:w="1279"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024"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161" w:type="pct"/>
            <w:tcBorders>
              <w:top w:val="nil"/>
              <w:left w:val="nil"/>
              <w:bottom w:val="single" w:sz="8" w:space="0" w:color="auto"/>
              <w:right w:val="single" w:sz="8" w:space="0" w:color="auto"/>
            </w:tcBorders>
            <w:shd w:val="clear" w:color="auto" w:fill="auto"/>
            <w:vAlign w:val="center"/>
            <w:hideMark/>
          </w:tcPr>
          <w:p w:rsidR="00301E4C" w:rsidRPr="00AF4647" w:rsidRDefault="00AF4647" w:rsidP="00ED5652">
            <w:pPr>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301E4C" w:rsidRPr="007A6B1E" w:rsidTr="00ED5652">
        <w:tc>
          <w:tcPr>
            <w:tcW w:w="383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01E4C" w:rsidRPr="007A6B1E" w:rsidRDefault="00301E4C" w:rsidP="00ED5652">
            <w:pPr>
              <w:jc w:val="left"/>
              <w:rPr>
                <w:rFonts w:ascii="Arial Narrow" w:hAnsi="Arial Narrow" w:cs="Times New Roman"/>
                <w:b/>
                <w:bCs/>
                <w:snapToGrid/>
                <w:color w:val="000000"/>
                <w:sz w:val="20"/>
                <w:lang w:eastAsia="en-AU"/>
              </w:rPr>
            </w:pPr>
            <w:r w:rsidRPr="007A6B1E">
              <w:rPr>
                <w:rFonts w:ascii="Arial Narrow" w:hAnsi="Arial Narrow" w:cs="Times New Roman"/>
                <w:b/>
                <w:bCs/>
                <w:snapToGrid/>
                <w:color w:val="000000"/>
                <w:sz w:val="20"/>
                <w:lang w:eastAsia="en-AU"/>
              </w:rPr>
              <w:t>Incremental cost/extra QALY gained</w:t>
            </w:r>
          </w:p>
        </w:tc>
        <w:tc>
          <w:tcPr>
            <w:tcW w:w="1161" w:type="pct"/>
            <w:tcBorders>
              <w:top w:val="nil"/>
              <w:left w:val="nil"/>
              <w:bottom w:val="single" w:sz="8" w:space="0" w:color="auto"/>
              <w:right w:val="single" w:sz="8" w:space="0" w:color="auto"/>
            </w:tcBorders>
            <w:shd w:val="clear" w:color="auto" w:fill="auto"/>
            <w:vAlign w:val="center"/>
            <w:hideMark/>
          </w:tcPr>
          <w:p w:rsidR="00301E4C" w:rsidRPr="007A6B1E" w:rsidRDefault="00301E4C" w:rsidP="00ED5652">
            <w:pPr>
              <w:jc w:val="center"/>
              <w:rPr>
                <w:rFonts w:ascii="Arial Narrow" w:hAnsi="Arial Narrow" w:cs="Times New Roman"/>
                <w:b/>
                <w:bCs/>
                <w:snapToGrid/>
                <w:color w:val="000000"/>
                <w:sz w:val="20"/>
                <w:lang w:eastAsia="en-AU"/>
              </w:rPr>
            </w:pPr>
            <w:r w:rsidRPr="00C629B7">
              <w:rPr>
                <w:rFonts w:ascii="Arial Narrow" w:hAnsi="Arial Narrow" w:cs="Times New Roman"/>
                <w:b/>
                <w:bCs/>
                <w:snapToGrid/>
                <w:color w:val="000000"/>
                <w:sz w:val="20"/>
                <w:lang w:eastAsia="en-AU"/>
              </w:rPr>
              <w:t>$</w:t>
            </w:r>
            <w:r w:rsidR="00AF4647">
              <w:rPr>
                <w:rFonts w:ascii="Arial Narrow" w:hAnsi="Arial Narrow" w:cs="Times New Roman"/>
                <w:b/>
                <w:bCs/>
                <w:noProof/>
                <w:snapToGrid/>
                <w:color w:val="000000"/>
                <w:sz w:val="20"/>
                <w:highlight w:val="black"/>
                <w:lang w:eastAsia="en-AU"/>
              </w:rPr>
              <w:t>''''''''''''''</w:t>
            </w:r>
            <w:r>
              <w:rPr>
                <w:rFonts w:ascii="Arial Narrow" w:hAnsi="Arial Narrow" w:cs="Times New Roman"/>
                <w:b/>
                <w:bCs/>
                <w:snapToGrid/>
                <w:color w:val="000000"/>
                <w:sz w:val="20"/>
                <w:lang w:eastAsia="en-AU"/>
              </w:rPr>
              <w:t xml:space="preserve"> </w:t>
            </w:r>
            <w:r w:rsidRPr="00C629B7">
              <w:rPr>
                <w:rFonts w:ascii="Arial Narrow" w:hAnsi="Arial Narrow" w:cs="Times New Roman"/>
                <w:b/>
                <w:bCs/>
                <w:i/>
                <w:snapToGrid/>
                <w:color w:val="000000"/>
                <w:sz w:val="20"/>
                <w:lang w:eastAsia="en-AU"/>
              </w:rPr>
              <w:t>(</w:t>
            </w:r>
            <w:r w:rsidRPr="007A6B1E">
              <w:rPr>
                <w:rFonts w:ascii="Arial Narrow" w:hAnsi="Arial Narrow" w:cs="Times New Roman"/>
                <w:b/>
                <w:bCs/>
                <w:i/>
                <w:snapToGrid/>
                <w:color w:val="000000"/>
                <w:sz w:val="20"/>
                <w:lang w:eastAsia="en-AU"/>
              </w:rPr>
              <w:t>$</w:t>
            </w:r>
            <w:r w:rsidR="00AF4647">
              <w:rPr>
                <w:rFonts w:ascii="Arial Narrow" w:hAnsi="Arial Narrow" w:cs="Times New Roman"/>
                <w:b/>
                <w:bCs/>
                <w:i/>
                <w:noProof/>
                <w:snapToGrid/>
                <w:color w:val="000000"/>
                <w:sz w:val="20"/>
                <w:highlight w:val="black"/>
                <w:lang w:eastAsia="en-AU"/>
              </w:rPr>
              <w:t>''''''''''''</w:t>
            </w:r>
            <w:r>
              <w:rPr>
                <w:rFonts w:ascii="Arial Narrow" w:hAnsi="Arial Narrow" w:cs="Times New Roman"/>
                <w:b/>
                <w:bCs/>
                <w:snapToGrid/>
                <w:color w:val="000000"/>
                <w:sz w:val="20"/>
                <w:lang w:eastAsia="en-AU"/>
              </w:rPr>
              <w:t>)</w:t>
            </w:r>
          </w:p>
        </w:tc>
      </w:tr>
    </w:tbl>
    <w:p w:rsidR="00301E4C" w:rsidRPr="00D02250" w:rsidRDefault="00301E4C" w:rsidP="00301E4C">
      <w:pPr>
        <w:ind w:firstLine="720"/>
        <w:rPr>
          <w:rStyle w:val="CommentReference"/>
          <w:sz w:val="18"/>
          <w:szCs w:val="18"/>
        </w:rPr>
      </w:pPr>
      <w:r w:rsidRPr="00D02250">
        <w:rPr>
          <w:rFonts w:ascii="Arial Narrow" w:hAnsi="Arial Narrow" w:cs="Times New Roman"/>
          <w:bCs/>
          <w:snapToGrid/>
          <w:color w:val="000000"/>
          <w:sz w:val="18"/>
          <w:szCs w:val="18"/>
          <w:lang w:eastAsia="en-AU"/>
        </w:rPr>
        <w:t>† Italicised figures exclude submission’s anticipated 47% price reduction after 5 years due to generic competition</w:t>
      </w:r>
    </w:p>
    <w:p w:rsidR="00301E4C" w:rsidRPr="00D02250" w:rsidRDefault="00301E4C" w:rsidP="00301E4C">
      <w:pPr>
        <w:pStyle w:val="TableFooter"/>
        <w:ind w:left="720"/>
        <w:rPr>
          <w:szCs w:val="18"/>
        </w:rPr>
      </w:pPr>
      <w:r w:rsidRPr="00D02250">
        <w:rPr>
          <w:szCs w:val="18"/>
        </w:rPr>
        <w:t>Source: Excel file “Economic Evaluation.xlsx” accompanying the submission refer worksheet ‘Results Table’</w:t>
      </w:r>
    </w:p>
    <w:p w:rsidR="00301E4C" w:rsidRPr="00D473C8" w:rsidRDefault="00301E4C" w:rsidP="00D473C8">
      <w:pPr>
        <w:rPr>
          <w:rStyle w:val="CommentReference"/>
          <w:rFonts w:ascii="Arial" w:hAnsi="Arial"/>
          <w:b w:val="0"/>
          <w:sz w:val="22"/>
          <w:szCs w:val="22"/>
        </w:rPr>
      </w:pPr>
    </w:p>
    <w:p w:rsidR="001918A1" w:rsidRPr="00175B8B" w:rsidRDefault="001918A1" w:rsidP="00B9372F">
      <w:pPr>
        <w:pStyle w:val="ListParagraph"/>
        <w:widowControl/>
        <w:numPr>
          <w:ilvl w:val="1"/>
          <w:numId w:val="2"/>
        </w:numPr>
        <w:rPr>
          <w:szCs w:val="22"/>
        </w:rPr>
      </w:pPr>
      <w:r w:rsidRPr="00175B8B">
        <w:rPr>
          <w:szCs w:val="22"/>
        </w:rPr>
        <w:t>The key limitations that render the ICER uncertain were identified as follows:</w:t>
      </w:r>
    </w:p>
    <w:p w:rsidR="0006316D" w:rsidRPr="00627E27" w:rsidRDefault="001918A1" w:rsidP="00E813E0">
      <w:pPr>
        <w:pStyle w:val="ListParagraph"/>
        <w:widowControl/>
        <w:numPr>
          <w:ilvl w:val="0"/>
          <w:numId w:val="1"/>
        </w:numPr>
        <w:ind w:left="993" w:hanging="284"/>
      </w:pPr>
      <w:r w:rsidRPr="0006316D">
        <w:t>The</w:t>
      </w:r>
      <w:r w:rsidRPr="0006316D">
        <w:rPr>
          <w:szCs w:val="22"/>
        </w:rPr>
        <w:t xml:space="preserve"> reliability of the clinical data the model draws upon</w:t>
      </w:r>
      <w:r w:rsidR="00F46251" w:rsidRPr="0006316D">
        <w:rPr>
          <w:szCs w:val="22"/>
        </w:rPr>
        <w:t xml:space="preserve"> – as described above</w:t>
      </w:r>
      <w:r w:rsidR="009F2F0C" w:rsidRPr="0006316D">
        <w:rPr>
          <w:szCs w:val="22"/>
        </w:rPr>
        <w:t xml:space="preserve"> (see Comparative effectiveness and Clinical claim)</w:t>
      </w:r>
      <w:r w:rsidR="00F46251" w:rsidRPr="0006316D">
        <w:rPr>
          <w:szCs w:val="22"/>
        </w:rPr>
        <w:t xml:space="preserve">, there </w:t>
      </w:r>
      <w:r w:rsidR="009F2F0C" w:rsidRPr="0006316D">
        <w:rPr>
          <w:szCs w:val="22"/>
        </w:rPr>
        <w:t>wa</w:t>
      </w:r>
      <w:r w:rsidR="00F46251" w:rsidRPr="0006316D">
        <w:rPr>
          <w:szCs w:val="22"/>
        </w:rPr>
        <w:t>s insufficient evidence to support a surv</w:t>
      </w:r>
      <w:r w:rsidR="009F2F0C" w:rsidRPr="0006316D">
        <w:rPr>
          <w:szCs w:val="22"/>
        </w:rPr>
        <w:t xml:space="preserve">ival benefit associated with </w:t>
      </w:r>
      <w:proofErr w:type="spellStart"/>
      <w:r w:rsidR="009F2F0C" w:rsidRPr="0006316D">
        <w:rPr>
          <w:szCs w:val="22"/>
        </w:rPr>
        <w:t>pir</w:t>
      </w:r>
      <w:r w:rsidR="00F46251" w:rsidRPr="0006316D">
        <w:rPr>
          <w:szCs w:val="22"/>
        </w:rPr>
        <w:t>fenidone</w:t>
      </w:r>
      <w:proofErr w:type="spellEnd"/>
      <w:r w:rsidRPr="0006316D">
        <w:rPr>
          <w:szCs w:val="22"/>
        </w:rPr>
        <w:t>.</w:t>
      </w:r>
      <w:r w:rsidR="0006316D" w:rsidRPr="0006316D">
        <w:rPr>
          <w:szCs w:val="22"/>
        </w:rPr>
        <w:t xml:space="preserve"> </w:t>
      </w:r>
      <w:r w:rsidR="0006316D" w:rsidRPr="00627E27">
        <w:t>The difference between the 52 week and the 72 week data in terms of primary and secondary outcomes is also considered indicative that the comparative effect may not be sustained</w:t>
      </w:r>
      <w:r w:rsidR="00D473C8">
        <w:t>.</w:t>
      </w:r>
    </w:p>
    <w:p w:rsidR="0006316D" w:rsidRPr="0058239F" w:rsidRDefault="0006316D" w:rsidP="00B9372F">
      <w:pPr>
        <w:pStyle w:val="ListParagraph"/>
        <w:numPr>
          <w:ilvl w:val="1"/>
          <w:numId w:val="4"/>
        </w:numPr>
      </w:pPr>
      <w:r w:rsidRPr="0058239F">
        <w:rPr>
          <w:szCs w:val="22"/>
        </w:rPr>
        <w:t>The</w:t>
      </w:r>
      <w:r w:rsidRPr="0058239F">
        <w:t xml:space="preserve"> PSCR (p3) argued that the clinical data were appropriate to extrapolate a survival gain over the time frame of the model, and that the approach is conservative because it assumes the same rate of death for BSC and </w:t>
      </w:r>
      <w:proofErr w:type="spellStart"/>
      <w:r w:rsidRPr="0058239F">
        <w:t>pirfenidone</w:t>
      </w:r>
      <w:proofErr w:type="spellEnd"/>
      <w:r w:rsidRPr="0058239F">
        <w:t xml:space="preserve"> beyond the time frame of the clinical data available. The ESC considered the model remained optimistic in terms of (1) using the 52 week data from CAPACITY 1 and 2, (2) the fact that the BSC arm relies on historical data from Strand 2014 that may not reflect changes in clinical practice in BSC.</w:t>
      </w:r>
    </w:p>
    <w:p w:rsidR="00114C8A" w:rsidRPr="00627E27" w:rsidRDefault="001918A1" w:rsidP="00E813E0">
      <w:pPr>
        <w:pStyle w:val="ListParagraph"/>
        <w:widowControl/>
        <w:numPr>
          <w:ilvl w:val="0"/>
          <w:numId w:val="1"/>
        </w:numPr>
        <w:ind w:left="993" w:hanging="284"/>
      </w:pPr>
      <w:r w:rsidRPr="00175B8B">
        <w:t>The time horizon in the submission of 16 years is considered overly optimistic in the context of IPF with a median survival of 3-5 years</w:t>
      </w:r>
      <w:r w:rsidR="00114C8A">
        <w:t xml:space="preserve">, </w:t>
      </w:r>
      <w:r w:rsidR="00114C8A" w:rsidRPr="00627E27">
        <w:t xml:space="preserve">and </w:t>
      </w:r>
      <w:r w:rsidR="00D473C8">
        <w:t>given the age of the patients.</w:t>
      </w:r>
    </w:p>
    <w:p w:rsidR="00114C8A" w:rsidRPr="0058239F" w:rsidRDefault="00114C8A" w:rsidP="00B9372F">
      <w:pPr>
        <w:pStyle w:val="ListParagraph"/>
        <w:widowControl/>
        <w:numPr>
          <w:ilvl w:val="1"/>
          <w:numId w:val="4"/>
        </w:numPr>
      </w:pPr>
      <w:r w:rsidRPr="0058239F">
        <w:t>The PSCR argued (p3) that the median survival should not be used as a basis for considering time horizon because of the long tail, and that in Strand 2014, 17% of the population is alive at 10 years.  The ESC considered the key issue with the extrapolation is the assumption of continued benefit beyond the observed difference in the trials and the observed outcomes in the extension study (noting the conservative assumption regarding mortality).</w:t>
      </w:r>
    </w:p>
    <w:p w:rsidR="001918A1" w:rsidRPr="00114C8A" w:rsidRDefault="001918A1" w:rsidP="00E813E0">
      <w:pPr>
        <w:pStyle w:val="ListParagraph"/>
        <w:widowControl/>
        <w:numPr>
          <w:ilvl w:val="0"/>
          <w:numId w:val="1"/>
        </w:numPr>
        <w:ind w:left="993" w:hanging="284"/>
        <w:rPr>
          <w:szCs w:val="22"/>
        </w:rPr>
      </w:pPr>
      <w:r w:rsidRPr="00175B8B">
        <w:t xml:space="preserve">The open label </w:t>
      </w:r>
      <w:r w:rsidRPr="00E813E0">
        <w:rPr>
          <w:szCs w:val="22"/>
        </w:rPr>
        <w:t>extension</w:t>
      </w:r>
      <w:r w:rsidRPr="00175B8B">
        <w:t xml:space="preserve"> study, RECAP, which contribute</w:t>
      </w:r>
      <w:r w:rsidR="009F2F0C" w:rsidRPr="00175B8B">
        <w:t>d</w:t>
      </w:r>
      <w:r w:rsidRPr="00175B8B">
        <w:t xml:space="preserve"> the data beyond 2 years to which the parametric survival functions </w:t>
      </w:r>
      <w:r w:rsidR="003E6E38" w:rsidRPr="00175B8B">
        <w:t>we</w:t>
      </w:r>
      <w:r w:rsidRPr="00175B8B">
        <w:t xml:space="preserve">re </w:t>
      </w:r>
      <w:r w:rsidR="004D2076" w:rsidRPr="00175B8B">
        <w:t>fitted,</w:t>
      </w:r>
      <w:r w:rsidRPr="00175B8B">
        <w:t xml:space="preserve"> </w:t>
      </w:r>
      <w:r w:rsidR="003E6E38" w:rsidRPr="00175B8B">
        <w:t>wa</w:t>
      </w:r>
      <w:r w:rsidRPr="00175B8B">
        <w:t xml:space="preserve">s subject to bias in favour of </w:t>
      </w:r>
      <w:proofErr w:type="spellStart"/>
      <w:r w:rsidRPr="00175B8B">
        <w:t>pirfenidone</w:t>
      </w:r>
      <w:proofErr w:type="spellEnd"/>
      <w:r w:rsidRPr="00175B8B">
        <w:t>.</w:t>
      </w:r>
    </w:p>
    <w:p w:rsidR="00114C8A" w:rsidRPr="00D473C8" w:rsidRDefault="00114C8A" w:rsidP="00B9372F">
      <w:pPr>
        <w:pStyle w:val="ListParagraph"/>
        <w:numPr>
          <w:ilvl w:val="1"/>
          <w:numId w:val="4"/>
        </w:numPr>
      </w:pPr>
      <w:r w:rsidRPr="0058239F">
        <w:t xml:space="preserve">The PSCR (p3) argued that </w:t>
      </w:r>
      <w:r w:rsidR="00AF4647">
        <w:rPr>
          <w:noProof/>
          <w:color w:val="000000"/>
          <w:highlight w:val="black"/>
        </w:rPr>
        <w:t>'''''''</w:t>
      </w:r>
      <w:r w:rsidRPr="0058239F">
        <w:t>% of patients who completed CAPACITY 1 and CAPACITY 2 enrolled in RECAP therefore this is unlikely to be subject to healthy cohort bias. However the ESC noted that this does not consider the patients who discontinued during the trials time frame and bias remains an</w:t>
      </w:r>
      <w:r w:rsidRPr="00AB2BEA">
        <w:rPr>
          <w:i/>
        </w:rPr>
        <w:t xml:space="preserve"> </w:t>
      </w:r>
      <w:r w:rsidRPr="00627E27">
        <w:t>issue.</w:t>
      </w:r>
    </w:p>
    <w:p w:rsidR="001918A1" w:rsidRPr="00114C8A" w:rsidRDefault="001918A1" w:rsidP="00E813E0">
      <w:pPr>
        <w:pStyle w:val="ListParagraph"/>
        <w:widowControl/>
        <w:numPr>
          <w:ilvl w:val="0"/>
          <w:numId w:val="1"/>
        </w:numPr>
        <w:ind w:left="993" w:hanging="284"/>
        <w:rPr>
          <w:szCs w:val="22"/>
        </w:rPr>
      </w:pPr>
      <w:r w:rsidRPr="00175B8B">
        <w:t xml:space="preserve">The overall </w:t>
      </w:r>
      <w:r w:rsidRPr="00E813E0">
        <w:rPr>
          <w:szCs w:val="22"/>
        </w:rPr>
        <w:t>implausibility</w:t>
      </w:r>
      <w:r w:rsidRPr="00175B8B">
        <w:t xml:space="preserve"> of the model results</w:t>
      </w:r>
      <w:r w:rsidR="007E20F5" w:rsidRPr="00175B8B">
        <w:t>,</w:t>
      </w:r>
      <w:r w:rsidRPr="00175B8B">
        <w:t xml:space="preserve"> which accrue</w:t>
      </w:r>
      <w:r w:rsidR="009F2F0C" w:rsidRPr="00175B8B">
        <w:t>d</w:t>
      </w:r>
      <w:r w:rsidRPr="00175B8B">
        <w:t xml:space="preserve"> more of the incremental survival gains to the progressive stage of IPF than to the PFS stage.</w:t>
      </w:r>
    </w:p>
    <w:p w:rsidR="00114C8A" w:rsidRPr="0058239F" w:rsidRDefault="00114C8A" w:rsidP="00B9372F">
      <w:pPr>
        <w:pStyle w:val="ListParagraph"/>
        <w:numPr>
          <w:ilvl w:val="1"/>
          <w:numId w:val="4"/>
        </w:numPr>
      </w:pPr>
      <w:r w:rsidRPr="0058239F">
        <w:t xml:space="preserve">The PSCR (p4) argued that the approach is reasonable and the submission </w:t>
      </w:r>
      <w:r w:rsidRPr="0058239F">
        <w:lastRenderedPageBreak/>
        <w:t xml:space="preserve">does not claim PFS is a surrogate for </w:t>
      </w:r>
      <w:r w:rsidR="004A4F12">
        <w:t>OS</w:t>
      </w:r>
      <w:r w:rsidRPr="0058239F">
        <w:t xml:space="preserve"> or the treatment effect depends on PFS. </w:t>
      </w:r>
      <w:r w:rsidR="00D473C8">
        <w:t xml:space="preserve"> </w:t>
      </w:r>
      <w:r w:rsidRPr="0058239F">
        <w:t xml:space="preserve">The ESC considered the use of the Strand 2014 data to extrapolate OS for BSC and the extension study for the </w:t>
      </w:r>
      <w:proofErr w:type="spellStart"/>
      <w:r w:rsidRPr="0058239F">
        <w:t>pirfenidone</w:t>
      </w:r>
      <w:proofErr w:type="spellEnd"/>
      <w:r w:rsidRPr="0058239F">
        <w:t xml:space="preserve"> arm was an issue. </w:t>
      </w:r>
      <w:r w:rsidR="00D473C8">
        <w:t xml:space="preserve"> </w:t>
      </w:r>
      <w:r w:rsidRPr="0058239F">
        <w:t xml:space="preserve">This effectively maximises the difference in OS between the arms.  While it is valid that the effect of </w:t>
      </w:r>
      <w:proofErr w:type="spellStart"/>
      <w:r w:rsidRPr="0058239F">
        <w:t>pirfenidone</w:t>
      </w:r>
      <w:proofErr w:type="spellEnd"/>
      <w:r w:rsidRPr="0058239F">
        <w:t xml:space="preserve"> on PFS and OS can be different, the modelled gains are highly sensitive to the OS assumptions.</w:t>
      </w:r>
    </w:p>
    <w:p w:rsidR="00114C8A" w:rsidRPr="0058239F" w:rsidRDefault="00114C8A" w:rsidP="00E813E0">
      <w:pPr>
        <w:pStyle w:val="ListParagraph"/>
        <w:widowControl/>
        <w:numPr>
          <w:ilvl w:val="0"/>
          <w:numId w:val="1"/>
        </w:numPr>
        <w:ind w:left="993" w:hanging="284"/>
      </w:pPr>
      <w:r w:rsidRPr="0058239F">
        <w:t xml:space="preserve">The modelling </w:t>
      </w:r>
      <w:r w:rsidRPr="00E813E0">
        <w:rPr>
          <w:szCs w:val="22"/>
        </w:rPr>
        <w:t>of</w:t>
      </w:r>
      <w:r w:rsidRPr="0058239F">
        <w:t xml:space="preserve"> discontinuations based on the trial data, which may not take into account discontinuations due to death, has potentially underestimated the cost of </w:t>
      </w:r>
      <w:proofErr w:type="spellStart"/>
      <w:r w:rsidRPr="0058239F">
        <w:t>p</w:t>
      </w:r>
      <w:r w:rsidR="00D473C8">
        <w:t>i</w:t>
      </w:r>
      <w:r w:rsidRPr="0058239F">
        <w:t>rf</w:t>
      </w:r>
      <w:r w:rsidR="00D473C8">
        <w:t>enidone</w:t>
      </w:r>
      <w:proofErr w:type="spellEnd"/>
      <w:r w:rsidR="00D473C8">
        <w:t xml:space="preserve"> in the extrapolation.</w:t>
      </w:r>
    </w:p>
    <w:p w:rsidR="001918A1" w:rsidRPr="001918A1" w:rsidRDefault="001918A1" w:rsidP="001918A1">
      <w:pPr>
        <w:widowControl/>
        <w:rPr>
          <w:szCs w:val="22"/>
        </w:rPr>
      </w:pPr>
    </w:p>
    <w:p w:rsidR="00E402E8" w:rsidRPr="00175B8B" w:rsidRDefault="009F2F0C" w:rsidP="00B9372F">
      <w:pPr>
        <w:pStyle w:val="ListParagraph"/>
        <w:widowControl/>
        <w:numPr>
          <w:ilvl w:val="1"/>
          <w:numId w:val="2"/>
        </w:numPr>
        <w:rPr>
          <w:szCs w:val="22"/>
        </w:rPr>
      </w:pPr>
      <w:r w:rsidRPr="00175B8B">
        <w:t>It is reasonable to suggest that progression is associated with increased risk of death.</w:t>
      </w:r>
      <w:r w:rsidR="00D473C8">
        <w:t xml:space="preserve"> </w:t>
      </w:r>
      <w:r w:rsidRPr="00175B8B">
        <w:t xml:space="preserve"> A weakness in the model validity is that changes to definitions of PFS/progression have no impact upon survival. A further illustration of the importance of survival is the effect of varying the time horizon as shown </w:t>
      </w:r>
      <w:r w:rsidR="00B4290F" w:rsidRPr="00175B8B">
        <w:t>i</w:t>
      </w:r>
      <w:r w:rsidRPr="00175B8B">
        <w:t>n Figure 1</w:t>
      </w:r>
      <w:r w:rsidR="00B4290F" w:rsidRPr="00175B8B">
        <w:t>,</w:t>
      </w:r>
      <w:r w:rsidRPr="00175B8B">
        <w:t xml:space="preserve"> which plots how the ICER changes with the time horizon. </w:t>
      </w:r>
      <w:r w:rsidR="00D473C8">
        <w:t xml:space="preserve"> </w:t>
      </w:r>
      <w:r w:rsidRPr="00175B8B">
        <w:t xml:space="preserve">It can be seen that </w:t>
      </w:r>
      <w:proofErr w:type="spellStart"/>
      <w:r w:rsidRPr="00175B8B">
        <w:t>pirfenidone</w:t>
      </w:r>
      <w:proofErr w:type="spellEnd"/>
      <w:r w:rsidRPr="00175B8B">
        <w:t xml:space="preserve"> must maintain an effect for over 10 years to achieve an ICER ≤$10</w:t>
      </w:r>
      <w:r w:rsidR="00E4457D">
        <w:t>5</w:t>
      </w:r>
      <w:r w:rsidRPr="00175B8B">
        <w:t xml:space="preserve">,000/QALY. </w:t>
      </w:r>
      <w:r w:rsidR="00D473C8">
        <w:t xml:space="preserve"> </w:t>
      </w:r>
      <w:r w:rsidRPr="00175B8B">
        <w:t>Furthermore, beyond 10 years the ICER tends to plateau with a low gradient.</w:t>
      </w:r>
    </w:p>
    <w:p w:rsidR="00E6440F" w:rsidRPr="00175B8B" w:rsidRDefault="00E6440F" w:rsidP="00E6440F">
      <w:pPr>
        <w:widowControl/>
        <w:rPr>
          <w:szCs w:val="22"/>
        </w:rPr>
      </w:pPr>
    </w:p>
    <w:p w:rsidR="0045035F" w:rsidRPr="0045035F" w:rsidRDefault="0045035F" w:rsidP="0045035F">
      <w:pPr>
        <w:pStyle w:val="Caption"/>
        <w:ind w:firstLine="720"/>
        <w:rPr>
          <w:rFonts w:ascii="Arial Narrow" w:hAnsi="Arial Narrow"/>
          <w:color w:val="auto"/>
          <w:sz w:val="20"/>
          <w:szCs w:val="20"/>
        </w:rPr>
      </w:pPr>
      <w:r w:rsidRPr="0045035F">
        <w:rPr>
          <w:rFonts w:ascii="Arial Narrow" w:hAnsi="Arial Narrow"/>
          <w:color w:val="auto"/>
          <w:sz w:val="20"/>
          <w:szCs w:val="20"/>
        </w:rPr>
        <w:t xml:space="preserve">Figure </w:t>
      </w:r>
      <w:r w:rsidRPr="0045035F">
        <w:rPr>
          <w:rFonts w:ascii="Arial Narrow" w:hAnsi="Arial Narrow"/>
          <w:color w:val="auto"/>
          <w:sz w:val="20"/>
          <w:szCs w:val="20"/>
        </w:rPr>
        <w:fldChar w:fldCharType="begin"/>
      </w:r>
      <w:r w:rsidRPr="0045035F">
        <w:rPr>
          <w:rFonts w:ascii="Arial Narrow" w:hAnsi="Arial Narrow"/>
          <w:color w:val="auto"/>
          <w:sz w:val="20"/>
          <w:szCs w:val="20"/>
        </w:rPr>
        <w:instrText xml:space="preserve"> SEQ Figure \* ARABIC </w:instrText>
      </w:r>
      <w:r w:rsidRPr="0045035F">
        <w:rPr>
          <w:rFonts w:ascii="Arial Narrow" w:hAnsi="Arial Narrow"/>
          <w:color w:val="auto"/>
          <w:sz w:val="20"/>
          <w:szCs w:val="20"/>
        </w:rPr>
        <w:fldChar w:fldCharType="separate"/>
      </w:r>
      <w:r w:rsidR="00A60BD0">
        <w:rPr>
          <w:rFonts w:ascii="Arial Narrow" w:hAnsi="Arial Narrow"/>
          <w:noProof/>
          <w:color w:val="auto"/>
          <w:sz w:val="20"/>
          <w:szCs w:val="20"/>
        </w:rPr>
        <w:t>1</w:t>
      </w:r>
      <w:r w:rsidRPr="0045035F">
        <w:rPr>
          <w:rFonts w:ascii="Arial Narrow" w:hAnsi="Arial Narrow"/>
          <w:color w:val="auto"/>
          <w:sz w:val="20"/>
          <w:szCs w:val="20"/>
        </w:rPr>
        <w:fldChar w:fldCharType="end"/>
      </w:r>
      <w:r w:rsidRPr="0045035F">
        <w:rPr>
          <w:rFonts w:ascii="Arial Narrow" w:hAnsi="Arial Narrow"/>
          <w:color w:val="auto"/>
          <w:sz w:val="20"/>
          <w:szCs w:val="20"/>
        </w:rPr>
        <w:t>: ICER over the time horizon of model</w:t>
      </w:r>
    </w:p>
    <w:p w:rsidR="0045035F" w:rsidRDefault="00AF4647" w:rsidP="0045035F">
      <w:pPr>
        <w:keepNext/>
        <w:widowControl/>
        <w:jc w:val="center"/>
      </w:pPr>
      <w:r>
        <w:rPr>
          <w:rFonts w:ascii="Arial Narrow" w:hAnsi="Arial Narrow" w:cs="Times New Roman"/>
          <w:b/>
          <w:noProof/>
          <w:snapToGrid/>
          <w:sz w:val="20"/>
          <w:szCs w:val="16"/>
          <w:lang w:eastAsia="en-AU"/>
        </w:rPr>
        <w:drawing>
          <wp:inline distT="0" distB="0" distL="0" distR="0" wp14:anchorId="7F9332C4" wp14:editId="4D0F9552">
            <wp:extent cx="4834255" cy="3562350"/>
            <wp:effectExtent l="0" t="0" r="444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34255" cy="3562350"/>
                    </a:xfrm>
                    <a:prstGeom prst="rect">
                      <a:avLst/>
                    </a:prstGeom>
                  </pic:spPr>
                </pic:pic>
              </a:graphicData>
            </a:graphic>
          </wp:inline>
        </w:drawing>
      </w:r>
    </w:p>
    <w:p w:rsidR="009F2F0C" w:rsidRDefault="009F2F0C" w:rsidP="009F2F0C">
      <w:pPr>
        <w:widowControl/>
        <w:ind w:left="709"/>
        <w:rPr>
          <w:szCs w:val="22"/>
        </w:rPr>
      </w:pPr>
      <w:r>
        <w:rPr>
          <w:rFonts w:ascii="Arial Narrow" w:hAnsi="Arial Narrow"/>
          <w:sz w:val="18"/>
        </w:rPr>
        <w:t>Source: Constructed during the evaluation</w:t>
      </w:r>
    </w:p>
    <w:p w:rsidR="00301E4C" w:rsidRDefault="00301E4C" w:rsidP="00301E4C">
      <w:pPr>
        <w:widowControl/>
        <w:rPr>
          <w:szCs w:val="22"/>
        </w:rPr>
      </w:pPr>
    </w:p>
    <w:p w:rsidR="00753CD1" w:rsidRDefault="00753CD1" w:rsidP="00EC35C9">
      <w:pPr>
        <w:ind w:left="709"/>
        <w:rPr>
          <w:i/>
        </w:rPr>
      </w:pPr>
      <w:bookmarkStart w:id="43" w:name="_Toc429176346"/>
      <w:bookmarkStart w:id="44" w:name="_Toc429395759"/>
      <w:bookmarkStart w:id="45" w:name="_Toc430075668"/>
      <w:r w:rsidRPr="00A35AFB">
        <w:rPr>
          <w:i/>
        </w:rPr>
        <w:t xml:space="preserve">For </w:t>
      </w:r>
      <w:r w:rsidR="00EC35C9">
        <w:rPr>
          <w:i/>
        </w:rPr>
        <w:t>m</w:t>
      </w:r>
      <w:r w:rsidRPr="00A35AFB">
        <w:rPr>
          <w:i/>
        </w:rPr>
        <w:t>ore detail on PBAC’s view, see section 7 “PBAC outcome”</w:t>
      </w:r>
      <w:r w:rsidR="00EC35C9">
        <w:rPr>
          <w:i/>
        </w:rPr>
        <w:t>.</w:t>
      </w:r>
    </w:p>
    <w:p w:rsidR="002F7B33" w:rsidRPr="00D473C8" w:rsidRDefault="002F7B33">
      <w:pPr>
        <w:widowControl/>
        <w:jc w:val="left"/>
      </w:pPr>
    </w:p>
    <w:p w:rsidR="00301E4C" w:rsidRPr="002C2775" w:rsidRDefault="00301E4C" w:rsidP="00301E4C">
      <w:pPr>
        <w:pStyle w:val="Heading2"/>
        <w:rPr>
          <w:i/>
          <w:szCs w:val="22"/>
        </w:rPr>
      </w:pPr>
      <w:r>
        <w:rPr>
          <w:i/>
        </w:rPr>
        <w:t>Drug cost/patient/</w:t>
      </w:r>
      <w:r w:rsidRPr="002C2775">
        <w:rPr>
          <w:i/>
        </w:rPr>
        <w:t>year: $</w:t>
      </w:r>
      <w:bookmarkEnd w:id="43"/>
      <w:bookmarkEnd w:id="44"/>
      <w:bookmarkEnd w:id="45"/>
      <w:r w:rsidR="00AF4647">
        <w:rPr>
          <w:i/>
          <w:noProof/>
          <w:color w:val="000000"/>
          <w:highlight w:val="black"/>
        </w:rPr>
        <w:t>''''''''''''''''''</w:t>
      </w:r>
    </w:p>
    <w:p w:rsidR="00301E4C" w:rsidRPr="00C25D9C" w:rsidRDefault="00301E4C" w:rsidP="00301E4C">
      <w:pPr>
        <w:widowControl/>
        <w:rPr>
          <w:szCs w:val="22"/>
        </w:rPr>
      </w:pPr>
    </w:p>
    <w:p w:rsidR="00301E4C" w:rsidRPr="006B01C5" w:rsidRDefault="00301E4C" w:rsidP="00B9372F">
      <w:pPr>
        <w:pStyle w:val="ListParagraph"/>
        <w:widowControl/>
        <w:numPr>
          <w:ilvl w:val="1"/>
          <w:numId w:val="2"/>
        </w:numPr>
        <w:rPr>
          <w:szCs w:val="22"/>
        </w:rPr>
      </w:pPr>
      <w:r w:rsidRPr="006B01C5">
        <w:rPr>
          <w:szCs w:val="22"/>
        </w:rPr>
        <w:t>The</w:t>
      </w:r>
      <w:r>
        <w:rPr>
          <w:szCs w:val="22"/>
        </w:rPr>
        <w:t xml:space="preserve"> estimated usage per patient was based on an expected compliance/adherence rate of </w:t>
      </w:r>
      <w:r w:rsidR="00AF4647">
        <w:rPr>
          <w:noProof/>
          <w:color w:val="000000"/>
          <w:szCs w:val="22"/>
          <w:highlight w:val="black"/>
        </w:rPr>
        <w:t>'''''''''''</w:t>
      </w:r>
      <w:r>
        <w:rPr>
          <w:szCs w:val="22"/>
        </w:rPr>
        <w:t xml:space="preserve">%.  This was derived from the weighted average daily dose for </w:t>
      </w:r>
      <w:proofErr w:type="spellStart"/>
      <w:r>
        <w:rPr>
          <w:szCs w:val="22"/>
        </w:rPr>
        <w:lastRenderedPageBreak/>
        <w:t>pirfenidone</w:t>
      </w:r>
      <w:proofErr w:type="spellEnd"/>
      <w:r>
        <w:rPr>
          <w:szCs w:val="22"/>
        </w:rPr>
        <w:t xml:space="preserve"> observed in ASCEND (n=</w:t>
      </w:r>
      <w:r w:rsidR="00BD7339">
        <w:rPr>
          <w:szCs w:val="22"/>
        </w:rPr>
        <w:t xml:space="preserve">276; </w:t>
      </w:r>
      <w:r w:rsidR="00AF4647">
        <w:rPr>
          <w:noProof/>
          <w:color w:val="000000"/>
          <w:szCs w:val="22"/>
          <w:highlight w:val="black"/>
        </w:rPr>
        <w:t>''''''''''''''''</w:t>
      </w:r>
      <w:r w:rsidR="00BD7339">
        <w:rPr>
          <w:szCs w:val="22"/>
        </w:rPr>
        <w:t>mg) and CAPACITY (n=343</w:t>
      </w:r>
      <w:r>
        <w:rPr>
          <w:szCs w:val="22"/>
        </w:rPr>
        <w:t xml:space="preserve">; </w:t>
      </w:r>
      <w:r w:rsidR="00AF4647">
        <w:rPr>
          <w:noProof/>
          <w:color w:val="000000"/>
          <w:szCs w:val="22"/>
          <w:highlight w:val="black"/>
        </w:rPr>
        <w:t>''''''''''''''''''</w:t>
      </w:r>
      <w:r>
        <w:rPr>
          <w:szCs w:val="22"/>
        </w:rPr>
        <w:t xml:space="preserve">mg) compared as a percentage to the maximum allowable dose (2403mg).  Overall, this resulted in an average </w:t>
      </w:r>
      <w:r w:rsidR="00AF4647">
        <w:rPr>
          <w:noProof/>
          <w:color w:val="000000"/>
          <w:szCs w:val="22"/>
          <w:highlight w:val="black"/>
        </w:rPr>
        <w:t>''''''''''''''</w:t>
      </w:r>
      <w:r>
        <w:rPr>
          <w:szCs w:val="22"/>
        </w:rPr>
        <w:t xml:space="preserve"> </w:t>
      </w:r>
      <w:proofErr w:type="spellStart"/>
      <w:r>
        <w:rPr>
          <w:szCs w:val="22"/>
        </w:rPr>
        <w:t>p</w:t>
      </w:r>
      <w:r w:rsidR="00D473C8">
        <w:rPr>
          <w:szCs w:val="22"/>
        </w:rPr>
        <w:t>irfenidone</w:t>
      </w:r>
      <w:proofErr w:type="spellEnd"/>
      <w:r w:rsidR="00D473C8">
        <w:rPr>
          <w:szCs w:val="22"/>
        </w:rPr>
        <w:t xml:space="preserve"> packs/patient/year.</w:t>
      </w:r>
    </w:p>
    <w:p w:rsidR="00195589" w:rsidRDefault="00195589" w:rsidP="0045035F">
      <w:pPr>
        <w:pStyle w:val="BodyText"/>
      </w:pPr>
      <w:bookmarkStart w:id="46" w:name="_Toc429176347"/>
      <w:bookmarkStart w:id="47" w:name="_Toc429395760"/>
      <w:bookmarkStart w:id="48" w:name="_Toc430075669"/>
    </w:p>
    <w:p w:rsidR="00301E4C" w:rsidRPr="0045035F" w:rsidRDefault="00301E4C" w:rsidP="00301E4C">
      <w:pPr>
        <w:pStyle w:val="Heading2"/>
      </w:pPr>
      <w:r w:rsidRPr="0045035F">
        <w:t>Estimated PBS usage &amp; financial implications</w:t>
      </w:r>
      <w:bookmarkEnd w:id="46"/>
      <w:bookmarkEnd w:id="47"/>
      <w:bookmarkEnd w:id="48"/>
    </w:p>
    <w:p w:rsidR="00301E4C" w:rsidRPr="00D473C8" w:rsidRDefault="00301E4C" w:rsidP="00301E4C">
      <w:pPr>
        <w:ind w:left="720" w:hanging="720"/>
        <w:rPr>
          <w:szCs w:val="22"/>
        </w:rPr>
      </w:pPr>
    </w:p>
    <w:p w:rsidR="00301E4C" w:rsidRPr="00C25D9C" w:rsidRDefault="00301E4C" w:rsidP="00B9372F">
      <w:pPr>
        <w:pStyle w:val="ListParagraph"/>
        <w:widowControl/>
        <w:numPr>
          <w:ilvl w:val="1"/>
          <w:numId w:val="2"/>
        </w:numPr>
        <w:rPr>
          <w:szCs w:val="22"/>
        </w:rPr>
      </w:pPr>
      <w:r>
        <w:t xml:space="preserve">This submission </w:t>
      </w:r>
      <w:r w:rsidR="00175B8B">
        <w:t>was</w:t>
      </w:r>
      <w:r>
        <w:t xml:space="preserve"> not considered by DUSC</w:t>
      </w:r>
      <w:r w:rsidRPr="00B50DB8">
        <w:rPr>
          <w:color w:val="0070C0"/>
        </w:rPr>
        <w:t>.</w:t>
      </w:r>
      <w:r w:rsidRPr="003766FE">
        <w:t xml:space="preserve">  </w:t>
      </w:r>
      <w:r>
        <w:t>Estimated use and financial implications are</w:t>
      </w:r>
      <w:r w:rsidR="00D473C8">
        <w:t xml:space="preserve"> presented in the table below.</w:t>
      </w:r>
    </w:p>
    <w:p w:rsidR="00301E4C" w:rsidRDefault="00301E4C" w:rsidP="00301E4C">
      <w:pPr>
        <w:widowControl/>
        <w:rPr>
          <w:szCs w:val="22"/>
        </w:rPr>
      </w:pPr>
    </w:p>
    <w:p w:rsidR="00301E4C" w:rsidRDefault="00301E4C" w:rsidP="00301E4C">
      <w:pPr>
        <w:ind w:firstLine="709"/>
        <w:rPr>
          <w:rStyle w:val="CommentReference"/>
        </w:rPr>
      </w:pPr>
      <w:r w:rsidRPr="001222FC">
        <w:rPr>
          <w:rStyle w:val="CommentReference"/>
        </w:rPr>
        <w:t xml:space="preserve">Table </w:t>
      </w:r>
      <w:r>
        <w:rPr>
          <w:rStyle w:val="CommentReference"/>
        </w:rPr>
        <w:t>1</w:t>
      </w:r>
      <w:r w:rsidR="00125567">
        <w:rPr>
          <w:rStyle w:val="CommentReference"/>
        </w:rPr>
        <w:t>0</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5"/>
        <w:gridCol w:w="1131"/>
        <w:gridCol w:w="1131"/>
        <w:gridCol w:w="1130"/>
        <w:gridCol w:w="1130"/>
        <w:gridCol w:w="1130"/>
      </w:tblGrid>
      <w:tr w:rsidR="00301E4C" w:rsidRPr="002B2E9D" w:rsidTr="00ED5652">
        <w:trPr>
          <w:tblHeader/>
        </w:trPr>
        <w:tc>
          <w:tcPr>
            <w:tcW w:w="1614" w:type="pct"/>
            <w:shd w:val="clear" w:color="auto" w:fill="auto"/>
            <w:vAlign w:val="center"/>
          </w:tcPr>
          <w:p w:rsidR="00301E4C" w:rsidRPr="002B2E9D" w:rsidRDefault="00301E4C" w:rsidP="00ED5652">
            <w:pPr>
              <w:tabs>
                <w:tab w:val="left" w:pos="142"/>
              </w:tabs>
              <w:jc w:val="left"/>
              <w:rPr>
                <w:rFonts w:ascii="Arial Narrow" w:hAnsi="Arial Narrow"/>
                <w:b/>
                <w:sz w:val="20"/>
              </w:rPr>
            </w:pPr>
          </w:p>
        </w:tc>
        <w:tc>
          <w:tcPr>
            <w:tcW w:w="677" w:type="pct"/>
            <w:shd w:val="clear" w:color="auto" w:fill="auto"/>
            <w:vAlign w:val="center"/>
          </w:tcPr>
          <w:p w:rsidR="00301E4C" w:rsidRPr="002B2E9D" w:rsidRDefault="00301E4C" w:rsidP="00ED5652">
            <w:pPr>
              <w:jc w:val="center"/>
              <w:rPr>
                <w:rFonts w:ascii="Arial Narrow" w:hAnsi="Arial Narrow"/>
                <w:b/>
                <w:sz w:val="20"/>
              </w:rPr>
            </w:pPr>
            <w:r w:rsidRPr="002B2E9D">
              <w:rPr>
                <w:rFonts w:ascii="Arial Narrow" w:hAnsi="Arial Narrow"/>
                <w:b/>
                <w:sz w:val="20"/>
              </w:rPr>
              <w:t>Year 1</w:t>
            </w:r>
          </w:p>
        </w:tc>
        <w:tc>
          <w:tcPr>
            <w:tcW w:w="677" w:type="pct"/>
            <w:shd w:val="clear" w:color="auto" w:fill="auto"/>
            <w:vAlign w:val="center"/>
          </w:tcPr>
          <w:p w:rsidR="00301E4C" w:rsidRPr="002B2E9D" w:rsidRDefault="00301E4C" w:rsidP="00ED5652">
            <w:pPr>
              <w:jc w:val="center"/>
              <w:rPr>
                <w:rFonts w:ascii="Arial Narrow" w:hAnsi="Arial Narrow"/>
                <w:b/>
                <w:sz w:val="20"/>
              </w:rPr>
            </w:pPr>
            <w:r w:rsidRPr="002B2E9D">
              <w:rPr>
                <w:rFonts w:ascii="Arial Narrow" w:hAnsi="Arial Narrow"/>
                <w:b/>
                <w:sz w:val="20"/>
              </w:rPr>
              <w:t>Year 2</w:t>
            </w:r>
          </w:p>
        </w:tc>
        <w:tc>
          <w:tcPr>
            <w:tcW w:w="677" w:type="pct"/>
            <w:shd w:val="clear" w:color="auto" w:fill="auto"/>
            <w:vAlign w:val="center"/>
          </w:tcPr>
          <w:p w:rsidR="00301E4C" w:rsidRPr="002B2E9D" w:rsidRDefault="00301E4C" w:rsidP="00ED5652">
            <w:pPr>
              <w:jc w:val="center"/>
              <w:rPr>
                <w:rFonts w:ascii="Arial Narrow" w:hAnsi="Arial Narrow"/>
                <w:b/>
                <w:sz w:val="20"/>
              </w:rPr>
            </w:pPr>
            <w:r w:rsidRPr="002B2E9D">
              <w:rPr>
                <w:rFonts w:ascii="Arial Narrow" w:hAnsi="Arial Narrow"/>
                <w:b/>
                <w:sz w:val="20"/>
              </w:rPr>
              <w:t>Year 3</w:t>
            </w:r>
          </w:p>
        </w:tc>
        <w:tc>
          <w:tcPr>
            <w:tcW w:w="677" w:type="pct"/>
            <w:shd w:val="clear" w:color="auto" w:fill="auto"/>
            <w:vAlign w:val="center"/>
          </w:tcPr>
          <w:p w:rsidR="00301E4C" w:rsidRPr="002B2E9D" w:rsidRDefault="00301E4C" w:rsidP="00ED5652">
            <w:pPr>
              <w:jc w:val="center"/>
              <w:rPr>
                <w:rFonts w:ascii="Arial Narrow" w:hAnsi="Arial Narrow"/>
                <w:b/>
                <w:sz w:val="20"/>
              </w:rPr>
            </w:pPr>
            <w:r w:rsidRPr="002B2E9D">
              <w:rPr>
                <w:rFonts w:ascii="Arial Narrow" w:hAnsi="Arial Narrow"/>
                <w:b/>
                <w:sz w:val="20"/>
              </w:rPr>
              <w:t>Year 4</w:t>
            </w:r>
          </w:p>
        </w:tc>
        <w:tc>
          <w:tcPr>
            <w:tcW w:w="677" w:type="pct"/>
            <w:shd w:val="clear" w:color="auto" w:fill="auto"/>
            <w:vAlign w:val="center"/>
          </w:tcPr>
          <w:p w:rsidR="00301E4C" w:rsidRPr="002B2E9D" w:rsidRDefault="00301E4C" w:rsidP="00ED5652">
            <w:pPr>
              <w:jc w:val="center"/>
              <w:rPr>
                <w:rFonts w:ascii="Arial Narrow" w:hAnsi="Arial Narrow"/>
                <w:b/>
                <w:sz w:val="20"/>
              </w:rPr>
            </w:pPr>
            <w:r w:rsidRPr="002B2E9D">
              <w:rPr>
                <w:rFonts w:ascii="Arial Narrow" w:hAnsi="Arial Narrow"/>
                <w:b/>
                <w:sz w:val="20"/>
              </w:rPr>
              <w:t>Year 5</w:t>
            </w:r>
          </w:p>
        </w:tc>
      </w:tr>
      <w:tr w:rsidR="00301E4C" w:rsidRPr="002B2E9D" w:rsidTr="00ED5652">
        <w:tc>
          <w:tcPr>
            <w:tcW w:w="1614" w:type="pct"/>
            <w:shd w:val="clear" w:color="auto" w:fill="auto"/>
            <w:vAlign w:val="center"/>
          </w:tcPr>
          <w:p w:rsidR="00301E4C" w:rsidRPr="002B2E9D" w:rsidRDefault="00301E4C" w:rsidP="00ED5652">
            <w:pPr>
              <w:tabs>
                <w:tab w:val="left" w:pos="142"/>
              </w:tabs>
              <w:jc w:val="left"/>
              <w:rPr>
                <w:rFonts w:ascii="Arial Narrow" w:hAnsi="Arial Narrow"/>
                <w:sz w:val="20"/>
              </w:rPr>
            </w:pPr>
            <w:r w:rsidRPr="002B2E9D">
              <w:rPr>
                <w:rFonts w:ascii="Arial Narrow" w:hAnsi="Arial Narrow"/>
                <w:sz w:val="20"/>
              </w:rPr>
              <w:t>Incident IPF population</w:t>
            </w:r>
          </w:p>
        </w:tc>
        <w:tc>
          <w:tcPr>
            <w:tcW w:w="677" w:type="pct"/>
            <w:shd w:val="clear" w:color="auto" w:fill="auto"/>
            <w:vAlign w:val="center"/>
          </w:tcPr>
          <w:p w:rsidR="00301E4C" w:rsidRPr="00AF4647" w:rsidRDefault="00AF4647" w:rsidP="00ED5652">
            <w:pPr>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301E4C" w:rsidRPr="00AF4647" w:rsidRDefault="00AF4647" w:rsidP="00ED5652">
            <w:pPr>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301E4C" w:rsidRPr="00AF4647" w:rsidRDefault="00AF4647" w:rsidP="00ED5652">
            <w:pPr>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301E4C" w:rsidRPr="00AF4647" w:rsidRDefault="00AF4647" w:rsidP="00ED5652">
            <w:pPr>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301E4C" w:rsidRPr="00AF4647" w:rsidRDefault="00AF4647" w:rsidP="00ED5652">
            <w:pPr>
              <w:jc w:val="center"/>
              <w:rPr>
                <w:rFonts w:ascii="Arial Narrow" w:hAnsi="Arial Narrow"/>
                <w:color w:val="000000"/>
                <w:sz w:val="20"/>
                <w:highlight w:val="black"/>
              </w:rPr>
            </w:pPr>
            <w:r>
              <w:rPr>
                <w:rFonts w:ascii="Arial Narrow" w:hAnsi="Arial Narrow"/>
                <w:bCs/>
                <w:noProof/>
                <w:color w:val="000000"/>
                <w:sz w:val="20"/>
                <w:highlight w:val="black"/>
              </w:rPr>
              <w:t>'''''''''''''</w:t>
            </w:r>
          </w:p>
        </w:tc>
      </w:tr>
      <w:tr w:rsidR="00301E4C" w:rsidRPr="002B2E9D" w:rsidTr="00ED5652">
        <w:tc>
          <w:tcPr>
            <w:tcW w:w="1614" w:type="pct"/>
            <w:shd w:val="clear" w:color="auto" w:fill="auto"/>
            <w:vAlign w:val="center"/>
          </w:tcPr>
          <w:p w:rsidR="00301E4C" w:rsidRPr="002B2E9D" w:rsidRDefault="00301E4C" w:rsidP="00ED5652">
            <w:pPr>
              <w:tabs>
                <w:tab w:val="left" w:pos="142"/>
              </w:tabs>
              <w:jc w:val="left"/>
              <w:rPr>
                <w:rFonts w:ascii="Arial Narrow" w:hAnsi="Arial Narrow"/>
                <w:sz w:val="20"/>
              </w:rPr>
            </w:pPr>
            <w:r w:rsidRPr="002B2E9D">
              <w:rPr>
                <w:rFonts w:ascii="Arial Narrow" w:hAnsi="Arial Narrow"/>
                <w:sz w:val="20"/>
              </w:rPr>
              <w:t xml:space="preserve">Patients treated with </w:t>
            </w:r>
            <w:proofErr w:type="spellStart"/>
            <w:r w:rsidRPr="002B2E9D">
              <w:rPr>
                <w:rFonts w:ascii="Arial Narrow" w:hAnsi="Arial Narrow"/>
                <w:sz w:val="20"/>
              </w:rPr>
              <w:t>pirfenidone</w:t>
            </w:r>
            <w:proofErr w:type="spellEnd"/>
          </w:p>
        </w:tc>
        <w:tc>
          <w:tcPr>
            <w:tcW w:w="677" w:type="pct"/>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bCs/>
                <w:noProof/>
                <w:color w:val="000000"/>
                <w:sz w:val="20"/>
                <w:highlight w:val="black"/>
              </w:rPr>
              <w:t>'''''''''''''''</w:t>
            </w:r>
          </w:p>
        </w:tc>
      </w:tr>
      <w:tr w:rsidR="00301E4C" w:rsidRPr="002B2E9D" w:rsidTr="00ED5652">
        <w:tc>
          <w:tcPr>
            <w:tcW w:w="1614" w:type="pct"/>
            <w:tcBorders>
              <w:bottom w:val="double" w:sz="4" w:space="0" w:color="auto"/>
            </w:tcBorders>
            <w:shd w:val="clear" w:color="auto" w:fill="auto"/>
            <w:vAlign w:val="center"/>
          </w:tcPr>
          <w:p w:rsidR="00301E4C" w:rsidRPr="002B2E9D" w:rsidRDefault="00301E4C" w:rsidP="00ED5652">
            <w:pPr>
              <w:tabs>
                <w:tab w:val="left" w:pos="142"/>
              </w:tabs>
              <w:jc w:val="left"/>
              <w:rPr>
                <w:rFonts w:ascii="Arial Narrow" w:hAnsi="Arial Narrow"/>
                <w:sz w:val="20"/>
              </w:rPr>
            </w:pPr>
            <w:proofErr w:type="spellStart"/>
            <w:r w:rsidRPr="002B2E9D">
              <w:rPr>
                <w:rFonts w:ascii="Arial Narrow" w:hAnsi="Arial Narrow"/>
                <w:sz w:val="20"/>
              </w:rPr>
              <w:t>Pirfenidone</w:t>
            </w:r>
            <w:proofErr w:type="spellEnd"/>
            <w:r w:rsidRPr="002B2E9D">
              <w:rPr>
                <w:rFonts w:ascii="Arial Narrow" w:hAnsi="Arial Narrow"/>
                <w:sz w:val="20"/>
              </w:rPr>
              <w:t xml:space="preserve"> packs</w:t>
            </w:r>
          </w:p>
        </w:tc>
        <w:tc>
          <w:tcPr>
            <w:tcW w:w="677" w:type="pct"/>
            <w:tcBorders>
              <w:bottom w:val="double" w:sz="4" w:space="0" w:color="auto"/>
            </w:tcBorders>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cs="Calibri"/>
                <w:noProof/>
                <w:color w:val="000000"/>
                <w:sz w:val="20"/>
                <w:highlight w:val="black"/>
              </w:rPr>
              <w:t>''''''''''''''''</w:t>
            </w:r>
          </w:p>
        </w:tc>
        <w:tc>
          <w:tcPr>
            <w:tcW w:w="677" w:type="pct"/>
            <w:tcBorders>
              <w:bottom w:val="double" w:sz="4" w:space="0" w:color="auto"/>
            </w:tcBorders>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cs="Calibri"/>
                <w:noProof/>
                <w:color w:val="000000"/>
                <w:sz w:val="20"/>
                <w:highlight w:val="black"/>
              </w:rPr>
              <w:t>''''''''''''''''</w:t>
            </w:r>
          </w:p>
        </w:tc>
        <w:tc>
          <w:tcPr>
            <w:tcW w:w="677" w:type="pct"/>
            <w:tcBorders>
              <w:bottom w:val="double" w:sz="4" w:space="0" w:color="auto"/>
            </w:tcBorders>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cs="Calibri"/>
                <w:noProof/>
                <w:color w:val="000000"/>
                <w:sz w:val="20"/>
                <w:highlight w:val="black"/>
              </w:rPr>
              <w:t>''''''''''''''''</w:t>
            </w:r>
          </w:p>
        </w:tc>
        <w:tc>
          <w:tcPr>
            <w:tcW w:w="677" w:type="pct"/>
            <w:tcBorders>
              <w:bottom w:val="double" w:sz="4" w:space="0" w:color="auto"/>
            </w:tcBorders>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cs="Calibri"/>
                <w:noProof/>
                <w:color w:val="000000"/>
                <w:sz w:val="20"/>
                <w:highlight w:val="black"/>
              </w:rPr>
              <w:t>''''''''''''''''''</w:t>
            </w:r>
          </w:p>
        </w:tc>
        <w:tc>
          <w:tcPr>
            <w:tcW w:w="677" w:type="pct"/>
            <w:tcBorders>
              <w:bottom w:val="double" w:sz="4" w:space="0" w:color="auto"/>
            </w:tcBorders>
            <w:shd w:val="clear" w:color="auto" w:fill="auto"/>
            <w:vAlign w:val="center"/>
          </w:tcPr>
          <w:p w:rsidR="00301E4C" w:rsidRPr="00AF4647" w:rsidRDefault="00AF4647" w:rsidP="00ED5652">
            <w:pPr>
              <w:jc w:val="center"/>
              <w:rPr>
                <w:rFonts w:ascii="Arial Narrow" w:hAnsi="Arial Narrow"/>
                <w:bCs/>
                <w:sz w:val="20"/>
                <w:highlight w:val="black"/>
              </w:rPr>
            </w:pPr>
            <w:r>
              <w:rPr>
                <w:rFonts w:ascii="Arial Narrow" w:hAnsi="Arial Narrow" w:cs="Calibri"/>
                <w:noProof/>
                <w:color w:val="000000"/>
                <w:sz w:val="20"/>
                <w:highlight w:val="black"/>
              </w:rPr>
              <w:t>'''''''''''''''''</w:t>
            </w:r>
          </w:p>
        </w:tc>
      </w:tr>
      <w:tr w:rsidR="00301E4C" w:rsidRPr="002B2E9D" w:rsidTr="00ED5652">
        <w:tc>
          <w:tcPr>
            <w:tcW w:w="1614" w:type="pct"/>
            <w:tcBorders>
              <w:top w:val="double" w:sz="4" w:space="0" w:color="auto"/>
            </w:tcBorders>
            <w:shd w:val="clear" w:color="auto" w:fill="auto"/>
            <w:vAlign w:val="center"/>
          </w:tcPr>
          <w:p w:rsidR="00301E4C" w:rsidRPr="002B2E9D" w:rsidRDefault="00301E4C" w:rsidP="00ED5652">
            <w:pPr>
              <w:tabs>
                <w:tab w:val="left" w:pos="142"/>
              </w:tabs>
              <w:jc w:val="left"/>
              <w:rPr>
                <w:rFonts w:ascii="Arial Narrow" w:hAnsi="Arial Narrow"/>
                <w:sz w:val="20"/>
              </w:rPr>
            </w:pPr>
            <w:r w:rsidRPr="002B2E9D">
              <w:rPr>
                <w:rFonts w:ascii="Arial Narrow" w:hAnsi="Arial Narrow"/>
                <w:sz w:val="20"/>
              </w:rPr>
              <w:t>Net costs to PBS/RPBS</w:t>
            </w:r>
          </w:p>
        </w:tc>
        <w:tc>
          <w:tcPr>
            <w:tcW w:w="677" w:type="pct"/>
            <w:tcBorders>
              <w:top w:val="double" w:sz="4" w:space="0" w:color="auto"/>
            </w:tcBorders>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iCs/>
                <w:sz w:val="20"/>
              </w:rPr>
              <w:t>$</w:t>
            </w:r>
            <w:r w:rsidR="00AF4647">
              <w:rPr>
                <w:rFonts w:ascii="Arial Narrow" w:hAnsi="Arial Narrow"/>
                <w:iCs/>
                <w:noProof/>
                <w:color w:val="000000"/>
                <w:sz w:val="20"/>
                <w:highlight w:val="black"/>
              </w:rPr>
              <w:t>'''''''''''''''''''''''''</w:t>
            </w:r>
          </w:p>
        </w:tc>
        <w:tc>
          <w:tcPr>
            <w:tcW w:w="677" w:type="pct"/>
            <w:tcBorders>
              <w:top w:val="double" w:sz="4" w:space="0" w:color="auto"/>
            </w:tcBorders>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iCs/>
                <w:sz w:val="20"/>
              </w:rPr>
              <w:t>$</w:t>
            </w:r>
            <w:r w:rsidR="00AF4647">
              <w:rPr>
                <w:rFonts w:ascii="Arial Narrow" w:hAnsi="Arial Narrow"/>
                <w:iCs/>
                <w:noProof/>
                <w:color w:val="000000"/>
                <w:sz w:val="20"/>
                <w:highlight w:val="black"/>
              </w:rPr>
              <w:t>'''''''''''''''''''''''''</w:t>
            </w:r>
          </w:p>
        </w:tc>
        <w:tc>
          <w:tcPr>
            <w:tcW w:w="677" w:type="pct"/>
            <w:tcBorders>
              <w:top w:val="double" w:sz="4" w:space="0" w:color="auto"/>
            </w:tcBorders>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iCs/>
                <w:sz w:val="20"/>
              </w:rPr>
              <w:t>$</w:t>
            </w:r>
            <w:r w:rsidR="00AF4647">
              <w:rPr>
                <w:rFonts w:ascii="Arial Narrow" w:hAnsi="Arial Narrow"/>
                <w:iCs/>
                <w:noProof/>
                <w:color w:val="000000"/>
                <w:sz w:val="20"/>
                <w:highlight w:val="black"/>
              </w:rPr>
              <w:t>''''''''''''''''''''''''''''</w:t>
            </w:r>
          </w:p>
        </w:tc>
        <w:tc>
          <w:tcPr>
            <w:tcW w:w="677" w:type="pct"/>
            <w:tcBorders>
              <w:top w:val="double" w:sz="4" w:space="0" w:color="auto"/>
            </w:tcBorders>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iCs/>
                <w:sz w:val="20"/>
              </w:rPr>
              <w:t>$</w:t>
            </w:r>
            <w:r w:rsidR="00AF4647">
              <w:rPr>
                <w:rFonts w:ascii="Arial Narrow" w:hAnsi="Arial Narrow"/>
                <w:iCs/>
                <w:noProof/>
                <w:color w:val="000000"/>
                <w:sz w:val="20"/>
                <w:highlight w:val="black"/>
              </w:rPr>
              <w:t>''''''''''''''''''''''''''''</w:t>
            </w:r>
          </w:p>
        </w:tc>
        <w:tc>
          <w:tcPr>
            <w:tcW w:w="677" w:type="pct"/>
            <w:tcBorders>
              <w:top w:val="double" w:sz="4" w:space="0" w:color="auto"/>
            </w:tcBorders>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iCs/>
                <w:sz w:val="20"/>
              </w:rPr>
              <w:t>$</w:t>
            </w:r>
            <w:r w:rsidR="00AF4647">
              <w:rPr>
                <w:rFonts w:ascii="Arial Narrow" w:hAnsi="Arial Narrow"/>
                <w:iCs/>
                <w:noProof/>
                <w:color w:val="000000"/>
                <w:sz w:val="20"/>
                <w:highlight w:val="black"/>
              </w:rPr>
              <w:t>''''''''''''''''''''''''''''</w:t>
            </w:r>
          </w:p>
        </w:tc>
      </w:tr>
      <w:tr w:rsidR="00301E4C" w:rsidRPr="002B2E9D" w:rsidTr="00ED5652">
        <w:tc>
          <w:tcPr>
            <w:tcW w:w="1614" w:type="pct"/>
            <w:shd w:val="clear" w:color="auto" w:fill="auto"/>
            <w:vAlign w:val="center"/>
          </w:tcPr>
          <w:p w:rsidR="00301E4C" w:rsidRPr="002B2E9D" w:rsidRDefault="00301E4C" w:rsidP="00ED5652">
            <w:pPr>
              <w:tabs>
                <w:tab w:val="left" w:pos="142"/>
              </w:tabs>
              <w:jc w:val="left"/>
              <w:rPr>
                <w:rFonts w:ascii="Arial Narrow" w:hAnsi="Arial Narrow"/>
                <w:sz w:val="20"/>
              </w:rPr>
            </w:pPr>
            <w:r w:rsidRPr="002B2E9D">
              <w:rPr>
                <w:rFonts w:ascii="Arial Narrow" w:hAnsi="Arial Narrow"/>
                <w:sz w:val="20"/>
              </w:rPr>
              <w:t>Net costs to MBS</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sz w:val="20"/>
              </w:rPr>
              <w:t>$69,405</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sz w:val="20"/>
              </w:rPr>
              <w:t>$35,614</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sz w:val="20"/>
              </w:rPr>
              <w:t>$36,222</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sz w:val="20"/>
              </w:rPr>
              <w:t>$36,829</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sz w:val="20"/>
              </w:rPr>
              <w:t>$37,434</w:t>
            </w:r>
          </w:p>
        </w:tc>
      </w:tr>
      <w:tr w:rsidR="00301E4C" w:rsidRPr="002B2E9D" w:rsidTr="00ED5652">
        <w:tc>
          <w:tcPr>
            <w:tcW w:w="1614" w:type="pct"/>
            <w:shd w:val="clear" w:color="auto" w:fill="auto"/>
            <w:vAlign w:val="center"/>
          </w:tcPr>
          <w:p w:rsidR="00301E4C" w:rsidRPr="002B2E9D" w:rsidRDefault="00301E4C" w:rsidP="00ED5652">
            <w:pPr>
              <w:tabs>
                <w:tab w:val="left" w:pos="142"/>
              </w:tabs>
              <w:jc w:val="left"/>
              <w:rPr>
                <w:rFonts w:ascii="Arial Narrow" w:hAnsi="Arial Narrow"/>
                <w:sz w:val="20"/>
              </w:rPr>
            </w:pPr>
            <w:r w:rsidRPr="002B2E9D">
              <w:rPr>
                <w:rFonts w:ascii="Arial Narrow" w:hAnsi="Arial Narrow"/>
                <w:sz w:val="20"/>
              </w:rPr>
              <w:t>Net savings to state and territory governments</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Cs/>
                <w:sz w:val="20"/>
              </w:rPr>
              <w:t>-$</w:t>
            </w:r>
            <w:r w:rsidR="00AF4647">
              <w:rPr>
                <w:rFonts w:ascii="Arial Narrow" w:hAnsi="Arial Narrow"/>
                <w:bCs/>
                <w:noProof/>
                <w:color w:val="000000"/>
                <w:sz w:val="20"/>
                <w:highlight w:val="black"/>
              </w:rPr>
              <w: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Cs/>
                <w:sz w:val="20"/>
              </w:rPr>
              <w:t>-$</w:t>
            </w:r>
            <w:r w:rsidR="00AF4647">
              <w:rPr>
                <w:rFonts w:ascii="Arial Narrow" w:hAnsi="Arial Narrow"/>
                <w:bCs/>
                <w:noProof/>
                <w:color w:val="000000"/>
                <w:sz w:val="20"/>
                <w:highlight w:val="black"/>
              </w:rPr>
              <w: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Cs/>
                <w:sz w:val="20"/>
              </w:rPr>
              <w:t>-$</w:t>
            </w:r>
            <w:r w:rsidR="00AF4647">
              <w:rPr>
                <w:rFonts w:ascii="Arial Narrow" w:hAnsi="Arial Narrow"/>
                <w:bCs/>
                <w:noProof/>
                <w:color w:val="000000"/>
                <w:sz w:val="20"/>
                <w:highlight w:val="black"/>
              </w:rPr>
              <w: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Cs/>
                <w:sz w:val="20"/>
              </w:rPr>
              <w:t>-$</w:t>
            </w:r>
            <w:r w:rsidR="00AF4647">
              <w:rPr>
                <w:rFonts w:ascii="Arial Narrow" w:hAnsi="Arial Narrow"/>
                <w:bCs/>
                <w:noProof/>
                <w:color w:val="000000"/>
                <w:sz w:val="20"/>
                <w:highlight w:val="black"/>
              </w:rPr>
              <w: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Cs/>
                <w:sz w:val="20"/>
              </w:rPr>
              <w:t>-$</w:t>
            </w:r>
            <w:r w:rsidR="00AF4647">
              <w:rPr>
                <w:rFonts w:ascii="Arial Narrow" w:hAnsi="Arial Narrow"/>
                <w:bCs/>
                <w:noProof/>
                <w:color w:val="000000"/>
                <w:sz w:val="20"/>
                <w:highlight w:val="black"/>
              </w:rPr>
              <w:t>''''''''''''''''''''''''</w:t>
            </w:r>
          </w:p>
        </w:tc>
      </w:tr>
      <w:tr w:rsidR="00301E4C" w:rsidRPr="002B2E9D" w:rsidTr="00ED5652">
        <w:tc>
          <w:tcPr>
            <w:tcW w:w="1614" w:type="pct"/>
            <w:shd w:val="clear" w:color="auto" w:fill="auto"/>
            <w:vAlign w:val="center"/>
          </w:tcPr>
          <w:p w:rsidR="00301E4C" w:rsidRPr="002B2E9D" w:rsidRDefault="00301E4C" w:rsidP="00ED5652">
            <w:pPr>
              <w:tabs>
                <w:tab w:val="left" w:pos="142"/>
              </w:tabs>
              <w:jc w:val="left"/>
              <w:rPr>
                <w:rFonts w:ascii="Arial Narrow" w:hAnsi="Arial Narrow"/>
                <w:b/>
                <w:sz w:val="20"/>
              </w:rPr>
            </w:pPr>
            <w:r w:rsidRPr="002B2E9D">
              <w:rPr>
                <w:rFonts w:ascii="Arial Narrow" w:hAnsi="Arial Narrow"/>
                <w:b/>
                <w:sz w:val="20"/>
              </w:rPr>
              <w:t>Overall net cost to government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
                <w:bCs/>
                <w:iCs/>
                <w:sz w:val="20"/>
              </w:rPr>
              <w:t>$</w:t>
            </w:r>
            <w:r w:rsidR="00AF4647">
              <w:rPr>
                <w:rFonts w:ascii="Arial Narrow" w:hAnsi="Arial Narrow"/>
                <w:b/>
                <w:bCs/>
                <w:iCs/>
                <w:noProof/>
                <w:color w:val="000000"/>
                <w:sz w:val="20"/>
                <w:highlight w:val="black"/>
              </w:rPr>
              <w: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
                <w:bCs/>
                <w:iCs/>
                <w:sz w:val="20"/>
              </w:rPr>
              <w:t>$</w:t>
            </w:r>
            <w:r w:rsidR="00AF4647">
              <w:rPr>
                <w:rFonts w:ascii="Arial Narrow" w:hAnsi="Arial Narrow"/>
                <w:b/>
                <w:bCs/>
                <w:iCs/>
                <w:noProof/>
                <w:color w:val="000000"/>
                <w:sz w:val="20"/>
                <w:highlight w:val="black"/>
              </w:rPr>
              <w: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
                <w:bCs/>
                <w:iCs/>
                <w:sz w:val="20"/>
              </w:rPr>
              <w:t>$</w:t>
            </w:r>
            <w:r w:rsidR="00AF4647">
              <w:rPr>
                <w:rFonts w:ascii="Arial Narrow" w:hAnsi="Arial Narrow"/>
                <w:b/>
                <w:bCs/>
                <w:iCs/>
                <w:noProof/>
                <w:color w:val="000000"/>
                <w:sz w:val="20"/>
                <w:highlight w:val="black"/>
              </w:rPr>
              <w: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
                <w:bCs/>
                <w:iCs/>
                <w:sz w:val="20"/>
              </w:rPr>
              <w:t>$</w:t>
            </w:r>
            <w:r w:rsidR="00AF4647">
              <w:rPr>
                <w:rFonts w:ascii="Arial Narrow" w:hAnsi="Arial Narrow"/>
                <w:b/>
                <w:bCs/>
                <w:iCs/>
                <w:noProof/>
                <w:color w:val="000000"/>
                <w:sz w:val="20"/>
                <w:highlight w:val="black"/>
              </w:rPr>
              <w:t>''''''''''''''''''''''</w:t>
            </w:r>
          </w:p>
        </w:tc>
        <w:tc>
          <w:tcPr>
            <w:tcW w:w="677" w:type="pct"/>
            <w:shd w:val="clear" w:color="auto" w:fill="auto"/>
            <w:vAlign w:val="center"/>
          </w:tcPr>
          <w:p w:rsidR="00301E4C" w:rsidRPr="002B2E9D" w:rsidRDefault="00301E4C" w:rsidP="00ED5652">
            <w:pPr>
              <w:jc w:val="center"/>
              <w:rPr>
                <w:rFonts w:ascii="Arial Narrow" w:hAnsi="Arial Narrow"/>
                <w:b/>
                <w:bCs/>
                <w:sz w:val="20"/>
              </w:rPr>
            </w:pPr>
            <w:r w:rsidRPr="002B2E9D">
              <w:rPr>
                <w:rFonts w:ascii="Arial Narrow" w:hAnsi="Arial Narrow"/>
                <w:b/>
                <w:bCs/>
                <w:iCs/>
                <w:sz w:val="20"/>
              </w:rPr>
              <w:t>$</w:t>
            </w:r>
            <w:r w:rsidR="00AF4647">
              <w:rPr>
                <w:rFonts w:ascii="Arial Narrow" w:hAnsi="Arial Narrow"/>
                <w:b/>
                <w:bCs/>
                <w:iCs/>
                <w:noProof/>
                <w:color w:val="000000"/>
                <w:sz w:val="20"/>
                <w:highlight w:val="black"/>
              </w:rPr>
              <w:t>''''''''''''''''''''''</w:t>
            </w:r>
          </w:p>
        </w:tc>
      </w:tr>
    </w:tbl>
    <w:p w:rsidR="00301E4C" w:rsidRDefault="00301E4C" w:rsidP="00301E4C">
      <w:pPr>
        <w:pStyle w:val="TableFooter"/>
        <w:ind w:firstLine="720"/>
        <w:rPr>
          <w:szCs w:val="18"/>
        </w:rPr>
      </w:pPr>
      <w:r>
        <w:rPr>
          <w:szCs w:val="18"/>
        </w:rPr>
        <w:t>Abbreviations: IPF = idiopathic pulmonary fibrosis</w:t>
      </w:r>
    </w:p>
    <w:p w:rsidR="00301E4C" w:rsidRPr="002B2E9D" w:rsidRDefault="00301E4C" w:rsidP="00301E4C">
      <w:pPr>
        <w:pStyle w:val="TableFooter"/>
        <w:ind w:firstLine="720"/>
        <w:rPr>
          <w:szCs w:val="18"/>
        </w:rPr>
      </w:pPr>
      <w:r w:rsidRPr="002B2E9D">
        <w:rPr>
          <w:szCs w:val="18"/>
        </w:rPr>
        <w:t>Source: Table E.2.1, p9-10</w:t>
      </w:r>
      <w:r>
        <w:rPr>
          <w:szCs w:val="18"/>
        </w:rPr>
        <w:t>;</w:t>
      </w:r>
      <w:r w:rsidRPr="002B2E9D">
        <w:rPr>
          <w:szCs w:val="18"/>
        </w:rPr>
        <w:t xml:space="preserve"> Table E.2.2, p11, Table E.5.5, p18, Section E</w:t>
      </w:r>
      <w:r>
        <w:rPr>
          <w:szCs w:val="18"/>
        </w:rPr>
        <w:t>-EPI</w:t>
      </w:r>
      <w:r w:rsidRPr="002B2E9D">
        <w:rPr>
          <w:szCs w:val="18"/>
        </w:rPr>
        <w:t xml:space="preserve"> of the submission</w:t>
      </w:r>
    </w:p>
    <w:p w:rsidR="00301E4C" w:rsidRDefault="00301E4C" w:rsidP="00301E4C">
      <w:pPr>
        <w:widowControl/>
        <w:rPr>
          <w:szCs w:val="22"/>
        </w:rPr>
      </w:pPr>
    </w:p>
    <w:p w:rsidR="00847F3D" w:rsidRDefault="00847F3D" w:rsidP="00847F3D">
      <w:pPr>
        <w:widowControl/>
        <w:ind w:left="720"/>
        <w:rPr>
          <w:i/>
          <w:szCs w:val="22"/>
        </w:rPr>
      </w:pPr>
      <w:r>
        <w:rPr>
          <w:i/>
          <w:szCs w:val="22"/>
        </w:rPr>
        <w:t xml:space="preserve">The redacted table above shows that the number </w:t>
      </w:r>
      <w:r w:rsidR="00E4457D">
        <w:rPr>
          <w:i/>
          <w:szCs w:val="22"/>
        </w:rPr>
        <w:t>of</w:t>
      </w:r>
      <w:r>
        <w:rPr>
          <w:i/>
          <w:szCs w:val="22"/>
        </w:rPr>
        <w:t xml:space="preserve"> patients treated with </w:t>
      </w:r>
      <w:proofErr w:type="spellStart"/>
      <w:r>
        <w:rPr>
          <w:i/>
          <w:szCs w:val="22"/>
        </w:rPr>
        <w:t>pirfenidone</w:t>
      </w:r>
      <w:proofErr w:type="spellEnd"/>
      <w:r>
        <w:rPr>
          <w:i/>
          <w:szCs w:val="22"/>
        </w:rPr>
        <w:t xml:space="preserve"> is estimated to be less than 10,000 per year at a net cost to the PBS of $30 – </w:t>
      </w:r>
      <w:r w:rsidR="00E65DF1">
        <w:rPr>
          <w:i/>
          <w:szCs w:val="22"/>
        </w:rPr>
        <w:t>$</w:t>
      </w:r>
      <w:r>
        <w:rPr>
          <w:i/>
          <w:szCs w:val="22"/>
        </w:rPr>
        <w:t xml:space="preserve">60 million in Year 1 to $100 – </w:t>
      </w:r>
      <w:r w:rsidR="00E65DF1">
        <w:rPr>
          <w:i/>
          <w:szCs w:val="22"/>
        </w:rPr>
        <w:t>$</w:t>
      </w:r>
      <w:r>
        <w:rPr>
          <w:i/>
          <w:szCs w:val="22"/>
        </w:rPr>
        <w:t xml:space="preserve">200 million in Year 5. </w:t>
      </w:r>
    </w:p>
    <w:p w:rsidR="00847F3D" w:rsidRPr="00847F3D" w:rsidRDefault="00847F3D" w:rsidP="00301E4C">
      <w:pPr>
        <w:widowControl/>
        <w:rPr>
          <w:i/>
          <w:szCs w:val="22"/>
        </w:rPr>
      </w:pPr>
    </w:p>
    <w:p w:rsidR="00301E4C" w:rsidRPr="00175B8B" w:rsidRDefault="00301E4C" w:rsidP="00B9372F">
      <w:pPr>
        <w:pStyle w:val="ListParagraph"/>
        <w:widowControl/>
        <w:numPr>
          <w:ilvl w:val="1"/>
          <w:numId w:val="2"/>
        </w:numPr>
        <w:rPr>
          <w:szCs w:val="22"/>
        </w:rPr>
      </w:pPr>
      <w:r w:rsidRPr="00673F7C">
        <w:rPr>
          <w:szCs w:val="22"/>
        </w:rPr>
        <w:t xml:space="preserve">The submission relied </w:t>
      </w:r>
      <w:r>
        <w:rPr>
          <w:szCs w:val="22"/>
        </w:rPr>
        <w:t>on a</w:t>
      </w:r>
      <w:r w:rsidRPr="00673F7C">
        <w:rPr>
          <w:szCs w:val="22"/>
        </w:rPr>
        <w:t xml:space="preserve"> systematic review of IPF </w:t>
      </w:r>
      <w:r>
        <w:rPr>
          <w:szCs w:val="22"/>
        </w:rPr>
        <w:t>incidence rates</w:t>
      </w:r>
      <w:r w:rsidRPr="00673F7C">
        <w:rPr>
          <w:szCs w:val="22"/>
        </w:rPr>
        <w:t xml:space="preserve"> (Hutchinson 2015), which reported a range of 3-9/100,000 for Europe and North America.  The crude average (</w:t>
      </w:r>
      <w:r w:rsidR="00AF4647">
        <w:rPr>
          <w:noProof/>
          <w:color w:val="000000"/>
          <w:szCs w:val="22"/>
          <w:highlight w:val="black"/>
        </w:rPr>
        <w:t>''''''''''''''''''''''''</w:t>
      </w:r>
      <w:r w:rsidRPr="00673F7C">
        <w:rPr>
          <w:szCs w:val="22"/>
        </w:rPr>
        <w:t xml:space="preserve">) was applied in the base case of the estimates.  </w:t>
      </w:r>
      <w:r w:rsidRPr="00175B8B">
        <w:rPr>
          <w:szCs w:val="22"/>
        </w:rPr>
        <w:t xml:space="preserve">While this incidence rate appeared to be comparable to epidemiological studies with larger datasets (n&gt;2000: </w:t>
      </w:r>
      <w:proofErr w:type="spellStart"/>
      <w:r w:rsidRPr="00175B8B">
        <w:rPr>
          <w:szCs w:val="22"/>
        </w:rPr>
        <w:t>Navaratnam</w:t>
      </w:r>
      <w:proofErr w:type="spellEnd"/>
      <w:r w:rsidRPr="00175B8B">
        <w:rPr>
          <w:szCs w:val="22"/>
        </w:rPr>
        <w:t xml:space="preserve"> 2011, </w:t>
      </w:r>
      <w:proofErr w:type="spellStart"/>
      <w:r w:rsidRPr="00175B8B">
        <w:rPr>
          <w:szCs w:val="22"/>
        </w:rPr>
        <w:t>Kornum</w:t>
      </w:r>
      <w:proofErr w:type="spellEnd"/>
      <w:r w:rsidRPr="00175B8B">
        <w:rPr>
          <w:szCs w:val="22"/>
        </w:rPr>
        <w:t xml:space="preserve"> 2008), a recent study by Raghu 2014 using a narrow and broad case definition of IPF reported a 2011 incidence rate of 31.1 and 43.0/100,000 in patients aged ≥65 years, respectively.  In comparison to the </w:t>
      </w:r>
      <w:r w:rsidR="00AF4647">
        <w:rPr>
          <w:noProof/>
          <w:color w:val="000000"/>
          <w:szCs w:val="22"/>
          <w:highlight w:val="black"/>
        </w:rPr>
        <w:t>'''''''''''''</w:t>
      </w:r>
      <w:r w:rsidRPr="00175B8B">
        <w:rPr>
          <w:szCs w:val="22"/>
        </w:rPr>
        <w:t xml:space="preserve"> incident IPF patients estimated by the financial model in Year 1, utilisation of the narrow and broad case incidence rate resulted in </w:t>
      </w:r>
      <w:r w:rsidR="00AF4647">
        <w:rPr>
          <w:noProof/>
          <w:color w:val="000000"/>
          <w:szCs w:val="22"/>
          <w:highlight w:val="black"/>
        </w:rPr>
        <w:t>''''''''''''''</w:t>
      </w:r>
      <w:r w:rsidRPr="00175B8B">
        <w:rPr>
          <w:szCs w:val="22"/>
        </w:rPr>
        <w:t xml:space="preserve"> and </w:t>
      </w:r>
      <w:r w:rsidR="00AF4647">
        <w:rPr>
          <w:noProof/>
          <w:color w:val="000000"/>
          <w:szCs w:val="22"/>
          <w:highlight w:val="black"/>
        </w:rPr>
        <w:t>''''''''''''''</w:t>
      </w:r>
      <w:r w:rsidRPr="00175B8B">
        <w:rPr>
          <w:szCs w:val="22"/>
        </w:rPr>
        <w:t xml:space="preserve"> patients, respectively.  Given that the estimates from Raghu 2014 are only applicable to patients aged 65 years or older, there is the potential that the incident population may be greater than tha</w:t>
      </w:r>
      <w:r w:rsidR="00D473C8">
        <w:rPr>
          <w:szCs w:val="22"/>
        </w:rPr>
        <w:t>t predicted by the submission.</w:t>
      </w:r>
    </w:p>
    <w:p w:rsidR="00301E4C" w:rsidRPr="00D473C8" w:rsidRDefault="00301E4C" w:rsidP="00301E4C">
      <w:pPr>
        <w:widowControl/>
        <w:rPr>
          <w:szCs w:val="22"/>
        </w:rPr>
      </w:pPr>
    </w:p>
    <w:p w:rsidR="00301E4C" w:rsidRPr="00175B8B" w:rsidRDefault="00301E4C" w:rsidP="00B9372F">
      <w:pPr>
        <w:pStyle w:val="ListParagraph"/>
        <w:widowControl/>
        <w:numPr>
          <w:ilvl w:val="1"/>
          <w:numId w:val="2"/>
        </w:numPr>
        <w:rPr>
          <w:szCs w:val="22"/>
        </w:rPr>
      </w:pPr>
      <w:r w:rsidRPr="00175B8B">
        <w:rPr>
          <w:szCs w:val="22"/>
        </w:rPr>
        <w:t>Of further consequence to the reliability of the estimates was the calculation of the prevalent population at year 1, which only included incident patients from the preceding year of PBS listing.  As reported in Strand 2014, the median survival for the IPF population was estimated at 4.4 years and 10 year survival was approximately 15%.  Given that the expected duration of survival is well beyond 1 year, it would have been more appropriate if the submission applied a broader approach to calculation of the p</w:t>
      </w:r>
      <w:r w:rsidR="00D473C8">
        <w:rPr>
          <w:szCs w:val="22"/>
        </w:rPr>
        <w:t>revalent population at year 1.</w:t>
      </w:r>
    </w:p>
    <w:p w:rsidR="00301E4C" w:rsidRPr="00D473C8" w:rsidRDefault="00301E4C" w:rsidP="00301E4C">
      <w:pPr>
        <w:widowControl/>
        <w:rPr>
          <w:szCs w:val="22"/>
        </w:rPr>
      </w:pPr>
    </w:p>
    <w:p w:rsidR="00301E4C" w:rsidRPr="00175B8B" w:rsidRDefault="00301E4C" w:rsidP="00B9372F">
      <w:pPr>
        <w:pStyle w:val="ListParagraph"/>
        <w:widowControl/>
        <w:numPr>
          <w:ilvl w:val="1"/>
          <w:numId w:val="2"/>
        </w:numPr>
        <w:rPr>
          <w:szCs w:val="22"/>
        </w:rPr>
      </w:pPr>
      <w:r w:rsidRPr="00175B8B">
        <w:rPr>
          <w:szCs w:val="22"/>
        </w:rPr>
        <w:t xml:space="preserve">Estimates of net savings due to hospitalisations were considered to be unreliable due to the uncertainty associated with the representativeness of trial based hospitalisations and their applicability to the AR-DRG items (E74A-C).  Weighted average length of stay for the AR-DRG items (public/private: 5.7 days) was less that the trial based estimates in the </w:t>
      </w:r>
      <w:proofErr w:type="spellStart"/>
      <w:r w:rsidRPr="00175B8B">
        <w:rPr>
          <w:szCs w:val="22"/>
        </w:rPr>
        <w:t>pirfenidone</w:t>
      </w:r>
      <w:proofErr w:type="spellEnd"/>
      <w:r w:rsidRPr="00175B8B">
        <w:rPr>
          <w:szCs w:val="22"/>
        </w:rPr>
        <w:t xml:space="preserve"> (</w:t>
      </w:r>
      <w:r w:rsidR="00AF4647">
        <w:rPr>
          <w:noProof/>
          <w:color w:val="000000"/>
          <w:szCs w:val="22"/>
          <w:highlight w:val="black"/>
        </w:rPr>
        <w:t>'''''''''''</w:t>
      </w:r>
      <w:r w:rsidRPr="00175B8B">
        <w:rPr>
          <w:szCs w:val="22"/>
        </w:rPr>
        <w:t xml:space="preserve"> days) and BSC (</w:t>
      </w:r>
      <w:r w:rsidR="00AF4647">
        <w:rPr>
          <w:noProof/>
          <w:color w:val="000000"/>
          <w:szCs w:val="22"/>
          <w:highlight w:val="black"/>
        </w:rPr>
        <w:t>''''''''''''</w:t>
      </w:r>
      <w:r w:rsidRPr="00175B8B">
        <w:rPr>
          <w:szCs w:val="22"/>
        </w:rPr>
        <w:t xml:space="preserve"> days) arms.  </w:t>
      </w:r>
      <w:r w:rsidRPr="00175B8B">
        <w:rPr>
          <w:szCs w:val="22"/>
        </w:rPr>
        <w:lastRenderedPageBreak/>
        <w:t xml:space="preserve">In addition, trends in the costs per day for the AR-DRG items suggested that the incremental difference between </w:t>
      </w:r>
      <w:proofErr w:type="spellStart"/>
      <w:r w:rsidRPr="00175B8B">
        <w:rPr>
          <w:szCs w:val="22"/>
        </w:rPr>
        <w:t>pirfenidone</w:t>
      </w:r>
      <w:proofErr w:type="spellEnd"/>
      <w:r w:rsidRPr="00175B8B">
        <w:rPr>
          <w:szCs w:val="22"/>
        </w:rPr>
        <w:t xml:space="preserve"> </w:t>
      </w:r>
      <w:r w:rsidR="00E96DC1">
        <w:rPr>
          <w:szCs w:val="22"/>
        </w:rPr>
        <w:t>and BSC hospitalisation costs (</w:t>
      </w:r>
      <w:r w:rsidR="00E96DC1">
        <w:rPr>
          <w:szCs w:val="22"/>
        </w:rPr>
        <w:noBreakHyphen/>
      </w:r>
      <w:r w:rsidRPr="00175B8B">
        <w:rPr>
          <w:szCs w:val="22"/>
        </w:rPr>
        <w:t>$</w:t>
      </w:r>
      <w:r w:rsidR="00AF4647">
        <w:rPr>
          <w:noProof/>
          <w:color w:val="000000"/>
          <w:szCs w:val="22"/>
          <w:highlight w:val="black"/>
        </w:rPr>
        <w:t>'''''''''''''''''''</w:t>
      </w:r>
      <w:r w:rsidRPr="00175B8B">
        <w:rPr>
          <w:szCs w:val="22"/>
        </w:rPr>
        <w:t>) was overestimated by the submissio</w:t>
      </w:r>
      <w:r w:rsidR="00D473C8">
        <w:rPr>
          <w:szCs w:val="22"/>
        </w:rPr>
        <w:t>n.</w:t>
      </w:r>
    </w:p>
    <w:p w:rsidR="00301E4C" w:rsidRPr="00D473C8" w:rsidRDefault="00301E4C" w:rsidP="00301E4C">
      <w:pPr>
        <w:widowControl/>
        <w:rPr>
          <w:szCs w:val="22"/>
        </w:rPr>
      </w:pPr>
    </w:p>
    <w:p w:rsidR="00301E4C" w:rsidRPr="005E48F4" w:rsidRDefault="00301E4C" w:rsidP="00B9372F">
      <w:pPr>
        <w:pStyle w:val="ListParagraph"/>
        <w:widowControl/>
        <w:numPr>
          <w:ilvl w:val="1"/>
          <w:numId w:val="2"/>
        </w:numPr>
        <w:rPr>
          <w:szCs w:val="22"/>
        </w:rPr>
      </w:pPr>
      <w:r w:rsidRPr="00175B8B">
        <w:rPr>
          <w:szCs w:val="22"/>
        </w:rPr>
        <w:t xml:space="preserve">Overall, key concerns regarding the derivation of the </w:t>
      </w:r>
      <w:proofErr w:type="spellStart"/>
      <w:r w:rsidRPr="00175B8B">
        <w:rPr>
          <w:szCs w:val="22"/>
        </w:rPr>
        <w:t>pirfenidone</w:t>
      </w:r>
      <w:proofErr w:type="spellEnd"/>
      <w:r w:rsidRPr="00175B8B">
        <w:rPr>
          <w:szCs w:val="22"/>
        </w:rPr>
        <w:t xml:space="preserve"> treated population (potentially higher IPF incidence rate; limiting calculation of prevalent population to IPF patients in the year prior to listing) and </w:t>
      </w:r>
      <w:r w:rsidR="004D2076" w:rsidRPr="00175B8B">
        <w:rPr>
          <w:szCs w:val="22"/>
        </w:rPr>
        <w:t>hospitalisations</w:t>
      </w:r>
      <w:r w:rsidRPr="00175B8B">
        <w:rPr>
          <w:szCs w:val="22"/>
        </w:rPr>
        <w:t xml:space="preserve"> are likely to resu</w:t>
      </w:r>
      <w:r w:rsidR="007F338F" w:rsidRPr="00175B8B">
        <w:rPr>
          <w:szCs w:val="22"/>
        </w:rPr>
        <w:t xml:space="preserve">lt in </w:t>
      </w:r>
      <w:r w:rsidRPr="00175B8B">
        <w:rPr>
          <w:szCs w:val="22"/>
        </w:rPr>
        <w:t xml:space="preserve">underestimated net costs to the government.  The evaluation also noted additional factors (application of ABS population projections; potential duplication of deaths in the </w:t>
      </w:r>
      <w:proofErr w:type="spellStart"/>
      <w:r w:rsidRPr="00175B8B">
        <w:rPr>
          <w:szCs w:val="22"/>
        </w:rPr>
        <w:t>pirfenidone</w:t>
      </w:r>
      <w:proofErr w:type="spellEnd"/>
      <w:r w:rsidRPr="00175B8B">
        <w:rPr>
          <w:szCs w:val="22"/>
        </w:rPr>
        <w:t xml:space="preserve"> treatment continuation rates) that were likely to further contribute to this underestimate.</w:t>
      </w:r>
    </w:p>
    <w:p w:rsidR="005E48F4" w:rsidRPr="00D473C8" w:rsidRDefault="005E48F4" w:rsidP="005E48F4">
      <w:pPr>
        <w:rPr>
          <w:szCs w:val="22"/>
        </w:rPr>
      </w:pPr>
    </w:p>
    <w:p w:rsidR="00301E4C" w:rsidRPr="002C2775" w:rsidRDefault="00301E4C" w:rsidP="0045035F">
      <w:pPr>
        <w:pStyle w:val="Heading2"/>
        <w:rPr>
          <w:szCs w:val="22"/>
        </w:rPr>
      </w:pPr>
      <w:bookmarkStart w:id="49" w:name="_Toc429176349"/>
      <w:bookmarkStart w:id="50" w:name="_Toc429395761"/>
      <w:bookmarkStart w:id="51" w:name="_Toc430075670"/>
      <w:r w:rsidRPr="002C2775">
        <w:t>Financial Management – Risk Sharing Arrangements</w:t>
      </w:r>
      <w:bookmarkEnd w:id="49"/>
      <w:bookmarkEnd w:id="50"/>
      <w:bookmarkEnd w:id="51"/>
    </w:p>
    <w:p w:rsidR="00301E4C" w:rsidRPr="00576972" w:rsidRDefault="00301E4C" w:rsidP="0045035F">
      <w:pPr>
        <w:pStyle w:val="BodyText"/>
      </w:pPr>
    </w:p>
    <w:p w:rsidR="00301E4C" w:rsidRPr="00AA7DDE" w:rsidRDefault="00301E4C" w:rsidP="00B9372F">
      <w:pPr>
        <w:pStyle w:val="ListParagraph"/>
        <w:widowControl/>
        <w:numPr>
          <w:ilvl w:val="1"/>
          <w:numId w:val="2"/>
        </w:numPr>
        <w:rPr>
          <w:szCs w:val="22"/>
        </w:rPr>
      </w:pPr>
      <w:r w:rsidRPr="00AA7DDE">
        <w:t xml:space="preserve">The </w:t>
      </w:r>
      <w:r>
        <w:t xml:space="preserve">sponsor proposed a </w:t>
      </w:r>
      <w:r w:rsidR="00942648">
        <w:t>Special Pricing Arrangement (SPA)</w:t>
      </w:r>
      <w:r>
        <w:t xml:space="preserve"> in the form of a </w:t>
      </w:r>
      <w:r w:rsidR="00AF4647">
        <w:rPr>
          <w:noProof/>
          <w:color w:val="000000"/>
          <w:highlight w:val="black"/>
        </w:rPr>
        <w:t>''''</w:t>
      </w:r>
      <w:r>
        <w:t xml:space="preserve">% rebate on the ex-manufacturer price for </w:t>
      </w:r>
      <w:proofErr w:type="spellStart"/>
      <w:r>
        <w:t>pirfenidone</w:t>
      </w:r>
      <w:proofErr w:type="spellEnd"/>
      <w:r>
        <w:t xml:space="preserve">.  The effective </w:t>
      </w:r>
      <w:r w:rsidRPr="00114C8A">
        <w:t>prices stated in Section 2</w:t>
      </w:r>
      <w:r>
        <w:t xml:space="preserve"> (requested</w:t>
      </w:r>
      <w:r w:rsidR="00E813E0">
        <w:t xml:space="preserve"> listing) incorporate the RSA.</w:t>
      </w:r>
    </w:p>
    <w:p w:rsidR="00301E4C" w:rsidRDefault="00301E4C" w:rsidP="00301E4C">
      <w:pPr>
        <w:widowControl/>
        <w:rPr>
          <w:szCs w:val="22"/>
        </w:rPr>
      </w:pPr>
    </w:p>
    <w:bookmarkEnd w:id="3"/>
    <w:bookmarkEnd w:id="4"/>
    <w:bookmarkEnd w:id="5"/>
    <w:bookmarkEnd w:id="6"/>
    <w:bookmarkEnd w:id="7"/>
    <w:p w:rsidR="00EE6E2C" w:rsidRDefault="00EE6E2C" w:rsidP="00EC35C9">
      <w:pPr>
        <w:ind w:left="709"/>
        <w:rPr>
          <w:i/>
        </w:rPr>
      </w:pPr>
      <w:r w:rsidRPr="00A35AFB">
        <w:rPr>
          <w:i/>
        </w:rPr>
        <w:t xml:space="preserve">For </w:t>
      </w:r>
      <w:r w:rsidR="00D473C8">
        <w:rPr>
          <w:i/>
        </w:rPr>
        <w:t>m</w:t>
      </w:r>
      <w:r w:rsidRPr="00A35AFB">
        <w:rPr>
          <w:i/>
        </w:rPr>
        <w:t>ore detail on PBAC’s view, see section 7 “PBAC outcome”</w:t>
      </w:r>
      <w:r w:rsidR="00D473C8">
        <w:rPr>
          <w:i/>
        </w:rPr>
        <w:t>.</w:t>
      </w:r>
    </w:p>
    <w:p w:rsidR="00EE6E2C" w:rsidRDefault="00EE6E2C" w:rsidP="00195589">
      <w:pPr>
        <w:widowControl/>
        <w:spacing w:line="480" w:lineRule="auto"/>
        <w:rPr>
          <w:szCs w:val="22"/>
        </w:rPr>
      </w:pPr>
    </w:p>
    <w:p w:rsidR="00A35AFB" w:rsidRPr="006D54A5" w:rsidRDefault="00A35AFB" w:rsidP="0045035F">
      <w:pPr>
        <w:pStyle w:val="Heading1"/>
      </w:pPr>
      <w:r w:rsidRPr="006D54A5">
        <w:t>PBAC Outcome</w:t>
      </w:r>
    </w:p>
    <w:p w:rsidR="00A35AFB" w:rsidRDefault="00A35AFB" w:rsidP="00A35AFB">
      <w:pPr>
        <w:rPr>
          <w:bCs/>
          <w:szCs w:val="22"/>
        </w:rPr>
      </w:pPr>
    </w:p>
    <w:p w:rsidR="00A35AFB" w:rsidRPr="005567F5" w:rsidRDefault="00A35AFB" w:rsidP="00B9372F">
      <w:pPr>
        <w:pStyle w:val="ListParagraph"/>
        <w:widowControl/>
        <w:numPr>
          <w:ilvl w:val="1"/>
          <w:numId w:val="2"/>
        </w:numPr>
        <w:rPr>
          <w:bCs/>
          <w:szCs w:val="22"/>
        </w:rPr>
      </w:pPr>
      <w:r w:rsidRPr="00586105">
        <w:rPr>
          <w:szCs w:val="22"/>
        </w:rPr>
        <w:t>The</w:t>
      </w:r>
      <w:r w:rsidRPr="006D54A5">
        <w:rPr>
          <w:bCs/>
          <w:szCs w:val="22"/>
        </w:rPr>
        <w:t xml:space="preserve"> </w:t>
      </w:r>
      <w:r w:rsidRPr="00A35AFB">
        <w:t>PBAC</w:t>
      </w:r>
      <w:r>
        <w:t xml:space="preserve"> decided not to recommend </w:t>
      </w:r>
      <w:proofErr w:type="spellStart"/>
      <w:r>
        <w:t>pirfenidone</w:t>
      </w:r>
      <w:proofErr w:type="spellEnd"/>
      <w:r>
        <w:t xml:space="preserve"> for PBS listing for </w:t>
      </w:r>
      <w:r w:rsidRPr="00A35AFB">
        <w:t xml:space="preserve">idiopathic </w:t>
      </w:r>
      <w:r w:rsidRPr="005567F5">
        <w:t>pulmonary fibrosis (IPF) on the basis of unacceptabl</w:t>
      </w:r>
      <w:r w:rsidR="0023323B" w:rsidRPr="005567F5">
        <w:t>y</w:t>
      </w:r>
      <w:r w:rsidRPr="005567F5">
        <w:t xml:space="preserve"> high an</w:t>
      </w:r>
      <w:r w:rsidR="00E813E0" w:rsidRPr="005567F5">
        <w:t>d uncertain cost-effectiveness.</w:t>
      </w:r>
    </w:p>
    <w:p w:rsidR="008E7E37" w:rsidRPr="005567F5" w:rsidRDefault="008E7E37" w:rsidP="008E7E37">
      <w:pPr>
        <w:widowControl/>
        <w:rPr>
          <w:bCs/>
          <w:szCs w:val="22"/>
        </w:rPr>
      </w:pPr>
    </w:p>
    <w:p w:rsidR="008E7E37" w:rsidRPr="005567F5" w:rsidRDefault="008E7E37" w:rsidP="00B9372F">
      <w:pPr>
        <w:widowControl/>
        <w:numPr>
          <w:ilvl w:val="1"/>
          <w:numId w:val="2"/>
        </w:numPr>
        <w:contextualSpacing/>
        <w:rPr>
          <w:szCs w:val="22"/>
        </w:rPr>
      </w:pPr>
      <w:r w:rsidRPr="005567F5">
        <w:rPr>
          <w:szCs w:val="22"/>
        </w:rPr>
        <w:t>The PBAC recognised the high clinical need for an effective treatment for IPF and the</w:t>
      </w:r>
      <w:r w:rsidRPr="005567F5">
        <w:t xml:space="preserve"> significant debilitating effects of the disease on quality of life, as noted in the consumer comment</w:t>
      </w:r>
      <w:r w:rsidR="005D70FF" w:rsidRPr="005567F5">
        <w:t>s</w:t>
      </w:r>
      <w:r w:rsidRPr="005567F5">
        <w:t xml:space="preserve"> received for this item</w:t>
      </w:r>
      <w:r w:rsidRPr="005567F5">
        <w:rPr>
          <w:szCs w:val="22"/>
        </w:rPr>
        <w:t>.</w:t>
      </w:r>
    </w:p>
    <w:p w:rsidR="00CA3C80" w:rsidRPr="005567F5" w:rsidRDefault="00CA3C80" w:rsidP="00CA3C80">
      <w:pPr>
        <w:rPr>
          <w:szCs w:val="22"/>
        </w:rPr>
      </w:pPr>
    </w:p>
    <w:p w:rsidR="0036661A" w:rsidRPr="005567F5" w:rsidRDefault="0036661A" w:rsidP="0036661A">
      <w:pPr>
        <w:pStyle w:val="ListParagraph"/>
        <w:numPr>
          <w:ilvl w:val="1"/>
          <w:numId w:val="2"/>
        </w:numPr>
        <w:rPr>
          <w:szCs w:val="22"/>
        </w:rPr>
      </w:pPr>
      <w:r w:rsidRPr="005567F5">
        <w:rPr>
          <w:szCs w:val="22"/>
        </w:rPr>
        <w:t xml:space="preserve">The PBAC noted the Pre-PBAC response (p2) that the availability of </w:t>
      </w:r>
      <w:proofErr w:type="spellStart"/>
      <w:r w:rsidRPr="005567F5">
        <w:rPr>
          <w:szCs w:val="22"/>
        </w:rPr>
        <w:t>pirfenidone</w:t>
      </w:r>
      <w:proofErr w:type="spellEnd"/>
      <w:r w:rsidRPr="005567F5">
        <w:rPr>
          <w:szCs w:val="22"/>
        </w:rPr>
        <w:t xml:space="preserve"> would not increase the frequency of biopsies, contrary to ESC’s concern, and that clinician advice is that the 2011 guidelines have led to fewer patients being referred for lung biopsy in Australian clinical practice.</w:t>
      </w:r>
    </w:p>
    <w:p w:rsidR="008E7E37" w:rsidRPr="005567F5" w:rsidRDefault="008E7E37" w:rsidP="008E7E37">
      <w:pPr>
        <w:rPr>
          <w:szCs w:val="22"/>
        </w:rPr>
      </w:pPr>
    </w:p>
    <w:p w:rsidR="0023323B" w:rsidRPr="005567F5" w:rsidRDefault="0023323B" w:rsidP="00B9372F">
      <w:pPr>
        <w:pStyle w:val="ListParagraph"/>
        <w:numPr>
          <w:ilvl w:val="1"/>
          <w:numId w:val="2"/>
        </w:numPr>
        <w:rPr>
          <w:szCs w:val="22"/>
        </w:rPr>
      </w:pPr>
      <w:r w:rsidRPr="005567F5">
        <w:rPr>
          <w:szCs w:val="22"/>
        </w:rPr>
        <w:t xml:space="preserve">The PBAC noted the letter received from the Australian IPF Registry Steering Committee (1 July 2015) which endorsed the requirement for a written authority prescription for anti-fibrotic therapy, including the need for diagnosis to have been made at a multidisciplinary team meeting. </w:t>
      </w:r>
      <w:r w:rsidR="00455F2C" w:rsidRPr="005567F5">
        <w:rPr>
          <w:szCs w:val="22"/>
        </w:rPr>
        <w:t xml:space="preserve"> </w:t>
      </w:r>
      <w:r w:rsidRPr="005567F5">
        <w:rPr>
          <w:szCs w:val="22"/>
        </w:rPr>
        <w:t>Such meetings were described by the Steering Committee as likely be held in association with respiratory departments in large public hospitals.</w:t>
      </w:r>
      <w:r w:rsidR="00455F2C" w:rsidRPr="005567F5">
        <w:rPr>
          <w:szCs w:val="22"/>
        </w:rPr>
        <w:t xml:space="preserve"> </w:t>
      </w:r>
      <w:r w:rsidRPr="005567F5">
        <w:rPr>
          <w:szCs w:val="22"/>
        </w:rPr>
        <w:t xml:space="preserve"> The PBAC agreed that a one-off requirement for diagnosis by the multidisciplinary team for initiating therapy </w:t>
      </w:r>
      <w:r w:rsidR="00E813E0" w:rsidRPr="005567F5">
        <w:rPr>
          <w:szCs w:val="22"/>
        </w:rPr>
        <w:t>would be appropriate.</w:t>
      </w:r>
    </w:p>
    <w:p w:rsidR="008E7E37" w:rsidRPr="005567F5" w:rsidRDefault="008E7E37" w:rsidP="00E813E0">
      <w:pPr>
        <w:widowControl/>
        <w:contextualSpacing/>
        <w:rPr>
          <w:szCs w:val="22"/>
        </w:rPr>
      </w:pPr>
    </w:p>
    <w:p w:rsidR="008E7E37" w:rsidRPr="005567F5" w:rsidRDefault="00626837" w:rsidP="00B9372F">
      <w:pPr>
        <w:pStyle w:val="ListParagraph"/>
        <w:widowControl/>
        <w:numPr>
          <w:ilvl w:val="1"/>
          <w:numId w:val="2"/>
        </w:numPr>
        <w:rPr>
          <w:bCs/>
          <w:szCs w:val="22"/>
        </w:rPr>
      </w:pPr>
      <w:r w:rsidRPr="005567F5">
        <w:rPr>
          <w:szCs w:val="22"/>
        </w:rPr>
        <w:t xml:space="preserve">The Pre-PBAC response (p2) did not support the use of a </w:t>
      </w:r>
      <w:r w:rsidR="00455F2C" w:rsidRPr="005567F5">
        <w:rPr>
          <w:szCs w:val="22"/>
        </w:rPr>
        <w:t>continuation</w:t>
      </w:r>
      <w:r w:rsidRPr="005567F5">
        <w:rPr>
          <w:szCs w:val="22"/>
        </w:rPr>
        <w:t xml:space="preserve"> rule, and noted </w:t>
      </w:r>
      <w:r w:rsidRPr="005567F5">
        <w:rPr>
          <w:bCs/>
          <w:szCs w:val="22"/>
        </w:rPr>
        <w:t xml:space="preserve">that following a FVC decline ≥10% with </w:t>
      </w:r>
      <w:proofErr w:type="spellStart"/>
      <w:r w:rsidRPr="005567F5">
        <w:rPr>
          <w:bCs/>
          <w:szCs w:val="22"/>
        </w:rPr>
        <w:t>pirfenidone</w:t>
      </w:r>
      <w:proofErr w:type="spellEnd"/>
      <w:r w:rsidRPr="005567F5">
        <w:rPr>
          <w:bCs/>
          <w:szCs w:val="22"/>
        </w:rPr>
        <w:t xml:space="preserve">, continued </w:t>
      </w:r>
      <w:proofErr w:type="spellStart"/>
      <w:r w:rsidRPr="005567F5">
        <w:rPr>
          <w:bCs/>
          <w:szCs w:val="22"/>
        </w:rPr>
        <w:t>pirfenidone</w:t>
      </w:r>
      <w:proofErr w:type="spellEnd"/>
      <w:r w:rsidRPr="005567F5">
        <w:rPr>
          <w:bCs/>
          <w:szCs w:val="22"/>
        </w:rPr>
        <w:t xml:space="preserve"> treatment significantly reduced the risk of death and increased disease stabilisation compared to placebo patients who continued treatment with placebo following a FVC decline ≥10%</w:t>
      </w:r>
      <w:r w:rsidRPr="005567F5">
        <w:rPr>
          <w:rStyle w:val="FootnoteReference"/>
          <w:bCs/>
          <w:szCs w:val="22"/>
        </w:rPr>
        <w:footnoteReference w:id="4"/>
      </w:r>
      <w:r w:rsidRPr="005567F5">
        <w:rPr>
          <w:bCs/>
          <w:szCs w:val="22"/>
        </w:rPr>
        <w:t>.</w:t>
      </w:r>
      <w:r w:rsidRPr="005567F5">
        <w:t xml:space="preserve"> </w:t>
      </w:r>
      <w:r w:rsidR="00455F2C" w:rsidRPr="005567F5">
        <w:t xml:space="preserve"> </w:t>
      </w:r>
      <w:r w:rsidR="001679D2" w:rsidRPr="005567F5">
        <w:t>The</w:t>
      </w:r>
      <w:r w:rsidR="0009547B" w:rsidRPr="005567F5">
        <w:t xml:space="preserve"> PBAC noted the stopping rule proposed by </w:t>
      </w:r>
      <w:r w:rsidR="0009547B" w:rsidRPr="005567F5">
        <w:rPr>
          <w:szCs w:val="22"/>
        </w:rPr>
        <w:t xml:space="preserve">the National Institute </w:t>
      </w:r>
      <w:r w:rsidR="0009547B" w:rsidRPr="005567F5">
        <w:rPr>
          <w:szCs w:val="22"/>
        </w:rPr>
        <w:lastRenderedPageBreak/>
        <w:t>for Health and Care Excellence</w:t>
      </w:r>
      <w:r w:rsidR="001679D2" w:rsidRPr="005567F5">
        <w:rPr>
          <w:szCs w:val="22"/>
        </w:rPr>
        <w:t xml:space="preserve"> (NICE)</w:t>
      </w:r>
      <w:r w:rsidR="0009547B" w:rsidRPr="005567F5">
        <w:rPr>
          <w:szCs w:val="22"/>
        </w:rPr>
        <w:t xml:space="preserve"> </w:t>
      </w:r>
      <w:r w:rsidR="001679D2" w:rsidRPr="005567F5">
        <w:rPr>
          <w:szCs w:val="22"/>
        </w:rPr>
        <w:t>G</w:t>
      </w:r>
      <w:r w:rsidR="0009547B" w:rsidRPr="005567F5">
        <w:rPr>
          <w:szCs w:val="22"/>
        </w:rPr>
        <w:t xml:space="preserve">uidance for </w:t>
      </w:r>
      <w:proofErr w:type="spellStart"/>
      <w:r w:rsidR="0009547B" w:rsidRPr="005567F5">
        <w:rPr>
          <w:szCs w:val="22"/>
        </w:rPr>
        <w:t>pirfenidone</w:t>
      </w:r>
      <w:proofErr w:type="spellEnd"/>
      <w:r w:rsidR="0009547B" w:rsidRPr="005567F5">
        <w:rPr>
          <w:szCs w:val="22"/>
        </w:rPr>
        <w:t xml:space="preserve"> that treatment should be discontinued if there is evidence of disease progression (a decline in per cent predicted FVC of 10% or more within any 12 month period).</w:t>
      </w:r>
      <w:r w:rsidR="00455F2C" w:rsidRPr="005567F5">
        <w:rPr>
          <w:szCs w:val="22"/>
        </w:rPr>
        <w:t xml:space="preserve"> </w:t>
      </w:r>
      <w:r w:rsidR="0009547B" w:rsidRPr="005567F5">
        <w:rPr>
          <w:szCs w:val="22"/>
        </w:rPr>
        <w:t xml:space="preserve"> </w:t>
      </w:r>
      <w:r w:rsidR="008E7E37" w:rsidRPr="005567F5">
        <w:rPr>
          <w:szCs w:val="22"/>
        </w:rPr>
        <w:t xml:space="preserve">PBAC considered a future resubmission </w:t>
      </w:r>
      <w:r w:rsidR="00080330" w:rsidRPr="005567F5">
        <w:rPr>
          <w:szCs w:val="22"/>
        </w:rPr>
        <w:t>sh</w:t>
      </w:r>
      <w:r w:rsidR="008E7E37" w:rsidRPr="005567F5">
        <w:rPr>
          <w:szCs w:val="22"/>
        </w:rPr>
        <w:t xml:space="preserve">ould explore the likelihood of </w:t>
      </w:r>
      <w:r w:rsidR="0009547B" w:rsidRPr="005567F5">
        <w:rPr>
          <w:szCs w:val="22"/>
        </w:rPr>
        <w:t xml:space="preserve">such </w:t>
      </w:r>
      <w:r w:rsidR="008E7E37" w:rsidRPr="005567F5">
        <w:rPr>
          <w:szCs w:val="22"/>
        </w:rPr>
        <w:t xml:space="preserve">a rule proving effective by exploring the numbers of patients who may discontinue treatment based on </w:t>
      </w:r>
      <w:r w:rsidR="00526355" w:rsidRPr="005567F5">
        <w:rPr>
          <w:szCs w:val="22"/>
        </w:rPr>
        <w:t xml:space="preserve">the </w:t>
      </w:r>
      <w:r w:rsidR="008E7E37" w:rsidRPr="005567F5">
        <w:rPr>
          <w:szCs w:val="22"/>
        </w:rPr>
        <w:t xml:space="preserve">clinical </w:t>
      </w:r>
      <w:r w:rsidR="00526355" w:rsidRPr="005567F5">
        <w:rPr>
          <w:szCs w:val="22"/>
        </w:rPr>
        <w:t xml:space="preserve">trial </w:t>
      </w:r>
      <w:r w:rsidR="008E7E37" w:rsidRPr="005567F5">
        <w:rPr>
          <w:szCs w:val="22"/>
        </w:rPr>
        <w:t>evidence and the proposed model.</w:t>
      </w:r>
    </w:p>
    <w:p w:rsidR="008E7E37" w:rsidRPr="005567F5" w:rsidRDefault="008E7E37" w:rsidP="008E7E37">
      <w:pPr>
        <w:rPr>
          <w:szCs w:val="22"/>
        </w:rPr>
      </w:pPr>
    </w:p>
    <w:p w:rsidR="008E7E37" w:rsidRPr="005567F5" w:rsidRDefault="008E7E37" w:rsidP="00B9372F">
      <w:pPr>
        <w:widowControl/>
        <w:numPr>
          <w:ilvl w:val="1"/>
          <w:numId w:val="2"/>
        </w:numPr>
        <w:contextualSpacing/>
        <w:rPr>
          <w:szCs w:val="22"/>
        </w:rPr>
      </w:pPr>
      <w:r w:rsidRPr="005567F5">
        <w:rPr>
          <w:szCs w:val="22"/>
        </w:rPr>
        <w:t xml:space="preserve">The PBAC </w:t>
      </w:r>
      <w:r w:rsidR="0023323B" w:rsidRPr="005567F5">
        <w:rPr>
          <w:szCs w:val="22"/>
        </w:rPr>
        <w:t>confir</w:t>
      </w:r>
      <w:r w:rsidRPr="005567F5">
        <w:rPr>
          <w:szCs w:val="22"/>
        </w:rPr>
        <w:t xml:space="preserve">med that best supportive care was the appropriate </w:t>
      </w:r>
      <w:r w:rsidR="00526355" w:rsidRPr="005567F5">
        <w:rPr>
          <w:szCs w:val="22"/>
        </w:rPr>
        <w:t xml:space="preserve">main </w:t>
      </w:r>
      <w:r w:rsidRPr="005567F5">
        <w:rPr>
          <w:szCs w:val="22"/>
        </w:rPr>
        <w:t xml:space="preserve">comparator for </w:t>
      </w:r>
      <w:proofErr w:type="spellStart"/>
      <w:r w:rsidR="0023323B" w:rsidRPr="005567F5">
        <w:rPr>
          <w:szCs w:val="22"/>
        </w:rPr>
        <w:t>pirfenidone</w:t>
      </w:r>
      <w:proofErr w:type="spellEnd"/>
      <w:r w:rsidRPr="005567F5">
        <w:rPr>
          <w:szCs w:val="22"/>
        </w:rPr>
        <w:t xml:space="preserve"> for IPF. </w:t>
      </w:r>
      <w:r w:rsidR="00526355" w:rsidRPr="005567F5">
        <w:rPr>
          <w:szCs w:val="22"/>
        </w:rPr>
        <w:t xml:space="preserve"> </w:t>
      </w:r>
      <w:r w:rsidRPr="005567F5">
        <w:rPr>
          <w:szCs w:val="22"/>
        </w:rPr>
        <w:t xml:space="preserve">Another novel agent for the treatment of IPF, </w:t>
      </w:r>
      <w:r w:rsidR="0023323B" w:rsidRPr="005567F5">
        <w:rPr>
          <w:szCs w:val="22"/>
        </w:rPr>
        <w:t>nintedanib</w:t>
      </w:r>
      <w:r w:rsidRPr="005567F5">
        <w:rPr>
          <w:szCs w:val="22"/>
        </w:rPr>
        <w:t xml:space="preserve">, was considered at the same November 2015 PBAC meeting and although not currently </w:t>
      </w:r>
      <w:r w:rsidR="0023323B" w:rsidRPr="005567F5">
        <w:rPr>
          <w:szCs w:val="22"/>
        </w:rPr>
        <w:t>PBS listed</w:t>
      </w:r>
      <w:r w:rsidRPr="005567F5">
        <w:rPr>
          <w:szCs w:val="22"/>
        </w:rPr>
        <w:t xml:space="preserve">, </w:t>
      </w:r>
      <w:r w:rsidR="0023323B" w:rsidRPr="005567F5">
        <w:rPr>
          <w:szCs w:val="22"/>
        </w:rPr>
        <w:t>ninte</w:t>
      </w:r>
      <w:r w:rsidR="00526355" w:rsidRPr="005567F5">
        <w:rPr>
          <w:szCs w:val="22"/>
        </w:rPr>
        <w:t>d</w:t>
      </w:r>
      <w:r w:rsidR="0023323B" w:rsidRPr="005567F5">
        <w:rPr>
          <w:szCs w:val="22"/>
        </w:rPr>
        <w:t>anib</w:t>
      </w:r>
      <w:r w:rsidRPr="005567F5">
        <w:rPr>
          <w:szCs w:val="22"/>
        </w:rPr>
        <w:t xml:space="preserve"> was considered </w:t>
      </w:r>
      <w:r w:rsidR="00526355" w:rsidRPr="005567F5">
        <w:rPr>
          <w:szCs w:val="22"/>
        </w:rPr>
        <w:t xml:space="preserve">to be </w:t>
      </w:r>
      <w:r w:rsidRPr="005567F5">
        <w:rPr>
          <w:szCs w:val="22"/>
        </w:rPr>
        <w:t xml:space="preserve">a relevant secondary comparator. </w:t>
      </w:r>
      <w:r w:rsidR="00526355" w:rsidRPr="005567F5">
        <w:rPr>
          <w:szCs w:val="22"/>
        </w:rPr>
        <w:t xml:space="preserve"> The </w:t>
      </w:r>
      <w:r w:rsidRPr="005567F5">
        <w:rPr>
          <w:szCs w:val="22"/>
        </w:rPr>
        <w:t>PBAC noted its concern that</w:t>
      </w:r>
      <w:r w:rsidR="00526355" w:rsidRPr="005567F5">
        <w:rPr>
          <w:szCs w:val="22"/>
        </w:rPr>
        <w:t>,</w:t>
      </w:r>
      <w:r w:rsidRPr="005567F5">
        <w:rPr>
          <w:szCs w:val="22"/>
        </w:rPr>
        <w:t xml:space="preserve"> should both drugs become PBS subsidised in the future, the risk of concomitant use w</w:t>
      </w:r>
      <w:r w:rsidR="00526355" w:rsidRPr="005567F5">
        <w:rPr>
          <w:szCs w:val="22"/>
        </w:rPr>
        <w:t>ould</w:t>
      </w:r>
      <w:r w:rsidRPr="005567F5">
        <w:rPr>
          <w:szCs w:val="22"/>
        </w:rPr>
        <w:t xml:space="preserve"> need to be addressed.</w:t>
      </w:r>
    </w:p>
    <w:p w:rsidR="00080330" w:rsidRPr="005567F5" w:rsidRDefault="00080330" w:rsidP="00080330">
      <w:pPr>
        <w:rPr>
          <w:szCs w:val="22"/>
        </w:rPr>
      </w:pPr>
    </w:p>
    <w:p w:rsidR="00753CD1" w:rsidRPr="005567F5" w:rsidRDefault="00080330" w:rsidP="00B9372F">
      <w:pPr>
        <w:widowControl/>
        <w:numPr>
          <w:ilvl w:val="1"/>
          <w:numId w:val="2"/>
        </w:numPr>
        <w:contextualSpacing/>
        <w:rPr>
          <w:szCs w:val="22"/>
        </w:rPr>
      </w:pPr>
      <w:r w:rsidRPr="005567F5">
        <w:rPr>
          <w:szCs w:val="22"/>
        </w:rPr>
        <w:t xml:space="preserve">The PBAC noted the resubmission presented three head-to-head trials comparing </w:t>
      </w:r>
      <w:proofErr w:type="spellStart"/>
      <w:r w:rsidRPr="005567F5">
        <w:rPr>
          <w:szCs w:val="22"/>
        </w:rPr>
        <w:t>pirfenidone</w:t>
      </w:r>
      <w:proofErr w:type="spellEnd"/>
      <w:r w:rsidRPr="005567F5">
        <w:rPr>
          <w:szCs w:val="22"/>
        </w:rPr>
        <w:t xml:space="preserve"> to placebo: ASCEND (n=555), CAPACITY-2 (n=435) and CAPACITY-1 (n=344).</w:t>
      </w:r>
      <w:r w:rsidR="00753CD1" w:rsidRPr="005567F5">
        <w:rPr>
          <w:szCs w:val="22"/>
        </w:rPr>
        <w:t xml:space="preserve"> The Pre-PBAC response (p1) reiterated that the pooled analysis of mortality from ASCEND, CAPACITY-2 and CAPACITY-1 was pre-specified in the statistical analysis plan for ASCEND which w</w:t>
      </w:r>
      <w:r w:rsidR="00E813E0" w:rsidRPr="005567F5">
        <w:rPr>
          <w:szCs w:val="22"/>
        </w:rPr>
        <w:t xml:space="preserve">as finalised before </w:t>
      </w:r>
      <w:proofErr w:type="spellStart"/>
      <w:r w:rsidR="00E813E0" w:rsidRPr="005567F5">
        <w:rPr>
          <w:szCs w:val="22"/>
        </w:rPr>
        <w:t>unblinding</w:t>
      </w:r>
      <w:proofErr w:type="spellEnd"/>
      <w:r w:rsidR="00E813E0" w:rsidRPr="005567F5">
        <w:rPr>
          <w:szCs w:val="22"/>
        </w:rPr>
        <w:t>.</w:t>
      </w:r>
    </w:p>
    <w:p w:rsidR="00CD7E5F" w:rsidRPr="005567F5" w:rsidRDefault="00CD7E5F" w:rsidP="00CD7E5F">
      <w:pPr>
        <w:rPr>
          <w:szCs w:val="22"/>
        </w:rPr>
      </w:pPr>
    </w:p>
    <w:p w:rsidR="00CD7E5F" w:rsidRPr="005567F5" w:rsidRDefault="00CD7E5F" w:rsidP="00B9372F">
      <w:pPr>
        <w:widowControl/>
        <w:numPr>
          <w:ilvl w:val="1"/>
          <w:numId w:val="2"/>
        </w:numPr>
        <w:contextualSpacing/>
        <w:rPr>
          <w:szCs w:val="22"/>
        </w:rPr>
      </w:pPr>
      <w:r w:rsidRPr="005567F5">
        <w:rPr>
          <w:szCs w:val="22"/>
        </w:rPr>
        <w:t>On the basis of direct evidence in comparison to placebo</w:t>
      </w:r>
      <w:r w:rsidR="00526355" w:rsidRPr="005567F5">
        <w:rPr>
          <w:szCs w:val="22"/>
        </w:rPr>
        <w:t xml:space="preserve"> presented by the submission</w:t>
      </w:r>
      <w:r w:rsidRPr="005567F5">
        <w:rPr>
          <w:szCs w:val="22"/>
        </w:rPr>
        <w:t xml:space="preserve">, </w:t>
      </w:r>
      <w:proofErr w:type="spellStart"/>
      <w:r w:rsidRPr="005567F5">
        <w:rPr>
          <w:szCs w:val="22"/>
        </w:rPr>
        <w:t>pirfenidone</w:t>
      </w:r>
      <w:proofErr w:type="spellEnd"/>
      <w:r w:rsidRPr="005567F5">
        <w:rPr>
          <w:szCs w:val="22"/>
        </w:rPr>
        <w:t xml:space="preserve"> was associated with:</w:t>
      </w:r>
    </w:p>
    <w:p w:rsidR="00CD7E5F" w:rsidRPr="005567F5" w:rsidRDefault="00CD7E5F" w:rsidP="00E813E0">
      <w:pPr>
        <w:pStyle w:val="ListParagraph"/>
        <w:widowControl/>
        <w:numPr>
          <w:ilvl w:val="0"/>
          <w:numId w:val="1"/>
        </w:numPr>
        <w:ind w:left="993" w:hanging="284"/>
        <w:rPr>
          <w:szCs w:val="22"/>
        </w:rPr>
      </w:pPr>
      <w:r w:rsidRPr="005567F5">
        <w:rPr>
          <w:szCs w:val="22"/>
        </w:rPr>
        <w:t xml:space="preserve">Approximately a 4.0% reduction in absolute change in </w:t>
      </w:r>
      <w:proofErr w:type="spellStart"/>
      <w:r w:rsidRPr="005567F5">
        <w:rPr>
          <w:szCs w:val="22"/>
        </w:rPr>
        <w:t>FVC%Pred</w:t>
      </w:r>
      <w:proofErr w:type="spellEnd"/>
      <w:r w:rsidRPr="005567F5">
        <w:rPr>
          <w:szCs w:val="22"/>
        </w:rPr>
        <w:t xml:space="preserve"> from baseline to week 52.</w:t>
      </w:r>
    </w:p>
    <w:p w:rsidR="00CD7E5F" w:rsidRPr="005567F5" w:rsidRDefault="00CD7E5F" w:rsidP="00E813E0">
      <w:pPr>
        <w:pStyle w:val="ListParagraph"/>
        <w:widowControl/>
        <w:numPr>
          <w:ilvl w:val="0"/>
          <w:numId w:val="1"/>
        </w:numPr>
        <w:ind w:left="993" w:hanging="284"/>
        <w:rPr>
          <w:szCs w:val="22"/>
        </w:rPr>
      </w:pPr>
      <w:r w:rsidRPr="005567F5">
        <w:rPr>
          <w:szCs w:val="22"/>
        </w:rPr>
        <w:t>No significant difference for overall survival</w:t>
      </w:r>
      <w:r w:rsidR="00E96DC1" w:rsidRPr="005567F5">
        <w:rPr>
          <w:szCs w:val="22"/>
        </w:rPr>
        <w:t>,</w:t>
      </w:r>
      <w:r w:rsidRPr="005567F5">
        <w:rPr>
          <w:szCs w:val="22"/>
        </w:rPr>
        <w:t xml:space="preserve"> as reported in the vital status-end of study analysis, which was considered by the FDA cross discipline team leader review for </w:t>
      </w:r>
      <w:proofErr w:type="spellStart"/>
      <w:r w:rsidRPr="005567F5">
        <w:rPr>
          <w:szCs w:val="22"/>
        </w:rPr>
        <w:t>pirfenidone</w:t>
      </w:r>
      <w:proofErr w:type="spellEnd"/>
      <w:r w:rsidRPr="005567F5">
        <w:rPr>
          <w:szCs w:val="22"/>
        </w:rPr>
        <w:t xml:space="preserve"> to be most representative of the efficacy of a drug in terms of </w:t>
      </w:r>
      <w:r w:rsidR="00E813E0" w:rsidRPr="005567F5">
        <w:rPr>
          <w:szCs w:val="22"/>
        </w:rPr>
        <w:t>disease modification/survival.</w:t>
      </w:r>
    </w:p>
    <w:p w:rsidR="00FA6A1C" w:rsidRPr="005567F5" w:rsidRDefault="00FA6A1C" w:rsidP="00E813E0">
      <w:pPr>
        <w:widowControl/>
        <w:contextualSpacing/>
        <w:rPr>
          <w:szCs w:val="22"/>
        </w:rPr>
      </w:pPr>
    </w:p>
    <w:p w:rsidR="003D7953" w:rsidRPr="005567F5" w:rsidRDefault="003D7953" w:rsidP="00B9372F">
      <w:pPr>
        <w:pStyle w:val="ListParagraph"/>
        <w:widowControl/>
        <w:numPr>
          <w:ilvl w:val="1"/>
          <w:numId w:val="2"/>
        </w:numPr>
      </w:pPr>
      <w:r w:rsidRPr="005567F5">
        <w:rPr>
          <w:szCs w:val="22"/>
        </w:rPr>
        <w:t>The FDA review</w:t>
      </w:r>
      <w:r w:rsidRPr="005567F5">
        <w:rPr>
          <w:rStyle w:val="FootnoteReference"/>
        </w:rPr>
        <w:footnoteReference w:id="5"/>
      </w:r>
      <w:r w:rsidRPr="005567F5">
        <w:rPr>
          <w:szCs w:val="22"/>
        </w:rPr>
        <w:t xml:space="preserve"> of </w:t>
      </w:r>
      <w:proofErr w:type="spellStart"/>
      <w:r w:rsidRPr="005567F5">
        <w:rPr>
          <w:szCs w:val="22"/>
        </w:rPr>
        <w:t>perfinidone</w:t>
      </w:r>
      <w:proofErr w:type="spellEnd"/>
      <w:r w:rsidRPr="005567F5">
        <w:rPr>
          <w:szCs w:val="22"/>
        </w:rPr>
        <w:t xml:space="preserve"> and </w:t>
      </w:r>
      <w:proofErr w:type="spellStart"/>
      <w:r w:rsidRPr="005567F5">
        <w:rPr>
          <w:szCs w:val="22"/>
        </w:rPr>
        <w:t>nintedinab</w:t>
      </w:r>
      <w:proofErr w:type="spellEnd"/>
      <w:r w:rsidRPr="005567F5">
        <w:rPr>
          <w:szCs w:val="22"/>
        </w:rPr>
        <w:t xml:space="preserve"> studies suggests that FVC is a valid surrogate</w:t>
      </w:r>
      <w:r w:rsidRPr="005567F5">
        <w:t xml:space="preserve"> for mortality in IPF.</w:t>
      </w:r>
      <w:r w:rsidR="00526355" w:rsidRPr="005567F5">
        <w:t xml:space="preserve"> </w:t>
      </w:r>
      <w:r w:rsidRPr="005567F5">
        <w:rPr>
          <w:szCs w:val="22"/>
        </w:rPr>
        <w:t xml:space="preserve"> This review gave the PBAC more confidence that the lack of statistical significance in OS as reported by the vital status-end of study analysis may be an issue of lack of power in the </w:t>
      </w:r>
      <w:r w:rsidR="00526355" w:rsidRPr="005567F5">
        <w:rPr>
          <w:szCs w:val="22"/>
        </w:rPr>
        <w:t>trials</w:t>
      </w:r>
      <w:r w:rsidRPr="005567F5">
        <w:rPr>
          <w:szCs w:val="22"/>
        </w:rPr>
        <w:t>.</w:t>
      </w:r>
    </w:p>
    <w:p w:rsidR="003D7953" w:rsidRPr="003D7953" w:rsidRDefault="003D7953" w:rsidP="003D7953">
      <w:pPr>
        <w:widowControl/>
      </w:pPr>
    </w:p>
    <w:p w:rsidR="00FA6A1C" w:rsidRDefault="00FA6A1C" w:rsidP="00B9372F">
      <w:pPr>
        <w:pStyle w:val="ListParagraph"/>
        <w:widowControl/>
        <w:numPr>
          <w:ilvl w:val="1"/>
          <w:numId w:val="2"/>
        </w:numPr>
      </w:pPr>
      <w:r>
        <w:t xml:space="preserve">PBAC also noted </w:t>
      </w:r>
      <w:proofErr w:type="spellStart"/>
      <w:r>
        <w:t>pirfenidone</w:t>
      </w:r>
      <w:proofErr w:type="spellEnd"/>
      <w:r>
        <w:t xml:space="preserve"> was associated with statistically significantly higher instances of adverse events in several items across system organ classes. </w:t>
      </w:r>
      <w:r w:rsidR="00526355">
        <w:t xml:space="preserve"> </w:t>
      </w:r>
      <w:r>
        <w:t xml:space="preserve">The highest relative differences were observed in the skin and subcutaneous tissue disorders (photosensitivity reaction, rash) and gastrointestinal disorders (stomach discomfort, dyspepsia). Also a significant increase was observed in gastro-oesophageal reflux disease, a known co-morbidity of IPF.  </w:t>
      </w:r>
      <w:r w:rsidRPr="001E5C9E">
        <w:rPr>
          <w:szCs w:val="22"/>
        </w:rPr>
        <w:t xml:space="preserve">A statistically significant reduction in </w:t>
      </w:r>
      <w:r w:rsidR="00E813E0">
        <w:t>peripheral oedema as observed.</w:t>
      </w:r>
    </w:p>
    <w:p w:rsidR="003D7953" w:rsidRDefault="003D7953" w:rsidP="003D7953"/>
    <w:p w:rsidR="00F9532A" w:rsidRDefault="00F9532A" w:rsidP="00F9532A">
      <w:pPr>
        <w:widowControl/>
        <w:numPr>
          <w:ilvl w:val="1"/>
          <w:numId w:val="2"/>
        </w:numPr>
        <w:contextualSpacing/>
        <w:rPr>
          <w:szCs w:val="22"/>
        </w:rPr>
      </w:pPr>
      <w:r w:rsidRPr="009E653B">
        <w:rPr>
          <w:szCs w:val="22"/>
        </w:rPr>
        <w:t xml:space="preserve">Interpretation of the indirect comparison with </w:t>
      </w:r>
      <w:r>
        <w:rPr>
          <w:szCs w:val="22"/>
        </w:rPr>
        <w:t>nintedanib</w:t>
      </w:r>
      <w:r w:rsidRPr="009E653B">
        <w:rPr>
          <w:szCs w:val="22"/>
        </w:rPr>
        <w:t xml:space="preserve"> is difficult given the differences in the trial populations and the outcomes</w:t>
      </w:r>
      <w:r>
        <w:rPr>
          <w:szCs w:val="22"/>
        </w:rPr>
        <w:t>.</w:t>
      </w:r>
      <w:r w:rsidRPr="009E653B">
        <w:rPr>
          <w:szCs w:val="22"/>
        </w:rPr>
        <w:t xml:space="preserve"> </w:t>
      </w:r>
      <w:r>
        <w:rPr>
          <w:szCs w:val="22"/>
        </w:rPr>
        <w:t xml:space="preserve">The network meta-analysis </w:t>
      </w:r>
      <w:r>
        <w:rPr>
          <w:szCs w:val="22"/>
        </w:rPr>
        <w:lastRenderedPageBreak/>
        <w:t xml:space="preserve">from </w:t>
      </w:r>
      <w:proofErr w:type="spellStart"/>
      <w:r>
        <w:rPr>
          <w:szCs w:val="22"/>
        </w:rPr>
        <w:t>Loveman</w:t>
      </w:r>
      <w:proofErr w:type="spellEnd"/>
      <w:r>
        <w:rPr>
          <w:szCs w:val="22"/>
        </w:rPr>
        <w:t xml:space="preserve"> et al 2015</w:t>
      </w:r>
      <w:r>
        <w:rPr>
          <w:rStyle w:val="FootnoteReference"/>
          <w:szCs w:val="22"/>
        </w:rPr>
        <w:footnoteReference w:id="6"/>
      </w:r>
      <w:r>
        <w:rPr>
          <w:szCs w:val="22"/>
        </w:rPr>
        <w:t xml:space="preserve"> suggests</w:t>
      </w:r>
      <w:r w:rsidRPr="009E653B">
        <w:rPr>
          <w:szCs w:val="22"/>
        </w:rPr>
        <w:t xml:space="preserve"> a trend to better overall survival</w:t>
      </w:r>
      <w:r>
        <w:rPr>
          <w:szCs w:val="22"/>
        </w:rPr>
        <w:t xml:space="preserve"> for </w:t>
      </w:r>
      <w:proofErr w:type="spellStart"/>
      <w:r>
        <w:rPr>
          <w:szCs w:val="22"/>
        </w:rPr>
        <w:t>pirfenidone</w:t>
      </w:r>
      <w:proofErr w:type="spellEnd"/>
      <w:r>
        <w:rPr>
          <w:szCs w:val="22"/>
        </w:rPr>
        <w:t xml:space="preserve"> </w:t>
      </w:r>
      <w:r>
        <w:t xml:space="preserve">(OR </w:t>
      </w:r>
      <w:r w:rsidR="00F468F6">
        <w:t xml:space="preserve">= </w:t>
      </w:r>
      <w:r>
        <w:t>1.39, 95% CI: 0.70, 2.82)</w:t>
      </w:r>
      <w:r>
        <w:rPr>
          <w:szCs w:val="22"/>
        </w:rPr>
        <w:t>,</w:t>
      </w:r>
      <w:r w:rsidRPr="009E653B">
        <w:rPr>
          <w:szCs w:val="22"/>
        </w:rPr>
        <w:t xml:space="preserve"> but a </w:t>
      </w:r>
      <w:r>
        <w:rPr>
          <w:szCs w:val="22"/>
        </w:rPr>
        <w:t xml:space="preserve">superior benefit in slowing </w:t>
      </w:r>
      <w:r w:rsidRPr="009E653B">
        <w:rPr>
          <w:szCs w:val="22"/>
        </w:rPr>
        <w:t>FVC decline</w:t>
      </w:r>
      <w:r>
        <w:rPr>
          <w:szCs w:val="22"/>
        </w:rPr>
        <w:t xml:space="preserve"> for nintedanib</w:t>
      </w:r>
      <w:r w:rsidRPr="009E653B">
        <w:rPr>
          <w:szCs w:val="22"/>
        </w:rPr>
        <w:t xml:space="preserve"> </w:t>
      </w:r>
      <w:r w:rsidRPr="005D3BEF">
        <w:rPr>
          <w:szCs w:val="22"/>
        </w:rPr>
        <w:t>(OR = 0.67, 95% CI: 0.51, 0.88)</w:t>
      </w:r>
      <w:r>
        <w:rPr>
          <w:szCs w:val="22"/>
        </w:rPr>
        <w:t xml:space="preserve"> and a </w:t>
      </w:r>
      <w:r w:rsidRPr="009E653B">
        <w:rPr>
          <w:szCs w:val="22"/>
        </w:rPr>
        <w:t>trend to better prevention of exacerbations</w:t>
      </w:r>
      <w:r>
        <w:rPr>
          <w:szCs w:val="22"/>
        </w:rPr>
        <w:t xml:space="preserve"> with nintedanib (no OR provided but only nintedanib had a superior result to placebo)</w:t>
      </w:r>
      <w:r w:rsidRPr="009E653B">
        <w:rPr>
          <w:szCs w:val="22"/>
        </w:rPr>
        <w:t xml:space="preserve">. </w:t>
      </w:r>
      <w:r>
        <w:rPr>
          <w:szCs w:val="22"/>
        </w:rPr>
        <w:t xml:space="preserve"> </w:t>
      </w:r>
      <w:r w:rsidRPr="009E653B">
        <w:rPr>
          <w:szCs w:val="22"/>
        </w:rPr>
        <w:t>However, PBAC considered both drugs are likely to be similarly clinically effective.</w:t>
      </w:r>
    </w:p>
    <w:p w:rsidR="004A5FD9" w:rsidRPr="006F5DBF" w:rsidRDefault="004A5FD9" w:rsidP="006F5DBF">
      <w:pPr>
        <w:rPr>
          <w:szCs w:val="22"/>
        </w:rPr>
      </w:pPr>
    </w:p>
    <w:p w:rsidR="004A5FD9" w:rsidRDefault="004A5FD9" w:rsidP="00B9372F">
      <w:pPr>
        <w:widowControl/>
        <w:numPr>
          <w:ilvl w:val="1"/>
          <w:numId w:val="2"/>
        </w:numPr>
        <w:contextualSpacing/>
        <w:rPr>
          <w:szCs w:val="22"/>
        </w:rPr>
      </w:pPr>
      <w:r>
        <w:rPr>
          <w:szCs w:val="22"/>
        </w:rPr>
        <w:t xml:space="preserve">The PBAC did not consider it </w:t>
      </w:r>
      <w:r w:rsidR="005D70FF">
        <w:rPr>
          <w:szCs w:val="22"/>
        </w:rPr>
        <w:t>appropriate</w:t>
      </w:r>
      <w:r>
        <w:rPr>
          <w:szCs w:val="22"/>
        </w:rPr>
        <w:t xml:space="preserve"> to estimate the cost-effectiveness of </w:t>
      </w:r>
      <w:r w:rsidR="00D32FDE">
        <w:rPr>
          <w:szCs w:val="22"/>
        </w:rPr>
        <w:t>a</w:t>
      </w:r>
      <w:r>
        <w:rPr>
          <w:szCs w:val="22"/>
        </w:rPr>
        <w:t xml:space="preserve"> medicine for initial PBS listing by including potential future price reductions due to generic competition. </w:t>
      </w:r>
      <w:r w:rsidR="005D70FF">
        <w:rPr>
          <w:szCs w:val="22"/>
        </w:rPr>
        <w:t xml:space="preserve"> </w:t>
      </w:r>
      <w:r>
        <w:rPr>
          <w:szCs w:val="22"/>
        </w:rPr>
        <w:t>This would not be consistent with previous considerations of ICERs and would create major additional uncertainty in the consid</w:t>
      </w:r>
      <w:r w:rsidR="00E813E0">
        <w:rPr>
          <w:szCs w:val="22"/>
        </w:rPr>
        <w:t>eration of cost-effectiveness.</w:t>
      </w:r>
    </w:p>
    <w:p w:rsidR="00516039" w:rsidRPr="00E813E0" w:rsidRDefault="00516039" w:rsidP="00516039">
      <w:pPr>
        <w:rPr>
          <w:szCs w:val="22"/>
        </w:rPr>
      </w:pPr>
    </w:p>
    <w:p w:rsidR="006F5DBF" w:rsidRDefault="006F5DBF" w:rsidP="00B9372F">
      <w:pPr>
        <w:widowControl/>
        <w:numPr>
          <w:ilvl w:val="1"/>
          <w:numId w:val="2"/>
        </w:numPr>
        <w:contextualSpacing/>
        <w:rPr>
          <w:szCs w:val="22"/>
        </w:rPr>
      </w:pPr>
      <w:r>
        <w:t xml:space="preserve">The PBAC noted the model is most sensitive to time on treatment, </w:t>
      </w:r>
      <w:r w:rsidR="00ED7B10">
        <w:t xml:space="preserve">the time horizon, and the </w:t>
      </w:r>
      <w:r>
        <w:t>utility of the progression state.</w:t>
      </w:r>
    </w:p>
    <w:p w:rsidR="006F5DBF" w:rsidRPr="00E813E0" w:rsidRDefault="006F5DBF" w:rsidP="006F5DBF">
      <w:pPr>
        <w:rPr>
          <w:szCs w:val="22"/>
        </w:rPr>
      </w:pPr>
    </w:p>
    <w:p w:rsidR="006F5DBF" w:rsidRPr="005567F5" w:rsidRDefault="006F5DBF" w:rsidP="00B9372F">
      <w:pPr>
        <w:widowControl/>
        <w:numPr>
          <w:ilvl w:val="1"/>
          <w:numId w:val="2"/>
        </w:numPr>
        <w:contextualSpacing/>
        <w:rPr>
          <w:szCs w:val="22"/>
        </w:rPr>
      </w:pPr>
      <w:r w:rsidRPr="005567F5">
        <w:rPr>
          <w:szCs w:val="22"/>
        </w:rPr>
        <w:t>The cost-ef</w:t>
      </w:r>
      <w:r w:rsidR="005D70FF" w:rsidRPr="005567F5">
        <w:rPr>
          <w:szCs w:val="22"/>
        </w:rPr>
        <w:t>fectiveness of the assumed long-</w:t>
      </w:r>
      <w:r w:rsidRPr="005567F5">
        <w:rPr>
          <w:szCs w:val="22"/>
        </w:rPr>
        <w:t xml:space="preserve">term benefit of </w:t>
      </w:r>
      <w:proofErr w:type="spellStart"/>
      <w:r w:rsidRPr="005567F5">
        <w:rPr>
          <w:szCs w:val="22"/>
        </w:rPr>
        <w:t>pirfenidone</w:t>
      </w:r>
      <w:proofErr w:type="spellEnd"/>
      <w:r w:rsidRPr="005567F5">
        <w:rPr>
          <w:szCs w:val="22"/>
        </w:rPr>
        <w:t xml:space="preserve"> may be partially supported by effective implementation of the </w:t>
      </w:r>
      <w:r w:rsidR="005D70FF" w:rsidRPr="005567F5">
        <w:rPr>
          <w:szCs w:val="22"/>
        </w:rPr>
        <w:t>continuation</w:t>
      </w:r>
      <w:r w:rsidRPr="005567F5">
        <w:rPr>
          <w:szCs w:val="22"/>
        </w:rPr>
        <w:t xml:space="preserve"> rule</w:t>
      </w:r>
      <w:r w:rsidR="00ED7B10" w:rsidRPr="005567F5">
        <w:rPr>
          <w:szCs w:val="22"/>
        </w:rPr>
        <w:t xml:space="preserve"> described above</w:t>
      </w:r>
      <w:r w:rsidRPr="005567F5">
        <w:rPr>
          <w:szCs w:val="22"/>
        </w:rPr>
        <w:t xml:space="preserve">, as subsidised treatment would not continue for those patients with </w:t>
      </w:r>
      <w:proofErr w:type="spellStart"/>
      <w:r w:rsidRPr="005567F5">
        <w:rPr>
          <w:szCs w:val="22"/>
        </w:rPr>
        <w:t>FVC%Pred</w:t>
      </w:r>
      <w:proofErr w:type="spellEnd"/>
      <w:r w:rsidRPr="005567F5">
        <w:rPr>
          <w:szCs w:val="22"/>
        </w:rPr>
        <w:t xml:space="preserve"> deteriorating 10% or more within any 12-month period. </w:t>
      </w:r>
      <w:r w:rsidR="005D70FF" w:rsidRPr="005567F5">
        <w:rPr>
          <w:szCs w:val="22"/>
        </w:rPr>
        <w:t xml:space="preserve"> </w:t>
      </w:r>
      <w:r w:rsidRPr="005567F5">
        <w:rPr>
          <w:szCs w:val="22"/>
        </w:rPr>
        <w:t xml:space="preserve">The PBAC </w:t>
      </w:r>
      <w:r w:rsidR="005D70FF" w:rsidRPr="005567F5">
        <w:rPr>
          <w:szCs w:val="22"/>
        </w:rPr>
        <w:t xml:space="preserve">proposed that </w:t>
      </w:r>
      <w:r w:rsidRPr="005567F5">
        <w:rPr>
          <w:szCs w:val="22"/>
        </w:rPr>
        <w:t xml:space="preserve">the sponsor consider how the use of the </w:t>
      </w:r>
      <w:r w:rsidR="005D70FF" w:rsidRPr="005567F5">
        <w:rPr>
          <w:szCs w:val="22"/>
        </w:rPr>
        <w:t>continuation</w:t>
      </w:r>
      <w:r w:rsidRPr="005567F5">
        <w:rPr>
          <w:szCs w:val="22"/>
        </w:rPr>
        <w:t xml:space="preserve"> rule may impact on the ICER</w:t>
      </w:r>
      <w:r w:rsidR="00E96DC1" w:rsidRPr="005567F5">
        <w:rPr>
          <w:szCs w:val="22"/>
        </w:rPr>
        <w:t xml:space="preserve"> in a future resubmission</w:t>
      </w:r>
      <w:r w:rsidR="00ED7B10" w:rsidRPr="005567F5">
        <w:rPr>
          <w:szCs w:val="22"/>
        </w:rPr>
        <w:t>.</w:t>
      </w:r>
    </w:p>
    <w:p w:rsidR="006F5DBF" w:rsidRPr="00E813E0" w:rsidRDefault="006F5DBF" w:rsidP="006F5DBF">
      <w:pPr>
        <w:rPr>
          <w:szCs w:val="22"/>
        </w:rPr>
      </w:pPr>
    </w:p>
    <w:p w:rsidR="00D32FDE" w:rsidRDefault="00516039" w:rsidP="00B9372F">
      <w:pPr>
        <w:widowControl/>
        <w:numPr>
          <w:ilvl w:val="1"/>
          <w:numId w:val="2"/>
        </w:numPr>
        <w:contextualSpacing/>
        <w:rPr>
          <w:szCs w:val="22"/>
        </w:rPr>
      </w:pPr>
      <w:r w:rsidRPr="00ED7B10">
        <w:rPr>
          <w:szCs w:val="22"/>
        </w:rPr>
        <w:t xml:space="preserve">The 16 year time horizon was considered optimistic in this patient population, and </w:t>
      </w:r>
      <w:r w:rsidR="00FA61CC" w:rsidRPr="00ED7B10">
        <w:rPr>
          <w:szCs w:val="22"/>
        </w:rPr>
        <w:t xml:space="preserve">the </w:t>
      </w:r>
      <w:r w:rsidRPr="00ED7B10">
        <w:rPr>
          <w:szCs w:val="22"/>
        </w:rPr>
        <w:t xml:space="preserve">PBAC noted the </w:t>
      </w:r>
      <w:r w:rsidR="00ED7B10" w:rsidRPr="00ED7B10">
        <w:rPr>
          <w:szCs w:val="22"/>
        </w:rPr>
        <w:t>figure below</w:t>
      </w:r>
      <w:r w:rsidRPr="00ED7B10">
        <w:rPr>
          <w:szCs w:val="22"/>
        </w:rPr>
        <w:t xml:space="preserve"> signalled a substantial number of patients in both arms remained alive at 10 years (approximately </w:t>
      </w:r>
      <w:r w:rsidR="00AF4647">
        <w:rPr>
          <w:noProof/>
          <w:color w:val="000000"/>
          <w:szCs w:val="22"/>
          <w:highlight w:val="black"/>
        </w:rPr>
        <w:t>''''''</w:t>
      </w:r>
      <w:r w:rsidRPr="00ED7B10">
        <w:rPr>
          <w:szCs w:val="22"/>
        </w:rPr>
        <w:t>% in the placebo arm a</w:t>
      </w:r>
      <w:r w:rsidR="00E813E0">
        <w:rPr>
          <w:szCs w:val="22"/>
        </w:rPr>
        <w:t xml:space="preserve">nd </w:t>
      </w:r>
      <w:r w:rsidR="00AF4647">
        <w:rPr>
          <w:noProof/>
          <w:color w:val="000000"/>
          <w:szCs w:val="22"/>
          <w:highlight w:val="black"/>
        </w:rPr>
        <w:t>'''''''</w:t>
      </w:r>
      <w:r w:rsidR="00E813E0">
        <w:rPr>
          <w:szCs w:val="22"/>
        </w:rPr>
        <w:t xml:space="preserve">% in the </w:t>
      </w:r>
      <w:proofErr w:type="spellStart"/>
      <w:r w:rsidR="00E813E0">
        <w:rPr>
          <w:szCs w:val="22"/>
        </w:rPr>
        <w:t>pirfenidone</w:t>
      </w:r>
      <w:proofErr w:type="spellEnd"/>
      <w:r w:rsidR="00E813E0">
        <w:rPr>
          <w:szCs w:val="22"/>
        </w:rPr>
        <w:t xml:space="preserve"> arm).</w:t>
      </w:r>
    </w:p>
    <w:p w:rsidR="00ED7B10" w:rsidRPr="00ED7B10" w:rsidRDefault="00ED7B10" w:rsidP="00E813E0">
      <w:pPr>
        <w:widowControl/>
        <w:contextualSpacing/>
        <w:rPr>
          <w:szCs w:val="22"/>
        </w:rPr>
      </w:pPr>
    </w:p>
    <w:p w:rsidR="00195589" w:rsidRDefault="00195589">
      <w:pPr>
        <w:widowControl/>
        <w:jc w:val="left"/>
        <w:rPr>
          <w:rStyle w:val="CommentReference"/>
        </w:rPr>
      </w:pPr>
      <w:r>
        <w:rPr>
          <w:rStyle w:val="CommentReference"/>
        </w:rPr>
        <w:br w:type="page"/>
      </w:r>
    </w:p>
    <w:p w:rsidR="0045035F" w:rsidRPr="0045035F" w:rsidRDefault="0045035F" w:rsidP="0045035F">
      <w:pPr>
        <w:pStyle w:val="Caption"/>
        <w:rPr>
          <w:rFonts w:ascii="Arial Narrow" w:hAnsi="Arial Narrow"/>
          <w:i/>
          <w:color w:val="auto"/>
          <w:sz w:val="20"/>
          <w:szCs w:val="20"/>
        </w:rPr>
      </w:pPr>
      <w:r w:rsidRPr="0045035F">
        <w:rPr>
          <w:rFonts w:ascii="Arial Narrow" w:hAnsi="Arial Narrow"/>
          <w:color w:val="auto"/>
          <w:sz w:val="20"/>
          <w:szCs w:val="20"/>
        </w:rPr>
        <w:lastRenderedPageBreak/>
        <w:t xml:space="preserve"> Figure </w:t>
      </w:r>
      <w:r w:rsidRPr="0045035F">
        <w:rPr>
          <w:rFonts w:ascii="Arial Narrow" w:hAnsi="Arial Narrow"/>
          <w:color w:val="auto"/>
          <w:sz w:val="20"/>
          <w:szCs w:val="20"/>
        </w:rPr>
        <w:fldChar w:fldCharType="begin"/>
      </w:r>
      <w:r w:rsidRPr="0045035F">
        <w:rPr>
          <w:rFonts w:ascii="Arial Narrow" w:hAnsi="Arial Narrow"/>
          <w:color w:val="auto"/>
          <w:sz w:val="20"/>
          <w:szCs w:val="20"/>
        </w:rPr>
        <w:instrText xml:space="preserve"> SEQ Figure \* ARABIC </w:instrText>
      </w:r>
      <w:r w:rsidRPr="0045035F">
        <w:rPr>
          <w:rFonts w:ascii="Arial Narrow" w:hAnsi="Arial Narrow"/>
          <w:color w:val="auto"/>
          <w:sz w:val="20"/>
          <w:szCs w:val="20"/>
        </w:rPr>
        <w:fldChar w:fldCharType="separate"/>
      </w:r>
      <w:r w:rsidR="00A60BD0">
        <w:rPr>
          <w:rFonts w:ascii="Arial Narrow" w:hAnsi="Arial Narrow"/>
          <w:noProof/>
          <w:color w:val="auto"/>
          <w:sz w:val="20"/>
          <w:szCs w:val="20"/>
        </w:rPr>
        <w:t>2</w:t>
      </w:r>
      <w:r w:rsidRPr="0045035F">
        <w:rPr>
          <w:rFonts w:ascii="Arial Narrow" w:hAnsi="Arial Narrow"/>
          <w:color w:val="auto"/>
          <w:sz w:val="20"/>
          <w:szCs w:val="20"/>
        </w:rPr>
        <w:fldChar w:fldCharType="end"/>
      </w:r>
      <w:r w:rsidRPr="0045035F">
        <w:rPr>
          <w:rFonts w:ascii="Arial Narrow" w:hAnsi="Arial Narrow"/>
          <w:color w:val="auto"/>
          <w:sz w:val="20"/>
          <w:szCs w:val="20"/>
        </w:rPr>
        <w:t>: Overlay of submission’s predicted PFS and OS over 16 years.</w:t>
      </w:r>
    </w:p>
    <w:p w:rsidR="0045035F" w:rsidRDefault="00AF4647" w:rsidP="0045035F">
      <w:pPr>
        <w:keepNext/>
        <w:ind w:hanging="284"/>
      </w:pPr>
      <w:r>
        <w:rPr>
          <w:rFonts w:ascii="Arial Narrow" w:hAnsi="Arial Narrow" w:cs="Times New Roman"/>
          <w:b/>
          <w:noProof/>
          <w:snapToGrid/>
          <w:sz w:val="20"/>
          <w:szCs w:val="16"/>
          <w:lang w:eastAsia="en-AU"/>
        </w:rPr>
        <w:drawing>
          <wp:inline distT="0" distB="0" distL="0" distR="0" wp14:anchorId="5B386AED" wp14:editId="1E6ADD9E">
            <wp:extent cx="5977890" cy="3510915"/>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77890" cy="3510915"/>
                    </a:xfrm>
                    <a:prstGeom prst="rect">
                      <a:avLst/>
                    </a:prstGeom>
                  </pic:spPr>
                </pic:pic>
              </a:graphicData>
            </a:graphic>
          </wp:inline>
        </w:drawing>
      </w:r>
    </w:p>
    <w:p w:rsidR="00D32FDE" w:rsidRPr="00D13A3E" w:rsidRDefault="00D32FDE" w:rsidP="00D32FDE">
      <w:pPr>
        <w:pStyle w:val="TableFooter"/>
      </w:pPr>
      <w:r w:rsidRPr="00D13A3E">
        <w:t xml:space="preserve">Source: </w:t>
      </w:r>
      <w:r>
        <w:t xml:space="preserve">Figure D.5.1 of the commentary. </w:t>
      </w:r>
      <w:proofErr w:type="gramStart"/>
      <w:r>
        <w:t>Prepared during the commentary from Excel file “</w:t>
      </w:r>
      <w:r w:rsidRPr="00096A41">
        <w:t>Economic Evaluation.xlsx</w:t>
      </w:r>
      <w:r>
        <w:t>” accompanying the submission.</w:t>
      </w:r>
      <w:proofErr w:type="gramEnd"/>
    </w:p>
    <w:p w:rsidR="00D32FDE" w:rsidRDefault="00D32FDE" w:rsidP="00E813E0">
      <w:pPr>
        <w:widowControl/>
        <w:contextualSpacing/>
        <w:rPr>
          <w:szCs w:val="22"/>
        </w:rPr>
      </w:pPr>
    </w:p>
    <w:p w:rsidR="00516039" w:rsidRDefault="00516039" w:rsidP="00B9372F">
      <w:pPr>
        <w:widowControl/>
        <w:numPr>
          <w:ilvl w:val="1"/>
          <w:numId w:val="2"/>
        </w:numPr>
        <w:contextualSpacing/>
        <w:rPr>
          <w:szCs w:val="22"/>
        </w:rPr>
      </w:pPr>
      <w:r>
        <w:rPr>
          <w:szCs w:val="22"/>
        </w:rPr>
        <w:t xml:space="preserve">The PBAC noted the </w:t>
      </w:r>
      <w:r w:rsidR="005D70FF">
        <w:rPr>
          <w:szCs w:val="22"/>
        </w:rPr>
        <w:t xml:space="preserve">arguments for </w:t>
      </w:r>
      <w:r>
        <w:rPr>
          <w:szCs w:val="22"/>
        </w:rPr>
        <w:t>the time horizon and extrapolation methods in the Pre-PBAC response (p3)</w:t>
      </w:r>
      <w:r w:rsidR="005D70FF">
        <w:rPr>
          <w:szCs w:val="22"/>
        </w:rPr>
        <w:t>,</w:t>
      </w:r>
      <w:r>
        <w:rPr>
          <w:szCs w:val="22"/>
        </w:rPr>
        <w:t xml:space="preserve"> but remained concerned that the modelled survival was </w:t>
      </w:r>
      <w:r w:rsidR="00D32FDE">
        <w:rPr>
          <w:szCs w:val="22"/>
        </w:rPr>
        <w:t xml:space="preserve">unrealistic. </w:t>
      </w:r>
      <w:r w:rsidR="005D70FF">
        <w:rPr>
          <w:szCs w:val="22"/>
        </w:rPr>
        <w:t xml:space="preserve"> </w:t>
      </w:r>
      <w:r w:rsidR="00D32FDE">
        <w:rPr>
          <w:szCs w:val="22"/>
        </w:rPr>
        <w:t>Notwithstanding the Pre-PBAC response (p2) discussion on the validity of the Strand data, the PBAC was particularly concerned</w:t>
      </w:r>
      <w:r w:rsidR="00FA61CC">
        <w:rPr>
          <w:szCs w:val="22"/>
        </w:rPr>
        <w:t xml:space="preserve"> </w:t>
      </w:r>
      <w:r w:rsidR="00D32FDE">
        <w:rPr>
          <w:szCs w:val="22"/>
        </w:rPr>
        <w:t>that the model was sensitive to use of this historical data to extrapolate OS in the BSC arm and that the Strand data may have</w:t>
      </w:r>
      <w:r w:rsidR="00FA61CC" w:rsidRPr="00FA61CC">
        <w:rPr>
          <w:szCs w:val="22"/>
        </w:rPr>
        <w:t xml:space="preserve"> underestimate</w:t>
      </w:r>
      <w:r w:rsidR="00FA61CC">
        <w:rPr>
          <w:szCs w:val="22"/>
        </w:rPr>
        <w:t>d</w:t>
      </w:r>
      <w:r w:rsidR="00FA61CC" w:rsidRPr="00FA61CC">
        <w:rPr>
          <w:szCs w:val="22"/>
        </w:rPr>
        <w:t xml:space="preserve"> BSC compared with BSC in the trials</w:t>
      </w:r>
      <w:r w:rsidR="00FA61CC">
        <w:rPr>
          <w:szCs w:val="22"/>
        </w:rPr>
        <w:t>,</w:t>
      </w:r>
      <w:r w:rsidR="00FA61CC" w:rsidRPr="00FA61CC">
        <w:rPr>
          <w:szCs w:val="22"/>
        </w:rPr>
        <w:t xml:space="preserve"> therefore over-estimat</w:t>
      </w:r>
      <w:r w:rsidR="00FA61CC">
        <w:rPr>
          <w:szCs w:val="22"/>
        </w:rPr>
        <w:t xml:space="preserve">ing the benefit from </w:t>
      </w:r>
      <w:proofErr w:type="spellStart"/>
      <w:r w:rsidR="00FA61CC">
        <w:rPr>
          <w:szCs w:val="22"/>
        </w:rPr>
        <w:t>p</w:t>
      </w:r>
      <w:r w:rsidR="00FA61CC" w:rsidRPr="00FA61CC">
        <w:rPr>
          <w:szCs w:val="22"/>
        </w:rPr>
        <w:t>irfenidone</w:t>
      </w:r>
      <w:proofErr w:type="spellEnd"/>
      <w:r w:rsidR="00FA61CC" w:rsidRPr="00FA61CC">
        <w:rPr>
          <w:szCs w:val="22"/>
        </w:rPr>
        <w:t>.</w:t>
      </w:r>
    </w:p>
    <w:p w:rsidR="006F5DBF" w:rsidRDefault="006F5DBF" w:rsidP="00E813E0">
      <w:pPr>
        <w:widowControl/>
        <w:contextualSpacing/>
        <w:rPr>
          <w:szCs w:val="22"/>
        </w:rPr>
      </w:pPr>
    </w:p>
    <w:p w:rsidR="006F5DBF" w:rsidRDefault="006F5DBF" w:rsidP="00B9372F">
      <w:pPr>
        <w:widowControl/>
        <w:numPr>
          <w:ilvl w:val="1"/>
          <w:numId w:val="2"/>
        </w:numPr>
        <w:contextualSpacing/>
        <w:rPr>
          <w:szCs w:val="22"/>
        </w:rPr>
      </w:pPr>
      <w:r>
        <w:rPr>
          <w:szCs w:val="22"/>
        </w:rPr>
        <w:t>The PBAC noted the u</w:t>
      </w:r>
      <w:r w:rsidRPr="006F5DBF">
        <w:rPr>
          <w:szCs w:val="22"/>
        </w:rPr>
        <w:t>tility values sourced from the literature appear</w:t>
      </w:r>
      <w:r>
        <w:rPr>
          <w:szCs w:val="22"/>
        </w:rPr>
        <w:t>ed</w:t>
      </w:r>
      <w:r w:rsidRPr="006F5DBF">
        <w:rPr>
          <w:szCs w:val="22"/>
        </w:rPr>
        <w:t xml:space="preserve"> reasonable, </w:t>
      </w:r>
      <w:r>
        <w:rPr>
          <w:szCs w:val="22"/>
        </w:rPr>
        <w:t>however,</w:t>
      </w:r>
      <w:r w:rsidRPr="006F5DBF">
        <w:rPr>
          <w:szCs w:val="22"/>
        </w:rPr>
        <w:t xml:space="preserve"> given the age of the </w:t>
      </w:r>
      <w:r>
        <w:rPr>
          <w:szCs w:val="22"/>
        </w:rPr>
        <w:t>proposed eligible PBS</w:t>
      </w:r>
      <w:r w:rsidRPr="006F5DBF">
        <w:rPr>
          <w:szCs w:val="22"/>
        </w:rPr>
        <w:t xml:space="preserve"> population they may overstate the utility associated with progression</w:t>
      </w:r>
      <w:r>
        <w:rPr>
          <w:szCs w:val="22"/>
        </w:rPr>
        <w:t>.</w:t>
      </w:r>
    </w:p>
    <w:p w:rsidR="0036130C" w:rsidRPr="0036130C" w:rsidRDefault="0036130C" w:rsidP="0036130C">
      <w:pPr>
        <w:rPr>
          <w:szCs w:val="22"/>
        </w:rPr>
      </w:pPr>
    </w:p>
    <w:p w:rsidR="0036130C" w:rsidRDefault="0036130C" w:rsidP="00B9372F">
      <w:pPr>
        <w:widowControl/>
        <w:numPr>
          <w:ilvl w:val="1"/>
          <w:numId w:val="2"/>
        </w:numPr>
        <w:contextualSpacing/>
        <w:rPr>
          <w:szCs w:val="22"/>
        </w:rPr>
      </w:pPr>
      <w:r>
        <w:rPr>
          <w:szCs w:val="22"/>
        </w:rPr>
        <w:t xml:space="preserve">Overall, the PBAC did not consider that the model could be relied upon as a basis for considering the cost-effectiveness of </w:t>
      </w:r>
      <w:proofErr w:type="spellStart"/>
      <w:r>
        <w:rPr>
          <w:szCs w:val="22"/>
        </w:rPr>
        <w:t>pirfenidone</w:t>
      </w:r>
      <w:proofErr w:type="spellEnd"/>
      <w:r>
        <w:rPr>
          <w:szCs w:val="22"/>
        </w:rPr>
        <w:t xml:space="preserve">. </w:t>
      </w:r>
      <w:r w:rsidR="00C52AFE">
        <w:rPr>
          <w:szCs w:val="22"/>
        </w:rPr>
        <w:t xml:space="preserve"> </w:t>
      </w:r>
      <w:r>
        <w:rPr>
          <w:szCs w:val="22"/>
        </w:rPr>
        <w:t>It recommended that the base case of a modelled economic evaluation in any re-submission should</w:t>
      </w:r>
      <w:r w:rsidR="00C52AFE">
        <w:rPr>
          <w:szCs w:val="22"/>
        </w:rPr>
        <w:t>:</w:t>
      </w:r>
    </w:p>
    <w:p w:rsidR="0036130C" w:rsidRDefault="0036130C" w:rsidP="0036130C">
      <w:pPr>
        <w:pStyle w:val="ListParagraph"/>
        <w:widowControl/>
        <w:numPr>
          <w:ilvl w:val="0"/>
          <w:numId w:val="1"/>
        </w:numPr>
        <w:ind w:left="993" w:hanging="284"/>
        <w:rPr>
          <w:szCs w:val="22"/>
        </w:rPr>
      </w:pPr>
      <w:r>
        <w:rPr>
          <w:szCs w:val="22"/>
        </w:rPr>
        <w:t>omit potential price reductions associated with any multi-brand competition</w:t>
      </w:r>
    </w:p>
    <w:p w:rsidR="008F717F" w:rsidRDefault="008F717F" w:rsidP="0036130C">
      <w:pPr>
        <w:pStyle w:val="ListParagraph"/>
        <w:widowControl/>
        <w:numPr>
          <w:ilvl w:val="0"/>
          <w:numId w:val="1"/>
        </w:numPr>
        <w:ind w:left="993" w:hanging="284"/>
        <w:rPr>
          <w:szCs w:val="22"/>
        </w:rPr>
      </w:pPr>
      <w:r>
        <w:rPr>
          <w:szCs w:val="22"/>
        </w:rPr>
        <w:t xml:space="preserve">examine the consequences of including a continuation rule reflecting </w:t>
      </w:r>
      <w:r w:rsidR="00C52AFE">
        <w:rPr>
          <w:szCs w:val="22"/>
        </w:rPr>
        <w:t xml:space="preserve">or modified from </w:t>
      </w:r>
      <w:r>
        <w:rPr>
          <w:szCs w:val="22"/>
        </w:rPr>
        <w:t>that proposed in other countries</w:t>
      </w:r>
    </w:p>
    <w:p w:rsidR="0036130C" w:rsidRDefault="0036130C" w:rsidP="0036130C">
      <w:pPr>
        <w:pStyle w:val="ListParagraph"/>
        <w:widowControl/>
        <w:numPr>
          <w:ilvl w:val="0"/>
          <w:numId w:val="1"/>
        </w:numPr>
        <w:ind w:left="993" w:hanging="284"/>
        <w:rPr>
          <w:szCs w:val="22"/>
        </w:rPr>
      </w:pPr>
      <w:r>
        <w:rPr>
          <w:szCs w:val="22"/>
        </w:rPr>
        <w:t xml:space="preserve">reduce the time horizon to </w:t>
      </w:r>
      <w:r w:rsidR="00C52AFE">
        <w:rPr>
          <w:szCs w:val="22"/>
        </w:rPr>
        <w:t>10</w:t>
      </w:r>
      <w:r>
        <w:rPr>
          <w:szCs w:val="22"/>
        </w:rPr>
        <w:t xml:space="preserve"> years</w:t>
      </w:r>
    </w:p>
    <w:p w:rsidR="008F717F" w:rsidRDefault="008F717F" w:rsidP="0036130C">
      <w:pPr>
        <w:pStyle w:val="ListParagraph"/>
        <w:widowControl/>
        <w:numPr>
          <w:ilvl w:val="0"/>
          <w:numId w:val="1"/>
        </w:numPr>
        <w:ind w:left="993" w:hanging="284"/>
        <w:rPr>
          <w:szCs w:val="22"/>
        </w:rPr>
      </w:pPr>
      <w:proofErr w:type="gramStart"/>
      <w:r>
        <w:rPr>
          <w:szCs w:val="22"/>
        </w:rPr>
        <w:t>revise</w:t>
      </w:r>
      <w:proofErr w:type="gramEnd"/>
      <w:r>
        <w:rPr>
          <w:szCs w:val="22"/>
        </w:rPr>
        <w:t xml:space="preserve"> the extrapolation methods </w:t>
      </w:r>
      <w:r w:rsidR="00013F03">
        <w:rPr>
          <w:szCs w:val="22"/>
        </w:rPr>
        <w:t xml:space="preserve">and the post-progression utility </w:t>
      </w:r>
      <w:r>
        <w:rPr>
          <w:szCs w:val="22"/>
        </w:rPr>
        <w:t>so that the</w:t>
      </w:r>
      <w:r w:rsidR="00013F03">
        <w:rPr>
          <w:szCs w:val="22"/>
        </w:rPr>
        <w:t>y no longer overestimate the</w:t>
      </w:r>
      <w:r>
        <w:rPr>
          <w:szCs w:val="22"/>
        </w:rPr>
        <w:t xml:space="preserve"> incremental QALYs gained.</w:t>
      </w:r>
    </w:p>
    <w:p w:rsidR="00F972D5" w:rsidRDefault="00F972D5" w:rsidP="00F972D5">
      <w:pPr>
        <w:pStyle w:val="ListParagraph"/>
        <w:widowControl/>
        <w:ind w:left="993"/>
        <w:rPr>
          <w:szCs w:val="22"/>
        </w:rPr>
      </w:pPr>
    </w:p>
    <w:p w:rsidR="00F972D5" w:rsidRDefault="00F972D5" w:rsidP="00F972D5">
      <w:pPr>
        <w:widowControl/>
        <w:numPr>
          <w:ilvl w:val="1"/>
          <w:numId w:val="2"/>
        </w:numPr>
        <w:contextualSpacing/>
      </w:pPr>
      <w:r>
        <w:t xml:space="preserve">The PBAC noted that the submission is eligible for an Independent Review. </w:t>
      </w:r>
    </w:p>
    <w:p w:rsidR="00F972D5" w:rsidRDefault="00F972D5" w:rsidP="00F972D5">
      <w:pPr>
        <w:pStyle w:val="ListParagraph"/>
        <w:widowControl/>
        <w:ind w:left="993"/>
        <w:rPr>
          <w:szCs w:val="22"/>
        </w:rPr>
      </w:pPr>
    </w:p>
    <w:p w:rsidR="00195589" w:rsidRDefault="00195589" w:rsidP="00A35AFB">
      <w:pPr>
        <w:widowControl/>
        <w:rPr>
          <w:b/>
        </w:rPr>
      </w:pPr>
    </w:p>
    <w:p w:rsidR="00A35AFB" w:rsidRDefault="00A35AFB" w:rsidP="0045035F">
      <w:pPr>
        <w:pStyle w:val="Heading2"/>
      </w:pPr>
      <w:r w:rsidRPr="00586105">
        <w:t>Outcome</w:t>
      </w:r>
      <w:r>
        <w:t>:</w:t>
      </w:r>
    </w:p>
    <w:p w:rsidR="00DB1D40" w:rsidRDefault="00A35AFB" w:rsidP="005567F5">
      <w:pPr>
        <w:widowControl/>
        <w:jc w:val="left"/>
        <w:rPr>
          <w:szCs w:val="22"/>
        </w:rPr>
      </w:pPr>
      <w:r>
        <w:rPr>
          <w:szCs w:val="22"/>
        </w:rPr>
        <w:t>Reject</w:t>
      </w:r>
      <w:r w:rsidRPr="00586105">
        <w:rPr>
          <w:szCs w:val="22"/>
        </w:rPr>
        <w:t>ed</w:t>
      </w:r>
    </w:p>
    <w:p w:rsidR="00DF40F4" w:rsidRPr="0009229E" w:rsidRDefault="00DF40F4" w:rsidP="00195589">
      <w:pPr>
        <w:spacing w:line="480" w:lineRule="auto"/>
        <w:rPr>
          <w:bCs/>
          <w:szCs w:val="22"/>
        </w:rPr>
      </w:pPr>
    </w:p>
    <w:p w:rsidR="00DF40F4" w:rsidRDefault="00DF40F4" w:rsidP="0045035F">
      <w:pPr>
        <w:pStyle w:val="Heading1"/>
        <w:rPr>
          <w:rFonts w:eastAsia="SimSun"/>
        </w:rPr>
      </w:pPr>
      <w:r>
        <w:rPr>
          <w:rFonts w:eastAsia="SimSun"/>
        </w:rPr>
        <w:t>Context for Decision</w:t>
      </w:r>
    </w:p>
    <w:p w:rsidR="00DF40F4" w:rsidRDefault="00DF40F4" w:rsidP="00DF40F4">
      <w:pPr>
        <w:ind w:left="720"/>
        <w:contextualSpacing/>
        <w:rPr>
          <w:b/>
        </w:rPr>
      </w:pPr>
    </w:p>
    <w:p w:rsidR="00DF40F4" w:rsidRDefault="00DF40F4" w:rsidP="00DF40F4">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F40F4" w:rsidRDefault="00DF40F4" w:rsidP="00195589">
      <w:pPr>
        <w:spacing w:line="480" w:lineRule="auto"/>
      </w:pPr>
    </w:p>
    <w:p w:rsidR="00DF40F4" w:rsidRDefault="00DF40F4" w:rsidP="0045035F">
      <w:pPr>
        <w:pStyle w:val="Heading1"/>
        <w:rPr>
          <w:rFonts w:eastAsia="SimSun"/>
        </w:rPr>
      </w:pPr>
      <w:r>
        <w:rPr>
          <w:rFonts w:eastAsia="SimSun"/>
        </w:rPr>
        <w:t>Sponsor’s Comment</w:t>
      </w:r>
    </w:p>
    <w:p w:rsidR="00DF40F4" w:rsidRDefault="00DF40F4" w:rsidP="00DF40F4">
      <w:pPr>
        <w:tabs>
          <w:tab w:val="left" w:pos="2940"/>
        </w:tabs>
        <w:rPr>
          <w:szCs w:val="22"/>
        </w:rPr>
      </w:pPr>
    </w:p>
    <w:p w:rsidR="00DF40F4" w:rsidRPr="0009229E" w:rsidRDefault="00E4457D" w:rsidP="00B314BB">
      <w:pPr>
        <w:pStyle w:val="PBACHeading1"/>
        <w:numPr>
          <w:ilvl w:val="0"/>
          <w:numId w:val="0"/>
        </w:numPr>
        <w:ind w:left="720"/>
      </w:pPr>
      <w:r w:rsidRPr="00D403D9">
        <w:rPr>
          <w:b w:val="0"/>
          <w:snapToGrid/>
          <w:lang w:eastAsia="en-AU"/>
        </w:rPr>
        <w:t xml:space="preserve">Given the high unmet need, Roche is committed to working with the PBAC to provide access at the earliest opportunity to </w:t>
      </w:r>
      <w:proofErr w:type="spellStart"/>
      <w:r w:rsidRPr="00D403D9">
        <w:rPr>
          <w:b w:val="0"/>
          <w:snapToGrid/>
          <w:lang w:eastAsia="en-AU"/>
        </w:rPr>
        <w:t>pirfenidone</w:t>
      </w:r>
      <w:proofErr w:type="spellEnd"/>
      <w:r w:rsidRPr="00D403D9">
        <w:rPr>
          <w:b w:val="0"/>
          <w:snapToGrid/>
          <w:lang w:eastAsia="en-AU"/>
        </w:rPr>
        <w:t xml:space="preserve"> for patients with idiopathic pulmonary fibrosis.</w:t>
      </w:r>
      <w:r w:rsidR="00B314BB" w:rsidRPr="0009229E">
        <w:t xml:space="preserve"> </w:t>
      </w:r>
    </w:p>
    <w:p w:rsidR="00DF40F4" w:rsidRPr="005567F5" w:rsidRDefault="00DF40F4" w:rsidP="005567F5">
      <w:pPr>
        <w:widowControl/>
        <w:jc w:val="left"/>
        <w:rPr>
          <w:bCs/>
          <w:szCs w:val="22"/>
        </w:rPr>
      </w:pPr>
    </w:p>
    <w:sectPr w:rsidR="00DF40F4" w:rsidRPr="005567F5" w:rsidSect="00E21358">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F0BE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89" w:rsidRDefault="00195589" w:rsidP="00124A51">
      <w:r>
        <w:separator/>
      </w:r>
    </w:p>
  </w:endnote>
  <w:endnote w:type="continuationSeparator" w:id="0">
    <w:p w:rsidR="00195589" w:rsidRDefault="0019558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89" w:rsidRDefault="00195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225834"/>
      <w:docPartObj>
        <w:docPartGallery w:val="Page Numbers (Bottom of Page)"/>
        <w:docPartUnique/>
      </w:docPartObj>
    </w:sdtPr>
    <w:sdtEndPr>
      <w:rPr>
        <w:noProof/>
      </w:rPr>
    </w:sdtEndPr>
    <w:sdtContent>
      <w:p w:rsidR="00195589" w:rsidRDefault="00195589">
        <w:pPr>
          <w:pStyle w:val="Footer"/>
          <w:jc w:val="center"/>
        </w:pPr>
        <w:r>
          <w:fldChar w:fldCharType="begin"/>
        </w:r>
        <w:r>
          <w:instrText xml:space="preserve"> PAGE   \* MERGEFORMAT </w:instrText>
        </w:r>
        <w:r>
          <w:fldChar w:fldCharType="separate"/>
        </w:r>
        <w:r w:rsidR="00A60BD0">
          <w:rPr>
            <w:noProof/>
          </w:rPr>
          <w:t>24</w:t>
        </w:r>
        <w:r>
          <w:rPr>
            <w:noProof/>
          </w:rPr>
          <w:fldChar w:fldCharType="end"/>
        </w:r>
      </w:p>
    </w:sdtContent>
  </w:sdt>
  <w:p w:rsidR="00195589" w:rsidRDefault="001955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89" w:rsidRDefault="00195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89" w:rsidRDefault="00195589" w:rsidP="00124A51">
      <w:r>
        <w:separator/>
      </w:r>
    </w:p>
  </w:footnote>
  <w:footnote w:type="continuationSeparator" w:id="0">
    <w:p w:rsidR="00195589" w:rsidRDefault="00195589" w:rsidP="00124A51">
      <w:r>
        <w:continuationSeparator/>
      </w:r>
    </w:p>
  </w:footnote>
  <w:footnote w:id="1">
    <w:p w:rsidR="00195589" w:rsidRDefault="00195589">
      <w:pPr>
        <w:pStyle w:val="FootnoteText"/>
      </w:pPr>
      <w:r>
        <w:rPr>
          <w:rStyle w:val="FootnoteReference"/>
        </w:rPr>
        <w:footnoteRef/>
      </w:r>
      <w:r>
        <w:t xml:space="preserve"> </w:t>
      </w:r>
      <w:proofErr w:type="spellStart"/>
      <w:proofErr w:type="gramStart"/>
      <w:r w:rsidRPr="00CF1389">
        <w:rPr>
          <w:rFonts w:ascii="Arial Narrow" w:hAnsi="Arial Narrow"/>
        </w:rPr>
        <w:t>Karimi</w:t>
      </w:r>
      <w:proofErr w:type="spellEnd"/>
      <w:r w:rsidRPr="00CF1389">
        <w:rPr>
          <w:rFonts w:ascii="Arial Narrow" w:hAnsi="Arial Narrow"/>
        </w:rPr>
        <w:t>-Shah BA, Chowdhury BA.</w:t>
      </w:r>
      <w:proofErr w:type="gramEnd"/>
      <w:r w:rsidRPr="00CF1389">
        <w:rPr>
          <w:rFonts w:ascii="Arial Narrow" w:hAnsi="Arial Narrow"/>
        </w:rPr>
        <w:t xml:space="preserve"> </w:t>
      </w:r>
      <w:proofErr w:type="gramStart"/>
      <w:r w:rsidRPr="00CF1389">
        <w:rPr>
          <w:rFonts w:ascii="Arial Narrow" w:hAnsi="Arial Narrow"/>
        </w:rPr>
        <w:t xml:space="preserve">Forced vital capacity in idiopathic pulmonary fibrosis--FDA review of </w:t>
      </w:r>
      <w:proofErr w:type="spellStart"/>
      <w:r w:rsidRPr="00CF1389">
        <w:rPr>
          <w:rFonts w:ascii="Arial Narrow" w:hAnsi="Arial Narrow"/>
        </w:rPr>
        <w:t>pirfenidone</w:t>
      </w:r>
      <w:proofErr w:type="spellEnd"/>
      <w:r w:rsidRPr="00CF1389">
        <w:rPr>
          <w:rFonts w:ascii="Arial Narrow" w:hAnsi="Arial Narrow"/>
        </w:rPr>
        <w:t xml:space="preserve"> and </w:t>
      </w:r>
      <w:proofErr w:type="spellStart"/>
      <w:r w:rsidRPr="00CF1389">
        <w:rPr>
          <w:rFonts w:ascii="Arial Narrow" w:hAnsi="Arial Narrow"/>
        </w:rPr>
        <w:t>nintedanib</w:t>
      </w:r>
      <w:proofErr w:type="spellEnd"/>
      <w:r w:rsidRPr="00CF1389">
        <w:rPr>
          <w:rFonts w:ascii="Arial Narrow" w:hAnsi="Arial Narrow"/>
        </w:rPr>
        <w:t>.</w:t>
      </w:r>
      <w:proofErr w:type="gramEnd"/>
      <w:r w:rsidRPr="00CF1389">
        <w:rPr>
          <w:rFonts w:ascii="Arial Narrow" w:hAnsi="Arial Narrow"/>
        </w:rPr>
        <w:t xml:space="preserve"> </w:t>
      </w:r>
      <w:proofErr w:type="gramStart"/>
      <w:r w:rsidRPr="00CF1389">
        <w:rPr>
          <w:rFonts w:ascii="Arial Narrow" w:hAnsi="Arial Narrow"/>
        </w:rPr>
        <w:t>The New England Journal of Medicine.</w:t>
      </w:r>
      <w:proofErr w:type="gramEnd"/>
      <w:r w:rsidRPr="00CF1389">
        <w:rPr>
          <w:rFonts w:ascii="Arial Narrow" w:hAnsi="Arial Narrow"/>
        </w:rPr>
        <w:t xml:space="preserve"> 2015;372(13):1189-91</w:t>
      </w:r>
    </w:p>
  </w:footnote>
  <w:footnote w:id="2">
    <w:p w:rsidR="00195589" w:rsidRDefault="00195589">
      <w:pPr>
        <w:pStyle w:val="FootnoteText"/>
      </w:pPr>
      <w:r>
        <w:rPr>
          <w:rStyle w:val="FootnoteReference"/>
        </w:rPr>
        <w:footnoteRef/>
      </w:r>
      <w:r>
        <w:t xml:space="preserve"> </w:t>
      </w:r>
      <w:proofErr w:type="spellStart"/>
      <w:proofErr w:type="gramStart"/>
      <w:r w:rsidRPr="0056546D">
        <w:rPr>
          <w:rFonts w:ascii="Arial Narrow" w:hAnsi="Arial Narrow"/>
        </w:rPr>
        <w:t>Loveman</w:t>
      </w:r>
      <w:proofErr w:type="spellEnd"/>
      <w:r w:rsidRPr="0056546D">
        <w:rPr>
          <w:rFonts w:ascii="Arial Narrow" w:hAnsi="Arial Narrow"/>
        </w:rPr>
        <w:t xml:space="preserve"> E, Copley VR, Scott DA, Colquitt JL, Clegg AJ and O’Reilly.</w:t>
      </w:r>
      <w:proofErr w:type="gramEnd"/>
      <w:r w:rsidRPr="0056546D">
        <w:rPr>
          <w:rFonts w:ascii="Arial Narrow" w:hAnsi="Arial Narrow"/>
        </w:rPr>
        <w:t xml:space="preserve"> </w:t>
      </w:r>
      <w:proofErr w:type="gramStart"/>
      <w:r w:rsidRPr="0056546D">
        <w:rPr>
          <w:rFonts w:ascii="Arial Narrow" w:hAnsi="Arial Narrow"/>
        </w:rPr>
        <w:t>Comparing new treatments for idiopathic pulmonary fibrosis-a network meta-analysis.</w:t>
      </w:r>
      <w:proofErr w:type="gramEnd"/>
      <w:r w:rsidRPr="0056546D">
        <w:rPr>
          <w:rFonts w:ascii="Arial Narrow" w:hAnsi="Arial Narrow"/>
        </w:rPr>
        <w:t xml:space="preserve"> </w:t>
      </w:r>
      <w:proofErr w:type="gramStart"/>
      <w:r w:rsidRPr="0056546D">
        <w:rPr>
          <w:rFonts w:ascii="Arial Narrow" w:hAnsi="Arial Narrow"/>
        </w:rPr>
        <w:t>BMC Pulmonary Medicine, 2015; 15:37.</w:t>
      </w:r>
      <w:proofErr w:type="gramEnd"/>
    </w:p>
  </w:footnote>
  <w:footnote w:id="3">
    <w:p w:rsidR="00195589" w:rsidRDefault="00195589">
      <w:pPr>
        <w:pStyle w:val="FootnoteText"/>
      </w:pPr>
      <w:r>
        <w:rPr>
          <w:rStyle w:val="FootnoteReference"/>
        </w:rPr>
        <w:footnoteRef/>
      </w:r>
      <w:r>
        <w:t xml:space="preserve"> </w:t>
      </w:r>
      <w:proofErr w:type="spellStart"/>
      <w:proofErr w:type="gramStart"/>
      <w:r w:rsidRPr="00CF1389">
        <w:rPr>
          <w:rFonts w:ascii="Arial Narrow" w:hAnsi="Arial Narrow"/>
        </w:rPr>
        <w:t>Karimi</w:t>
      </w:r>
      <w:proofErr w:type="spellEnd"/>
      <w:r w:rsidRPr="00CF1389">
        <w:rPr>
          <w:rFonts w:ascii="Arial Narrow" w:hAnsi="Arial Narrow"/>
        </w:rPr>
        <w:t>-Shah BA, Chowdhury BA.</w:t>
      </w:r>
      <w:proofErr w:type="gramEnd"/>
      <w:r w:rsidRPr="00CF1389">
        <w:rPr>
          <w:rFonts w:ascii="Arial Narrow" w:hAnsi="Arial Narrow"/>
        </w:rPr>
        <w:t xml:space="preserve"> </w:t>
      </w:r>
      <w:proofErr w:type="gramStart"/>
      <w:r w:rsidRPr="00CF1389">
        <w:rPr>
          <w:rFonts w:ascii="Arial Narrow" w:hAnsi="Arial Narrow"/>
        </w:rPr>
        <w:t xml:space="preserve">Forced vital capacity in idiopathic pulmonary fibrosis--FDA review of </w:t>
      </w:r>
      <w:proofErr w:type="spellStart"/>
      <w:r w:rsidRPr="00CF1389">
        <w:rPr>
          <w:rFonts w:ascii="Arial Narrow" w:hAnsi="Arial Narrow"/>
        </w:rPr>
        <w:t>pirfenidone</w:t>
      </w:r>
      <w:proofErr w:type="spellEnd"/>
      <w:r w:rsidRPr="00CF1389">
        <w:rPr>
          <w:rFonts w:ascii="Arial Narrow" w:hAnsi="Arial Narrow"/>
        </w:rPr>
        <w:t xml:space="preserve"> and </w:t>
      </w:r>
      <w:proofErr w:type="spellStart"/>
      <w:r w:rsidRPr="00CF1389">
        <w:rPr>
          <w:rFonts w:ascii="Arial Narrow" w:hAnsi="Arial Narrow"/>
        </w:rPr>
        <w:t>nintedanib</w:t>
      </w:r>
      <w:proofErr w:type="spellEnd"/>
      <w:r w:rsidRPr="00CF1389">
        <w:rPr>
          <w:rFonts w:ascii="Arial Narrow" w:hAnsi="Arial Narrow"/>
        </w:rPr>
        <w:t>.</w:t>
      </w:r>
      <w:proofErr w:type="gramEnd"/>
      <w:r w:rsidRPr="00CF1389">
        <w:rPr>
          <w:rFonts w:ascii="Arial Narrow" w:hAnsi="Arial Narrow"/>
        </w:rPr>
        <w:t xml:space="preserve"> </w:t>
      </w:r>
      <w:proofErr w:type="gramStart"/>
      <w:r w:rsidRPr="00CF1389">
        <w:rPr>
          <w:rFonts w:ascii="Arial Narrow" w:hAnsi="Arial Narrow"/>
        </w:rPr>
        <w:t>The New England Journal of Medicine.</w:t>
      </w:r>
      <w:proofErr w:type="gramEnd"/>
      <w:r w:rsidRPr="00CF1389">
        <w:rPr>
          <w:rFonts w:ascii="Arial Narrow" w:hAnsi="Arial Narrow"/>
        </w:rPr>
        <w:t xml:space="preserve"> 2015;372(13):1189-91</w:t>
      </w:r>
    </w:p>
  </w:footnote>
  <w:footnote w:id="4">
    <w:p w:rsidR="00195589" w:rsidRPr="006F7C09" w:rsidRDefault="00195589" w:rsidP="00626837">
      <w:pPr>
        <w:pStyle w:val="FootnoteText"/>
        <w:rPr>
          <w:rFonts w:ascii="Arial Narrow" w:hAnsi="Arial Narrow"/>
        </w:rPr>
      </w:pPr>
      <w:r w:rsidRPr="006F7C09">
        <w:rPr>
          <w:rStyle w:val="FootnoteReference"/>
          <w:rFonts w:ascii="Arial Narrow" w:hAnsi="Arial Narrow"/>
        </w:rPr>
        <w:footnoteRef/>
      </w:r>
      <w:r w:rsidRPr="006F7C09">
        <w:rPr>
          <w:rFonts w:ascii="Arial Narrow" w:hAnsi="Arial Narrow"/>
        </w:rPr>
        <w:t xml:space="preserve"> Nathan SD et al. Effect of Continued Treatment with </w:t>
      </w:r>
      <w:proofErr w:type="spellStart"/>
      <w:r w:rsidRPr="006F7C09">
        <w:rPr>
          <w:rFonts w:ascii="Arial Narrow" w:hAnsi="Arial Narrow"/>
        </w:rPr>
        <w:t>Pirfenidone</w:t>
      </w:r>
      <w:proofErr w:type="spellEnd"/>
      <w:r w:rsidRPr="006F7C09">
        <w:rPr>
          <w:rFonts w:ascii="Arial Narrow" w:hAnsi="Arial Narrow"/>
        </w:rPr>
        <w:t xml:space="preserve"> Following a Clinically Meaningful Decline in Percent Predicted Forced Vital Capacity in Patients with IPF. </w:t>
      </w:r>
      <w:proofErr w:type="gramStart"/>
      <w:r w:rsidRPr="006F7C09">
        <w:rPr>
          <w:rFonts w:ascii="Arial Narrow" w:hAnsi="Arial Narrow"/>
        </w:rPr>
        <w:t>Abstract A1016.</w:t>
      </w:r>
      <w:proofErr w:type="gramEnd"/>
      <w:r w:rsidRPr="006F7C09">
        <w:rPr>
          <w:rFonts w:ascii="Arial Narrow" w:hAnsi="Arial Narrow"/>
        </w:rPr>
        <w:t xml:space="preserve"> </w:t>
      </w:r>
      <w:proofErr w:type="gramStart"/>
      <w:r w:rsidRPr="006F7C09">
        <w:rPr>
          <w:rFonts w:ascii="Arial Narrow" w:hAnsi="Arial Narrow"/>
        </w:rPr>
        <w:t>American Thoracic Society 2015 International Conference, May 15-20, 2015 - Denver.</w:t>
      </w:r>
      <w:proofErr w:type="gramEnd"/>
    </w:p>
  </w:footnote>
  <w:footnote w:id="5">
    <w:p w:rsidR="00195589" w:rsidRPr="006F7C09" w:rsidRDefault="00195589" w:rsidP="003D7953">
      <w:pPr>
        <w:pStyle w:val="FootnoteText"/>
        <w:rPr>
          <w:rFonts w:ascii="Arial Narrow" w:hAnsi="Arial Narrow"/>
        </w:rPr>
      </w:pPr>
      <w:r w:rsidRPr="006F7C09">
        <w:rPr>
          <w:rStyle w:val="FootnoteReference"/>
          <w:rFonts w:ascii="Arial Narrow" w:hAnsi="Arial Narrow"/>
        </w:rPr>
        <w:footnoteRef/>
      </w:r>
      <w:r w:rsidRPr="006F7C09">
        <w:rPr>
          <w:rFonts w:ascii="Arial Narrow" w:hAnsi="Arial Narrow"/>
        </w:rPr>
        <w:t xml:space="preserve"> </w:t>
      </w:r>
      <w:proofErr w:type="spellStart"/>
      <w:proofErr w:type="gramStart"/>
      <w:r w:rsidRPr="006F7C09">
        <w:rPr>
          <w:rFonts w:ascii="Arial Narrow" w:hAnsi="Arial Narrow"/>
        </w:rPr>
        <w:t>Karimi</w:t>
      </w:r>
      <w:proofErr w:type="spellEnd"/>
      <w:r w:rsidRPr="006F7C09">
        <w:rPr>
          <w:rFonts w:ascii="Arial Narrow" w:hAnsi="Arial Narrow"/>
        </w:rPr>
        <w:t>-Shah BA, Chowdhury BA.</w:t>
      </w:r>
      <w:proofErr w:type="gramEnd"/>
      <w:r w:rsidRPr="006F7C09">
        <w:rPr>
          <w:rFonts w:ascii="Arial Narrow" w:hAnsi="Arial Narrow"/>
        </w:rPr>
        <w:t xml:space="preserve"> </w:t>
      </w:r>
      <w:proofErr w:type="gramStart"/>
      <w:r w:rsidRPr="006F7C09">
        <w:rPr>
          <w:rFonts w:ascii="Arial Narrow" w:hAnsi="Arial Narrow"/>
        </w:rPr>
        <w:t xml:space="preserve">Forced vital capacity in idiopathic pulmonary fibrosis--FDA review of </w:t>
      </w:r>
      <w:proofErr w:type="spellStart"/>
      <w:r w:rsidRPr="006F7C09">
        <w:rPr>
          <w:rFonts w:ascii="Arial Narrow" w:hAnsi="Arial Narrow"/>
        </w:rPr>
        <w:t>pirfenidone</w:t>
      </w:r>
      <w:proofErr w:type="spellEnd"/>
      <w:r w:rsidRPr="006F7C09">
        <w:rPr>
          <w:rFonts w:ascii="Arial Narrow" w:hAnsi="Arial Narrow"/>
        </w:rPr>
        <w:t xml:space="preserve"> and </w:t>
      </w:r>
      <w:proofErr w:type="spellStart"/>
      <w:r w:rsidRPr="006F7C09">
        <w:rPr>
          <w:rFonts w:ascii="Arial Narrow" w:hAnsi="Arial Narrow"/>
        </w:rPr>
        <w:t>nintedanib</w:t>
      </w:r>
      <w:proofErr w:type="spellEnd"/>
      <w:r w:rsidRPr="006F7C09">
        <w:rPr>
          <w:rFonts w:ascii="Arial Narrow" w:hAnsi="Arial Narrow"/>
        </w:rPr>
        <w:t>.</w:t>
      </w:r>
      <w:proofErr w:type="gramEnd"/>
      <w:r w:rsidRPr="006F7C09">
        <w:rPr>
          <w:rFonts w:ascii="Arial Narrow" w:hAnsi="Arial Narrow"/>
        </w:rPr>
        <w:t xml:space="preserve"> </w:t>
      </w:r>
      <w:proofErr w:type="gramStart"/>
      <w:r w:rsidRPr="006F7C09">
        <w:rPr>
          <w:rFonts w:ascii="Arial Narrow" w:hAnsi="Arial Narrow"/>
        </w:rPr>
        <w:t>The New England Journal of Medicine.</w:t>
      </w:r>
      <w:proofErr w:type="gramEnd"/>
      <w:r w:rsidRPr="006F7C09">
        <w:rPr>
          <w:rFonts w:ascii="Arial Narrow" w:hAnsi="Arial Narrow"/>
        </w:rPr>
        <w:t xml:space="preserve"> 2015;372(13):1189-91</w:t>
      </w:r>
    </w:p>
    <w:p w:rsidR="00195589" w:rsidRDefault="00195589" w:rsidP="003D7953">
      <w:pPr>
        <w:pStyle w:val="FootnoteText"/>
      </w:pPr>
    </w:p>
  </w:footnote>
  <w:footnote w:id="6">
    <w:p w:rsidR="00195589" w:rsidRPr="00DF4155" w:rsidRDefault="00195589" w:rsidP="00F9532A">
      <w:pPr>
        <w:pStyle w:val="FootnoteText"/>
        <w:rPr>
          <w:rFonts w:ascii="Arial Narrow" w:hAnsi="Arial Narrow"/>
        </w:rPr>
      </w:pPr>
      <w:r w:rsidRPr="00DF4155">
        <w:rPr>
          <w:rStyle w:val="FootnoteReference"/>
          <w:rFonts w:ascii="Arial Narrow" w:hAnsi="Arial Narrow"/>
        </w:rPr>
        <w:footnoteRef/>
      </w:r>
      <w:r w:rsidRPr="00DF4155">
        <w:rPr>
          <w:rFonts w:ascii="Arial Narrow" w:hAnsi="Arial Narrow"/>
        </w:rPr>
        <w:t xml:space="preserve">   </w:t>
      </w:r>
      <w:proofErr w:type="spellStart"/>
      <w:proofErr w:type="gramStart"/>
      <w:r w:rsidRPr="00DF4155">
        <w:rPr>
          <w:rFonts w:ascii="Arial Narrow" w:hAnsi="Arial Narrow"/>
        </w:rPr>
        <w:t>Loveman</w:t>
      </w:r>
      <w:proofErr w:type="spellEnd"/>
      <w:r w:rsidRPr="00DF4155">
        <w:rPr>
          <w:rFonts w:ascii="Arial Narrow" w:hAnsi="Arial Narrow"/>
        </w:rPr>
        <w:t xml:space="preserve"> E, Copley VR, Scott DA, Colquitt JL, Clegg AJ and O’Reilly.</w:t>
      </w:r>
      <w:proofErr w:type="gramEnd"/>
      <w:r w:rsidRPr="00DF4155">
        <w:rPr>
          <w:rFonts w:ascii="Arial Narrow" w:hAnsi="Arial Narrow"/>
        </w:rPr>
        <w:t xml:space="preserve"> </w:t>
      </w:r>
      <w:proofErr w:type="gramStart"/>
      <w:r w:rsidRPr="00DF4155">
        <w:rPr>
          <w:rFonts w:ascii="Arial Narrow" w:hAnsi="Arial Narrow"/>
        </w:rPr>
        <w:t>Comparing new treatments for idiopathic pulmonary fibrosis-a network meta-analysis.</w:t>
      </w:r>
      <w:proofErr w:type="gramEnd"/>
      <w:r w:rsidRPr="00DF4155">
        <w:rPr>
          <w:rFonts w:ascii="Arial Narrow" w:hAnsi="Arial Narrow"/>
        </w:rPr>
        <w:t xml:space="preserve"> </w:t>
      </w:r>
      <w:proofErr w:type="gramStart"/>
      <w:r w:rsidRPr="00DF4155">
        <w:rPr>
          <w:rFonts w:ascii="Arial Narrow" w:hAnsi="Arial Narrow"/>
        </w:rPr>
        <w:t>BMC Pulmonary Medicine, 2015; 15:37.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89" w:rsidRDefault="00195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89" w:rsidRPr="00DF217D" w:rsidRDefault="00195589" w:rsidP="00DF40F4">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195589" w:rsidRDefault="00195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89" w:rsidRDefault="00195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2E7467EE"/>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C0DD5"/>
    <w:multiLevelType w:val="hybridMultilevel"/>
    <w:tmpl w:val="C77C703A"/>
    <w:lvl w:ilvl="0" w:tplc="0C090001">
      <w:start w:val="1"/>
      <w:numFmt w:val="bullet"/>
      <w:lvlText w:val=""/>
      <w:lvlJc w:val="left"/>
      <w:pPr>
        <w:ind w:left="360" w:hanging="360"/>
      </w:pPr>
      <w:rPr>
        <w:rFonts w:ascii="Symbol" w:hAnsi="Symbol" w:hint="default"/>
      </w:rPr>
    </w:lvl>
    <w:lvl w:ilvl="1" w:tplc="C7F0E124">
      <w:start w:val="4"/>
      <w:numFmt w:val="bullet"/>
      <w:lvlText w:val="-"/>
      <w:lvlJc w:val="left"/>
      <w:pPr>
        <w:ind w:left="1080" w:hanging="360"/>
      </w:pPr>
      <w:rPr>
        <w:rFonts w:ascii="Calibri" w:eastAsia="SimSun" w:hAnsi="Calibri"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E256ED5"/>
    <w:multiLevelType w:val="multilevel"/>
    <w:tmpl w:val="727A4E6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32D7AD8"/>
    <w:multiLevelType w:val="hybridMultilevel"/>
    <w:tmpl w:val="5FD8679C"/>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D033C"/>
    <w:multiLevelType w:val="multilevel"/>
    <w:tmpl w:val="2D8CD01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3"/>
  </w:num>
  <w:num w:numId="5">
    <w:abstractNumId w:val="2"/>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us Tan">
    <w15:presenceInfo w15:providerId="AD" w15:userId="S-1-5-21-248963057-614103661-3067232799-296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11454"/>
    <w:rsid w:val="00013247"/>
    <w:rsid w:val="00013F03"/>
    <w:rsid w:val="00015886"/>
    <w:rsid w:val="000162EF"/>
    <w:rsid w:val="0002225F"/>
    <w:rsid w:val="00023763"/>
    <w:rsid w:val="000333E0"/>
    <w:rsid w:val="00034083"/>
    <w:rsid w:val="00034E9C"/>
    <w:rsid w:val="000372C6"/>
    <w:rsid w:val="00040895"/>
    <w:rsid w:val="00043C37"/>
    <w:rsid w:val="00046393"/>
    <w:rsid w:val="000546D7"/>
    <w:rsid w:val="0006316D"/>
    <w:rsid w:val="00065B34"/>
    <w:rsid w:val="00067798"/>
    <w:rsid w:val="000708FE"/>
    <w:rsid w:val="00071248"/>
    <w:rsid w:val="00071F8F"/>
    <w:rsid w:val="000720B9"/>
    <w:rsid w:val="00073671"/>
    <w:rsid w:val="00080330"/>
    <w:rsid w:val="000812CA"/>
    <w:rsid w:val="000859E4"/>
    <w:rsid w:val="00086188"/>
    <w:rsid w:val="000867FB"/>
    <w:rsid w:val="00090C7E"/>
    <w:rsid w:val="000920D0"/>
    <w:rsid w:val="0009547B"/>
    <w:rsid w:val="000A1D3A"/>
    <w:rsid w:val="000B3394"/>
    <w:rsid w:val="000B7E33"/>
    <w:rsid w:val="000C0893"/>
    <w:rsid w:val="000C7F73"/>
    <w:rsid w:val="000D1BFC"/>
    <w:rsid w:val="000F4BB8"/>
    <w:rsid w:val="000F7127"/>
    <w:rsid w:val="00100F8A"/>
    <w:rsid w:val="001033BF"/>
    <w:rsid w:val="0011032E"/>
    <w:rsid w:val="0011348B"/>
    <w:rsid w:val="00114ABF"/>
    <w:rsid w:val="00114C8A"/>
    <w:rsid w:val="00121799"/>
    <w:rsid w:val="00121BC7"/>
    <w:rsid w:val="001222FC"/>
    <w:rsid w:val="00122AB6"/>
    <w:rsid w:val="00124A51"/>
    <w:rsid w:val="00125567"/>
    <w:rsid w:val="00126621"/>
    <w:rsid w:val="0012761F"/>
    <w:rsid w:val="001301E9"/>
    <w:rsid w:val="00130D02"/>
    <w:rsid w:val="00137645"/>
    <w:rsid w:val="0014015A"/>
    <w:rsid w:val="00140E99"/>
    <w:rsid w:val="00142C54"/>
    <w:rsid w:val="00145540"/>
    <w:rsid w:val="001456B0"/>
    <w:rsid w:val="00157130"/>
    <w:rsid w:val="001572BE"/>
    <w:rsid w:val="001628E2"/>
    <w:rsid w:val="00162913"/>
    <w:rsid w:val="00163CE6"/>
    <w:rsid w:val="00163EFF"/>
    <w:rsid w:val="00165313"/>
    <w:rsid w:val="001661FB"/>
    <w:rsid w:val="001674DF"/>
    <w:rsid w:val="001679D2"/>
    <w:rsid w:val="00175B8B"/>
    <w:rsid w:val="00185CD7"/>
    <w:rsid w:val="0018752F"/>
    <w:rsid w:val="00190D65"/>
    <w:rsid w:val="001918A1"/>
    <w:rsid w:val="00195222"/>
    <w:rsid w:val="00195589"/>
    <w:rsid w:val="001975D8"/>
    <w:rsid w:val="001A737C"/>
    <w:rsid w:val="001B3443"/>
    <w:rsid w:val="001C6E66"/>
    <w:rsid w:val="001C759D"/>
    <w:rsid w:val="001D13BB"/>
    <w:rsid w:val="001E158C"/>
    <w:rsid w:val="001E238E"/>
    <w:rsid w:val="001E2B1E"/>
    <w:rsid w:val="001E52EB"/>
    <w:rsid w:val="001E740C"/>
    <w:rsid w:val="001F1235"/>
    <w:rsid w:val="001F1CB3"/>
    <w:rsid w:val="001F69FB"/>
    <w:rsid w:val="001F7361"/>
    <w:rsid w:val="0020385F"/>
    <w:rsid w:val="00207021"/>
    <w:rsid w:val="00207D00"/>
    <w:rsid w:val="002105C1"/>
    <w:rsid w:val="00223B49"/>
    <w:rsid w:val="00224DD4"/>
    <w:rsid w:val="0023012B"/>
    <w:rsid w:val="002309CC"/>
    <w:rsid w:val="00230A25"/>
    <w:rsid w:val="0023323B"/>
    <w:rsid w:val="002506E8"/>
    <w:rsid w:val="00254DCF"/>
    <w:rsid w:val="0025534B"/>
    <w:rsid w:val="00255BB7"/>
    <w:rsid w:val="00262A87"/>
    <w:rsid w:val="00275C5A"/>
    <w:rsid w:val="00281014"/>
    <w:rsid w:val="0028103E"/>
    <w:rsid w:val="002847BC"/>
    <w:rsid w:val="00287192"/>
    <w:rsid w:val="002915DA"/>
    <w:rsid w:val="00294E47"/>
    <w:rsid w:val="002A14AB"/>
    <w:rsid w:val="002A4C35"/>
    <w:rsid w:val="002B055F"/>
    <w:rsid w:val="002B1C1F"/>
    <w:rsid w:val="002B1E4A"/>
    <w:rsid w:val="002B432F"/>
    <w:rsid w:val="002B6CCE"/>
    <w:rsid w:val="002C2775"/>
    <w:rsid w:val="002C27C1"/>
    <w:rsid w:val="002C4CDC"/>
    <w:rsid w:val="002D30C4"/>
    <w:rsid w:val="002D7975"/>
    <w:rsid w:val="002E6C02"/>
    <w:rsid w:val="002F149C"/>
    <w:rsid w:val="002F5071"/>
    <w:rsid w:val="002F5399"/>
    <w:rsid w:val="002F7B33"/>
    <w:rsid w:val="00301017"/>
    <w:rsid w:val="00301E4C"/>
    <w:rsid w:val="00302E4E"/>
    <w:rsid w:val="0030786C"/>
    <w:rsid w:val="0031031A"/>
    <w:rsid w:val="00310981"/>
    <w:rsid w:val="00315498"/>
    <w:rsid w:val="00320653"/>
    <w:rsid w:val="00322A8A"/>
    <w:rsid w:val="00331FEF"/>
    <w:rsid w:val="003364E0"/>
    <w:rsid w:val="003366C9"/>
    <w:rsid w:val="003371B0"/>
    <w:rsid w:val="0035259B"/>
    <w:rsid w:val="0035620E"/>
    <w:rsid w:val="003572AA"/>
    <w:rsid w:val="0036130C"/>
    <w:rsid w:val="0036661A"/>
    <w:rsid w:val="00367C0E"/>
    <w:rsid w:val="00373009"/>
    <w:rsid w:val="00381D2F"/>
    <w:rsid w:val="00382FA0"/>
    <w:rsid w:val="0038365C"/>
    <w:rsid w:val="00384998"/>
    <w:rsid w:val="0038527F"/>
    <w:rsid w:val="0039156D"/>
    <w:rsid w:val="00396FD0"/>
    <w:rsid w:val="003A1A7A"/>
    <w:rsid w:val="003B7701"/>
    <w:rsid w:val="003B7872"/>
    <w:rsid w:val="003C209E"/>
    <w:rsid w:val="003D1828"/>
    <w:rsid w:val="003D2422"/>
    <w:rsid w:val="003D2EAC"/>
    <w:rsid w:val="003D7953"/>
    <w:rsid w:val="003E28D0"/>
    <w:rsid w:val="003E6E38"/>
    <w:rsid w:val="003F4156"/>
    <w:rsid w:val="00410708"/>
    <w:rsid w:val="00410EC7"/>
    <w:rsid w:val="00414476"/>
    <w:rsid w:val="00414D60"/>
    <w:rsid w:val="00420B9F"/>
    <w:rsid w:val="00423A22"/>
    <w:rsid w:val="00425A42"/>
    <w:rsid w:val="00430392"/>
    <w:rsid w:val="004319F8"/>
    <w:rsid w:val="00433044"/>
    <w:rsid w:val="0043307F"/>
    <w:rsid w:val="004378B4"/>
    <w:rsid w:val="004443A7"/>
    <w:rsid w:val="004464EB"/>
    <w:rsid w:val="0045035F"/>
    <w:rsid w:val="00453A20"/>
    <w:rsid w:val="00453A78"/>
    <w:rsid w:val="00455D45"/>
    <w:rsid w:val="00455F2C"/>
    <w:rsid w:val="004629FB"/>
    <w:rsid w:val="00464595"/>
    <w:rsid w:val="00466AF8"/>
    <w:rsid w:val="00466B90"/>
    <w:rsid w:val="00474029"/>
    <w:rsid w:val="00480DD6"/>
    <w:rsid w:val="004867E2"/>
    <w:rsid w:val="00491B3A"/>
    <w:rsid w:val="00492A95"/>
    <w:rsid w:val="00492CFD"/>
    <w:rsid w:val="004962D2"/>
    <w:rsid w:val="004A0DA1"/>
    <w:rsid w:val="004A4F12"/>
    <w:rsid w:val="004A5FD9"/>
    <w:rsid w:val="004A6597"/>
    <w:rsid w:val="004A7CAD"/>
    <w:rsid w:val="004B1CB4"/>
    <w:rsid w:val="004B2F18"/>
    <w:rsid w:val="004B3DDB"/>
    <w:rsid w:val="004B44FD"/>
    <w:rsid w:val="004B5CFC"/>
    <w:rsid w:val="004C01DF"/>
    <w:rsid w:val="004C4AED"/>
    <w:rsid w:val="004C6D47"/>
    <w:rsid w:val="004D1972"/>
    <w:rsid w:val="004D2076"/>
    <w:rsid w:val="004E0EB8"/>
    <w:rsid w:val="004E2ADC"/>
    <w:rsid w:val="004E43B2"/>
    <w:rsid w:val="004E7168"/>
    <w:rsid w:val="004F1D02"/>
    <w:rsid w:val="004F2679"/>
    <w:rsid w:val="004F5C83"/>
    <w:rsid w:val="004F642D"/>
    <w:rsid w:val="004F7865"/>
    <w:rsid w:val="00506928"/>
    <w:rsid w:val="005152B5"/>
    <w:rsid w:val="00516039"/>
    <w:rsid w:val="00521319"/>
    <w:rsid w:val="00523C28"/>
    <w:rsid w:val="00526355"/>
    <w:rsid w:val="00527EC2"/>
    <w:rsid w:val="00543231"/>
    <w:rsid w:val="00552BD3"/>
    <w:rsid w:val="00555109"/>
    <w:rsid w:val="0055557C"/>
    <w:rsid w:val="005567F5"/>
    <w:rsid w:val="00556B4E"/>
    <w:rsid w:val="0056322F"/>
    <w:rsid w:val="0056546D"/>
    <w:rsid w:val="0056696F"/>
    <w:rsid w:val="00575D8D"/>
    <w:rsid w:val="00576972"/>
    <w:rsid w:val="0058187E"/>
    <w:rsid w:val="0058239F"/>
    <w:rsid w:val="00583699"/>
    <w:rsid w:val="005955C7"/>
    <w:rsid w:val="005A5DE3"/>
    <w:rsid w:val="005A6A09"/>
    <w:rsid w:val="005B222D"/>
    <w:rsid w:val="005B31EB"/>
    <w:rsid w:val="005B5857"/>
    <w:rsid w:val="005C1B83"/>
    <w:rsid w:val="005C346B"/>
    <w:rsid w:val="005D00E1"/>
    <w:rsid w:val="005D044D"/>
    <w:rsid w:val="005D18AD"/>
    <w:rsid w:val="005D6106"/>
    <w:rsid w:val="005D70FF"/>
    <w:rsid w:val="005E48F4"/>
    <w:rsid w:val="005E73C0"/>
    <w:rsid w:val="005F2706"/>
    <w:rsid w:val="005F27D0"/>
    <w:rsid w:val="005F46E7"/>
    <w:rsid w:val="005F6A8F"/>
    <w:rsid w:val="00600D47"/>
    <w:rsid w:val="00603BA4"/>
    <w:rsid w:val="00606959"/>
    <w:rsid w:val="00607669"/>
    <w:rsid w:val="00610F30"/>
    <w:rsid w:val="00612F97"/>
    <w:rsid w:val="00616802"/>
    <w:rsid w:val="00617E12"/>
    <w:rsid w:val="00621477"/>
    <w:rsid w:val="0062196C"/>
    <w:rsid w:val="00626837"/>
    <w:rsid w:val="00627E27"/>
    <w:rsid w:val="00631D6B"/>
    <w:rsid w:val="00632134"/>
    <w:rsid w:val="00632E43"/>
    <w:rsid w:val="0063479F"/>
    <w:rsid w:val="006364A1"/>
    <w:rsid w:val="00637BFD"/>
    <w:rsid w:val="00646584"/>
    <w:rsid w:val="006471CC"/>
    <w:rsid w:val="0065079F"/>
    <w:rsid w:val="00666068"/>
    <w:rsid w:val="00671494"/>
    <w:rsid w:val="00674E42"/>
    <w:rsid w:val="00677A1E"/>
    <w:rsid w:val="00682112"/>
    <w:rsid w:val="006872BA"/>
    <w:rsid w:val="006917D7"/>
    <w:rsid w:val="00694F44"/>
    <w:rsid w:val="006A2EB1"/>
    <w:rsid w:val="006A3BDE"/>
    <w:rsid w:val="006A3C67"/>
    <w:rsid w:val="006B53B4"/>
    <w:rsid w:val="006C2A8E"/>
    <w:rsid w:val="006C772B"/>
    <w:rsid w:val="006D3C7D"/>
    <w:rsid w:val="006D5D5F"/>
    <w:rsid w:val="006F5DBF"/>
    <w:rsid w:val="006F63A5"/>
    <w:rsid w:val="006F7C09"/>
    <w:rsid w:val="006F7C25"/>
    <w:rsid w:val="0070276E"/>
    <w:rsid w:val="00702F8F"/>
    <w:rsid w:val="00711A36"/>
    <w:rsid w:val="007172AD"/>
    <w:rsid w:val="0072084D"/>
    <w:rsid w:val="007234D2"/>
    <w:rsid w:val="0072416F"/>
    <w:rsid w:val="00735328"/>
    <w:rsid w:val="0073685B"/>
    <w:rsid w:val="00745EA4"/>
    <w:rsid w:val="00747477"/>
    <w:rsid w:val="00753CD1"/>
    <w:rsid w:val="007565DB"/>
    <w:rsid w:val="0075718C"/>
    <w:rsid w:val="00765CE2"/>
    <w:rsid w:val="0077593C"/>
    <w:rsid w:val="00792C59"/>
    <w:rsid w:val="007A0A12"/>
    <w:rsid w:val="007B11A2"/>
    <w:rsid w:val="007B251D"/>
    <w:rsid w:val="007B77D1"/>
    <w:rsid w:val="007C361D"/>
    <w:rsid w:val="007D0B38"/>
    <w:rsid w:val="007D7EE7"/>
    <w:rsid w:val="007E20F5"/>
    <w:rsid w:val="007F1017"/>
    <w:rsid w:val="007F2071"/>
    <w:rsid w:val="007F338F"/>
    <w:rsid w:val="007F4A3F"/>
    <w:rsid w:val="007F523B"/>
    <w:rsid w:val="007F58A1"/>
    <w:rsid w:val="00805142"/>
    <w:rsid w:val="00807A8B"/>
    <w:rsid w:val="00807A93"/>
    <w:rsid w:val="00812149"/>
    <w:rsid w:val="008166EF"/>
    <w:rsid w:val="008264EB"/>
    <w:rsid w:val="0083364D"/>
    <w:rsid w:val="00833B05"/>
    <w:rsid w:val="00834986"/>
    <w:rsid w:val="00840CA2"/>
    <w:rsid w:val="00847F3D"/>
    <w:rsid w:val="00856E9A"/>
    <w:rsid w:val="00862502"/>
    <w:rsid w:val="0086311E"/>
    <w:rsid w:val="00864F01"/>
    <w:rsid w:val="00882874"/>
    <w:rsid w:val="00883787"/>
    <w:rsid w:val="008931CF"/>
    <w:rsid w:val="00894489"/>
    <w:rsid w:val="008945A9"/>
    <w:rsid w:val="008963A5"/>
    <w:rsid w:val="008A3C3E"/>
    <w:rsid w:val="008A79DE"/>
    <w:rsid w:val="008A7A10"/>
    <w:rsid w:val="008B7D7E"/>
    <w:rsid w:val="008C7ECB"/>
    <w:rsid w:val="008E1B9E"/>
    <w:rsid w:val="008E3923"/>
    <w:rsid w:val="008E74B4"/>
    <w:rsid w:val="008E7E37"/>
    <w:rsid w:val="008F120A"/>
    <w:rsid w:val="008F259B"/>
    <w:rsid w:val="008F2986"/>
    <w:rsid w:val="008F32C5"/>
    <w:rsid w:val="008F48EB"/>
    <w:rsid w:val="008F4F0B"/>
    <w:rsid w:val="008F717F"/>
    <w:rsid w:val="0090363B"/>
    <w:rsid w:val="009062A5"/>
    <w:rsid w:val="00911272"/>
    <w:rsid w:val="00911F0E"/>
    <w:rsid w:val="0093343F"/>
    <w:rsid w:val="00942648"/>
    <w:rsid w:val="009438FD"/>
    <w:rsid w:val="00962CB9"/>
    <w:rsid w:val="00962EFA"/>
    <w:rsid w:val="00964312"/>
    <w:rsid w:val="00974412"/>
    <w:rsid w:val="00983E57"/>
    <w:rsid w:val="00987BA1"/>
    <w:rsid w:val="00993CE2"/>
    <w:rsid w:val="00996B1A"/>
    <w:rsid w:val="009A193F"/>
    <w:rsid w:val="009A2C89"/>
    <w:rsid w:val="009B1183"/>
    <w:rsid w:val="009B2580"/>
    <w:rsid w:val="009B3E26"/>
    <w:rsid w:val="009B504D"/>
    <w:rsid w:val="009D5B91"/>
    <w:rsid w:val="009D5C81"/>
    <w:rsid w:val="009E2C60"/>
    <w:rsid w:val="009E4C07"/>
    <w:rsid w:val="009E6AA5"/>
    <w:rsid w:val="009F2F0C"/>
    <w:rsid w:val="00A01E28"/>
    <w:rsid w:val="00A03590"/>
    <w:rsid w:val="00A03D43"/>
    <w:rsid w:val="00A04380"/>
    <w:rsid w:val="00A13948"/>
    <w:rsid w:val="00A20F1A"/>
    <w:rsid w:val="00A25389"/>
    <w:rsid w:val="00A27AEC"/>
    <w:rsid w:val="00A359EA"/>
    <w:rsid w:val="00A35AFB"/>
    <w:rsid w:val="00A35D16"/>
    <w:rsid w:val="00A36BF2"/>
    <w:rsid w:val="00A43C59"/>
    <w:rsid w:val="00A45D22"/>
    <w:rsid w:val="00A50ECD"/>
    <w:rsid w:val="00A52073"/>
    <w:rsid w:val="00A52729"/>
    <w:rsid w:val="00A53675"/>
    <w:rsid w:val="00A56B6A"/>
    <w:rsid w:val="00A56C8A"/>
    <w:rsid w:val="00A578DC"/>
    <w:rsid w:val="00A60BD0"/>
    <w:rsid w:val="00A6725B"/>
    <w:rsid w:val="00A85B1E"/>
    <w:rsid w:val="00A86E8B"/>
    <w:rsid w:val="00A93072"/>
    <w:rsid w:val="00A959D8"/>
    <w:rsid w:val="00A974F1"/>
    <w:rsid w:val="00AA66F8"/>
    <w:rsid w:val="00AB042A"/>
    <w:rsid w:val="00AB2612"/>
    <w:rsid w:val="00AB2BEA"/>
    <w:rsid w:val="00AB2D34"/>
    <w:rsid w:val="00AB3430"/>
    <w:rsid w:val="00AB7CFA"/>
    <w:rsid w:val="00AC3DCE"/>
    <w:rsid w:val="00AC5363"/>
    <w:rsid w:val="00AE2559"/>
    <w:rsid w:val="00AE3D1A"/>
    <w:rsid w:val="00AE40D7"/>
    <w:rsid w:val="00AF2F23"/>
    <w:rsid w:val="00AF4647"/>
    <w:rsid w:val="00AF57E3"/>
    <w:rsid w:val="00AF6413"/>
    <w:rsid w:val="00B07C01"/>
    <w:rsid w:val="00B14207"/>
    <w:rsid w:val="00B149C4"/>
    <w:rsid w:val="00B15ADB"/>
    <w:rsid w:val="00B1610D"/>
    <w:rsid w:val="00B21753"/>
    <w:rsid w:val="00B24435"/>
    <w:rsid w:val="00B27FDC"/>
    <w:rsid w:val="00B314BB"/>
    <w:rsid w:val="00B42851"/>
    <w:rsid w:val="00B4290F"/>
    <w:rsid w:val="00B47411"/>
    <w:rsid w:val="00B50DB8"/>
    <w:rsid w:val="00B53905"/>
    <w:rsid w:val="00B54B5B"/>
    <w:rsid w:val="00B5562E"/>
    <w:rsid w:val="00B57000"/>
    <w:rsid w:val="00B60939"/>
    <w:rsid w:val="00B60AFD"/>
    <w:rsid w:val="00B62715"/>
    <w:rsid w:val="00B629AC"/>
    <w:rsid w:val="00B74ABF"/>
    <w:rsid w:val="00B818A4"/>
    <w:rsid w:val="00B84B3A"/>
    <w:rsid w:val="00B8649C"/>
    <w:rsid w:val="00B92D0B"/>
    <w:rsid w:val="00B9372F"/>
    <w:rsid w:val="00B94945"/>
    <w:rsid w:val="00BA2DAE"/>
    <w:rsid w:val="00BB11F7"/>
    <w:rsid w:val="00BB4798"/>
    <w:rsid w:val="00BB7405"/>
    <w:rsid w:val="00BB784D"/>
    <w:rsid w:val="00BC6B50"/>
    <w:rsid w:val="00BD4329"/>
    <w:rsid w:val="00BD6CF3"/>
    <w:rsid w:val="00BD7339"/>
    <w:rsid w:val="00BE0DB6"/>
    <w:rsid w:val="00BE2180"/>
    <w:rsid w:val="00BE4275"/>
    <w:rsid w:val="00BE6C37"/>
    <w:rsid w:val="00BF2433"/>
    <w:rsid w:val="00BF61C9"/>
    <w:rsid w:val="00C25418"/>
    <w:rsid w:val="00C25D9C"/>
    <w:rsid w:val="00C31649"/>
    <w:rsid w:val="00C40385"/>
    <w:rsid w:val="00C459CA"/>
    <w:rsid w:val="00C52AFE"/>
    <w:rsid w:val="00C612B1"/>
    <w:rsid w:val="00C63A61"/>
    <w:rsid w:val="00C6481D"/>
    <w:rsid w:val="00C65576"/>
    <w:rsid w:val="00C66165"/>
    <w:rsid w:val="00C74EBB"/>
    <w:rsid w:val="00C750C8"/>
    <w:rsid w:val="00C75F87"/>
    <w:rsid w:val="00C77F3F"/>
    <w:rsid w:val="00C8213F"/>
    <w:rsid w:val="00C8669C"/>
    <w:rsid w:val="00C8797A"/>
    <w:rsid w:val="00C938CF"/>
    <w:rsid w:val="00C96439"/>
    <w:rsid w:val="00CA3C80"/>
    <w:rsid w:val="00CA5245"/>
    <w:rsid w:val="00CA7B09"/>
    <w:rsid w:val="00CB22C8"/>
    <w:rsid w:val="00CB5B1A"/>
    <w:rsid w:val="00CC7AD3"/>
    <w:rsid w:val="00CD300D"/>
    <w:rsid w:val="00CD5288"/>
    <w:rsid w:val="00CD60E0"/>
    <w:rsid w:val="00CD6ADC"/>
    <w:rsid w:val="00CD7456"/>
    <w:rsid w:val="00CD7E5F"/>
    <w:rsid w:val="00CE2C66"/>
    <w:rsid w:val="00CE6274"/>
    <w:rsid w:val="00CF0BB2"/>
    <w:rsid w:val="00CF1389"/>
    <w:rsid w:val="00CF181D"/>
    <w:rsid w:val="00CF1E60"/>
    <w:rsid w:val="00CF456B"/>
    <w:rsid w:val="00CF5A22"/>
    <w:rsid w:val="00D0262E"/>
    <w:rsid w:val="00D110BD"/>
    <w:rsid w:val="00D11ED7"/>
    <w:rsid w:val="00D17D6C"/>
    <w:rsid w:val="00D26C8A"/>
    <w:rsid w:val="00D32FDE"/>
    <w:rsid w:val="00D3511C"/>
    <w:rsid w:val="00D357FF"/>
    <w:rsid w:val="00D43532"/>
    <w:rsid w:val="00D473C8"/>
    <w:rsid w:val="00D63EDC"/>
    <w:rsid w:val="00D711CB"/>
    <w:rsid w:val="00D74D22"/>
    <w:rsid w:val="00D76A44"/>
    <w:rsid w:val="00D800D9"/>
    <w:rsid w:val="00D8328D"/>
    <w:rsid w:val="00D834CF"/>
    <w:rsid w:val="00D93753"/>
    <w:rsid w:val="00D94E64"/>
    <w:rsid w:val="00D96578"/>
    <w:rsid w:val="00DA23D4"/>
    <w:rsid w:val="00DA77A5"/>
    <w:rsid w:val="00DB1D40"/>
    <w:rsid w:val="00DB5A99"/>
    <w:rsid w:val="00DB6076"/>
    <w:rsid w:val="00DB745C"/>
    <w:rsid w:val="00DC43E6"/>
    <w:rsid w:val="00DC5501"/>
    <w:rsid w:val="00DD3F28"/>
    <w:rsid w:val="00DD4537"/>
    <w:rsid w:val="00DD4E15"/>
    <w:rsid w:val="00DE4FCB"/>
    <w:rsid w:val="00DF19DB"/>
    <w:rsid w:val="00DF40F4"/>
    <w:rsid w:val="00DF5D2B"/>
    <w:rsid w:val="00E05933"/>
    <w:rsid w:val="00E10149"/>
    <w:rsid w:val="00E110F2"/>
    <w:rsid w:val="00E121AE"/>
    <w:rsid w:val="00E12A1A"/>
    <w:rsid w:val="00E16372"/>
    <w:rsid w:val="00E20ED6"/>
    <w:rsid w:val="00E21358"/>
    <w:rsid w:val="00E2249B"/>
    <w:rsid w:val="00E22A0D"/>
    <w:rsid w:val="00E2771E"/>
    <w:rsid w:val="00E27FFA"/>
    <w:rsid w:val="00E31631"/>
    <w:rsid w:val="00E3299B"/>
    <w:rsid w:val="00E37569"/>
    <w:rsid w:val="00E402E8"/>
    <w:rsid w:val="00E41E30"/>
    <w:rsid w:val="00E41E45"/>
    <w:rsid w:val="00E43D70"/>
    <w:rsid w:val="00E4457D"/>
    <w:rsid w:val="00E46F83"/>
    <w:rsid w:val="00E47B2C"/>
    <w:rsid w:val="00E51560"/>
    <w:rsid w:val="00E51A7F"/>
    <w:rsid w:val="00E535C8"/>
    <w:rsid w:val="00E55424"/>
    <w:rsid w:val="00E55BB5"/>
    <w:rsid w:val="00E5743F"/>
    <w:rsid w:val="00E6440F"/>
    <w:rsid w:val="00E65DF1"/>
    <w:rsid w:val="00E65E79"/>
    <w:rsid w:val="00E67416"/>
    <w:rsid w:val="00E718B6"/>
    <w:rsid w:val="00E73581"/>
    <w:rsid w:val="00E7575B"/>
    <w:rsid w:val="00E76290"/>
    <w:rsid w:val="00E813E0"/>
    <w:rsid w:val="00E83BDF"/>
    <w:rsid w:val="00E9421C"/>
    <w:rsid w:val="00E94E95"/>
    <w:rsid w:val="00E96DC1"/>
    <w:rsid w:val="00EA3864"/>
    <w:rsid w:val="00EA6808"/>
    <w:rsid w:val="00EB15B6"/>
    <w:rsid w:val="00EB4916"/>
    <w:rsid w:val="00EC00C9"/>
    <w:rsid w:val="00EC35C9"/>
    <w:rsid w:val="00ED1D18"/>
    <w:rsid w:val="00ED5652"/>
    <w:rsid w:val="00ED7B10"/>
    <w:rsid w:val="00EE07D3"/>
    <w:rsid w:val="00EE5EF2"/>
    <w:rsid w:val="00EE6E2C"/>
    <w:rsid w:val="00EE70EA"/>
    <w:rsid w:val="00EF2918"/>
    <w:rsid w:val="00EF32F1"/>
    <w:rsid w:val="00F03799"/>
    <w:rsid w:val="00F067A2"/>
    <w:rsid w:val="00F14568"/>
    <w:rsid w:val="00F24837"/>
    <w:rsid w:val="00F2575F"/>
    <w:rsid w:val="00F27C6A"/>
    <w:rsid w:val="00F33DE9"/>
    <w:rsid w:val="00F3619A"/>
    <w:rsid w:val="00F46251"/>
    <w:rsid w:val="00F468F6"/>
    <w:rsid w:val="00F46CB6"/>
    <w:rsid w:val="00F55E73"/>
    <w:rsid w:val="00F56383"/>
    <w:rsid w:val="00F57560"/>
    <w:rsid w:val="00F60092"/>
    <w:rsid w:val="00F61646"/>
    <w:rsid w:val="00F6289C"/>
    <w:rsid w:val="00F63714"/>
    <w:rsid w:val="00F7159B"/>
    <w:rsid w:val="00F76A6D"/>
    <w:rsid w:val="00F80E5D"/>
    <w:rsid w:val="00F851CE"/>
    <w:rsid w:val="00F90CCA"/>
    <w:rsid w:val="00F9532A"/>
    <w:rsid w:val="00F972D5"/>
    <w:rsid w:val="00F97A78"/>
    <w:rsid w:val="00FA24E7"/>
    <w:rsid w:val="00FA61CC"/>
    <w:rsid w:val="00FA6A1C"/>
    <w:rsid w:val="00FB290F"/>
    <w:rsid w:val="00FB2FCB"/>
    <w:rsid w:val="00FC1074"/>
    <w:rsid w:val="00FC1884"/>
    <w:rsid w:val="00FC4794"/>
    <w:rsid w:val="00FD2100"/>
    <w:rsid w:val="00FD4020"/>
    <w:rsid w:val="00FD446D"/>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2"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195589"/>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rsid w:val="00195589"/>
    <w:pPr>
      <w:numPr>
        <w:numId w:val="0"/>
      </w:numPr>
      <w:ind w:left="720"/>
      <w:outlineLvl w:val="0"/>
    </w:pPr>
    <w:rPr>
      <w:sz w:val="32"/>
    </w:rPr>
  </w:style>
  <w:style w:type="character" w:customStyle="1" w:styleId="TitleChar">
    <w:name w:val="Title Char"/>
    <w:basedOn w:val="DefaultParagraphFont"/>
    <w:link w:val="Title"/>
    <w:rsid w:val="00195589"/>
    <w:rPr>
      <w:rFonts w:ascii="Arial" w:hAnsi="Arial" w:cs="Arial"/>
      <w:b/>
      <w:snapToGrid w:val="0"/>
      <w:sz w:val="32"/>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301E4C"/>
    <w:rPr>
      <w:sz w:val="20"/>
    </w:rPr>
  </w:style>
  <w:style w:type="character" w:customStyle="1" w:styleId="FootnoteTextChar">
    <w:name w:val="Footnote Text Char"/>
    <w:basedOn w:val="DefaultParagraphFont"/>
    <w:link w:val="FootnoteText"/>
    <w:semiHidden/>
    <w:rsid w:val="00301E4C"/>
    <w:rPr>
      <w:rFonts w:ascii="Arial" w:hAnsi="Arial" w:cs="Arial"/>
      <w:snapToGrid w:val="0"/>
      <w:lang w:eastAsia="en-US"/>
    </w:rPr>
  </w:style>
  <w:style w:type="character" w:styleId="FootnoteReference">
    <w:name w:val="footnote reference"/>
    <w:basedOn w:val="DefaultParagraphFont"/>
    <w:semiHidden/>
    <w:unhideWhenUsed/>
    <w:rsid w:val="00301E4C"/>
    <w:rPr>
      <w:vertAlign w:val="superscript"/>
    </w:rPr>
  </w:style>
  <w:style w:type="table" w:customStyle="1" w:styleId="Summarybox1">
    <w:name w:val="Summary box1"/>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01E4C"/>
    <w:rPr>
      <w:rFonts w:ascii="Arial" w:hAnsi="Arial" w:cs="Arial"/>
      <w:snapToGrid w:val="0"/>
      <w:sz w:val="22"/>
      <w:u w:val="single"/>
      <w:lang w:eastAsia="en-US"/>
    </w:rPr>
  </w:style>
  <w:style w:type="character" w:customStyle="1" w:styleId="ListParagraphChar">
    <w:name w:val="List Paragraph Char"/>
    <w:basedOn w:val="DefaultParagraphFont"/>
    <w:link w:val="ListParagraph"/>
    <w:uiPriority w:val="72"/>
    <w:rsid w:val="00301E4C"/>
    <w:rPr>
      <w:rFonts w:ascii="Arial" w:hAnsi="Arial" w:cs="Arial"/>
      <w:snapToGrid w:val="0"/>
      <w:sz w:val="22"/>
      <w:lang w:eastAsia="en-US"/>
    </w:rPr>
  </w:style>
  <w:style w:type="character" w:customStyle="1" w:styleId="TableTextChar0">
    <w:name w:val="TableText Char"/>
    <w:basedOn w:val="DefaultParagraphFont"/>
    <w:link w:val="TableText0"/>
    <w:uiPriority w:val="97"/>
    <w:rsid w:val="00301E4C"/>
    <w:rPr>
      <w:rFonts w:ascii="Arial Narrow" w:hAnsi="Arial Narrow" w:cs="Arial Narrow"/>
      <w:lang w:eastAsia="en-US"/>
    </w:rPr>
  </w:style>
  <w:style w:type="table" w:customStyle="1" w:styleId="TableGrid1">
    <w:name w:val="Table Grid1"/>
    <w:basedOn w:val="TableNormal"/>
    <w:next w:val="TableGrid"/>
    <w:uiPriority w:val="59"/>
    <w:rsid w:val="00301E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ow">
    <w:name w:val="TableHeadingRow"/>
    <w:basedOn w:val="Normal"/>
    <w:uiPriority w:val="3"/>
    <w:qFormat/>
    <w:rsid w:val="00301E4C"/>
    <w:pPr>
      <w:keepNext/>
      <w:widowControl/>
      <w:spacing w:before="20" w:after="20"/>
      <w:jc w:val="left"/>
    </w:pPr>
    <w:rPr>
      <w:rFonts w:ascii="Calibri" w:hAnsi="Calibri" w:cstheme="minorHAnsi"/>
      <w:b/>
      <w:snapToGrid/>
      <w:sz w:val="20"/>
    </w:rPr>
  </w:style>
  <w:style w:type="table" w:customStyle="1" w:styleId="TableGrid2">
    <w:name w:val="Table Grid2"/>
    <w:basedOn w:val="TableNormal"/>
    <w:next w:val="TableGrid"/>
    <w:uiPriority w:val="59"/>
    <w:rsid w:val="00301E4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ndscapeFooter">
    <w:name w:val="Landscape Footer"/>
    <w:basedOn w:val="Normal"/>
    <w:link w:val="LandscapeFooterChar"/>
    <w:uiPriority w:val="5"/>
    <w:qFormat/>
    <w:rsid w:val="00301E4C"/>
    <w:pPr>
      <w:widowControl/>
      <w:tabs>
        <w:tab w:val="center" w:pos="7655"/>
        <w:tab w:val="right" w:pos="15137"/>
      </w:tabs>
      <w:jc w:val="left"/>
    </w:pPr>
    <w:rPr>
      <w:rFonts w:eastAsiaTheme="minorEastAsia" w:cstheme="minorBidi"/>
      <w:snapToGrid/>
      <w:sz w:val="18"/>
      <w:szCs w:val="18"/>
      <w:lang w:eastAsia="zh-CN"/>
    </w:rPr>
  </w:style>
  <w:style w:type="character" w:customStyle="1" w:styleId="LandscapeFooterChar">
    <w:name w:val="Landscape Footer Char"/>
    <w:basedOn w:val="DefaultParagraphFont"/>
    <w:link w:val="LandscapeFooter"/>
    <w:uiPriority w:val="5"/>
    <w:rsid w:val="00301E4C"/>
    <w:rPr>
      <w:rFonts w:ascii="Arial" w:eastAsiaTheme="minorEastAsia" w:hAnsi="Arial" w:cstheme="minorBidi"/>
      <w:sz w:val="18"/>
      <w:szCs w:val="18"/>
      <w:lang w:eastAsia="zh-CN"/>
    </w:rPr>
  </w:style>
  <w:style w:type="table" w:customStyle="1" w:styleId="TableGrid5">
    <w:name w:val="Table Grid5"/>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1E4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01E4C"/>
  </w:style>
  <w:style w:type="character" w:customStyle="1" w:styleId="Heading1Char">
    <w:name w:val="Heading 1 Char"/>
    <w:basedOn w:val="DefaultParagraphFont"/>
    <w:link w:val="Heading1"/>
    <w:rsid w:val="00195589"/>
    <w:rPr>
      <w:rFonts w:ascii="Arial" w:hAnsi="Arial" w:cs="Arial"/>
      <w:b/>
      <w:snapToGrid w:val="0"/>
      <w:sz w:val="22"/>
      <w:szCs w:val="22"/>
      <w:lang w:eastAsia="en-US"/>
    </w:rPr>
  </w:style>
  <w:style w:type="table" w:customStyle="1" w:styleId="Summarybox2">
    <w:name w:val="Summary box2"/>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1E4C"/>
    <w:pPr>
      <w:autoSpaceDE w:val="0"/>
      <w:autoSpaceDN w:val="0"/>
      <w:adjustRightInd w:val="0"/>
    </w:pPr>
    <w:rPr>
      <w:rFonts w:ascii="Arial" w:hAnsi="Arial" w:cs="Arial"/>
      <w:color w:val="000000"/>
      <w:sz w:val="24"/>
      <w:szCs w:val="24"/>
    </w:rPr>
  </w:style>
  <w:style w:type="paragraph" w:customStyle="1" w:styleId="TableNotes">
    <w:name w:val="TableNotes"/>
    <w:basedOn w:val="Normal"/>
    <w:next w:val="Normal"/>
    <w:uiPriority w:val="3"/>
    <w:qFormat/>
    <w:rsid w:val="00301E4C"/>
    <w:pPr>
      <w:widowControl/>
      <w:tabs>
        <w:tab w:val="left" w:pos="1134"/>
      </w:tabs>
      <w:spacing w:after="240"/>
      <w:ind w:left="1134" w:hanging="1134"/>
      <w:jc w:val="left"/>
    </w:pPr>
    <w:rPr>
      <w:rFonts w:ascii="Calibri" w:eastAsiaTheme="minorEastAsia" w:hAnsi="Calibri" w:cstheme="minorBidi"/>
      <w:snapToGrid/>
      <w:sz w:val="18"/>
      <w:szCs w:val="18"/>
    </w:rPr>
  </w:style>
  <w:style w:type="paragraph" w:customStyle="1" w:styleId="Pa11">
    <w:name w:val="Pa11"/>
    <w:basedOn w:val="Default"/>
    <w:next w:val="Default"/>
    <w:uiPriority w:val="99"/>
    <w:rsid w:val="00301E4C"/>
    <w:pPr>
      <w:spacing w:line="191" w:lineRule="atLeast"/>
    </w:pPr>
    <w:rPr>
      <w:color w:val="auto"/>
    </w:rPr>
  </w:style>
  <w:style w:type="paragraph" w:customStyle="1" w:styleId="Pa12">
    <w:name w:val="Pa12"/>
    <w:basedOn w:val="Default"/>
    <w:next w:val="Default"/>
    <w:uiPriority w:val="99"/>
    <w:rsid w:val="00301E4C"/>
    <w:pPr>
      <w:spacing w:line="191" w:lineRule="atLeast"/>
    </w:pPr>
    <w:rPr>
      <w:color w:val="auto"/>
    </w:rPr>
  </w:style>
  <w:style w:type="character" w:customStyle="1" w:styleId="A23">
    <w:name w:val="A23"/>
    <w:uiPriority w:val="99"/>
    <w:rsid w:val="00301E4C"/>
    <w:rPr>
      <w:color w:val="000000"/>
      <w:sz w:val="11"/>
      <w:szCs w:val="11"/>
    </w:rPr>
  </w:style>
  <w:style w:type="character" w:styleId="FollowedHyperlink">
    <w:name w:val="FollowedHyperlink"/>
    <w:basedOn w:val="DefaultParagraphFont"/>
    <w:semiHidden/>
    <w:unhideWhenUsed/>
    <w:rsid w:val="00301E4C"/>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23A22"/>
    <w:pPr>
      <w:widowControl/>
      <w:spacing w:after="160" w:line="240" w:lineRule="exact"/>
      <w:jc w:val="left"/>
    </w:pPr>
    <w:rPr>
      <w:rFonts w:ascii="Verdana" w:eastAsia="MS Mincho" w:hAnsi="Verdana" w:cs="Verdana"/>
      <w:snapToGrid/>
      <w:sz w:val="20"/>
      <w:lang w:val="en-US"/>
    </w:rPr>
  </w:style>
  <w:style w:type="character" w:styleId="IntenseReference">
    <w:name w:val="Intense Reference"/>
    <w:uiPriority w:val="32"/>
    <w:qFormat/>
    <w:rsid w:val="00423A22"/>
    <w:rPr>
      <w:b/>
      <w:bCs/>
      <w:i/>
      <w:smallCaps/>
      <w:color w:val="C0504D"/>
      <w:spacing w:val="5"/>
      <w:u w:val="none"/>
    </w:rPr>
  </w:style>
  <w:style w:type="paragraph" w:styleId="EndnoteText">
    <w:name w:val="endnote text"/>
    <w:basedOn w:val="Normal"/>
    <w:link w:val="EndnoteTextChar"/>
    <w:semiHidden/>
    <w:unhideWhenUsed/>
    <w:rsid w:val="00CF1389"/>
    <w:rPr>
      <w:sz w:val="20"/>
    </w:rPr>
  </w:style>
  <w:style w:type="character" w:customStyle="1" w:styleId="EndnoteTextChar">
    <w:name w:val="Endnote Text Char"/>
    <w:basedOn w:val="DefaultParagraphFont"/>
    <w:link w:val="EndnoteText"/>
    <w:semiHidden/>
    <w:rsid w:val="00CF1389"/>
    <w:rPr>
      <w:rFonts w:ascii="Arial" w:hAnsi="Arial" w:cs="Arial"/>
      <w:snapToGrid w:val="0"/>
      <w:lang w:eastAsia="en-US"/>
    </w:rPr>
  </w:style>
  <w:style w:type="character" w:styleId="EndnoteReference">
    <w:name w:val="endnote reference"/>
    <w:basedOn w:val="DefaultParagraphFont"/>
    <w:semiHidden/>
    <w:unhideWhenUsed/>
    <w:rsid w:val="00CF1389"/>
    <w:rPr>
      <w:vertAlign w:val="superscript"/>
    </w:rPr>
  </w:style>
  <w:style w:type="paragraph" w:customStyle="1" w:styleId="PBACHeading2">
    <w:name w:val="PBAC Heading 2"/>
    <w:basedOn w:val="Normal"/>
    <w:link w:val="PBACHeading2Char"/>
    <w:qFormat/>
    <w:rsid w:val="00A56C8A"/>
    <w:rPr>
      <w:b/>
      <w:i/>
    </w:rPr>
  </w:style>
  <w:style w:type="character" w:customStyle="1" w:styleId="PBACHeading2Char">
    <w:name w:val="PBAC Heading 2 Char"/>
    <w:basedOn w:val="DefaultParagraphFont"/>
    <w:link w:val="PBACHeading2"/>
    <w:rsid w:val="00A56C8A"/>
    <w:rPr>
      <w:rFonts w:ascii="Arial" w:hAnsi="Arial" w:cs="Arial"/>
      <w:b/>
      <w:i/>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2"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195589"/>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rsid w:val="00195589"/>
    <w:pPr>
      <w:numPr>
        <w:numId w:val="0"/>
      </w:numPr>
      <w:ind w:left="720"/>
      <w:outlineLvl w:val="0"/>
    </w:pPr>
    <w:rPr>
      <w:sz w:val="32"/>
    </w:rPr>
  </w:style>
  <w:style w:type="character" w:customStyle="1" w:styleId="TitleChar">
    <w:name w:val="Title Char"/>
    <w:basedOn w:val="DefaultParagraphFont"/>
    <w:link w:val="Title"/>
    <w:rsid w:val="00195589"/>
    <w:rPr>
      <w:rFonts w:ascii="Arial" w:hAnsi="Arial" w:cs="Arial"/>
      <w:b/>
      <w:snapToGrid w:val="0"/>
      <w:sz w:val="32"/>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301E4C"/>
    <w:rPr>
      <w:sz w:val="20"/>
    </w:rPr>
  </w:style>
  <w:style w:type="character" w:customStyle="1" w:styleId="FootnoteTextChar">
    <w:name w:val="Footnote Text Char"/>
    <w:basedOn w:val="DefaultParagraphFont"/>
    <w:link w:val="FootnoteText"/>
    <w:semiHidden/>
    <w:rsid w:val="00301E4C"/>
    <w:rPr>
      <w:rFonts w:ascii="Arial" w:hAnsi="Arial" w:cs="Arial"/>
      <w:snapToGrid w:val="0"/>
      <w:lang w:eastAsia="en-US"/>
    </w:rPr>
  </w:style>
  <w:style w:type="character" w:styleId="FootnoteReference">
    <w:name w:val="footnote reference"/>
    <w:basedOn w:val="DefaultParagraphFont"/>
    <w:semiHidden/>
    <w:unhideWhenUsed/>
    <w:rsid w:val="00301E4C"/>
    <w:rPr>
      <w:vertAlign w:val="superscript"/>
    </w:rPr>
  </w:style>
  <w:style w:type="table" w:customStyle="1" w:styleId="Summarybox1">
    <w:name w:val="Summary box1"/>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01E4C"/>
    <w:rPr>
      <w:rFonts w:ascii="Arial" w:hAnsi="Arial" w:cs="Arial"/>
      <w:snapToGrid w:val="0"/>
      <w:sz w:val="22"/>
      <w:u w:val="single"/>
      <w:lang w:eastAsia="en-US"/>
    </w:rPr>
  </w:style>
  <w:style w:type="character" w:customStyle="1" w:styleId="ListParagraphChar">
    <w:name w:val="List Paragraph Char"/>
    <w:basedOn w:val="DefaultParagraphFont"/>
    <w:link w:val="ListParagraph"/>
    <w:uiPriority w:val="72"/>
    <w:rsid w:val="00301E4C"/>
    <w:rPr>
      <w:rFonts w:ascii="Arial" w:hAnsi="Arial" w:cs="Arial"/>
      <w:snapToGrid w:val="0"/>
      <w:sz w:val="22"/>
      <w:lang w:eastAsia="en-US"/>
    </w:rPr>
  </w:style>
  <w:style w:type="character" w:customStyle="1" w:styleId="TableTextChar0">
    <w:name w:val="TableText Char"/>
    <w:basedOn w:val="DefaultParagraphFont"/>
    <w:link w:val="TableText0"/>
    <w:uiPriority w:val="97"/>
    <w:rsid w:val="00301E4C"/>
    <w:rPr>
      <w:rFonts w:ascii="Arial Narrow" w:hAnsi="Arial Narrow" w:cs="Arial Narrow"/>
      <w:lang w:eastAsia="en-US"/>
    </w:rPr>
  </w:style>
  <w:style w:type="table" w:customStyle="1" w:styleId="TableGrid1">
    <w:name w:val="Table Grid1"/>
    <w:basedOn w:val="TableNormal"/>
    <w:next w:val="TableGrid"/>
    <w:uiPriority w:val="59"/>
    <w:rsid w:val="00301E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ow">
    <w:name w:val="TableHeadingRow"/>
    <w:basedOn w:val="Normal"/>
    <w:uiPriority w:val="3"/>
    <w:qFormat/>
    <w:rsid w:val="00301E4C"/>
    <w:pPr>
      <w:keepNext/>
      <w:widowControl/>
      <w:spacing w:before="20" w:after="20"/>
      <w:jc w:val="left"/>
    </w:pPr>
    <w:rPr>
      <w:rFonts w:ascii="Calibri" w:hAnsi="Calibri" w:cstheme="minorHAnsi"/>
      <w:b/>
      <w:snapToGrid/>
      <w:sz w:val="20"/>
    </w:rPr>
  </w:style>
  <w:style w:type="table" w:customStyle="1" w:styleId="TableGrid2">
    <w:name w:val="Table Grid2"/>
    <w:basedOn w:val="TableNormal"/>
    <w:next w:val="TableGrid"/>
    <w:uiPriority w:val="59"/>
    <w:rsid w:val="00301E4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ndscapeFooter">
    <w:name w:val="Landscape Footer"/>
    <w:basedOn w:val="Normal"/>
    <w:link w:val="LandscapeFooterChar"/>
    <w:uiPriority w:val="5"/>
    <w:qFormat/>
    <w:rsid w:val="00301E4C"/>
    <w:pPr>
      <w:widowControl/>
      <w:tabs>
        <w:tab w:val="center" w:pos="7655"/>
        <w:tab w:val="right" w:pos="15137"/>
      </w:tabs>
      <w:jc w:val="left"/>
    </w:pPr>
    <w:rPr>
      <w:rFonts w:eastAsiaTheme="minorEastAsia" w:cstheme="minorBidi"/>
      <w:snapToGrid/>
      <w:sz w:val="18"/>
      <w:szCs w:val="18"/>
      <w:lang w:eastAsia="zh-CN"/>
    </w:rPr>
  </w:style>
  <w:style w:type="character" w:customStyle="1" w:styleId="LandscapeFooterChar">
    <w:name w:val="Landscape Footer Char"/>
    <w:basedOn w:val="DefaultParagraphFont"/>
    <w:link w:val="LandscapeFooter"/>
    <w:uiPriority w:val="5"/>
    <w:rsid w:val="00301E4C"/>
    <w:rPr>
      <w:rFonts w:ascii="Arial" w:eastAsiaTheme="minorEastAsia" w:hAnsi="Arial" w:cstheme="minorBidi"/>
      <w:sz w:val="18"/>
      <w:szCs w:val="18"/>
      <w:lang w:eastAsia="zh-CN"/>
    </w:rPr>
  </w:style>
  <w:style w:type="table" w:customStyle="1" w:styleId="TableGrid5">
    <w:name w:val="Table Grid5"/>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1E4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01E4C"/>
  </w:style>
  <w:style w:type="character" w:customStyle="1" w:styleId="Heading1Char">
    <w:name w:val="Heading 1 Char"/>
    <w:basedOn w:val="DefaultParagraphFont"/>
    <w:link w:val="Heading1"/>
    <w:rsid w:val="00195589"/>
    <w:rPr>
      <w:rFonts w:ascii="Arial" w:hAnsi="Arial" w:cs="Arial"/>
      <w:b/>
      <w:snapToGrid w:val="0"/>
      <w:sz w:val="22"/>
      <w:szCs w:val="22"/>
      <w:lang w:eastAsia="en-US"/>
    </w:rPr>
  </w:style>
  <w:style w:type="table" w:customStyle="1" w:styleId="Summarybox2">
    <w:name w:val="Summary box2"/>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30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1E4C"/>
    <w:pPr>
      <w:autoSpaceDE w:val="0"/>
      <w:autoSpaceDN w:val="0"/>
      <w:adjustRightInd w:val="0"/>
    </w:pPr>
    <w:rPr>
      <w:rFonts w:ascii="Arial" w:hAnsi="Arial" w:cs="Arial"/>
      <w:color w:val="000000"/>
      <w:sz w:val="24"/>
      <w:szCs w:val="24"/>
    </w:rPr>
  </w:style>
  <w:style w:type="paragraph" w:customStyle="1" w:styleId="TableNotes">
    <w:name w:val="TableNotes"/>
    <w:basedOn w:val="Normal"/>
    <w:next w:val="Normal"/>
    <w:uiPriority w:val="3"/>
    <w:qFormat/>
    <w:rsid w:val="00301E4C"/>
    <w:pPr>
      <w:widowControl/>
      <w:tabs>
        <w:tab w:val="left" w:pos="1134"/>
      </w:tabs>
      <w:spacing w:after="240"/>
      <w:ind w:left="1134" w:hanging="1134"/>
      <w:jc w:val="left"/>
    </w:pPr>
    <w:rPr>
      <w:rFonts w:ascii="Calibri" w:eastAsiaTheme="minorEastAsia" w:hAnsi="Calibri" w:cstheme="minorBidi"/>
      <w:snapToGrid/>
      <w:sz w:val="18"/>
      <w:szCs w:val="18"/>
    </w:rPr>
  </w:style>
  <w:style w:type="paragraph" w:customStyle="1" w:styleId="Pa11">
    <w:name w:val="Pa11"/>
    <w:basedOn w:val="Default"/>
    <w:next w:val="Default"/>
    <w:uiPriority w:val="99"/>
    <w:rsid w:val="00301E4C"/>
    <w:pPr>
      <w:spacing w:line="191" w:lineRule="atLeast"/>
    </w:pPr>
    <w:rPr>
      <w:color w:val="auto"/>
    </w:rPr>
  </w:style>
  <w:style w:type="paragraph" w:customStyle="1" w:styleId="Pa12">
    <w:name w:val="Pa12"/>
    <w:basedOn w:val="Default"/>
    <w:next w:val="Default"/>
    <w:uiPriority w:val="99"/>
    <w:rsid w:val="00301E4C"/>
    <w:pPr>
      <w:spacing w:line="191" w:lineRule="atLeast"/>
    </w:pPr>
    <w:rPr>
      <w:color w:val="auto"/>
    </w:rPr>
  </w:style>
  <w:style w:type="character" w:customStyle="1" w:styleId="A23">
    <w:name w:val="A23"/>
    <w:uiPriority w:val="99"/>
    <w:rsid w:val="00301E4C"/>
    <w:rPr>
      <w:color w:val="000000"/>
      <w:sz w:val="11"/>
      <w:szCs w:val="11"/>
    </w:rPr>
  </w:style>
  <w:style w:type="character" w:styleId="FollowedHyperlink">
    <w:name w:val="FollowedHyperlink"/>
    <w:basedOn w:val="DefaultParagraphFont"/>
    <w:semiHidden/>
    <w:unhideWhenUsed/>
    <w:rsid w:val="00301E4C"/>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23A22"/>
    <w:pPr>
      <w:widowControl/>
      <w:spacing w:after="160" w:line="240" w:lineRule="exact"/>
      <w:jc w:val="left"/>
    </w:pPr>
    <w:rPr>
      <w:rFonts w:ascii="Verdana" w:eastAsia="MS Mincho" w:hAnsi="Verdana" w:cs="Verdana"/>
      <w:snapToGrid/>
      <w:sz w:val="20"/>
      <w:lang w:val="en-US"/>
    </w:rPr>
  </w:style>
  <w:style w:type="character" w:styleId="IntenseReference">
    <w:name w:val="Intense Reference"/>
    <w:uiPriority w:val="32"/>
    <w:qFormat/>
    <w:rsid w:val="00423A22"/>
    <w:rPr>
      <w:b/>
      <w:bCs/>
      <w:i/>
      <w:smallCaps/>
      <w:color w:val="C0504D"/>
      <w:spacing w:val="5"/>
      <w:u w:val="none"/>
    </w:rPr>
  </w:style>
  <w:style w:type="paragraph" w:styleId="EndnoteText">
    <w:name w:val="endnote text"/>
    <w:basedOn w:val="Normal"/>
    <w:link w:val="EndnoteTextChar"/>
    <w:semiHidden/>
    <w:unhideWhenUsed/>
    <w:rsid w:val="00CF1389"/>
    <w:rPr>
      <w:sz w:val="20"/>
    </w:rPr>
  </w:style>
  <w:style w:type="character" w:customStyle="1" w:styleId="EndnoteTextChar">
    <w:name w:val="Endnote Text Char"/>
    <w:basedOn w:val="DefaultParagraphFont"/>
    <w:link w:val="EndnoteText"/>
    <w:semiHidden/>
    <w:rsid w:val="00CF1389"/>
    <w:rPr>
      <w:rFonts w:ascii="Arial" w:hAnsi="Arial" w:cs="Arial"/>
      <w:snapToGrid w:val="0"/>
      <w:lang w:eastAsia="en-US"/>
    </w:rPr>
  </w:style>
  <w:style w:type="character" w:styleId="EndnoteReference">
    <w:name w:val="endnote reference"/>
    <w:basedOn w:val="DefaultParagraphFont"/>
    <w:semiHidden/>
    <w:unhideWhenUsed/>
    <w:rsid w:val="00CF1389"/>
    <w:rPr>
      <w:vertAlign w:val="superscript"/>
    </w:rPr>
  </w:style>
  <w:style w:type="paragraph" w:customStyle="1" w:styleId="PBACHeading2">
    <w:name w:val="PBAC Heading 2"/>
    <w:basedOn w:val="Normal"/>
    <w:link w:val="PBACHeading2Char"/>
    <w:qFormat/>
    <w:rsid w:val="00A56C8A"/>
    <w:rPr>
      <w:b/>
      <w:i/>
    </w:rPr>
  </w:style>
  <w:style w:type="character" w:customStyle="1" w:styleId="PBACHeading2Char">
    <w:name w:val="PBAC Heading 2 Char"/>
    <w:basedOn w:val="DefaultParagraphFont"/>
    <w:link w:val="PBACHeading2"/>
    <w:rsid w:val="00A56C8A"/>
    <w:rPr>
      <w:rFonts w:ascii="Arial" w:hAnsi="Arial" w:cs="Arial"/>
      <w:b/>
      <w:i/>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5161">
      <w:bodyDiv w:val="1"/>
      <w:marLeft w:val="0"/>
      <w:marRight w:val="0"/>
      <w:marTop w:val="0"/>
      <w:marBottom w:val="0"/>
      <w:divBdr>
        <w:top w:val="none" w:sz="0" w:space="0" w:color="auto"/>
        <w:left w:val="none" w:sz="0" w:space="0" w:color="auto"/>
        <w:bottom w:val="none" w:sz="0" w:space="0" w:color="auto"/>
        <w:right w:val="none" w:sz="0" w:space="0" w:color="auto"/>
      </w:divBdr>
    </w:div>
    <w:div w:id="801924173">
      <w:bodyDiv w:val="1"/>
      <w:marLeft w:val="0"/>
      <w:marRight w:val="0"/>
      <w:marTop w:val="0"/>
      <w:marBottom w:val="0"/>
      <w:divBdr>
        <w:top w:val="none" w:sz="0" w:space="0" w:color="auto"/>
        <w:left w:val="none" w:sz="0" w:space="0" w:color="auto"/>
        <w:bottom w:val="none" w:sz="0" w:space="0" w:color="auto"/>
        <w:right w:val="none" w:sz="0" w:space="0" w:color="auto"/>
      </w:divBdr>
      <w:divsChild>
        <w:div w:id="1869874157">
          <w:marLeft w:val="547"/>
          <w:marRight w:val="0"/>
          <w:marTop w:val="120"/>
          <w:marBottom w:val="0"/>
          <w:divBdr>
            <w:top w:val="none" w:sz="0" w:space="0" w:color="auto"/>
            <w:left w:val="none" w:sz="0" w:space="0" w:color="auto"/>
            <w:bottom w:val="none" w:sz="0" w:space="0" w:color="auto"/>
            <w:right w:val="none" w:sz="0" w:space="0" w:color="auto"/>
          </w:divBdr>
        </w:div>
      </w:divsChild>
    </w:div>
    <w:div w:id="985935329">
      <w:bodyDiv w:val="1"/>
      <w:marLeft w:val="0"/>
      <w:marRight w:val="0"/>
      <w:marTop w:val="0"/>
      <w:marBottom w:val="0"/>
      <w:divBdr>
        <w:top w:val="none" w:sz="0" w:space="0" w:color="auto"/>
        <w:left w:val="none" w:sz="0" w:space="0" w:color="auto"/>
        <w:bottom w:val="none" w:sz="0" w:space="0" w:color="auto"/>
        <w:right w:val="none" w:sz="0" w:space="0" w:color="auto"/>
      </w:divBdr>
    </w:div>
    <w:div w:id="1836995253">
      <w:bodyDiv w:val="1"/>
      <w:marLeft w:val="0"/>
      <w:marRight w:val="0"/>
      <w:marTop w:val="0"/>
      <w:marBottom w:val="0"/>
      <w:divBdr>
        <w:top w:val="none" w:sz="0" w:space="0" w:color="auto"/>
        <w:left w:val="none" w:sz="0" w:space="0" w:color="auto"/>
        <w:bottom w:val="none" w:sz="0" w:space="0" w:color="auto"/>
        <w:right w:val="none" w:sz="0" w:space="0" w:color="auto"/>
      </w:divBdr>
      <w:divsChild>
        <w:div w:id="540095505">
          <w:marLeft w:val="547"/>
          <w:marRight w:val="0"/>
          <w:marTop w:val="106"/>
          <w:marBottom w:val="0"/>
          <w:divBdr>
            <w:top w:val="none" w:sz="0" w:space="0" w:color="auto"/>
            <w:left w:val="none" w:sz="0" w:space="0" w:color="auto"/>
            <w:bottom w:val="none" w:sz="0" w:space="0" w:color="auto"/>
            <w:right w:val="none" w:sz="0" w:space="0" w:color="auto"/>
          </w:divBdr>
        </w:div>
        <w:div w:id="980890084">
          <w:marLeft w:val="547"/>
          <w:marRight w:val="0"/>
          <w:marTop w:val="106"/>
          <w:marBottom w:val="0"/>
          <w:divBdr>
            <w:top w:val="none" w:sz="0" w:space="0" w:color="auto"/>
            <w:left w:val="none" w:sz="0" w:space="0" w:color="auto"/>
            <w:bottom w:val="none" w:sz="0" w:space="0" w:color="auto"/>
            <w:right w:val="none" w:sz="0" w:space="0" w:color="auto"/>
          </w:divBdr>
        </w:div>
        <w:div w:id="1077245497">
          <w:marLeft w:val="547"/>
          <w:marRight w:val="0"/>
          <w:marTop w:val="106"/>
          <w:marBottom w:val="0"/>
          <w:divBdr>
            <w:top w:val="none" w:sz="0" w:space="0" w:color="auto"/>
            <w:left w:val="none" w:sz="0" w:space="0" w:color="auto"/>
            <w:bottom w:val="none" w:sz="0" w:space="0" w:color="auto"/>
            <w:right w:val="none" w:sz="0" w:space="0" w:color="auto"/>
          </w:divBdr>
        </w:div>
        <w:div w:id="568077693">
          <w:marLeft w:val="547"/>
          <w:marRight w:val="0"/>
          <w:marTop w:val="106"/>
          <w:marBottom w:val="0"/>
          <w:divBdr>
            <w:top w:val="none" w:sz="0" w:space="0" w:color="auto"/>
            <w:left w:val="none" w:sz="0" w:space="0" w:color="auto"/>
            <w:bottom w:val="none" w:sz="0" w:space="0" w:color="auto"/>
            <w:right w:val="none" w:sz="0" w:space="0" w:color="auto"/>
          </w:divBdr>
        </w:div>
        <w:div w:id="703091063">
          <w:marLeft w:val="547"/>
          <w:marRight w:val="0"/>
          <w:marTop w:val="106"/>
          <w:marBottom w:val="0"/>
          <w:divBdr>
            <w:top w:val="none" w:sz="0" w:space="0" w:color="auto"/>
            <w:left w:val="none" w:sz="0" w:space="0" w:color="auto"/>
            <w:bottom w:val="none" w:sz="0" w:space="0" w:color="auto"/>
            <w:right w:val="none" w:sz="0" w:space="0" w:color="auto"/>
          </w:divBdr>
        </w:div>
      </w:divsChild>
    </w:div>
    <w:div w:id="20761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89A9-134C-4464-89EA-5A3B6338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9278</Words>
  <Characters>54763</Characters>
  <Application>Microsoft Office Word</Application>
  <DocSecurity>0</DocSecurity>
  <Lines>456</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2016-02-24T22:37:00Z</dcterms:created>
  <dcterms:modified xsi:type="dcterms:W3CDTF">2016-03-16T22:15:00Z</dcterms:modified>
</cp:coreProperties>
</file>