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74" w:rsidRPr="00B5580D" w:rsidRDefault="009B6105" w:rsidP="00B5580D">
      <w:pPr>
        <w:pStyle w:val="PBACHeading1"/>
        <w:numPr>
          <w:ilvl w:val="0"/>
          <w:numId w:val="0"/>
        </w:numPr>
        <w:ind w:left="720" w:hanging="720"/>
      </w:pPr>
      <w:bookmarkStart w:id="0" w:name="_Toc430013030"/>
      <w:r w:rsidRPr="00B5580D">
        <w:t>5.1</w:t>
      </w:r>
      <w:r w:rsidR="00DA6C34" w:rsidRPr="00B5580D">
        <w:t>1</w:t>
      </w:r>
      <w:r w:rsidR="00B60939" w:rsidRPr="00B5580D">
        <w:tab/>
      </w:r>
      <w:r w:rsidR="001B3263" w:rsidRPr="00B5580D">
        <w:t>PASIREOTIDE</w:t>
      </w:r>
      <w:r w:rsidR="00B60939" w:rsidRPr="00B5580D">
        <w:t xml:space="preserve">, </w:t>
      </w:r>
    </w:p>
    <w:p w:rsidR="00AC33C1" w:rsidRPr="00B5580D" w:rsidRDefault="001B3263" w:rsidP="00B5580D">
      <w:pPr>
        <w:pStyle w:val="PBACHeading1"/>
        <w:numPr>
          <w:ilvl w:val="0"/>
          <w:numId w:val="0"/>
        </w:numPr>
        <w:ind w:left="720"/>
      </w:pPr>
      <w:proofErr w:type="gramStart"/>
      <w:r w:rsidRPr="00B5580D">
        <w:t>long-acting</w:t>
      </w:r>
      <w:proofErr w:type="gramEnd"/>
      <w:r w:rsidRPr="00B5580D">
        <w:t xml:space="preserve"> release intramuscular injection</w:t>
      </w:r>
      <w:r w:rsidR="00B60939" w:rsidRPr="00B5580D">
        <w:t xml:space="preserve">, </w:t>
      </w:r>
      <w:r w:rsidRPr="00B5580D">
        <w:t xml:space="preserve">20mg, 40mg, 60mg, </w:t>
      </w:r>
    </w:p>
    <w:p w:rsidR="00B60939" w:rsidRPr="00B5580D" w:rsidRDefault="001B3263" w:rsidP="00B5580D">
      <w:pPr>
        <w:pStyle w:val="PBACHeading1"/>
        <w:numPr>
          <w:ilvl w:val="0"/>
          <w:numId w:val="0"/>
        </w:numPr>
        <w:ind w:left="720"/>
      </w:pPr>
      <w:proofErr w:type="spellStart"/>
      <w:r w:rsidRPr="00B5580D">
        <w:t>Signifor</w:t>
      </w:r>
      <w:proofErr w:type="spellEnd"/>
      <w:r w:rsidR="009176E7" w:rsidRPr="00B5580D">
        <w:t>® LAR</w:t>
      </w:r>
      <w:r w:rsidRPr="00B5580D">
        <w:t>, Novartis.</w:t>
      </w:r>
      <w:bookmarkEnd w:id="0"/>
    </w:p>
    <w:p w:rsidR="00FE181D" w:rsidRPr="006D54A5" w:rsidRDefault="00FE181D" w:rsidP="00B5580D">
      <w:pPr>
        <w:spacing w:line="480" w:lineRule="auto"/>
      </w:pPr>
    </w:p>
    <w:p w:rsidR="00B50DB8" w:rsidRPr="00B5580D" w:rsidRDefault="00B50DB8" w:rsidP="00B5580D">
      <w:pPr>
        <w:pStyle w:val="Heading1"/>
      </w:pPr>
      <w:bookmarkStart w:id="1" w:name="_Toc430013032"/>
      <w:r w:rsidRPr="00B5580D">
        <w:t>Purpose of Application</w:t>
      </w:r>
      <w:bookmarkEnd w:id="1"/>
    </w:p>
    <w:p w:rsidR="00B60939" w:rsidRPr="006D54A5" w:rsidRDefault="00B60939" w:rsidP="00B60939">
      <w:pPr>
        <w:rPr>
          <w:szCs w:val="22"/>
        </w:rPr>
      </w:pPr>
    </w:p>
    <w:p w:rsidR="002C2775" w:rsidRPr="006D54A5" w:rsidRDefault="00662B12" w:rsidP="00B50DB8">
      <w:pPr>
        <w:pStyle w:val="ListParagraph"/>
        <w:widowControl/>
        <w:numPr>
          <w:ilvl w:val="1"/>
          <w:numId w:val="18"/>
        </w:numPr>
        <w:rPr>
          <w:szCs w:val="22"/>
        </w:rPr>
      </w:pPr>
      <w:r w:rsidRPr="006D54A5">
        <w:t xml:space="preserve">The submission requested a </w:t>
      </w:r>
      <w:r w:rsidR="001E238E" w:rsidRPr="006D54A5">
        <w:t>Section 100</w:t>
      </w:r>
      <w:r w:rsidR="0004389D" w:rsidRPr="006D54A5">
        <w:t xml:space="preserve"> </w:t>
      </w:r>
      <w:r w:rsidR="001E238E" w:rsidRPr="006D54A5">
        <w:t xml:space="preserve">listing for </w:t>
      </w:r>
      <w:r w:rsidR="0004389D" w:rsidRPr="006D54A5">
        <w:t xml:space="preserve">pasireotide </w:t>
      </w:r>
      <w:r w:rsidR="004A3BDE" w:rsidRPr="006D54A5">
        <w:t>long-acting release (</w:t>
      </w:r>
      <w:r w:rsidR="0004389D" w:rsidRPr="006D54A5">
        <w:t>LAR</w:t>
      </w:r>
      <w:r w:rsidR="004A3BDE" w:rsidRPr="006D54A5">
        <w:t>)</w:t>
      </w:r>
      <w:r w:rsidR="001E238E" w:rsidRPr="006D54A5">
        <w:t xml:space="preserve"> for </w:t>
      </w:r>
      <w:r w:rsidRPr="006D54A5">
        <w:t xml:space="preserve">the </w:t>
      </w:r>
      <w:r w:rsidR="001E238E" w:rsidRPr="006D54A5">
        <w:t xml:space="preserve">treatment of </w:t>
      </w:r>
      <w:r w:rsidR="0004389D" w:rsidRPr="006D54A5">
        <w:t xml:space="preserve">acromegaly in patients inadequately controlled with either </w:t>
      </w:r>
      <w:proofErr w:type="spellStart"/>
      <w:r w:rsidR="0004389D" w:rsidRPr="006D54A5">
        <w:t>octreotide</w:t>
      </w:r>
      <w:proofErr w:type="spellEnd"/>
      <w:r w:rsidR="0004389D" w:rsidRPr="006D54A5">
        <w:t xml:space="preserve"> LAR 30mg or </w:t>
      </w:r>
      <w:proofErr w:type="spellStart"/>
      <w:r w:rsidR="0004389D" w:rsidRPr="006D54A5">
        <w:t>lanreotide</w:t>
      </w:r>
      <w:proofErr w:type="spellEnd"/>
      <w:r w:rsidR="0004389D" w:rsidRPr="006D54A5">
        <w:t xml:space="preserve"> </w:t>
      </w:r>
      <w:proofErr w:type="spellStart"/>
      <w:r w:rsidR="004A3BDE" w:rsidRPr="006D54A5">
        <w:t>autogel</w:t>
      </w:r>
      <w:proofErr w:type="spellEnd"/>
      <w:r w:rsidR="004A3BDE" w:rsidRPr="006D54A5">
        <w:t xml:space="preserve"> (</w:t>
      </w:r>
      <w:r w:rsidR="0004389D" w:rsidRPr="006D54A5">
        <w:t>ATG</w:t>
      </w:r>
      <w:r w:rsidR="004A3BDE" w:rsidRPr="006D54A5">
        <w:t>)</w:t>
      </w:r>
      <w:r w:rsidR="0004389D" w:rsidRPr="006D54A5">
        <w:t xml:space="preserve"> 120mg</w:t>
      </w:r>
      <w:r w:rsidR="001E238E" w:rsidRPr="006D54A5">
        <w:t>.</w:t>
      </w:r>
    </w:p>
    <w:p w:rsidR="004E43B2" w:rsidRPr="006D54A5" w:rsidRDefault="004E43B2" w:rsidP="00B5580D">
      <w:pPr>
        <w:widowControl/>
        <w:spacing w:line="480" w:lineRule="auto"/>
        <w:jc w:val="left"/>
      </w:pPr>
    </w:p>
    <w:p w:rsidR="00B50DB8" w:rsidRPr="006D54A5" w:rsidRDefault="00B50DB8" w:rsidP="00B5580D">
      <w:pPr>
        <w:pStyle w:val="Heading1"/>
      </w:pPr>
      <w:bookmarkStart w:id="2" w:name="_Toc430013033"/>
      <w:r w:rsidRPr="006D54A5">
        <w:t>Requested listing</w:t>
      </w:r>
      <w:bookmarkEnd w:id="2"/>
    </w:p>
    <w:p w:rsidR="00B60939" w:rsidRPr="006D54A5" w:rsidRDefault="00B60939" w:rsidP="004B1CB4"/>
    <w:p w:rsidR="00617E12" w:rsidRPr="006D54A5" w:rsidRDefault="00BE180C" w:rsidP="00BE180C">
      <w:pPr>
        <w:pStyle w:val="ListParagraph"/>
        <w:widowControl/>
        <w:numPr>
          <w:ilvl w:val="1"/>
          <w:numId w:val="18"/>
        </w:numPr>
        <w:rPr>
          <w:szCs w:val="22"/>
        </w:rPr>
      </w:pPr>
      <w:r w:rsidRPr="006D54A5">
        <w:rPr>
          <w:szCs w:val="22"/>
        </w:rPr>
        <w:t xml:space="preserve">The requested restriction is shown below.  </w:t>
      </w:r>
      <w:r w:rsidRPr="006D54A5">
        <w:rPr>
          <w:rFonts w:eastAsia="SimSun"/>
          <w:iCs/>
          <w:color w:val="000000"/>
          <w:szCs w:val="22"/>
        </w:rPr>
        <w:t xml:space="preserve">Suggestions and additions proposed by the Secretariat to the requested listing are added in italics and suggested deletions are crossed out with strikethrough. </w:t>
      </w:r>
    </w:p>
    <w:p w:rsidR="00C9793B" w:rsidRPr="006D54A5" w:rsidRDefault="00C9793B" w:rsidP="00C9793B">
      <w:pPr>
        <w:pStyle w:val="ListParagraph"/>
        <w:widowControl/>
        <w:rPr>
          <w:szCs w:val="22"/>
        </w:rPr>
      </w:pPr>
    </w:p>
    <w:tbl>
      <w:tblPr>
        <w:tblW w:w="7931" w:type="dxa"/>
        <w:tblInd w:w="817" w:type="dxa"/>
        <w:tblLayout w:type="fixed"/>
        <w:tblLook w:val="04A0" w:firstRow="1" w:lastRow="0" w:firstColumn="1" w:lastColumn="0" w:noHBand="0" w:noVBand="1"/>
        <w:tblCaption w:val="Requested PBS listing"/>
      </w:tblPr>
      <w:tblGrid>
        <w:gridCol w:w="2119"/>
        <w:gridCol w:w="426"/>
        <w:gridCol w:w="567"/>
        <w:gridCol w:w="854"/>
        <w:gridCol w:w="1699"/>
        <w:gridCol w:w="1423"/>
        <w:gridCol w:w="843"/>
      </w:tblGrid>
      <w:tr w:rsidR="00E46FAB" w:rsidRPr="006D54A5" w:rsidTr="00E46FAB">
        <w:trPr>
          <w:cantSplit/>
          <w:trHeight w:val="471"/>
        </w:trPr>
        <w:tc>
          <w:tcPr>
            <w:tcW w:w="2545" w:type="dxa"/>
            <w:gridSpan w:val="2"/>
            <w:tcBorders>
              <w:top w:val="nil"/>
              <w:left w:val="nil"/>
              <w:bottom w:val="single" w:sz="4" w:space="0" w:color="auto"/>
              <w:right w:val="nil"/>
            </w:tcBorders>
            <w:hideMark/>
          </w:tcPr>
          <w:p w:rsidR="00E46FAB" w:rsidRPr="006D54A5" w:rsidRDefault="00E46FAB">
            <w:pPr>
              <w:keepNext/>
              <w:widowControl/>
              <w:ind w:left="-108"/>
              <w:rPr>
                <w:rFonts w:ascii="Arial Narrow" w:hAnsi="Arial Narrow"/>
                <w:sz w:val="20"/>
                <w:lang w:eastAsia="en-AU"/>
              </w:rPr>
            </w:pPr>
            <w:r w:rsidRPr="006D54A5">
              <w:rPr>
                <w:rFonts w:ascii="Arial Narrow" w:hAnsi="Arial Narrow"/>
                <w:sz w:val="20"/>
                <w:lang w:eastAsia="en-AU"/>
              </w:rPr>
              <w:t>Name, Restriction,</w:t>
            </w:r>
          </w:p>
          <w:p w:rsidR="00E46FAB" w:rsidRPr="006D54A5" w:rsidRDefault="00E46FAB">
            <w:pPr>
              <w:keepNext/>
              <w:widowControl/>
              <w:snapToGrid w:val="0"/>
              <w:ind w:left="-108"/>
              <w:rPr>
                <w:rFonts w:ascii="Arial Narrow" w:hAnsi="Arial Narrow"/>
                <w:sz w:val="20"/>
                <w:lang w:eastAsia="en-AU"/>
              </w:rPr>
            </w:pPr>
            <w:r w:rsidRPr="006D54A5">
              <w:rPr>
                <w:rFonts w:ascii="Arial Narrow" w:hAnsi="Arial Narrow"/>
                <w:sz w:val="20"/>
                <w:lang w:eastAsia="en-AU"/>
              </w:rPr>
              <w:t>Manner of administration and form</w:t>
            </w:r>
          </w:p>
        </w:tc>
        <w:tc>
          <w:tcPr>
            <w:tcW w:w="567" w:type="dxa"/>
            <w:tcBorders>
              <w:top w:val="nil"/>
              <w:left w:val="nil"/>
              <w:bottom w:val="single" w:sz="4" w:space="0" w:color="auto"/>
              <w:right w:val="nil"/>
            </w:tcBorders>
            <w:hideMark/>
          </w:tcPr>
          <w:p w:rsidR="00E46FAB" w:rsidRPr="006D54A5" w:rsidRDefault="00E46FAB">
            <w:pPr>
              <w:keepNext/>
              <w:widowControl/>
              <w:ind w:left="-108"/>
              <w:rPr>
                <w:rFonts w:ascii="Arial Narrow" w:hAnsi="Arial Narrow"/>
                <w:sz w:val="20"/>
                <w:lang w:eastAsia="en-AU"/>
              </w:rPr>
            </w:pPr>
            <w:r w:rsidRPr="006D54A5">
              <w:rPr>
                <w:rFonts w:ascii="Arial Narrow" w:hAnsi="Arial Narrow"/>
                <w:sz w:val="20"/>
                <w:lang w:eastAsia="en-AU"/>
              </w:rPr>
              <w:t>Max.</w:t>
            </w:r>
          </w:p>
          <w:p w:rsidR="00E46FAB" w:rsidRPr="006D54A5" w:rsidRDefault="00E46FAB">
            <w:pPr>
              <w:keepNext/>
              <w:widowControl/>
              <w:snapToGrid w:val="0"/>
              <w:ind w:left="-108"/>
              <w:rPr>
                <w:rFonts w:ascii="Arial Narrow" w:hAnsi="Arial Narrow"/>
                <w:sz w:val="20"/>
                <w:lang w:eastAsia="en-AU"/>
              </w:rPr>
            </w:pPr>
            <w:proofErr w:type="spellStart"/>
            <w:r w:rsidRPr="006D54A5">
              <w:rPr>
                <w:rFonts w:ascii="Arial Narrow" w:hAnsi="Arial Narrow"/>
                <w:sz w:val="20"/>
                <w:lang w:eastAsia="en-AU"/>
              </w:rPr>
              <w:t>Qty</w:t>
            </w:r>
            <w:proofErr w:type="spellEnd"/>
          </w:p>
        </w:tc>
        <w:tc>
          <w:tcPr>
            <w:tcW w:w="854" w:type="dxa"/>
            <w:tcBorders>
              <w:top w:val="nil"/>
              <w:left w:val="nil"/>
              <w:bottom w:val="single" w:sz="4" w:space="0" w:color="auto"/>
              <w:right w:val="nil"/>
            </w:tcBorders>
            <w:hideMark/>
          </w:tcPr>
          <w:p w:rsidR="00E46FAB" w:rsidRPr="006D54A5" w:rsidRDefault="00E46FAB">
            <w:pPr>
              <w:keepNext/>
              <w:widowControl/>
              <w:ind w:left="-108"/>
              <w:rPr>
                <w:rFonts w:ascii="Arial Narrow" w:hAnsi="Arial Narrow"/>
                <w:sz w:val="20"/>
                <w:lang w:eastAsia="en-AU"/>
              </w:rPr>
            </w:pPr>
            <w:r w:rsidRPr="006D54A5">
              <w:rPr>
                <w:rFonts w:ascii="Arial Narrow" w:hAnsi="Arial Narrow"/>
                <w:sz w:val="20"/>
                <w:lang w:eastAsia="en-AU"/>
              </w:rPr>
              <w:t>№.of</w:t>
            </w:r>
          </w:p>
          <w:p w:rsidR="00E46FAB" w:rsidRPr="006D54A5" w:rsidRDefault="00E46FAB">
            <w:pPr>
              <w:keepNext/>
              <w:widowControl/>
              <w:snapToGrid w:val="0"/>
              <w:ind w:left="-108"/>
              <w:rPr>
                <w:rFonts w:ascii="Arial Narrow" w:hAnsi="Arial Narrow"/>
                <w:sz w:val="20"/>
                <w:lang w:eastAsia="en-AU"/>
              </w:rPr>
            </w:pPr>
            <w:r w:rsidRPr="006D54A5">
              <w:rPr>
                <w:rFonts w:ascii="Arial Narrow" w:hAnsi="Arial Narrow"/>
                <w:sz w:val="20"/>
                <w:lang w:eastAsia="en-AU"/>
              </w:rPr>
              <w:t>Rpts</w:t>
            </w:r>
          </w:p>
        </w:tc>
        <w:tc>
          <w:tcPr>
            <w:tcW w:w="1699" w:type="dxa"/>
            <w:tcBorders>
              <w:top w:val="nil"/>
              <w:left w:val="nil"/>
              <w:bottom w:val="single" w:sz="4" w:space="0" w:color="auto"/>
              <w:right w:val="nil"/>
            </w:tcBorders>
            <w:hideMark/>
          </w:tcPr>
          <w:p w:rsidR="00E46FAB" w:rsidRPr="006D54A5" w:rsidRDefault="00E46FAB">
            <w:pPr>
              <w:keepNext/>
              <w:widowControl/>
              <w:snapToGrid w:val="0"/>
              <w:ind w:left="-108"/>
              <w:rPr>
                <w:rFonts w:ascii="Arial Narrow" w:hAnsi="Arial Narrow"/>
                <w:sz w:val="20"/>
                <w:lang w:eastAsia="en-AU"/>
              </w:rPr>
            </w:pPr>
            <w:r w:rsidRPr="006D54A5">
              <w:rPr>
                <w:rFonts w:ascii="Arial Narrow" w:hAnsi="Arial Narrow"/>
                <w:sz w:val="20"/>
                <w:lang w:eastAsia="en-AU"/>
              </w:rPr>
              <w:t xml:space="preserve">Dispensed Price for Max. </w:t>
            </w:r>
            <w:proofErr w:type="spellStart"/>
            <w:r w:rsidRPr="006D54A5">
              <w:rPr>
                <w:rFonts w:ascii="Arial Narrow" w:hAnsi="Arial Narrow"/>
                <w:sz w:val="20"/>
                <w:lang w:eastAsia="en-AU"/>
              </w:rPr>
              <w:t>Qty</w:t>
            </w:r>
            <w:proofErr w:type="spellEnd"/>
          </w:p>
        </w:tc>
        <w:tc>
          <w:tcPr>
            <w:tcW w:w="2266" w:type="dxa"/>
            <w:gridSpan w:val="2"/>
            <w:tcBorders>
              <w:top w:val="nil"/>
              <w:left w:val="nil"/>
              <w:bottom w:val="single" w:sz="4" w:space="0" w:color="auto"/>
              <w:right w:val="nil"/>
            </w:tcBorders>
            <w:hideMark/>
          </w:tcPr>
          <w:p w:rsidR="00E46FAB" w:rsidRPr="006D54A5" w:rsidRDefault="00E46FAB">
            <w:pPr>
              <w:keepNext/>
              <w:widowControl/>
              <w:snapToGrid w:val="0"/>
              <w:rPr>
                <w:rFonts w:ascii="Arial Narrow" w:hAnsi="Arial Narrow"/>
                <w:sz w:val="20"/>
                <w:lang w:eastAsia="en-AU"/>
              </w:rPr>
            </w:pPr>
            <w:r w:rsidRPr="006D54A5">
              <w:rPr>
                <w:rFonts w:ascii="Arial Narrow" w:hAnsi="Arial Narrow"/>
                <w:sz w:val="20"/>
                <w:lang w:eastAsia="en-AU"/>
              </w:rPr>
              <w:t>Proprietary Name and Manufacturer</w:t>
            </w:r>
          </w:p>
        </w:tc>
      </w:tr>
      <w:tr w:rsidR="00E46FAB" w:rsidRPr="006D54A5" w:rsidTr="00662B12">
        <w:trPr>
          <w:cantSplit/>
          <w:trHeight w:val="577"/>
        </w:trPr>
        <w:tc>
          <w:tcPr>
            <w:tcW w:w="2545" w:type="dxa"/>
            <w:gridSpan w:val="2"/>
            <w:hideMark/>
          </w:tcPr>
          <w:p w:rsidR="00E46FAB" w:rsidRPr="006D54A5" w:rsidRDefault="00E46FAB">
            <w:pPr>
              <w:keepNext/>
              <w:widowControl/>
              <w:ind w:left="-108"/>
              <w:rPr>
                <w:rFonts w:ascii="Arial Narrow" w:hAnsi="Arial Narrow"/>
                <w:sz w:val="20"/>
                <w:lang w:eastAsia="en-AU"/>
              </w:rPr>
            </w:pPr>
            <w:r w:rsidRPr="006D54A5">
              <w:rPr>
                <w:rFonts w:ascii="Arial Narrow" w:hAnsi="Arial Narrow"/>
                <w:smallCaps/>
                <w:sz w:val="20"/>
                <w:lang w:eastAsia="en-AU"/>
              </w:rPr>
              <w:t>pasireotide</w:t>
            </w:r>
          </w:p>
          <w:p w:rsidR="00E46FAB" w:rsidRPr="006D54A5" w:rsidRDefault="00E46FAB">
            <w:pPr>
              <w:keepNext/>
              <w:widowControl/>
              <w:ind w:left="-108"/>
              <w:rPr>
                <w:rFonts w:ascii="Arial Narrow" w:hAnsi="Arial Narrow"/>
                <w:sz w:val="20"/>
                <w:lang w:eastAsia="en-AU"/>
              </w:rPr>
            </w:pPr>
            <w:r w:rsidRPr="006D54A5">
              <w:rPr>
                <w:rFonts w:ascii="Arial Narrow" w:hAnsi="Arial Narrow"/>
                <w:sz w:val="20"/>
                <w:lang w:eastAsia="en-AU"/>
              </w:rPr>
              <w:t>Intramuscular injection 20mg</w:t>
            </w:r>
          </w:p>
          <w:p w:rsidR="00E46FAB" w:rsidRPr="006D54A5" w:rsidRDefault="00E46FAB">
            <w:pPr>
              <w:keepNext/>
              <w:widowControl/>
              <w:ind w:left="-108"/>
              <w:rPr>
                <w:rFonts w:ascii="Arial Narrow" w:hAnsi="Arial Narrow"/>
                <w:sz w:val="20"/>
                <w:lang w:eastAsia="en-AU"/>
              </w:rPr>
            </w:pPr>
            <w:r w:rsidRPr="006D54A5">
              <w:rPr>
                <w:rFonts w:ascii="Arial Narrow" w:hAnsi="Arial Narrow"/>
                <w:sz w:val="20"/>
                <w:lang w:eastAsia="en-AU"/>
              </w:rPr>
              <w:t>Intramuscular injection 40mg</w:t>
            </w:r>
          </w:p>
          <w:p w:rsidR="00E46FAB" w:rsidRPr="006D54A5" w:rsidRDefault="00E46FAB">
            <w:pPr>
              <w:keepNext/>
              <w:widowControl/>
              <w:snapToGrid w:val="0"/>
              <w:ind w:left="-108"/>
              <w:rPr>
                <w:rFonts w:ascii="Arial Narrow" w:hAnsi="Arial Narrow"/>
                <w:sz w:val="20"/>
                <w:lang w:eastAsia="en-AU"/>
              </w:rPr>
            </w:pPr>
            <w:r w:rsidRPr="006D54A5">
              <w:rPr>
                <w:rFonts w:ascii="Arial Narrow" w:hAnsi="Arial Narrow"/>
                <w:sz w:val="20"/>
                <w:lang w:eastAsia="en-AU"/>
              </w:rPr>
              <w:t>Intramuscular injection 60mg</w:t>
            </w:r>
          </w:p>
          <w:p w:rsidR="00662B12" w:rsidRPr="006D54A5" w:rsidRDefault="00662B12">
            <w:pPr>
              <w:keepNext/>
              <w:widowControl/>
              <w:snapToGrid w:val="0"/>
              <w:ind w:left="-108"/>
              <w:rPr>
                <w:rFonts w:ascii="Arial Narrow" w:hAnsi="Arial Narrow"/>
                <w:sz w:val="20"/>
                <w:lang w:eastAsia="en-AU"/>
              </w:rPr>
            </w:pPr>
          </w:p>
        </w:tc>
        <w:tc>
          <w:tcPr>
            <w:tcW w:w="567" w:type="dxa"/>
          </w:tcPr>
          <w:p w:rsidR="00E46FAB" w:rsidRPr="006D54A5" w:rsidRDefault="00E46FAB">
            <w:pPr>
              <w:keepNext/>
              <w:widowControl/>
              <w:ind w:left="-108"/>
              <w:rPr>
                <w:rFonts w:ascii="Arial Narrow" w:hAnsi="Arial Narrow"/>
                <w:sz w:val="20"/>
                <w:lang w:eastAsia="en-AU"/>
              </w:rPr>
            </w:pPr>
          </w:p>
          <w:p w:rsidR="00E46FAB" w:rsidRPr="006D54A5" w:rsidRDefault="00E46FAB">
            <w:pPr>
              <w:keepNext/>
              <w:widowControl/>
              <w:snapToGrid w:val="0"/>
              <w:ind w:left="-108"/>
              <w:rPr>
                <w:rFonts w:ascii="Arial Narrow" w:hAnsi="Arial Narrow"/>
                <w:sz w:val="20"/>
                <w:lang w:eastAsia="en-AU"/>
              </w:rPr>
            </w:pPr>
            <w:r w:rsidRPr="006D54A5">
              <w:rPr>
                <w:rFonts w:ascii="Arial Narrow" w:hAnsi="Arial Narrow"/>
                <w:sz w:val="20"/>
                <w:lang w:eastAsia="en-AU"/>
              </w:rPr>
              <w:t>2</w:t>
            </w:r>
          </w:p>
        </w:tc>
        <w:tc>
          <w:tcPr>
            <w:tcW w:w="854" w:type="dxa"/>
          </w:tcPr>
          <w:p w:rsidR="00E46FAB" w:rsidRPr="006D54A5" w:rsidRDefault="00E46FAB">
            <w:pPr>
              <w:keepNext/>
              <w:widowControl/>
              <w:ind w:left="-108"/>
              <w:rPr>
                <w:rFonts w:ascii="Arial Narrow" w:hAnsi="Arial Narrow"/>
                <w:sz w:val="20"/>
                <w:lang w:eastAsia="en-AU"/>
              </w:rPr>
            </w:pPr>
          </w:p>
          <w:p w:rsidR="00E46FAB" w:rsidRPr="006D54A5" w:rsidRDefault="00E46FAB">
            <w:pPr>
              <w:keepNext/>
              <w:widowControl/>
              <w:snapToGrid w:val="0"/>
              <w:ind w:left="-108"/>
              <w:rPr>
                <w:rFonts w:ascii="Arial Narrow" w:hAnsi="Arial Narrow"/>
                <w:sz w:val="20"/>
                <w:lang w:eastAsia="en-AU"/>
              </w:rPr>
            </w:pPr>
            <w:r w:rsidRPr="006D54A5">
              <w:rPr>
                <w:rFonts w:ascii="Arial Narrow" w:hAnsi="Arial Narrow"/>
                <w:sz w:val="20"/>
                <w:lang w:eastAsia="en-AU"/>
              </w:rPr>
              <w:t>5</w:t>
            </w:r>
          </w:p>
        </w:tc>
        <w:tc>
          <w:tcPr>
            <w:tcW w:w="1699" w:type="dxa"/>
          </w:tcPr>
          <w:p w:rsidR="00E46FAB" w:rsidRPr="006D54A5" w:rsidRDefault="00E46FAB">
            <w:pPr>
              <w:keepNext/>
              <w:widowControl/>
              <w:ind w:left="-108"/>
              <w:rPr>
                <w:rFonts w:ascii="Arial Narrow" w:hAnsi="Arial Narrow"/>
                <w:sz w:val="20"/>
                <w:lang w:eastAsia="en-AU"/>
              </w:rPr>
            </w:pPr>
          </w:p>
          <w:p w:rsidR="00E46FAB" w:rsidRPr="006D54A5" w:rsidRDefault="00E46FAB">
            <w:pPr>
              <w:keepNext/>
              <w:widowControl/>
              <w:ind w:left="-108"/>
              <w:rPr>
                <w:rFonts w:ascii="Arial Narrow" w:hAnsi="Arial Narrow"/>
                <w:sz w:val="20"/>
                <w:lang w:eastAsia="en-AU"/>
              </w:rPr>
            </w:pPr>
            <w:r w:rsidRPr="006D54A5">
              <w:rPr>
                <w:rFonts w:ascii="Arial Narrow" w:hAnsi="Arial Narrow"/>
                <w:sz w:val="20"/>
                <w:lang w:eastAsia="en-AU"/>
              </w:rPr>
              <w:t>$</w:t>
            </w:r>
            <w:r w:rsidR="000367B3">
              <w:rPr>
                <w:rFonts w:ascii="Arial Narrow" w:hAnsi="Arial Narrow"/>
                <w:noProof/>
                <w:color w:val="000000"/>
                <w:sz w:val="20"/>
                <w:highlight w:val="black"/>
                <w:lang w:eastAsia="en-AU"/>
              </w:rPr>
              <w:t>'''''''''''''''</w:t>
            </w:r>
            <w:r w:rsidRPr="006D54A5">
              <w:rPr>
                <w:rFonts w:ascii="Arial Narrow" w:hAnsi="Arial Narrow"/>
                <w:sz w:val="20"/>
                <w:lang w:eastAsia="en-AU"/>
              </w:rPr>
              <w:t xml:space="preserve"> (Public)</w:t>
            </w:r>
          </w:p>
          <w:p w:rsidR="00E46FAB" w:rsidRPr="006D54A5" w:rsidRDefault="00E46FAB">
            <w:pPr>
              <w:keepNext/>
              <w:widowControl/>
              <w:snapToGrid w:val="0"/>
              <w:ind w:left="-108"/>
              <w:rPr>
                <w:rFonts w:ascii="Arial Narrow" w:hAnsi="Arial Narrow"/>
                <w:sz w:val="20"/>
                <w:lang w:eastAsia="en-AU"/>
              </w:rPr>
            </w:pPr>
            <w:r w:rsidRPr="006D54A5">
              <w:rPr>
                <w:rFonts w:ascii="Arial Narrow" w:hAnsi="Arial Narrow"/>
                <w:sz w:val="20"/>
                <w:lang w:eastAsia="en-AU"/>
              </w:rPr>
              <w:t>$</w:t>
            </w:r>
            <w:r w:rsidR="000367B3">
              <w:rPr>
                <w:rFonts w:ascii="Arial Narrow" w:hAnsi="Arial Narrow"/>
                <w:noProof/>
                <w:color w:val="000000"/>
                <w:sz w:val="20"/>
                <w:highlight w:val="black"/>
                <w:lang w:eastAsia="en-AU"/>
              </w:rPr>
              <w:t>'''''''''''''''''''''</w:t>
            </w:r>
            <w:r w:rsidRPr="006D54A5">
              <w:rPr>
                <w:rFonts w:ascii="Arial Narrow" w:hAnsi="Arial Narrow"/>
                <w:sz w:val="20"/>
                <w:lang w:eastAsia="en-AU"/>
              </w:rPr>
              <w:t xml:space="preserve"> (Private)</w:t>
            </w:r>
          </w:p>
        </w:tc>
        <w:tc>
          <w:tcPr>
            <w:tcW w:w="1423" w:type="dxa"/>
            <w:hideMark/>
          </w:tcPr>
          <w:p w:rsidR="00E46FAB" w:rsidRPr="006D54A5" w:rsidRDefault="00E46FAB">
            <w:pPr>
              <w:keepNext/>
              <w:widowControl/>
              <w:snapToGrid w:val="0"/>
              <w:rPr>
                <w:rFonts w:ascii="Arial Narrow" w:hAnsi="Arial Narrow"/>
                <w:sz w:val="20"/>
                <w:vertAlign w:val="superscript"/>
                <w:lang w:eastAsia="en-AU"/>
              </w:rPr>
            </w:pPr>
            <w:proofErr w:type="spellStart"/>
            <w:r w:rsidRPr="006D54A5">
              <w:rPr>
                <w:rFonts w:ascii="Arial Narrow" w:hAnsi="Arial Narrow"/>
                <w:sz w:val="20"/>
                <w:lang w:eastAsia="en-AU"/>
              </w:rPr>
              <w:t>Signifor</w:t>
            </w:r>
            <w:proofErr w:type="spellEnd"/>
            <w:r w:rsidRPr="006D54A5">
              <w:rPr>
                <w:rFonts w:ascii="Arial Narrow" w:hAnsi="Arial Narrow"/>
                <w:sz w:val="20"/>
                <w:lang w:eastAsia="en-AU"/>
              </w:rPr>
              <w:t xml:space="preserve"> LAR</w:t>
            </w:r>
            <w:r w:rsidRPr="006D54A5">
              <w:rPr>
                <w:rFonts w:ascii="Arial Narrow" w:hAnsi="Arial Narrow"/>
                <w:sz w:val="20"/>
                <w:vertAlign w:val="superscript"/>
                <w:lang w:eastAsia="en-AU"/>
              </w:rPr>
              <w:t>®</w:t>
            </w:r>
          </w:p>
        </w:tc>
        <w:tc>
          <w:tcPr>
            <w:tcW w:w="843" w:type="dxa"/>
            <w:hideMark/>
          </w:tcPr>
          <w:p w:rsidR="00E46FAB" w:rsidRPr="006D54A5" w:rsidRDefault="00E46FAB">
            <w:pPr>
              <w:keepNext/>
              <w:widowControl/>
              <w:snapToGrid w:val="0"/>
              <w:rPr>
                <w:rFonts w:ascii="Arial Narrow" w:hAnsi="Arial Narrow"/>
                <w:sz w:val="20"/>
                <w:lang w:eastAsia="en-AU"/>
              </w:rPr>
            </w:pPr>
            <w:r w:rsidRPr="006D54A5">
              <w:rPr>
                <w:rFonts w:ascii="Arial Narrow" w:hAnsi="Arial Narrow"/>
                <w:sz w:val="20"/>
                <w:lang w:eastAsia="en-AU"/>
              </w:rPr>
              <w:t>Novartis</w:t>
            </w:r>
          </w:p>
        </w:tc>
      </w:tr>
      <w:tr w:rsidR="00E46FAB" w:rsidRPr="006D54A5" w:rsidTr="00E46FAB">
        <w:trPr>
          <w:cantSplit/>
          <w:trHeight w:val="360"/>
        </w:trPr>
        <w:tc>
          <w:tcPr>
            <w:tcW w:w="2119" w:type="dxa"/>
            <w:tcBorders>
              <w:top w:val="single" w:sz="4" w:space="0" w:color="auto"/>
              <w:left w:val="single" w:sz="4" w:space="0" w:color="auto"/>
              <w:bottom w:val="single" w:sz="4" w:space="0" w:color="auto"/>
              <w:right w:val="single" w:sz="4" w:space="0" w:color="auto"/>
            </w:tcBorders>
            <w:hideMark/>
          </w:tcPr>
          <w:p w:rsidR="00E46FAB" w:rsidRPr="006D54A5" w:rsidRDefault="00E46FAB">
            <w:pPr>
              <w:widowControl/>
              <w:rPr>
                <w:rFonts w:ascii="Arial Narrow" w:hAnsi="Arial Narrow"/>
                <w:b/>
                <w:sz w:val="20"/>
                <w:lang w:eastAsia="en-AU"/>
              </w:rPr>
            </w:pPr>
            <w:r w:rsidRPr="006D54A5">
              <w:rPr>
                <w:rFonts w:ascii="Arial Narrow" w:hAnsi="Arial Narrow"/>
                <w:b/>
                <w:sz w:val="20"/>
                <w:lang w:eastAsia="en-AU"/>
              </w:rPr>
              <w:t xml:space="preserve">Category / </w:t>
            </w:r>
          </w:p>
          <w:p w:rsidR="00E46FAB" w:rsidRPr="006D54A5" w:rsidRDefault="00E46FAB">
            <w:pPr>
              <w:widowControl/>
              <w:snapToGrid w:val="0"/>
              <w:rPr>
                <w:rFonts w:ascii="Arial Narrow" w:hAnsi="Arial Narrow"/>
                <w:b/>
                <w:sz w:val="20"/>
                <w:lang w:eastAsia="en-AU"/>
              </w:rPr>
            </w:pPr>
            <w:r w:rsidRPr="006D54A5">
              <w:rPr>
                <w:rFonts w:ascii="Arial Narrow" w:hAnsi="Arial Narrow"/>
                <w:b/>
                <w:sz w:val="20"/>
                <w:lang w:eastAsia="en-AU"/>
              </w:rPr>
              <w:t>Program</w:t>
            </w:r>
          </w:p>
        </w:tc>
        <w:tc>
          <w:tcPr>
            <w:tcW w:w="5812" w:type="dxa"/>
            <w:gridSpan w:val="6"/>
            <w:tcBorders>
              <w:top w:val="single" w:sz="4" w:space="0" w:color="auto"/>
              <w:left w:val="single" w:sz="4" w:space="0" w:color="auto"/>
              <w:bottom w:val="single" w:sz="4" w:space="0" w:color="auto"/>
              <w:right w:val="single" w:sz="4" w:space="0" w:color="auto"/>
            </w:tcBorders>
          </w:tcPr>
          <w:p w:rsidR="00E46FAB" w:rsidRPr="006D54A5" w:rsidRDefault="00E46FAB">
            <w:pPr>
              <w:widowControl/>
              <w:jc w:val="left"/>
              <w:rPr>
                <w:rFonts w:ascii="Arial Narrow" w:hAnsi="Arial Narrow"/>
                <w:sz w:val="20"/>
                <w:lang w:eastAsia="en-AU"/>
              </w:rPr>
            </w:pPr>
            <w:r w:rsidRPr="006D54A5">
              <w:rPr>
                <w:rFonts w:ascii="Arial Narrow" w:hAnsi="Arial Narrow"/>
                <w:sz w:val="20"/>
                <w:lang w:eastAsia="en-AU"/>
              </w:rPr>
              <w:t>Section 100 – Highly Specialised Drugs Program</w:t>
            </w:r>
          </w:p>
          <w:p w:rsidR="00E46FAB" w:rsidRPr="006D54A5" w:rsidRDefault="00E46FAB">
            <w:pPr>
              <w:widowControl/>
              <w:snapToGrid w:val="0"/>
              <w:jc w:val="left"/>
              <w:rPr>
                <w:rFonts w:ascii="Arial Narrow" w:hAnsi="Arial Narrow"/>
                <w:sz w:val="20"/>
                <w:lang w:eastAsia="en-AU"/>
              </w:rPr>
            </w:pPr>
          </w:p>
        </w:tc>
      </w:tr>
      <w:tr w:rsidR="00E46FAB" w:rsidRPr="006D54A5" w:rsidTr="00E46FAB">
        <w:trPr>
          <w:cantSplit/>
          <w:trHeight w:val="360"/>
        </w:trPr>
        <w:tc>
          <w:tcPr>
            <w:tcW w:w="2119" w:type="dxa"/>
            <w:tcBorders>
              <w:top w:val="single" w:sz="4" w:space="0" w:color="auto"/>
              <w:left w:val="single" w:sz="4" w:space="0" w:color="auto"/>
              <w:bottom w:val="single" w:sz="4" w:space="0" w:color="auto"/>
              <w:right w:val="single" w:sz="4" w:space="0" w:color="auto"/>
            </w:tcBorders>
          </w:tcPr>
          <w:p w:rsidR="00E46FAB" w:rsidRPr="006D54A5" w:rsidRDefault="00E46FAB">
            <w:pPr>
              <w:widowControl/>
              <w:rPr>
                <w:rFonts w:ascii="Arial Narrow" w:hAnsi="Arial Narrow"/>
                <w:b/>
                <w:sz w:val="20"/>
                <w:lang w:eastAsia="en-AU"/>
              </w:rPr>
            </w:pPr>
            <w:r w:rsidRPr="006D54A5">
              <w:rPr>
                <w:rFonts w:ascii="Arial Narrow" w:hAnsi="Arial Narrow"/>
                <w:b/>
                <w:sz w:val="20"/>
                <w:lang w:eastAsia="en-AU"/>
              </w:rPr>
              <w:t>Prescriber type:</w:t>
            </w:r>
          </w:p>
          <w:p w:rsidR="00E46FAB" w:rsidRPr="006D54A5" w:rsidRDefault="00E46FAB">
            <w:pPr>
              <w:widowControl/>
              <w:snapToGrid w:val="0"/>
              <w:rPr>
                <w:rFonts w:ascii="Arial Narrow" w:hAnsi="Arial Narrow"/>
                <w:b/>
                <w:sz w:val="20"/>
                <w:lang w:eastAsia="en-AU"/>
              </w:rPr>
            </w:pPr>
          </w:p>
        </w:tc>
        <w:tc>
          <w:tcPr>
            <w:tcW w:w="5812" w:type="dxa"/>
            <w:gridSpan w:val="6"/>
            <w:tcBorders>
              <w:top w:val="single" w:sz="4" w:space="0" w:color="auto"/>
              <w:left w:val="single" w:sz="4" w:space="0" w:color="auto"/>
              <w:bottom w:val="single" w:sz="4" w:space="0" w:color="auto"/>
              <w:right w:val="single" w:sz="4" w:space="0" w:color="auto"/>
            </w:tcBorders>
            <w:hideMark/>
          </w:tcPr>
          <w:p w:rsidR="00E46FAB" w:rsidRPr="006D54A5" w:rsidRDefault="00E46FAB">
            <w:pPr>
              <w:widowControl/>
              <w:jc w:val="left"/>
              <w:rPr>
                <w:rFonts w:ascii="Arial Narrow" w:hAnsi="Arial Narrow"/>
                <w:sz w:val="20"/>
                <w:lang w:eastAsia="en-AU"/>
              </w:rPr>
            </w:pPr>
            <w:r w:rsidRPr="006D54A5">
              <w:rPr>
                <w:rFonts w:ascii="Arial Narrow" w:hAnsi="Arial Narrow"/>
                <w:sz w:val="20"/>
                <w:lang w:eastAsia="en-AU"/>
              </w:rPr>
              <w:fldChar w:fldCharType="begin">
                <w:ffData>
                  <w:name w:val="Check1"/>
                  <w:enabled/>
                  <w:calcOnExit w:val="0"/>
                  <w:checkBox>
                    <w:sizeAuto/>
                    <w:default w:val="0"/>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 xml:space="preserve">Dental  </w:t>
            </w:r>
            <w:r w:rsidRPr="006D54A5">
              <w:rPr>
                <w:rFonts w:ascii="Arial Narrow" w:hAnsi="Arial Narrow"/>
                <w:sz w:val="20"/>
                <w:lang w:eastAsia="en-AU"/>
              </w:rPr>
              <w:fldChar w:fldCharType="begin">
                <w:ffData>
                  <w:name w:val=""/>
                  <w:enabled/>
                  <w:calcOnExit w:val="0"/>
                  <w:checkBox>
                    <w:sizeAuto/>
                    <w:default w:val="1"/>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 xml:space="preserve">Medical Practitioners  </w:t>
            </w:r>
            <w:r w:rsidRPr="006D54A5">
              <w:rPr>
                <w:rFonts w:ascii="Arial Narrow" w:hAnsi="Arial Narrow"/>
                <w:sz w:val="20"/>
                <w:lang w:eastAsia="en-AU"/>
              </w:rPr>
              <w:fldChar w:fldCharType="begin">
                <w:ffData>
                  <w:name w:val="Check3"/>
                  <w:enabled/>
                  <w:calcOnExit w:val="0"/>
                  <w:checkBox>
                    <w:sizeAuto/>
                    <w:default w:val="0"/>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 xml:space="preserve">Nurse practitioners  </w:t>
            </w:r>
            <w:r w:rsidRPr="006D54A5">
              <w:rPr>
                <w:rFonts w:ascii="Arial Narrow" w:hAnsi="Arial Narrow"/>
                <w:sz w:val="20"/>
                <w:lang w:eastAsia="en-AU"/>
              </w:rPr>
              <w:fldChar w:fldCharType="begin">
                <w:ffData>
                  <w:name w:val=""/>
                  <w:enabled/>
                  <w:calcOnExit w:val="0"/>
                  <w:checkBox>
                    <w:sizeAuto/>
                    <w:default w:val="0"/>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Optometrists</w:t>
            </w:r>
          </w:p>
          <w:p w:rsidR="00E46FAB" w:rsidRPr="006D54A5" w:rsidRDefault="00E46FAB">
            <w:pPr>
              <w:widowControl/>
              <w:snapToGrid w:val="0"/>
              <w:jc w:val="left"/>
              <w:rPr>
                <w:rFonts w:ascii="Arial Narrow" w:hAnsi="Arial Narrow"/>
                <w:sz w:val="20"/>
                <w:lang w:eastAsia="en-AU"/>
              </w:rPr>
            </w:pPr>
            <w:r w:rsidRPr="006D54A5">
              <w:rPr>
                <w:rFonts w:ascii="Arial Narrow" w:hAnsi="Arial Narrow"/>
                <w:sz w:val="20"/>
                <w:lang w:eastAsia="en-AU"/>
              </w:rPr>
              <w:fldChar w:fldCharType="begin">
                <w:ffData>
                  <w:name w:val="Check5"/>
                  <w:enabled/>
                  <w:calcOnExit w:val="0"/>
                  <w:checkBox>
                    <w:sizeAuto/>
                    <w:default w:val="0"/>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Midwives</w:t>
            </w:r>
          </w:p>
        </w:tc>
      </w:tr>
      <w:tr w:rsidR="00E46FAB" w:rsidRPr="006D54A5" w:rsidTr="00E46FAB">
        <w:trPr>
          <w:cantSplit/>
          <w:trHeight w:val="360"/>
        </w:trPr>
        <w:tc>
          <w:tcPr>
            <w:tcW w:w="2119" w:type="dxa"/>
            <w:tcBorders>
              <w:top w:val="single" w:sz="4" w:space="0" w:color="auto"/>
              <w:left w:val="single" w:sz="4" w:space="0" w:color="auto"/>
              <w:bottom w:val="single" w:sz="4" w:space="0" w:color="auto"/>
              <w:right w:val="single" w:sz="4" w:space="0" w:color="auto"/>
            </w:tcBorders>
            <w:hideMark/>
          </w:tcPr>
          <w:p w:rsidR="00E46FAB" w:rsidRPr="006D54A5" w:rsidRDefault="00E46FAB">
            <w:pPr>
              <w:widowControl/>
              <w:snapToGrid w:val="0"/>
              <w:rPr>
                <w:rFonts w:ascii="Arial Narrow" w:hAnsi="Arial Narrow"/>
                <w:b/>
                <w:sz w:val="20"/>
                <w:lang w:eastAsia="en-AU"/>
              </w:rPr>
            </w:pPr>
            <w:r w:rsidRPr="006D54A5">
              <w:rPr>
                <w:rFonts w:ascii="Arial Narrow" w:hAnsi="Arial Narrow"/>
                <w:b/>
                <w:sz w:val="20"/>
                <w:lang w:eastAsia="en-AU"/>
              </w:rPr>
              <w:t>PBS Indication:</w:t>
            </w:r>
          </w:p>
        </w:tc>
        <w:tc>
          <w:tcPr>
            <w:tcW w:w="5812" w:type="dxa"/>
            <w:gridSpan w:val="6"/>
            <w:tcBorders>
              <w:top w:val="single" w:sz="4" w:space="0" w:color="auto"/>
              <w:left w:val="single" w:sz="4" w:space="0" w:color="auto"/>
              <w:bottom w:val="single" w:sz="4" w:space="0" w:color="auto"/>
              <w:right w:val="single" w:sz="4" w:space="0" w:color="auto"/>
            </w:tcBorders>
            <w:hideMark/>
          </w:tcPr>
          <w:p w:rsidR="00E46FAB" w:rsidRPr="006D54A5" w:rsidRDefault="00E46FAB">
            <w:pPr>
              <w:widowControl/>
              <w:snapToGrid w:val="0"/>
              <w:jc w:val="left"/>
              <w:rPr>
                <w:rFonts w:ascii="Arial Narrow" w:hAnsi="Arial Narrow"/>
                <w:sz w:val="20"/>
                <w:lang w:eastAsia="en-AU"/>
              </w:rPr>
            </w:pPr>
            <w:r w:rsidRPr="006D54A5">
              <w:rPr>
                <w:rFonts w:ascii="Arial Narrow" w:hAnsi="Arial Narrow"/>
                <w:sz w:val="20"/>
                <w:lang w:eastAsia="en-AU"/>
              </w:rPr>
              <w:t>Acromegaly</w:t>
            </w:r>
          </w:p>
        </w:tc>
      </w:tr>
      <w:tr w:rsidR="00E46FAB" w:rsidRPr="006D54A5" w:rsidTr="00E46FAB">
        <w:trPr>
          <w:cantSplit/>
          <w:trHeight w:val="360"/>
        </w:trPr>
        <w:tc>
          <w:tcPr>
            <w:tcW w:w="2119" w:type="dxa"/>
            <w:tcBorders>
              <w:top w:val="single" w:sz="4" w:space="0" w:color="auto"/>
              <w:left w:val="single" w:sz="4" w:space="0" w:color="auto"/>
              <w:bottom w:val="single" w:sz="4" w:space="0" w:color="auto"/>
              <w:right w:val="single" w:sz="4" w:space="0" w:color="auto"/>
            </w:tcBorders>
          </w:tcPr>
          <w:p w:rsidR="00E46FAB" w:rsidRPr="006D54A5" w:rsidRDefault="00E46FAB">
            <w:pPr>
              <w:widowControl/>
              <w:rPr>
                <w:rFonts w:ascii="Arial Narrow" w:hAnsi="Arial Narrow"/>
                <w:b/>
                <w:sz w:val="20"/>
                <w:lang w:eastAsia="en-AU"/>
              </w:rPr>
            </w:pPr>
            <w:r w:rsidRPr="006D54A5">
              <w:rPr>
                <w:rFonts w:ascii="Arial Narrow" w:hAnsi="Arial Narrow"/>
                <w:b/>
                <w:sz w:val="20"/>
                <w:lang w:eastAsia="en-AU"/>
              </w:rPr>
              <w:t>Treatment phase:</w:t>
            </w:r>
          </w:p>
          <w:p w:rsidR="00E46FAB" w:rsidRPr="006D54A5" w:rsidRDefault="00E46FAB">
            <w:pPr>
              <w:widowControl/>
              <w:snapToGrid w:val="0"/>
              <w:rPr>
                <w:rFonts w:ascii="Arial Narrow" w:hAnsi="Arial Narrow"/>
                <w:i/>
                <w:sz w:val="20"/>
                <w:lang w:eastAsia="en-AU"/>
              </w:rPr>
            </w:pPr>
          </w:p>
        </w:tc>
        <w:tc>
          <w:tcPr>
            <w:tcW w:w="5812" w:type="dxa"/>
            <w:gridSpan w:val="6"/>
            <w:tcBorders>
              <w:top w:val="single" w:sz="4" w:space="0" w:color="auto"/>
              <w:left w:val="single" w:sz="4" w:space="0" w:color="auto"/>
              <w:bottom w:val="single" w:sz="4" w:space="0" w:color="auto"/>
              <w:right w:val="single" w:sz="4" w:space="0" w:color="auto"/>
            </w:tcBorders>
            <w:hideMark/>
          </w:tcPr>
          <w:p w:rsidR="00E46FAB" w:rsidRPr="006D54A5" w:rsidRDefault="00E46FAB">
            <w:pPr>
              <w:widowControl/>
              <w:snapToGrid w:val="0"/>
              <w:jc w:val="left"/>
              <w:rPr>
                <w:rFonts w:ascii="Arial Narrow" w:hAnsi="Arial Narrow"/>
                <w:strike/>
                <w:sz w:val="20"/>
                <w:lang w:eastAsia="en-AU"/>
              </w:rPr>
            </w:pPr>
            <w:r w:rsidRPr="006D54A5">
              <w:rPr>
                <w:rFonts w:ascii="Arial Narrow" w:hAnsi="Arial Narrow"/>
                <w:sz w:val="20"/>
                <w:lang w:eastAsia="en-AU"/>
              </w:rPr>
              <w:t>Initial treatment</w:t>
            </w:r>
          </w:p>
        </w:tc>
      </w:tr>
      <w:tr w:rsidR="00E46FAB" w:rsidRPr="006D54A5" w:rsidTr="00E46FAB">
        <w:trPr>
          <w:cantSplit/>
          <w:trHeight w:val="360"/>
        </w:trPr>
        <w:tc>
          <w:tcPr>
            <w:tcW w:w="2119" w:type="dxa"/>
            <w:tcBorders>
              <w:top w:val="single" w:sz="4" w:space="0" w:color="auto"/>
              <w:left w:val="single" w:sz="4" w:space="0" w:color="auto"/>
              <w:bottom w:val="single" w:sz="4" w:space="0" w:color="auto"/>
              <w:right w:val="single" w:sz="4" w:space="0" w:color="auto"/>
            </w:tcBorders>
          </w:tcPr>
          <w:p w:rsidR="00E46FAB" w:rsidRPr="006D54A5" w:rsidRDefault="00E46FAB" w:rsidP="00E46FAB">
            <w:pPr>
              <w:widowControl/>
              <w:rPr>
                <w:rFonts w:ascii="Arial Narrow" w:hAnsi="Arial Narrow"/>
                <w:b/>
                <w:sz w:val="20"/>
                <w:lang w:eastAsia="en-AU"/>
              </w:rPr>
            </w:pPr>
            <w:r w:rsidRPr="006D54A5">
              <w:rPr>
                <w:rFonts w:ascii="Arial Narrow" w:hAnsi="Arial Narrow"/>
                <w:b/>
                <w:sz w:val="20"/>
                <w:lang w:eastAsia="en-AU"/>
              </w:rPr>
              <w:t>Restriction Level / Method:</w:t>
            </w:r>
          </w:p>
        </w:tc>
        <w:tc>
          <w:tcPr>
            <w:tcW w:w="5812" w:type="dxa"/>
            <w:gridSpan w:val="6"/>
            <w:tcBorders>
              <w:top w:val="single" w:sz="4" w:space="0" w:color="auto"/>
              <w:left w:val="single" w:sz="4" w:space="0" w:color="auto"/>
              <w:bottom w:val="single" w:sz="4" w:space="0" w:color="auto"/>
              <w:right w:val="single" w:sz="4" w:space="0" w:color="auto"/>
            </w:tcBorders>
            <w:hideMark/>
          </w:tcPr>
          <w:p w:rsidR="00E46FAB" w:rsidRPr="006D54A5" w:rsidRDefault="00E46FAB">
            <w:pPr>
              <w:widowControl/>
              <w:jc w:val="left"/>
              <w:rPr>
                <w:rFonts w:ascii="Arial Narrow" w:hAnsi="Arial Narrow"/>
                <w:sz w:val="20"/>
                <w:lang w:eastAsia="en-AU"/>
              </w:rPr>
            </w:pPr>
            <w:r w:rsidRPr="006D54A5">
              <w:rPr>
                <w:rFonts w:ascii="Arial Narrow" w:hAnsi="Arial Narrow"/>
                <w:sz w:val="20"/>
                <w:lang w:eastAsia="en-AU"/>
              </w:rPr>
              <w:fldChar w:fldCharType="begin">
                <w:ffData>
                  <w:name w:val=""/>
                  <w:enabled/>
                  <w:calcOnExit w:val="0"/>
                  <w:checkBox>
                    <w:sizeAuto/>
                    <w:default w:val="1"/>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Authority Required - In Writing</w:t>
            </w:r>
          </w:p>
          <w:p w:rsidR="00E46FAB" w:rsidRPr="006D54A5" w:rsidRDefault="00E46FAB">
            <w:pPr>
              <w:widowControl/>
              <w:snapToGrid w:val="0"/>
              <w:jc w:val="left"/>
              <w:rPr>
                <w:rFonts w:ascii="Arial Narrow" w:hAnsi="Arial Narrow"/>
                <w:sz w:val="20"/>
                <w:lang w:eastAsia="en-AU"/>
              </w:rPr>
            </w:pPr>
          </w:p>
        </w:tc>
      </w:tr>
      <w:tr w:rsidR="00E46FAB" w:rsidRPr="006D54A5" w:rsidTr="00E46FAB">
        <w:trPr>
          <w:cantSplit/>
          <w:trHeight w:val="360"/>
        </w:trPr>
        <w:tc>
          <w:tcPr>
            <w:tcW w:w="2119" w:type="dxa"/>
            <w:tcBorders>
              <w:top w:val="single" w:sz="4" w:space="0" w:color="auto"/>
              <w:left w:val="single" w:sz="4" w:space="0" w:color="auto"/>
              <w:bottom w:val="single" w:sz="4" w:space="0" w:color="auto"/>
              <w:right w:val="single" w:sz="4" w:space="0" w:color="auto"/>
            </w:tcBorders>
          </w:tcPr>
          <w:p w:rsidR="00E46FAB" w:rsidRPr="006D54A5" w:rsidRDefault="00E46FAB">
            <w:pPr>
              <w:widowControl/>
              <w:rPr>
                <w:rFonts w:ascii="Arial Narrow" w:hAnsi="Arial Narrow"/>
                <w:b/>
                <w:sz w:val="20"/>
                <w:lang w:eastAsia="en-AU"/>
              </w:rPr>
            </w:pPr>
            <w:r w:rsidRPr="006D54A5">
              <w:rPr>
                <w:rFonts w:ascii="Arial Narrow" w:hAnsi="Arial Narrow"/>
                <w:b/>
                <w:sz w:val="20"/>
                <w:lang w:eastAsia="en-AU"/>
              </w:rPr>
              <w:t>Clinical criteria:</w:t>
            </w:r>
          </w:p>
          <w:p w:rsidR="00E46FAB" w:rsidRPr="006D54A5" w:rsidRDefault="00E46FAB">
            <w:pPr>
              <w:widowControl/>
              <w:rPr>
                <w:rFonts w:ascii="Arial Narrow" w:hAnsi="Arial Narrow"/>
                <w:i/>
                <w:sz w:val="20"/>
                <w:lang w:eastAsia="en-AU"/>
              </w:rPr>
            </w:pPr>
          </w:p>
          <w:p w:rsidR="00E46FAB" w:rsidRPr="006D54A5" w:rsidRDefault="00E46FAB">
            <w:pPr>
              <w:widowControl/>
              <w:snapToGrid w:val="0"/>
              <w:rPr>
                <w:rFonts w:ascii="Arial Narrow" w:hAnsi="Arial Narrow"/>
                <w:sz w:val="20"/>
                <w:lang w:eastAsia="en-AU"/>
              </w:rPr>
            </w:pPr>
          </w:p>
        </w:tc>
        <w:tc>
          <w:tcPr>
            <w:tcW w:w="5812" w:type="dxa"/>
            <w:gridSpan w:val="6"/>
            <w:tcBorders>
              <w:top w:val="single" w:sz="4" w:space="0" w:color="auto"/>
              <w:left w:val="single" w:sz="4" w:space="0" w:color="auto"/>
              <w:bottom w:val="single" w:sz="4" w:space="0" w:color="auto"/>
              <w:right w:val="single" w:sz="4" w:space="0" w:color="auto"/>
            </w:tcBorders>
            <w:hideMark/>
          </w:tcPr>
          <w:p w:rsidR="00E46FAB" w:rsidRPr="006D54A5" w:rsidRDefault="00662B12">
            <w:pPr>
              <w:widowControl/>
              <w:jc w:val="left"/>
              <w:rPr>
                <w:rFonts w:ascii="Arial Narrow" w:hAnsi="Arial Narrow"/>
                <w:i/>
                <w:sz w:val="20"/>
                <w:lang w:eastAsia="en-AU"/>
              </w:rPr>
            </w:pPr>
            <w:r w:rsidRPr="006D54A5">
              <w:rPr>
                <w:rFonts w:ascii="Arial Narrow" w:hAnsi="Arial Narrow"/>
                <w:i/>
                <w:sz w:val="20"/>
                <w:lang w:eastAsia="en-AU"/>
              </w:rPr>
              <w:t>The condition must be active</w:t>
            </w:r>
          </w:p>
          <w:p w:rsidR="00662B12" w:rsidRPr="006D54A5" w:rsidRDefault="00662B12">
            <w:pPr>
              <w:widowControl/>
              <w:jc w:val="left"/>
              <w:rPr>
                <w:rFonts w:ascii="Arial Narrow" w:hAnsi="Arial Narrow"/>
                <w:i/>
                <w:sz w:val="20"/>
                <w:lang w:eastAsia="en-AU"/>
              </w:rPr>
            </w:pPr>
          </w:p>
          <w:p w:rsidR="00E46FAB" w:rsidRPr="006D54A5" w:rsidRDefault="00E46FAB">
            <w:pPr>
              <w:widowControl/>
              <w:jc w:val="left"/>
              <w:rPr>
                <w:rFonts w:ascii="Arial Narrow" w:hAnsi="Arial Narrow"/>
                <w:i/>
                <w:sz w:val="20"/>
                <w:lang w:eastAsia="en-AU"/>
              </w:rPr>
            </w:pPr>
            <w:r w:rsidRPr="006D54A5">
              <w:rPr>
                <w:rFonts w:ascii="Arial Narrow" w:hAnsi="Arial Narrow"/>
                <w:i/>
                <w:sz w:val="20"/>
                <w:lang w:eastAsia="en-AU"/>
              </w:rPr>
              <w:t>AND</w:t>
            </w:r>
          </w:p>
          <w:p w:rsidR="00E46FAB" w:rsidRPr="006D54A5" w:rsidRDefault="00E46FAB">
            <w:pPr>
              <w:widowControl/>
              <w:jc w:val="left"/>
              <w:rPr>
                <w:rFonts w:ascii="Arial Narrow" w:hAnsi="Arial Narrow"/>
                <w:sz w:val="20"/>
                <w:lang w:eastAsia="en-AU"/>
              </w:rPr>
            </w:pPr>
            <w:r w:rsidRPr="006D54A5">
              <w:rPr>
                <w:rFonts w:ascii="Arial Narrow" w:hAnsi="Arial Narrow"/>
                <w:sz w:val="20"/>
                <w:lang w:eastAsia="en-AU"/>
              </w:rPr>
              <w:t xml:space="preserve">The </w:t>
            </w:r>
            <w:r w:rsidRPr="006D54A5">
              <w:rPr>
                <w:rFonts w:ascii="Arial Narrow" w:hAnsi="Arial Narrow"/>
                <w:i/>
                <w:sz w:val="20"/>
                <w:lang w:eastAsia="en-AU"/>
              </w:rPr>
              <w:t xml:space="preserve">treatment must be after failure of therapy </w:t>
            </w:r>
            <w:r w:rsidRPr="006D54A5">
              <w:rPr>
                <w:rFonts w:ascii="Arial Narrow" w:hAnsi="Arial Narrow"/>
                <w:strike/>
                <w:sz w:val="20"/>
                <w:lang w:eastAsia="en-AU"/>
              </w:rPr>
              <w:t>patient must have been treated</w:t>
            </w:r>
            <w:r w:rsidRPr="006D54A5">
              <w:rPr>
                <w:rFonts w:ascii="Arial Narrow" w:hAnsi="Arial Narrow"/>
                <w:sz w:val="20"/>
                <w:lang w:eastAsia="en-AU"/>
              </w:rPr>
              <w:t xml:space="preserve"> with either </w:t>
            </w:r>
            <w:proofErr w:type="spellStart"/>
            <w:r w:rsidRPr="006D54A5">
              <w:rPr>
                <w:rFonts w:ascii="Arial Narrow" w:hAnsi="Arial Narrow"/>
                <w:sz w:val="20"/>
                <w:lang w:eastAsia="en-AU"/>
              </w:rPr>
              <w:t>octreotide</w:t>
            </w:r>
            <w:proofErr w:type="spellEnd"/>
            <w:r w:rsidRPr="006D54A5">
              <w:rPr>
                <w:rFonts w:ascii="Arial Narrow" w:hAnsi="Arial Narrow"/>
                <w:sz w:val="20"/>
                <w:lang w:eastAsia="en-AU"/>
              </w:rPr>
              <w:t xml:space="preserve"> LAR 30 mg or lanre</w:t>
            </w:r>
            <w:r w:rsidR="00662B12" w:rsidRPr="006D54A5">
              <w:rPr>
                <w:rFonts w:ascii="Arial Narrow" w:hAnsi="Arial Narrow"/>
                <w:sz w:val="20"/>
                <w:lang w:eastAsia="en-AU"/>
              </w:rPr>
              <w:t>otide ATG 120 mg every 28 days</w:t>
            </w:r>
          </w:p>
          <w:p w:rsidR="00662B12" w:rsidRPr="006D54A5" w:rsidRDefault="00662B12">
            <w:pPr>
              <w:widowControl/>
              <w:jc w:val="left"/>
              <w:rPr>
                <w:rFonts w:ascii="Arial Narrow" w:hAnsi="Arial Narrow"/>
                <w:sz w:val="20"/>
                <w:lang w:eastAsia="en-AU"/>
              </w:rPr>
            </w:pPr>
          </w:p>
          <w:p w:rsidR="00E46FAB" w:rsidRPr="006D54A5" w:rsidRDefault="00E46FAB">
            <w:pPr>
              <w:widowControl/>
              <w:jc w:val="left"/>
              <w:rPr>
                <w:rFonts w:ascii="Arial Narrow" w:hAnsi="Arial Narrow"/>
                <w:i/>
                <w:sz w:val="20"/>
                <w:lang w:eastAsia="en-AU"/>
              </w:rPr>
            </w:pPr>
            <w:r w:rsidRPr="006D54A5">
              <w:rPr>
                <w:rFonts w:ascii="Arial Narrow" w:hAnsi="Arial Narrow"/>
                <w:i/>
                <w:sz w:val="20"/>
                <w:lang w:eastAsia="en-AU"/>
              </w:rPr>
              <w:t xml:space="preserve">AND </w:t>
            </w:r>
          </w:p>
          <w:p w:rsidR="00662B12" w:rsidRPr="006D54A5" w:rsidRDefault="00662B12">
            <w:pPr>
              <w:widowControl/>
              <w:jc w:val="left"/>
              <w:rPr>
                <w:rFonts w:ascii="Arial Narrow" w:hAnsi="Arial Narrow"/>
                <w:i/>
                <w:sz w:val="20"/>
                <w:lang w:eastAsia="en-AU"/>
              </w:rPr>
            </w:pPr>
          </w:p>
          <w:p w:rsidR="00E46FAB" w:rsidRPr="006D54A5" w:rsidRDefault="00E46FAB">
            <w:pPr>
              <w:widowControl/>
              <w:snapToGrid w:val="0"/>
              <w:jc w:val="left"/>
              <w:rPr>
                <w:rFonts w:ascii="Arial Narrow" w:hAnsi="Arial Narrow"/>
                <w:sz w:val="20"/>
                <w:lang w:eastAsia="en-AU"/>
              </w:rPr>
            </w:pPr>
            <w:r w:rsidRPr="006D54A5">
              <w:rPr>
                <w:rFonts w:ascii="Arial Narrow" w:hAnsi="Arial Narrow"/>
                <w:i/>
                <w:sz w:val="20"/>
                <w:lang w:eastAsia="en-AU"/>
              </w:rPr>
              <w:t xml:space="preserve">Patient must </w:t>
            </w:r>
            <w:r w:rsidRPr="006D54A5">
              <w:rPr>
                <w:rFonts w:ascii="Arial Narrow" w:hAnsi="Arial Narrow"/>
                <w:sz w:val="20"/>
                <w:lang w:eastAsia="en-AU"/>
              </w:rPr>
              <w:t>have a mean growth hormone level greater than 2.5 micrograms per litre and IGF-1 &gt;1.3 x ULN.</w:t>
            </w:r>
          </w:p>
        </w:tc>
      </w:tr>
      <w:tr w:rsidR="00E46FAB" w:rsidRPr="006D54A5" w:rsidTr="00E46FAB">
        <w:trPr>
          <w:cantSplit/>
          <w:trHeight w:val="360"/>
        </w:trPr>
        <w:tc>
          <w:tcPr>
            <w:tcW w:w="2119" w:type="dxa"/>
            <w:tcBorders>
              <w:top w:val="single" w:sz="4" w:space="0" w:color="auto"/>
              <w:left w:val="single" w:sz="4" w:space="0" w:color="auto"/>
              <w:bottom w:val="single" w:sz="4" w:space="0" w:color="auto"/>
              <w:right w:val="single" w:sz="4" w:space="0" w:color="auto"/>
            </w:tcBorders>
          </w:tcPr>
          <w:p w:rsidR="00E46FAB" w:rsidRPr="006D54A5" w:rsidRDefault="00E46FAB">
            <w:pPr>
              <w:widowControl/>
              <w:rPr>
                <w:rFonts w:ascii="Arial Narrow" w:hAnsi="Arial Narrow"/>
                <w:b/>
                <w:sz w:val="20"/>
                <w:lang w:eastAsia="en-AU"/>
              </w:rPr>
            </w:pPr>
            <w:r w:rsidRPr="006D54A5">
              <w:rPr>
                <w:rFonts w:ascii="Arial Narrow" w:hAnsi="Arial Narrow"/>
                <w:b/>
                <w:sz w:val="20"/>
                <w:lang w:eastAsia="en-AU"/>
              </w:rPr>
              <w:t>Administrative Advice</w:t>
            </w:r>
          </w:p>
          <w:p w:rsidR="00E46FAB" w:rsidRPr="006D54A5" w:rsidRDefault="00E46FAB">
            <w:pPr>
              <w:widowControl/>
              <w:snapToGrid w:val="0"/>
              <w:rPr>
                <w:rFonts w:ascii="Arial Narrow" w:hAnsi="Arial Narrow"/>
                <w:i/>
                <w:sz w:val="20"/>
                <w:lang w:eastAsia="en-AU"/>
              </w:rPr>
            </w:pPr>
          </w:p>
        </w:tc>
        <w:tc>
          <w:tcPr>
            <w:tcW w:w="5812" w:type="dxa"/>
            <w:gridSpan w:val="6"/>
            <w:tcBorders>
              <w:top w:val="single" w:sz="4" w:space="0" w:color="auto"/>
              <w:left w:val="single" w:sz="4" w:space="0" w:color="auto"/>
              <w:bottom w:val="single" w:sz="4" w:space="0" w:color="auto"/>
              <w:right w:val="single" w:sz="4" w:space="0" w:color="auto"/>
            </w:tcBorders>
            <w:hideMark/>
          </w:tcPr>
          <w:p w:rsidR="00E46FAB" w:rsidRPr="006D54A5" w:rsidRDefault="00E46FAB">
            <w:pPr>
              <w:widowControl/>
              <w:snapToGrid w:val="0"/>
              <w:jc w:val="left"/>
              <w:rPr>
                <w:rFonts w:ascii="Arial Narrow" w:hAnsi="Arial Narrow"/>
                <w:sz w:val="20"/>
                <w:lang w:eastAsia="en-AU"/>
              </w:rPr>
            </w:pPr>
            <w:r w:rsidRPr="006D54A5">
              <w:rPr>
                <w:rFonts w:ascii="Arial Narrow" w:hAnsi="Arial Narrow"/>
                <w:i/>
                <w:sz w:val="20"/>
                <w:lang w:eastAsia="en-AU"/>
              </w:rPr>
              <w:t>Special Pricing Arrangements apply</w:t>
            </w:r>
          </w:p>
        </w:tc>
      </w:tr>
      <w:tr w:rsidR="00E46FAB" w:rsidRPr="006D54A5" w:rsidTr="00E46FAB">
        <w:trPr>
          <w:cantSplit/>
          <w:trHeight w:val="360"/>
        </w:trPr>
        <w:tc>
          <w:tcPr>
            <w:tcW w:w="2119" w:type="dxa"/>
            <w:tcBorders>
              <w:top w:val="single" w:sz="4" w:space="0" w:color="auto"/>
              <w:left w:val="single" w:sz="4" w:space="0" w:color="auto"/>
              <w:bottom w:val="single" w:sz="4" w:space="0" w:color="auto"/>
              <w:right w:val="single" w:sz="4" w:space="0" w:color="auto"/>
            </w:tcBorders>
          </w:tcPr>
          <w:p w:rsidR="00E46FAB" w:rsidRPr="006D54A5" w:rsidRDefault="00E46FAB">
            <w:pPr>
              <w:widowControl/>
              <w:rPr>
                <w:rFonts w:ascii="Arial Narrow" w:hAnsi="Arial Narrow"/>
                <w:b/>
                <w:sz w:val="20"/>
                <w:lang w:eastAsia="en-AU"/>
              </w:rPr>
            </w:pPr>
            <w:r w:rsidRPr="006D54A5">
              <w:rPr>
                <w:rFonts w:ascii="Arial Narrow" w:hAnsi="Arial Narrow"/>
                <w:b/>
                <w:sz w:val="20"/>
                <w:lang w:eastAsia="en-AU"/>
              </w:rPr>
              <w:t>Cautions</w:t>
            </w:r>
          </w:p>
          <w:p w:rsidR="00E46FAB" w:rsidRPr="006D54A5" w:rsidRDefault="00E46FAB">
            <w:pPr>
              <w:widowControl/>
              <w:snapToGrid w:val="0"/>
              <w:rPr>
                <w:rFonts w:ascii="Arial Narrow" w:hAnsi="Arial Narrow"/>
                <w:i/>
                <w:sz w:val="20"/>
                <w:lang w:eastAsia="en-AU"/>
              </w:rPr>
            </w:pPr>
          </w:p>
        </w:tc>
        <w:tc>
          <w:tcPr>
            <w:tcW w:w="5812" w:type="dxa"/>
            <w:gridSpan w:val="6"/>
            <w:tcBorders>
              <w:top w:val="single" w:sz="4" w:space="0" w:color="auto"/>
              <w:left w:val="single" w:sz="4" w:space="0" w:color="auto"/>
              <w:bottom w:val="single" w:sz="4" w:space="0" w:color="auto"/>
              <w:right w:val="single" w:sz="4" w:space="0" w:color="auto"/>
            </w:tcBorders>
            <w:hideMark/>
          </w:tcPr>
          <w:p w:rsidR="00E46FAB" w:rsidRPr="006D54A5" w:rsidRDefault="00E46FAB">
            <w:pPr>
              <w:widowControl/>
              <w:snapToGrid w:val="0"/>
              <w:jc w:val="left"/>
              <w:rPr>
                <w:rFonts w:ascii="Arial Narrow" w:hAnsi="Arial Narrow"/>
                <w:sz w:val="20"/>
                <w:lang w:eastAsia="en-AU"/>
              </w:rPr>
            </w:pPr>
            <w:r w:rsidRPr="006D54A5">
              <w:rPr>
                <w:rFonts w:ascii="Arial Narrow" w:hAnsi="Arial Narrow"/>
                <w:sz w:val="20"/>
                <w:lang w:eastAsia="en-AU"/>
              </w:rPr>
              <w:t>Careful monitoring of patients is mandatory due to high risk of developing hyperglycaemia.</w:t>
            </w:r>
          </w:p>
        </w:tc>
      </w:tr>
    </w:tbl>
    <w:p w:rsidR="0004389D" w:rsidRPr="006D54A5" w:rsidRDefault="0004389D" w:rsidP="0004389D">
      <w:pPr>
        <w:widowControl/>
        <w:rPr>
          <w:szCs w:val="22"/>
        </w:rPr>
      </w:pPr>
    </w:p>
    <w:p w:rsidR="00E46FAB" w:rsidRPr="006D54A5" w:rsidRDefault="00E46FAB" w:rsidP="00E46FAB">
      <w:pPr>
        <w:pStyle w:val="ListParagraph"/>
        <w:widowControl/>
        <w:numPr>
          <w:ilvl w:val="1"/>
          <w:numId w:val="18"/>
        </w:numPr>
        <w:rPr>
          <w:szCs w:val="22"/>
        </w:rPr>
      </w:pPr>
      <w:r w:rsidRPr="006D54A5">
        <w:rPr>
          <w:szCs w:val="22"/>
        </w:rPr>
        <w:t xml:space="preserve">The ESC considered that a stopping rule should be included, similar to that of the comparators, to ensure that pasireotide does not continue to be used when ineffective. </w:t>
      </w:r>
    </w:p>
    <w:p w:rsidR="00E46FAB" w:rsidRPr="006D54A5" w:rsidRDefault="00E46FAB" w:rsidP="00E46FAB">
      <w:pPr>
        <w:pStyle w:val="ListParagraph"/>
        <w:widowControl/>
        <w:rPr>
          <w:szCs w:val="22"/>
        </w:rPr>
      </w:pPr>
    </w:p>
    <w:p w:rsidR="002C2775" w:rsidRPr="006D54A5" w:rsidRDefault="00F357EE" w:rsidP="00B50DB8">
      <w:pPr>
        <w:pStyle w:val="ListParagraph"/>
        <w:widowControl/>
        <w:numPr>
          <w:ilvl w:val="1"/>
          <w:numId w:val="18"/>
        </w:numPr>
        <w:rPr>
          <w:szCs w:val="22"/>
        </w:rPr>
      </w:pPr>
      <w:r w:rsidRPr="006D54A5">
        <w:rPr>
          <w:szCs w:val="22"/>
        </w:rPr>
        <w:t>Listing was requested on a c</w:t>
      </w:r>
      <w:r w:rsidR="0004389D" w:rsidRPr="006D54A5">
        <w:rPr>
          <w:szCs w:val="22"/>
        </w:rPr>
        <w:t xml:space="preserve">ost-minimisation </w:t>
      </w:r>
      <w:r w:rsidRPr="006D54A5">
        <w:rPr>
          <w:szCs w:val="22"/>
        </w:rPr>
        <w:t xml:space="preserve">basis </w:t>
      </w:r>
      <w:r w:rsidR="0004389D" w:rsidRPr="006D54A5">
        <w:rPr>
          <w:szCs w:val="22"/>
        </w:rPr>
        <w:t xml:space="preserve">of pasireotide 40mg or 60mg with a mixed comparator of maximum doses of </w:t>
      </w:r>
      <w:proofErr w:type="spellStart"/>
      <w:r w:rsidR="0004389D" w:rsidRPr="006D54A5">
        <w:rPr>
          <w:szCs w:val="22"/>
        </w:rPr>
        <w:t>octreotide</w:t>
      </w:r>
      <w:proofErr w:type="spellEnd"/>
      <w:r w:rsidR="0004389D" w:rsidRPr="006D54A5">
        <w:rPr>
          <w:szCs w:val="22"/>
        </w:rPr>
        <w:t xml:space="preserve"> LAR (30mg) or lanreotide ATG (120mg)</w:t>
      </w:r>
      <w:r w:rsidR="004A3BDE" w:rsidRPr="006D54A5">
        <w:rPr>
          <w:szCs w:val="22"/>
        </w:rPr>
        <w:t>.</w:t>
      </w:r>
    </w:p>
    <w:p w:rsidR="00A91818" w:rsidRPr="006D54A5" w:rsidRDefault="00A91818" w:rsidP="004F22C6"/>
    <w:p w:rsidR="00A91818" w:rsidRPr="006D54A5" w:rsidRDefault="00A91818" w:rsidP="00A91818">
      <w:pPr>
        <w:widowControl/>
        <w:ind w:left="709"/>
        <w:rPr>
          <w:i/>
          <w:szCs w:val="22"/>
        </w:rPr>
      </w:pPr>
      <w:r w:rsidRPr="006D54A5">
        <w:rPr>
          <w:i/>
          <w:szCs w:val="22"/>
        </w:rPr>
        <w:t xml:space="preserve">For more details on PBAC’s view, see section 7 “PBAC outcome” </w:t>
      </w:r>
    </w:p>
    <w:p w:rsidR="00A91818" w:rsidRDefault="00A91818" w:rsidP="00B5580D">
      <w:pPr>
        <w:pStyle w:val="BodyText"/>
        <w:spacing w:line="480" w:lineRule="auto"/>
      </w:pPr>
      <w:bookmarkStart w:id="3" w:name="_Toc430013034"/>
    </w:p>
    <w:p w:rsidR="00B50DB8" w:rsidRPr="006D54A5" w:rsidRDefault="00B50DB8" w:rsidP="00B5580D">
      <w:pPr>
        <w:pStyle w:val="Heading1"/>
      </w:pPr>
      <w:r w:rsidRPr="006D54A5">
        <w:t>Background</w:t>
      </w:r>
      <w:bookmarkEnd w:id="3"/>
    </w:p>
    <w:p w:rsidR="00B60939" w:rsidRPr="006D54A5" w:rsidRDefault="00B60939" w:rsidP="00B60939">
      <w:pPr>
        <w:rPr>
          <w:szCs w:val="22"/>
        </w:rPr>
      </w:pPr>
    </w:p>
    <w:p w:rsidR="00B60939" w:rsidRPr="006D54A5" w:rsidRDefault="004645EE" w:rsidP="00B60939">
      <w:pPr>
        <w:pStyle w:val="ListParagraph"/>
        <w:widowControl/>
        <w:numPr>
          <w:ilvl w:val="1"/>
          <w:numId w:val="18"/>
        </w:numPr>
        <w:rPr>
          <w:szCs w:val="22"/>
        </w:rPr>
      </w:pPr>
      <w:r>
        <w:rPr>
          <w:szCs w:val="22"/>
        </w:rPr>
        <w:t xml:space="preserve">TGA status at time of PBAC consideration: </w:t>
      </w:r>
      <w:r w:rsidR="0004389D" w:rsidRPr="006D54A5">
        <w:rPr>
          <w:szCs w:val="22"/>
        </w:rPr>
        <w:t>Pasireotide LAR</w:t>
      </w:r>
      <w:r w:rsidR="00B60939" w:rsidRPr="006D54A5">
        <w:rPr>
          <w:szCs w:val="22"/>
        </w:rPr>
        <w:t xml:space="preserve"> was </w:t>
      </w:r>
      <w:r w:rsidR="0004389D" w:rsidRPr="006D54A5">
        <w:t xml:space="preserve">approved by the TGA </w:t>
      </w:r>
      <w:r w:rsidR="00A575C7" w:rsidRPr="006D54A5">
        <w:t xml:space="preserve">on 4 May 2015 </w:t>
      </w:r>
      <w:r w:rsidR="0004389D" w:rsidRPr="006D54A5">
        <w:t xml:space="preserve">for the treatment of adult patients with acromegaly for whom surgery is </w:t>
      </w:r>
      <w:bookmarkStart w:id="4" w:name="_GoBack"/>
      <w:bookmarkEnd w:id="4"/>
      <w:r w:rsidR="0004389D" w:rsidRPr="006D54A5">
        <w:t>not an option or has not been curative or who are inadequately controlled on treatment with other somatostatin analogues. The submission noted that approval for the associated device was expected from the TGA in the second half of 2015.</w:t>
      </w:r>
    </w:p>
    <w:p w:rsidR="0004389D" w:rsidRPr="006D54A5" w:rsidRDefault="0004389D" w:rsidP="00B60939">
      <w:pPr>
        <w:pStyle w:val="ListParagraph"/>
        <w:rPr>
          <w:szCs w:val="22"/>
        </w:rPr>
      </w:pPr>
    </w:p>
    <w:p w:rsidR="002C2775" w:rsidRPr="006D54A5" w:rsidRDefault="0004389D" w:rsidP="00B50DB8">
      <w:pPr>
        <w:pStyle w:val="ListParagraph"/>
        <w:widowControl/>
        <w:numPr>
          <w:ilvl w:val="1"/>
          <w:numId w:val="18"/>
        </w:numPr>
        <w:rPr>
          <w:szCs w:val="22"/>
        </w:rPr>
      </w:pPr>
      <w:r w:rsidRPr="006D54A5">
        <w:rPr>
          <w:szCs w:val="22"/>
        </w:rPr>
        <w:t>Pasireotide LAR has not been previously considered by the PBAC.</w:t>
      </w:r>
    </w:p>
    <w:p w:rsidR="00B60939" w:rsidRPr="006D54A5" w:rsidRDefault="00B60939" w:rsidP="00B5580D">
      <w:pPr>
        <w:spacing w:line="480" w:lineRule="auto"/>
      </w:pPr>
    </w:p>
    <w:p w:rsidR="00B50DB8" w:rsidRPr="006D54A5" w:rsidRDefault="00B50DB8" w:rsidP="00B5580D">
      <w:pPr>
        <w:pStyle w:val="Heading1"/>
      </w:pPr>
      <w:bookmarkStart w:id="5" w:name="_Toc430013035"/>
      <w:r w:rsidRPr="006D54A5">
        <w:t>Clinical place for the proposed therapy</w:t>
      </w:r>
      <w:bookmarkEnd w:id="5"/>
    </w:p>
    <w:p w:rsidR="00B60939" w:rsidRPr="006D54A5" w:rsidRDefault="00B60939" w:rsidP="00B60939">
      <w:pPr>
        <w:rPr>
          <w:szCs w:val="22"/>
        </w:rPr>
      </w:pPr>
    </w:p>
    <w:p w:rsidR="00B60939" w:rsidRPr="006D54A5" w:rsidRDefault="004A3BDE" w:rsidP="00B50DB8">
      <w:pPr>
        <w:pStyle w:val="ListParagraph"/>
        <w:widowControl/>
        <w:numPr>
          <w:ilvl w:val="1"/>
          <w:numId w:val="18"/>
        </w:numPr>
        <w:rPr>
          <w:szCs w:val="22"/>
        </w:rPr>
      </w:pPr>
      <w:r w:rsidRPr="006D54A5">
        <w:t>Acromegaly is a rare condition characterised by a consistently high leve</w:t>
      </w:r>
      <w:r w:rsidR="00FA7A86" w:rsidRPr="006D54A5">
        <w:t>l of circulating growth hormone</w:t>
      </w:r>
      <w:r w:rsidRPr="006D54A5">
        <w:t xml:space="preserve">. Acromegaly increases the risk of mortality through the long-term effects of comorbidities such as sleep apnoea, cardiovascular problems and diabetes. </w:t>
      </w:r>
      <w:r w:rsidR="00FA7A86" w:rsidRPr="006D54A5">
        <w:t xml:space="preserve">Surgery is the primary treatment for acromegaly, but if this is not possible then medical treatment with somatostatin analogues (SSAs) is the current standard of care. </w:t>
      </w:r>
      <w:proofErr w:type="spellStart"/>
      <w:r w:rsidR="00FA7A86" w:rsidRPr="006D54A5">
        <w:t>Octreotide</w:t>
      </w:r>
      <w:proofErr w:type="spellEnd"/>
      <w:r w:rsidR="00FA7A86" w:rsidRPr="006D54A5">
        <w:t xml:space="preserve"> LAR and </w:t>
      </w:r>
      <w:proofErr w:type="spellStart"/>
      <w:r w:rsidR="00FA7A86" w:rsidRPr="006D54A5">
        <w:t>lanreotide</w:t>
      </w:r>
      <w:proofErr w:type="spellEnd"/>
      <w:r w:rsidR="00FA7A86" w:rsidRPr="006D54A5">
        <w:t xml:space="preserve"> ATG are SSAs that are PBS-listed for the first-line treatment of acromegaly in Australia.</w:t>
      </w:r>
    </w:p>
    <w:p w:rsidR="00894489" w:rsidRPr="006D54A5" w:rsidRDefault="00894489" w:rsidP="00894489">
      <w:pPr>
        <w:widowControl/>
        <w:rPr>
          <w:szCs w:val="22"/>
        </w:rPr>
      </w:pPr>
    </w:p>
    <w:p w:rsidR="00030998" w:rsidRPr="006D54A5" w:rsidRDefault="004A3BDE" w:rsidP="00E46FAB">
      <w:pPr>
        <w:pStyle w:val="ListParagraph"/>
        <w:widowControl/>
        <w:numPr>
          <w:ilvl w:val="1"/>
          <w:numId w:val="18"/>
        </w:numPr>
        <w:rPr>
          <w:szCs w:val="22"/>
        </w:rPr>
      </w:pPr>
      <w:r w:rsidRPr="006D54A5">
        <w:t xml:space="preserve">The proposed restriction for pasireotide LAR limits use to </w:t>
      </w:r>
      <w:r w:rsidR="00981472" w:rsidRPr="006D54A5">
        <w:t xml:space="preserve">second-line treatment of </w:t>
      </w:r>
      <w:r w:rsidRPr="006D54A5">
        <w:t xml:space="preserve">acromegaly patients with an inadequate response to treatment with the maximum recommended doses of other </w:t>
      </w:r>
      <w:r w:rsidR="001D0789" w:rsidRPr="006D54A5">
        <w:t>SSAs</w:t>
      </w:r>
      <w:r w:rsidRPr="006D54A5">
        <w:t xml:space="preserve">; either </w:t>
      </w:r>
      <w:proofErr w:type="spellStart"/>
      <w:r w:rsidRPr="006D54A5">
        <w:t>octreotide</w:t>
      </w:r>
      <w:proofErr w:type="spellEnd"/>
      <w:r w:rsidRPr="006D54A5">
        <w:t xml:space="preserve"> LAR 30mg or lanreotide ATG 120mg.</w:t>
      </w:r>
      <w:r w:rsidR="00F357EE" w:rsidRPr="006D54A5">
        <w:t xml:space="preserve"> The ESC agreed with the clinical place of the proposed therapy</w:t>
      </w:r>
      <w:r w:rsidR="005B09C7" w:rsidRPr="006D54A5">
        <w:rPr>
          <w:i/>
        </w:rPr>
        <w:t xml:space="preserve">. </w:t>
      </w:r>
    </w:p>
    <w:p w:rsidR="00030998" w:rsidRPr="006D54A5" w:rsidRDefault="00030998" w:rsidP="00030998">
      <w:pPr>
        <w:pStyle w:val="ListParagraph"/>
        <w:rPr>
          <w:i/>
        </w:rPr>
      </w:pPr>
    </w:p>
    <w:p w:rsidR="00030998" w:rsidRPr="006D54A5" w:rsidRDefault="00030998" w:rsidP="00030998">
      <w:pPr>
        <w:widowControl/>
        <w:ind w:left="709"/>
        <w:rPr>
          <w:i/>
          <w:szCs w:val="22"/>
        </w:rPr>
      </w:pPr>
      <w:r w:rsidRPr="006D54A5">
        <w:rPr>
          <w:i/>
          <w:szCs w:val="22"/>
        </w:rPr>
        <w:t>For more details on PBAC’s view, see section 7 “PBAC outcome”</w:t>
      </w:r>
      <w:r w:rsidR="00F613BA">
        <w:rPr>
          <w:i/>
          <w:szCs w:val="22"/>
        </w:rPr>
        <w:t>.</w:t>
      </w:r>
    </w:p>
    <w:p w:rsidR="00E46FAB" w:rsidRDefault="00E46FAB" w:rsidP="00B5580D">
      <w:pPr>
        <w:pStyle w:val="ListParagraph"/>
        <w:widowControl/>
        <w:spacing w:line="480" w:lineRule="auto"/>
        <w:rPr>
          <w:szCs w:val="22"/>
        </w:rPr>
      </w:pPr>
    </w:p>
    <w:p w:rsidR="00B50DB8" w:rsidRPr="006D54A5" w:rsidRDefault="00B50DB8" w:rsidP="00B5580D">
      <w:pPr>
        <w:pStyle w:val="Heading1"/>
      </w:pPr>
      <w:bookmarkStart w:id="6" w:name="_Toc430013036"/>
      <w:r w:rsidRPr="006D54A5">
        <w:t>Comparator</w:t>
      </w:r>
      <w:bookmarkEnd w:id="6"/>
    </w:p>
    <w:p w:rsidR="00B60939" w:rsidRPr="006D54A5" w:rsidRDefault="00B60939" w:rsidP="004B1CB4"/>
    <w:p w:rsidR="00223A95" w:rsidRPr="006D54A5" w:rsidRDefault="00731FB0" w:rsidP="00223A95">
      <w:pPr>
        <w:pStyle w:val="ListParagraph"/>
        <w:widowControl/>
        <w:numPr>
          <w:ilvl w:val="1"/>
          <w:numId w:val="18"/>
        </w:numPr>
        <w:rPr>
          <w:i/>
        </w:rPr>
      </w:pPr>
      <w:r w:rsidRPr="006D54A5">
        <w:t xml:space="preserve">A mixed comparator of maximum doses of </w:t>
      </w:r>
      <w:proofErr w:type="spellStart"/>
      <w:r w:rsidRPr="006D54A5">
        <w:t>octreotide</w:t>
      </w:r>
      <w:proofErr w:type="spellEnd"/>
      <w:r w:rsidRPr="006D54A5">
        <w:t xml:space="preserve"> LAR (30mg) or lanreotide ATG (120mg)</w:t>
      </w:r>
      <w:r w:rsidR="00662B12" w:rsidRPr="006D54A5">
        <w:t xml:space="preserve"> was proposed</w:t>
      </w:r>
      <w:r w:rsidR="00F067A2" w:rsidRPr="006D54A5">
        <w:t>.</w:t>
      </w:r>
      <w:r w:rsidR="00223A95" w:rsidRPr="006D54A5">
        <w:t xml:space="preserve"> The ESC considered that this was reasonable, although the cost-effectiveness of continued SSA use despite suboptimal response is unclear. </w:t>
      </w:r>
    </w:p>
    <w:p w:rsidR="00030998" w:rsidRPr="006D54A5" w:rsidRDefault="00030998" w:rsidP="00030998">
      <w:pPr>
        <w:widowControl/>
        <w:ind w:left="709"/>
        <w:rPr>
          <w:szCs w:val="22"/>
        </w:rPr>
      </w:pPr>
    </w:p>
    <w:p w:rsidR="00030998" w:rsidRPr="006D54A5" w:rsidRDefault="00030998" w:rsidP="00030998">
      <w:pPr>
        <w:widowControl/>
        <w:ind w:left="709"/>
        <w:rPr>
          <w:i/>
          <w:szCs w:val="22"/>
        </w:rPr>
      </w:pPr>
      <w:r w:rsidRPr="006D54A5">
        <w:rPr>
          <w:i/>
          <w:szCs w:val="22"/>
        </w:rPr>
        <w:t>For more details on PBAC’s view, see section 7 “PBAC outcome”</w:t>
      </w:r>
      <w:r w:rsidR="00F613BA">
        <w:rPr>
          <w:i/>
          <w:szCs w:val="22"/>
        </w:rPr>
        <w:t>.</w:t>
      </w:r>
    </w:p>
    <w:p w:rsidR="00D300BE" w:rsidRPr="006D54A5" w:rsidRDefault="00D300BE" w:rsidP="00916CFC">
      <w:pPr>
        <w:widowControl/>
        <w:spacing w:line="1200" w:lineRule="auto"/>
        <w:jc w:val="left"/>
        <w:rPr>
          <w:szCs w:val="22"/>
        </w:rPr>
      </w:pPr>
    </w:p>
    <w:p w:rsidR="00B50DB8" w:rsidRPr="006D54A5" w:rsidRDefault="004645EE" w:rsidP="00B5580D">
      <w:pPr>
        <w:pStyle w:val="Heading1"/>
      </w:pPr>
      <w:bookmarkStart w:id="7" w:name="_Toc430013037"/>
      <w:r>
        <w:lastRenderedPageBreak/>
        <w:t>PBAC c</w:t>
      </w:r>
      <w:r w:rsidR="00B50DB8" w:rsidRPr="006D54A5">
        <w:t>onsideration of the evidence</w:t>
      </w:r>
      <w:bookmarkEnd w:id="7"/>
    </w:p>
    <w:p w:rsidR="003E0010" w:rsidRPr="006D54A5" w:rsidRDefault="003E0010" w:rsidP="00B5580D">
      <w:pPr>
        <w:pStyle w:val="BodyText"/>
      </w:pPr>
    </w:p>
    <w:p w:rsidR="003E0010" w:rsidRDefault="003E0010" w:rsidP="00B5580D">
      <w:pPr>
        <w:pStyle w:val="Heading2"/>
        <w:rPr>
          <w:lang w:eastAsia="en-AU"/>
        </w:rPr>
      </w:pPr>
      <w:r w:rsidRPr="006D54A5">
        <w:rPr>
          <w:lang w:eastAsia="en-AU"/>
        </w:rPr>
        <w:t>Sponsor hearing</w:t>
      </w:r>
    </w:p>
    <w:p w:rsidR="00B5580D" w:rsidRPr="00B5580D" w:rsidRDefault="00B5580D" w:rsidP="00B5580D">
      <w:pPr>
        <w:rPr>
          <w:lang w:eastAsia="en-AU"/>
        </w:rPr>
      </w:pPr>
    </w:p>
    <w:p w:rsidR="003E0010" w:rsidRPr="006D54A5" w:rsidRDefault="003E0010" w:rsidP="003E0010">
      <w:pPr>
        <w:pStyle w:val="ListParagraph"/>
        <w:widowControl/>
        <w:numPr>
          <w:ilvl w:val="1"/>
          <w:numId w:val="18"/>
        </w:numPr>
        <w:rPr>
          <w:b/>
          <w:bCs/>
          <w:lang w:eastAsia="en-AU"/>
        </w:rPr>
      </w:pPr>
      <w:r w:rsidRPr="006D54A5">
        <w:rPr>
          <w:bCs/>
          <w:lang w:eastAsia="en-AU"/>
        </w:rPr>
        <w:t>There was no hearing for this item</w:t>
      </w:r>
      <w:r w:rsidR="00A91818" w:rsidRPr="006D54A5">
        <w:rPr>
          <w:bCs/>
          <w:lang w:eastAsia="en-AU"/>
        </w:rPr>
        <w:t xml:space="preserve">. </w:t>
      </w:r>
    </w:p>
    <w:p w:rsidR="003E0010" w:rsidRPr="006D54A5" w:rsidRDefault="003E0010" w:rsidP="00B5580D">
      <w:pPr>
        <w:pStyle w:val="BodyText"/>
        <w:rPr>
          <w:lang w:eastAsia="en-AU"/>
        </w:rPr>
      </w:pPr>
    </w:p>
    <w:p w:rsidR="003E0010" w:rsidRPr="006D54A5" w:rsidRDefault="003E0010" w:rsidP="003E0010">
      <w:pPr>
        <w:pStyle w:val="Heading2"/>
        <w:widowControl/>
        <w:rPr>
          <w:bCs/>
          <w:szCs w:val="22"/>
        </w:rPr>
      </w:pPr>
      <w:r w:rsidRPr="006D54A5">
        <w:rPr>
          <w:bCs/>
          <w:szCs w:val="22"/>
        </w:rPr>
        <w:t>Consumer comments</w:t>
      </w:r>
    </w:p>
    <w:p w:rsidR="003E0010" w:rsidRPr="006D54A5" w:rsidRDefault="003E0010" w:rsidP="003E0010"/>
    <w:p w:rsidR="003E0010" w:rsidRPr="006D54A5" w:rsidRDefault="003E0010" w:rsidP="003E0010">
      <w:pPr>
        <w:pStyle w:val="ListParagraph"/>
        <w:widowControl/>
        <w:numPr>
          <w:ilvl w:val="1"/>
          <w:numId w:val="18"/>
        </w:numPr>
        <w:rPr>
          <w:b/>
        </w:rPr>
      </w:pPr>
      <w:r w:rsidRPr="006D54A5">
        <w:rPr>
          <w:bCs/>
          <w:szCs w:val="22"/>
        </w:rPr>
        <w:t>The PBAC noted that no consumer comments were received for this item</w:t>
      </w:r>
      <w:r w:rsidRPr="00B17ED9">
        <w:rPr>
          <w:bCs/>
          <w:szCs w:val="22"/>
        </w:rPr>
        <w:t>.</w:t>
      </w:r>
    </w:p>
    <w:p w:rsidR="004B5BC7" w:rsidRPr="006D54A5" w:rsidRDefault="004B5BC7" w:rsidP="004B1CB4"/>
    <w:p w:rsidR="00B60939" w:rsidRPr="00B5580D" w:rsidRDefault="00B60939" w:rsidP="002C2775">
      <w:pPr>
        <w:pStyle w:val="Heading2"/>
      </w:pPr>
      <w:bookmarkStart w:id="8" w:name="_Toc430013038"/>
      <w:r w:rsidRPr="00B5580D">
        <w:t>Clinical trials</w:t>
      </w:r>
      <w:bookmarkEnd w:id="8"/>
    </w:p>
    <w:p w:rsidR="00B60939" w:rsidRPr="006D54A5" w:rsidRDefault="00B60939" w:rsidP="00B60939">
      <w:pPr>
        <w:rPr>
          <w:szCs w:val="22"/>
        </w:rPr>
      </w:pPr>
    </w:p>
    <w:p w:rsidR="007F1017" w:rsidRPr="006D54A5" w:rsidRDefault="00862502" w:rsidP="00B50DB8">
      <w:pPr>
        <w:pStyle w:val="ListParagraph"/>
        <w:widowControl/>
        <w:numPr>
          <w:ilvl w:val="1"/>
          <w:numId w:val="18"/>
        </w:numPr>
        <w:rPr>
          <w:szCs w:val="22"/>
        </w:rPr>
      </w:pPr>
      <w:r w:rsidRPr="006D54A5">
        <w:t xml:space="preserve">The submission is based on one head-to-head trial comparing </w:t>
      </w:r>
      <w:r w:rsidR="004469E4" w:rsidRPr="006D54A5">
        <w:t>pasireotide LAR 40mg and 60mg</w:t>
      </w:r>
      <w:r w:rsidRPr="006D54A5">
        <w:t xml:space="preserve"> to </w:t>
      </w:r>
      <w:r w:rsidR="004469E4" w:rsidRPr="006D54A5">
        <w:t xml:space="preserve">a mixed active comparator arm of </w:t>
      </w:r>
      <w:proofErr w:type="spellStart"/>
      <w:r w:rsidR="004469E4" w:rsidRPr="006D54A5">
        <w:t>octreotide</w:t>
      </w:r>
      <w:proofErr w:type="spellEnd"/>
      <w:r w:rsidR="004469E4" w:rsidRPr="006D54A5">
        <w:t xml:space="preserve"> LAR 30mg or lanreotide ATG 120mg</w:t>
      </w:r>
      <w:r w:rsidRPr="006D54A5">
        <w:t xml:space="preserve"> (n=</w:t>
      </w:r>
      <w:r w:rsidR="004469E4" w:rsidRPr="006D54A5">
        <w:t>198</w:t>
      </w:r>
      <w:r w:rsidRPr="006D54A5">
        <w:t>)</w:t>
      </w:r>
      <w:r w:rsidR="004469E4" w:rsidRPr="006D54A5">
        <w:t>.</w:t>
      </w:r>
    </w:p>
    <w:p w:rsidR="00862502" w:rsidRPr="006D54A5" w:rsidRDefault="00862502" w:rsidP="00862502">
      <w:pPr>
        <w:widowControl/>
        <w:rPr>
          <w:szCs w:val="22"/>
        </w:rPr>
      </w:pPr>
    </w:p>
    <w:p w:rsidR="00862502" w:rsidRPr="006D54A5" w:rsidRDefault="00862502" w:rsidP="00862502">
      <w:pPr>
        <w:pStyle w:val="ListParagraph"/>
        <w:widowControl/>
        <w:numPr>
          <w:ilvl w:val="1"/>
          <w:numId w:val="18"/>
        </w:numPr>
        <w:rPr>
          <w:szCs w:val="22"/>
        </w:rPr>
      </w:pPr>
      <w:r w:rsidRPr="006D54A5">
        <w:rPr>
          <w:szCs w:val="22"/>
        </w:rPr>
        <w:t>Details of the trials presented in the submission ar</w:t>
      </w:r>
      <w:r w:rsidR="004469E4" w:rsidRPr="006D54A5">
        <w:rPr>
          <w:szCs w:val="22"/>
        </w:rPr>
        <w:t>e provided in the table below.</w:t>
      </w:r>
    </w:p>
    <w:p w:rsidR="004469E4" w:rsidRPr="006D54A5" w:rsidRDefault="004469E4" w:rsidP="004469E4">
      <w:pPr>
        <w:widowControl/>
        <w:rPr>
          <w:szCs w:val="22"/>
        </w:rPr>
      </w:pPr>
    </w:p>
    <w:p w:rsidR="00B5580D" w:rsidRPr="00B5580D" w:rsidRDefault="00B5580D" w:rsidP="00B5580D">
      <w:pPr>
        <w:pStyle w:val="Caption"/>
        <w:keepNext/>
        <w:ind w:firstLine="720"/>
        <w:rPr>
          <w:rFonts w:ascii="Arial Narrow" w:hAnsi="Arial Narrow"/>
          <w:color w:val="auto"/>
          <w:sz w:val="20"/>
          <w:szCs w:val="20"/>
        </w:rPr>
      </w:pPr>
      <w:r w:rsidRPr="00B5580D">
        <w:rPr>
          <w:rFonts w:ascii="Arial Narrow" w:hAnsi="Arial Narrow"/>
          <w:color w:val="auto"/>
          <w:sz w:val="20"/>
          <w:szCs w:val="20"/>
        </w:rPr>
        <w:t xml:space="preserve">Table </w:t>
      </w:r>
      <w:r w:rsidRPr="00B5580D">
        <w:rPr>
          <w:rFonts w:ascii="Arial Narrow" w:hAnsi="Arial Narrow"/>
          <w:color w:val="auto"/>
          <w:sz w:val="20"/>
          <w:szCs w:val="20"/>
        </w:rPr>
        <w:fldChar w:fldCharType="begin"/>
      </w:r>
      <w:r w:rsidRPr="00B5580D">
        <w:rPr>
          <w:rFonts w:ascii="Arial Narrow" w:hAnsi="Arial Narrow"/>
          <w:color w:val="auto"/>
          <w:sz w:val="20"/>
          <w:szCs w:val="20"/>
        </w:rPr>
        <w:instrText xml:space="preserve"> SEQ Table \* ARABIC </w:instrText>
      </w:r>
      <w:r w:rsidRPr="00B5580D">
        <w:rPr>
          <w:rFonts w:ascii="Arial Narrow" w:hAnsi="Arial Narrow"/>
          <w:color w:val="auto"/>
          <w:sz w:val="20"/>
          <w:szCs w:val="20"/>
        </w:rPr>
        <w:fldChar w:fldCharType="separate"/>
      </w:r>
      <w:r w:rsidR="0018573A">
        <w:rPr>
          <w:rFonts w:ascii="Arial Narrow" w:hAnsi="Arial Narrow"/>
          <w:noProof/>
          <w:color w:val="auto"/>
          <w:sz w:val="20"/>
          <w:szCs w:val="20"/>
        </w:rPr>
        <w:t>1</w:t>
      </w:r>
      <w:r w:rsidRPr="00B5580D">
        <w:rPr>
          <w:rFonts w:ascii="Arial Narrow" w:hAnsi="Arial Narrow"/>
          <w:color w:val="auto"/>
          <w:sz w:val="20"/>
          <w:szCs w:val="20"/>
        </w:rPr>
        <w:fldChar w:fldCharType="end"/>
      </w:r>
      <w:r w:rsidRPr="00B5580D">
        <w:rPr>
          <w:rFonts w:ascii="Arial Narrow" w:hAnsi="Arial Narrow"/>
          <w:color w:val="auto"/>
          <w:sz w:val="20"/>
          <w:szCs w:val="20"/>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used in the submission"/>
      </w:tblPr>
      <w:tblGrid>
        <w:gridCol w:w="1701"/>
        <w:gridCol w:w="4678"/>
        <w:gridCol w:w="1966"/>
      </w:tblGrid>
      <w:tr w:rsidR="004469E4" w:rsidRPr="006D54A5" w:rsidTr="001D0789">
        <w:tc>
          <w:tcPr>
            <w:tcW w:w="1019" w:type="pct"/>
          </w:tcPr>
          <w:p w:rsidR="004469E4" w:rsidRPr="006D54A5" w:rsidRDefault="004469E4" w:rsidP="00BA3E38">
            <w:pPr>
              <w:jc w:val="left"/>
              <w:rPr>
                <w:rFonts w:ascii="Arial Narrow" w:hAnsi="Arial Narrow"/>
                <w:b/>
                <w:sz w:val="20"/>
              </w:rPr>
            </w:pPr>
            <w:r w:rsidRPr="006D54A5">
              <w:rPr>
                <w:rFonts w:ascii="Arial Narrow" w:hAnsi="Arial Narrow"/>
                <w:b/>
                <w:sz w:val="20"/>
              </w:rPr>
              <w:t>Trial ID</w:t>
            </w:r>
          </w:p>
        </w:tc>
        <w:tc>
          <w:tcPr>
            <w:tcW w:w="2803" w:type="pct"/>
          </w:tcPr>
          <w:p w:rsidR="004469E4" w:rsidRPr="006D54A5" w:rsidRDefault="004469E4" w:rsidP="00BA3E38">
            <w:pPr>
              <w:jc w:val="center"/>
              <w:rPr>
                <w:rFonts w:ascii="Arial Narrow" w:hAnsi="Arial Narrow"/>
                <w:b/>
                <w:sz w:val="20"/>
              </w:rPr>
            </w:pPr>
            <w:r w:rsidRPr="006D54A5">
              <w:rPr>
                <w:rFonts w:ascii="Arial Narrow" w:hAnsi="Arial Narrow"/>
                <w:b/>
                <w:sz w:val="20"/>
              </w:rPr>
              <w:t>Protocol title/ Publication title</w:t>
            </w:r>
          </w:p>
        </w:tc>
        <w:tc>
          <w:tcPr>
            <w:tcW w:w="1178" w:type="pct"/>
          </w:tcPr>
          <w:p w:rsidR="004469E4" w:rsidRPr="006D54A5" w:rsidRDefault="004469E4" w:rsidP="00BA3E38">
            <w:pPr>
              <w:jc w:val="center"/>
              <w:rPr>
                <w:rFonts w:ascii="Arial Narrow" w:hAnsi="Arial Narrow"/>
                <w:b/>
                <w:sz w:val="20"/>
              </w:rPr>
            </w:pPr>
            <w:r w:rsidRPr="006D54A5">
              <w:rPr>
                <w:rFonts w:ascii="Arial Narrow" w:hAnsi="Arial Narrow"/>
                <w:b/>
                <w:sz w:val="20"/>
              </w:rPr>
              <w:t>Publication citation</w:t>
            </w:r>
          </w:p>
        </w:tc>
      </w:tr>
      <w:tr w:rsidR="004469E4" w:rsidRPr="006D54A5" w:rsidTr="004469E4">
        <w:tc>
          <w:tcPr>
            <w:tcW w:w="5000" w:type="pct"/>
            <w:gridSpan w:val="3"/>
          </w:tcPr>
          <w:p w:rsidR="004469E4" w:rsidRPr="006D54A5" w:rsidRDefault="004469E4" w:rsidP="00BA3E38">
            <w:pPr>
              <w:jc w:val="left"/>
              <w:rPr>
                <w:rFonts w:ascii="Arial Narrow" w:hAnsi="Arial Narrow"/>
                <w:b/>
                <w:sz w:val="20"/>
              </w:rPr>
            </w:pPr>
            <w:r w:rsidRPr="006D54A5">
              <w:rPr>
                <w:rFonts w:ascii="Arial Narrow" w:hAnsi="Arial Narrow"/>
                <w:b/>
                <w:sz w:val="20"/>
              </w:rPr>
              <w:t>Direct randomised trial</w:t>
            </w:r>
          </w:p>
        </w:tc>
      </w:tr>
      <w:tr w:rsidR="004469E4" w:rsidRPr="006D54A5" w:rsidTr="004469E4">
        <w:tc>
          <w:tcPr>
            <w:tcW w:w="1019" w:type="pct"/>
          </w:tcPr>
          <w:p w:rsidR="004469E4" w:rsidRPr="006D54A5" w:rsidRDefault="004469E4" w:rsidP="00BA3E38">
            <w:pPr>
              <w:jc w:val="left"/>
              <w:rPr>
                <w:rFonts w:ascii="Arial Narrow" w:hAnsi="Arial Narrow"/>
                <w:sz w:val="20"/>
              </w:rPr>
            </w:pPr>
            <w:r w:rsidRPr="006D54A5">
              <w:rPr>
                <w:rFonts w:ascii="Arial Narrow" w:hAnsi="Arial Narrow"/>
                <w:sz w:val="20"/>
              </w:rPr>
              <w:t>C2402</w:t>
            </w:r>
          </w:p>
        </w:tc>
        <w:tc>
          <w:tcPr>
            <w:tcW w:w="2803" w:type="pct"/>
          </w:tcPr>
          <w:p w:rsidR="004469E4" w:rsidRPr="006D54A5" w:rsidRDefault="004469E4" w:rsidP="00BA3E38">
            <w:pPr>
              <w:jc w:val="left"/>
              <w:rPr>
                <w:rFonts w:ascii="Arial Narrow" w:hAnsi="Arial Narrow"/>
                <w:sz w:val="20"/>
              </w:rPr>
            </w:pPr>
            <w:r w:rsidRPr="006D54A5">
              <w:rPr>
                <w:rFonts w:ascii="Arial Narrow" w:hAnsi="Arial Narrow"/>
                <w:sz w:val="20"/>
              </w:rPr>
              <w:t xml:space="preserve">A phase III, multicentre, randomized, parallel-group study to assess the efficacy and safety of double-blind pasireotide LAR 40mg and pasireotide LAR 60mg versus open-label </w:t>
            </w:r>
            <w:proofErr w:type="spellStart"/>
            <w:r w:rsidRPr="006D54A5">
              <w:rPr>
                <w:rFonts w:ascii="Arial Narrow" w:hAnsi="Arial Narrow"/>
                <w:sz w:val="20"/>
              </w:rPr>
              <w:t>octreotide</w:t>
            </w:r>
            <w:proofErr w:type="spellEnd"/>
            <w:r w:rsidRPr="006D54A5">
              <w:rPr>
                <w:rFonts w:ascii="Arial Narrow" w:hAnsi="Arial Narrow"/>
                <w:sz w:val="20"/>
              </w:rPr>
              <w:t xml:space="preserve"> LAR or </w:t>
            </w:r>
            <w:proofErr w:type="spellStart"/>
            <w:r w:rsidRPr="006D54A5">
              <w:rPr>
                <w:rFonts w:ascii="Arial Narrow" w:hAnsi="Arial Narrow"/>
                <w:sz w:val="20"/>
              </w:rPr>
              <w:t>lanreotide</w:t>
            </w:r>
            <w:proofErr w:type="spellEnd"/>
            <w:r w:rsidRPr="006D54A5">
              <w:rPr>
                <w:rFonts w:ascii="Arial Narrow" w:hAnsi="Arial Narrow"/>
                <w:sz w:val="20"/>
              </w:rPr>
              <w:t xml:space="preserve"> ATG in patients with inadequately controlled acromegaly. </w:t>
            </w:r>
          </w:p>
          <w:p w:rsidR="004469E4" w:rsidRPr="006D54A5" w:rsidRDefault="004469E4" w:rsidP="00BA3E38">
            <w:pPr>
              <w:jc w:val="left"/>
              <w:rPr>
                <w:rFonts w:ascii="Arial Narrow" w:hAnsi="Arial Narrow"/>
                <w:sz w:val="20"/>
              </w:rPr>
            </w:pPr>
          </w:p>
          <w:p w:rsidR="004469E4" w:rsidRPr="006D54A5" w:rsidRDefault="004469E4" w:rsidP="00BA3E38">
            <w:pPr>
              <w:jc w:val="left"/>
              <w:rPr>
                <w:rFonts w:ascii="Arial Narrow" w:hAnsi="Arial Narrow"/>
                <w:b/>
                <w:sz w:val="20"/>
              </w:rPr>
            </w:pPr>
            <w:proofErr w:type="spellStart"/>
            <w:r w:rsidRPr="006D54A5">
              <w:rPr>
                <w:rFonts w:ascii="Arial Narrow" w:hAnsi="Arial Narrow"/>
                <w:sz w:val="20"/>
              </w:rPr>
              <w:t>Gadelha</w:t>
            </w:r>
            <w:proofErr w:type="spellEnd"/>
            <w:r w:rsidRPr="006D54A5">
              <w:rPr>
                <w:rFonts w:ascii="Arial Narrow" w:hAnsi="Arial Narrow"/>
                <w:sz w:val="20"/>
              </w:rPr>
              <w:t xml:space="preserve"> MR et al. Pasireotide versus continued treatment with </w:t>
            </w:r>
            <w:proofErr w:type="spellStart"/>
            <w:r w:rsidRPr="006D54A5">
              <w:rPr>
                <w:rFonts w:ascii="Arial Narrow" w:hAnsi="Arial Narrow"/>
                <w:sz w:val="20"/>
              </w:rPr>
              <w:t>octreotide</w:t>
            </w:r>
            <w:proofErr w:type="spellEnd"/>
            <w:r w:rsidRPr="006D54A5">
              <w:rPr>
                <w:rFonts w:ascii="Arial Narrow" w:hAnsi="Arial Narrow"/>
                <w:sz w:val="20"/>
              </w:rPr>
              <w:t xml:space="preserve"> or </w:t>
            </w:r>
            <w:proofErr w:type="spellStart"/>
            <w:r w:rsidRPr="006D54A5">
              <w:rPr>
                <w:rFonts w:ascii="Arial Narrow" w:hAnsi="Arial Narrow"/>
                <w:sz w:val="20"/>
              </w:rPr>
              <w:t>lanreotide</w:t>
            </w:r>
            <w:proofErr w:type="spellEnd"/>
            <w:r w:rsidRPr="006D54A5">
              <w:rPr>
                <w:rFonts w:ascii="Arial Narrow" w:hAnsi="Arial Narrow"/>
                <w:sz w:val="20"/>
              </w:rPr>
              <w:t xml:space="preserve"> in patients with inadequately controlled acromegaly (PAOLA): a randomised, phase 3 trial.</w:t>
            </w:r>
          </w:p>
        </w:tc>
        <w:tc>
          <w:tcPr>
            <w:tcW w:w="1178" w:type="pct"/>
          </w:tcPr>
          <w:p w:rsidR="004469E4" w:rsidRPr="006D54A5" w:rsidRDefault="004469E4" w:rsidP="00BA3E38">
            <w:pPr>
              <w:jc w:val="left"/>
              <w:rPr>
                <w:rFonts w:ascii="Arial Narrow" w:hAnsi="Arial Narrow"/>
                <w:sz w:val="20"/>
              </w:rPr>
            </w:pPr>
            <w:r w:rsidRPr="006D54A5">
              <w:rPr>
                <w:rFonts w:ascii="Arial Narrow" w:hAnsi="Arial Narrow"/>
                <w:sz w:val="20"/>
              </w:rPr>
              <w:t>Clinical Study Report, September 2013</w:t>
            </w:r>
          </w:p>
          <w:p w:rsidR="004469E4" w:rsidRPr="006D54A5" w:rsidRDefault="004469E4" w:rsidP="00BA3E38">
            <w:pPr>
              <w:jc w:val="left"/>
              <w:rPr>
                <w:rFonts w:ascii="Arial Narrow" w:hAnsi="Arial Narrow"/>
                <w:i/>
                <w:sz w:val="20"/>
              </w:rPr>
            </w:pPr>
          </w:p>
          <w:p w:rsidR="004469E4" w:rsidRPr="006D54A5" w:rsidRDefault="004469E4" w:rsidP="00BA3E38">
            <w:pPr>
              <w:jc w:val="left"/>
              <w:rPr>
                <w:rFonts w:ascii="Arial Narrow" w:hAnsi="Arial Narrow"/>
                <w:i/>
                <w:sz w:val="20"/>
              </w:rPr>
            </w:pPr>
          </w:p>
          <w:p w:rsidR="004469E4" w:rsidRPr="006D54A5" w:rsidRDefault="004469E4" w:rsidP="00BA3E38">
            <w:pPr>
              <w:jc w:val="left"/>
              <w:rPr>
                <w:rFonts w:ascii="Arial Narrow" w:hAnsi="Arial Narrow"/>
                <w:i/>
                <w:sz w:val="20"/>
              </w:rPr>
            </w:pPr>
          </w:p>
          <w:p w:rsidR="004469E4" w:rsidRPr="006D54A5" w:rsidRDefault="004469E4" w:rsidP="00BA3E38">
            <w:pPr>
              <w:jc w:val="left"/>
              <w:rPr>
                <w:rFonts w:ascii="Arial Narrow" w:hAnsi="Arial Narrow"/>
                <w:i/>
                <w:sz w:val="20"/>
              </w:rPr>
            </w:pPr>
          </w:p>
          <w:p w:rsidR="004469E4" w:rsidRPr="006D54A5" w:rsidRDefault="004469E4" w:rsidP="00BA3E38">
            <w:pPr>
              <w:jc w:val="left"/>
              <w:rPr>
                <w:rFonts w:ascii="Arial Narrow" w:hAnsi="Arial Narrow"/>
                <w:sz w:val="20"/>
              </w:rPr>
            </w:pPr>
            <w:r w:rsidRPr="006D54A5">
              <w:rPr>
                <w:rFonts w:ascii="Arial Narrow" w:hAnsi="Arial Narrow"/>
                <w:i/>
                <w:sz w:val="20"/>
              </w:rPr>
              <w:t xml:space="preserve">Lancet Diabetes </w:t>
            </w:r>
            <w:proofErr w:type="spellStart"/>
            <w:r w:rsidRPr="006D54A5">
              <w:rPr>
                <w:rFonts w:ascii="Arial Narrow" w:hAnsi="Arial Narrow"/>
                <w:i/>
                <w:sz w:val="20"/>
              </w:rPr>
              <w:t>Endocrinol</w:t>
            </w:r>
            <w:proofErr w:type="spellEnd"/>
            <w:r w:rsidRPr="006D54A5">
              <w:rPr>
                <w:rFonts w:ascii="Arial Narrow" w:hAnsi="Arial Narrow"/>
                <w:sz w:val="20"/>
              </w:rPr>
              <w:t xml:space="preserve"> 2014; 2 (11):875-884</w:t>
            </w:r>
          </w:p>
        </w:tc>
      </w:tr>
    </w:tbl>
    <w:p w:rsidR="004469E4" w:rsidRPr="006D54A5" w:rsidRDefault="004469E4" w:rsidP="004469E4">
      <w:pPr>
        <w:pStyle w:val="TableFooter"/>
        <w:ind w:left="709"/>
      </w:pPr>
      <w:r w:rsidRPr="006D54A5">
        <w:t>Source: Table 10, p52 of the submission</w:t>
      </w:r>
    </w:p>
    <w:p w:rsidR="004469E4" w:rsidRPr="006D54A5" w:rsidRDefault="004469E4" w:rsidP="00E22A0D">
      <w:pPr>
        <w:ind w:firstLine="720"/>
        <w:rPr>
          <w:rStyle w:val="CommentReference"/>
        </w:rPr>
      </w:pPr>
    </w:p>
    <w:p w:rsidR="00266F2E" w:rsidRPr="006D54A5" w:rsidRDefault="00266F2E" w:rsidP="00B50DB8">
      <w:pPr>
        <w:pStyle w:val="ListParagraph"/>
        <w:widowControl/>
        <w:numPr>
          <w:ilvl w:val="1"/>
          <w:numId w:val="18"/>
        </w:numPr>
        <w:rPr>
          <w:szCs w:val="22"/>
        </w:rPr>
      </w:pPr>
      <w:r w:rsidRPr="006D54A5">
        <w:rPr>
          <w:szCs w:val="22"/>
        </w:rPr>
        <w:br w:type="page"/>
      </w:r>
    </w:p>
    <w:p w:rsidR="00862502" w:rsidRPr="006D54A5" w:rsidRDefault="008F120A" w:rsidP="00B50DB8">
      <w:pPr>
        <w:pStyle w:val="ListParagraph"/>
        <w:widowControl/>
        <w:numPr>
          <w:ilvl w:val="1"/>
          <w:numId w:val="18"/>
        </w:numPr>
        <w:rPr>
          <w:szCs w:val="22"/>
        </w:rPr>
      </w:pPr>
      <w:r w:rsidRPr="006D54A5">
        <w:rPr>
          <w:szCs w:val="22"/>
        </w:rPr>
        <w:lastRenderedPageBreak/>
        <w:t xml:space="preserve">The key features of the randomised trial </w:t>
      </w:r>
      <w:r w:rsidR="00714204" w:rsidRPr="006D54A5">
        <w:rPr>
          <w:szCs w:val="22"/>
        </w:rPr>
        <w:t>is</w:t>
      </w:r>
      <w:r w:rsidRPr="006D54A5">
        <w:rPr>
          <w:szCs w:val="22"/>
        </w:rPr>
        <w:t xml:space="preserve"> </w:t>
      </w:r>
      <w:r w:rsidR="00714204" w:rsidRPr="006D54A5">
        <w:rPr>
          <w:szCs w:val="22"/>
        </w:rPr>
        <w:t xml:space="preserve">summarised in the table below. </w:t>
      </w:r>
    </w:p>
    <w:p w:rsidR="007F1017" w:rsidRPr="006D54A5" w:rsidRDefault="007F1017" w:rsidP="007F1017">
      <w:pPr>
        <w:widowControl/>
        <w:rPr>
          <w:szCs w:val="22"/>
        </w:rPr>
      </w:pPr>
    </w:p>
    <w:p w:rsidR="00B5580D" w:rsidRPr="00B5580D" w:rsidRDefault="00B5580D" w:rsidP="00B5580D">
      <w:pPr>
        <w:pStyle w:val="Caption"/>
        <w:keepNext/>
        <w:ind w:firstLine="720"/>
        <w:rPr>
          <w:rFonts w:ascii="Arial Narrow" w:hAnsi="Arial Narrow"/>
          <w:color w:val="auto"/>
          <w:sz w:val="20"/>
          <w:szCs w:val="20"/>
        </w:rPr>
      </w:pPr>
      <w:r w:rsidRPr="00B5580D">
        <w:rPr>
          <w:rFonts w:ascii="Arial Narrow" w:hAnsi="Arial Narrow"/>
          <w:color w:val="auto"/>
          <w:sz w:val="20"/>
          <w:szCs w:val="20"/>
        </w:rPr>
        <w:t xml:space="preserve">Table </w:t>
      </w:r>
      <w:r w:rsidRPr="00B5580D">
        <w:rPr>
          <w:rFonts w:ascii="Arial Narrow" w:hAnsi="Arial Narrow"/>
          <w:color w:val="auto"/>
          <w:sz w:val="20"/>
          <w:szCs w:val="20"/>
        </w:rPr>
        <w:fldChar w:fldCharType="begin"/>
      </w:r>
      <w:r w:rsidRPr="00B5580D">
        <w:rPr>
          <w:rFonts w:ascii="Arial Narrow" w:hAnsi="Arial Narrow"/>
          <w:color w:val="auto"/>
          <w:sz w:val="20"/>
          <w:szCs w:val="20"/>
        </w:rPr>
        <w:instrText xml:space="preserve"> SEQ Table \* ARABIC </w:instrText>
      </w:r>
      <w:r w:rsidRPr="00B5580D">
        <w:rPr>
          <w:rFonts w:ascii="Arial Narrow" w:hAnsi="Arial Narrow"/>
          <w:color w:val="auto"/>
          <w:sz w:val="20"/>
          <w:szCs w:val="20"/>
        </w:rPr>
        <w:fldChar w:fldCharType="separate"/>
      </w:r>
      <w:r w:rsidR="0018573A">
        <w:rPr>
          <w:rFonts w:ascii="Arial Narrow" w:hAnsi="Arial Narrow"/>
          <w:noProof/>
          <w:color w:val="auto"/>
          <w:sz w:val="20"/>
          <w:szCs w:val="20"/>
        </w:rPr>
        <w:t>2</w:t>
      </w:r>
      <w:r w:rsidRPr="00B5580D">
        <w:rPr>
          <w:rFonts w:ascii="Arial Narrow" w:hAnsi="Arial Narrow"/>
          <w:color w:val="auto"/>
          <w:sz w:val="20"/>
          <w:szCs w:val="20"/>
        </w:rPr>
        <w:fldChar w:fldCharType="end"/>
      </w:r>
      <w:r w:rsidRPr="00B5580D">
        <w:rPr>
          <w:rFonts w:ascii="Arial Narrow" w:hAnsi="Arial Narrow"/>
          <w:color w:val="auto"/>
          <w:sz w:val="20"/>
          <w:szCs w:val="20"/>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134"/>
        <w:gridCol w:w="711"/>
        <w:gridCol w:w="1843"/>
        <w:gridCol w:w="991"/>
        <w:gridCol w:w="2126"/>
        <w:gridCol w:w="1540"/>
      </w:tblGrid>
      <w:tr w:rsidR="00714204" w:rsidRPr="006D54A5" w:rsidTr="00714204">
        <w:tc>
          <w:tcPr>
            <w:tcW w:w="679" w:type="pct"/>
            <w:shd w:val="clear" w:color="auto" w:fill="auto"/>
            <w:vAlign w:val="center"/>
          </w:tcPr>
          <w:p w:rsidR="00714204" w:rsidRPr="006D54A5" w:rsidRDefault="00714204" w:rsidP="007F1017">
            <w:pPr>
              <w:jc w:val="left"/>
              <w:rPr>
                <w:rFonts w:ascii="Arial Narrow" w:hAnsi="Arial Narrow"/>
                <w:b/>
                <w:sz w:val="20"/>
              </w:rPr>
            </w:pPr>
            <w:r w:rsidRPr="006D54A5">
              <w:rPr>
                <w:rFonts w:ascii="Arial Narrow" w:hAnsi="Arial Narrow"/>
                <w:b/>
                <w:sz w:val="20"/>
              </w:rPr>
              <w:t>Trial</w:t>
            </w:r>
          </w:p>
        </w:tc>
        <w:tc>
          <w:tcPr>
            <w:tcW w:w="426" w:type="pct"/>
            <w:shd w:val="clear" w:color="auto" w:fill="auto"/>
            <w:vAlign w:val="center"/>
          </w:tcPr>
          <w:p w:rsidR="00714204" w:rsidRPr="006D54A5" w:rsidRDefault="00714204" w:rsidP="007F1017">
            <w:pPr>
              <w:jc w:val="center"/>
              <w:rPr>
                <w:rFonts w:ascii="Arial Narrow" w:hAnsi="Arial Narrow"/>
                <w:b/>
                <w:sz w:val="20"/>
              </w:rPr>
            </w:pPr>
            <w:r w:rsidRPr="006D54A5">
              <w:rPr>
                <w:rFonts w:ascii="Arial Narrow" w:hAnsi="Arial Narrow"/>
                <w:b/>
                <w:sz w:val="20"/>
              </w:rPr>
              <w:t>N</w:t>
            </w:r>
          </w:p>
        </w:tc>
        <w:tc>
          <w:tcPr>
            <w:tcW w:w="1104" w:type="pct"/>
            <w:shd w:val="clear" w:color="auto" w:fill="auto"/>
            <w:vAlign w:val="center"/>
          </w:tcPr>
          <w:p w:rsidR="00714204" w:rsidRPr="006D54A5" w:rsidRDefault="00714204" w:rsidP="007F1017">
            <w:pPr>
              <w:jc w:val="center"/>
              <w:rPr>
                <w:rFonts w:ascii="Arial Narrow" w:hAnsi="Arial Narrow"/>
                <w:b/>
                <w:sz w:val="20"/>
              </w:rPr>
            </w:pPr>
            <w:r w:rsidRPr="006D54A5">
              <w:rPr>
                <w:rFonts w:ascii="Arial Narrow" w:hAnsi="Arial Narrow"/>
                <w:b/>
                <w:sz w:val="20"/>
              </w:rPr>
              <w:t>Design/ duration</w:t>
            </w:r>
          </w:p>
        </w:tc>
        <w:tc>
          <w:tcPr>
            <w:tcW w:w="594" w:type="pct"/>
            <w:shd w:val="clear" w:color="auto" w:fill="auto"/>
            <w:vAlign w:val="center"/>
          </w:tcPr>
          <w:p w:rsidR="00714204" w:rsidRPr="006D54A5" w:rsidRDefault="00714204" w:rsidP="007F1017">
            <w:pPr>
              <w:jc w:val="center"/>
              <w:rPr>
                <w:rFonts w:ascii="Arial Narrow" w:hAnsi="Arial Narrow"/>
                <w:b/>
                <w:sz w:val="20"/>
              </w:rPr>
            </w:pPr>
            <w:r w:rsidRPr="006D54A5">
              <w:rPr>
                <w:rFonts w:ascii="Arial Narrow" w:hAnsi="Arial Narrow"/>
                <w:b/>
                <w:sz w:val="20"/>
              </w:rPr>
              <w:t>Risk of bias</w:t>
            </w:r>
          </w:p>
        </w:tc>
        <w:tc>
          <w:tcPr>
            <w:tcW w:w="1274" w:type="pct"/>
            <w:shd w:val="clear" w:color="auto" w:fill="auto"/>
            <w:vAlign w:val="center"/>
          </w:tcPr>
          <w:p w:rsidR="00714204" w:rsidRPr="006D54A5" w:rsidRDefault="00714204" w:rsidP="007F1017">
            <w:pPr>
              <w:jc w:val="center"/>
              <w:rPr>
                <w:rFonts w:ascii="Arial Narrow" w:hAnsi="Arial Narrow"/>
                <w:b/>
                <w:sz w:val="20"/>
              </w:rPr>
            </w:pPr>
            <w:r w:rsidRPr="006D54A5">
              <w:rPr>
                <w:rFonts w:ascii="Arial Narrow" w:hAnsi="Arial Narrow"/>
                <w:b/>
                <w:sz w:val="20"/>
              </w:rPr>
              <w:t>Patient population</w:t>
            </w:r>
          </w:p>
        </w:tc>
        <w:tc>
          <w:tcPr>
            <w:tcW w:w="923" w:type="pct"/>
            <w:shd w:val="clear" w:color="auto" w:fill="auto"/>
            <w:vAlign w:val="center"/>
          </w:tcPr>
          <w:p w:rsidR="00714204" w:rsidRPr="006D54A5" w:rsidRDefault="00714204" w:rsidP="007F1017">
            <w:pPr>
              <w:jc w:val="center"/>
              <w:rPr>
                <w:rFonts w:ascii="Arial Narrow" w:hAnsi="Arial Narrow"/>
                <w:b/>
                <w:sz w:val="20"/>
              </w:rPr>
            </w:pPr>
            <w:r w:rsidRPr="006D54A5">
              <w:rPr>
                <w:rFonts w:ascii="Arial Narrow" w:hAnsi="Arial Narrow"/>
                <w:b/>
                <w:sz w:val="20"/>
              </w:rPr>
              <w:t>Outcome(s)</w:t>
            </w:r>
          </w:p>
        </w:tc>
      </w:tr>
      <w:tr w:rsidR="007F1017" w:rsidRPr="006D54A5" w:rsidTr="00E22A0D">
        <w:tc>
          <w:tcPr>
            <w:tcW w:w="5000" w:type="pct"/>
            <w:gridSpan w:val="6"/>
            <w:shd w:val="clear" w:color="auto" w:fill="auto"/>
            <w:vAlign w:val="center"/>
          </w:tcPr>
          <w:p w:rsidR="007F1017" w:rsidRPr="006D54A5" w:rsidRDefault="00714204" w:rsidP="007F1017">
            <w:pPr>
              <w:jc w:val="left"/>
              <w:rPr>
                <w:rFonts w:ascii="Arial Narrow" w:hAnsi="Arial Narrow"/>
                <w:b/>
                <w:sz w:val="20"/>
              </w:rPr>
            </w:pPr>
            <w:proofErr w:type="spellStart"/>
            <w:r w:rsidRPr="006D54A5">
              <w:rPr>
                <w:rFonts w:ascii="Arial Narrow" w:hAnsi="Arial Narrow"/>
                <w:b/>
                <w:sz w:val="20"/>
              </w:rPr>
              <w:t>Pasireotide</w:t>
            </w:r>
            <w:proofErr w:type="spellEnd"/>
            <w:r w:rsidRPr="006D54A5">
              <w:rPr>
                <w:rFonts w:ascii="Arial Narrow" w:hAnsi="Arial Narrow"/>
                <w:b/>
                <w:sz w:val="20"/>
              </w:rPr>
              <w:t xml:space="preserve"> LAR vs </w:t>
            </w:r>
            <w:proofErr w:type="spellStart"/>
            <w:r w:rsidRPr="006D54A5">
              <w:rPr>
                <w:rFonts w:ascii="Arial Narrow" w:hAnsi="Arial Narrow"/>
                <w:b/>
                <w:sz w:val="20"/>
              </w:rPr>
              <w:t>octreotide</w:t>
            </w:r>
            <w:proofErr w:type="spellEnd"/>
            <w:r w:rsidRPr="006D54A5">
              <w:rPr>
                <w:rFonts w:ascii="Arial Narrow" w:hAnsi="Arial Narrow"/>
                <w:b/>
                <w:sz w:val="20"/>
              </w:rPr>
              <w:t xml:space="preserve"> LAR or </w:t>
            </w:r>
            <w:proofErr w:type="spellStart"/>
            <w:r w:rsidRPr="006D54A5">
              <w:rPr>
                <w:rFonts w:ascii="Arial Narrow" w:hAnsi="Arial Narrow"/>
                <w:b/>
                <w:sz w:val="20"/>
              </w:rPr>
              <w:t>lanreotide</w:t>
            </w:r>
            <w:proofErr w:type="spellEnd"/>
            <w:r w:rsidRPr="006D54A5">
              <w:rPr>
                <w:rFonts w:ascii="Arial Narrow" w:hAnsi="Arial Narrow"/>
                <w:b/>
                <w:sz w:val="20"/>
              </w:rPr>
              <w:t xml:space="preserve"> ATG</w:t>
            </w:r>
          </w:p>
        </w:tc>
      </w:tr>
      <w:tr w:rsidR="00714204" w:rsidRPr="006D54A5" w:rsidTr="00714204">
        <w:tc>
          <w:tcPr>
            <w:tcW w:w="679" w:type="pct"/>
            <w:shd w:val="clear" w:color="auto" w:fill="auto"/>
            <w:vAlign w:val="center"/>
          </w:tcPr>
          <w:p w:rsidR="00714204" w:rsidRPr="006D54A5" w:rsidRDefault="00714204" w:rsidP="007F1017">
            <w:pPr>
              <w:jc w:val="left"/>
              <w:rPr>
                <w:rFonts w:ascii="Arial Narrow" w:hAnsi="Arial Narrow"/>
                <w:sz w:val="20"/>
              </w:rPr>
            </w:pPr>
            <w:r w:rsidRPr="006D54A5">
              <w:rPr>
                <w:rFonts w:ascii="Arial Narrow" w:hAnsi="Arial Narrow"/>
                <w:sz w:val="20"/>
              </w:rPr>
              <w:t>C2402</w:t>
            </w:r>
          </w:p>
        </w:tc>
        <w:tc>
          <w:tcPr>
            <w:tcW w:w="426" w:type="pct"/>
            <w:shd w:val="clear" w:color="auto" w:fill="auto"/>
            <w:vAlign w:val="center"/>
          </w:tcPr>
          <w:p w:rsidR="00714204" w:rsidRPr="006D54A5" w:rsidRDefault="00714204" w:rsidP="007F1017">
            <w:pPr>
              <w:jc w:val="center"/>
              <w:rPr>
                <w:rFonts w:ascii="Arial Narrow" w:hAnsi="Arial Narrow"/>
                <w:sz w:val="20"/>
              </w:rPr>
            </w:pPr>
            <w:r w:rsidRPr="006D54A5">
              <w:rPr>
                <w:rFonts w:ascii="Arial Narrow" w:hAnsi="Arial Narrow"/>
                <w:sz w:val="20"/>
              </w:rPr>
              <w:t>198</w:t>
            </w:r>
          </w:p>
        </w:tc>
        <w:tc>
          <w:tcPr>
            <w:tcW w:w="1104" w:type="pct"/>
            <w:shd w:val="clear" w:color="auto" w:fill="auto"/>
            <w:vAlign w:val="center"/>
          </w:tcPr>
          <w:p w:rsidR="00714204" w:rsidRPr="006D54A5" w:rsidRDefault="00714204" w:rsidP="007F1017">
            <w:pPr>
              <w:jc w:val="center"/>
              <w:rPr>
                <w:rFonts w:ascii="Arial Narrow" w:hAnsi="Arial Narrow"/>
                <w:sz w:val="20"/>
              </w:rPr>
            </w:pPr>
            <w:r w:rsidRPr="006D54A5">
              <w:rPr>
                <w:rFonts w:ascii="Arial Narrow" w:hAnsi="Arial Narrow"/>
                <w:sz w:val="20"/>
              </w:rPr>
              <w:t>R, MC, partially blinded, three-arm, active control, PG</w:t>
            </w:r>
          </w:p>
          <w:p w:rsidR="00714204" w:rsidRPr="006D54A5" w:rsidRDefault="00714204" w:rsidP="00714204">
            <w:pPr>
              <w:jc w:val="center"/>
              <w:rPr>
                <w:rFonts w:ascii="Arial Narrow" w:hAnsi="Arial Narrow"/>
                <w:sz w:val="20"/>
              </w:rPr>
            </w:pPr>
            <w:r w:rsidRPr="006D54A5">
              <w:rPr>
                <w:rFonts w:ascii="Arial Narrow" w:hAnsi="Arial Narrow"/>
                <w:sz w:val="20"/>
              </w:rPr>
              <w:t>24 weeks</w:t>
            </w:r>
          </w:p>
        </w:tc>
        <w:tc>
          <w:tcPr>
            <w:tcW w:w="594" w:type="pct"/>
            <w:shd w:val="clear" w:color="auto" w:fill="auto"/>
            <w:vAlign w:val="center"/>
          </w:tcPr>
          <w:p w:rsidR="00714204" w:rsidRPr="006D54A5" w:rsidRDefault="00714204" w:rsidP="007F1017">
            <w:pPr>
              <w:jc w:val="center"/>
              <w:rPr>
                <w:rFonts w:ascii="Arial Narrow" w:hAnsi="Arial Narrow"/>
                <w:i/>
                <w:sz w:val="20"/>
              </w:rPr>
            </w:pPr>
            <w:r w:rsidRPr="006D54A5">
              <w:rPr>
                <w:rFonts w:ascii="Arial Narrow" w:hAnsi="Arial Narrow"/>
                <w:sz w:val="20"/>
              </w:rPr>
              <w:t>Low</w:t>
            </w:r>
            <w:r w:rsidR="00F357EE" w:rsidRPr="006D54A5">
              <w:rPr>
                <w:rFonts w:ascii="Arial Narrow" w:hAnsi="Arial Narrow"/>
                <w:sz w:val="20"/>
              </w:rPr>
              <w:t xml:space="preserve"> </w:t>
            </w:r>
            <w:r w:rsidR="00F357EE" w:rsidRPr="00B17ED9">
              <w:rPr>
                <w:rFonts w:ascii="Arial Narrow" w:hAnsi="Arial Narrow"/>
                <w:sz w:val="20"/>
              </w:rPr>
              <w:t>for primary outcome</w:t>
            </w:r>
          </w:p>
        </w:tc>
        <w:tc>
          <w:tcPr>
            <w:tcW w:w="1274" w:type="pct"/>
            <w:shd w:val="clear" w:color="auto" w:fill="auto"/>
            <w:vAlign w:val="center"/>
          </w:tcPr>
          <w:p w:rsidR="00714204" w:rsidRPr="006D54A5" w:rsidRDefault="00714204" w:rsidP="007F1017">
            <w:pPr>
              <w:jc w:val="center"/>
              <w:rPr>
                <w:rFonts w:ascii="Arial Narrow" w:hAnsi="Arial Narrow"/>
                <w:sz w:val="20"/>
              </w:rPr>
            </w:pPr>
            <w:r w:rsidRPr="006D54A5">
              <w:rPr>
                <w:rFonts w:ascii="Arial Narrow" w:hAnsi="Arial Narrow"/>
                <w:sz w:val="20"/>
              </w:rPr>
              <w:t xml:space="preserve">Patients with acromegaly inadequately controlled on max doses of </w:t>
            </w:r>
            <w:proofErr w:type="spellStart"/>
            <w:r w:rsidRPr="006D54A5">
              <w:rPr>
                <w:rFonts w:ascii="Arial Narrow" w:hAnsi="Arial Narrow"/>
                <w:sz w:val="20"/>
              </w:rPr>
              <w:t>octreotide</w:t>
            </w:r>
            <w:proofErr w:type="spellEnd"/>
            <w:r w:rsidRPr="006D54A5">
              <w:rPr>
                <w:rFonts w:ascii="Arial Narrow" w:hAnsi="Arial Narrow"/>
                <w:sz w:val="20"/>
              </w:rPr>
              <w:t xml:space="preserve"> LAR or </w:t>
            </w:r>
            <w:proofErr w:type="spellStart"/>
            <w:r w:rsidRPr="006D54A5">
              <w:rPr>
                <w:rFonts w:ascii="Arial Narrow" w:hAnsi="Arial Narrow"/>
                <w:sz w:val="20"/>
              </w:rPr>
              <w:t>lanreotide</w:t>
            </w:r>
            <w:proofErr w:type="spellEnd"/>
            <w:r w:rsidRPr="006D54A5">
              <w:rPr>
                <w:rFonts w:ascii="Arial Narrow" w:hAnsi="Arial Narrow"/>
                <w:sz w:val="20"/>
              </w:rPr>
              <w:t xml:space="preserve"> ATG</w:t>
            </w:r>
          </w:p>
        </w:tc>
        <w:tc>
          <w:tcPr>
            <w:tcW w:w="923" w:type="pct"/>
            <w:shd w:val="clear" w:color="auto" w:fill="auto"/>
            <w:vAlign w:val="center"/>
          </w:tcPr>
          <w:p w:rsidR="00714204" w:rsidRPr="006D54A5" w:rsidRDefault="00714204" w:rsidP="007F1017">
            <w:pPr>
              <w:jc w:val="center"/>
              <w:rPr>
                <w:rFonts w:ascii="Arial Narrow" w:hAnsi="Arial Narrow"/>
                <w:sz w:val="20"/>
              </w:rPr>
            </w:pPr>
            <w:r w:rsidRPr="006D54A5">
              <w:rPr>
                <w:rFonts w:ascii="Arial Narrow" w:hAnsi="Arial Narrow"/>
                <w:sz w:val="20"/>
              </w:rPr>
              <w:t>Biochemical control at 24 weeks</w:t>
            </w:r>
          </w:p>
        </w:tc>
      </w:tr>
    </w:tbl>
    <w:p w:rsidR="00714204" w:rsidRPr="006D54A5" w:rsidRDefault="00714204" w:rsidP="00E22A0D">
      <w:pPr>
        <w:pStyle w:val="TableFooter"/>
        <w:ind w:firstLine="720"/>
        <w:rPr>
          <w:szCs w:val="18"/>
        </w:rPr>
      </w:pPr>
      <w:r w:rsidRPr="006D54A5">
        <w:rPr>
          <w:szCs w:val="18"/>
        </w:rPr>
        <w:t>Note: biochemical control = mean growth hormone concentration &lt;2.5mcg/L and normalised IGF-1 concentration</w:t>
      </w:r>
    </w:p>
    <w:p w:rsidR="007F1017" w:rsidRPr="006D54A5" w:rsidRDefault="00714204" w:rsidP="00E22A0D">
      <w:pPr>
        <w:pStyle w:val="TableFooter"/>
        <w:ind w:firstLine="720"/>
        <w:rPr>
          <w:szCs w:val="18"/>
        </w:rPr>
      </w:pPr>
      <w:r w:rsidRPr="006D54A5">
        <w:rPr>
          <w:szCs w:val="18"/>
        </w:rPr>
        <w:t xml:space="preserve">Abbreviations: </w:t>
      </w:r>
      <w:r w:rsidR="007F1017" w:rsidRPr="006D54A5">
        <w:rPr>
          <w:szCs w:val="18"/>
        </w:rPr>
        <w:t>MC</w:t>
      </w:r>
      <w:r w:rsidRPr="006D54A5">
        <w:rPr>
          <w:szCs w:val="18"/>
        </w:rPr>
        <w:t xml:space="preserve">, </w:t>
      </w:r>
      <w:r w:rsidR="007F1017" w:rsidRPr="006D54A5">
        <w:rPr>
          <w:szCs w:val="18"/>
        </w:rPr>
        <w:t>multi-centre;</w:t>
      </w:r>
      <w:r w:rsidRPr="006D54A5">
        <w:rPr>
          <w:szCs w:val="18"/>
        </w:rPr>
        <w:t xml:space="preserve"> PG, parallel-group;</w:t>
      </w:r>
      <w:r w:rsidR="007F1017" w:rsidRPr="006D54A5">
        <w:rPr>
          <w:szCs w:val="18"/>
        </w:rPr>
        <w:t xml:space="preserve"> R</w:t>
      </w:r>
      <w:r w:rsidRPr="006D54A5">
        <w:rPr>
          <w:szCs w:val="18"/>
        </w:rPr>
        <w:t xml:space="preserve">, </w:t>
      </w:r>
      <w:r w:rsidR="007F1017" w:rsidRPr="006D54A5">
        <w:rPr>
          <w:szCs w:val="18"/>
        </w:rPr>
        <w:t>randomised.</w:t>
      </w:r>
    </w:p>
    <w:p w:rsidR="007F1017" w:rsidRPr="006D54A5" w:rsidRDefault="007F1017" w:rsidP="00E22A0D">
      <w:pPr>
        <w:pStyle w:val="TableFooter"/>
        <w:ind w:firstLine="720"/>
        <w:rPr>
          <w:szCs w:val="18"/>
        </w:rPr>
      </w:pPr>
      <w:r w:rsidRPr="006D54A5">
        <w:rPr>
          <w:szCs w:val="18"/>
        </w:rPr>
        <w:t>Source: compiled during the evaluation</w:t>
      </w:r>
    </w:p>
    <w:p w:rsidR="007F1017" w:rsidRPr="006D54A5" w:rsidRDefault="007F1017" w:rsidP="007F1017"/>
    <w:p w:rsidR="00B60939" w:rsidRPr="006D54A5" w:rsidRDefault="004469E4" w:rsidP="00B60939">
      <w:pPr>
        <w:pStyle w:val="ListParagraph"/>
        <w:widowControl/>
        <w:numPr>
          <w:ilvl w:val="1"/>
          <w:numId w:val="18"/>
        </w:numPr>
        <w:rPr>
          <w:szCs w:val="22"/>
        </w:rPr>
      </w:pPr>
      <w:r w:rsidRPr="006D54A5">
        <w:t>There were two pasireotide LAR treatment arms</w:t>
      </w:r>
      <w:r w:rsidR="00EB5C38" w:rsidRPr="006D54A5">
        <w:t xml:space="preserve"> of</w:t>
      </w:r>
      <w:r w:rsidRPr="006D54A5">
        <w:t xml:space="preserve"> 40mg and 60mg</w:t>
      </w:r>
      <w:r w:rsidR="00EB5C38" w:rsidRPr="006D54A5">
        <w:t xml:space="preserve"> dose strengths</w:t>
      </w:r>
      <w:r w:rsidRPr="006D54A5">
        <w:t xml:space="preserve">. Due to differences in administration and appearance, only the two dose strengths of pasireotide LAR were blinded during the trial, with the active control arm open-label. However, </w:t>
      </w:r>
      <w:r w:rsidR="00043744" w:rsidRPr="006D54A5">
        <w:t xml:space="preserve">many of the </w:t>
      </w:r>
      <w:r w:rsidRPr="006D54A5">
        <w:t xml:space="preserve">outcomes assessed </w:t>
      </w:r>
      <w:r w:rsidR="00982D49" w:rsidRPr="006D54A5">
        <w:t xml:space="preserve">for efficacy </w:t>
      </w:r>
      <w:r w:rsidRPr="006D54A5">
        <w:t xml:space="preserve">were objective </w:t>
      </w:r>
      <w:r w:rsidR="001D0789" w:rsidRPr="006D54A5">
        <w:t xml:space="preserve">laboratory </w:t>
      </w:r>
      <w:r w:rsidRPr="006D54A5">
        <w:t>measures</w:t>
      </w:r>
      <w:r w:rsidR="00982D49" w:rsidRPr="006D54A5">
        <w:t xml:space="preserve"> (growth hormone and IGF-1 levels)</w:t>
      </w:r>
      <w:r w:rsidR="001D0789" w:rsidRPr="006D54A5">
        <w:t>.</w:t>
      </w:r>
      <w:r w:rsidR="00982D49" w:rsidRPr="006D54A5">
        <w:t xml:space="preserve"> </w:t>
      </w:r>
    </w:p>
    <w:p w:rsidR="0008305D" w:rsidRPr="006D54A5" w:rsidRDefault="0008305D" w:rsidP="0008305D">
      <w:pPr>
        <w:pStyle w:val="ListParagraph"/>
        <w:widowControl/>
        <w:rPr>
          <w:szCs w:val="22"/>
        </w:rPr>
      </w:pPr>
    </w:p>
    <w:p w:rsidR="00B60939" w:rsidRPr="00B5580D" w:rsidRDefault="00B60939" w:rsidP="002C2775">
      <w:pPr>
        <w:pStyle w:val="Heading2"/>
      </w:pPr>
      <w:bookmarkStart w:id="9" w:name="_Toc430013039"/>
      <w:r w:rsidRPr="00B5580D">
        <w:t>Comparative effectiveness</w:t>
      </w:r>
      <w:bookmarkEnd w:id="9"/>
    </w:p>
    <w:p w:rsidR="00B60939" w:rsidRPr="00B5580D" w:rsidRDefault="00B60939" w:rsidP="00B60939">
      <w:pPr>
        <w:rPr>
          <w:szCs w:val="22"/>
        </w:rPr>
      </w:pPr>
    </w:p>
    <w:p w:rsidR="002C2775" w:rsidRPr="006D54A5" w:rsidRDefault="00D5791C" w:rsidP="00A75F30">
      <w:pPr>
        <w:pStyle w:val="ListParagraph"/>
        <w:widowControl/>
        <w:numPr>
          <w:ilvl w:val="1"/>
          <w:numId w:val="18"/>
        </w:numPr>
        <w:rPr>
          <w:szCs w:val="22"/>
        </w:rPr>
      </w:pPr>
      <w:r w:rsidRPr="006D54A5">
        <w:rPr>
          <w:szCs w:val="22"/>
        </w:rPr>
        <w:t>The primary efficacy outcome was the</w:t>
      </w:r>
      <w:r w:rsidR="00A75F30" w:rsidRPr="006D54A5">
        <w:rPr>
          <w:szCs w:val="22"/>
        </w:rPr>
        <w:t xml:space="preserve"> proportion of patients with complete biochemical control, as measured by growth hormone levels &lt;2.5mcg/L and normalisation of sex- and age-adjusted IGF-1 at 24 weeks.</w:t>
      </w:r>
      <w:r w:rsidR="00EB5C38" w:rsidRPr="006D54A5">
        <w:rPr>
          <w:szCs w:val="22"/>
        </w:rPr>
        <w:t xml:space="preserve"> Pasireotide LAR at both dose strengths had a statistically significantly greater proportion of patients with complete biochemical control compared to the active control arm.</w:t>
      </w:r>
    </w:p>
    <w:p w:rsidR="007F1017" w:rsidRPr="00B5580D" w:rsidRDefault="007F1017" w:rsidP="007F1017">
      <w:pPr>
        <w:widowControl/>
        <w:rPr>
          <w:rFonts w:ascii="Arial Narrow" w:hAnsi="Arial Narrow"/>
          <w:sz w:val="20"/>
        </w:rPr>
      </w:pPr>
    </w:p>
    <w:p w:rsidR="00B5580D" w:rsidRPr="00B5580D" w:rsidRDefault="00B5580D" w:rsidP="00B5580D">
      <w:pPr>
        <w:pStyle w:val="Caption"/>
        <w:keepNext/>
        <w:ind w:left="720"/>
        <w:rPr>
          <w:rFonts w:ascii="Arial Narrow" w:hAnsi="Arial Narrow"/>
          <w:color w:val="auto"/>
          <w:sz w:val="20"/>
          <w:szCs w:val="20"/>
        </w:rPr>
      </w:pPr>
      <w:r w:rsidRPr="00B5580D">
        <w:rPr>
          <w:rFonts w:ascii="Arial Narrow" w:hAnsi="Arial Narrow"/>
          <w:color w:val="auto"/>
          <w:sz w:val="20"/>
          <w:szCs w:val="20"/>
        </w:rPr>
        <w:t xml:space="preserve">Table </w:t>
      </w:r>
      <w:r w:rsidRPr="00B5580D">
        <w:rPr>
          <w:rFonts w:ascii="Arial Narrow" w:hAnsi="Arial Narrow"/>
          <w:color w:val="auto"/>
          <w:sz w:val="20"/>
          <w:szCs w:val="20"/>
        </w:rPr>
        <w:fldChar w:fldCharType="begin"/>
      </w:r>
      <w:r w:rsidRPr="00B5580D">
        <w:rPr>
          <w:rFonts w:ascii="Arial Narrow" w:hAnsi="Arial Narrow"/>
          <w:color w:val="auto"/>
          <w:sz w:val="20"/>
          <w:szCs w:val="20"/>
        </w:rPr>
        <w:instrText xml:space="preserve"> SEQ Table \* ARABIC </w:instrText>
      </w:r>
      <w:r w:rsidRPr="00B5580D">
        <w:rPr>
          <w:rFonts w:ascii="Arial Narrow" w:hAnsi="Arial Narrow"/>
          <w:color w:val="auto"/>
          <w:sz w:val="20"/>
          <w:szCs w:val="20"/>
        </w:rPr>
        <w:fldChar w:fldCharType="separate"/>
      </w:r>
      <w:r w:rsidR="0018573A">
        <w:rPr>
          <w:rFonts w:ascii="Arial Narrow" w:hAnsi="Arial Narrow"/>
          <w:noProof/>
          <w:color w:val="auto"/>
          <w:sz w:val="20"/>
          <w:szCs w:val="20"/>
        </w:rPr>
        <w:t>3</w:t>
      </w:r>
      <w:r w:rsidRPr="00B5580D">
        <w:rPr>
          <w:rFonts w:ascii="Arial Narrow" w:hAnsi="Arial Narrow"/>
          <w:color w:val="auto"/>
          <w:sz w:val="20"/>
          <w:szCs w:val="20"/>
        </w:rPr>
        <w:fldChar w:fldCharType="end"/>
      </w:r>
      <w:r w:rsidRPr="00B5580D">
        <w:rPr>
          <w:rFonts w:ascii="Arial Narrow" w:hAnsi="Arial Narrow"/>
          <w:color w:val="auto"/>
          <w:sz w:val="20"/>
          <w:szCs w:val="20"/>
        </w:rPr>
        <w:t>: Proportion of patients achieving complete biochemical control by Week 24 (full analysis set)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1)"/>
        <w:tblDescription w:val="Proportion of patients achieving complete biochemical control by week 24"/>
      </w:tblPr>
      <w:tblGrid>
        <w:gridCol w:w="1701"/>
        <w:gridCol w:w="1559"/>
        <w:gridCol w:w="1622"/>
        <w:gridCol w:w="1732"/>
        <w:gridCol w:w="1731"/>
      </w:tblGrid>
      <w:tr w:rsidR="00530EAA" w:rsidRPr="006D54A5" w:rsidTr="005521B8">
        <w:tc>
          <w:tcPr>
            <w:tcW w:w="1019" w:type="pct"/>
            <w:vAlign w:val="center"/>
          </w:tcPr>
          <w:p w:rsidR="00530EAA" w:rsidRPr="006D54A5" w:rsidRDefault="00530EAA" w:rsidP="00BA3E38">
            <w:pPr>
              <w:jc w:val="left"/>
              <w:rPr>
                <w:rFonts w:ascii="Arial Narrow" w:hAnsi="Arial Narrow"/>
                <w:sz w:val="20"/>
              </w:rPr>
            </w:pPr>
            <w:r w:rsidRPr="006D54A5">
              <w:rPr>
                <w:rFonts w:ascii="Arial Narrow" w:hAnsi="Arial Narrow"/>
                <w:b/>
                <w:sz w:val="20"/>
              </w:rPr>
              <w:t>Trial C2402</w:t>
            </w:r>
          </w:p>
        </w:tc>
        <w:tc>
          <w:tcPr>
            <w:tcW w:w="934" w:type="pct"/>
            <w:vAlign w:val="center"/>
          </w:tcPr>
          <w:p w:rsidR="00530EAA" w:rsidRPr="006D54A5" w:rsidRDefault="00530EAA" w:rsidP="00BA3E38">
            <w:pPr>
              <w:ind w:right="-108"/>
              <w:jc w:val="center"/>
              <w:rPr>
                <w:rFonts w:ascii="Arial Narrow" w:hAnsi="Arial Narrow"/>
                <w:sz w:val="20"/>
              </w:rPr>
            </w:pPr>
            <w:r w:rsidRPr="006D54A5">
              <w:rPr>
                <w:rFonts w:ascii="Arial Narrow" w:hAnsi="Arial Narrow"/>
                <w:b/>
                <w:sz w:val="20"/>
              </w:rPr>
              <w:t>n /N (%)</w:t>
            </w:r>
          </w:p>
        </w:tc>
        <w:tc>
          <w:tcPr>
            <w:tcW w:w="972" w:type="pct"/>
            <w:vAlign w:val="center"/>
          </w:tcPr>
          <w:p w:rsidR="00530EAA" w:rsidRPr="006D54A5" w:rsidRDefault="00530EAA" w:rsidP="00BA3E38">
            <w:pPr>
              <w:jc w:val="center"/>
              <w:rPr>
                <w:rFonts w:ascii="Arial Narrow" w:hAnsi="Arial Narrow"/>
                <w:sz w:val="20"/>
              </w:rPr>
            </w:pPr>
            <w:r w:rsidRPr="006D54A5">
              <w:rPr>
                <w:rFonts w:ascii="Arial Narrow" w:hAnsi="Arial Narrow"/>
                <w:b/>
                <w:sz w:val="20"/>
              </w:rPr>
              <w:t>95% CI for %</w:t>
            </w:r>
          </w:p>
        </w:tc>
        <w:tc>
          <w:tcPr>
            <w:tcW w:w="1038" w:type="pct"/>
            <w:vAlign w:val="center"/>
          </w:tcPr>
          <w:p w:rsidR="00530EAA" w:rsidRPr="006D54A5" w:rsidRDefault="00530EAA" w:rsidP="00BA3E38">
            <w:pPr>
              <w:jc w:val="center"/>
              <w:rPr>
                <w:rFonts w:ascii="Arial Narrow" w:hAnsi="Arial Narrow"/>
                <w:b/>
                <w:sz w:val="20"/>
              </w:rPr>
            </w:pPr>
            <w:r w:rsidRPr="006D54A5">
              <w:rPr>
                <w:rFonts w:ascii="Arial Narrow" w:hAnsi="Arial Narrow"/>
                <w:b/>
                <w:sz w:val="20"/>
              </w:rPr>
              <w:t>Odds Ratio vs. active control [95% CI]</w:t>
            </w:r>
          </w:p>
        </w:tc>
        <w:tc>
          <w:tcPr>
            <w:tcW w:w="1037" w:type="pct"/>
            <w:vAlign w:val="center"/>
          </w:tcPr>
          <w:p w:rsidR="00530EAA" w:rsidRPr="006D54A5" w:rsidRDefault="00530EAA" w:rsidP="00BA3E38">
            <w:pPr>
              <w:jc w:val="center"/>
              <w:rPr>
                <w:rFonts w:ascii="Arial Narrow" w:hAnsi="Arial Narrow"/>
                <w:b/>
                <w:sz w:val="20"/>
                <w:vertAlign w:val="superscript"/>
              </w:rPr>
            </w:pPr>
            <w:r w:rsidRPr="006D54A5">
              <w:rPr>
                <w:rFonts w:ascii="Arial Narrow" w:hAnsi="Arial Narrow"/>
                <w:b/>
                <w:sz w:val="20"/>
              </w:rPr>
              <w:t xml:space="preserve">P value vs. active control </w:t>
            </w:r>
            <w:r w:rsidRPr="006D54A5">
              <w:rPr>
                <w:rFonts w:ascii="Arial Narrow" w:hAnsi="Arial Narrow"/>
                <w:b/>
                <w:sz w:val="20"/>
                <w:vertAlign w:val="superscript"/>
              </w:rPr>
              <w:t>a</w:t>
            </w:r>
          </w:p>
        </w:tc>
      </w:tr>
      <w:tr w:rsidR="00530EAA" w:rsidRPr="006D54A5" w:rsidTr="005521B8">
        <w:tc>
          <w:tcPr>
            <w:tcW w:w="1019" w:type="pct"/>
            <w:vAlign w:val="center"/>
          </w:tcPr>
          <w:p w:rsidR="00530EAA" w:rsidRPr="006D54A5" w:rsidRDefault="00530EAA" w:rsidP="00BA3E38">
            <w:pPr>
              <w:jc w:val="left"/>
              <w:rPr>
                <w:rFonts w:ascii="Arial Narrow" w:hAnsi="Arial Narrow"/>
                <w:sz w:val="20"/>
              </w:rPr>
            </w:pPr>
            <w:r w:rsidRPr="006D54A5">
              <w:rPr>
                <w:rFonts w:ascii="Arial Narrow" w:hAnsi="Arial Narrow"/>
                <w:sz w:val="20"/>
              </w:rPr>
              <w:t xml:space="preserve">Pasireotide </w:t>
            </w:r>
            <w:r w:rsidR="005521B8" w:rsidRPr="006D54A5">
              <w:rPr>
                <w:rFonts w:ascii="Arial Narrow" w:hAnsi="Arial Narrow"/>
                <w:sz w:val="20"/>
              </w:rPr>
              <w:t xml:space="preserve">LAR </w:t>
            </w:r>
            <w:r w:rsidRPr="006D54A5">
              <w:rPr>
                <w:rFonts w:ascii="Arial Narrow" w:hAnsi="Arial Narrow"/>
                <w:sz w:val="20"/>
              </w:rPr>
              <w:t>40mg</w:t>
            </w:r>
          </w:p>
        </w:tc>
        <w:tc>
          <w:tcPr>
            <w:tcW w:w="934" w:type="pct"/>
          </w:tcPr>
          <w:p w:rsidR="00530EAA" w:rsidRPr="006D54A5" w:rsidRDefault="00530EAA" w:rsidP="00BA3E38">
            <w:pPr>
              <w:jc w:val="center"/>
              <w:rPr>
                <w:rFonts w:ascii="Arial Narrow" w:hAnsi="Arial Narrow"/>
                <w:sz w:val="20"/>
              </w:rPr>
            </w:pPr>
            <w:r w:rsidRPr="006D54A5">
              <w:rPr>
                <w:rFonts w:ascii="Arial Narrow" w:hAnsi="Arial Narrow"/>
                <w:sz w:val="20"/>
              </w:rPr>
              <w:t>10/65 (15.4%)</w:t>
            </w:r>
          </w:p>
        </w:tc>
        <w:tc>
          <w:tcPr>
            <w:tcW w:w="972" w:type="pct"/>
          </w:tcPr>
          <w:p w:rsidR="00530EAA" w:rsidRPr="006D54A5" w:rsidRDefault="00530EAA" w:rsidP="00BA3E38">
            <w:pPr>
              <w:jc w:val="center"/>
              <w:rPr>
                <w:rFonts w:ascii="Arial Narrow" w:hAnsi="Arial Narrow"/>
                <w:sz w:val="20"/>
              </w:rPr>
            </w:pPr>
            <w:r w:rsidRPr="006D54A5">
              <w:rPr>
                <w:rFonts w:ascii="Arial Narrow" w:hAnsi="Arial Narrow"/>
                <w:sz w:val="20"/>
              </w:rPr>
              <w:t>[7.36–26.48]</w:t>
            </w:r>
          </w:p>
        </w:tc>
        <w:tc>
          <w:tcPr>
            <w:tcW w:w="1038" w:type="pct"/>
          </w:tcPr>
          <w:p w:rsidR="00530EAA" w:rsidRPr="006D54A5" w:rsidRDefault="00530EAA" w:rsidP="00BA3E38">
            <w:pPr>
              <w:jc w:val="center"/>
              <w:rPr>
                <w:rFonts w:ascii="Arial Narrow" w:hAnsi="Arial Narrow"/>
                <w:sz w:val="20"/>
              </w:rPr>
            </w:pPr>
            <w:r w:rsidRPr="006D54A5">
              <w:rPr>
                <w:rFonts w:ascii="Arial Narrow" w:hAnsi="Arial Narrow"/>
                <w:sz w:val="20"/>
              </w:rPr>
              <w:t>16.63 [3.32, ∞]</w:t>
            </w:r>
          </w:p>
        </w:tc>
        <w:tc>
          <w:tcPr>
            <w:tcW w:w="1037" w:type="pct"/>
          </w:tcPr>
          <w:p w:rsidR="00530EAA" w:rsidRPr="006D54A5" w:rsidRDefault="00530EAA" w:rsidP="00BA3E38">
            <w:pPr>
              <w:jc w:val="center"/>
              <w:rPr>
                <w:rFonts w:ascii="Arial Narrow" w:hAnsi="Arial Narrow"/>
                <w:sz w:val="20"/>
              </w:rPr>
            </w:pPr>
            <w:r w:rsidRPr="006D54A5">
              <w:rPr>
                <w:rFonts w:ascii="Arial Narrow" w:hAnsi="Arial Narrow"/>
                <w:sz w:val="20"/>
              </w:rPr>
              <w:t>&lt;0.0001</w:t>
            </w:r>
          </w:p>
        </w:tc>
      </w:tr>
      <w:tr w:rsidR="00530EAA" w:rsidRPr="006D54A5" w:rsidTr="005521B8">
        <w:tc>
          <w:tcPr>
            <w:tcW w:w="1019" w:type="pct"/>
            <w:vAlign w:val="center"/>
          </w:tcPr>
          <w:p w:rsidR="00530EAA" w:rsidRPr="006D54A5" w:rsidRDefault="00530EAA" w:rsidP="00BA3E38">
            <w:pPr>
              <w:jc w:val="left"/>
              <w:rPr>
                <w:rFonts w:ascii="Arial Narrow" w:hAnsi="Arial Narrow"/>
                <w:sz w:val="20"/>
              </w:rPr>
            </w:pPr>
            <w:r w:rsidRPr="006D54A5">
              <w:rPr>
                <w:rFonts w:ascii="Arial Narrow" w:hAnsi="Arial Narrow"/>
                <w:sz w:val="20"/>
              </w:rPr>
              <w:t xml:space="preserve">Pasireotide </w:t>
            </w:r>
            <w:r w:rsidR="005521B8" w:rsidRPr="006D54A5">
              <w:rPr>
                <w:rFonts w:ascii="Arial Narrow" w:hAnsi="Arial Narrow"/>
                <w:sz w:val="20"/>
              </w:rPr>
              <w:t xml:space="preserve">LAR </w:t>
            </w:r>
            <w:r w:rsidRPr="006D54A5">
              <w:rPr>
                <w:rFonts w:ascii="Arial Narrow" w:hAnsi="Arial Narrow"/>
                <w:sz w:val="20"/>
              </w:rPr>
              <w:t>60mg</w:t>
            </w:r>
          </w:p>
        </w:tc>
        <w:tc>
          <w:tcPr>
            <w:tcW w:w="934" w:type="pct"/>
          </w:tcPr>
          <w:p w:rsidR="00530EAA" w:rsidRPr="006D54A5" w:rsidRDefault="00530EAA" w:rsidP="00BA3E38">
            <w:pPr>
              <w:jc w:val="center"/>
              <w:rPr>
                <w:rFonts w:ascii="Arial Narrow" w:hAnsi="Arial Narrow"/>
                <w:sz w:val="20"/>
              </w:rPr>
            </w:pPr>
            <w:r w:rsidRPr="006D54A5">
              <w:rPr>
                <w:rFonts w:ascii="Arial Narrow" w:hAnsi="Arial Narrow"/>
                <w:sz w:val="20"/>
              </w:rPr>
              <w:t>13/65 (20%)</w:t>
            </w:r>
          </w:p>
        </w:tc>
        <w:tc>
          <w:tcPr>
            <w:tcW w:w="972" w:type="pct"/>
          </w:tcPr>
          <w:p w:rsidR="00530EAA" w:rsidRPr="006D54A5" w:rsidRDefault="00530EAA" w:rsidP="00BA3E38">
            <w:pPr>
              <w:jc w:val="center"/>
              <w:rPr>
                <w:rFonts w:ascii="Arial Narrow" w:hAnsi="Arial Narrow"/>
                <w:sz w:val="20"/>
              </w:rPr>
            </w:pPr>
            <w:r w:rsidRPr="006D54A5">
              <w:rPr>
                <w:rFonts w:ascii="Arial Narrow" w:hAnsi="Arial Narrow"/>
                <w:sz w:val="20"/>
              </w:rPr>
              <w:t>[11.10–31.77]</w:t>
            </w:r>
          </w:p>
        </w:tc>
        <w:tc>
          <w:tcPr>
            <w:tcW w:w="1038" w:type="pct"/>
          </w:tcPr>
          <w:p w:rsidR="00530EAA" w:rsidRPr="006D54A5" w:rsidRDefault="00530EAA" w:rsidP="00BA3E38">
            <w:pPr>
              <w:jc w:val="center"/>
              <w:rPr>
                <w:rFonts w:ascii="Arial Narrow" w:hAnsi="Arial Narrow"/>
                <w:sz w:val="20"/>
              </w:rPr>
            </w:pPr>
            <w:r w:rsidRPr="006D54A5">
              <w:rPr>
                <w:rFonts w:ascii="Arial Narrow" w:hAnsi="Arial Narrow"/>
                <w:sz w:val="20"/>
              </w:rPr>
              <w:t>23.03 [4.72, ∞]</w:t>
            </w:r>
          </w:p>
        </w:tc>
        <w:tc>
          <w:tcPr>
            <w:tcW w:w="1037" w:type="pct"/>
          </w:tcPr>
          <w:p w:rsidR="00530EAA" w:rsidRPr="006D54A5" w:rsidRDefault="00530EAA" w:rsidP="00BA3E38">
            <w:pPr>
              <w:jc w:val="center"/>
              <w:rPr>
                <w:rFonts w:ascii="Arial Narrow" w:hAnsi="Arial Narrow"/>
                <w:sz w:val="20"/>
              </w:rPr>
            </w:pPr>
            <w:r w:rsidRPr="006D54A5">
              <w:rPr>
                <w:rFonts w:ascii="Arial Narrow" w:hAnsi="Arial Narrow"/>
                <w:sz w:val="20"/>
              </w:rPr>
              <w:t>&lt;0.0001</w:t>
            </w:r>
          </w:p>
        </w:tc>
      </w:tr>
      <w:tr w:rsidR="00530EAA" w:rsidRPr="006D54A5" w:rsidTr="005521B8">
        <w:tc>
          <w:tcPr>
            <w:tcW w:w="1019" w:type="pct"/>
            <w:vAlign w:val="center"/>
          </w:tcPr>
          <w:p w:rsidR="00530EAA" w:rsidRPr="006D54A5" w:rsidRDefault="00530EAA" w:rsidP="00BA3E38">
            <w:pPr>
              <w:jc w:val="left"/>
              <w:rPr>
                <w:rFonts w:ascii="Arial Narrow" w:hAnsi="Arial Narrow"/>
                <w:sz w:val="20"/>
              </w:rPr>
            </w:pPr>
            <w:r w:rsidRPr="006D54A5">
              <w:rPr>
                <w:rFonts w:ascii="Arial Narrow" w:hAnsi="Arial Narrow"/>
                <w:sz w:val="20"/>
              </w:rPr>
              <w:t>Active control</w:t>
            </w:r>
          </w:p>
        </w:tc>
        <w:tc>
          <w:tcPr>
            <w:tcW w:w="934" w:type="pct"/>
          </w:tcPr>
          <w:p w:rsidR="00530EAA" w:rsidRPr="006D54A5" w:rsidRDefault="00530EAA" w:rsidP="00BA3E38">
            <w:pPr>
              <w:jc w:val="center"/>
              <w:rPr>
                <w:rFonts w:ascii="Arial Narrow" w:hAnsi="Arial Narrow"/>
                <w:sz w:val="20"/>
              </w:rPr>
            </w:pPr>
            <w:r w:rsidRPr="006D54A5">
              <w:rPr>
                <w:rFonts w:ascii="Arial Narrow" w:hAnsi="Arial Narrow"/>
                <w:sz w:val="20"/>
              </w:rPr>
              <w:t>0/68 (0.0%)</w:t>
            </w:r>
          </w:p>
        </w:tc>
        <w:tc>
          <w:tcPr>
            <w:tcW w:w="972" w:type="pct"/>
          </w:tcPr>
          <w:p w:rsidR="00530EAA" w:rsidRPr="006D54A5" w:rsidRDefault="00530EAA" w:rsidP="00BA3E38">
            <w:pPr>
              <w:jc w:val="center"/>
              <w:rPr>
                <w:rFonts w:ascii="Arial Narrow" w:hAnsi="Arial Narrow"/>
                <w:sz w:val="20"/>
              </w:rPr>
            </w:pPr>
            <w:r w:rsidRPr="006D54A5">
              <w:rPr>
                <w:rFonts w:ascii="Arial Narrow" w:hAnsi="Arial Narrow"/>
                <w:sz w:val="20"/>
              </w:rPr>
              <w:t>[0.00–5.28]</w:t>
            </w:r>
          </w:p>
        </w:tc>
        <w:tc>
          <w:tcPr>
            <w:tcW w:w="1038" w:type="pct"/>
          </w:tcPr>
          <w:p w:rsidR="00530EAA" w:rsidRPr="006D54A5" w:rsidRDefault="00530EAA" w:rsidP="00BA3E38">
            <w:pPr>
              <w:jc w:val="center"/>
              <w:rPr>
                <w:rFonts w:ascii="Arial Narrow" w:hAnsi="Arial Narrow"/>
                <w:sz w:val="20"/>
              </w:rPr>
            </w:pPr>
            <w:r w:rsidRPr="006D54A5">
              <w:rPr>
                <w:rFonts w:ascii="Arial Narrow" w:hAnsi="Arial Narrow"/>
                <w:sz w:val="20"/>
              </w:rPr>
              <w:t>NA</w:t>
            </w:r>
          </w:p>
        </w:tc>
        <w:tc>
          <w:tcPr>
            <w:tcW w:w="1037" w:type="pct"/>
          </w:tcPr>
          <w:p w:rsidR="00530EAA" w:rsidRPr="006D54A5" w:rsidRDefault="00530EAA" w:rsidP="00BA3E38">
            <w:pPr>
              <w:jc w:val="center"/>
              <w:rPr>
                <w:rFonts w:ascii="Arial Narrow" w:hAnsi="Arial Narrow"/>
                <w:sz w:val="20"/>
              </w:rPr>
            </w:pPr>
            <w:r w:rsidRPr="006D54A5">
              <w:rPr>
                <w:rFonts w:ascii="Arial Narrow" w:hAnsi="Arial Narrow"/>
                <w:sz w:val="20"/>
              </w:rPr>
              <w:t>NA</w:t>
            </w:r>
          </w:p>
        </w:tc>
      </w:tr>
    </w:tbl>
    <w:p w:rsidR="00EF2C2A" w:rsidRPr="006D54A5" w:rsidRDefault="00EF2C2A" w:rsidP="00A75F30">
      <w:pPr>
        <w:pStyle w:val="TableFooter"/>
        <w:ind w:left="709"/>
        <w:rPr>
          <w:vertAlign w:val="superscript"/>
        </w:rPr>
      </w:pPr>
      <w:r w:rsidRPr="006D54A5">
        <w:rPr>
          <w:szCs w:val="18"/>
        </w:rPr>
        <w:t>Note: biochemical control = mean growth hormone concentration &lt;2.5mcg/L and normalised IGF-1 concentration</w:t>
      </w:r>
    </w:p>
    <w:p w:rsidR="00530EAA" w:rsidRPr="006D54A5" w:rsidRDefault="00530EAA" w:rsidP="00A75F30">
      <w:pPr>
        <w:pStyle w:val="TableFooter"/>
        <w:ind w:left="709"/>
      </w:pPr>
      <w:r w:rsidRPr="006D54A5">
        <w:rPr>
          <w:vertAlign w:val="superscript"/>
        </w:rPr>
        <w:t>a</w:t>
      </w:r>
      <w:r w:rsidRPr="006D54A5">
        <w:t xml:space="preserve"> The p value was one-sided and calculated using stratified exact logistic regression</w:t>
      </w:r>
    </w:p>
    <w:p w:rsidR="00530EAA" w:rsidRPr="006D54A5" w:rsidRDefault="00530EAA" w:rsidP="00A75F30">
      <w:pPr>
        <w:pStyle w:val="TableFooter"/>
        <w:ind w:left="709"/>
      </w:pPr>
      <w:r w:rsidRPr="006D54A5">
        <w:t>Abbreviations: CI, confidence intervals; NA, not applicable</w:t>
      </w:r>
    </w:p>
    <w:p w:rsidR="00530EAA" w:rsidRPr="006D54A5" w:rsidRDefault="00530EAA" w:rsidP="00A75F30">
      <w:pPr>
        <w:pStyle w:val="TableFooter"/>
        <w:ind w:left="709"/>
      </w:pPr>
      <w:r w:rsidRPr="006D54A5">
        <w:t>Source: Table 22, p73 of the submission</w:t>
      </w:r>
    </w:p>
    <w:p w:rsidR="00530EAA" w:rsidRPr="006D54A5" w:rsidRDefault="00530EAA" w:rsidP="00E22A0D">
      <w:pPr>
        <w:ind w:firstLine="720"/>
        <w:rPr>
          <w:rStyle w:val="CommentReference"/>
        </w:rPr>
      </w:pPr>
    </w:p>
    <w:p w:rsidR="005521B8" w:rsidRPr="006D54A5" w:rsidRDefault="005521B8" w:rsidP="006236B9">
      <w:pPr>
        <w:pStyle w:val="ListParagraph"/>
        <w:widowControl/>
        <w:numPr>
          <w:ilvl w:val="1"/>
          <w:numId w:val="18"/>
        </w:numPr>
      </w:pPr>
      <w:r w:rsidRPr="006D54A5">
        <w:t xml:space="preserve">The majority of patients in the pasireotide LAR arms of the trial achieved some level of tumour reduction (40mg – 80.95%, 60mg – 70.27%), compared to 50% of patients in the active control arm. A significantly greater proportion of patients in both pasireotide LAR arms of the trial demonstrated a &gt;25% reduction in tumour volume by week 24 compared to the active control arm. </w:t>
      </w:r>
      <w:r w:rsidR="0080015C" w:rsidRPr="006D54A5">
        <w:t>However, there</w:t>
      </w:r>
      <w:r w:rsidRPr="006D54A5">
        <w:t xml:space="preserve"> was no significant difference between pasireotide LAR at either dose and active control therapy in the reduction of most signs and symptoms of acromegaly (fatigue, perspiration, </w:t>
      </w:r>
      <w:proofErr w:type="spellStart"/>
      <w:r w:rsidRPr="006D54A5">
        <w:t>osteoarthralgia</w:t>
      </w:r>
      <w:proofErr w:type="spellEnd"/>
      <w:r w:rsidRPr="006D54A5">
        <w:t>, paraesthesia, ring size)</w:t>
      </w:r>
      <w:r w:rsidR="0080015C" w:rsidRPr="006D54A5">
        <w:t>, and</w:t>
      </w:r>
      <w:r w:rsidRPr="006D54A5">
        <w:t xml:space="preserve"> </w:t>
      </w:r>
      <w:r w:rsidR="0080015C" w:rsidRPr="006D54A5">
        <w:t>o</w:t>
      </w:r>
      <w:r w:rsidRPr="006D54A5">
        <w:t>verall changes in symptom scores within each treatment group were small.</w:t>
      </w:r>
      <w:r w:rsidRPr="006D54A5">
        <w:rPr>
          <w:i/>
        </w:rPr>
        <w:t xml:space="preserve"> </w:t>
      </w:r>
      <w:r w:rsidRPr="006D54A5">
        <w:t xml:space="preserve">Quality of life, as measured by the acromegaly-specific </w:t>
      </w:r>
      <w:proofErr w:type="spellStart"/>
      <w:r w:rsidRPr="006D54A5">
        <w:t>AcroQol</w:t>
      </w:r>
      <w:proofErr w:type="spellEnd"/>
      <w:r w:rsidRPr="006D54A5">
        <w:t xml:space="preserve"> scale, showed little change in all treatment groups over the 24 week period. </w:t>
      </w:r>
      <w:r w:rsidR="00950B02" w:rsidRPr="006D54A5">
        <w:t>The</w:t>
      </w:r>
      <w:r w:rsidR="006236B9" w:rsidRPr="006D54A5">
        <w:t xml:space="preserve"> ESC considered that a</w:t>
      </w:r>
      <w:r w:rsidR="00950B02" w:rsidRPr="006D54A5">
        <w:t xml:space="preserve"> lack of blinding may bias these outcomes.</w:t>
      </w:r>
      <w:r w:rsidR="00A143B7" w:rsidRPr="006D54A5">
        <w:t xml:space="preserve"> </w:t>
      </w:r>
    </w:p>
    <w:p w:rsidR="00B60939" w:rsidRPr="006D54A5" w:rsidRDefault="00B60939" w:rsidP="00B60939">
      <w:pPr>
        <w:rPr>
          <w:szCs w:val="22"/>
        </w:rPr>
      </w:pPr>
    </w:p>
    <w:p w:rsidR="00481B3A" w:rsidRPr="006D54A5" w:rsidRDefault="00481B3A" w:rsidP="00E4633F">
      <w:pPr>
        <w:widowControl/>
        <w:spacing w:line="480" w:lineRule="auto"/>
        <w:ind w:left="709"/>
        <w:rPr>
          <w:i/>
          <w:szCs w:val="22"/>
        </w:rPr>
      </w:pPr>
      <w:r w:rsidRPr="006D54A5">
        <w:rPr>
          <w:i/>
          <w:szCs w:val="22"/>
        </w:rPr>
        <w:lastRenderedPageBreak/>
        <w:t>For more details on PBAC’s vie</w:t>
      </w:r>
      <w:r w:rsidR="00F613BA">
        <w:rPr>
          <w:i/>
          <w:szCs w:val="22"/>
        </w:rPr>
        <w:t>w, see section 7 “PBAC outcome”.</w:t>
      </w:r>
    </w:p>
    <w:p w:rsidR="00B60939" w:rsidRPr="00B5580D" w:rsidRDefault="00B60939" w:rsidP="002C2775">
      <w:pPr>
        <w:pStyle w:val="Heading2"/>
      </w:pPr>
      <w:bookmarkStart w:id="10" w:name="_Toc430013040"/>
      <w:r w:rsidRPr="00B5580D">
        <w:t>Comparative harms</w:t>
      </w:r>
      <w:bookmarkEnd w:id="10"/>
    </w:p>
    <w:p w:rsidR="00B60939" w:rsidRPr="006D54A5" w:rsidRDefault="00B60939" w:rsidP="00B60939">
      <w:pPr>
        <w:ind w:left="720" w:hanging="720"/>
        <w:rPr>
          <w:szCs w:val="22"/>
        </w:rPr>
      </w:pPr>
    </w:p>
    <w:p w:rsidR="00111F56" w:rsidRPr="006D54A5" w:rsidRDefault="00173A63" w:rsidP="00B50DB8">
      <w:pPr>
        <w:pStyle w:val="ListParagraph"/>
        <w:widowControl/>
        <w:numPr>
          <w:ilvl w:val="1"/>
          <w:numId w:val="18"/>
        </w:numPr>
        <w:rPr>
          <w:szCs w:val="22"/>
        </w:rPr>
      </w:pPr>
      <w:r w:rsidRPr="006D54A5">
        <w:t xml:space="preserve">There were fewer overall adverse events and treatment-related adverse events in the active control arm than in the pasireotide LAR arms of the trial. </w:t>
      </w:r>
      <w:r w:rsidR="004B0758" w:rsidRPr="006D54A5">
        <w:t>The key patient-relevant adverse events identified in trial C2402 that were more common in the pasireotide-treated arms than the active control arm were hyperglycaemia-related events and diarrhoea.</w:t>
      </w:r>
      <w:r w:rsidR="001E2361" w:rsidRPr="006D54A5">
        <w:t xml:space="preserve"> </w:t>
      </w:r>
      <w:r w:rsidRPr="006D54A5">
        <w:t>Discontinuations due to adverse events in the pasireotide arms of the trial were due to hyperglycaemia-related events in six of the seven cases.</w:t>
      </w:r>
      <w:r w:rsidR="008D0376" w:rsidRPr="006D54A5">
        <w:t xml:space="preserve">  </w:t>
      </w:r>
      <w:r w:rsidR="008B7D1F" w:rsidRPr="006D54A5">
        <w:t>The submission noted that fewer patients would be expected to experience adverse events in the active control arm, as they had been taking the same medication for at least six months prior to the trial. T</w:t>
      </w:r>
      <w:r w:rsidR="00F960F4" w:rsidRPr="006D54A5">
        <w:t xml:space="preserve">he ESC </w:t>
      </w:r>
      <w:r w:rsidR="008B7D1F" w:rsidRPr="006D54A5">
        <w:t xml:space="preserve">considered </w:t>
      </w:r>
      <w:r w:rsidR="00F960F4" w:rsidRPr="006D54A5">
        <w:t xml:space="preserve">this </w:t>
      </w:r>
      <w:r w:rsidR="008B7D1F" w:rsidRPr="006D54A5">
        <w:t>to be reasonable and applicable to the proposed place in treatment for the PBS populatio</w:t>
      </w:r>
      <w:r w:rsidR="00F960F4" w:rsidRPr="006D54A5">
        <w:t>n.</w:t>
      </w:r>
      <w:r w:rsidR="007E54B9" w:rsidRPr="006D54A5">
        <w:t xml:space="preserve"> </w:t>
      </w:r>
    </w:p>
    <w:p w:rsidR="00111F56" w:rsidRPr="006D54A5" w:rsidRDefault="00111F56" w:rsidP="00111F56">
      <w:pPr>
        <w:widowControl/>
        <w:rPr>
          <w:szCs w:val="22"/>
        </w:rPr>
      </w:pPr>
    </w:p>
    <w:p w:rsidR="00B5580D" w:rsidRPr="00B5580D" w:rsidRDefault="00B5580D" w:rsidP="00B5580D">
      <w:pPr>
        <w:pStyle w:val="Caption"/>
        <w:keepNext/>
        <w:ind w:firstLine="720"/>
        <w:rPr>
          <w:rFonts w:ascii="Arial Narrow" w:hAnsi="Arial Narrow"/>
          <w:color w:val="auto"/>
          <w:sz w:val="20"/>
          <w:szCs w:val="20"/>
        </w:rPr>
      </w:pPr>
      <w:r w:rsidRPr="00B5580D">
        <w:rPr>
          <w:rFonts w:ascii="Arial Narrow" w:hAnsi="Arial Narrow"/>
          <w:color w:val="auto"/>
          <w:sz w:val="20"/>
          <w:szCs w:val="20"/>
        </w:rPr>
        <w:t xml:space="preserve">Table </w:t>
      </w:r>
      <w:r w:rsidRPr="00B5580D">
        <w:rPr>
          <w:rFonts w:ascii="Arial Narrow" w:hAnsi="Arial Narrow"/>
          <w:color w:val="auto"/>
          <w:sz w:val="20"/>
          <w:szCs w:val="20"/>
        </w:rPr>
        <w:fldChar w:fldCharType="begin"/>
      </w:r>
      <w:r w:rsidRPr="00B5580D">
        <w:rPr>
          <w:rFonts w:ascii="Arial Narrow" w:hAnsi="Arial Narrow"/>
          <w:color w:val="auto"/>
          <w:sz w:val="20"/>
          <w:szCs w:val="20"/>
        </w:rPr>
        <w:instrText xml:space="preserve"> SEQ Table \* ARABIC </w:instrText>
      </w:r>
      <w:r w:rsidRPr="00B5580D">
        <w:rPr>
          <w:rFonts w:ascii="Arial Narrow" w:hAnsi="Arial Narrow"/>
          <w:color w:val="auto"/>
          <w:sz w:val="20"/>
          <w:szCs w:val="20"/>
        </w:rPr>
        <w:fldChar w:fldCharType="separate"/>
      </w:r>
      <w:r w:rsidR="0018573A">
        <w:rPr>
          <w:rFonts w:ascii="Arial Narrow" w:hAnsi="Arial Narrow"/>
          <w:noProof/>
          <w:color w:val="auto"/>
          <w:sz w:val="20"/>
          <w:szCs w:val="20"/>
        </w:rPr>
        <w:t>4</w:t>
      </w:r>
      <w:r w:rsidRPr="00B5580D">
        <w:rPr>
          <w:rFonts w:ascii="Arial Narrow" w:hAnsi="Arial Narrow"/>
          <w:color w:val="auto"/>
          <w:sz w:val="20"/>
          <w:szCs w:val="20"/>
        </w:rPr>
        <w:fldChar w:fldCharType="end"/>
      </w:r>
      <w:r w:rsidRPr="00B5580D">
        <w:rPr>
          <w:rFonts w:ascii="Arial Narrow" w:hAnsi="Arial Narrow"/>
          <w:color w:val="auto"/>
          <w:sz w:val="20"/>
          <w:szCs w:val="20"/>
        </w:rPr>
        <w:t>: Summary of adverse events in C2402 trial at week 24</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ummary of adverse events"/>
      </w:tblPr>
      <w:tblGrid>
        <w:gridCol w:w="3542"/>
        <w:gridCol w:w="1626"/>
        <w:gridCol w:w="1628"/>
        <w:gridCol w:w="1630"/>
      </w:tblGrid>
      <w:tr w:rsidR="00111F56" w:rsidRPr="006D54A5" w:rsidTr="008B7D1F">
        <w:trPr>
          <w:cantSplit/>
          <w:tblHeader/>
        </w:trPr>
        <w:tc>
          <w:tcPr>
            <w:tcW w:w="2102" w:type="pct"/>
            <w:shd w:val="clear" w:color="auto" w:fill="auto"/>
            <w:vAlign w:val="center"/>
          </w:tcPr>
          <w:p w:rsidR="00111F56" w:rsidRPr="006D54A5" w:rsidRDefault="00111F56" w:rsidP="00BA3E38">
            <w:pPr>
              <w:pStyle w:val="PBACTableTextBoldCentered"/>
              <w:spacing w:before="0" w:after="0"/>
              <w:jc w:val="left"/>
              <w:rPr>
                <w:rFonts w:ascii="Arial Narrow" w:hAnsi="Arial Narrow"/>
                <w:lang w:val="en-AU"/>
              </w:rPr>
            </w:pPr>
          </w:p>
        </w:tc>
        <w:tc>
          <w:tcPr>
            <w:tcW w:w="965" w:type="pct"/>
            <w:shd w:val="clear" w:color="auto" w:fill="auto"/>
            <w:vAlign w:val="center"/>
          </w:tcPr>
          <w:p w:rsidR="00111F56" w:rsidRPr="006D54A5" w:rsidRDefault="00111F56" w:rsidP="00BA3E38">
            <w:pPr>
              <w:pStyle w:val="PBACTableTextBoldCentered"/>
              <w:spacing w:before="0" w:after="0"/>
              <w:rPr>
                <w:rFonts w:ascii="Arial Narrow" w:hAnsi="Arial Narrow"/>
                <w:lang w:val="en-AU"/>
              </w:rPr>
            </w:pPr>
            <w:r w:rsidRPr="006D54A5">
              <w:rPr>
                <w:rFonts w:ascii="Arial Narrow" w:hAnsi="Arial Narrow"/>
                <w:lang w:val="en-AU"/>
              </w:rPr>
              <w:t>Pasireotide 40</w:t>
            </w:r>
            <w:r w:rsidR="00A14A9C" w:rsidRPr="006D54A5">
              <w:rPr>
                <w:rFonts w:ascii="Arial Narrow" w:hAnsi="Arial Narrow"/>
                <w:lang w:val="en-AU"/>
              </w:rPr>
              <w:t>mg</w:t>
            </w:r>
            <w:r w:rsidRPr="006D54A5">
              <w:rPr>
                <w:rFonts w:ascii="Arial Narrow" w:hAnsi="Arial Narrow"/>
                <w:lang w:val="en-AU"/>
              </w:rPr>
              <w:t xml:space="preserve"> N=63</w:t>
            </w:r>
          </w:p>
        </w:tc>
        <w:tc>
          <w:tcPr>
            <w:tcW w:w="966" w:type="pct"/>
            <w:shd w:val="clear" w:color="auto" w:fill="auto"/>
            <w:vAlign w:val="center"/>
          </w:tcPr>
          <w:p w:rsidR="00111F56" w:rsidRPr="006D54A5" w:rsidRDefault="00111F56" w:rsidP="00BA3E38">
            <w:pPr>
              <w:pStyle w:val="PBACTableTextBoldCentered"/>
              <w:spacing w:before="0" w:after="0"/>
              <w:rPr>
                <w:rFonts w:ascii="Arial Narrow" w:hAnsi="Arial Narrow"/>
                <w:lang w:val="en-AU"/>
              </w:rPr>
            </w:pPr>
            <w:r w:rsidRPr="006D54A5">
              <w:rPr>
                <w:rFonts w:ascii="Arial Narrow" w:hAnsi="Arial Narrow"/>
                <w:lang w:val="en-AU"/>
              </w:rPr>
              <w:t>Pasireotide 60</w:t>
            </w:r>
            <w:r w:rsidR="00A14A9C" w:rsidRPr="006D54A5">
              <w:rPr>
                <w:rFonts w:ascii="Arial Narrow" w:hAnsi="Arial Narrow"/>
                <w:lang w:val="en-AU"/>
              </w:rPr>
              <w:t>mg</w:t>
            </w:r>
          </w:p>
          <w:p w:rsidR="00111F56" w:rsidRPr="006D54A5" w:rsidRDefault="00111F56" w:rsidP="00BA3E38">
            <w:pPr>
              <w:pStyle w:val="PBACTableTextBoldCentered"/>
              <w:spacing w:before="0" w:after="0"/>
              <w:rPr>
                <w:rFonts w:ascii="Arial Narrow" w:hAnsi="Arial Narrow"/>
                <w:lang w:val="en-AU"/>
              </w:rPr>
            </w:pPr>
            <w:r w:rsidRPr="006D54A5">
              <w:rPr>
                <w:rFonts w:ascii="Arial Narrow" w:hAnsi="Arial Narrow"/>
                <w:lang w:val="en-AU"/>
              </w:rPr>
              <w:t>N=62</w:t>
            </w:r>
          </w:p>
        </w:tc>
        <w:tc>
          <w:tcPr>
            <w:tcW w:w="967" w:type="pct"/>
            <w:vAlign w:val="center"/>
          </w:tcPr>
          <w:p w:rsidR="00111F56" w:rsidRPr="006D54A5" w:rsidRDefault="00111F56" w:rsidP="00BA3E38">
            <w:pPr>
              <w:pStyle w:val="PBACTableTextBoldCentered"/>
              <w:spacing w:before="0" w:after="0"/>
              <w:rPr>
                <w:rFonts w:ascii="Arial Narrow" w:hAnsi="Arial Narrow"/>
                <w:lang w:val="en-AU"/>
              </w:rPr>
            </w:pPr>
            <w:r w:rsidRPr="006D54A5">
              <w:rPr>
                <w:rFonts w:ascii="Arial Narrow" w:hAnsi="Arial Narrow"/>
                <w:lang w:val="en-AU"/>
              </w:rPr>
              <w:t>Active control</w:t>
            </w:r>
          </w:p>
          <w:p w:rsidR="00111F56" w:rsidRPr="006D54A5" w:rsidRDefault="00111F56" w:rsidP="00BA3E38">
            <w:pPr>
              <w:pStyle w:val="PBACTableTextBoldCentered"/>
              <w:spacing w:before="0" w:after="0"/>
              <w:rPr>
                <w:rFonts w:ascii="Arial Narrow" w:hAnsi="Arial Narrow"/>
                <w:lang w:val="en-AU"/>
              </w:rPr>
            </w:pPr>
            <w:r w:rsidRPr="006D54A5">
              <w:rPr>
                <w:rFonts w:ascii="Arial Narrow" w:hAnsi="Arial Narrow"/>
                <w:lang w:val="en-AU"/>
              </w:rPr>
              <w:t>N=66</w:t>
            </w:r>
          </w:p>
        </w:tc>
      </w:tr>
      <w:tr w:rsidR="00111F56" w:rsidRPr="006D54A5" w:rsidTr="005521B8">
        <w:trPr>
          <w:cantSplit/>
        </w:trPr>
        <w:tc>
          <w:tcPr>
            <w:tcW w:w="5000" w:type="pct"/>
            <w:gridSpan w:val="4"/>
            <w:shd w:val="clear" w:color="auto" w:fill="auto"/>
            <w:vAlign w:val="center"/>
          </w:tcPr>
          <w:p w:rsidR="00111F56" w:rsidRPr="006D54A5" w:rsidRDefault="00111F56" w:rsidP="00BA3E38">
            <w:pPr>
              <w:pStyle w:val="PBACTableText"/>
              <w:spacing w:before="0" w:after="0"/>
              <w:rPr>
                <w:rFonts w:ascii="Arial Narrow" w:hAnsi="Arial Narrow"/>
                <w:b/>
                <w:lang w:val="en-AU"/>
              </w:rPr>
            </w:pPr>
            <w:r w:rsidRPr="006D54A5">
              <w:rPr>
                <w:rFonts w:ascii="Arial Narrow" w:hAnsi="Arial Narrow"/>
                <w:b/>
                <w:lang w:val="en-AU"/>
              </w:rPr>
              <w:t>Summary of adverse events</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Adverse event</w:t>
            </w:r>
          </w:p>
        </w:tc>
        <w:tc>
          <w:tcPr>
            <w:tcW w:w="965" w:type="pct"/>
            <w:shd w:val="clear" w:color="auto" w:fill="auto"/>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58 (92.1%)</w:t>
            </w:r>
          </w:p>
        </w:tc>
        <w:tc>
          <w:tcPr>
            <w:tcW w:w="966"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53 (85.5%)</w:t>
            </w:r>
          </w:p>
        </w:tc>
        <w:tc>
          <w:tcPr>
            <w:tcW w:w="967"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49 (74.2%)</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Treatment-related adverse event</w:t>
            </w:r>
          </w:p>
        </w:tc>
        <w:tc>
          <w:tcPr>
            <w:tcW w:w="965" w:type="pct"/>
            <w:shd w:val="clear" w:color="auto" w:fill="auto"/>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45 (71.4%)</w:t>
            </w:r>
          </w:p>
        </w:tc>
        <w:tc>
          <w:tcPr>
            <w:tcW w:w="966"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46 (74.2%)</w:t>
            </w:r>
          </w:p>
        </w:tc>
        <w:tc>
          <w:tcPr>
            <w:tcW w:w="967"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29 (43.9%)</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Serious adverse event</w:t>
            </w:r>
          </w:p>
        </w:tc>
        <w:tc>
          <w:tcPr>
            <w:tcW w:w="965" w:type="pct"/>
            <w:shd w:val="clear" w:color="auto" w:fill="auto"/>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6 (9.5%)</w:t>
            </w:r>
          </w:p>
        </w:tc>
        <w:tc>
          <w:tcPr>
            <w:tcW w:w="966"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2 (3.2%)</w:t>
            </w:r>
          </w:p>
        </w:tc>
        <w:tc>
          <w:tcPr>
            <w:tcW w:w="967"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3 (4.5%)</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Grade 3 or higher adverse event</w:t>
            </w:r>
          </w:p>
        </w:tc>
        <w:tc>
          <w:tcPr>
            <w:tcW w:w="965" w:type="pct"/>
            <w:shd w:val="clear" w:color="auto" w:fill="auto"/>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11 (17.5%)</w:t>
            </w:r>
          </w:p>
        </w:tc>
        <w:tc>
          <w:tcPr>
            <w:tcW w:w="966"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12 (19.4%)</w:t>
            </w:r>
          </w:p>
        </w:tc>
        <w:tc>
          <w:tcPr>
            <w:tcW w:w="967"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5 (7.6%)</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Adverse event leading to trial discontinuation</w:t>
            </w:r>
          </w:p>
        </w:tc>
        <w:tc>
          <w:tcPr>
            <w:tcW w:w="965" w:type="pct"/>
            <w:shd w:val="clear" w:color="auto" w:fill="auto"/>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3 (4.8%)</w:t>
            </w:r>
          </w:p>
        </w:tc>
        <w:tc>
          <w:tcPr>
            <w:tcW w:w="966"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4 (6.5%)</w:t>
            </w:r>
          </w:p>
        </w:tc>
        <w:tc>
          <w:tcPr>
            <w:tcW w:w="967"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0 (0.0%)</w:t>
            </w:r>
          </w:p>
        </w:tc>
      </w:tr>
      <w:tr w:rsidR="00111F56" w:rsidRPr="006D54A5" w:rsidTr="005521B8">
        <w:trPr>
          <w:cantSplit/>
        </w:trPr>
        <w:tc>
          <w:tcPr>
            <w:tcW w:w="5000" w:type="pct"/>
            <w:gridSpan w:val="4"/>
            <w:shd w:val="clear" w:color="auto" w:fill="auto"/>
            <w:vAlign w:val="center"/>
          </w:tcPr>
          <w:p w:rsidR="00111F56" w:rsidRPr="006D54A5" w:rsidRDefault="00111F56" w:rsidP="00BA3E38">
            <w:pPr>
              <w:pStyle w:val="PBACTableText"/>
              <w:spacing w:before="0" w:after="0"/>
              <w:rPr>
                <w:rFonts w:ascii="Arial Narrow" w:hAnsi="Arial Narrow"/>
                <w:b/>
                <w:lang w:val="en-AU"/>
              </w:rPr>
            </w:pPr>
            <w:r w:rsidRPr="006D54A5">
              <w:rPr>
                <w:rFonts w:ascii="Arial Narrow" w:hAnsi="Arial Narrow"/>
                <w:b/>
                <w:lang w:val="en-AU"/>
              </w:rPr>
              <w:t>Specific treatment-related adverse events</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Hyperglycaemia</w:t>
            </w:r>
          </w:p>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[Grade 3 or 4 hyperglycaemia]</w:t>
            </w:r>
          </w:p>
        </w:tc>
        <w:tc>
          <w:tcPr>
            <w:tcW w:w="965" w:type="pct"/>
            <w:shd w:val="clear" w:color="auto" w:fill="auto"/>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21 (33.3)</w:t>
            </w:r>
          </w:p>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[7 (11.1)]</w:t>
            </w:r>
          </w:p>
        </w:tc>
        <w:tc>
          <w:tcPr>
            <w:tcW w:w="966"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18 (29.0)</w:t>
            </w:r>
          </w:p>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[5 (8.1)]</w:t>
            </w:r>
          </w:p>
        </w:tc>
        <w:tc>
          <w:tcPr>
            <w:tcW w:w="967" w:type="pct"/>
            <w:vAlign w:val="center"/>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4 (6.1)</w:t>
            </w:r>
          </w:p>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[0]</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Diabetes mellitus</w:t>
            </w:r>
          </w:p>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[Grade 3 or 4 diabetes mellitus]</w:t>
            </w:r>
          </w:p>
        </w:tc>
        <w:tc>
          <w:tcPr>
            <w:tcW w:w="965" w:type="pct"/>
            <w:shd w:val="clear" w:color="auto" w:fill="auto"/>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12 (19.0)</w:t>
            </w:r>
          </w:p>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[0]</w:t>
            </w:r>
          </w:p>
        </w:tc>
        <w:tc>
          <w:tcPr>
            <w:tcW w:w="966"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16 (25.8)</w:t>
            </w:r>
          </w:p>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[2 (3.2)]</w:t>
            </w:r>
          </w:p>
        </w:tc>
        <w:tc>
          <w:tcPr>
            <w:tcW w:w="967"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3 (4.5)</w:t>
            </w:r>
          </w:p>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[0]</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Diarrhoea</w:t>
            </w:r>
          </w:p>
        </w:tc>
        <w:tc>
          <w:tcPr>
            <w:tcW w:w="965" w:type="pct"/>
            <w:shd w:val="clear" w:color="auto" w:fill="auto"/>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7 (11.1)</w:t>
            </w:r>
          </w:p>
        </w:tc>
        <w:tc>
          <w:tcPr>
            <w:tcW w:w="966"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12 (19.4)</w:t>
            </w:r>
          </w:p>
        </w:tc>
        <w:tc>
          <w:tcPr>
            <w:tcW w:w="967"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1 (1.5)</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proofErr w:type="spellStart"/>
            <w:r w:rsidRPr="006D54A5">
              <w:rPr>
                <w:rFonts w:ascii="Arial Narrow" w:hAnsi="Arial Narrow"/>
                <w:lang w:val="en-AU"/>
              </w:rPr>
              <w:t>Cholelithiasis</w:t>
            </w:r>
            <w:proofErr w:type="spellEnd"/>
          </w:p>
        </w:tc>
        <w:tc>
          <w:tcPr>
            <w:tcW w:w="965" w:type="pct"/>
            <w:shd w:val="clear" w:color="auto" w:fill="auto"/>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6 (9.5)</w:t>
            </w:r>
          </w:p>
        </w:tc>
        <w:tc>
          <w:tcPr>
            <w:tcW w:w="966"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7 (11.3)</w:t>
            </w:r>
          </w:p>
        </w:tc>
        <w:tc>
          <w:tcPr>
            <w:tcW w:w="967"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8 (12.1)</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Alopecia</w:t>
            </w:r>
          </w:p>
        </w:tc>
        <w:tc>
          <w:tcPr>
            <w:tcW w:w="965" w:type="pct"/>
            <w:shd w:val="clear" w:color="auto" w:fill="auto"/>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1 (1.6)</w:t>
            </w:r>
          </w:p>
        </w:tc>
        <w:tc>
          <w:tcPr>
            <w:tcW w:w="966"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4 (6.5)</w:t>
            </w:r>
          </w:p>
        </w:tc>
        <w:tc>
          <w:tcPr>
            <w:tcW w:w="967"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0</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Increased blood glucose levels</w:t>
            </w:r>
          </w:p>
        </w:tc>
        <w:tc>
          <w:tcPr>
            <w:tcW w:w="965" w:type="pct"/>
            <w:shd w:val="clear" w:color="auto" w:fill="auto"/>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3 (4.8)</w:t>
            </w:r>
          </w:p>
        </w:tc>
        <w:tc>
          <w:tcPr>
            <w:tcW w:w="966"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4 (6.5)</w:t>
            </w:r>
          </w:p>
        </w:tc>
        <w:tc>
          <w:tcPr>
            <w:tcW w:w="967"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0</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Abdominal pain</w:t>
            </w:r>
          </w:p>
        </w:tc>
        <w:tc>
          <w:tcPr>
            <w:tcW w:w="965" w:type="pct"/>
            <w:shd w:val="clear" w:color="auto" w:fill="auto"/>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4 (6.3)</w:t>
            </w:r>
          </w:p>
        </w:tc>
        <w:tc>
          <w:tcPr>
            <w:tcW w:w="966"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3 (4.8)</w:t>
            </w:r>
          </w:p>
        </w:tc>
        <w:tc>
          <w:tcPr>
            <w:tcW w:w="967"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0</w:t>
            </w:r>
          </w:p>
        </w:tc>
      </w:tr>
      <w:tr w:rsidR="00111F56" w:rsidRPr="006D54A5" w:rsidTr="008B7D1F">
        <w:trPr>
          <w:cantSplit/>
        </w:trPr>
        <w:tc>
          <w:tcPr>
            <w:tcW w:w="2102" w:type="pct"/>
            <w:shd w:val="clear" w:color="auto" w:fill="auto"/>
            <w:vAlign w:val="center"/>
          </w:tcPr>
          <w:p w:rsidR="00111F56" w:rsidRPr="006D54A5" w:rsidRDefault="00111F56" w:rsidP="00BA3E38">
            <w:pPr>
              <w:pStyle w:val="PBACTableText"/>
              <w:spacing w:before="0" w:after="0"/>
              <w:rPr>
                <w:rFonts w:ascii="Arial Narrow" w:hAnsi="Arial Narrow"/>
                <w:lang w:val="en-AU"/>
              </w:rPr>
            </w:pPr>
            <w:r w:rsidRPr="006D54A5">
              <w:rPr>
                <w:rFonts w:ascii="Arial Narrow" w:hAnsi="Arial Narrow"/>
                <w:lang w:val="en-AU"/>
              </w:rPr>
              <w:t>Dizziness</w:t>
            </w:r>
          </w:p>
        </w:tc>
        <w:tc>
          <w:tcPr>
            <w:tcW w:w="965" w:type="pct"/>
            <w:shd w:val="clear" w:color="auto" w:fill="auto"/>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4 (6.3)</w:t>
            </w:r>
          </w:p>
        </w:tc>
        <w:tc>
          <w:tcPr>
            <w:tcW w:w="966"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1 (1.6)</w:t>
            </w:r>
          </w:p>
        </w:tc>
        <w:tc>
          <w:tcPr>
            <w:tcW w:w="967" w:type="pct"/>
          </w:tcPr>
          <w:p w:rsidR="00111F56" w:rsidRPr="006D54A5" w:rsidRDefault="00111F56" w:rsidP="00BA3E38">
            <w:pPr>
              <w:pStyle w:val="PBACTableText"/>
              <w:spacing w:before="0" w:after="0"/>
              <w:jc w:val="center"/>
              <w:rPr>
                <w:rFonts w:ascii="Arial Narrow" w:hAnsi="Arial Narrow"/>
                <w:lang w:val="en-AU"/>
              </w:rPr>
            </w:pPr>
            <w:r w:rsidRPr="006D54A5">
              <w:rPr>
                <w:rFonts w:ascii="Arial Narrow" w:hAnsi="Arial Narrow"/>
                <w:lang w:val="en-AU"/>
              </w:rPr>
              <w:t>0</w:t>
            </w:r>
          </w:p>
        </w:tc>
      </w:tr>
      <w:tr w:rsidR="00544B30" w:rsidRPr="006D54A5" w:rsidTr="00544B30">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44B30" w:rsidRPr="006D54A5" w:rsidRDefault="00544B30" w:rsidP="00544B30">
            <w:pPr>
              <w:pStyle w:val="PBACTableText"/>
              <w:spacing w:before="0" w:after="0"/>
              <w:rPr>
                <w:rFonts w:ascii="Arial Narrow" w:hAnsi="Arial Narrow"/>
                <w:i/>
                <w:lang w:val="en-AU"/>
              </w:rPr>
            </w:pPr>
            <w:r w:rsidRPr="006D54A5">
              <w:rPr>
                <w:rFonts w:ascii="Arial Narrow" w:hAnsi="Arial Narrow"/>
                <w:b/>
                <w:i/>
                <w:lang w:val="en-AU"/>
              </w:rPr>
              <w:t>All cause adverse events</w:t>
            </w:r>
          </w:p>
        </w:tc>
      </w:tr>
      <w:tr w:rsidR="008B7D1F" w:rsidRPr="006D54A5" w:rsidTr="008B7D1F">
        <w:trPr>
          <w:cantSplit/>
        </w:trPr>
        <w:tc>
          <w:tcPr>
            <w:tcW w:w="2102" w:type="pct"/>
            <w:tcBorders>
              <w:top w:val="single" w:sz="4" w:space="0" w:color="auto"/>
              <w:left w:val="single" w:sz="4" w:space="0" w:color="auto"/>
              <w:bottom w:val="single" w:sz="4" w:space="0" w:color="auto"/>
              <w:right w:val="single" w:sz="4" w:space="0" w:color="auto"/>
            </w:tcBorders>
            <w:shd w:val="clear" w:color="auto" w:fill="auto"/>
            <w:vAlign w:val="center"/>
          </w:tcPr>
          <w:p w:rsidR="008B7D1F" w:rsidRPr="006D54A5" w:rsidRDefault="008B7D1F">
            <w:pPr>
              <w:pStyle w:val="PBACTableText"/>
              <w:spacing w:before="0" w:after="0"/>
              <w:rPr>
                <w:rFonts w:ascii="Arial Narrow" w:hAnsi="Arial Narrow"/>
                <w:i/>
                <w:lang w:val="en-AU"/>
              </w:rPr>
            </w:pPr>
            <w:r w:rsidRPr="006D54A5">
              <w:rPr>
                <w:rFonts w:ascii="Arial Narrow" w:hAnsi="Arial Narrow"/>
                <w:i/>
                <w:lang w:val="en-AU"/>
              </w:rPr>
              <w:t>Hyperglycaemia</w:t>
            </w:r>
          </w:p>
        </w:tc>
        <w:tc>
          <w:tcPr>
            <w:tcW w:w="965" w:type="pct"/>
            <w:tcBorders>
              <w:top w:val="single" w:sz="4" w:space="0" w:color="auto"/>
              <w:left w:val="single" w:sz="4" w:space="0" w:color="auto"/>
              <w:bottom w:val="single" w:sz="4" w:space="0" w:color="auto"/>
              <w:right w:val="single" w:sz="4" w:space="0" w:color="auto"/>
            </w:tcBorders>
            <w:shd w:val="clear" w:color="auto" w:fill="auto"/>
          </w:tcPr>
          <w:p w:rsidR="008B7D1F" w:rsidRPr="006D54A5" w:rsidRDefault="008B7D1F">
            <w:pPr>
              <w:pStyle w:val="PBACTableText"/>
              <w:spacing w:before="0" w:after="0"/>
              <w:jc w:val="center"/>
              <w:rPr>
                <w:rFonts w:ascii="Arial Narrow" w:hAnsi="Arial Narrow"/>
                <w:i/>
                <w:lang w:val="en-AU"/>
              </w:rPr>
            </w:pPr>
            <w:r w:rsidRPr="006D54A5">
              <w:rPr>
                <w:rFonts w:ascii="Arial Narrow" w:hAnsi="Arial Narrow"/>
                <w:i/>
                <w:lang w:val="en-AU"/>
              </w:rPr>
              <w:t>33%</w:t>
            </w:r>
          </w:p>
        </w:tc>
        <w:tc>
          <w:tcPr>
            <w:tcW w:w="966" w:type="pct"/>
            <w:tcBorders>
              <w:top w:val="single" w:sz="4" w:space="0" w:color="auto"/>
              <w:left w:val="single" w:sz="4" w:space="0" w:color="auto"/>
              <w:bottom w:val="single" w:sz="4" w:space="0" w:color="auto"/>
              <w:right w:val="single" w:sz="4" w:space="0" w:color="auto"/>
            </w:tcBorders>
          </w:tcPr>
          <w:p w:rsidR="008B7D1F" w:rsidRPr="006D54A5" w:rsidRDefault="008B7D1F">
            <w:pPr>
              <w:pStyle w:val="PBACTableText"/>
              <w:spacing w:before="0" w:after="0"/>
              <w:jc w:val="center"/>
              <w:rPr>
                <w:rFonts w:ascii="Arial Narrow" w:hAnsi="Arial Narrow"/>
                <w:i/>
                <w:lang w:val="en-AU"/>
              </w:rPr>
            </w:pPr>
            <w:r w:rsidRPr="006D54A5">
              <w:rPr>
                <w:rFonts w:ascii="Arial Narrow" w:hAnsi="Arial Narrow"/>
                <w:i/>
                <w:lang w:val="en-AU"/>
              </w:rPr>
              <w:t>30.6%</w:t>
            </w:r>
          </w:p>
        </w:tc>
        <w:tc>
          <w:tcPr>
            <w:tcW w:w="967" w:type="pct"/>
            <w:tcBorders>
              <w:top w:val="single" w:sz="4" w:space="0" w:color="auto"/>
              <w:left w:val="single" w:sz="4" w:space="0" w:color="auto"/>
              <w:bottom w:val="single" w:sz="4" w:space="0" w:color="auto"/>
              <w:right w:val="single" w:sz="4" w:space="0" w:color="auto"/>
            </w:tcBorders>
          </w:tcPr>
          <w:p w:rsidR="008B7D1F" w:rsidRPr="006D54A5" w:rsidRDefault="008B7D1F">
            <w:pPr>
              <w:pStyle w:val="PBACTableText"/>
              <w:spacing w:before="0" w:after="0"/>
              <w:jc w:val="center"/>
              <w:rPr>
                <w:rFonts w:ascii="Arial Narrow" w:hAnsi="Arial Narrow"/>
                <w:i/>
                <w:lang w:val="en-AU"/>
              </w:rPr>
            </w:pPr>
            <w:r w:rsidRPr="006D54A5">
              <w:rPr>
                <w:rFonts w:ascii="Arial Narrow" w:hAnsi="Arial Narrow"/>
                <w:i/>
                <w:lang w:val="en-AU"/>
              </w:rPr>
              <w:t>13.6%</w:t>
            </w:r>
          </w:p>
        </w:tc>
      </w:tr>
      <w:tr w:rsidR="008B7D1F" w:rsidRPr="006D54A5" w:rsidTr="008B7D1F">
        <w:trPr>
          <w:cantSplit/>
        </w:trPr>
        <w:tc>
          <w:tcPr>
            <w:tcW w:w="2102" w:type="pct"/>
            <w:tcBorders>
              <w:top w:val="single" w:sz="4" w:space="0" w:color="auto"/>
              <w:left w:val="single" w:sz="4" w:space="0" w:color="auto"/>
              <w:bottom w:val="single" w:sz="4" w:space="0" w:color="auto"/>
              <w:right w:val="single" w:sz="4" w:space="0" w:color="auto"/>
            </w:tcBorders>
            <w:shd w:val="clear" w:color="auto" w:fill="auto"/>
            <w:vAlign w:val="center"/>
          </w:tcPr>
          <w:p w:rsidR="008B7D1F" w:rsidRPr="006D54A5" w:rsidRDefault="008B7D1F">
            <w:pPr>
              <w:pStyle w:val="PBACTableText"/>
              <w:spacing w:before="0" w:after="0"/>
              <w:rPr>
                <w:rFonts w:ascii="Arial Narrow" w:hAnsi="Arial Narrow"/>
                <w:i/>
                <w:lang w:val="en-AU"/>
              </w:rPr>
            </w:pPr>
            <w:r w:rsidRPr="006D54A5">
              <w:rPr>
                <w:rFonts w:ascii="Arial Narrow" w:hAnsi="Arial Narrow"/>
                <w:i/>
                <w:lang w:val="en-AU"/>
              </w:rPr>
              <w:t>Diabetes Mellitus</w:t>
            </w:r>
          </w:p>
        </w:tc>
        <w:tc>
          <w:tcPr>
            <w:tcW w:w="965" w:type="pct"/>
            <w:tcBorders>
              <w:top w:val="single" w:sz="4" w:space="0" w:color="auto"/>
              <w:left w:val="single" w:sz="4" w:space="0" w:color="auto"/>
              <w:bottom w:val="single" w:sz="4" w:space="0" w:color="auto"/>
              <w:right w:val="single" w:sz="4" w:space="0" w:color="auto"/>
            </w:tcBorders>
            <w:shd w:val="clear" w:color="auto" w:fill="auto"/>
          </w:tcPr>
          <w:p w:rsidR="008B7D1F" w:rsidRPr="006D54A5" w:rsidRDefault="008B7D1F">
            <w:pPr>
              <w:pStyle w:val="PBACTableText"/>
              <w:spacing w:before="0" w:after="0"/>
              <w:jc w:val="center"/>
              <w:rPr>
                <w:rFonts w:ascii="Arial Narrow" w:hAnsi="Arial Narrow"/>
                <w:i/>
                <w:lang w:val="en-AU"/>
              </w:rPr>
            </w:pPr>
            <w:r w:rsidRPr="006D54A5">
              <w:rPr>
                <w:rFonts w:ascii="Arial Narrow" w:hAnsi="Arial Narrow"/>
                <w:i/>
                <w:lang w:val="en-AU"/>
              </w:rPr>
              <w:t>20.3%</w:t>
            </w:r>
          </w:p>
        </w:tc>
        <w:tc>
          <w:tcPr>
            <w:tcW w:w="966" w:type="pct"/>
            <w:tcBorders>
              <w:top w:val="single" w:sz="4" w:space="0" w:color="auto"/>
              <w:left w:val="single" w:sz="4" w:space="0" w:color="auto"/>
              <w:bottom w:val="single" w:sz="4" w:space="0" w:color="auto"/>
              <w:right w:val="single" w:sz="4" w:space="0" w:color="auto"/>
            </w:tcBorders>
          </w:tcPr>
          <w:p w:rsidR="008B7D1F" w:rsidRPr="006D54A5" w:rsidRDefault="008B7D1F">
            <w:pPr>
              <w:pStyle w:val="PBACTableText"/>
              <w:spacing w:before="0" w:after="0"/>
              <w:jc w:val="center"/>
              <w:rPr>
                <w:rFonts w:ascii="Arial Narrow" w:hAnsi="Arial Narrow"/>
                <w:i/>
                <w:lang w:val="en-AU"/>
              </w:rPr>
            </w:pPr>
            <w:r w:rsidRPr="006D54A5">
              <w:rPr>
                <w:rFonts w:ascii="Arial Narrow" w:hAnsi="Arial Narrow"/>
                <w:i/>
                <w:lang w:val="en-AU"/>
              </w:rPr>
              <w:t>25.8%</w:t>
            </w:r>
          </w:p>
        </w:tc>
        <w:tc>
          <w:tcPr>
            <w:tcW w:w="967" w:type="pct"/>
            <w:tcBorders>
              <w:top w:val="single" w:sz="4" w:space="0" w:color="auto"/>
              <w:left w:val="single" w:sz="4" w:space="0" w:color="auto"/>
              <w:bottom w:val="single" w:sz="4" w:space="0" w:color="auto"/>
              <w:right w:val="single" w:sz="4" w:space="0" w:color="auto"/>
            </w:tcBorders>
          </w:tcPr>
          <w:p w:rsidR="008B7D1F" w:rsidRPr="006D54A5" w:rsidRDefault="008B7D1F">
            <w:pPr>
              <w:pStyle w:val="PBACTableText"/>
              <w:spacing w:before="0" w:after="0"/>
              <w:jc w:val="center"/>
              <w:rPr>
                <w:rFonts w:ascii="Arial Narrow" w:hAnsi="Arial Narrow"/>
                <w:i/>
                <w:lang w:val="en-AU"/>
              </w:rPr>
            </w:pPr>
            <w:r w:rsidRPr="006D54A5">
              <w:rPr>
                <w:rFonts w:ascii="Arial Narrow" w:hAnsi="Arial Narrow"/>
                <w:i/>
                <w:lang w:val="en-AU"/>
              </w:rPr>
              <w:t>7.6%</w:t>
            </w:r>
          </w:p>
        </w:tc>
      </w:tr>
      <w:tr w:rsidR="008B7D1F" w:rsidRPr="006D54A5" w:rsidTr="008B7D1F">
        <w:trPr>
          <w:cantSplit/>
        </w:trPr>
        <w:tc>
          <w:tcPr>
            <w:tcW w:w="2102" w:type="pct"/>
            <w:tcBorders>
              <w:top w:val="single" w:sz="4" w:space="0" w:color="auto"/>
              <w:left w:val="single" w:sz="4" w:space="0" w:color="auto"/>
              <w:bottom w:val="single" w:sz="4" w:space="0" w:color="auto"/>
              <w:right w:val="single" w:sz="4" w:space="0" w:color="auto"/>
            </w:tcBorders>
            <w:shd w:val="clear" w:color="auto" w:fill="auto"/>
            <w:vAlign w:val="center"/>
          </w:tcPr>
          <w:p w:rsidR="008B7D1F" w:rsidRPr="006D54A5" w:rsidRDefault="008B7D1F">
            <w:pPr>
              <w:pStyle w:val="PBACTableText"/>
              <w:spacing w:before="0" w:after="0"/>
              <w:rPr>
                <w:rFonts w:ascii="Arial Narrow" w:hAnsi="Arial Narrow"/>
                <w:i/>
                <w:lang w:val="en-AU"/>
              </w:rPr>
            </w:pPr>
            <w:r w:rsidRPr="006D54A5">
              <w:rPr>
                <w:rFonts w:ascii="Arial Narrow" w:hAnsi="Arial Narrow"/>
                <w:i/>
                <w:lang w:val="en-AU"/>
              </w:rPr>
              <w:t>Diarrhoea</w:t>
            </w:r>
          </w:p>
        </w:tc>
        <w:tc>
          <w:tcPr>
            <w:tcW w:w="965" w:type="pct"/>
            <w:tcBorders>
              <w:top w:val="single" w:sz="4" w:space="0" w:color="auto"/>
              <w:left w:val="single" w:sz="4" w:space="0" w:color="auto"/>
              <w:bottom w:val="single" w:sz="4" w:space="0" w:color="auto"/>
              <w:right w:val="single" w:sz="4" w:space="0" w:color="auto"/>
            </w:tcBorders>
            <w:shd w:val="clear" w:color="auto" w:fill="auto"/>
          </w:tcPr>
          <w:p w:rsidR="008B7D1F" w:rsidRPr="006D54A5" w:rsidRDefault="008B7D1F">
            <w:pPr>
              <w:pStyle w:val="PBACTableText"/>
              <w:spacing w:before="0" w:after="0"/>
              <w:jc w:val="center"/>
              <w:rPr>
                <w:rFonts w:ascii="Arial Narrow" w:hAnsi="Arial Narrow"/>
                <w:i/>
                <w:lang w:val="en-AU"/>
              </w:rPr>
            </w:pPr>
            <w:r w:rsidRPr="006D54A5">
              <w:rPr>
                <w:rFonts w:ascii="Arial Narrow" w:hAnsi="Arial Narrow"/>
                <w:i/>
                <w:lang w:val="en-AU"/>
              </w:rPr>
              <w:t>15.9%</w:t>
            </w:r>
          </w:p>
        </w:tc>
        <w:tc>
          <w:tcPr>
            <w:tcW w:w="966" w:type="pct"/>
            <w:tcBorders>
              <w:top w:val="single" w:sz="4" w:space="0" w:color="auto"/>
              <w:left w:val="single" w:sz="4" w:space="0" w:color="auto"/>
              <w:bottom w:val="single" w:sz="4" w:space="0" w:color="auto"/>
              <w:right w:val="single" w:sz="4" w:space="0" w:color="auto"/>
            </w:tcBorders>
          </w:tcPr>
          <w:p w:rsidR="008B7D1F" w:rsidRPr="006D54A5" w:rsidRDefault="008B7D1F">
            <w:pPr>
              <w:pStyle w:val="PBACTableText"/>
              <w:spacing w:before="0" w:after="0"/>
              <w:jc w:val="center"/>
              <w:rPr>
                <w:rFonts w:ascii="Arial Narrow" w:hAnsi="Arial Narrow"/>
                <w:i/>
                <w:lang w:val="en-AU"/>
              </w:rPr>
            </w:pPr>
            <w:r w:rsidRPr="006D54A5">
              <w:rPr>
                <w:rFonts w:ascii="Arial Narrow" w:hAnsi="Arial Narrow"/>
                <w:i/>
                <w:lang w:val="en-AU"/>
              </w:rPr>
              <w:t>19.4%</w:t>
            </w:r>
          </w:p>
        </w:tc>
        <w:tc>
          <w:tcPr>
            <w:tcW w:w="967" w:type="pct"/>
            <w:tcBorders>
              <w:top w:val="single" w:sz="4" w:space="0" w:color="auto"/>
              <w:left w:val="single" w:sz="4" w:space="0" w:color="auto"/>
              <w:bottom w:val="single" w:sz="4" w:space="0" w:color="auto"/>
              <w:right w:val="single" w:sz="4" w:space="0" w:color="auto"/>
            </w:tcBorders>
          </w:tcPr>
          <w:p w:rsidR="008B7D1F" w:rsidRPr="006D54A5" w:rsidRDefault="008B7D1F">
            <w:pPr>
              <w:pStyle w:val="PBACTableText"/>
              <w:spacing w:before="0" w:after="0"/>
              <w:jc w:val="center"/>
              <w:rPr>
                <w:rFonts w:ascii="Arial Narrow" w:hAnsi="Arial Narrow"/>
                <w:i/>
                <w:lang w:val="en-AU"/>
              </w:rPr>
            </w:pPr>
            <w:r w:rsidRPr="006D54A5">
              <w:rPr>
                <w:rFonts w:ascii="Arial Narrow" w:hAnsi="Arial Narrow"/>
                <w:i/>
                <w:lang w:val="en-AU"/>
              </w:rPr>
              <w:t>4.5%</w:t>
            </w:r>
          </w:p>
        </w:tc>
      </w:tr>
    </w:tbl>
    <w:p w:rsidR="00111F56" w:rsidRPr="006D54A5" w:rsidRDefault="00111F56" w:rsidP="008D0376">
      <w:pPr>
        <w:ind w:left="709"/>
        <w:rPr>
          <w:rFonts w:ascii="Arial Narrow" w:hAnsi="Arial Narrow"/>
          <w:sz w:val="18"/>
          <w:szCs w:val="18"/>
        </w:rPr>
      </w:pPr>
      <w:r w:rsidRPr="006D54A5">
        <w:rPr>
          <w:rFonts w:ascii="Arial Narrow" w:hAnsi="Arial Narrow"/>
          <w:sz w:val="18"/>
          <w:szCs w:val="18"/>
        </w:rPr>
        <w:t>Source: Table 33, p83; Table 37, p88 of the submission</w:t>
      </w:r>
    </w:p>
    <w:p w:rsidR="008B7D1F" w:rsidRPr="006D54A5" w:rsidRDefault="006236B9" w:rsidP="008D0376">
      <w:pPr>
        <w:ind w:left="709"/>
        <w:rPr>
          <w:rFonts w:ascii="Arial Narrow" w:hAnsi="Arial Narrow"/>
          <w:i/>
          <w:sz w:val="18"/>
          <w:szCs w:val="18"/>
        </w:rPr>
      </w:pPr>
      <w:r w:rsidRPr="006D54A5">
        <w:rPr>
          <w:rFonts w:ascii="Arial Narrow" w:hAnsi="Arial Narrow"/>
          <w:i/>
          <w:sz w:val="18"/>
          <w:szCs w:val="18"/>
        </w:rPr>
        <w:t xml:space="preserve">Rows in italics </w:t>
      </w:r>
      <w:r w:rsidR="008B7D1F" w:rsidRPr="006D54A5">
        <w:rPr>
          <w:rFonts w:ascii="Arial Narrow" w:hAnsi="Arial Narrow"/>
          <w:i/>
          <w:sz w:val="18"/>
          <w:szCs w:val="18"/>
        </w:rPr>
        <w:t>added from Table 1 of the PSCR</w:t>
      </w:r>
    </w:p>
    <w:p w:rsidR="0008305D" w:rsidRPr="006D54A5" w:rsidRDefault="0008305D" w:rsidP="008D0376">
      <w:pPr>
        <w:ind w:left="709"/>
        <w:rPr>
          <w:rFonts w:ascii="Arial Narrow" w:hAnsi="Arial Narrow"/>
          <w:sz w:val="18"/>
          <w:szCs w:val="18"/>
        </w:rPr>
      </w:pPr>
    </w:p>
    <w:p w:rsidR="0008305D" w:rsidRPr="006D54A5" w:rsidRDefault="00662B12" w:rsidP="0008305D">
      <w:pPr>
        <w:pStyle w:val="ListParagraph"/>
        <w:widowControl/>
        <w:numPr>
          <w:ilvl w:val="1"/>
          <w:numId w:val="18"/>
        </w:numPr>
      </w:pPr>
      <w:r w:rsidRPr="006D54A5">
        <w:t>The Pre-Sub-Committee Response (PSCR,</w:t>
      </w:r>
      <w:r w:rsidR="00E72F3F" w:rsidRPr="006D54A5">
        <w:t xml:space="preserve"> </w:t>
      </w:r>
      <w:r w:rsidRPr="006D54A5">
        <w:t>p1) considered that it is more reasonable to compare the total adverse events than drug related adverse events between patient groups, acknowledging that the rate of these events is higher among patients taking pasireotide. The PSCR further noted that there was a risk of bias in attributing adverse events to the study drugs. The ESC considered that the d</w:t>
      </w:r>
      <w:r w:rsidR="00E72F3F" w:rsidRPr="006D54A5">
        <w:t>iscussion of bias</w:t>
      </w:r>
      <w:r w:rsidRPr="006D54A5">
        <w:t xml:space="preserve"> due to those on comparators being stabilised previously is not relevant since this is the setting in which it is proposed that pasireotide be used in practice.</w:t>
      </w:r>
    </w:p>
    <w:p w:rsidR="0008305D" w:rsidRPr="006D54A5" w:rsidRDefault="0008305D" w:rsidP="0008305D">
      <w:pPr>
        <w:pStyle w:val="ListParagraph"/>
        <w:widowControl/>
      </w:pPr>
    </w:p>
    <w:p w:rsidR="0008305D" w:rsidRPr="006D54A5" w:rsidRDefault="0008305D" w:rsidP="0008305D">
      <w:pPr>
        <w:pStyle w:val="ListParagraph"/>
        <w:widowControl/>
        <w:numPr>
          <w:ilvl w:val="1"/>
          <w:numId w:val="18"/>
        </w:numPr>
      </w:pPr>
      <w:r w:rsidRPr="006D54A5">
        <w:lastRenderedPageBreak/>
        <w:t>The ESC also considered that the exclusion criteria of the trial (particularly poorly controlled diabetes, cardiac disease and use of QT prolonging medicine</w:t>
      </w:r>
      <w:r w:rsidR="00662B12" w:rsidRPr="006D54A5">
        <w:t>s) may impact</w:t>
      </w:r>
      <w:r w:rsidRPr="006D54A5">
        <w:t xml:space="preserve"> the risk of adverse</w:t>
      </w:r>
      <w:r w:rsidR="00662B12" w:rsidRPr="006D54A5">
        <w:t xml:space="preserve"> drug</w:t>
      </w:r>
      <w:r w:rsidRPr="006D54A5">
        <w:t xml:space="preserve"> events in the PBS population.</w:t>
      </w:r>
      <w:r w:rsidR="007E54B9" w:rsidRPr="006D54A5">
        <w:t xml:space="preserve"> </w:t>
      </w:r>
    </w:p>
    <w:p w:rsidR="00111F56" w:rsidRPr="006D54A5" w:rsidRDefault="00111F56" w:rsidP="00111F56">
      <w:pPr>
        <w:widowControl/>
        <w:rPr>
          <w:szCs w:val="22"/>
        </w:rPr>
      </w:pPr>
    </w:p>
    <w:p w:rsidR="00481B3A" w:rsidRPr="006D54A5" w:rsidRDefault="00481B3A" w:rsidP="00481B3A">
      <w:pPr>
        <w:widowControl/>
        <w:ind w:left="709"/>
        <w:rPr>
          <w:i/>
          <w:szCs w:val="22"/>
        </w:rPr>
      </w:pPr>
      <w:r w:rsidRPr="006D54A5">
        <w:rPr>
          <w:i/>
          <w:szCs w:val="22"/>
        </w:rPr>
        <w:t xml:space="preserve">For more details on PBAC’s view, see </w:t>
      </w:r>
      <w:r w:rsidR="00F613BA">
        <w:rPr>
          <w:i/>
          <w:szCs w:val="22"/>
        </w:rPr>
        <w:t>section 7 “PBAC outcome”.</w:t>
      </w:r>
    </w:p>
    <w:p w:rsidR="00B5580D" w:rsidRDefault="00B5580D" w:rsidP="00B5580D">
      <w:pPr>
        <w:pStyle w:val="BodyText"/>
      </w:pPr>
      <w:bookmarkStart w:id="11" w:name="_Toc430013041"/>
    </w:p>
    <w:p w:rsidR="00C237DA" w:rsidRPr="00B5580D" w:rsidRDefault="00C237DA" w:rsidP="00C237DA">
      <w:pPr>
        <w:pStyle w:val="Heading2"/>
        <w:rPr>
          <w:szCs w:val="22"/>
        </w:rPr>
      </w:pPr>
      <w:r w:rsidRPr="00B5580D">
        <w:t>Benefits/harms</w:t>
      </w:r>
      <w:bookmarkEnd w:id="11"/>
    </w:p>
    <w:p w:rsidR="00C237DA" w:rsidRPr="006D54A5" w:rsidRDefault="00C237DA" w:rsidP="00C237DA">
      <w:pPr>
        <w:pStyle w:val="ListParagraph"/>
        <w:ind w:left="0"/>
        <w:rPr>
          <w:szCs w:val="22"/>
        </w:rPr>
      </w:pPr>
    </w:p>
    <w:p w:rsidR="005155F5" w:rsidRPr="006D54A5" w:rsidRDefault="00CA5FAA" w:rsidP="005155F5">
      <w:pPr>
        <w:pStyle w:val="ListParagraph"/>
        <w:widowControl/>
        <w:numPr>
          <w:ilvl w:val="1"/>
          <w:numId w:val="18"/>
        </w:numPr>
        <w:rPr>
          <w:szCs w:val="22"/>
        </w:rPr>
      </w:pPr>
      <w:r w:rsidRPr="006D54A5">
        <w:rPr>
          <w:szCs w:val="22"/>
        </w:rPr>
        <w:t>A</w:t>
      </w:r>
      <w:r w:rsidR="00C237DA" w:rsidRPr="006D54A5">
        <w:rPr>
          <w:szCs w:val="22"/>
        </w:rPr>
        <w:t xml:space="preserve"> summary of the comparative benefi</w:t>
      </w:r>
      <w:r w:rsidRPr="006D54A5">
        <w:rPr>
          <w:szCs w:val="22"/>
        </w:rPr>
        <w:t xml:space="preserve">ts and harms for pasireotide LAR 40mg and 60mg </w:t>
      </w:r>
      <w:r w:rsidR="00C237DA" w:rsidRPr="006D54A5">
        <w:rPr>
          <w:szCs w:val="22"/>
        </w:rPr>
        <w:t xml:space="preserve">versus </w:t>
      </w:r>
      <w:r w:rsidRPr="006D54A5">
        <w:rPr>
          <w:szCs w:val="22"/>
        </w:rPr>
        <w:t>the active comparator arm (</w:t>
      </w:r>
      <w:proofErr w:type="spellStart"/>
      <w:r w:rsidRPr="006D54A5">
        <w:rPr>
          <w:szCs w:val="22"/>
        </w:rPr>
        <w:t>octreotide</w:t>
      </w:r>
      <w:proofErr w:type="spellEnd"/>
      <w:r w:rsidRPr="006D54A5">
        <w:rPr>
          <w:szCs w:val="22"/>
        </w:rPr>
        <w:t xml:space="preserve"> LAR 30mg or lanreotide ATG 120mg)</w:t>
      </w:r>
      <w:r w:rsidR="00C237DA" w:rsidRPr="006D54A5">
        <w:rPr>
          <w:szCs w:val="22"/>
        </w:rPr>
        <w:t xml:space="preserve"> </w:t>
      </w:r>
      <w:r w:rsidR="001D0789" w:rsidRPr="006D54A5">
        <w:rPr>
          <w:szCs w:val="22"/>
        </w:rPr>
        <w:t xml:space="preserve">over the 24 weeks of Trial C2402 </w:t>
      </w:r>
      <w:r w:rsidR="00C237DA" w:rsidRPr="006D54A5">
        <w:rPr>
          <w:szCs w:val="22"/>
        </w:rPr>
        <w:t xml:space="preserve">is presented in the table below. </w:t>
      </w:r>
    </w:p>
    <w:p w:rsidR="00DB1604" w:rsidRPr="006D54A5" w:rsidRDefault="00DB1604" w:rsidP="00121554">
      <w:pPr>
        <w:ind w:left="709"/>
        <w:rPr>
          <w:rStyle w:val="CommentReference"/>
        </w:rPr>
      </w:pPr>
    </w:p>
    <w:p w:rsidR="00B5580D" w:rsidRPr="00B5580D" w:rsidRDefault="00B5580D" w:rsidP="00B5580D">
      <w:pPr>
        <w:pStyle w:val="Caption"/>
        <w:keepNext/>
        <w:ind w:left="720"/>
        <w:rPr>
          <w:rFonts w:ascii="Arial Narrow" w:hAnsi="Arial Narrow"/>
          <w:color w:val="auto"/>
          <w:sz w:val="20"/>
          <w:szCs w:val="20"/>
        </w:rPr>
      </w:pPr>
      <w:r w:rsidRPr="00B5580D">
        <w:rPr>
          <w:rFonts w:ascii="Arial Narrow" w:hAnsi="Arial Narrow"/>
          <w:color w:val="auto"/>
          <w:sz w:val="20"/>
          <w:szCs w:val="20"/>
        </w:rPr>
        <w:t xml:space="preserve">Table </w:t>
      </w:r>
      <w:r w:rsidRPr="00B5580D">
        <w:rPr>
          <w:rFonts w:ascii="Arial Narrow" w:hAnsi="Arial Narrow"/>
          <w:color w:val="auto"/>
          <w:sz w:val="20"/>
          <w:szCs w:val="20"/>
        </w:rPr>
        <w:fldChar w:fldCharType="begin"/>
      </w:r>
      <w:r w:rsidRPr="00B5580D">
        <w:rPr>
          <w:rFonts w:ascii="Arial Narrow" w:hAnsi="Arial Narrow"/>
          <w:color w:val="auto"/>
          <w:sz w:val="20"/>
          <w:szCs w:val="20"/>
        </w:rPr>
        <w:instrText xml:space="preserve"> SEQ Table \* ARABIC </w:instrText>
      </w:r>
      <w:r w:rsidRPr="00B5580D">
        <w:rPr>
          <w:rFonts w:ascii="Arial Narrow" w:hAnsi="Arial Narrow"/>
          <w:color w:val="auto"/>
          <w:sz w:val="20"/>
          <w:szCs w:val="20"/>
        </w:rPr>
        <w:fldChar w:fldCharType="separate"/>
      </w:r>
      <w:r w:rsidR="0018573A">
        <w:rPr>
          <w:rFonts w:ascii="Arial Narrow" w:hAnsi="Arial Narrow"/>
          <w:noProof/>
          <w:color w:val="auto"/>
          <w:sz w:val="20"/>
          <w:szCs w:val="20"/>
        </w:rPr>
        <w:t>5</w:t>
      </w:r>
      <w:r w:rsidRPr="00B5580D">
        <w:rPr>
          <w:rFonts w:ascii="Arial Narrow" w:hAnsi="Arial Narrow"/>
          <w:color w:val="auto"/>
          <w:sz w:val="20"/>
          <w:szCs w:val="20"/>
        </w:rPr>
        <w:fldChar w:fldCharType="end"/>
      </w:r>
      <w:r w:rsidRPr="00B5580D">
        <w:rPr>
          <w:rFonts w:ascii="Arial Narrow" w:hAnsi="Arial Narrow"/>
          <w:color w:val="auto"/>
          <w:sz w:val="20"/>
          <w:szCs w:val="20"/>
        </w:rPr>
        <w:t xml:space="preserve">: Summary of comparative benefits and harms for </w:t>
      </w:r>
      <w:proofErr w:type="spellStart"/>
      <w:r w:rsidRPr="00B5580D">
        <w:rPr>
          <w:rFonts w:ascii="Arial Narrow" w:hAnsi="Arial Narrow"/>
          <w:color w:val="auto"/>
          <w:sz w:val="20"/>
          <w:szCs w:val="20"/>
        </w:rPr>
        <w:t>pasireotide</w:t>
      </w:r>
      <w:proofErr w:type="spellEnd"/>
      <w:r w:rsidRPr="00B5580D">
        <w:rPr>
          <w:rFonts w:ascii="Arial Narrow" w:hAnsi="Arial Narrow"/>
          <w:color w:val="auto"/>
          <w:sz w:val="20"/>
          <w:szCs w:val="20"/>
        </w:rPr>
        <w:t xml:space="preserve"> LAR and </w:t>
      </w:r>
      <w:proofErr w:type="spellStart"/>
      <w:r w:rsidRPr="00B5580D">
        <w:rPr>
          <w:rFonts w:ascii="Arial Narrow" w:hAnsi="Arial Narrow"/>
          <w:color w:val="auto"/>
          <w:sz w:val="20"/>
          <w:szCs w:val="20"/>
        </w:rPr>
        <w:t>octreotide</w:t>
      </w:r>
      <w:proofErr w:type="spellEnd"/>
      <w:r w:rsidRPr="00B5580D">
        <w:rPr>
          <w:rFonts w:ascii="Arial Narrow" w:hAnsi="Arial Narrow"/>
          <w:color w:val="auto"/>
          <w:sz w:val="20"/>
          <w:szCs w:val="20"/>
        </w:rPr>
        <w:t xml:space="preserve"> LAR/</w:t>
      </w:r>
      <w:proofErr w:type="spellStart"/>
      <w:r w:rsidRPr="00B5580D">
        <w:rPr>
          <w:rFonts w:ascii="Arial Narrow" w:hAnsi="Arial Narrow"/>
          <w:color w:val="auto"/>
          <w:sz w:val="20"/>
          <w:szCs w:val="20"/>
        </w:rPr>
        <w:t>lanreotide</w:t>
      </w:r>
      <w:proofErr w:type="spellEnd"/>
      <w:r w:rsidRPr="00B5580D">
        <w:rPr>
          <w:rFonts w:ascii="Arial Narrow" w:hAnsi="Arial Narrow"/>
          <w:color w:val="auto"/>
          <w:sz w:val="20"/>
          <w:szCs w:val="20"/>
        </w:rPr>
        <w:t xml:space="preserve"> ATG</w:t>
      </w:r>
    </w:p>
    <w:tbl>
      <w:tblPr>
        <w:tblStyle w:val="TableGrid"/>
        <w:tblW w:w="8466" w:type="dxa"/>
        <w:tblInd w:w="737" w:type="dxa"/>
        <w:tblLayout w:type="fixed"/>
        <w:tblCellMar>
          <w:left w:w="28" w:type="dxa"/>
          <w:right w:w="28" w:type="dxa"/>
        </w:tblCellMar>
        <w:tblLook w:val="04A0" w:firstRow="1" w:lastRow="0" w:firstColumn="1" w:lastColumn="0" w:noHBand="0" w:noVBand="1"/>
        <w:tblCaption w:val="Summary of comparative benefits and harms"/>
      </w:tblPr>
      <w:tblGrid>
        <w:gridCol w:w="1137"/>
        <w:gridCol w:w="1278"/>
        <w:gridCol w:w="1155"/>
        <w:gridCol w:w="1250"/>
        <w:gridCol w:w="1443"/>
        <w:gridCol w:w="1199"/>
        <w:gridCol w:w="54"/>
        <w:gridCol w:w="950"/>
      </w:tblGrid>
      <w:tr w:rsidR="00DB1604" w:rsidRPr="006D54A5" w:rsidTr="00B5580D">
        <w:trPr>
          <w:tblHeader/>
        </w:trPr>
        <w:tc>
          <w:tcPr>
            <w:tcW w:w="672" w:type="pct"/>
            <w:vMerge w:val="restart"/>
            <w:shd w:val="clear" w:color="auto" w:fill="auto"/>
            <w:vAlign w:val="center"/>
          </w:tcPr>
          <w:p w:rsidR="00DB1604" w:rsidRPr="006D54A5" w:rsidRDefault="00DB1604" w:rsidP="00C237DA">
            <w:pPr>
              <w:rPr>
                <w:rFonts w:ascii="Arial Narrow" w:hAnsi="Arial Narrow"/>
                <w:b/>
                <w:color w:val="000000"/>
                <w:sz w:val="20"/>
                <w:szCs w:val="18"/>
              </w:rPr>
            </w:pPr>
            <w:r w:rsidRPr="006D54A5">
              <w:rPr>
                <w:rFonts w:ascii="Arial Narrow" w:hAnsi="Arial Narrow"/>
                <w:b/>
                <w:color w:val="000000"/>
                <w:sz w:val="20"/>
                <w:szCs w:val="18"/>
              </w:rPr>
              <w:t>Trial</w:t>
            </w:r>
          </w:p>
        </w:tc>
        <w:tc>
          <w:tcPr>
            <w:tcW w:w="755" w:type="pct"/>
            <w:vMerge w:val="restart"/>
            <w:vAlign w:val="center"/>
          </w:tcPr>
          <w:p w:rsidR="00DB1604" w:rsidRPr="006D54A5" w:rsidRDefault="00DB1604" w:rsidP="00DB1604">
            <w:pPr>
              <w:jc w:val="center"/>
              <w:rPr>
                <w:rFonts w:ascii="Arial Narrow" w:hAnsi="Arial Narrow"/>
                <w:b/>
                <w:color w:val="000000"/>
                <w:sz w:val="20"/>
                <w:szCs w:val="18"/>
              </w:rPr>
            </w:pPr>
            <w:r w:rsidRPr="006D54A5">
              <w:rPr>
                <w:rFonts w:ascii="Arial Narrow" w:hAnsi="Arial Narrow"/>
                <w:b/>
                <w:color w:val="000000"/>
                <w:sz w:val="20"/>
                <w:szCs w:val="18"/>
              </w:rPr>
              <w:t xml:space="preserve">Pasireotide LAR </w:t>
            </w:r>
          </w:p>
        </w:tc>
        <w:tc>
          <w:tcPr>
            <w:tcW w:w="682" w:type="pct"/>
            <w:vMerge w:val="restart"/>
            <w:vAlign w:val="center"/>
          </w:tcPr>
          <w:p w:rsidR="00DB1604" w:rsidRPr="006D54A5" w:rsidRDefault="00DB1604" w:rsidP="00C237DA">
            <w:pPr>
              <w:jc w:val="center"/>
              <w:rPr>
                <w:rFonts w:ascii="Arial Narrow" w:hAnsi="Arial Narrow"/>
                <w:b/>
                <w:color w:val="000000"/>
                <w:sz w:val="20"/>
                <w:szCs w:val="18"/>
              </w:rPr>
            </w:pPr>
            <w:r w:rsidRPr="006D54A5">
              <w:rPr>
                <w:rFonts w:ascii="Arial Narrow" w:hAnsi="Arial Narrow"/>
                <w:b/>
                <w:color w:val="000000"/>
                <w:sz w:val="20"/>
                <w:szCs w:val="18"/>
              </w:rPr>
              <w:t>Active control</w:t>
            </w:r>
          </w:p>
        </w:tc>
        <w:tc>
          <w:tcPr>
            <w:tcW w:w="738" w:type="pct"/>
            <w:vMerge w:val="restart"/>
            <w:vAlign w:val="center"/>
          </w:tcPr>
          <w:p w:rsidR="00DB1604" w:rsidRPr="006D54A5" w:rsidRDefault="00DB1604" w:rsidP="00C237DA">
            <w:pPr>
              <w:jc w:val="center"/>
              <w:rPr>
                <w:rFonts w:ascii="Arial Narrow" w:hAnsi="Arial Narrow"/>
                <w:b/>
                <w:color w:val="000000"/>
                <w:sz w:val="20"/>
                <w:szCs w:val="18"/>
              </w:rPr>
            </w:pPr>
            <w:r w:rsidRPr="006D54A5">
              <w:rPr>
                <w:rFonts w:ascii="Arial Narrow" w:hAnsi="Arial Narrow"/>
                <w:b/>
                <w:color w:val="000000"/>
                <w:sz w:val="20"/>
                <w:szCs w:val="18"/>
              </w:rPr>
              <w:t>OR</w:t>
            </w:r>
          </w:p>
          <w:p w:rsidR="00DB1604" w:rsidRPr="006D54A5" w:rsidRDefault="00DB1604" w:rsidP="00C237DA">
            <w:pPr>
              <w:jc w:val="center"/>
              <w:rPr>
                <w:rFonts w:ascii="Arial Narrow" w:hAnsi="Arial Narrow"/>
                <w:b/>
                <w:color w:val="000000"/>
                <w:sz w:val="20"/>
                <w:szCs w:val="18"/>
              </w:rPr>
            </w:pPr>
            <w:r w:rsidRPr="006D54A5">
              <w:rPr>
                <w:rFonts w:ascii="Arial Narrow" w:hAnsi="Arial Narrow"/>
                <w:b/>
                <w:color w:val="000000"/>
                <w:sz w:val="20"/>
                <w:szCs w:val="18"/>
              </w:rPr>
              <w:t>(95% CI)</w:t>
            </w:r>
          </w:p>
        </w:tc>
        <w:tc>
          <w:tcPr>
            <w:tcW w:w="1560" w:type="pct"/>
            <w:gridSpan w:val="2"/>
            <w:vAlign w:val="center"/>
          </w:tcPr>
          <w:p w:rsidR="00DB1604" w:rsidRPr="006D54A5" w:rsidRDefault="00DB1604" w:rsidP="001D0789">
            <w:pPr>
              <w:jc w:val="center"/>
              <w:rPr>
                <w:rFonts w:ascii="Arial Narrow" w:hAnsi="Arial Narrow"/>
                <w:b/>
                <w:color w:val="000000"/>
                <w:sz w:val="20"/>
                <w:szCs w:val="18"/>
              </w:rPr>
            </w:pPr>
            <w:r w:rsidRPr="006D54A5">
              <w:rPr>
                <w:rFonts w:ascii="Arial Narrow" w:hAnsi="Arial Narrow"/>
                <w:b/>
                <w:color w:val="000000"/>
                <w:sz w:val="20"/>
                <w:szCs w:val="18"/>
              </w:rPr>
              <w:t>Event rate/100 patients</w:t>
            </w:r>
            <w:r w:rsidR="001D0789" w:rsidRPr="006D54A5">
              <w:rPr>
                <w:rFonts w:ascii="Arial Narrow" w:hAnsi="Arial Narrow"/>
                <w:b/>
                <w:color w:val="000000"/>
                <w:sz w:val="20"/>
                <w:szCs w:val="18"/>
              </w:rPr>
              <w:t>/</w:t>
            </w:r>
            <w:r w:rsidRPr="006D54A5">
              <w:rPr>
                <w:rFonts w:ascii="Arial Narrow" w:hAnsi="Arial Narrow"/>
                <w:b/>
                <w:color w:val="000000"/>
                <w:sz w:val="20"/>
                <w:szCs w:val="18"/>
              </w:rPr>
              <w:t xml:space="preserve">24wks </w:t>
            </w:r>
          </w:p>
        </w:tc>
        <w:tc>
          <w:tcPr>
            <w:tcW w:w="593" w:type="pct"/>
            <w:gridSpan w:val="2"/>
            <w:vMerge w:val="restart"/>
            <w:vAlign w:val="center"/>
          </w:tcPr>
          <w:p w:rsidR="00DB1604" w:rsidRPr="006D54A5" w:rsidRDefault="00DB1604" w:rsidP="00C237DA">
            <w:pPr>
              <w:jc w:val="center"/>
              <w:rPr>
                <w:rFonts w:ascii="Arial Narrow" w:hAnsi="Arial Narrow"/>
                <w:b/>
                <w:color w:val="000000"/>
                <w:sz w:val="20"/>
                <w:szCs w:val="18"/>
              </w:rPr>
            </w:pPr>
            <w:r w:rsidRPr="006D54A5">
              <w:rPr>
                <w:rFonts w:ascii="Arial Narrow" w:hAnsi="Arial Narrow"/>
                <w:b/>
                <w:color w:val="000000"/>
                <w:sz w:val="20"/>
                <w:szCs w:val="18"/>
              </w:rPr>
              <w:t>RD</w:t>
            </w:r>
          </w:p>
          <w:p w:rsidR="00DB1604" w:rsidRPr="006D54A5" w:rsidRDefault="00DB1604" w:rsidP="00C237DA">
            <w:pPr>
              <w:jc w:val="center"/>
              <w:rPr>
                <w:rFonts w:ascii="Arial Narrow" w:hAnsi="Arial Narrow"/>
                <w:b/>
                <w:color w:val="000000"/>
                <w:sz w:val="20"/>
                <w:szCs w:val="18"/>
              </w:rPr>
            </w:pPr>
            <w:r w:rsidRPr="006D54A5">
              <w:rPr>
                <w:rFonts w:ascii="Arial Narrow" w:hAnsi="Arial Narrow"/>
                <w:b/>
                <w:color w:val="000000"/>
                <w:sz w:val="20"/>
                <w:szCs w:val="18"/>
              </w:rPr>
              <w:t>(95% CI)</w:t>
            </w:r>
          </w:p>
        </w:tc>
      </w:tr>
      <w:tr w:rsidR="00DB1604" w:rsidRPr="006D54A5" w:rsidTr="00B5580D">
        <w:trPr>
          <w:tblHeader/>
        </w:trPr>
        <w:tc>
          <w:tcPr>
            <w:tcW w:w="672" w:type="pct"/>
            <w:vMerge/>
            <w:shd w:val="clear" w:color="auto" w:fill="auto"/>
            <w:vAlign w:val="center"/>
          </w:tcPr>
          <w:p w:rsidR="00DB1604" w:rsidRPr="006D54A5" w:rsidRDefault="00DB1604" w:rsidP="00C237DA">
            <w:pPr>
              <w:rPr>
                <w:rFonts w:ascii="Arial Narrow" w:hAnsi="Arial Narrow"/>
                <w:b/>
                <w:color w:val="000000"/>
                <w:sz w:val="20"/>
                <w:szCs w:val="18"/>
              </w:rPr>
            </w:pPr>
          </w:p>
        </w:tc>
        <w:tc>
          <w:tcPr>
            <w:tcW w:w="755" w:type="pct"/>
            <w:vMerge/>
            <w:vAlign w:val="center"/>
          </w:tcPr>
          <w:p w:rsidR="00DB1604" w:rsidRPr="006D54A5" w:rsidRDefault="00DB1604" w:rsidP="00E2249A">
            <w:pPr>
              <w:jc w:val="center"/>
              <w:rPr>
                <w:rFonts w:ascii="Arial Narrow" w:hAnsi="Arial Narrow"/>
                <w:b/>
                <w:color w:val="000000"/>
                <w:sz w:val="20"/>
                <w:szCs w:val="18"/>
              </w:rPr>
            </w:pPr>
          </w:p>
        </w:tc>
        <w:tc>
          <w:tcPr>
            <w:tcW w:w="682" w:type="pct"/>
            <w:vMerge/>
            <w:vAlign w:val="center"/>
          </w:tcPr>
          <w:p w:rsidR="00DB1604" w:rsidRPr="006D54A5" w:rsidRDefault="00DB1604" w:rsidP="00C237DA">
            <w:pPr>
              <w:jc w:val="center"/>
              <w:rPr>
                <w:rFonts w:ascii="Arial Narrow" w:hAnsi="Arial Narrow"/>
                <w:b/>
                <w:color w:val="000000"/>
                <w:sz w:val="20"/>
                <w:szCs w:val="18"/>
              </w:rPr>
            </w:pPr>
          </w:p>
        </w:tc>
        <w:tc>
          <w:tcPr>
            <w:tcW w:w="738" w:type="pct"/>
            <w:vMerge/>
            <w:vAlign w:val="center"/>
          </w:tcPr>
          <w:p w:rsidR="00DB1604" w:rsidRPr="006D54A5" w:rsidRDefault="00DB1604" w:rsidP="00C237DA">
            <w:pPr>
              <w:jc w:val="center"/>
              <w:rPr>
                <w:rFonts w:ascii="Arial Narrow" w:hAnsi="Arial Narrow"/>
                <w:b/>
                <w:color w:val="000000"/>
                <w:sz w:val="20"/>
                <w:szCs w:val="18"/>
              </w:rPr>
            </w:pPr>
          </w:p>
        </w:tc>
        <w:tc>
          <w:tcPr>
            <w:tcW w:w="852" w:type="pct"/>
            <w:vAlign w:val="center"/>
          </w:tcPr>
          <w:p w:rsidR="00DB1604" w:rsidRPr="006D54A5" w:rsidRDefault="00DB1604" w:rsidP="00DB1604">
            <w:pPr>
              <w:jc w:val="center"/>
              <w:rPr>
                <w:rFonts w:ascii="Arial Narrow" w:hAnsi="Arial Narrow"/>
                <w:b/>
                <w:color w:val="000000"/>
                <w:sz w:val="20"/>
                <w:szCs w:val="18"/>
              </w:rPr>
            </w:pPr>
            <w:r w:rsidRPr="006D54A5">
              <w:rPr>
                <w:rFonts w:ascii="Arial Narrow" w:hAnsi="Arial Narrow"/>
                <w:b/>
                <w:color w:val="000000"/>
                <w:sz w:val="20"/>
                <w:szCs w:val="18"/>
              </w:rPr>
              <w:t>Pasireotide</w:t>
            </w:r>
          </w:p>
        </w:tc>
        <w:tc>
          <w:tcPr>
            <w:tcW w:w="708" w:type="pct"/>
            <w:vAlign w:val="center"/>
          </w:tcPr>
          <w:p w:rsidR="00DB1604" w:rsidRPr="006D54A5" w:rsidRDefault="00DB1604" w:rsidP="00C237DA">
            <w:pPr>
              <w:jc w:val="center"/>
              <w:rPr>
                <w:rFonts w:ascii="Arial Narrow" w:hAnsi="Arial Narrow"/>
                <w:b/>
                <w:color w:val="000000"/>
                <w:sz w:val="20"/>
                <w:szCs w:val="18"/>
              </w:rPr>
            </w:pPr>
            <w:r w:rsidRPr="006D54A5">
              <w:rPr>
                <w:rFonts w:ascii="Arial Narrow" w:hAnsi="Arial Narrow"/>
                <w:b/>
                <w:color w:val="000000"/>
                <w:sz w:val="20"/>
                <w:szCs w:val="18"/>
              </w:rPr>
              <w:t>Active control</w:t>
            </w:r>
          </w:p>
        </w:tc>
        <w:tc>
          <w:tcPr>
            <w:tcW w:w="593" w:type="pct"/>
            <w:gridSpan w:val="2"/>
            <w:vMerge/>
            <w:vAlign w:val="center"/>
          </w:tcPr>
          <w:p w:rsidR="00DB1604" w:rsidRPr="006D54A5" w:rsidRDefault="00DB1604" w:rsidP="00C237DA">
            <w:pPr>
              <w:jc w:val="center"/>
              <w:rPr>
                <w:rFonts w:ascii="Arial Narrow" w:hAnsi="Arial Narrow"/>
                <w:b/>
                <w:color w:val="000000"/>
                <w:sz w:val="20"/>
                <w:szCs w:val="18"/>
              </w:rPr>
            </w:pPr>
          </w:p>
        </w:tc>
      </w:tr>
      <w:tr w:rsidR="00CA5FAA" w:rsidRPr="006D54A5" w:rsidTr="00E46FAB">
        <w:tc>
          <w:tcPr>
            <w:tcW w:w="5000" w:type="pct"/>
            <w:gridSpan w:val="8"/>
          </w:tcPr>
          <w:p w:rsidR="00CA5FAA" w:rsidRPr="006D54A5" w:rsidRDefault="00CA5FAA" w:rsidP="00C237DA">
            <w:pPr>
              <w:rPr>
                <w:rFonts w:ascii="Arial Narrow" w:hAnsi="Arial Narrow"/>
                <w:b/>
                <w:color w:val="000000"/>
                <w:sz w:val="20"/>
                <w:szCs w:val="18"/>
              </w:rPr>
            </w:pPr>
            <w:r w:rsidRPr="006D54A5">
              <w:rPr>
                <w:rFonts w:ascii="Arial Narrow" w:hAnsi="Arial Narrow"/>
                <w:b/>
                <w:color w:val="000000"/>
                <w:sz w:val="20"/>
                <w:szCs w:val="18"/>
              </w:rPr>
              <w:t>Benefits</w:t>
            </w:r>
          </w:p>
        </w:tc>
      </w:tr>
      <w:tr w:rsidR="00CA5FAA" w:rsidRPr="006D54A5" w:rsidTr="00E46FAB">
        <w:tc>
          <w:tcPr>
            <w:tcW w:w="5000" w:type="pct"/>
            <w:gridSpan w:val="8"/>
          </w:tcPr>
          <w:p w:rsidR="00CA5FAA" w:rsidRPr="006D54A5" w:rsidRDefault="00CA5FAA" w:rsidP="001D0789">
            <w:pPr>
              <w:rPr>
                <w:rFonts w:ascii="Arial Narrow" w:hAnsi="Arial Narrow"/>
                <w:b/>
                <w:color w:val="000000"/>
                <w:sz w:val="20"/>
                <w:szCs w:val="18"/>
              </w:rPr>
            </w:pPr>
            <w:r w:rsidRPr="006D54A5">
              <w:rPr>
                <w:rFonts w:ascii="Arial Narrow" w:hAnsi="Arial Narrow"/>
                <w:b/>
                <w:color w:val="000000"/>
                <w:sz w:val="20"/>
                <w:szCs w:val="18"/>
              </w:rPr>
              <w:t>Complete biochemical control (</w:t>
            </w:r>
            <w:r w:rsidR="001D0789" w:rsidRPr="006D54A5">
              <w:rPr>
                <w:rFonts w:ascii="Arial Narrow" w:hAnsi="Arial Narrow"/>
                <w:b/>
                <w:color w:val="000000"/>
                <w:sz w:val="20"/>
                <w:szCs w:val="18"/>
              </w:rPr>
              <w:t>GH</w:t>
            </w:r>
            <w:r w:rsidRPr="006D54A5">
              <w:rPr>
                <w:rFonts w:ascii="Arial Narrow" w:hAnsi="Arial Narrow"/>
                <w:b/>
                <w:color w:val="000000"/>
                <w:sz w:val="20"/>
                <w:szCs w:val="18"/>
              </w:rPr>
              <w:t xml:space="preserve"> &lt;2.5mcg/L and normalisation of sex- and age-adjusted IGF-1 at 24 weeks</w:t>
            </w:r>
          </w:p>
        </w:tc>
      </w:tr>
      <w:tr w:rsidR="00DB1604" w:rsidRPr="006D54A5" w:rsidTr="00B5580D">
        <w:tc>
          <w:tcPr>
            <w:tcW w:w="672" w:type="pct"/>
            <w:shd w:val="clear" w:color="auto" w:fill="auto"/>
            <w:vAlign w:val="center"/>
          </w:tcPr>
          <w:p w:rsidR="00DB1604" w:rsidRPr="006D54A5" w:rsidRDefault="00DB1604" w:rsidP="00DB1604">
            <w:pPr>
              <w:rPr>
                <w:rFonts w:ascii="Arial Narrow" w:hAnsi="Arial Narrow"/>
                <w:color w:val="000000"/>
                <w:sz w:val="20"/>
                <w:szCs w:val="18"/>
              </w:rPr>
            </w:pPr>
            <w:r w:rsidRPr="006D54A5">
              <w:rPr>
                <w:rFonts w:ascii="Arial Narrow" w:hAnsi="Arial Narrow"/>
                <w:color w:val="000000"/>
                <w:sz w:val="20"/>
                <w:szCs w:val="18"/>
              </w:rPr>
              <w:t>C2402 40mg</w:t>
            </w:r>
          </w:p>
        </w:tc>
        <w:tc>
          <w:tcPr>
            <w:tcW w:w="755" w:type="pct"/>
            <w:vAlign w:val="center"/>
          </w:tcPr>
          <w:p w:rsidR="00DB1604" w:rsidRPr="006D54A5" w:rsidRDefault="00DB1604" w:rsidP="00D5791C">
            <w:pPr>
              <w:jc w:val="center"/>
              <w:rPr>
                <w:rFonts w:ascii="Arial Narrow" w:hAnsi="Arial Narrow"/>
                <w:color w:val="000000"/>
                <w:sz w:val="20"/>
                <w:szCs w:val="18"/>
              </w:rPr>
            </w:pPr>
            <w:r w:rsidRPr="006D54A5">
              <w:rPr>
                <w:rFonts w:ascii="Arial Narrow" w:hAnsi="Arial Narrow"/>
                <w:color w:val="000000"/>
                <w:sz w:val="20"/>
                <w:szCs w:val="18"/>
              </w:rPr>
              <w:t>10/65</w:t>
            </w:r>
          </w:p>
        </w:tc>
        <w:tc>
          <w:tcPr>
            <w:tcW w:w="682" w:type="pct"/>
            <w:vAlign w:val="center"/>
          </w:tcPr>
          <w:p w:rsidR="00DB1604" w:rsidRPr="006D54A5" w:rsidRDefault="00DB1604" w:rsidP="00C237DA">
            <w:pPr>
              <w:jc w:val="center"/>
              <w:rPr>
                <w:rFonts w:ascii="Arial Narrow" w:hAnsi="Arial Narrow"/>
                <w:color w:val="000000"/>
                <w:sz w:val="20"/>
                <w:szCs w:val="18"/>
              </w:rPr>
            </w:pPr>
            <w:r w:rsidRPr="006D54A5">
              <w:rPr>
                <w:rFonts w:ascii="Arial Narrow" w:hAnsi="Arial Narrow"/>
                <w:color w:val="000000"/>
                <w:sz w:val="20"/>
                <w:szCs w:val="18"/>
              </w:rPr>
              <w:t>0/68</w:t>
            </w:r>
          </w:p>
        </w:tc>
        <w:tc>
          <w:tcPr>
            <w:tcW w:w="738" w:type="pct"/>
            <w:vAlign w:val="center"/>
          </w:tcPr>
          <w:p w:rsidR="00DB1604" w:rsidRPr="006D54A5" w:rsidRDefault="00DB1604" w:rsidP="00C237DA">
            <w:pPr>
              <w:jc w:val="center"/>
              <w:rPr>
                <w:rFonts w:ascii="Arial Narrow" w:hAnsi="Arial Narrow"/>
                <w:color w:val="000000"/>
                <w:sz w:val="20"/>
                <w:szCs w:val="18"/>
              </w:rPr>
            </w:pPr>
            <w:r w:rsidRPr="006D54A5">
              <w:rPr>
                <w:rFonts w:ascii="Arial Narrow" w:hAnsi="Arial Narrow"/>
                <w:color w:val="000000"/>
                <w:sz w:val="20"/>
                <w:szCs w:val="18"/>
              </w:rPr>
              <w:t>16.63</w:t>
            </w:r>
          </w:p>
          <w:p w:rsidR="00DB1604" w:rsidRPr="006D54A5" w:rsidRDefault="00DB1604" w:rsidP="00121554">
            <w:pPr>
              <w:jc w:val="center"/>
              <w:rPr>
                <w:rFonts w:ascii="Arial Narrow" w:hAnsi="Arial Narrow"/>
                <w:color w:val="000000"/>
                <w:sz w:val="20"/>
                <w:szCs w:val="18"/>
              </w:rPr>
            </w:pPr>
            <w:r w:rsidRPr="006D54A5">
              <w:rPr>
                <w:rFonts w:ascii="Arial Narrow" w:hAnsi="Arial Narrow"/>
                <w:color w:val="000000"/>
                <w:sz w:val="20"/>
                <w:szCs w:val="18"/>
              </w:rPr>
              <w:t>(</w:t>
            </w:r>
            <w:r w:rsidRPr="006D54A5">
              <w:rPr>
                <w:rFonts w:ascii="Arial Narrow" w:hAnsi="Arial Narrow"/>
                <w:sz w:val="20"/>
              </w:rPr>
              <w:t>3.32, ∞]</w:t>
            </w:r>
            <w:r w:rsidRPr="006D54A5">
              <w:rPr>
                <w:rFonts w:ascii="Arial Narrow" w:hAnsi="Arial Narrow"/>
                <w:color w:val="000000"/>
                <w:sz w:val="20"/>
                <w:szCs w:val="18"/>
              </w:rPr>
              <w:t>)</w:t>
            </w:r>
          </w:p>
        </w:tc>
        <w:tc>
          <w:tcPr>
            <w:tcW w:w="852" w:type="pct"/>
            <w:vAlign w:val="center"/>
          </w:tcPr>
          <w:p w:rsidR="00DB1604" w:rsidRPr="006D54A5" w:rsidRDefault="00DB1604" w:rsidP="00C237DA">
            <w:pPr>
              <w:jc w:val="center"/>
              <w:rPr>
                <w:rFonts w:ascii="Arial Narrow" w:hAnsi="Arial Narrow"/>
                <w:color w:val="000000"/>
                <w:sz w:val="20"/>
                <w:szCs w:val="18"/>
              </w:rPr>
            </w:pPr>
            <w:r w:rsidRPr="006D54A5">
              <w:rPr>
                <w:rFonts w:ascii="Arial Narrow" w:hAnsi="Arial Narrow"/>
                <w:color w:val="000000"/>
                <w:sz w:val="20"/>
                <w:szCs w:val="18"/>
              </w:rPr>
              <w:t>15.4</w:t>
            </w:r>
          </w:p>
        </w:tc>
        <w:tc>
          <w:tcPr>
            <w:tcW w:w="708" w:type="pct"/>
            <w:vAlign w:val="center"/>
          </w:tcPr>
          <w:p w:rsidR="00DB1604" w:rsidRPr="006D54A5" w:rsidRDefault="00DB1604" w:rsidP="00C237DA">
            <w:pPr>
              <w:jc w:val="center"/>
              <w:rPr>
                <w:rFonts w:ascii="Arial Narrow" w:hAnsi="Arial Narrow"/>
                <w:color w:val="000000"/>
                <w:sz w:val="20"/>
                <w:szCs w:val="18"/>
              </w:rPr>
            </w:pPr>
            <w:r w:rsidRPr="006D54A5">
              <w:rPr>
                <w:rFonts w:ascii="Arial Narrow" w:hAnsi="Arial Narrow"/>
                <w:color w:val="000000"/>
                <w:sz w:val="20"/>
                <w:szCs w:val="18"/>
              </w:rPr>
              <w:t>0</w:t>
            </w:r>
          </w:p>
        </w:tc>
        <w:tc>
          <w:tcPr>
            <w:tcW w:w="593" w:type="pct"/>
            <w:gridSpan w:val="2"/>
            <w:vAlign w:val="center"/>
          </w:tcPr>
          <w:p w:rsidR="00DB1604" w:rsidRPr="006D54A5" w:rsidRDefault="00DB1604" w:rsidP="00121554">
            <w:pPr>
              <w:jc w:val="center"/>
              <w:rPr>
                <w:rFonts w:ascii="Arial Narrow" w:hAnsi="Arial Narrow"/>
                <w:color w:val="000000"/>
                <w:sz w:val="20"/>
                <w:szCs w:val="18"/>
              </w:rPr>
            </w:pPr>
            <w:r w:rsidRPr="006D54A5">
              <w:rPr>
                <w:rFonts w:ascii="Arial Narrow" w:hAnsi="Arial Narrow"/>
                <w:color w:val="000000"/>
                <w:sz w:val="20"/>
                <w:szCs w:val="18"/>
              </w:rPr>
              <w:t>NR</w:t>
            </w:r>
          </w:p>
        </w:tc>
      </w:tr>
      <w:tr w:rsidR="00DB1604" w:rsidRPr="006D54A5" w:rsidTr="00B5580D">
        <w:tc>
          <w:tcPr>
            <w:tcW w:w="672" w:type="pct"/>
            <w:shd w:val="clear" w:color="auto" w:fill="auto"/>
            <w:vAlign w:val="center"/>
          </w:tcPr>
          <w:p w:rsidR="00DB1604" w:rsidRPr="006D54A5" w:rsidRDefault="00DB1604" w:rsidP="00DB1604">
            <w:pPr>
              <w:rPr>
                <w:rFonts w:ascii="Arial Narrow" w:hAnsi="Arial Narrow"/>
                <w:color w:val="000000"/>
                <w:sz w:val="20"/>
                <w:szCs w:val="18"/>
              </w:rPr>
            </w:pPr>
            <w:r w:rsidRPr="006D54A5">
              <w:rPr>
                <w:rFonts w:ascii="Arial Narrow" w:hAnsi="Arial Narrow"/>
                <w:color w:val="000000"/>
                <w:sz w:val="20"/>
                <w:szCs w:val="18"/>
              </w:rPr>
              <w:t>C2402 60mg</w:t>
            </w:r>
          </w:p>
        </w:tc>
        <w:tc>
          <w:tcPr>
            <w:tcW w:w="755" w:type="pct"/>
            <w:vAlign w:val="center"/>
          </w:tcPr>
          <w:p w:rsidR="00DB1604" w:rsidRPr="006D54A5" w:rsidRDefault="00DB1604" w:rsidP="00D5791C">
            <w:pPr>
              <w:jc w:val="center"/>
              <w:rPr>
                <w:rFonts w:ascii="Arial Narrow" w:hAnsi="Arial Narrow"/>
                <w:color w:val="000000"/>
                <w:sz w:val="20"/>
                <w:szCs w:val="18"/>
              </w:rPr>
            </w:pPr>
            <w:r w:rsidRPr="006D54A5">
              <w:rPr>
                <w:rFonts w:ascii="Arial Narrow" w:hAnsi="Arial Narrow"/>
                <w:color w:val="000000"/>
                <w:sz w:val="20"/>
                <w:szCs w:val="18"/>
              </w:rPr>
              <w:t>13/65</w:t>
            </w:r>
          </w:p>
        </w:tc>
        <w:tc>
          <w:tcPr>
            <w:tcW w:w="682" w:type="pct"/>
            <w:vAlign w:val="center"/>
          </w:tcPr>
          <w:p w:rsidR="00DB1604" w:rsidRPr="006D54A5" w:rsidRDefault="00DB1604" w:rsidP="00C237DA">
            <w:pPr>
              <w:jc w:val="center"/>
              <w:rPr>
                <w:rFonts w:ascii="Arial Narrow" w:hAnsi="Arial Narrow"/>
                <w:color w:val="000000"/>
                <w:sz w:val="20"/>
                <w:szCs w:val="18"/>
              </w:rPr>
            </w:pPr>
            <w:r w:rsidRPr="006D54A5">
              <w:rPr>
                <w:rFonts w:ascii="Arial Narrow" w:hAnsi="Arial Narrow"/>
                <w:color w:val="000000"/>
                <w:sz w:val="20"/>
                <w:szCs w:val="18"/>
              </w:rPr>
              <w:t>0/68</w:t>
            </w:r>
          </w:p>
        </w:tc>
        <w:tc>
          <w:tcPr>
            <w:tcW w:w="738" w:type="pct"/>
            <w:vAlign w:val="center"/>
          </w:tcPr>
          <w:p w:rsidR="00DB1604" w:rsidRPr="006D54A5" w:rsidRDefault="00DB1604" w:rsidP="00C237DA">
            <w:pPr>
              <w:jc w:val="center"/>
              <w:rPr>
                <w:rFonts w:ascii="Arial Narrow" w:hAnsi="Arial Narrow"/>
                <w:color w:val="000000"/>
                <w:sz w:val="20"/>
                <w:szCs w:val="18"/>
              </w:rPr>
            </w:pPr>
            <w:r w:rsidRPr="006D54A5">
              <w:rPr>
                <w:rFonts w:ascii="Arial Narrow" w:hAnsi="Arial Narrow"/>
                <w:color w:val="000000"/>
                <w:sz w:val="20"/>
                <w:szCs w:val="18"/>
              </w:rPr>
              <w:t>23.03</w:t>
            </w:r>
          </w:p>
          <w:p w:rsidR="00DB1604" w:rsidRPr="006D54A5" w:rsidRDefault="00DB1604" w:rsidP="00C237DA">
            <w:pPr>
              <w:jc w:val="center"/>
              <w:rPr>
                <w:rFonts w:ascii="Arial Narrow" w:hAnsi="Arial Narrow"/>
                <w:color w:val="000000"/>
                <w:sz w:val="20"/>
                <w:szCs w:val="18"/>
              </w:rPr>
            </w:pPr>
            <w:r w:rsidRPr="006D54A5">
              <w:rPr>
                <w:rFonts w:ascii="Arial Narrow" w:hAnsi="Arial Narrow"/>
                <w:color w:val="000000"/>
                <w:sz w:val="20"/>
                <w:szCs w:val="18"/>
              </w:rPr>
              <w:t xml:space="preserve">(4.72, </w:t>
            </w:r>
            <w:r w:rsidRPr="006D54A5">
              <w:rPr>
                <w:rFonts w:ascii="Arial Narrow" w:hAnsi="Arial Narrow"/>
                <w:sz w:val="20"/>
              </w:rPr>
              <w:t>∞)</w:t>
            </w:r>
          </w:p>
        </w:tc>
        <w:tc>
          <w:tcPr>
            <w:tcW w:w="852" w:type="pct"/>
            <w:vAlign w:val="center"/>
          </w:tcPr>
          <w:p w:rsidR="00DB1604" w:rsidRPr="006D54A5" w:rsidRDefault="00DB1604" w:rsidP="00C237DA">
            <w:pPr>
              <w:jc w:val="center"/>
              <w:rPr>
                <w:rFonts w:ascii="Arial Narrow" w:hAnsi="Arial Narrow"/>
                <w:color w:val="000000"/>
                <w:sz w:val="20"/>
                <w:szCs w:val="18"/>
              </w:rPr>
            </w:pPr>
            <w:r w:rsidRPr="006D54A5">
              <w:rPr>
                <w:rFonts w:ascii="Arial Narrow" w:hAnsi="Arial Narrow"/>
                <w:color w:val="000000"/>
                <w:sz w:val="20"/>
                <w:szCs w:val="18"/>
              </w:rPr>
              <w:t>20</w:t>
            </w:r>
          </w:p>
        </w:tc>
        <w:tc>
          <w:tcPr>
            <w:tcW w:w="708" w:type="pct"/>
            <w:vAlign w:val="center"/>
          </w:tcPr>
          <w:p w:rsidR="00DB1604" w:rsidRPr="006D54A5" w:rsidRDefault="00DB1604" w:rsidP="00C237DA">
            <w:pPr>
              <w:jc w:val="center"/>
              <w:rPr>
                <w:rFonts w:ascii="Arial Narrow" w:hAnsi="Arial Narrow"/>
                <w:color w:val="000000"/>
                <w:sz w:val="20"/>
                <w:szCs w:val="18"/>
              </w:rPr>
            </w:pPr>
            <w:r w:rsidRPr="006D54A5">
              <w:rPr>
                <w:rFonts w:ascii="Arial Narrow" w:hAnsi="Arial Narrow"/>
                <w:color w:val="000000"/>
                <w:sz w:val="20"/>
                <w:szCs w:val="18"/>
              </w:rPr>
              <w:t>0</w:t>
            </w:r>
          </w:p>
        </w:tc>
        <w:tc>
          <w:tcPr>
            <w:tcW w:w="593" w:type="pct"/>
            <w:gridSpan w:val="2"/>
            <w:vAlign w:val="center"/>
          </w:tcPr>
          <w:p w:rsidR="00DB1604" w:rsidRPr="006D54A5" w:rsidRDefault="00DB1604" w:rsidP="00121554">
            <w:pPr>
              <w:jc w:val="center"/>
              <w:rPr>
                <w:rFonts w:ascii="Arial Narrow" w:hAnsi="Arial Narrow"/>
                <w:color w:val="000000"/>
                <w:sz w:val="20"/>
                <w:szCs w:val="18"/>
              </w:rPr>
            </w:pPr>
            <w:r w:rsidRPr="006D54A5">
              <w:rPr>
                <w:rFonts w:ascii="Arial Narrow" w:hAnsi="Arial Narrow"/>
                <w:color w:val="000000"/>
                <w:sz w:val="20"/>
                <w:szCs w:val="18"/>
              </w:rPr>
              <w:t>NR</w:t>
            </w:r>
          </w:p>
        </w:tc>
      </w:tr>
      <w:tr w:rsidR="00CA5FAA" w:rsidRPr="006D54A5" w:rsidTr="00E46FAB">
        <w:tc>
          <w:tcPr>
            <w:tcW w:w="5000" w:type="pct"/>
            <w:gridSpan w:val="8"/>
            <w:tcBorders>
              <w:top w:val="double" w:sz="4" w:space="0" w:color="auto"/>
            </w:tcBorders>
          </w:tcPr>
          <w:p w:rsidR="00CA5FAA" w:rsidRPr="006D54A5" w:rsidRDefault="00CA5FAA" w:rsidP="00C237DA">
            <w:pPr>
              <w:rPr>
                <w:rFonts w:ascii="Arial Narrow" w:hAnsi="Arial Narrow"/>
                <w:b/>
                <w:color w:val="000000"/>
                <w:sz w:val="20"/>
                <w:szCs w:val="18"/>
              </w:rPr>
            </w:pPr>
            <w:r w:rsidRPr="006D54A5">
              <w:rPr>
                <w:rFonts w:ascii="Arial Narrow" w:hAnsi="Arial Narrow"/>
                <w:b/>
                <w:color w:val="000000"/>
                <w:sz w:val="20"/>
                <w:szCs w:val="18"/>
              </w:rPr>
              <w:t xml:space="preserve">Harms </w:t>
            </w:r>
          </w:p>
        </w:tc>
      </w:tr>
      <w:tr w:rsidR="001D0789" w:rsidRPr="006D54A5" w:rsidTr="00B5580D">
        <w:tc>
          <w:tcPr>
            <w:tcW w:w="672" w:type="pct"/>
            <w:vMerge w:val="restart"/>
            <w:shd w:val="clear" w:color="auto" w:fill="auto"/>
            <w:vAlign w:val="center"/>
          </w:tcPr>
          <w:p w:rsidR="001D0789" w:rsidRPr="006D54A5" w:rsidRDefault="001D0789" w:rsidP="00C237DA">
            <w:pPr>
              <w:rPr>
                <w:rFonts w:ascii="Arial Narrow" w:hAnsi="Arial Narrow"/>
                <w:b/>
                <w:color w:val="000000"/>
                <w:sz w:val="20"/>
                <w:szCs w:val="18"/>
              </w:rPr>
            </w:pPr>
          </w:p>
        </w:tc>
        <w:tc>
          <w:tcPr>
            <w:tcW w:w="755" w:type="pct"/>
            <w:vMerge w:val="restart"/>
            <w:vAlign w:val="center"/>
          </w:tcPr>
          <w:p w:rsidR="001D0789" w:rsidRPr="006D54A5" w:rsidRDefault="001D0789" w:rsidP="008C75C6">
            <w:pPr>
              <w:jc w:val="center"/>
              <w:rPr>
                <w:rFonts w:ascii="Arial Narrow" w:hAnsi="Arial Narrow"/>
                <w:b/>
                <w:color w:val="000000"/>
                <w:sz w:val="20"/>
                <w:szCs w:val="18"/>
              </w:rPr>
            </w:pPr>
            <w:r w:rsidRPr="006D54A5">
              <w:rPr>
                <w:rFonts w:ascii="Arial Narrow" w:hAnsi="Arial Narrow"/>
                <w:b/>
                <w:color w:val="000000"/>
                <w:sz w:val="20"/>
                <w:szCs w:val="18"/>
              </w:rPr>
              <w:t>Pasireotide LAR</w:t>
            </w:r>
          </w:p>
        </w:tc>
        <w:tc>
          <w:tcPr>
            <w:tcW w:w="682" w:type="pct"/>
            <w:vMerge w:val="restart"/>
            <w:vAlign w:val="center"/>
          </w:tcPr>
          <w:p w:rsidR="001D0789" w:rsidRPr="006D54A5" w:rsidRDefault="001D0789" w:rsidP="00C237DA">
            <w:pPr>
              <w:jc w:val="center"/>
              <w:rPr>
                <w:rFonts w:ascii="Arial Narrow" w:hAnsi="Arial Narrow"/>
                <w:b/>
                <w:color w:val="000000"/>
                <w:sz w:val="20"/>
                <w:szCs w:val="18"/>
              </w:rPr>
            </w:pPr>
            <w:r w:rsidRPr="006D54A5">
              <w:rPr>
                <w:rFonts w:ascii="Arial Narrow" w:hAnsi="Arial Narrow"/>
                <w:b/>
                <w:color w:val="000000"/>
                <w:sz w:val="20"/>
                <w:szCs w:val="18"/>
              </w:rPr>
              <w:t>Active control</w:t>
            </w:r>
          </w:p>
        </w:tc>
        <w:tc>
          <w:tcPr>
            <w:tcW w:w="738" w:type="pct"/>
            <w:vMerge w:val="restart"/>
            <w:vAlign w:val="center"/>
          </w:tcPr>
          <w:p w:rsidR="001D0789" w:rsidRPr="006D54A5" w:rsidRDefault="001D0789" w:rsidP="00C237DA">
            <w:pPr>
              <w:jc w:val="center"/>
              <w:rPr>
                <w:rFonts w:ascii="Arial Narrow" w:hAnsi="Arial Narrow"/>
                <w:b/>
                <w:color w:val="000000"/>
                <w:sz w:val="20"/>
                <w:szCs w:val="18"/>
              </w:rPr>
            </w:pPr>
            <w:r w:rsidRPr="006D54A5">
              <w:rPr>
                <w:rFonts w:ascii="Arial Narrow" w:hAnsi="Arial Narrow"/>
                <w:b/>
                <w:color w:val="000000"/>
                <w:sz w:val="20"/>
                <w:szCs w:val="18"/>
              </w:rPr>
              <w:t>OR</w:t>
            </w:r>
          </w:p>
          <w:p w:rsidR="001D0789" w:rsidRPr="006D54A5" w:rsidRDefault="001D0789" w:rsidP="00C237DA">
            <w:pPr>
              <w:jc w:val="center"/>
              <w:rPr>
                <w:rFonts w:ascii="Arial Narrow" w:hAnsi="Arial Narrow"/>
                <w:b/>
                <w:color w:val="000000"/>
                <w:sz w:val="20"/>
                <w:szCs w:val="18"/>
              </w:rPr>
            </w:pPr>
            <w:r w:rsidRPr="006D54A5">
              <w:rPr>
                <w:rFonts w:ascii="Arial Narrow" w:hAnsi="Arial Narrow"/>
                <w:b/>
                <w:color w:val="000000"/>
                <w:sz w:val="20"/>
                <w:szCs w:val="18"/>
              </w:rPr>
              <w:t>(95% CI)</w:t>
            </w:r>
          </w:p>
        </w:tc>
        <w:tc>
          <w:tcPr>
            <w:tcW w:w="1592" w:type="pct"/>
            <w:gridSpan w:val="3"/>
            <w:vAlign w:val="center"/>
          </w:tcPr>
          <w:p w:rsidR="001D0789" w:rsidRPr="006D54A5" w:rsidRDefault="00242984" w:rsidP="00242984">
            <w:pPr>
              <w:jc w:val="center"/>
              <w:rPr>
                <w:rFonts w:ascii="Arial Narrow" w:hAnsi="Arial Narrow"/>
                <w:b/>
                <w:color w:val="000000"/>
                <w:sz w:val="20"/>
                <w:szCs w:val="18"/>
              </w:rPr>
            </w:pPr>
            <w:r w:rsidRPr="006D54A5">
              <w:rPr>
                <w:rFonts w:ascii="Arial Narrow" w:hAnsi="Arial Narrow"/>
                <w:b/>
                <w:color w:val="000000"/>
                <w:sz w:val="20"/>
                <w:szCs w:val="18"/>
              </w:rPr>
              <w:t>Event rate/100 patients/</w:t>
            </w:r>
            <w:r w:rsidR="001D0789" w:rsidRPr="006D54A5">
              <w:rPr>
                <w:rFonts w:ascii="Arial Narrow" w:hAnsi="Arial Narrow"/>
                <w:b/>
                <w:color w:val="000000"/>
                <w:sz w:val="20"/>
                <w:szCs w:val="18"/>
              </w:rPr>
              <w:t xml:space="preserve">24wks </w:t>
            </w:r>
          </w:p>
        </w:tc>
        <w:tc>
          <w:tcPr>
            <w:tcW w:w="561" w:type="pct"/>
            <w:vMerge w:val="restart"/>
            <w:vAlign w:val="center"/>
          </w:tcPr>
          <w:p w:rsidR="001D0789" w:rsidRPr="006D54A5" w:rsidRDefault="001D0789" w:rsidP="00C237DA">
            <w:pPr>
              <w:jc w:val="center"/>
              <w:rPr>
                <w:rFonts w:ascii="Arial Narrow" w:hAnsi="Arial Narrow"/>
                <w:b/>
                <w:color w:val="000000"/>
                <w:sz w:val="20"/>
                <w:szCs w:val="18"/>
              </w:rPr>
            </w:pPr>
            <w:r w:rsidRPr="006D54A5">
              <w:rPr>
                <w:rFonts w:ascii="Arial Narrow" w:hAnsi="Arial Narrow"/>
                <w:b/>
                <w:color w:val="000000"/>
                <w:sz w:val="20"/>
                <w:szCs w:val="18"/>
              </w:rPr>
              <w:t>RD</w:t>
            </w:r>
          </w:p>
          <w:p w:rsidR="001D0789" w:rsidRPr="006D54A5" w:rsidRDefault="001D0789" w:rsidP="00C237DA">
            <w:pPr>
              <w:jc w:val="center"/>
              <w:rPr>
                <w:rFonts w:ascii="Arial Narrow" w:hAnsi="Arial Narrow"/>
                <w:b/>
                <w:color w:val="000000"/>
                <w:sz w:val="20"/>
                <w:szCs w:val="18"/>
              </w:rPr>
            </w:pPr>
            <w:r w:rsidRPr="006D54A5">
              <w:rPr>
                <w:rFonts w:ascii="Arial Narrow" w:hAnsi="Arial Narrow"/>
                <w:b/>
                <w:color w:val="000000"/>
                <w:sz w:val="20"/>
                <w:szCs w:val="18"/>
              </w:rPr>
              <w:t>(95% CI)</w:t>
            </w:r>
          </w:p>
        </w:tc>
      </w:tr>
      <w:tr w:rsidR="001D0789" w:rsidRPr="006D54A5" w:rsidTr="00B5580D">
        <w:tc>
          <w:tcPr>
            <w:tcW w:w="672" w:type="pct"/>
            <w:vMerge/>
            <w:shd w:val="clear" w:color="auto" w:fill="auto"/>
            <w:vAlign w:val="center"/>
          </w:tcPr>
          <w:p w:rsidR="001D0789" w:rsidRPr="006D54A5" w:rsidRDefault="001D0789" w:rsidP="00C237DA">
            <w:pPr>
              <w:rPr>
                <w:rFonts w:ascii="Arial Narrow" w:hAnsi="Arial Narrow"/>
                <w:b/>
                <w:color w:val="000000"/>
                <w:sz w:val="20"/>
                <w:szCs w:val="18"/>
              </w:rPr>
            </w:pPr>
          </w:p>
        </w:tc>
        <w:tc>
          <w:tcPr>
            <w:tcW w:w="755" w:type="pct"/>
            <w:vMerge/>
            <w:vAlign w:val="center"/>
          </w:tcPr>
          <w:p w:rsidR="001D0789" w:rsidRPr="006D54A5" w:rsidRDefault="001D0789" w:rsidP="00E2249A">
            <w:pPr>
              <w:jc w:val="center"/>
              <w:rPr>
                <w:rFonts w:ascii="Arial Narrow" w:hAnsi="Arial Narrow"/>
                <w:b/>
                <w:color w:val="000000"/>
                <w:sz w:val="20"/>
                <w:szCs w:val="18"/>
              </w:rPr>
            </w:pPr>
          </w:p>
        </w:tc>
        <w:tc>
          <w:tcPr>
            <w:tcW w:w="682" w:type="pct"/>
            <w:vMerge/>
            <w:vAlign w:val="center"/>
          </w:tcPr>
          <w:p w:rsidR="001D0789" w:rsidRPr="006D54A5" w:rsidRDefault="001D0789" w:rsidP="00C237DA">
            <w:pPr>
              <w:jc w:val="center"/>
              <w:rPr>
                <w:rFonts w:ascii="Arial Narrow" w:hAnsi="Arial Narrow"/>
                <w:b/>
                <w:color w:val="000000"/>
                <w:sz w:val="20"/>
                <w:szCs w:val="18"/>
              </w:rPr>
            </w:pPr>
          </w:p>
        </w:tc>
        <w:tc>
          <w:tcPr>
            <w:tcW w:w="738" w:type="pct"/>
            <w:vMerge/>
            <w:vAlign w:val="center"/>
          </w:tcPr>
          <w:p w:rsidR="001D0789" w:rsidRPr="006D54A5" w:rsidRDefault="001D0789" w:rsidP="00C237DA">
            <w:pPr>
              <w:jc w:val="center"/>
              <w:rPr>
                <w:rFonts w:ascii="Arial Narrow" w:hAnsi="Arial Narrow"/>
                <w:b/>
                <w:color w:val="000000"/>
                <w:sz w:val="20"/>
                <w:szCs w:val="18"/>
              </w:rPr>
            </w:pPr>
          </w:p>
        </w:tc>
        <w:tc>
          <w:tcPr>
            <w:tcW w:w="852" w:type="pct"/>
            <w:vAlign w:val="center"/>
          </w:tcPr>
          <w:p w:rsidR="001D0789" w:rsidRPr="006D54A5" w:rsidRDefault="001D0789" w:rsidP="00C237DA">
            <w:pPr>
              <w:jc w:val="center"/>
              <w:rPr>
                <w:rFonts w:ascii="Arial Narrow" w:hAnsi="Arial Narrow"/>
                <w:b/>
                <w:color w:val="000000"/>
                <w:sz w:val="20"/>
                <w:szCs w:val="18"/>
              </w:rPr>
            </w:pPr>
            <w:r w:rsidRPr="006D54A5">
              <w:rPr>
                <w:rFonts w:ascii="Arial Narrow" w:hAnsi="Arial Narrow"/>
                <w:b/>
                <w:color w:val="000000"/>
                <w:sz w:val="20"/>
                <w:szCs w:val="18"/>
              </w:rPr>
              <w:t>Pasireotide</w:t>
            </w:r>
          </w:p>
        </w:tc>
        <w:tc>
          <w:tcPr>
            <w:tcW w:w="740" w:type="pct"/>
            <w:gridSpan w:val="2"/>
            <w:vAlign w:val="center"/>
          </w:tcPr>
          <w:p w:rsidR="001D0789" w:rsidRPr="006D54A5" w:rsidRDefault="001D0789" w:rsidP="00C237DA">
            <w:pPr>
              <w:jc w:val="center"/>
              <w:rPr>
                <w:rFonts w:ascii="Arial Narrow" w:hAnsi="Arial Narrow"/>
                <w:b/>
                <w:color w:val="000000"/>
                <w:sz w:val="20"/>
                <w:szCs w:val="18"/>
              </w:rPr>
            </w:pPr>
            <w:r w:rsidRPr="006D54A5">
              <w:rPr>
                <w:rFonts w:ascii="Arial Narrow" w:hAnsi="Arial Narrow"/>
                <w:b/>
                <w:color w:val="000000"/>
                <w:sz w:val="20"/>
                <w:szCs w:val="18"/>
              </w:rPr>
              <w:t>Active control</w:t>
            </w:r>
          </w:p>
        </w:tc>
        <w:tc>
          <w:tcPr>
            <w:tcW w:w="561" w:type="pct"/>
            <w:vMerge/>
            <w:vAlign w:val="center"/>
          </w:tcPr>
          <w:p w:rsidR="001D0789" w:rsidRPr="006D54A5" w:rsidRDefault="001D0789" w:rsidP="00C237DA">
            <w:pPr>
              <w:jc w:val="center"/>
              <w:rPr>
                <w:rFonts w:ascii="Arial Narrow" w:hAnsi="Arial Narrow"/>
                <w:b/>
                <w:color w:val="000000"/>
                <w:sz w:val="20"/>
                <w:szCs w:val="18"/>
              </w:rPr>
            </w:pPr>
          </w:p>
        </w:tc>
      </w:tr>
      <w:tr w:rsidR="00CA5FAA" w:rsidRPr="006D54A5" w:rsidTr="00E46FAB">
        <w:tc>
          <w:tcPr>
            <w:tcW w:w="5000" w:type="pct"/>
            <w:gridSpan w:val="8"/>
          </w:tcPr>
          <w:p w:rsidR="00CA5FAA" w:rsidRPr="006D54A5" w:rsidRDefault="00CA5FAA" w:rsidP="00C237DA">
            <w:pPr>
              <w:rPr>
                <w:rFonts w:ascii="Arial Narrow" w:hAnsi="Arial Narrow"/>
                <w:b/>
                <w:color w:val="000000"/>
                <w:sz w:val="20"/>
                <w:szCs w:val="18"/>
              </w:rPr>
            </w:pPr>
            <w:r w:rsidRPr="006D54A5">
              <w:rPr>
                <w:rFonts w:ascii="Arial Narrow" w:hAnsi="Arial Narrow"/>
                <w:b/>
                <w:color w:val="000000"/>
                <w:sz w:val="20"/>
                <w:szCs w:val="18"/>
              </w:rPr>
              <w:t>Hyperglycaemia</w:t>
            </w:r>
          </w:p>
        </w:tc>
      </w:tr>
      <w:tr w:rsidR="003F4DA5" w:rsidRPr="006D54A5" w:rsidTr="00B5580D">
        <w:tc>
          <w:tcPr>
            <w:tcW w:w="672" w:type="pct"/>
            <w:shd w:val="clear" w:color="auto" w:fill="auto"/>
            <w:vAlign w:val="center"/>
          </w:tcPr>
          <w:p w:rsidR="003F4DA5" w:rsidRPr="006D54A5" w:rsidRDefault="003F4DA5" w:rsidP="00C237DA">
            <w:pPr>
              <w:rPr>
                <w:rFonts w:ascii="Arial Narrow" w:hAnsi="Arial Narrow"/>
                <w:color w:val="000000"/>
                <w:sz w:val="20"/>
                <w:szCs w:val="18"/>
              </w:rPr>
            </w:pPr>
            <w:r w:rsidRPr="006D54A5">
              <w:rPr>
                <w:rFonts w:ascii="Arial Narrow" w:hAnsi="Arial Narrow"/>
                <w:color w:val="000000"/>
                <w:sz w:val="20"/>
                <w:szCs w:val="18"/>
              </w:rPr>
              <w:t>C2402 40mg</w:t>
            </w:r>
          </w:p>
        </w:tc>
        <w:tc>
          <w:tcPr>
            <w:tcW w:w="755" w:type="pct"/>
            <w:vAlign w:val="center"/>
          </w:tcPr>
          <w:p w:rsidR="003F4DA5" w:rsidRPr="006D54A5" w:rsidRDefault="003F4DA5" w:rsidP="00DB1604">
            <w:pPr>
              <w:jc w:val="center"/>
              <w:rPr>
                <w:rFonts w:ascii="Arial Narrow" w:hAnsi="Arial Narrow"/>
                <w:color w:val="000000"/>
                <w:sz w:val="20"/>
                <w:szCs w:val="18"/>
              </w:rPr>
            </w:pPr>
            <w:r w:rsidRPr="006D54A5">
              <w:rPr>
                <w:rFonts w:ascii="Arial Narrow" w:hAnsi="Arial Narrow"/>
                <w:color w:val="000000"/>
                <w:sz w:val="20"/>
                <w:szCs w:val="18"/>
              </w:rPr>
              <w:t>21/63</w:t>
            </w:r>
          </w:p>
        </w:tc>
        <w:tc>
          <w:tcPr>
            <w:tcW w:w="682"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4/66</w:t>
            </w:r>
          </w:p>
        </w:tc>
        <w:tc>
          <w:tcPr>
            <w:tcW w:w="738" w:type="pct"/>
            <w:vMerge w:val="restart"/>
            <w:vAlign w:val="center"/>
          </w:tcPr>
          <w:p w:rsidR="003F4DA5" w:rsidRPr="006D54A5" w:rsidRDefault="003F4DA5" w:rsidP="00DB1604">
            <w:pPr>
              <w:jc w:val="center"/>
              <w:rPr>
                <w:rFonts w:ascii="Arial Narrow" w:hAnsi="Arial Narrow"/>
                <w:color w:val="000000"/>
                <w:sz w:val="20"/>
                <w:szCs w:val="18"/>
              </w:rPr>
            </w:pPr>
            <w:r w:rsidRPr="006D54A5">
              <w:rPr>
                <w:rFonts w:ascii="Arial Narrow" w:hAnsi="Arial Narrow"/>
                <w:color w:val="000000"/>
                <w:sz w:val="20"/>
                <w:szCs w:val="18"/>
              </w:rPr>
              <w:t>NR</w:t>
            </w:r>
          </w:p>
        </w:tc>
        <w:tc>
          <w:tcPr>
            <w:tcW w:w="852"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33.3</w:t>
            </w:r>
          </w:p>
        </w:tc>
        <w:tc>
          <w:tcPr>
            <w:tcW w:w="740" w:type="pct"/>
            <w:gridSpan w:val="2"/>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6.1</w:t>
            </w:r>
          </w:p>
        </w:tc>
        <w:tc>
          <w:tcPr>
            <w:tcW w:w="561" w:type="pct"/>
            <w:vMerge w:val="restart"/>
            <w:vAlign w:val="center"/>
          </w:tcPr>
          <w:p w:rsidR="003F4DA5" w:rsidRPr="006D54A5" w:rsidRDefault="003F4DA5" w:rsidP="003F4DA5">
            <w:pPr>
              <w:jc w:val="center"/>
              <w:rPr>
                <w:rFonts w:ascii="Arial Narrow" w:hAnsi="Arial Narrow"/>
                <w:color w:val="000000"/>
                <w:sz w:val="20"/>
                <w:szCs w:val="18"/>
              </w:rPr>
            </w:pPr>
            <w:r w:rsidRPr="006D54A5">
              <w:rPr>
                <w:rFonts w:ascii="Arial Narrow" w:hAnsi="Arial Narrow"/>
                <w:color w:val="000000"/>
                <w:sz w:val="20"/>
                <w:szCs w:val="18"/>
              </w:rPr>
              <w:t>NR</w:t>
            </w:r>
          </w:p>
        </w:tc>
      </w:tr>
      <w:tr w:rsidR="003F4DA5" w:rsidRPr="006D54A5" w:rsidTr="00B5580D">
        <w:tc>
          <w:tcPr>
            <w:tcW w:w="672" w:type="pct"/>
            <w:shd w:val="clear" w:color="auto" w:fill="auto"/>
            <w:vAlign w:val="center"/>
          </w:tcPr>
          <w:p w:rsidR="003F4DA5" w:rsidRPr="006D54A5" w:rsidRDefault="003F4DA5" w:rsidP="001D0789">
            <w:pPr>
              <w:rPr>
                <w:rFonts w:ascii="Arial Narrow" w:hAnsi="Arial Narrow"/>
                <w:color w:val="000000"/>
                <w:sz w:val="20"/>
                <w:szCs w:val="18"/>
              </w:rPr>
            </w:pPr>
            <w:r w:rsidRPr="006D54A5">
              <w:rPr>
                <w:rFonts w:ascii="Arial Narrow" w:hAnsi="Arial Narrow"/>
                <w:color w:val="000000"/>
                <w:sz w:val="20"/>
                <w:szCs w:val="18"/>
              </w:rPr>
              <w:t>C2402 60mg</w:t>
            </w:r>
          </w:p>
        </w:tc>
        <w:tc>
          <w:tcPr>
            <w:tcW w:w="755" w:type="pct"/>
            <w:vAlign w:val="center"/>
          </w:tcPr>
          <w:p w:rsidR="003F4DA5" w:rsidRPr="006D54A5" w:rsidRDefault="003F4DA5" w:rsidP="00DB1604">
            <w:pPr>
              <w:jc w:val="center"/>
              <w:rPr>
                <w:rFonts w:ascii="Arial Narrow" w:hAnsi="Arial Narrow"/>
                <w:color w:val="000000"/>
                <w:sz w:val="20"/>
                <w:szCs w:val="18"/>
              </w:rPr>
            </w:pPr>
            <w:r w:rsidRPr="006D54A5">
              <w:rPr>
                <w:rFonts w:ascii="Arial Narrow" w:hAnsi="Arial Narrow"/>
                <w:color w:val="000000"/>
                <w:sz w:val="20"/>
                <w:szCs w:val="18"/>
              </w:rPr>
              <w:t>18/62</w:t>
            </w:r>
          </w:p>
        </w:tc>
        <w:tc>
          <w:tcPr>
            <w:tcW w:w="682"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4/66</w:t>
            </w:r>
          </w:p>
        </w:tc>
        <w:tc>
          <w:tcPr>
            <w:tcW w:w="738" w:type="pct"/>
            <w:vMerge/>
            <w:vAlign w:val="center"/>
          </w:tcPr>
          <w:p w:rsidR="003F4DA5" w:rsidRPr="006D54A5" w:rsidRDefault="003F4DA5" w:rsidP="00C237DA">
            <w:pPr>
              <w:jc w:val="center"/>
              <w:rPr>
                <w:rFonts w:ascii="Arial Narrow" w:hAnsi="Arial Narrow"/>
                <w:color w:val="000000"/>
                <w:sz w:val="20"/>
                <w:szCs w:val="18"/>
              </w:rPr>
            </w:pPr>
          </w:p>
        </w:tc>
        <w:tc>
          <w:tcPr>
            <w:tcW w:w="852"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29.0</w:t>
            </w:r>
          </w:p>
        </w:tc>
        <w:tc>
          <w:tcPr>
            <w:tcW w:w="740" w:type="pct"/>
            <w:gridSpan w:val="2"/>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6.1</w:t>
            </w:r>
          </w:p>
        </w:tc>
        <w:tc>
          <w:tcPr>
            <w:tcW w:w="561" w:type="pct"/>
            <w:vMerge/>
            <w:vAlign w:val="center"/>
          </w:tcPr>
          <w:p w:rsidR="003F4DA5" w:rsidRPr="006D54A5" w:rsidRDefault="003F4DA5" w:rsidP="00C237DA">
            <w:pPr>
              <w:jc w:val="center"/>
              <w:rPr>
                <w:rFonts w:ascii="Arial Narrow" w:hAnsi="Arial Narrow"/>
                <w:color w:val="000000"/>
                <w:sz w:val="20"/>
                <w:szCs w:val="18"/>
              </w:rPr>
            </w:pPr>
          </w:p>
        </w:tc>
      </w:tr>
      <w:tr w:rsidR="001D0789" w:rsidRPr="006D54A5" w:rsidTr="00E46FAB">
        <w:tc>
          <w:tcPr>
            <w:tcW w:w="5000" w:type="pct"/>
            <w:gridSpan w:val="8"/>
          </w:tcPr>
          <w:p w:rsidR="001D0789" w:rsidRPr="006D54A5" w:rsidRDefault="001D0789" w:rsidP="00C237DA">
            <w:pPr>
              <w:rPr>
                <w:rFonts w:ascii="Arial Narrow" w:hAnsi="Arial Narrow"/>
                <w:b/>
                <w:color w:val="000000"/>
                <w:sz w:val="20"/>
                <w:szCs w:val="18"/>
              </w:rPr>
            </w:pPr>
            <w:r w:rsidRPr="006D54A5">
              <w:rPr>
                <w:rFonts w:ascii="Arial Narrow" w:hAnsi="Arial Narrow"/>
                <w:b/>
                <w:color w:val="000000"/>
                <w:sz w:val="20"/>
                <w:szCs w:val="18"/>
              </w:rPr>
              <w:t>Diabetes mellitus</w:t>
            </w:r>
          </w:p>
        </w:tc>
      </w:tr>
      <w:tr w:rsidR="003F4DA5" w:rsidRPr="006D54A5" w:rsidTr="00B5580D">
        <w:tc>
          <w:tcPr>
            <w:tcW w:w="672" w:type="pct"/>
            <w:shd w:val="clear" w:color="auto" w:fill="auto"/>
            <w:vAlign w:val="center"/>
          </w:tcPr>
          <w:p w:rsidR="003F4DA5" w:rsidRPr="006D54A5" w:rsidRDefault="003F4DA5" w:rsidP="00C237DA">
            <w:pPr>
              <w:rPr>
                <w:rFonts w:ascii="Arial Narrow" w:hAnsi="Arial Narrow"/>
                <w:color w:val="000000"/>
                <w:sz w:val="20"/>
                <w:szCs w:val="18"/>
              </w:rPr>
            </w:pPr>
            <w:r w:rsidRPr="006D54A5">
              <w:rPr>
                <w:rFonts w:ascii="Arial Narrow" w:hAnsi="Arial Narrow"/>
                <w:color w:val="000000"/>
                <w:sz w:val="20"/>
                <w:szCs w:val="18"/>
              </w:rPr>
              <w:t>C2402 40mg</w:t>
            </w:r>
          </w:p>
        </w:tc>
        <w:tc>
          <w:tcPr>
            <w:tcW w:w="755"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12/63</w:t>
            </w:r>
          </w:p>
        </w:tc>
        <w:tc>
          <w:tcPr>
            <w:tcW w:w="682"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3/66</w:t>
            </w:r>
          </w:p>
        </w:tc>
        <w:tc>
          <w:tcPr>
            <w:tcW w:w="738" w:type="pct"/>
            <w:vMerge w:val="restart"/>
            <w:vAlign w:val="center"/>
          </w:tcPr>
          <w:p w:rsidR="003F4DA5" w:rsidRPr="006D54A5" w:rsidRDefault="003F4DA5" w:rsidP="00DB1604">
            <w:pPr>
              <w:jc w:val="center"/>
              <w:rPr>
                <w:rFonts w:ascii="Arial Narrow" w:hAnsi="Arial Narrow"/>
                <w:color w:val="000000"/>
                <w:sz w:val="20"/>
                <w:szCs w:val="18"/>
              </w:rPr>
            </w:pPr>
            <w:r w:rsidRPr="006D54A5">
              <w:rPr>
                <w:rFonts w:ascii="Arial Narrow" w:hAnsi="Arial Narrow"/>
                <w:color w:val="000000"/>
                <w:sz w:val="20"/>
                <w:szCs w:val="18"/>
              </w:rPr>
              <w:t>NR</w:t>
            </w:r>
          </w:p>
        </w:tc>
        <w:tc>
          <w:tcPr>
            <w:tcW w:w="852"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19.0</w:t>
            </w:r>
          </w:p>
        </w:tc>
        <w:tc>
          <w:tcPr>
            <w:tcW w:w="740" w:type="pct"/>
            <w:gridSpan w:val="2"/>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4.5</w:t>
            </w:r>
          </w:p>
        </w:tc>
        <w:tc>
          <w:tcPr>
            <w:tcW w:w="561" w:type="pct"/>
            <w:vMerge w:val="restart"/>
            <w:vAlign w:val="center"/>
          </w:tcPr>
          <w:p w:rsidR="003F4DA5" w:rsidRPr="006D54A5" w:rsidRDefault="003F4DA5" w:rsidP="003F4DA5">
            <w:pPr>
              <w:jc w:val="center"/>
              <w:rPr>
                <w:rFonts w:ascii="Arial Narrow" w:hAnsi="Arial Narrow"/>
                <w:color w:val="000000"/>
                <w:sz w:val="20"/>
                <w:szCs w:val="18"/>
              </w:rPr>
            </w:pPr>
            <w:r w:rsidRPr="006D54A5">
              <w:rPr>
                <w:rFonts w:ascii="Arial Narrow" w:hAnsi="Arial Narrow"/>
                <w:color w:val="000000"/>
                <w:sz w:val="20"/>
                <w:szCs w:val="18"/>
              </w:rPr>
              <w:t>NR</w:t>
            </w:r>
          </w:p>
        </w:tc>
      </w:tr>
      <w:tr w:rsidR="003F4DA5" w:rsidRPr="006D54A5" w:rsidTr="00B5580D">
        <w:tc>
          <w:tcPr>
            <w:tcW w:w="672" w:type="pct"/>
            <w:shd w:val="clear" w:color="auto" w:fill="auto"/>
            <w:vAlign w:val="center"/>
          </w:tcPr>
          <w:p w:rsidR="003F4DA5" w:rsidRPr="006D54A5" w:rsidRDefault="003F4DA5" w:rsidP="001D0789">
            <w:pPr>
              <w:rPr>
                <w:rFonts w:ascii="Arial Narrow" w:hAnsi="Arial Narrow"/>
                <w:color w:val="000000"/>
                <w:sz w:val="20"/>
                <w:szCs w:val="18"/>
              </w:rPr>
            </w:pPr>
            <w:r w:rsidRPr="006D54A5">
              <w:rPr>
                <w:rFonts w:ascii="Arial Narrow" w:hAnsi="Arial Narrow"/>
                <w:color w:val="000000"/>
                <w:sz w:val="20"/>
                <w:szCs w:val="18"/>
              </w:rPr>
              <w:t>C2402 60mg</w:t>
            </w:r>
          </w:p>
        </w:tc>
        <w:tc>
          <w:tcPr>
            <w:tcW w:w="755"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16/62</w:t>
            </w:r>
          </w:p>
        </w:tc>
        <w:tc>
          <w:tcPr>
            <w:tcW w:w="682"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3/66</w:t>
            </w:r>
          </w:p>
        </w:tc>
        <w:tc>
          <w:tcPr>
            <w:tcW w:w="738" w:type="pct"/>
            <w:vMerge/>
            <w:vAlign w:val="center"/>
          </w:tcPr>
          <w:p w:rsidR="003F4DA5" w:rsidRPr="006D54A5" w:rsidRDefault="003F4DA5" w:rsidP="00C237DA">
            <w:pPr>
              <w:jc w:val="center"/>
              <w:rPr>
                <w:rFonts w:ascii="Arial Narrow" w:hAnsi="Arial Narrow"/>
                <w:color w:val="000000"/>
                <w:sz w:val="20"/>
                <w:szCs w:val="18"/>
              </w:rPr>
            </w:pPr>
          </w:p>
        </w:tc>
        <w:tc>
          <w:tcPr>
            <w:tcW w:w="852"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25.8</w:t>
            </w:r>
          </w:p>
        </w:tc>
        <w:tc>
          <w:tcPr>
            <w:tcW w:w="740" w:type="pct"/>
            <w:gridSpan w:val="2"/>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4.5</w:t>
            </w:r>
          </w:p>
        </w:tc>
        <w:tc>
          <w:tcPr>
            <w:tcW w:w="561" w:type="pct"/>
            <w:vMerge/>
            <w:vAlign w:val="center"/>
          </w:tcPr>
          <w:p w:rsidR="003F4DA5" w:rsidRPr="006D54A5" w:rsidRDefault="003F4DA5" w:rsidP="00C237DA">
            <w:pPr>
              <w:jc w:val="center"/>
              <w:rPr>
                <w:rFonts w:ascii="Arial Narrow" w:hAnsi="Arial Narrow"/>
                <w:color w:val="000000"/>
                <w:sz w:val="20"/>
                <w:szCs w:val="18"/>
              </w:rPr>
            </w:pPr>
          </w:p>
        </w:tc>
      </w:tr>
      <w:tr w:rsidR="001D0789" w:rsidRPr="006D54A5" w:rsidTr="00E46FAB">
        <w:tc>
          <w:tcPr>
            <w:tcW w:w="5000" w:type="pct"/>
            <w:gridSpan w:val="8"/>
          </w:tcPr>
          <w:p w:rsidR="001D0789" w:rsidRPr="006D54A5" w:rsidRDefault="001D0789" w:rsidP="00C237DA">
            <w:pPr>
              <w:rPr>
                <w:rFonts w:ascii="Arial Narrow" w:hAnsi="Arial Narrow"/>
                <w:color w:val="000000"/>
                <w:sz w:val="20"/>
                <w:szCs w:val="18"/>
              </w:rPr>
            </w:pPr>
            <w:r w:rsidRPr="006D54A5">
              <w:rPr>
                <w:rFonts w:ascii="Arial Narrow" w:hAnsi="Arial Narrow"/>
                <w:b/>
                <w:color w:val="000000"/>
                <w:sz w:val="20"/>
                <w:szCs w:val="18"/>
              </w:rPr>
              <w:t>Diarrhoea</w:t>
            </w:r>
          </w:p>
        </w:tc>
      </w:tr>
      <w:tr w:rsidR="003F4DA5" w:rsidRPr="006D54A5" w:rsidTr="00B5580D">
        <w:tc>
          <w:tcPr>
            <w:tcW w:w="672" w:type="pct"/>
            <w:shd w:val="clear" w:color="auto" w:fill="auto"/>
            <w:vAlign w:val="center"/>
          </w:tcPr>
          <w:p w:rsidR="003F4DA5" w:rsidRPr="006D54A5" w:rsidRDefault="003F4DA5" w:rsidP="00C237DA">
            <w:pPr>
              <w:rPr>
                <w:rFonts w:ascii="Arial Narrow" w:hAnsi="Arial Narrow"/>
                <w:color w:val="000000"/>
                <w:sz w:val="20"/>
                <w:szCs w:val="18"/>
              </w:rPr>
            </w:pPr>
            <w:r w:rsidRPr="006D54A5">
              <w:rPr>
                <w:rFonts w:ascii="Arial Narrow" w:hAnsi="Arial Narrow"/>
                <w:color w:val="000000"/>
                <w:sz w:val="20"/>
                <w:szCs w:val="18"/>
              </w:rPr>
              <w:t>C2402 40mg</w:t>
            </w:r>
          </w:p>
        </w:tc>
        <w:tc>
          <w:tcPr>
            <w:tcW w:w="755"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rPr>
              <w:t>7/63</w:t>
            </w:r>
          </w:p>
        </w:tc>
        <w:tc>
          <w:tcPr>
            <w:tcW w:w="682"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rPr>
              <w:t>1/66</w:t>
            </w:r>
          </w:p>
        </w:tc>
        <w:tc>
          <w:tcPr>
            <w:tcW w:w="738" w:type="pct"/>
            <w:vMerge w:val="restart"/>
            <w:vAlign w:val="center"/>
          </w:tcPr>
          <w:p w:rsidR="003F4DA5" w:rsidRPr="006D54A5" w:rsidRDefault="003F4DA5" w:rsidP="00DB1604">
            <w:pPr>
              <w:jc w:val="center"/>
              <w:rPr>
                <w:rFonts w:ascii="Arial Narrow" w:hAnsi="Arial Narrow"/>
                <w:color w:val="000000"/>
                <w:sz w:val="20"/>
                <w:szCs w:val="18"/>
              </w:rPr>
            </w:pPr>
            <w:r w:rsidRPr="006D54A5">
              <w:rPr>
                <w:rFonts w:ascii="Arial Narrow" w:hAnsi="Arial Narrow"/>
                <w:color w:val="000000"/>
                <w:sz w:val="20"/>
              </w:rPr>
              <w:t>NR</w:t>
            </w:r>
          </w:p>
        </w:tc>
        <w:tc>
          <w:tcPr>
            <w:tcW w:w="852"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11.1</w:t>
            </w:r>
          </w:p>
        </w:tc>
        <w:tc>
          <w:tcPr>
            <w:tcW w:w="740" w:type="pct"/>
            <w:gridSpan w:val="2"/>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1.5</w:t>
            </w:r>
          </w:p>
        </w:tc>
        <w:tc>
          <w:tcPr>
            <w:tcW w:w="561" w:type="pct"/>
            <w:vMerge w:val="restart"/>
            <w:vAlign w:val="center"/>
          </w:tcPr>
          <w:p w:rsidR="003F4DA5" w:rsidRPr="006D54A5" w:rsidRDefault="003F4DA5" w:rsidP="003F4DA5">
            <w:pPr>
              <w:jc w:val="center"/>
              <w:rPr>
                <w:rFonts w:ascii="Arial Narrow" w:hAnsi="Arial Narrow"/>
                <w:color w:val="000000"/>
                <w:sz w:val="20"/>
                <w:szCs w:val="18"/>
              </w:rPr>
            </w:pPr>
            <w:r w:rsidRPr="006D54A5">
              <w:rPr>
                <w:rFonts w:ascii="Arial Narrow" w:hAnsi="Arial Narrow"/>
                <w:color w:val="000000"/>
                <w:sz w:val="20"/>
                <w:szCs w:val="18"/>
              </w:rPr>
              <w:t>NR</w:t>
            </w:r>
          </w:p>
        </w:tc>
      </w:tr>
      <w:tr w:rsidR="003F4DA5" w:rsidRPr="006D54A5" w:rsidTr="00B5580D">
        <w:tc>
          <w:tcPr>
            <w:tcW w:w="672" w:type="pct"/>
            <w:shd w:val="clear" w:color="auto" w:fill="auto"/>
            <w:vAlign w:val="center"/>
          </w:tcPr>
          <w:p w:rsidR="003F4DA5" w:rsidRPr="006D54A5" w:rsidRDefault="003F4DA5" w:rsidP="00C237DA">
            <w:pPr>
              <w:rPr>
                <w:rFonts w:ascii="Arial Narrow" w:hAnsi="Arial Narrow"/>
                <w:color w:val="000000"/>
                <w:sz w:val="20"/>
                <w:szCs w:val="18"/>
              </w:rPr>
            </w:pPr>
            <w:r w:rsidRPr="006D54A5">
              <w:rPr>
                <w:rFonts w:ascii="Arial Narrow" w:hAnsi="Arial Narrow"/>
                <w:color w:val="000000"/>
                <w:sz w:val="20"/>
                <w:szCs w:val="18"/>
              </w:rPr>
              <w:t>C2402 60mg</w:t>
            </w:r>
          </w:p>
        </w:tc>
        <w:tc>
          <w:tcPr>
            <w:tcW w:w="755" w:type="pct"/>
            <w:vAlign w:val="center"/>
          </w:tcPr>
          <w:p w:rsidR="003F4DA5" w:rsidRPr="006D54A5" w:rsidRDefault="003F4DA5" w:rsidP="00C237DA">
            <w:pPr>
              <w:jc w:val="center"/>
              <w:rPr>
                <w:rFonts w:ascii="Arial Narrow" w:hAnsi="Arial Narrow"/>
                <w:color w:val="000000"/>
                <w:sz w:val="20"/>
              </w:rPr>
            </w:pPr>
            <w:r w:rsidRPr="006D54A5">
              <w:rPr>
                <w:rFonts w:ascii="Arial Narrow" w:hAnsi="Arial Narrow"/>
                <w:color w:val="000000"/>
                <w:sz w:val="20"/>
              </w:rPr>
              <w:t>12/62</w:t>
            </w:r>
          </w:p>
        </w:tc>
        <w:tc>
          <w:tcPr>
            <w:tcW w:w="682" w:type="pct"/>
            <w:vAlign w:val="center"/>
          </w:tcPr>
          <w:p w:rsidR="003F4DA5" w:rsidRPr="006D54A5" w:rsidRDefault="003F4DA5" w:rsidP="00C237DA">
            <w:pPr>
              <w:jc w:val="center"/>
              <w:rPr>
                <w:rFonts w:ascii="Arial Narrow" w:hAnsi="Arial Narrow"/>
                <w:color w:val="000000"/>
                <w:sz w:val="20"/>
              </w:rPr>
            </w:pPr>
            <w:r w:rsidRPr="006D54A5">
              <w:rPr>
                <w:rFonts w:ascii="Arial Narrow" w:hAnsi="Arial Narrow"/>
                <w:color w:val="000000"/>
                <w:sz w:val="20"/>
              </w:rPr>
              <w:t>1/66</w:t>
            </w:r>
          </w:p>
        </w:tc>
        <w:tc>
          <w:tcPr>
            <w:tcW w:w="738" w:type="pct"/>
            <w:vMerge/>
            <w:vAlign w:val="center"/>
          </w:tcPr>
          <w:p w:rsidR="003F4DA5" w:rsidRPr="006D54A5" w:rsidRDefault="003F4DA5" w:rsidP="00C237DA">
            <w:pPr>
              <w:jc w:val="center"/>
              <w:rPr>
                <w:rFonts w:ascii="Arial Narrow" w:hAnsi="Arial Narrow"/>
                <w:color w:val="000000"/>
                <w:sz w:val="20"/>
              </w:rPr>
            </w:pPr>
          </w:p>
        </w:tc>
        <w:tc>
          <w:tcPr>
            <w:tcW w:w="852" w:type="pct"/>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19.4</w:t>
            </w:r>
          </w:p>
        </w:tc>
        <w:tc>
          <w:tcPr>
            <w:tcW w:w="740" w:type="pct"/>
            <w:gridSpan w:val="2"/>
            <w:vAlign w:val="center"/>
          </w:tcPr>
          <w:p w:rsidR="003F4DA5" w:rsidRPr="006D54A5" w:rsidRDefault="003F4DA5" w:rsidP="00C237DA">
            <w:pPr>
              <w:jc w:val="center"/>
              <w:rPr>
                <w:rFonts w:ascii="Arial Narrow" w:hAnsi="Arial Narrow"/>
                <w:color w:val="000000"/>
                <w:sz w:val="20"/>
                <w:szCs w:val="18"/>
              </w:rPr>
            </w:pPr>
            <w:r w:rsidRPr="006D54A5">
              <w:rPr>
                <w:rFonts w:ascii="Arial Narrow" w:hAnsi="Arial Narrow"/>
                <w:color w:val="000000"/>
                <w:sz w:val="20"/>
                <w:szCs w:val="18"/>
              </w:rPr>
              <w:t>1.5</w:t>
            </w:r>
          </w:p>
        </w:tc>
        <w:tc>
          <w:tcPr>
            <w:tcW w:w="561" w:type="pct"/>
            <w:vMerge/>
            <w:vAlign w:val="center"/>
          </w:tcPr>
          <w:p w:rsidR="003F4DA5" w:rsidRPr="006D54A5" w:rsidRDefault="003F4DA5" w:rsidP="00C237DA">
            <w:pPr>
              <w:jc w:val="center"/>
              <w:rPr>
                <w:rFonts w:ascii="Arial Narrow" w:hAnsi="Arial Narrow"/>
                <w:color w:val="000000"/>
                <w:sz w:val="20"/>
              </w:rPr>
            </w:pPr>
          </w:p>
        </w:tc>
      </w:tr>
    </w:tbl>
    <w:p w:rsidR="00C237DA" w:rsidRPr="006D54A5" w:rsidRDefault="00C237DA" w:rsidP="00C237DA">
      <w:pPr>
        <w:pStyle w:val="TableFooter"/>
        <w:ind w:firstLine="720"/>
      </w:pPr>
      <w:r w:rsidRPr="006D54A5">
        <w:t xml:space="preserve">Abbreviations: </w:t>
      </w:r>
      <w:r w:rsidR="001D0789" w:rsidRPr="006D54A5">
        <w:t xml:space="preserve">GH, growth hormone; IGF-1, insulin-like growth factor-1; </w:t>
      </w:r>
      <w:r w:rsidRPr="006D54A5">
        <w:t>RD</w:t>
      </w:r>
      <w:r w:rsidR="00121554" w:rsidRPr="006D54A5">
        <w:t>,</w:t>
      </w:r>
      <w:r w:rsidRPr="006D54A5">
        <w:t xml:space="preserve"> risk difference; </w:t>
      </w:r>
      <w:r w:rsidR="001D0789" w:rsidRPr="006D54A5">
        <w:t>O</w:t>
      </w:r>
      <w:r w:rsidRPr="006D54A5">
        <w:t>R</w:t>
      </w:r>
      <w:r w:rsidR="00121554" w:rsidRPr="006D54A5">
        <w:t>,</w:t>
      </w:r>
      <w:r w:rsidR="001D0789" w:rsidRPr="006D54A5">
        <w:t xml:space="preserve"> odds </w:t>
      </w:r>
      <w:r w:rsidRPr="006D54A5">
        <w:t>ratio</w:t>
      </w:r>
      <w:r w:rsidR="00242984" w:rsidRPr="006D54A5">
        <w:t xml:space="preserve">; </w:t>
      </w:r>
      <w:proofErr w:type="spellStart"/>
      <w:r w:rsidR="00242984" w:rsidRPr="006D54A5">
        <w:t>wks</w:t>
      </w:r>
      <w:proofErr w:type="spellEnd"/>
      <w:r w:rsidR="00242984" w:rsidRPr="006D54A5">
        <w:t>, weeks</w:t>
      </w:r>
    </w:p>
    <w:p w:rsidR="00C237DA" w:rsidRPr="006D54A5" w:rsidRDefault="00C237DA" w:rsidP="00C237DA">
      <w:pPr>
        <w:pStyle w:val="TableFooter"/>
        <w:ind w:firstLine="720"/>
      </w:pPr>
      <w:r w:rsidRPr="006D54A5">
        <w:t>Source:</w:t>
      </w:r>
      <w:r w:rsidR="00121554" w:rsidRPr="006D54A5">
        <w:t xml:space="preserve"> Compiled during the evaluation</w:t>
      </w:r>
    </w:p>
    <w:p w:rsidR="00C237DA" w:rsidRPr="006D54A5" w:rsidRDefault="00C237DA" w:rsidP="00C237DA"/>
    <w:p w:rsidR="00C237DA" w:rsidRPr="006D54A5" w:rsidRDefault="00C237DA" w:rsidP="00C237DA">
      <w:pPr>
        <w:pStyle w:val="ListParagraph"/>
        <w:widowControl/>
        <w:numPr>
          <w:ilvl w:val="1"/>
          <w:numId w:val="18"/>
        </w:numPr>
        <w:rPr>
          <w:szCs w:val="22"/>
        </w:rPr>
      </w:pPr>
      <w:r w:rsidRPr="006D54A5">
        <w:t xml:space="preserve">On the basis of direct evidence presented by the submission, for every 100 patients treated with </w:t>
      </w:r>
      <w:r w:rsidR="00E2249A" w:rsidRPr="006D54A5">
        <w:t>pasireotide LAR 40mg</w:t>
      </w:r>
      <w:r w:rsidRPr="006D54A5">
        <w:t xml:space="preserve"> in comparison to </w:t>
      </w:r>
      <w:proofErr w:type="spellStart"/>
      <w:r w:rsidR="00E2249A" w:rsidRPr="006D54A5">
        <w:t>octreotide</w:t>
      </w:r>
      <w:proofErr w:type="spellEnd"/>
      <w:r w:rsidR="00E2249A" w:rsidRPr="006D54A5">
        <w:t xml:space="preserve"> LAR 30mg or lanreotide</w:t>
      </w:r>
      <w:r w:rsidR="00912E11" w:rsidRPr="006D54A5">
        <w:t xml:space="preserve"> ATG</w:t>
      </w:r>
      <w:r w:rsidR="00E2249A" w:rsidRPr="006D54A5">
        <w:t xml:space="preserve"> 120mg</w:t>
      </w:r>
      <w:r w:rsidR="00242984" w:rsidRPr="006D54A5">
        <w:t>, over a maximum duration of 24 weeks</w:t>
      </w:r>
      <w:r w:rsidRPr="006D54A5">
        <w:t>;</w:t>
      </w:r>
    </w:p>
    <w:p w:rsidR="00C237DA" w:rsidRPr="006D54A5" w:rsidRDefault="00C237DA" w:rsidP="00C237DA">
      <w:pPr>
        <w:pStyle w:val="ListParagraph"/>
        <w:widowControl/>
        <w:numPr>
          <w:ilvl w:val="0"/>
          <w:numId w:val="17"/>
        </w:numPr>
        <w:ind w:left="993" w:hanging="284"/>
      </w:pPr>
      <w:r w:rsidRPr="006D54A5">
        <w:t xml:space="preserve">Approximately </w:t>
      </w:r>
      <w:r w:rsidR="00E2249A" w:rsidRPr="006D54A5">
        <w:t>15</w:t>
      </w:r>
      <w:r w:rsidRPr="006D54A5">
        <w:t xml:space="preserve"> additional patients would have </w:t>
      </w:r>
      <w:r w:rsidR="00E2249A" w:rsidRPr="006D54A5">
        <w:t>complete biochemical control</w:t>
      </w:r>
    </w:p>
    <w:p w:rsidR="00DB1604" w:rsidRPr="006D54A5" w:rsidRDefault="00242984" w:rsidP="00C237DA">
      <w:pPr>
        <w:pStyle w:val="ListParagraph"/>
        <w:widowControl/>
        <w:numPr>
          <w:ilvl w:val="0"/>
          <w:numId w:val="17"/>
        </w:numPr>
        <w:ind w:left="993" w:hanging="284"/>
      </w:pPr>
      <w:r w:rsidRPr="006D54A5">
        <w:t xml:space="preserve">Approximately 27 additional patients would </w:t>
      </w:r>
      <w:r w:rsidR="00EB5C38" w:rsidRPr="006D54A5">
        <w:t>experience</w:t>
      </w:r>
      <w:r w:rsidRPr="006D54A5">
        <w:t xml:space="preserve"> </w:t>
      </w:r>
      <w:r w:rsidR="00EB5C38" w:rsidRPr="006D54A5">
        <w:t xml:space="preserve">a </w:t>
      </w:r>
      <w:r w:rsidRPr="006D54A5">
        <w:t>hyperglycaemia</w:t>
      </w:r>
      <w:r w:rsidR="00EB5C38" w:rsidRPr="006D54A5">
        <w:t xml:space="preserve"> event</w:t>
      </w:r>
      <w:r w:rsidR="002E5562" w:rsidRPr="006D54A5">
        <w:t xml:space="preserve"> assessed as attributable to the drug.</w:t>
      </w:r>
    </w:p>
    <w:p w:rsidR="00242984" w:rsidRPr="006D54A5" w:rsidRDefault="00242984" w:rsidP="00C237DA">
      <w:pPr>
        <w:pStyle w:val="ListParagraph"/>
        <w:widowControl/>
        <w:numPr>
          <w:ilvl w:val="0"/>
          <w:numId w:val="17"/>
        </w:numPr>
        <w:ind w:left="993" w:hanging="284"/>
      </w:pPr>
      <w:r w:rsidRPr="006D54A5">
        <w:t>Approximately 14 additional patients would develop diabetes</w:t>
      </w:r>
      <w:r w:rsidR="002E5562" w:rsidRPr="006D54A5">
        <w:t xml:space="preserve"> assessed as attributable to the drug.</w:t>
      </w:r>
    </w:p>
    <w:p w:rsidR="00242984" w:rsidRPr="006D54A5" w:rsidRDefault="00242984" w:rsidP="00C237DA">
      <w:pPr>
        <w:pStyle w:val="ListParagraph"/>
        <w:widowControl/>
        <w:numPr>
          <w:ilvl w:val="0"/>
          <w:numId w:val="17"/>
        </w:numPr>
        <w:ind w:left="993" w:hanging="284"/>
      </w:pPr>
      <w:r w:rsidRPr="006D54A5">
        <w:t>Approximately 9 additional patients would experience diarrhoea</w:t>
      </w:r>
      <w:r w:rsidR="002E5562" w:rsidRPr="006D54A5">
        <w:t xml:space="preserve"> assessed as attributable to the drug</w:t>
      </w:r>
      <w:r w:rsidR="003F4DA5" w:rsidRPr="006D54A5">
        <w:t>.</w:t>
      </w:r>
    </w:p>
    <w:p w:rsidR="00562EBE" w:rsidRPr="006D54A5" w:rsidRDefault="00562EBE" w:rsidP="00E2249A">
      <w:pPr>
        <w:widowControl/>
        <w:ind w:left="709"/>
        <w:rPr>
          <w:i/>
        </w:rPr>
      </w:pPr>
    </w:p>
    <w:p w:rsidR="00E2249A" w:rsidRPr="006D54A5" w:rsidRDefault="00562EBE" w:rsidP="00544B30">
      <w:pPr>
        <w:pStyle w:val="ListParagraph"/>
        <w:widowControl/>
        <w:numPr>
          <w:ilvl w:val="1"/>
          <w:numId w:val="18"/>
        </w:numPr>
      </w:pPr>
      <w:r w:rsidRPr="006D54A5">
        <w:t xml:space="preserve">The ESC </w:t>
      </w:r>
      <w:r w:rsidR="00544B30" w:rsidRPr="006D54A5">
        <w:t xml:space="preserve">noted </w:t>
      </w:r>
      <w:r w:rsidRPr="006D54A5">
        <w:t xml:space="preserve">that using the </w:t>
      </w:r>
      <w:r w:rsidR="00544B30" w:rsidRPr="006D54A5">
        <w:t xml:space="preserve">revised </w:t>
      </w:r>
      <w:r w:rsidRPr="006D54A5">
        <w:t xml:space="preserve">numbers for total adverse events rather than drug related adverse events as per the </w:t>
      </w:r>
      <w:r w:rsidR="00544B30" w:rsidRPr="006D54A5">
        <w:t>T</w:t>
      </w:r>
      <w:r w:rsidRPr="006D54A5">
        <w:t>able 1</w:t>
      </w:r>
      <w:r w:rsidR="00FC0CC4" w:rsidRPr="006D54A5">
        <w:t xml:space="preserve"> of the</w:t>
      </w:r>
      <w:r w:rsidRPr="006D54A5">
        <w:t xml:space="preserve"> PSCR </w:t>
      </w:r>
      <w:r w:rsidR="00B648EB" w:rsidRPr="006D54A5">
        <w:t xml:space="preserve">(p1) </w:t>
      </w:r>
      <w:r w:rsidRPr="006D54A5">
        <w:t>makes minimal</w:t>
      </w:r>
      <w:r w:rsidRPr="006D54A5">
        <w:rPr>
          <w:i/>
        </w:rPr>
        <w:t xml:space="preserve"> </w:t>
      </w:r>
      <w:r w:rsidRPr="006D54A5">
        <w:lastRenderedPageBreak/>
        <w:t xml:space="preserve">difference </w:t>
      </w:r>
      <w:r w:rsidR="00544B30" w:rsidRPr="006D54A5">
        <w:t xml:space="preserve">to overall benefits and harms, </w:t>
      </w:r>
      <w:r w:rsidRPr="006D54A5">
        <w:t>reduc</w:t>
      </w:r>
      <w:r w:rsidR="00544B30" w:rsidRPr="006D54A5">
        <w:t>ing the</w:t>
      </w:r>
      <w:r w:rsidRPr="006D54A5">
        <w:t xml:space="preserve"> difference in hyperglycaemia to 20, diabetes to 13 and </w:t>
      </w:r>
      <w:r w:rsidR="00E72F3F" w:rsidRPr="006D54A5">
        <w:t>increasing</w:t>
      </w:r>
      <w:r w:rsidRPr="006D54A5">
        <w:t xml:space="preserve"> </w:t>
      </w:r>
      <w:r w:rsidR="00023512" w:rsidRPr="006D54A5">
        <w:t xml:space="preserve">the difference in </w:t>
      </w:r>
      <w:r w:rsidRPr="006D54A5">
        <w:t>diarrhoea to 11.</w:t>
      </w:r>
    </w:p>
    <w:p w:rsidR="00562EBE" w:rsidRPr="006D54A5" w:rsidRDefault="00562EBE" w:rsidP="00E2249A">
      <w:pPr>
        <w:widowControl/>
        <w:ind w:left="709"/>
        <w:rPr>
          <w:i/>
        </w:rPr>
      </w:pPr>
    </w:p>
    <w:p w:rsidR="00E2249A" w:rsidRPr="006D54A5" w:rsidRDefault="00E2249A" w:rsidP="00E72F3F">
      <w:pPr>
        <w:pStyle w:val="ListParagraph"/>
        <w:widowControl/>
        <w:numPr>
          <w:ilvl w:val="1"/>
          <w:numId w:val="18"/>
        </w:numPr>
        <w:rPr>
          <w:b/>
        </w:rPr>
      </w:pPr>
      <w:r w:rsidRPr="006D54A5">
        <w:rPr>
          <w:szCs w:val="22"/>
        </w:rPr>
        <w:t>For</w:t>
      </w:r>
      <w:r w:rsidRPr="006D54A5">
        <w:t xml:space="preserve"> every 100 patients treated with pasireotide LAR 60mg in comparison to </w:t>
      </w:r>
      <w:proofErr w:type="spellStart"/>
      <w:r w:rsidRPr="006D54A5">
        <w:t>octreotide</w:t>
      </w:r>
      <w:proofErr w:type="spellEnd"/>
      <w:r w:rsidRPr="006D54A5">
        <w:t xml:space="preserve"> LAR 30mg or lanreotide </w:t>
      </w:r>
      <w:r w:rsidR="00912E11" w:rsidRPr="006D54A5">
        <w:t xml:space="preserve">ATG </w:t>
      </w:r>
      <w:r w:rsidRPr="006D54A5">
        <w:t>120mg</w:t>
      </w:r>
      <w:r w:rsidR="00242984" w:rsidRPr="006D54A5">
        <w:t xml:space="preserve"> over a maximum duration of exposure of 24 weeks</w:t>
      </w:r>
      <w:r w:rsidRPr="006D54A5">
        <w:t>;</w:t>
      </w:r>
    </w:p>
    <w:p w:rsidR="00E2249A" w:rsidRPr="006D54A5" w:rsidRDefault="00E2249A" w:rsidP="00E2249A">
      <w:pPr>
        <w:pStyle w:val="ListParagraph"/>
        <w:widowControl/>
        <w:numPr>
          <w:ilvl w:val="0"/>
          <w:numId w:val="17"/>
        </w:numPr>
        <w:ind w:left="993" w:hanging="284"/>
      </w:pPr>
      <w:r w:rsidRPr="006D54A5">
        <w:t xml:space="preserve">Approximately 20 additional patients would have complete biochemical control </w:t>
      </w:r>
    </w:p>
    <w:p w:rsidR="00242984" w:rsidRPr="006D54A5" w:rsidRDefault="00242984" w:rsidP="00242984">
      <w:pPr>
        <w:pStyle w:val="ListParagraph"/>
        <w:widowControl/>
        <w:numPr>
          <w:ilvl w:val="0"/>
          <w:numId w:val="17"/>
        </w:numPr>
        <w:ind w:left="993" w:hanging="284"/>
      </w:pPr>
      <w:r w:rsidRPr="006D54A5">
        <w:t xml:space="preserve">Approximately 23 additional patients would </w:t>
      </w:r>
      <w:r w:rsidR="00EB5C38" w:rsidRPr="006D54A5">
        <w:t>experience</w:t>
      </w:r>
      <w:r w:rsidRPr="006D54A5">
        <w:t xml:space="preserve"> </w:t>
      </w:r>
      <w:r w:rsidR="00EB5C38" w:rsidRPr="006D54A5">
        <w:t>a hyperglycaemia event</w:t>
      </w:r>
      <w:r w:rsidR="002E5562" w:rsidRPr="006D54A5">
        <w:t xml:space="preserve"> assessed as attributable to the drug.</w:t>
      </w:r>
    </w:p>
    <w:p w:rsidR="00242984" w:rsidRPr="006D54A5" w:rsidRDefault="00242984" w:rsidP="00242984">
      <w:pPr>
        <w:pStyle w:val="ListParagraph"/>
        <w:widowControl/>
        <w:numPr>
          <w:ilvl w:val="0"/>
          <w:numId w:val="17"/>
        </w:numPr>
        <w:ind w:left="993" w:hanging="284"/>
      </w:pPr>
      <w:r w:rsidRPr="006D54A5">
        <w:t>Approximately 21 additional patients would develop diabetes</w:t>
      </w:r>
      <w:r w:rsidR="002E5562" w:rsidRPr="006D54A5">
        <w:t xml:space="preserve"> assessed as attributable to the drug.</w:t>
      </w:r>
    </w:p>
    <w:p w:rsidR="00242984" w:rsidRPr="006D54A5" w:rsidRDefault="00242984" w:rsidP="00242984">
      <w:pPr>
        <w:pStyle w:val="ListParagraph"/>
        <w:widowControl/>
        <w:numPr>
          <w:ilvl w:val="0"/>
          <w:numId w:val="17"/>
        </w:numPr>
        <w:ind w:left="993" w:hanging="284"/>
      </w:pPr>
      <w:r w:rsidRPr="006D54A5">
        <w:t>Approximately 18 additional patients would experience diarrhoea</w:t>
      </w:r>
      <w:r w:rsidR="002E5562" w:rsidRPr="006D54A5">
        <w:t xml:space="preserve"> assessed as attributable to the drug.</w:t>
      </w:r>
    </w:p>
    <w:p w:rsidR="006E2E28" w:rsidRPr="006D54A5" w:rsidRDefault="006E2E28" w:rsidP="00562EBE">
      <w:pPr>
        <w:widowControl/>
        <w:ind w:left="709"/>
        <w:rPr>
          <w:i/>
        </w:rPr>
      </w:pPr>
    </w:p>
    <w:p w:rsidR="00C237DA" w:rsidRPr="006D54A5" w:rsidRDefault="00544B30" w:rsidP="00544B30">
      <w:pPr>
        <w:pStyle w:val="ListParagraph"/>
        <w:widowControl/>
        <w:numPr>
          <w:ilvl w:val="1"/>
          <w:numId w:val="18"/>
        </w:numPr>
      </w:pPr>
      <w:r w:rsidRPr="006D54A5">
        <w:t xml:space="preserve">The ESC noted that using the revised numbers for total adverse events rather than drug related adverse events </w:t>
      </w:r>
      <w:r w:rsidR="00562EBE" w:rsidRPr="006D54A5">
        <w:t xml:space="preserve">reduces these numbers slightly to </w:t>
      </w:r>
      <w:r w:rsidR="006E2E28" w:rsidRPr="006D54A5">
        <w:t>17 for hyperglycaemia, 18 for diabetes and 15 for diarrhoea.</w:t>
      </w:r>
    </w:p>
    <w:p w:rsidR="007C408E" w:rsidRPr="006D54A5" w:rsidRDefault="007C408E" w:rsidP="00B5580D">
      <w:pPr>
        <w:pStyle w:val="BodyText"/>
      </w:pPr>
      <w:bookmarkStart w:id="12" w:name="_Toc430013042"/>
    </w:p>
    <w:p w:rsidR="00B60939" w:rsidRPr="00B5580D" w:rsidRDefault="00B60939" w:rsidP="002C2775">
      <w:pPr>
        <w:pStyle w:val="Heading2"/>
      </w:pPr>
      <w:r w:rsidRPr="00B5580D">
        <w:t>Clinical claim</w:t>
      </w:r>
      <w:bookmarkEnd w:id="12"/>
    </w:p>
    <w:p w:rsidR="00B60939" w:rsidRPr="006D54A5" w:rsidRDefault="00B60939" w:rsidP="00B60939">
      <w:pPr>
        <w:ind w:left="720" w:hanging="720"/>
        <w:rPr>
          <w:szCs w:val="22"/>
        </w:rPr>
      </w:pPr>
    </w:p>
    <w:p w:rsidR="00B60939" w:rsidRPr="00D41272" w:rsidRDefault="00242984" w:rsidP="00242984">
      <w:pPr>
        <w:pStyle w:val="ListParagraph"/>
        <w:widowControl/>
        <w:numPr>
          <w:ilvl w:val="1"/>
          <w:numId w:val="18"/>
        </w:numPr>
        <w:rPr>
          <w:szCs w:val="22"/>
        </w:rPr>
      </w:pPr>
      <w:r w:rsidRPr="006D54A5">
        <w:t xml:space="preserve">The submission described pasireotide LAR as superior in terms of comparative effectiveness and inferior in terms of comparative safety over the continued use of </w:t>
      </w:r>
      <w:proofErr w:type="spellStart"/>
      <w:r w:rsidRPr="006D54A5">
        <w:t>octreotide</w:t>
      </w:r>
      <w:proofErr w:type="spellEnd"/>
      <w:r w:rsidRPr="006D54A5">
        <w:t xml:space="preserve"> LAR or </w:t>
      </w:r>
      <w:proofErr w:type="spellStart"/>
      <w:r w:rsidRPr="006D54A5">
        <w:t>lanreotide</w:t>
      </w:r>
      <w:proofErr w:type="spellEnd"/>
      <w:r w:rsidRPr="006D54A5">
        <w:t xml:space="preserve"> ATG for the treatment of patients with inadequately controlled acromegaly. This claim may be adequately supported in terms of </w:t>
      </w:r>
      <w:r w:rsidR="006E2E28" w:rsidRPr="006D54A5">
        <w:t xml:space="preserve">biochemical </w:t>
      </w:r>
      <w:r w:rsidRPr="006D54A5">
        <w:t xml:space="preserve">efficacy, and is adequately supported in terms of safety. </w:t>
      </w:r>
    </w:p>
    <w:p w:rsidR="00D41272" w:rsidRPr="00D41272" w:rsidRDefault="00D41272" w:rsidP="00D41272">
      <w:pPr>
        <w:pStyle w:val="ListParagraph"/>
        <w:widowControl/>
        <w:rPr>
          <w:szCs w:val="22"/>
        </w:rPr>
      </w:pPr>
    </w:p>
    <w:p w:rsidR="00D41272" w:rsidRPr="00D41272" w:rsidRDefault="00D41272" w:rsidP="00242984">
      <w:pPr>
        <w:pStyle w:val="ListParagraph"/>
        <w:widowControl/>
        <w:numPr>
          <w:ilvl w:val="1"/>
          <w:numId w:val="18"/>
        </w:numPr>
        <w:rPr>
          <w:szCs w:val="22"/>
        </w:rPr>
      </w:pPr>
      <w:r>
        <w:t xml:space="preserve">The PBAC considered that the claim of superior comparative effectiveness was reasonable. </w:t>
      </w:r>
    </w:p>
    <w:p w:rsidR="00D41272" w:rsidRPr="00D41272" w:rsidRDefault="00D41272" w:rsidP="00D41272">
      <w:pPr>
        <w:widowControl/>
        <w:rPr>
          <w:szCs w:val="22"/>
        </w:rPr>
      </w:pPr>
    </w:p>
    <w:p w:rsidR="00D41272" w:rsidRPr="006D54A5" w:rsidRDefault="00D41272" w:rsidP="00242984">
      <w:pPr>
        <w:pStyle w:val="ListParagraph"/>
        <w:widowControl/>
        <w:numPr>
          <w:ilvl w:val="1"/>
          <w:numId w:val="18"/>
        </w:numPr>
        <w:rPr>
          <w:szCs w:val="22"/>
        </w:rPr>
      </w:pPr>
      <w:r>
        <w:t xml:space="preserve">The PBAC considered that the claim of inferior comparative safety was reasonable. </w:t>
      </w:r>
    </w:p>
    <w:p w:rsidR="00481B3A" w:rsidRPr="006D54A5" w:rsidRDefault="00481B3A" w:rsidP="00B5580D">
      <w:pPr>
        <w:pStyle w:val="BodyText"/>
      </w:pPr>
    </w:p>
    <w:p w:rsidR="00481B3A" w:rsidRPr="006D54A5" w:rsidRDefault="00481B3A" w:rsidP="00B5580D">
      <w:pPr>
        <w:pStyle w:val="BodyText"/>
        <w:ind w:firstLine="720"/>
        <w:rPr>
          <w:b/>
        </w:rPr>
      </w:pPr>
      <w:r w:rsidRPr="006D54A5">
        <w:t>For more details on PBAC’s view, see section 7 “PBAC outcome”</w:t>
      </w:r>
      <w:r w:rsidR="00F613BA">
        <w:t>.</w:t>
      </w:r>
      <w:r w:rsidRPr="006D54A5">
        <w:t xml:space="preserve"> </w:t>
      </w:r>
    </w:p>
    <w:p w:rsidR="00B60939" w:rsidRPr="006D54A5" w:rsidRDefault="00B60939" w:rsidP="00B60939">
      <w:pPr>
        <w:ind w:left="720" w:hanging="720"/>
        <w:rPr>
          <w:szCs w:val="22"/>
        </w:rPr>
      </w:pPr>
    </w:p>
    <w:p w:rsidR="00B60939" w:rsidRPr="00B5580D" w:rsidRDefault="00B60939" w:rsidP="002C2775">
      <w:pPr>
        <w:pStyle w:val="Heading2"/>
      </w:pPr>
      <w:bookmarkStart w:id="13" w:name="_Toc430013043"/>
      <w:r w:rsidRPr="00B5580D">
        <w:t>Economic analysis</w:t>
      </w:r>
      <w:bookmarkEnd w:id="13"/>
      <w:r w:rsidR="00491B3A" w:rsidRPr="00B5580D">
        <w:t xml:space="preserve"> </w:t>
      </w:r>
    </w:p>
    <w:p w:rsidR="00B60939" w:rsidRPr="006D54A5" w:rsidRDefault="00B60939" w:rsidP="00B60939">
      <w:pPr>
        <w:ind w:left="720" w:hanging="720"/>
        <w:rPr>
          <w:szCs w:val="22"/>
        </w:rPr>
      </w:pPr>
    </w:p>
    <w:p w:rsidR="007C408E" w:rsidRPr="006D54A5" w:rsidRDefault="005521B8" w:rsidP="007C408E">
      <w:pPr>
        <w:pStyle w:val="ListParagraph"/>
        <w:widowControl/>
        <w:numPr>
          <w:ilvl w:val="1"/>
          <w:numId w:val="18"/>
        </w:numPr>
        <w:rPr>
          <w:szCs w:val="22"/>
        </w:rPr>
      </w:pPr>
      <w:r w:rsidRPr="006D54A5">
        <w:t>The submission presented a c</w:t>
      </w:r>
      <w:r w:rsidR="00242984" w:rsidRPr="006D54A5">
        <w:t>ost-minimisation</w:t>
      </w:r>
      <w:r w:rsidR="00E72F3F" w:rsidRPr="006D54A5">
        <w:t xml:space="preserve"> analysis, despite the</w:t>
      </w:r>
      <w:r w:rsidRPr="006D54A5">
        <w:t xml:space="preserve"> claim of superiority</w:t>
      </w:r>
      <w:r w:rsidR="00023512" w:rsidRPr="006D54A5">
        <w:t xml:space="preserve"> in efficacy and inferior safety and a proposed place in therapy after failure of treatment with the comparators</w:t>
      </w:r>
      <w:r w:rsidR="001E2361" w:rsidRPr="006D54A5">
        <w:t>,</w:t>
      </w:r>
      <w:r w:rsidRPr="006D54A5">
        <w:t xml:space="preserve"> due to difficulties in quantifying </w:t>
      </w:r>
      <w:r w:rsidR="00FE211A" w:rsidRPr="006D54A5">
        <w:t xml:space="preserve">the </w:t>
      </w:r>
      <w:r w:rsidRPr="006D54A5">
        <w:t>benefits</w:t>
      </w:r>
      <w:r w:rsidR="00FE211A" w:rsidRPr="006D54A5">
        <w:t xml:space="preserve"> of pasireotide in terms of quality-adjusted life years</w:t>
      </w:r>
      <w:r w:rsidR="007C408E" w:rsidRPr="006D54A5">
        <w:t xml:space="preserve"> (QALYs)</w:t>
      </w:r>
      <w:r w:rsidR="00833B05" w:rsidRPr="006D54A5">
        <w:t xml:space="preserve">. </w:t>
      </w:r>
      <w:r w:rsidR="006E2E28" w:rsidRPr="006D54A5">
        <w:t xml:space="preserve">The ESC </w:t>
      </w:r>
      <w:r w:rsidR="0080245D" w:rsidRPr="006D54A5">
        <w:t xml:space="preserve">noted </w:t>
      </w:r>
      <w:r w:rsidR="006E2E28" w:rsidRPr="006D54A5">
        <w:t xml:space="preserve">that there was no observed statistically significant effect on </w:t>
      </w:r>
      <w:r w:rsidR="0080245D" w:rsidRPr="006D54A5">
        <w:t>quality of life</w:t>
      </w:r>
      <w:r w:rsidR="006E2E28" w:rsidRPr="006D54A5">
        <w:t xml:space="preserve"> in the </w:t>
      </w:r>
      <w:r w:rsidR="0079556F" w:rsidRPr="006D54A5">
        <w:t>short-term</w:t>
      </w:r>
      <w:r w:rsidR="006E2E28" w:rsidRPr="006D54A5">
        <w:t xml:space="preserve"> trial, and </w:t>
      </w:r>
      <w:r w:rsidR="00023512" w:rsidRPr="006D54A5">
        <w:t>the</w:t>
      </w:r>
      <w:r w:rsidR="006E2E28" w:rsidRPr="006D54A5">
        <w:t xml:space="preserve"> </w:t>
      </w:r>
      <w:r w:rsidR="0079556F" w:rsidRPr="006D54A5">
        <w:t>long-term</w:t>
      </w:r>
      <w:r w:rsidR="006E2E28" w:rsidRPr="006D54A5">
        <w:t xml:space="preserve"> impact of better biochemical control and more </w:t>
      </w:r>
      <w:r w:rsidR="00410594" w:rsidRPr="006D54A5">
        <w:t>adverse events</w:t>
      </w:r>
      <w:r w:rsidR="006E2E28" w:rsidRPr="006D54A5">
        <w:t xml:space="preserve"> including diabetes on QALYs has not been assessed. </w:t>
      </w:r>
      <w:r w:rsidR="0080245D" w:rsidRPr="006D54A5">
        <w:t>This would require modelling of these outcomes.</w:t>
      </w:r>
    </w:p>
    <w:p w:rsidR="00544B30" w:rsidRPr="006D54A5" w:rsidRDefault="00544B30" w:rsidP="00544B30">
      <w:pPr>
        <w:pStyle w:val="ListParagraph"/>
        <w:widowControl/>
        <w:rPr>
          <w:szCs w:val="22"/>
        </w:rPr>
      </w:pPr>
    </w:p>
    <w:p w:rsidR="00A86E8B" w:rsidRPr="006D54A5" w:rsidRDefault="00A86E8B" w:rsidP="00A86E8B">
      <w:pPr>
        <w:pStyle w:val="ListParagraph"/>
        <w:widowControl/>
        <w:numPr>
          <w:ilvl w:val="1"/>
          <w:numId w:val="18"/>
        </w:numPr>
        <w:rPr>
          <w:szCs w:val="22"/>
        </w:rPr>
      </w:pPr>
      <w:r w:rsidRPr="006D54A5">
        <w:t xml:space="preserve">The </w:t>
      </w:r>
      <w:proofErr w:type="spellStart"/>
      <w:r w:rsidRPr="006D54A5">
        <w:t>equi</w:t>
      </w:r>
      <w:proofErr w:type="spellEnd"/>
      <w:r w:rsidRPr="006D54A5">
        <w:t xml:space="preserve">-effective doses </w:t>
      </w:r>
      <w:r w:rsidR="00242984" w:rsidRPr="006D54A5">
        <w:t xml:space="preserve">were assumed to be the doses used in Trial C2402: pasireotide LAR 40mg or 60mg every 28 days of ongoing therapy; and either </w:t>
      </w:r>
      <w:proofErr w:type="spellStart"/>
      <w:r w:rsidR="00242984" w:rsidRPr="006D54A5">
        <w:t>octreotide</w:t>
      </w:r>
      <w:proofErr w:type="spellEnd"/>
      <w:r w:rsidR="00242984" w:rsidRPr="006D54A5">
        <w:t xml:space="preserve"> LAR 30mg or lanreotide ATG 120mg every 28 days of ongoing therapy. There has been no formal assessment of </w:t>
      </w:r>
      <w:proofErr w:type="spellStart"/>
      <w:r w:rsidR="00242984" w:rsidRPr="006D54A5">
        <w:t>equi</w:t>
      </w:r>
      <w:proofErr w:type="spellEnd"/>
      <w:r w:rsidR="00242984" w:rsidRPr="006D54A5">
        <w:t xml:space="preserve">-effective doses, although the submission argued that the evidence of superior efficacy of pasireotide LAR at both 40mg and 60mg dose strengths over the nominated comparator doses made such a </w:t>
      </w:r>
      <w:r w:rsidR="00242984" w:rsidRPr="006D54A5">
        <w:lastRenderedPageBreak/>
        <w:t>comparison reasonable.</w:t>
      </w:r>
      <w:r w:rsidR="006E2E28" w:rsidRPr="006D54A5">
        <w:t xml:space="preserve"> The ESC considered that the superior biochemical efficacy and greater toxicity of pasireotide than the </w:t>
      </w:r>
      <w:r w:rsidR="00E866F8" w:rsidRPr="006D54A5">
        <w:t>comparators suggest</w:t>
      </w:r>
      <w:r w:rsidR="006E2E28" w:rsidRPr="006D54A5">
        <w:t xml:space="preserve"> that this is not an</w:t>
      </w:r>
      <w:r w:rsidR="006E2E28" w:rsidRPr="006D54A5">
        <w:rPr>
          <w:i/>
        </w:rPr>
        <w:t xml:space="preserve"> </w:t>
      </w:r>
      <w:r w:rsidR="0080245D" w:rsidRPr="006D54A5">
        <w:t xml:space="preserve">appropriate basis to determine an </w:t>
      </w:r>
      <w:proofErr w:type="spellStart"/>
      <w:r w:rsidR="006E2E28" w:rsidRPr="006D54A5">
        <w:t>equi</w:t>
      </w:r>
      <w:proofErr w:type="spellEnd"/>
      <w:r w:rsidR="006E2E28" w:rsidRPr="006D54A5">
        <w:t>-effective dose and that a cost-minimisation analysis may not be appropriate here.</w:t>
      </w:r>
      <w:r w:rsidR="00145CAB" w:rsidRPr="006D54A5">
        <w:t xml:space="preserve"> </w:t>
      </w:r>
    </w:p>
    <w:p w:rsidR="00A07F5A" w:rsidRPr="006D54A5" w:rsidRDefault="00A07F5A" w:rsidP="00A07F5A">
      <w:pPr>
        <w:widowControl/>
        <w:rPr>
          <w:szCs w:val="22"/>
        </w:rPr>
      </w:pPr>
    </w:p>
    <w:p w:rsidR="00AC4D26" w:rsidRPr="006D54A5" w:rsidRDefault="00B53761" w:rsidP="00C87F81">
      <w:pPr>
        <w:pStyle w:val="ListParagraph"/>
        <w:widowControl/>
        <w:numPr>
          <w:ilvl w:val="1"/>
          <w:numId w:val="18"/>
        </w:numPr>
        <w:rPr>
          <w:szCs w:val="22"/>
        </w:rPr>
      </w:pPr>
      <w:r w:rsidRPr="006D54A5">
        <w:t xml:space="preserve">The submission calculated a weighted average price for the comparators, </w:t>
      </w:r>
      <w:proofErr w:type="spellStart"/>
      <w:r w:rsidRPr="006D54A5">
        <w:t>octreotide</w:t>
      </w:r>
      <w:proofErr w:type="spellEnd"/>
      <w:r w:rsidRPr="006D54A5">
        <w:t xml:space="preserve"> LAR 30mg and lanreotide ATG 120mg</w:t>
      </w:r>
      <w:r w:rsidR="00524DC7" w:rsidRPr="006D54A5">
        <w:t>, based on proportional use in the 2014 calendar year</w:t>
      </w:r>
      <w:r w:rsidR="00E16674" w:rsidRPr="006D54A5">
        <w:t xml:space="preserve">. </w:t>
      </w:r>
      <w:r w:rsidRPr="006D54A5">
        <w:t xml:space="preserve">The submission proposed a cost-minimised price for pasireotide LAR that incorporated a cost-offset for the cost of managing </w:t>
      </w:r>
      <w:r w:rsidR="001E2361" w:rsidRPr="006D54A5">
        <w:t>hyperglycaemic events and d</w:t>
      </w:r>
      <w:r w:rsidRPr="006D54A5">
        <w:t>iabetes.</w:t>
      </w:r>
      <w:r w:rsidR="00141F18" w:rsidRPr="006D54A5">
        <w:t xml:space="preserve"> Weighted costs of diabetes medicines were calculated from Medicare data, and the costs were applied to the proportion of patients from Trial C2402 who initiated those diabetes medicines during the trial. This </w:t>
      </w:r>
      <w:r w:rsidR="0001332E" w:rsidRPr="006D54A5">
        <w:t>wa</w:t>
      </w:r>
      <w:r w:rsidR="00141F18" w:rsidRPr="006D54A5">
        <w:t xml:space="preserve">s </w:t>
      </w:r>
      <w:r w:rsidR="007000D5" w:rsidRPr="006D54A5">
        <w:t xml:space="preserve">considered a substantial </w:t>
      </w:r>
      <w:r w:rsidR="00141F18" w:rsidRPr="006D54A5">
        <w:t xml:space="preserve">underestimate of the costs associated with management of diabetes. The estimate </w:t>
      </w:r>
      <w:r w:rsidR="0001332E" w:rsidRPr="006D54A5">
        <w:t>did</w:t>
      </w:r>
      <w:r w:rsidR="00141F18" w:rsidRPr="006D54A5">
        <w:t xml:space="preserve"> not take into account the costs of treating exacerbations of symptoms in patients already taking diabetes medicines, progression of disease, </w:t>
      </w:r>
      <w:r w:rsidR="0001332E" w:rsidRPr="006D54A5">
        <w:t>or</w:t>
      </w:r>
      <w:r w:rsidR="00141F18" w:rsidRPr="006D54A5">
        <w:t xml:space="preserve"> the costs of treating complications of diabetes. The proposed reduction in cost represents a less than 0.5% discount on the effective DPMQ for pasireotide LAR.</w:t>
      </w:r>
      <w:r w:rsidR="00154377" w:rsidRPr="006D54A5">
        <w:rPr>
          <w:i/>
        </w:rPr>
        <w:t xml:space="preserve"> </w:t>
      </w:r>
      <w:r w:rsidR="006E2E28" w:rsidRPr="006D54A5">
        <w:t xml:space="preserve">The ESC noted </w:t>
      </w:r>
      <w:r w:rsidR="00AC4D26" w:rsidRPr="006D54A5">
        <w:t xml:space="preserve">the above </w:t>
      </w:r>
      <w:r w:rsidR="006E2E28" w:rsidRPr="006D54A5">
        <w:t>and agreed with the evaluation.</w:t>
      </w:r>
    </w:p>
    <w:p w:rsidR="00AC4D26" w:rsidRPr="006D54A5" w:rsidRDefault="00AC4D26" w:rsidP="00AC4D26">
      <w:pPr>
        <w:pStyle w:val="ListParagraph"/>
        <w:widowControl/>
        <w:rPr>
          <w:szCs w:val="22"/>
        </w:rPr>
      </w:pPr>
    </w:p>
    <w:p w:rsidR="00481B3A" w:rsidRPr="006D54A5" w:rsidRDefault="00C87F81" w:rsidP="00B50DB8">
      <w:pPr>
        <w:pStyle w:val="ListParagraph"/>
        <w:widowControl/>
        <w:numPr>
          <w:ilvl w:val="1"/>
          <w:numId w:val="18"/>
        </w:numPr>
        <w:rPr>
          <w:szCs w:val="22"/>
        </w:rPr>
      </w:pPr>
      <w:r w:rsidRPr="006D54A5">
        <w:rPr>
          <w:szCs w:val="22"/>
        </w:rPr>
        <w:t>The PSCR</w:t>
      </w:r>
      <w:r w:rsidR="00B67E8F" w:rsidRPr="006D54A5">
        <w:rPr>
          <w:szCs w:val="22"/>
        </w:rPr>
        <w:t xml:space="preserve"> (p3)</w:t>
      </w:r>
      <w:r w:rsidR="00AC4D26" w:rsidRPr="006D54A5">
        <w:rPr>
          <w:szCs w:val="22"/>
        </w:rPr>
        <w:t xml:space="preserve"> claim</w:t>
      </w:r>
      <w:r w:rsidR="00A07F5A" w:rsidRPr="006D54A5">
        <w:rPr>
          <w:szCs w:val="22"/>
        </w:rPr>
        <w:t>ed</w:t>
      </w:r>
      <w:r w:rsidRPr="006D54A5">
        <w:rPr>
          <w:szCs w:val="22"/>
        </w:rPr>
        <w:t xml:space="preserve"> </w:t>
      </w:r>
      <w:r w:rsidR="00A07F5A" w:rsidRPr="006D54A5">
        <w:rPr>
          <w:szCs w:val="22"/>
        </w:rPr>
        <w:t xml:space="preserve">that the cost of treating </w:t>
      </w:r>
      <w:r w:rsidR="00B93FE9" w:rsidRPr="006D54A5">
        <w:rPr>
          <w:szCs w:val="22"/>
        </w:rPr>
        <w:t xml:space="preserve">hyperglycaemia-related adverse events over time </w:t>
      </w:r>
      <w:r w:rsidR="00A07F5A" w:rsidRPr="006D54A5">
        <w:rPr>
          <w:szCs w:val="22"/>
        </w:rPr>
        <w:t>will decrease</w:t>
      </w:r>
      <w:r w:rsidR="00B93FE9" w:rsidRPr="006D54A5">
        <w:rPr>
          <w:szCs w:val="22"/>
        </w:rPr>
        <w:t xml:space="preserve">. The ESC considered the response did not adequately address the treatment costs of micro and </w:t>
      </w:r>
      <w:proofErr w:type="spellStart"/>
      <w:r w:rsidR="00B93FE9" w:rsidRPr="006D54A5">
        <w:rPr>
          <w:szCs w:val="22"/>
        </w:rPr>
        <w:t>macrovascular</w:t>
      </w:r>
      <w:proofErr w:type="spellEnd"/>
      <w:r w:rsidR="00B93FE9" w:rsidRPr="006D54A5">
        <w:rPr>
          <w:szCs w:val="22"/>
        </w:rPr>
        <w:t xml:space="preserve"> complication</w:t>
      </w:r>
      <w:r w:rsidR="00A07F5A" w:rsidRPr="006D54A5">
        <w:rPr>
          <w:szCs w:val="22"/>
        </w:rPr>
        <w:t>s</w:t>
      </w:r>
      <w:r w:rsidR="00B93FE9" w:rsidRPr="006D54A5">
        <w:rPr>
          <w:szCs w:val="22"/>
        </w:rPr>
        <w:t xml:space="preserve"> of diabetes mellitus.  </w:t>
      </w:r>
    </w:p>
    <w:p w:rsidR="00481B3A" w:rsidRPr="006D54A5" w:rsidRDefault="00481B3A" w:rsidP="00481B3A">
      <w:pPr>
        <w:pStyle w:val="ListParagraph"/>
        <w:rPr>
          <w:i/>
          <w:szCs w:val="22"/>
        </w:rPr>
      </w:pPr>
    </w:p>
    <w:p w:rsidR="00481B3A" w:rsidRPr="006D54A5" w:rsidRDefault="00481B3A" w:rsidP="00481B3A">
      <w:pPr>
        <w:widowControl/>
        <w:ind w:left="709"/>
        <w:rPr>
          <w:i/>
          <w:szCs w:val="22"/>
        </w:rPr>
      </w:pPr>
      <w:r w:rsidRPr="006D54A5">
        <w:rPr>
          <w:i/>
          <w:szCs w:val="22"/>
        </w:rPr>
        <w:t xml:space="preserve">For more details on PBAC’s view, see section 7 “PBAC outcome” </w:t>
      </w:r>
    </w:p>
    <w:p w:rsidR="00C87F81" w:rsidRPr="006D54A5" w:rsidRDefault="00C87F81" w:rsidP="00481B3A">
      <w:pPr>
        <w:pStyle w:val="ListParagraph"/>
        <w:widowControl/>
        <w:rPr>
          <w:szCs w:val="22"/>
        </w:rPr>
      </w:pPr>
    </w:p>
    <w:p w:rsidR="00832612" w:rsidRPr="006D54A5" w:rsidRDefault="00CE37DE" w:rsidP="00832612">
      <w:pPr>
        <w:pStyle w:val="Heading2"/>
        <w:tabs>
          <w:tab w:val="left" w:pos="4820"/>
        </w:tabs>
        <w:rPr>
          <w:i/>
        </w:rPr>
      </w:pPr>
      <w:bookmarkStart w:id="14" w:name="_Toc430013044"/>
      <w:r w:rsidRPr="006D54A5">
        <w:rPr>
          <w:i/>
        </w:rPr>
        <w:t xml:space="preserve">Effective </w:t>
      </w:r>
      <w:proofErr w:type="spellStart"/>
      <w:r w:rsidR="00832612" w:rsidRPr="006D54A5">
        <w:rPr>
          <w:i/>
        </w:rPr>
        <w:t>pasireotide</w:t>
      </w:r>
      <w:proofErr w:type="spellEnd"/>
      <w:r w:rsidR="00832612" w:rsidRPr="006D54A5">
        <w:rPr>
          <w:i/>
        </w:rPr>
        <w:t xml:space="preserve"> LAR</w:t>
      </w:r>
      <w:r w:rsidR="00C25D9C" w:rsidRPr="006D54A5">
        <w:rPr>
          <w:i/>
        </w:rPr>
        <w:t xml:space="preserve"> cost/patient/year:</w:t>
      </w:r>
      <w:r w:rsidR="00203F9F" w:rsidRPr="006D54A5">
        <w:rPr>
          <w:i/>
        </w:rPr>
        <w:t xml:space="preserve"> </w:t>
      </w:r>
      <w:r w:rsidR="00832612" w:rsidRPr="006D54A5">
        <w:rPr>
          <w:i/>
        </w:rPr>
        <w:tab/>
      </w:r>
      <w:r w:rsidR="00203F9F" w:rsidRPr="006D54A5">
        <w:rPr>
          <w:i/>
        </w:rPr>
        <w:t>$</w:t>
      </w:r>
      <w:r w:rsidR="000367B3">
        <w:rPr>
          <w:i/>
          <w:noProof/>
          <w:color w:val="000000"/>
          <w:highlight w:val="black"/>
        </w:rPr>
        <w:t>'''''''''''''''''''''</w:t>
      </w:r>
      <w:r w:rsidR="00203F9F" w:rsidRPr="006D54A5">
        <w:rPr>
          <w:i/>
        </w:rPr>
        <w:t xml:space="preserve"> (public hospital)</w:t>
      </w:r>
      <w:r w:rsidRPr="006D54A5">
        <w:rPr>
          <w:i/>
        </w:rPr>
        <w:t>;</w:t>
      </w:r>
      <w:bookmarkEnd w:id="14"/>
      <w:r w:rsidRPr="006D54A5">
        <w:t xml:space="preserve"> </w:t>
      </w:r>
    </w:p>
    <w:p w:rsidR="00C25D9C" w:rsidRPr="006D54A5" w:rsidRDefault="00CE37DE" w:rsidP="00DF4747">
      <w:pPr>
        <w:ind w:left="4820"/>
        <w:rPr>
          <w:b/>
          <w:i/>
        </w:rPr>
      </w:pPr>
      <w:r w:rsidRPr="006D54A5">
        <w:rPr>
          <w:b/>
          <w:i/>
        </w:rPr>
        <w:t>$</w:t>
      </w:r>
      <w:r w:rsidR="000367B3">
        <w:rPr>
          <w:b/>
          <w:i/>
          <w:noProof/>
          <w:color w:val="000000"/>
          <w:highlight w:val="black"/>
        </w:rPr>
        <w:t>'''''''''''''''''''</w:t>
      </w:r>
      <w:r w:rsidRPr="006D54A5">
        <w:rPr>
          <w:b/>
          <w:i/>
        </w:rPr>
        <w:t xml:space="preserve"> (private hospital)</w:t>
      </w:r>
    </w:p>
    <w:p w:rsidR="00CE37DE" w:rsidRPr="006D54A5" w:rsidRDefault="00CE37DE" w:rsidP="00CE37DE">
      <w:pPr>
        <w:keepNext/>
        <w:rPr>
          <w:szCs w:val="22"/>
        </w:rPr>
      </w:pPr>
    </w:p>
    <w:p w:rsidR="00A86E8B" w:rsidRPr="006D54A5" w:rsidRDefault="00CE37DE" w:rsidP="00CE37DE">
      <w:pPr>
        <w:pStyle w:val="ListParagraph"/>
        <w:widowControl/>
        <w:numPr>
          <w:ilvl w:val="1"/>
          <w:numId w:val="18"/>
        </w:numPr>
        <w:rPr>
          <w:szCs w:val="22"/>
        </w:rPr>
      </w:pPr>
      <w:r w:rsidRPr="006D54A5">
        <w:rPr>
          <w:szCs w:val="22"/>
        </w:rPr>
        <w:t>The cost of pasireotide LAR treatment per patient per year was calculated by multiplying the effective DPMQ ($</w:t>
      </w:r>
      <w:r w:rsidR="000367B3">
        <w:rPr>
          <w:noProof/>
          <w:color w:val="000000"/>
          <w:szCs w:val="22"/>
          <w:highlight w:val="black"/>
        </w:rPr>
        <w:t>'''''''''''''''''''''</w:t>
      </w:r>
      <w:r w:rsidRPr="006D54A5">
        <w:rPr>
          <w:szCs w:val="22"/>
        </w:rPr>
        <w:t xml:space="preserve"> for public hospitals and $</w:t>
      </w:r>
      <w:r w:rsidR="000367B3">
        <w:rPr>
          <w:noProof/>
          <w:color w:val="000000"/>
          <w:szCs w:val="22"/>
          <w:highlight w:val="black"/>
        </w:rPr>
        <w:t>''''''''''''''''''''</w:t>
      </w:r>
      <w:r w:rsidRPr="006D54A5">
        <w:rPr>
          <w:szCs w:val="22"/>
        </w:rPr>
        <w:t xml:space="preserve"> for private hospitals) by 6.5 scripts per year (each script is for two injections, administered every 28 days). Treatment is ongoing. The cost per patient per year for </w:t>
      </w:r>
      <w:proofErr w:type="spellStart"/>
      <w:r w:rsidR="0001332E" w:rsidRPr="006D54A5">
        <w:rPr>
          <w:szCs w:val="22"/>
        </w:rPr>
        <w:t>o</w:t>
      </w:r>
      <w:r w:rsidRPr="006D54A5">
        <w:rPr>
          <w:szCs w:val="22"/>
        </w:rPr>
        <w:t>ctreotide</w:t>
      </w:r>
      <w:proofErr w:type="spellEnd"/>
      <w:r w:rsidRPr="006D54A5">
        <w:rPr>
          <w:szCs w:val="22"/>
        </w:rPr>
        <w:t xml:space="preserve"> LAR at the maximum dose of 30mg is $</w:t>
      </w:r>
      <w:r w:rsidR="000367B3">
        <w:rPr>
          <w:noProof/>
          <w:color w:val="000000"/>
          <w:szCs w:val="22"/>
          <w:highlight w:val="black"/>
        </w:rPr>
        <w:t>''''''''''''''''''''''</w:t>
      </w:r>
      <w:r w:rsidRPr="006D54A5">
        <w:rPr>
          <w:szCs w:val="22"/>
        </w:rPr>
        <w:t xml:space="preserve"> (public) and $</w:t>
      </w:r>
      <w:r w:rsidR="000367B3">
        <w:rPr>
          <w:noProof/>
          <w:color w:val="000000"/>
          <w:szCs w:val="22"/>
          <w:highlight w:val="black"/>
        </w:rPr>
        <w:t>''''''''''''''''''''''''''</w:t>
      </w:r>
      <w:r w:rsidRPr="006D54A5">
        <w:rPr>
          <w:szCs w:val="22"/>
        </w:rPr>
        <w:t xml:space="preserve"> (private), and the equivalent cost for lanreotide ATG at the maximum dose of 120mg is $</w:t>
      </w:r>
      <w:r w:rsidR="000367B3">
        <w:rPr>
          <w:noProof/>
          <w:color w:val="000000"/>
          <w:szCs w:val="22"/>
          <w:highlight w:val="black"/>
        </w:rPr>
        <w:t>''''''''''''''''''''''''</w:t>
      </w:r>
      <w:r w:rsidRPr="006D54A5">
        <w:rPr>
          <w:szCs w:val="22"/>
        </w:rPr>
        <w:t xml:space="preserve"> (public) and $</w:t>
      </w:r>
      <w:r w:rsidR="000367B3">
        <w:rPr>
          <w:noProof/>
          <w:color w:val="000000"/>
          <w:szCs w:val="22"/>
          <w:highlight w:val="black"/>
        </w:rPr>
        <w:t>'''''''''''''''''''''''</w:t>
      </w:r>
      <w:r w:rsidRPr="006D54A5">
        <w:rPr>
          <w:szCs w:val="22"/>
        </w:rPr>
        <w:t xml:space="preserve"> (private).</w:t>
      </w:r>
    </w:p>
    <w:p w:rsidR="005155F5" w:rsidRPr="006D54A5" w:rsidRDefault="005155F5" w:rsidP="00B5580D">
      <w:pPr>
        <w:pStyle w:val="BodyText"/>
      </w:pPr>
      <w:bookmarkStart w:id="15" w:name="_Toc430013045"/>
    </w:p>
    <w:p w:rsidR="00B60939" w:rsidRPr="00B5580D" w:rsidRDefault="00B60939" w:rsidP="002C2775">
      <w:pPr>
        <w:pStyle w:val="Heading2"/>
      </w:pPr>
      <w:r w:rsidRPr="00B5580D">
        <w:t>Estimated PBS usage &amp; financial implications</w:t>
      </w:r>
      <w:bookmarkEnd w:id="15"/>
    </w:p>
    <w:p w:rsidR="00B60939" w:rsidRPr="00B5580D" w:rsidRDefault="00B60939" w:rsidP="00B60939">
      <w:pPr>
        <w:ind w:left="720" w:hanging="720"/>
        <w:rPr>
          <w:szCs w:val="22"/>
        </w:rPr>
      </w:pPr>
    </w:p>
    <w:p w:rsidR="0072416F" w:rsidRPr="006D54A5" w:rsidRDefault="00CE37DE" w:rsidP="00B50DB8">
      <w:pPr>
        <w:pStyle w:val="ListParagraph"/>
        <w:widowControl/>
        <w:numPr>
          <w:ilvl w:val="1"/>
          <w:numId w:val="18"/>
        </w:numPr>
        <w:rPr>
          <w:szCs w:val="22"/>
        </w:rPr>
      </w:pPr>
      <w:r w:rsidRPr="006D54A5">
        <w:t xml:space="preserve">This submission </w:t>
      </w:r>
      <w:r w:rsidR="00762E96" w:rsidRPr="006D54A5">
        <w:t xml:space="preserve">was </w:t>
      </w:r>
      <w:r w:rsidR="00C25D9C" w:rsidRPr="006D54A5">
        <w:t xml:space="preserve">not considered by DUSC. </w:t>
      </w:r>
      <w:r w:rsidRPr="006D54A5">
        <w:t>The submission t</w:t>
      </w:r>
      <w:r w:rsidR="0021376F" w:rsidRPr="006D54A5">
        <w:t>ook</w:t>
      </w:r>
      <w:r w:rsidRPr="006D54A5">
        <w:t xml:space="preserve"> an epidemiological approach to estimating utilisation and financial implications of listing pasireotide LAR, using published sources of acromegaly prevale</w:t>
      </w:r>
      <w:r w:rsidR="00832612" w:rsidRPr="006D54A5">
        <w:t xml:space="preserve">nce/incidence and use of somatostatin analogues for treatment. The submission assumed that only 50% of the eligible patient population would initiate treatment with pasireotide LAR. This </w:t>
      </w:r>
      <w:r w:rsidR="0001332E" w:rsidRPr="006D54A5">
        <w:t>wa</w:t>
      </w:r>
      <w:r w:rsidR="00832612" w:rsidRPr="006D54A5">
        <w:t xml:space="preserve">s </w:t>
      </w:r>
      <w:r w:rsidR="0001332E" w:rsidRPr="006D54A5">
        <w:t xml:space="preserve">considered </w:t>
      </w:r>
      <w:r w:rsidR="00832612" w:rsidRPr="006D54A5">
        <w:t>a likely underestimate</w:t>
      </w:r>
      <w:r w:rsidR="0021376F" w:rsidRPr="006D54A5">
        <w:t xml:space="preserve"> given that patients eligible for treatment under the requested restriction are inadequately controlled on currently available therapies</w:t>
      </w:r>
      <w:r w:rsidR="00832612" w:rsidRPr="006D54A5">
        <w:t>.</w:t>
      </w:r>
      <w:r w:rsidR="00C25D9C" w:rsidRPr="006D54A5">
        <w:t xml:space="preserve"> </w:t>
      </w:r>
      <w:r w:rsidR="00AC4D26" w:rsidRPr="006D54A5">
        <w:t>The ESC noted the above and agreed with the evaluation</w:t>
      </w:r>
      <w:r w:rsidR="00AC4D26" w:rsidRPr="006D54A5">
        <w:rPr>
          <w:i/>
        </w:rPr>
        <w:t>.</w:t>
      </w:r>
    </w:p>
    <w:p w:rsidR="00C25D9C" w:rsidRPr="006D54A5" w:rsidRDefault="00C25D9C" w:rsidP="00C25D9C">
      <w:pPr>
        <w:widowControl/>
        <w:rPr>
          <w:szCs w:val="22"/>
        </w:rPr>
      </w:pPr>
    </w:p>
    <w:p w:rsidR="003E0C57" w:rsidRPr="006D54A5" w:rsidRDefault="003E0C57">
      <w:pPr>
        <w:widowControl/>
        <w:jc w:val="left"/>
        <w:rPr>
          <w:rStyle w:val="CommentReference"/>
        </w:rPr>
      </w:pPr>
      <w:r w:rsidRPr="006D54A5">
        <w:rPr>
          <w:rStyle w:val="CommentReference"/>
        </w:rPr>
        <w:br w:type="page"/>
      </w:r>
    </w:p>
    <w:p w:rsidR="00B5580D" w:rsidRPr="00B5580D" w:rsidRDefault="00B5580D" w:rsidP="00B5580D">
      <w:pPr>
        <w:pStyle w:val="Caption"/>
        <w:keepNext/>
        <w:ind w:firstLine="720"/>
        <w:rPr>
          <w:rFonts w:ascii="Arial Narrow" w:hAnsi="Arial Narrow"/>
          <w:color w:val="auto"/>
          <w:sz w:val="20"/>
          <w:szCs w:val="20"/>
        </w:rPr>
      </w:pPr>
      <w:r w:rsidRPr="00B5580D">
        <w:rPr>
          <w:rFonts w:ascii="Arial Narrow" w:hAnsi="Arial Narrow"/>
          <w:color w:val="auto"/>
          <w:sz w:val="20"/>
          <w:szCs w:val="20"/>
        </w:rPr>
        <w:lastRenderedPageBreak/>
        <w:t xml:space="preserve">Table </w:t>
      </w:r>
      <w:r w:rsidRPr="00B5580D">
        <w:rPr>
          <w:rFonts w:ascii="Arial Narrow" w:hAnsi="Arial Narrow"/>
          <w:color w:val="auto"/>
          <w:sz w:val="20"/>
          <w:szCs w:val="20"/>
        </w:rPr>
        <w:fldChar w:fldCharType="begin"/>
      </w:r>
      <w:r w:rsidRPr="00B5580D">
        <w:rPr>
          <w:rFonts w:ascii="Arial Narrow" w:hAnsi="Arial Narrow"/>
          <w:color w:val="auto"/>
          <w:sz w:val="20"/>
          <w:szCs w:val="20"/>
        </w:rPr>
        <w:instrText xml:space="preserve"> SEQ Table \* ARABIC </w:instrText>
      </w:r>
      <w:r w:rsidRPr="00B5580D">
        <w:rPr>
          <w:rFonts w:ascii="Arial Narrow" w:hAnsi="Arial Narrow"/>
          <w:color w:val="auto"/>
          <w:sz w:val="20"/>
          <w:szCs w:val="20"/>
        </w:rPr>
        <w:fldChar w:fldCharType="separate"/>
      </w:r>
      <w:r w:rsidR="0018573A">
        <w:rPr>
          <w:rFonts w:ascii="Arial Narrow" w:hAnsi="Arial Narrow"/>
          <w:noProof/>
          <w:color w:val="auto"/>
          <w:sz w:val="20"/>
          <w:szCs w:val="20"/>
        </w:rPr>
        <w:t>6</w:t>
      </w:r>
      <w:r w:rsidRPr="00B5580D">
        <w:rPr>
          <w:rFonts w:ascii="Arial Narrow" w:hAnsi="Arial Narrow"/>
          <w:color w:val="auto"/>
          <w:sz w:val="20"/>
          <w:szCs w:val="20"/>
        </w:rPr>
        <w:fldChar w:fldCharType="end"/>
      </w:r>
      <w:r w:rsidRPr="00B5580D">
        <w:rPr>
          <w:rFonts w:ascii="Arial Narrow" w:hAnsi="Arial Narrow"/>
          <w:color w:val="auto"/>
          <w:sz w:val="20"/>
          <w:szCs w:val="20"/>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Utilisation estimates and financial implications"/>
      </w:tblPr>
      <w:tblGrid>
        <w:gridCol w:w="2269"/>
        <w:gridCol w:w="1134"/>
        <w:gridCol w:w="1134"/>
        <w:gridCol w:w="1275"/>
        <w:gridCol w:w="1275"/>
        <w:gridCol w:w="1260"/>
      </w:tblGrid>
      <w:tr w:rsidR="00C25D9C" w:rsidRPr="006D54A5" w:rsidTr="005D044D">
        <w:trPr>
          <w:tblHeader/>
        </w:trPr>
        <w:tc>
          <w:tcPr>
            <w:tcW w:w="1359" w:type="pct"/>
            <w:shd w:val="clear" w:color="auto" w:fill="auto"/>
            <w:vAlign w:val="center"/>
          </w:tcPr>
          <w:p w:rsidR="00C25D9C" w:rsidRPr="006D54A5"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6D54A5" w:rsidRDefault="00C25D9C" w:rsidP="00B8649C">
            <w:pPr>
              <w:jc w:val="center"/>
              <w:rPr>
                <w:rFonts w:ascii="Arial Narrow" w:hAnsi="Arial Narrow"/>
                <w:b/>
                <w:sz w:val="20"/>
              </w:rPr>
            </w:pPr>
            <w:r w:rsidRPr="006D54A5">
              <w:rPr>
                <w:rFonts w:ascii="Arial Narrow" w:hAnsi="Arial Narrow"/>
                <w:b/>
                <w:sz w:val="20"/>
              </w:rPr>
              <w:t>Year 1</w:t>
            </w:r>
          </w:p>
        </w:tc>
        <w:tc>
          <w:tcPr>
            <w:tcW w:w="679" w:type="pct"/>
            <w:shd w:val="clear" w:color="auto" w:fill="auto"/>
            <w:vAlign w:val="center"/>
          </w:tcPr>
          <w:p w:rsidR="00C25D9C" w:rsidRPr="006D54A5" w:rsidRDefault="00C25D9C" w:rsidP="00B8649C">
            <w:pPr>
              <w:jc w:val="center"/>
              <w:rPr>
                <w:rFonts w:ascii="Arial Narrow" w:hAnsi="Arial Narrow"/>
                <w:b/>
                <w:sz w:val="20"/>
              </w:rPr>
            </w:pPr>
            <w:r w:rsidRPr="006D54A5">
              <w:rPr>
                <w:rFonts w:ascii="Arial Narrow" w:hAnsi="Arial Narrow"/>
                <w:b/>
                <w:sz w:val="20"/>
              </w:rPr>
              <w:t>Year 2</w:t>
            </w:r>
          </w:p>
        </w:tc>
        <w:tc>
          <w:tcPr>
            <w:tcW w:w="764" w:type="pct"/>
            <w:shd w:val="clear" w:color="auto" w:fill="auto"/>
            <w:vAlign w:val="center"/>
          </w:tcPr>
          <w:p w:rsidR="00C25D9C" w:rsidRPr="006D54A5" w:rsidRDefault="00C25D9C" w:rsidP="00B8649C">
            <w:pPr>
              <w:jc w:val="center"/>
              <w:rPr>
                <w:rFonts w:ascii="Arial Narrow" w:hAnsi="Arial Narrow"/>
                <w:b/>
                <w:sz w:val="20"/>
              </w:rPr>
            </w:pPr>
            <w:r w:rsidRPr="006D54A5">
              <w:rPr>
                <w:rFonts w:ascii="Arial Narrow" w:hAnsi="Arial Narrow"/>
                <w:b/>
                <w:sz w:val="20"/>
              </w:rPr>
              <w:t>Year 3</w:t>
            </w:r>
          </w:p>
        </w:tc>
        <w:tc>
          <w:tcPr>
            <w:tcW w:w="764" w:type="pct"/>
            <w:shd w:val="clear" w:color="auto" w:fill="auto"/>
            <w:vAlign w:val="center"/>
          </w:tcPr>
          <w:p w:rsidR="00C25D9C" w:rsidRPr="006D54A5" w:rsidRDefault="00C25D9C" w:rsidP="00B8649C">
            <w:pPr>
              <w:jc w:val="center"/>
              <w:rPr>
                <w:rFonts w:ascii="Arial Narrow" w:hAnsi="Arial Narrow"/>
                <w:b/>
                <w:sz w:val="20"/>
              </w:rPr>
            </w:pPr>
            <w:r w:rsidRPr="006D54A5">
              <w:rPr>
                <w:rFonts w:ascii="Arial Narrow" w:hAnsi="Arial Narrow"/>
                <w:b/>
                <w:sz w:val="20"/>
              </w:rPr>
              <w:t>Year 4</w:t>
            </w:r>
          </w:p>
        </w:tc>
        <w:tc>
          <w:tcPr>
            <w:tcW w:w="755" w:type="pct"/>
            <w:shd w:val="clear" w:color="auto" w:fill="auto"/>
            <w:vAlign w:val="center"/>
          </w:tcPr>
          <w:p w:rsidR="00C25D9C" w:rsidRPr="006D54A5" w:rsidRDefault="00C25D9C" w:rsidP="00B8649C">
            <w:pPr>
              <w:jc w:val="center"/>
              <w:rPr>
                <w:rFonts w:ascii="Arial Narrow" w:hAnsi="Arial Narrow"/>
                <w:b/>
                <w:sz w:val="20"/>
              </w:rPr>
            </w:pPr>
            <w:r w:rsidRPr="006D54A5">
              <w:rPr>
                <w:rFonts w:ascii="Arial Narrow" w:hAnsi="Arial Narrow"/>
                <w:b/>
                <w:sz w:val="20"/>
              </w:rPr>
              <w:t>Year 5</w:t>
            </w:r>
          </w:p>
        </w:tc>
      </w:tr>
      <w:tr w:rsidR="00C25D9C" w:rsidRPr="006D54A5" w:rsidTr="005D044D">
        <w:tc>
          <w:tcPr>
            <w:tcW w:w="5000" w:type="pct"/>
            <w:gridSpan w:val="6"/>
            <w:shd w:val="clear" w:color="auto" w:fill="auto"/>
            <w:vAlign w:val="center"/>
          </w:tcPr>
          <w:p w:rsidR="00C25D9C" w:rsidRPr="006D54A5" w:rsidRDefault="00C25D9C" w:rsidP="00B8649C">
            <w:pPr>
              <w:jc w:val="left"/>
              <w:rPr>
                <w:rFonts w:ascii="Arial Narrow" w:hAnsi="Arial Narrow"/>
                <w:b/>
                <w:bCs/>
                <w:color w:val="000000"/>
                <w:sz w:val="20"/>
              </w:rPr>
            </w:pPr>
            <w:r w:rsidRPr="006D54A5">
              <w:rPr>
                <w:rFonts w:ascii="Arial Narrow" w:hAnsi="Arial Narrow"/>
                <w:b/>
                <w:bCs/>
                <w:color w:val="000000"/>
                <w:sz w:val="20"/>
              </w:rPr>
              <w:t>Estimated extent of use</w:t>
            </w:r>
          </w:p>
        </w:tc>
      </w:tr>
      <w:tr w:rsidR="00832B65" w:rsidRPr="006D54A5" w:rsidTr="005D044D">
        <w:tc>
          <w:tcPr>
            <w:tcW w:w="1359" w:type="pct"/>
            <w:shd w:val="clear" w:color="auto" w:fill="auto"/>
            <w:vAlign w:val="center"/>
          </w:tcPr>
          <w:p w:rsidR="00832B65" w:rsidRPr="006D54A5" w:rsidRDefault="00832B65" w:rsidP="00B8649C">
            <w:pPr>
              <w:tabs>
                <w:tab w:val="left" w:pos="142"/>
              </w:tabs>
              <w:jc w:val="left"/>
              <w:rPr>
                <w:rFonts w:ascii="Arial Narrow" w:hAnsi="Arial Narrow"/>
                <w:sz w:val="20"/>
              </w:rPr>
            </w:pPr>
            <w:r w:rsidRPr="006D54A5">
              <w:rPr>
                <w:rFonts w:ascii="Arial Narrow" w:hAnsi="Arial Narrow"/>
                <w:sz w:val="20"/>
              </w:rPr>
              <w:t>Number treated</w:t>
            </w:r>
          </w:p>
        </w:tc>
        <w:tc>
          <w:tcPr>
            <w:tcW w:w="679" w:type="pct"/>
            <w:shd w:val="clear" w:color="auto" w:fill="auto"/>
            <w:vAlign w:val="center"/>
          </w:tcPr>
          <w:p w:rsidR="00832B65" w:rsidRPr="000367B3" w:rsidRDefault="000367B3"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832B65" w:rsidRPr="000367B3" w:rsidRDefault="000367B3"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832B65" w:rsidRPr="000367B3" w:rsidRDefault="000367B3"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832B65" w:rsidRPr="000367B3" w:rsidRDefault="000367B3"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832B65" w:rsidRPr="000367B3" w:rsidRDefault="000367B3"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832B65" w:rsidRPr="006D54A5" w:rsidTr="005D044D">
        <w:tc>
          <w:tcPr>
            <w:tcW w:w="1359" w:type="pct"/>
            <w:shd w:val="clear" w:color="auto" w:fill="auto"/>
            <w:vAlign w:val="center"/>
          </w:tcPr>
          <w:p w:rsidR="00832B65" w:rsidRPr="006D54A5" w:rsidRDefault="00832B65" w:rsidP="00B8649C">
            <w:pPr>
              <w:tabs>
                <w:tab w:val="left" w:pos="142"/>
              </w:tabs>
              <w:jc w:val="left"/>
              <w:rPr>
                <w:rFonts w:ascii="Arial Narrow" w:hAnsi="Arial Narrow"/>
                <w:sz w:val="20"/>
              </w:rPr>
            </w:pPr>
            <w:r w:rsidRPr="006D54A5">
              <w:rPr>
                <w:rFonts w:ascii="Arial Narrow" w:hAnsi="Arial Narrow"/>
                <w:sz w:val="20"/>
              </w:rPr>
              <w:t>Scripts</w:t>
            </w:r>
            <w:r w:rsidR="001E2361" w:rsidRPr="006D54A5">
              <w:rPr>
                <w:rFonts w:ascii="Arial Narrow" w:hAnsi="Arial Narrow"/>
                <w:sz w:val="20"/>
              </w:rPr>
              <w:t xml:space="preserve"> </w:t>
            </w:r>
            <w:r w:rsidRPr="006D54A5">
              <w:rPr>
                <w:rFonts w:ascii="Arial Narrow" w:hAnsi="Arial Narrow"/>
                <w:sz w:val="20"/>
                <w:vertAlign w:val="superscript"/>
              </w:rPr>
              <w:t>a</w:t>
            </w:r>
          </w:p>
        </w:tc>
        <w:tc>
          <w:tcPr>
            <w:tcW w:w="679" w:type="pct"/>
            <w:shd w:val="clear" w:color="auto" w:fill="auto"/>
            <w:vAlign w:val="center"/>
          </w:tcPr>
          <w:p w:rsidR="00832B65" w:rsidRPr="000367B3" w:rsidRDefault="000367B3"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832B65" w:rsidRPr="000367B3" w:rsidRDefault="000367B3"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832B65" w:rsidRPr="000367B3" w:rsidRDefault="000367B3"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832B65" w:rsidRPr="000367B3" w:rsidRDefault="000367B3"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832B65" w:rsidRPr="000367B3" w:rsidRDefault="000367B3"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C25D9C" w:rsidRPr="006D54A5" w:rsidTr="005D044D">
        <w:tc>
          <w:tcPr>
            <w:tcW w:w="5000" w:type="pct"/>
            <w:gridSpan w:val="6"/>
            <w:shd w:val="clear" w:color="auto" w:fill="auto"/>
            <w:vAlign w:val="center"/>
          </w:tcPr>
          <w:p w:rsidR="00C25D9C" w:rsidRPr="006D54A5" w:rsidRDefault="00C25D9C" w:rsidP="00B8649C">
            <w:pPr>
              <w:jc w:val="left"/>
              <w:rPr>
                <w:rFonts w:ascii="Arial Narrow" w:hAnsi="Arial Narrow"/>
                <w:b/>
                <w:bCs/>
                <w:color w:val="000000"/>
                <w:sz w:val="20"/>
              </w:rPr>
            </w:pPr>
            <w:r w:rsidRPr="006D54A5">
              <w:rPr>
                <w:rFonts w:ascii="Arial Narrow" w:hAnsi="Arial Narrow"/>
                <w:b/>
                <w:bCs/>
                <w:color w:val="000000"/>
                <w:sz w:val="20"/>
              </w:rPr>
              <w:t>Estimated net cost to PBS/RPBS/MBS</w:t>
            </w:r>
          </w:p>
        </w:tc>
      </w:tr>
      <w:tr w:rsidR="00C25D9C" w:rsidRPr="006D54A5" w:rsidTr="005D044D">
        <w:tc>
          <w:tcPr>
            <w:tcW w:w="1359" w:type="pct"/>
            <w:shd w:val="clear" w:color="auto" w:fill="auto"/>
            <w:vAlign w:val="center"/>
          </w:tcPr>
          <w:p w:rsidR="00C25D9C" w:rsidRPr="006D54A5" w:rsidRDefault="00C25D9C" w:rsidP="00B8649C">
            <w:pPr>
              <w:tabs>
                <w:tab w:val="left" w:pos="142"/>
              </w:tabs>
              <w:jc w:val="left"/>
              <w:rPr>
                <w:rFonts w:ascii="Arial Narrow" w:hAnsi="Arial Narrow"/>
                <w:sz w:val="20"/>
              </w:rPr>
            </w:pPr>
            <w:r w:rsidRPr="006D54A5">
              <w:rPr>
                <w:rFonts w:ascii="Arial Narrow" w:hAnsi="Arial Narrow"/>
                <w:sz w:val="19"/>
                <w:szCs w:val="19"/>
              </w:rPr>
              <w:t>Net cost to PBS</w:t>
            </w:r>
            <w:r w:rsidR="00145540" w:rsidRPr="006D54A5">
              <w:rPr>
                <w:rFonts w:ascii="Arial Narrow" w:hAnsi="Arial Narrow"/>
                <w:sz w:val="19"/>
                <w:szCs w:val="19"/>
              </w:rPr>
              <w:t>/RPBS</w:t>
            </w:r>
          </w:p>
        </w:tc>
        <w:tc>
          <w:tcPr>
            <w:tcW w:w="679" w:type="pct"/>
            <w:shd w:val="clear" w:color="auto" w:fill="auto"/>
            <w:vAlign w:val="center"/>
          </w:tcPr>
          <w:p w:rsidR="00C25D9C" w:rsidRPr="006D54A5" w:rsidRDefault="00C25D9C" w:rsidP="0021376F">
            <w:pPr>
              <w:jc w:val="center"/>
              <w:rPr>
                <w:rFonts w:ascii="Arial Narrow" w:hAnsi="Arial Narrow"/>
                <w:bCs/>
                <w:color w:val="000000"/>
                <w:sz w:val="20"/>
              </w:rPr>
            </w:pPr>
            <w:r w:rsidRPr="006D54A5">
              <w:rPr>
                <w:rFonts w:ascii="Arial Narrow" w:hAnsi="Arial Narrow"/>
                <w:sz w:val="19"/>
                <w:szCs w:val="19"/>
              </w:rPr>
              <w:t>$</w:t>
            </w:r>
            <w:r w:rsidR="0021376F" w:rsidRPr="006D54A5">
              <w:rPr>
                <w:rFonts w:ascii="Arial Narrow" w:hAnsi="Arial Narrow"/>
                <w:sz w:val="19"/>
                <w:szCs w:val="19"/>
              </w:rPr>
              <w:t>0</w:t>
            </w:r>
          </w:p>
        </w:tc>
        <w:tc>
          <w:tcPr>
            <w:tcW w:w="679" w:type="pct"/>
            <w:shd w:val="clear" w:color="auto" w:fill="auto"/>
            <w:vAlign w:val="center"/>
          </w:tcPr>
          <w:p w:rsidR="00C25D9C" w:rsidRPr="006D54A5" w:rsidRDefault="00C25D9C" w:rsidP="0021376F">
            <w:pPr>
              <w:jc w:val="center"/>
              <w:rPr>
                <w:rFonts w:ascii="Arial Narrow" w:hAnsi="Arial Narrow"/>
                <w:bCs/>
                <w:color w:val="000000"/>
                <w:sz w:val="20"/>
              </w:rPr>
            </w:pPr>
            <w:r w:rsidRPr="006D54A5">
              <w:rPr>
                <w:rFonts w:ascii="Arial Narrow" w:hAnsi="Arial Narrow"/>
                <w:sz w:val="19"/>
                <w:szCs w:val="19"/>
              </w:rPr>
              <w:t>$</w:t>
            </w:r>
            <w:r w:rsidR="0021376F" w:rsidRPr="006D54A5">
              <w:rPr>
                <w:rFonts w:ascii="Arial Narrow" w:hAnsi="Arial Narrow"/>
                <w:sz w:val="19"/>
                <w:szCs w:val="19"/>
              </w:rPr>
              <w:t>0</w:t>
            </w:r>
          </w:p>
        </w:tc>
        <w:tc>
          <w:tcPr>
            <w:tcW w:w="764" w:type="pct"/>
            <w:shd w:val="clear" w:color="auto" w:fill="auto"/>
            <w:vAlign w:val="center"/>
          </w:tcPr>
          <w:p w:rsidR="00C25D9C" w:rsidRPr="006D54A5" w:rsidRDefault="00C25D9C" w:rsidP="0021376F">
            <w:pPr>
              <w:jc w:val="center"/>
              <w:rPr>
                <w:rFonts w:ascii="Arial Narrow" w:hAnsi="Arial Narrow"/>
                <w:bCs/>
                <w:color w:val="000000"/>
                <w:sz w:val="20"/>
              </w:rPr>
            </w:pPr>
            <w:r w:rsidRPr="006D54A5">
              <w:rPr>
                <w:rFonts w:ascii="Arial Narrow" w:hAnsi="Arial Narrow"/>
                <w:sz w:val="19"/>
                <w:szCs w:val="19"/>
              </w:rPr>
              <w:t>$</w:t>
            </w:r>
            <w:r w:rsidR="0021376F" w:rsidRPr="006D54A5">
              <w:rPr>
                <w:rFonts w:ascii="Arial Narrow" w:hAnsi="Arial Narrow"/>
                <w:sz w:val="19"/>
                <w:szCs w:val="19"/>
              </w:rPr>
              <w:t>0</w:t>
            </w:r>
          </w:p>
        </w:tc>
        <w:tc>
          <w:tcPr>
            <w:tcW w:w="764" w:type="pct"/>
            <w:shd w:val="clear" w:color="auto" w:fill="auto"/>
            <w:vAlign w:val="center"/>
          </w:tcPr>
          <w:p w:rsidR="00C25D9C" w:rsidRPr="006D54A5" w:rsidRDefault="00C25D9C" w:rsidP="0021376F">
            <w:pPr>
              <w:jc w:val="center"/>
              <w:rPr>
                <w:rFonts w:ascii="Arial Narrow" w:hAnsi="Arial Narrow"/>
                <w:bCs/>
                <w:color w:val="000000"/>
                <w:sz w:val="20"/>
              </w:rPr>
            </w:pPr>
            <w:r w:rsidRPr="006D54A5">
              <w:rPr>
                <w:rFonts w:ascii="Arial Narrow" w:hAnsi="Arial Narrow"/>
                <w:sz w:val="19"/>
                <w:szCs w:val="19"/>
              </w:rPr>
              <w:t>$</w:t>
            </w:r>
            <w:r w:rsidR="0021376F" w:rsidRPr="006D54A5">
              <w:rPr>
                <w:rFonts w:ascii="Arial Narrow" w:hAnsi="Arial Narrow"/>
                <w:sz w:val="19"/>
                <w:szCs w:val="19"/>
              </w:rPr>
              <w:t>0</w:t>
            </w:r>
          </w:p>
        </w:tc>
        <w:tc>
          <w:tcPr>
            <w:tcW w:w="755" w:type="pct"/>
            <w:shd w:val="clear" w:color="auto" w:fill="auto"/>
            <w:vAlign w:val="center"/>
          </w:tcPr>
          <w:p w:rsidR="00C25D9C" w:rsidRPr="006D54A5" w:rsidRDefault="00C25D9C" w:rsidP="0021376F">
            <w:pPr>
              <w:jc w:val="center"/>
              <w:rPr>
                <w:rFonts w:ascii="Arial Narrow" w:hAnsi="Arial Narrow"/>
                <w:bCs/>
                <w:color w:val="000000"/>
                <w:sz w:val="20"/>
              </w:rPr>
            </w:pPr>
            <w:r w:rsidRPr="006D54A5">
              <w:rPr>
                <w:rFonts w:ascii="Arial Narrow" w:hAnsi="Arial Narrow"/>
                <w:sz w:val="19"/>
                <w:szCs w:val="19"/>
              </w:rPr>
              <w:t>$</w:t>
            </w:r>
            <w:r w:rsidR="0021376F" w:rsidRPr="006D54A5">
              <w:rPr>
                <w:rFonts w:ascii="Arial Narrow" w:hAnsi="Arial Narrow"/>
                <w:sz w:val="19"/>
                <w:szCs w:val="19"/>
              </w:rPr>
              <w:t>0</w:t>
            </w:r>
          </w:p>
        </w:tc>
      </w:tr>
      <w:tr w:rsidR="0021376F" w:rsidRPr="006D54A5" w:rsidTr="005D044D">
        <w:tc>
          <w:tcPr>
            <w:tcW w:w="1359" w:type="pct"/>
            <w:shd w:val="clear" w:color="auto" w:fill="auto"/>
            <w:vAlign w:val="center"/>
          </w:tcPr>
          <w:p w:rsidR="0021376F" w:rsidRPr="006D54A5" w:rsidRDefault="0021376F" w:rsidP="00B8649C">
            <w:pPr>
              <w:tabs>
                <w:tab w:val="left" w:pos="142"/>
              </w:tabs>
              <w:jc w:val="left"/>
              <w:rPr>
                <w:rFonts w:ascii="Arial Narrow" w:hAnsi="Arial Narrow"/>
                <w:sz w:val="20"/>
              </w:rPr>
            </w:pPr>
            <w:r w:rsidRPr="006D54A5">
              <w:rPr>
                <w:rFonts w:ascii="Arial Narrow" w:hAnsi="Arial Narrow"/>
                <w:sz w:val="19"/>
                <w:szCs w:val="19"/>
              </w:rPr>
              <w:t>Net cost to MBS</w:t>
            </w:r>
          </w:p>
        </w:tc>
        <w:tc>
          <w:tcPr>
            <w:tcW w:w="679" w:type="pct"/>
            <w:shd w:val="clear" w:color="auto" w:fill="auto"/>
            <w:vAlign w:val="center"/>
          </w:tcPr>
          <w:p w:rsidR="0021376F" w:rsidRPr="006D54A5" w:rsidRDefault="0021376F" w:rsidP="00B8649C">
            <w:pPr>
              <w:jc w:val="center"/>
              <w:rPr>
                <w:rFonts w:ascii="Arial Narrow" w:hAnsi="Arial Narrow"/>
                <w:bCs/>
                <w:color w:val="000000"/>
                <w:sz w:val="20"/>
              </w:rPr>
            </w:pPr>
            <w:r w:rsidRPr="006D54A5">
              <w:rPr>
                <w:rFonts w:ascii="Arial Narrow" w:hAnsi="Arial Narrow"/>
                <w:sz w:val="20"/>
              </w:rPr>
              <w:t>$</w:t>
            </w:r>
            <w:r w:rsidR="000367B3">
              <w:rPr>
                <w:rFonts w:ascii="Arial Narrow" w:hAnsi="Arial Narrow"/>
                <w:noProof/>
                <w:color w:val="000000"/>
                <w:sz w:val="20"/>
                <w:highlight w:val="black"/>
              </w:rPr>
              <w:t>'''''''''''''''''''''</w:t>
            </w:r>
          </w:p>
        </w:tc>
        <w:tc>
          <w:tcPr>
            <w:tcW w:w="679" w:type="pct"/>
            <w:shd w:val="clear" w:color="auto" w:fill="auto"/>
            <w:vAlign w:val="center"/>
          </w:tcPr>
          <w:p w:rsidR="0021376F" w:rsidRPr="006D54A5" w:rsidRDefault="0021376F" w:rsidP="00B8649C">
            <w:pPr>
              <w:jc w:val="center"/>
              <w:rPr>
                <w:rFonts w:ascii="Arial Narrow" w:hAnsi="Arial Narrow"/>
                <w:bCs/>
                <w:color w:val="000000"/>
                <w:sz w:val="20"/>
              </w:rPr>
            </w:pPr>
            <w:r w:rsidRPr="006D54A5">
              <w:rPr>
                <w:rFonts w:ascii="Arial Narrow" w:hAnsi="Arial Narrow"/>
                <w:sz w:val="20"/>
              </w:rPr>
              <w:t>$</w:t>
            </w:r>
            <w:r w:rsidR="000367B3">
              <w:rPr>
                <w:rFonts w:ascii="Arial Narrow" w:hAnsi="Arial Narrow"/>
                <w:noProof/>
                <w:color w:val="000000"/>
                <w:sz w:val="20"/>
                <w:highlight w:val="black"/>
              </w:rPr>
              <w:t>'''''''''''''''''</w:t>
            </w:r>
          </w:p>
        </w:tc>
        <w:tc>
          <w:tcPr>
            <w:tcW w:w="764" w:type="pct"/>
            <w:shd w:val="clear" w:color="auto" w:fill="auto"/>
            <w:vAlign w:val="center"/>
          </w:tcPr>
          <w:p w:rsidR="0021376F" w:rsidRPr="006D54A5" w:rsidRDefault="0021376F" w:rsidP="00B8649C">
            <w:pPr>
              <w:jc w:val="center"/>
              <w:rPr>
                <w:rFonts w:ascii="Arial Narrow" w:hAnsi="Arial Narrow"/>
                <w:bCs/>
                <w:color w:val="000000"/>
                <w:sz w:val="20"/>
              </w:rPr>
            </w:pPr>
            <w:r w:rsidRPr="006D54A5">
              <w:rPr>
                <w:rFonts w:ascii="Arial Narrow" w:hAnsi="Arial Narrow"/>
                <w:sz w:val="20"/>
              </w:rPr>
              <w:t>$</w:t>
            </w:r>
            <w:r w:rsidR="000367B3">
              <w:rPr>
                <w:rFonts w:ascii="Arial Narrow" w:hAnsi="Arial Narrow"/>
                <w:noProof/>
                <w:color w:val="000000"/>
                <w:sz w:val="20"/>
                <w:highlight w:val="black"/>
              </w:rPr>
              <w:t>'''''''''''''''</w:t>
            </w:r>
          </w:p>
        </w:tc>
        <w:tc>
          <w:tcPr>
            <w:tcW w:w="764" w:type="pct"/>
            <w:shd w:val="clear" w:color="auto" w:fill="auto"/>
            <w:vAlign w:val="center"/>
          </w:tcPr>
          <w:p w:rsidR="0021376F" w:rsidRPr="006D54A5" w:rsidRDefault="0021376F" w:rsidP="00B8649C">
            <w:pPr>
              <w:jc w:val="center"/>
              <w:rPr>
                <w:rFonts w:ascii="Arial Narrow" w:hAnsi="Arial Narrow"/>
                <w:bCs/>
                <w:color w:val="000000"/>
                <w:sz w:val="20"/>
              </w:rPr>
            </w:pPr>
            <w:r w:rsidRPr="006D54A5">
              <w:rPr>
                <w:rFonts w:ascii="Arial Narrow" w:hAnsi="Arial Narrow"/>
                <w:sz w:val="20"/>
              </w:rPr>
              <w:t>$</w:t>
            </w:r>
            <w:r w:rsidR="000367B3">
              <w:rPr>
                <w:rFonts w:ascii="Arial Narrow" w:hAnsi="Arial Narrow"/>
                <w:noProof/>
                <w:color w:val="000000"/>
                <w:sz w:val="20"/>
                <w:highlight w:val="black"/>
              </w:rPr>
              <w:t>''''''''''''''''</w:t>
            </w:r>
          </w:p>
        </w:tc>
        <w:tc>
          <w:tcPr>
            <w:tcW w:w="755" w:type="pct"/>
            <w:shd w:val="clear" w:color="auto" w:fill="auto"/>
            <w:vAlign w:val="center"/>
          </w:tcPr>
          <w:p w:rsidR="0021376F" w:rsidRPr="006D54A5" w:rsidRDefault="0021376F" w:rsidP="00B8649C">
            <w:pPr>
              <w:jc w:val="center"/>
              <w:rPr>
                <w:rFonts w:ascii="Arial Narrow" w:hAnsi="Arial Narrow"/>
                <w:bCs/>
                <w:color w:val="000000"/>
                <w:sz w:val="20"/>
              </w:rPr>
            </w:pPr>
            <w:r w:rsidRPr="006D54A5">
              <w:rPr>
                <w:rFonts w:ascii="Arial Narrow" w:hAnsi="Arial Narrow"/>
                <w:sz w:val="20"/>
              </w:rPr>
              <w:t>$</w:t>
            </w:r>
            <w:r w:rsidR="000367B3">
              <w:rPr>
                <w:rFonts w:ascii="Arial Narrow" w:hAnsi="Arial Narrow"/>
                <w:noProof/>
                <w:color w:val="000000"/>
                <w:sz w:val="20"/>
                <w:highlight w:val="black"/>
              </w:rPr>
              <w:t>'''''''''''''''</w:t>
            </w:r>
          </w:p>
        </w:tc>
      </w:tr>
      <w:tr w:rsidR="00C25D9C" w:rsidRPr="006D54A5" w:rsidTr="005D044D">
        <w:tc>
          <w:tcPr>
            <w:tcW w:w="5000" w:type="pct"/>
            <w:gridSpan w:val="6"/>
            <w:shd w:val="clear" w:color="auto" w:fill="auto"/>
            <w:vAlign w:val="center"/>
          </w:tcPr>
          <w:p w:rsidR="00C25D9C" w:rsidRPr="006D54A5" w:rsidRDefault="00C25D9C" w:rsidP="00B8649C">
            <w:pPr>
              <w:jc w:val="left"/>
              <w:rPr>
                <w:rFonts w:ascii="Arial Narrow" w:hAnsi="Arial Narrow"/>
                <w:b/>
                <w:color w:val="000000"/>
                <w:sz w:val="20"/>
              </w:rPr>
            </w:pPr>
            <w:r w:rsidRPr="006D54A5">
              <w:rPr>
                <w:rFonts w:ascii="Arial Narrow" w:hAnsi="Arial Narrow"/>
                <w:b/>
                <w:color w:val="000000"/>
                <w:sz w:val="20"/>
              </w:rPr>
              <w:t>Estimated total net cost</w:t>
            </w:r>
          </w:p>
        </w:tc>
      </w:tr>
      <w:tr w:rsidR="0021376F" w:rsidRPr="006D54A5" w:rsidTr="005D044D">
        <w:tc>
          <w:tcPr>
            <w:tcW w:w="1359" w:type="pct"/>
            <w:shd w:val="clear" w:color="auto" w:fill="auto"/>
            <w:vAlign w:val="center"/>
          </w:tcPr>
          <w:p w:rsidR="0021376F" w:rsidRPr="006D54A5" w:rsidRDefault="0021376F" w:rsidP="00B8649C">
            <w:pPr>
              <w:tabs>
                <w:tab w:val="left" w:pos="142"/>
              </w:tabs>
              <w:jc w:val="left"/>
              <w:rPr>
                <w:rFonts w:ascii="Arial Narrow" w:hAnsi="Arial Narrow"/>
                <w:b/>
                <w:sz w:val="20"/>
              </w:rPr>
            </w:pPr>
            <w:r w:rsidRPr="006D54A5">
              <w:rPr>
                <w:rFonts w:ascii="Arial Narrow" w:hAnsi="Arial Narrow"/>
                <w:b/>
                <w:bCs/>
                <w:color w:val="000000"/>
                <w:sz w:val="20"/>
              </w:rPr>
              <w:t>Net cost to PBS/RPBS/MBS</w:t>
            </w:r>
          </w:p>
        </w:tc>
        <w:tc>
          <w:tcPr>
            <w:tcW w:w="679" w:type="pct"/>
            <w:shd w:val="clear" w:color="auto" w:fill="auto"/>
            <w:vAlign w:val="center"/>
          </w:tcPr>
          <w:p w:rsidR="0021376F" w:rsidRPr="006D54A5" w:rsidRDefault="0021376F" w:rsidP="00B8649C">
            <w:pPr>
              <w:jc w:val="center"/>
              <w:rPr>
                <w:rFonts w:ascii="Arial Narrow" w:hAnsi="Arial Narrow"/>
                <w:b/>
                <w:color w:val="000000"/>
                <w:sz w:val="20"/>
              </w:rPr>
            </w:pPr>
            <w:r w:rsidRPr="006D54A5">
              <w:rPr>
                <w:rFonts w:ascii="Arial Narrow" w:hAnsi="Arial Narrow"/>
                <w:b/>
                <w:sz w:val="20"/>
              </w:rPr>
              <w:t>$</w:t>
            </w:r>
            <w:r w:rsidR="000367B3">
              <w:rPr>
                <w:rFonts w:ascii="Arial Narrow" w:hAnsi="Arial Narrow"/>
                <w:b/>
                <w:noProof/>
                <w:color w:val="000000"/>
                <w:sz w:val="20"/>
                <w:highlight w:val="black"/>
              </w:rPr>
              <w:t>''''''''''''''''''''</w:t>
            </w:r>
          </w:p>
        </w:tc>
        <w:tc>
          <w:tcPr>
            <w:tcW w:w="679" w:type="pct"/>
            <w:shd w:val="clear" w:color="auto" w:fill="auto"/>
            <w:vAlign w:val="center"/>
          </w:tcPr>
          <w:p w:rsidR="0021376F" w:rsidRPr="006D54A5" w:rsidRDefault="0021376F" w:rsidP="00B8649C">
            <w:pPr>
              <w:jc w:val="center"/>
              <w:rPr>
                <w:rFonts w:ascii="Arial Narrow" w:hAnsi="Arial Narrow"/>
                <w:b/>
                <w:color w:val="000000"/>
                <w:sz w:val="20"/>
              </w:rPr>
            </w:pPr>
            <w:r w:rsidRPr="006D54A5">
              <w:rPr>
                <w:rFonts w:ascii="Arial Narrow" w:hAnsi="Arial Narrow"/>
                <w:b/>
                <w:sz w:val="20"/>
              </w:rPr>
              <w:t>$</w:t>
            </w:r>
            <w:r w:rsidR="000367B3">
              <w:rPr>
                <w:rFonts w:ascii="Arial Narrow" w:hAnsi="Arial Narrow"/>
                <w:b/>
                <w:noProof/>
                <w:color w:val="000000"/>
                <w:sz w:val="20"/>
                <w:highlight w:val="black"/>
              </w:rPr>
              <w:t>''''''''''''''</w:t>
            </w:r>
          </w:p>
        </w:tc>
        <w:tc>
          <w:tcPr>
            <w:tcW w:w="764" w:type="pct"/>
            <w:shd w:val="clear" w:color="auto" w:fill="auto"/>
            <w:vAlign w:val="center"/>
          </w:tcPr>
          <w:p w:rsidR="0021376F" w:rsidRPr="006D54A5" w:rsidRDefault="0021376F" w:rsidP="00B8649C">
            <w:pPr>
              <w:jc w:val="center"/>
              <w:rPr>
                <w:rFonts w:ascii="Arial Narrow" w:hAnsi="Arial Narrow"/>
                <w:b/>
                <w:color w:val="000000"/>
                <w:sz w:val="20"/>
              </w:rPr>
            </w:pPr>
            <w:r w:rsidRPr="006D54A5">
              <w:rPr>
                <w:rFonts w:ascii="Arial Narrow" w:hAnsi="Arial Narrow"/>
                <w:b/>
                <w:sz w:val="20"/>
              </w:rPr>
              <w:t>$</w:t>
            </w:r>
            <w:r w:rsidR="000367B3">
              <w:rPr>
                <w:rFonts w:ascii="Arial Narrow" w:hAnsi="Arial Narrow"/>
                <w:b/>
                <w:noProof/>
                <w:color w:val="000000"/>
                <w:sz w:val="20"/>
                <w:highlight w:val="black"/>
              </w:rPr>
              <w:t>''''''''''''''</w:t>
            </w:r>
          </w:p>
        </w:tc>
        <w:tc>
          <w:tcPr>
            <w:tcW w:w="764" w:type="pct"/>
            <w:shd w:val="clear" w:color="auto" w:fill="auto"/>
            <w:vAlign w:val="center"/>
          </w:tcPr>
          <w:p w:rsidR="0021376F" w:rsidRPr="006D54A5" w:rsidRDefault="0021376F" w:rsidP="00B8649C">
            <w:pPr>
              <w:jc w:val="center"/>
              <w:rPr>
                <w:rFonts w:ascii="Arial Narrow" w:hAnsi="Arial Narrow"/>
                <w:b/>
                <w:color w:val="000000"/>
                <w:sz w:val="20"/>
              </w:rPr>
            </w:pPr>
            <w:r w:rsidRPr="006D54A5">
              <w:rPr>
                <w:rFonts w:ascii="Arial Narrow" w:hAnsi="Arial Narrow"/>
                <w:b/>
                <w:sz w:val="20"/>
              </w:rPr>
              <w:t>$</w:t>
            </w:r>
            <w:r w:rsidR="000367B3">
              <w:rPr>
                <w:rFonts w:ascii="Arial Narrow" w:hAnsi="Arial Narrow"/>
                <w:b/>
                <w:noProof/>
                <w:color w:val="000000"/>
                <w:sz w:val="20"/>
                <w:highlight w:val="black"/>
              </w:rPr>
              <w:t>''''''''''''</w:t>
            </w:r>
          </w:p>
        </w:tc>
        <w:tc>
          <w:tcPr>
            <w:tcW w:w="755" w:type="pct"/>
            <w:shd w:val="clear" w:color="auto" w:fill="auto"/>
            <w:vAlign w:val="center"/>
          </w:tcPr>
          <w:p w:rsidR="0021376F" w:rsidRPr="006D54A5" w:rsidRDefault="0021376F" w:rsidP="00B8649C">
            <w:pPr>
              <w:jc w:val="center"/>
              <w:rPr>
                <w:rFonts w:ascii="Arial Narrow" w:hAnsi="Arial Narrow"/>
                <w:b/>
                <w:color w:val="000000"/>
                <w:sz w:val="20"/>
              </w:rPr>
            </w:pPr>
            <w:r w:rsidRPr="006D54A5">
              <w:rPr>
                <w:rFonts w:ascii="Arial Narrow" w:hAnsi="Arial Narrow"/>
                <w:b/>
                <w:sz w:val="20"/>
              </w:rPr>
              <w:t>$</w:t>
            </w:r>
            <w:r w:rsidR="000367B3">
              <w:rPr>
                <w:rFonts w:ascii="Arial Narrow" w:hAnsi="Arial Narrow"/>
                <w:b/>
                <w:noProof/>
                <w:color w:val="000000"/>
                <w:sz w:val="20"/>
                <w:highlight w:val="black"/>
              </w:rPr>
              <w:t>''''''''''''</w:t>
            </w:r>
          </w:p>
        </w:tc>
      </w:tr>
    </w:tbl>
    <w:p w:rsidR="00C25D9C" w:rsidRPr="006D54A5" w:rsidRDefault="00C25D9C" w:rsidP="005D044D">
      <w:pPr>
        <w:pStyle w:val="TableFooter"/>
        <w:ind w:firstLine="720"/>
        <w:rPr>
          <w:sz w:val="16"/>
          <w:szCs w:val="18"/>
        </w:rPr>
      </w:pPr>
      <w:proofErr w:type="spellStart"/>
      <w:proofErr w:type="gramStart"/>
      <w:r w:rsidRPr="006D54A5">
        <w:rPr>
          <w:vertAlign w:val="superscript"/>
        </w:rPr>
        <w:t>a</w:t>
      </w:r>
      <w:proofErr w:type="spellEnd"/>
      <w:proofErr w:type="gramEnd"/>
      <w:r w:rsidR="0021376F" w:rsidRPr="006D54A5">
        <w:t xml:space="preserve"> Assuming 6.5 scripts per patient</w:t>
      </w:r>
      <w:r w:rsidRPr="006D54A5">
        <w:t xml:space="preserve"> per year as estimated by the submission</w:t>
      </w:r>
      <w:r w:rsidR="003F4DA5" w:rsidRPr="006D54A5">
        <w:t>, and incorporating treatment discontinuations</w:t>
      </w:r>
      <w:r w:rsidRPr="006D54A5">
        <w:t>.</w:t>
      </w:r>
    </w:p>
    <w:p w:rsidR="00C25D9C" w:rsidRPr="006D54A5" w:rsidRDefault="00C25D9C" w:rsidP="005D044D">
      <w:pPr>
        <w:pStyle w:val="TableFooter"/>
        <w:ind w:firstLine="720"/>
        <w:rPr>
          <w:szCs w:val="18"/>
        </w:rPr>
      </w:pPr>
      <w:r w:rsidRPr="006D54A5">
        <w:rPr>
          <w:sz w:val="16"/>
          <w:szCs w:val="18"/>
        </w:rPr>
        <w:t xml:space="preserve">Source: </w:t>
      </w:r>
      <w:r w:rsidR="0021376F" w:rsidRPr="006D54A5">
        <w:rPr>
          <w:szCs w:val="18"/>
        </w:rPr>
        <w:t>Table 59, p127 of the submission.</w:t>
      </w:r>
    </w:p>
    <w:p w:rsidR="005155F5" w:rsidRDefault="005155F5" w:rsidP="005D044D">
      <w:pPr>
        <w:pStyle w:val="TableFooter"/>
        <w:ind w:firstLine="720"/>
        <w:rPr>
          <w:szCs w:val="22"/>
        </w:rPr>
      </w:pPr>
    </w:p>
    <w:p w:rsidR="003A460F" w:rsidRDefault="003A460F" w:rsidP="003A460F">
      <w:pPr>
        <w:pStyle w:val="TableFooter"/>
        <w:ind w:left="720"/>
        <w:rPr>
          <w:rFonts w:ascii="Arial" w:hAnsi="Arial"/>
          <w:i/>
          <w:sz w:val="22"/>
          <w:szCs w:val="22"/>
        </w:rPr>
      </w:pPr>
      <w:r w:rsidRPr="003A460F">
        <w:rPr>
          <w:rFonts w:ascii="Arial" w:hAnsi="Arial"/>
          <w:i/>
          <w:sz w:val="22"/>
          <w:szCs w:val="22"/>
        </w:rPr>
        <w:t>The redacted</w:t>
      </w:r>
      <w:r>
        <w:rPr>
          <w:rFonts w:ascii="Arial" w:hAnsi="Arial"/>
          <w:i/>
          <w:sz w:val="22"/>
          <w:szCs w:val="22"/>
        </w:rPr>
        <w:t xml:space="preserve"> table above shows that the number of patients treated with pasireotide is estimated to be less than $10,000 per year at a net cost to the PBS of less than $10 million per year. </w:t>
      </w:r>
    </w:p>
    <w:p w:rsidR="003A460F" w:rsidRPr="003A460F" w:rsidRDefault="003A460F" w:rsidP="003A460F">
      <w:pPr>
        <w:pStyle w:val="TableFooter"/>
        <w:rPr>
          <w:rFonts w:ascii="Arial" w:hAnsi="Arial"/>
          <w:i/>
          <w:sz w:val="22"/>
          <w:szCs w:val="22"/>
        </w:rPr>
      </w:pPr>
      <w:r w:rsidRPr="003A460F">
        <w:rPr>
          <w:rFonts w:ascii="Arial" w:hAnsi="Arial"/>
          <w:i/>
          <w:sz w:val="22"/>
          <w:szCs w:val="22"/>
        </w:rPr>
        <w:t xml:space="preserve"> </w:t>
      </w:r>
    </w:p>
    <w:p w:rsidR="00C25D9C" w:rsidRPr="006D54A5" w:rsidRDefault="00832B65" w:rsidP="00E22A0D">
      <w:pPr>
        <w:pStyle w:val="ListParagraph"/>
        <w:widowControl/>
        <w:numPr>
          <w:ilvl w:val="1"/>
          <w:numId w:val="18"/>
        </w:numPr>
        <w:rPr>
          <w:szCs w:val="22"/>
        </w:rPr>
      </w:pPr>
      <w:r w:rsidRPr="006D54A5">
        <w:t xml:space="preserve">The submission inappropriately applied discontinuation and compliance rates to the number of scripts rather than to the number of patients treated with pasireotide LAR. This means that the count of pasireotide LAR-treated patients continues to include discontinued patients and therefore indicates a possible overestimation of use. If the discontinuation rates are applied to patient numbers, the number of patients and scripts will decrease over time, with </w:t>
      </w:r>
      <w:r w:rsidR="000367B3">
        <w:rPr>
          <w:noProof/>
          <w:color w:val="000000"/>
          <w:highlight w:val="black"/>
        </w:rPr>
        <w:t>''''''</w:t>
      </w:r>
      <w:r w:rsidRPr="006D54A5">
        <w:t xml:space="preserve"> to </w:t>
      </w:r>
      <w:r w:rsidR="000367B3">
        <w:rPr>
          <w:noProof/>
          <w:color w:val="000000"/>
          <w:highlight w:val="black"/>
        </w:rPr>
        <w:t>''''''</w:t>
      </w:r>
      <w:r w:rsidRPr="006D54A5">
        <w:t xml:space="preserve"> patients per year discontinuing treatment, and only 4 incident patients added per year.</w:t>
      </w:r>
      <w:r w:rsidR="00FC0CC4" w:rsidRPr="006D54A5">
        <w:t xml:space="preserve"> The PSCR (p4) </w:t>
      </w:r>
      <w:proofErr w:type="gramStart"/>
      <w:r w:rsidR="00FC0CC4" w:rsidRPr="006D54A5">
        <w:t>disagreed</w:t>
      </w:r>
      <w:proofErr w:type="gramEnd"/>
      <w:r w:rsidR="00FC0CC4" w:rsidRPr="006D54A5">
        <w:t xml:space="preserve"> that patient numbers will decrease over time as acromegaly is a chronic condition. </w:t>
      </w:r>
    </w:p>
    <w:p w:rsidR="00576972" w:rsidRPr="006D54A5" w:rsidRDefault="00576972" w:rsidP="00576972">
      <w:pPr>
        <w:widowControl/>
        <w:rPr>
          <w:szCs w:val="22"/>
        </w:rPr>
      </w:pPr>
    </w:p>
    <w:p w:rsidR="00576972" w:rsidRPr="00B5580D" w:rsidRDefault="00576972" w:rsidP="002C2775">
      <w:pPr>
        <w:pStyle w:val="Heading2"/>
      </w:pPr>
      <w:bookmarkStart w:id="16" w:name="_Toc430013046"/>
      <w:r w:rsidRPr="00B5580D">
        <w:t>Quality Use of Medicines</w:t>
      </w:r>
      <w:bookmarkEnd w:id="16"/>
    </w:p>
    <w:p w:rsidR="00576972" w:rsidRPr="00B5580D" w:rsidRDefault="00576972" w:rsidP="00576972">
      <w:pPr>
        <w:widowControl/>
        <w:rPr>
          <w:szCs w:val="22"/>
        </w:rPr>
      </w:pPr>
    </w:p>
    <w:p w:rsidR="00D32D9D" w:rsidRPr="006D54A5" w:rsidRDefault="003F4DA5" w:rsidP="00D32D9D">
      <w:pPr>
        <w:pStyle w:val="ListParagraph"/>
        <w:widowControl/>
        <w:numPr>
          <w:ilvl w:val="1"/>
          <w:numId w:val="18"/>
        </w:numPr>
        <w:rPr>
          <w:szCs w:val="22"/>
        </w:rPr>
      </w:pPr>
      <w:r w:rsidRPr="006D54A5">
        <w:t xml:space="preserve">The submission argued that the proposed restriction for pasireotide LAR supports quality use of medicines because it requires that patients reach the maximum dose of first-line therapies, ensuring that they derive the maximum clinical benefit from existing therapies before accessing second-line treatment. </w:t>
      </w:r>
      <w:r w:rsidR="001E4041" w:rsidRPr="006D54A5">
        <w:t>However, it may be appropriate to recommend pasireotide LAR as a second-line treatment in order to delay exposure to a higher rate of hyp</w:t>
      </w:r>
      <w:r w:rsidR="001E2361" w:rsidRPr="006D54A5">
        <w:t>er</w:t>
      </w:r>
      <w:r w:rsidR="001E4041" w:rsidRPr="006D54A5">
        <w:t>glycaemia-related adverse events.</w:t>
      </w:r>
      <w:r w:rsidR="00AC4D26" w:rsidRPr="006D54A5">
        <w:t xml:space="preserve"> The ESC </w:t>
      </w:r>
      <w:r w:rsidR="002D712D" w:rsidRPr="006D54A5">
        <w:t xml:space="preserve">considered the lack of stopping rule for pasireotide LAR increased the risk of </w:t>
      </w:r>
      <w:r w:rsidR="00113463" w:rsidRPr="006D54A5">
        <w:t>higher than estimated utilisation of pasireotide</w:t>
      </w:r>
      <w:r w:rsidR="002D712D" w:rsidRPr="006D54A5">
        <w:t xml:space="preserve"> where it is not effective.</w:t>
      </w:r>
      <w:r w:rsidR="00113463" w:rsidRPr="006D54A5">
        <w:t xml:space="preserve"> The ESC supported including a stopping rule, comparable to that for </w:t>
      </w:r>
      <w:proofErr w:type="spellStart"/>
      <w:r w:rsidR="00113463" w:rsidRPr="006D54A5">
        <w:t>lanreotide</w:t>
      </w:r>
      <w:proofErr w:type="spellEnd"/>
      <w:r w:rsidR="00113463" w:rsidRPr="006D54A5">
        <w:t xml:space="preserve"> and </w:t>
      </w:r>
      <w:proofErr w:type="spellStart"/>
      <w:r w:rsidR="00113463" w:rsidRPr="006D54A5">
        <w:t>octreotide</w:t>
      </w:r>
      <w:proofErr w:type="spellEnd"/>
      <w:r w:rsidR="00113463" w:rsidRPr="006D54A5">
        <w:t>.</w:t>
      </w:r>
      <w:r w:rsidR="00646318" w:rsidRPr="006D54A5">
        <w:t xml:space="preserve"> </w:t>
      </w:r>
    </w:p>
    <w:p w:rsidR="00576972" w:rsidRPr="006D54A5" w:rsidRDefault="00576972" w:rsidP="00576972">
      <w:pPr>
        <w:widowControl/>
        <w:rPr>
          <w:szCs w:val="22"/>
        </w:rPr>
      </w:pPr>
    </w:p>
    <w:p w:rsidR="00576972" w:rsidRPr="00B5580D" w:rsidRDefault="00576972" w:rsidP="002C2775">
      <w:pPr>
        <w:pStyle w:val="Heading2"/>
        <w:rPr>
          <w:szCs w:val="22"/>
        </w:rPr>
      </w:pPr>
      <w:bookmarkStart w:id="17" w:name="_Toc430013047"/>
      <w:r w:rsidRPr="00B5580D">
        <w:t>Financial Management – Risk Sharing Arrangements</w:t>
      </w:r>
      <w:bookmarkEnd w:id="17"/>
    </w:p>
    <w:p w:rsidR="00C25D9C" w:rsidRPr="006D54A5" w:rsidRDefault="00C25D9C" w:rsidP="00576972">
      <w:pPr>
        <w:widowControl/>
        <w:rPr>
          <w:szCs w:val="22"/>
        </w:rPr>
      </w:pPr>
    </w:p>
    <w:p w:rsidR="00C25D9C" w:rsidRPr="006D54A5" w:rsidRDefault="00832B65" w:rsidP="00E22A0D">
      <w:pPr>
        <w:pStyle w:val="ListParagraph"/>
        <w:widowControl/>
        <w:numPr>
          <w:ilvl w:val="1"/>
          <w:numId w:val="18"/>
        </w:numPr>
        <w:rPr>
          <w:szCs w:val="22"/>
        </w:rPr>
      </w:pPr>
      <w:r w:rsidRPr="006D54A5">
        <w:t>The sponsor requ</w:t>
      </w:r>
      <w:r w:rsidR="0001332E" w:rsidRPr="006D54A5">
        <w:t>ested</w:t>
      </w:r>
      <w:r w:rsidRPr="006D54A5">
        <w:t xml:space="preserve"> a special pricing arrangement where the published price for pasireotide LAR is higher than the effective price charged to Government. To implement this price difference, the sponsor</w:t>
      </w:r>
      <w:r w:rsidR="00CB4332" w:rsidRPr="006D54A5">
        <w:t xml:space="preserve"> acknowledged that a Deed of Agreement would be </w:t>
      </w:r>
      <w:r w:rsidR="0079556F" w:rsidRPr="006D54A5">
        <w:t>required</w:t>
      </w:r>
      <w:r w:rsidRPr="006D54A5">
        <w:t>. The submission argued that because acromegaly is a rare condition with few treatment alternatives in the proposed PBS population, that pasireotide LAR should qualify for a spe</w:t>
      </w:r>
      <w:r w:rsidR="00EB5C38" w:rsidRPr="006D54A5">
        <w:t>cial pricing arrangement.</w:t>
      </w:r>
    </w:p>
    <w:p w:rsidR="00D32D9D" w:rsidRPr="006D54A5" w:rsidRDefault="00D32D9D" w:rsidP="00D32D9D">
      <w:pPr>
        <w:pStyle w:val="ListParagraph"/>
        <w:widowControl/>
        <w:rPr>
          <w:szCs w:val="22"/>
        </w:rPr>
      </w:pPr>
    </w:p>
    <w:p w:rsidR="003E0C57" w:rsidRPr="006D54A5" w:rsidRDefault="003E0C57">
      <w:pPr>
        <w:widowControl/>
        <w:jc w:val="left"/>
        <w:rPr>
          <w:rStyle w:val="CommentReference"/>
        </w:rPr>
      </w:pPr>
      <w:r w:rsidRPr="006D54A5">
        <w:rPr>
          <w:rStyle w:val="CommentReference"/>
        </w:rPr>
        <w:br w:type="page"/>
      </w:r>
    </w:p>
    <w:p w:rsidR="00B5580D" w:rsidRPr="00B5580D" w:rsidRDefault="00B5580D" w:rsidP="00B5580D">
      <w:pPr>
        <w:pStyle w:val="Caption"/>
        <w:keepNext/>
        <w:ind w:firstLine="720"/>
        <w:rPr>
          <w:rFonts w:ascii="Arial Narrow" w:hAnsi="Arial Narrow"/>
          <w:color w:val="auto"/>
          <w:sz w:val="20"/>
          <w:szCs w:val="20"/>
        </w:rPr>
      </w:pPr>
      <w:r w:rsidRPr="00B5580D">
        <w:rPr>
          <w:rFonts w:ascii="Arial Narrow" w:hAnsi="Arial Narrow"/>
          <w:color w:val="auto"/>
          <w:sz w:val="20"/>
          <w:szCs w:val="20"/>
        </w:rPr>
        <w:lastRenderedPageBreak/>
        <w:t xml:space="preserve">Table </w:t>
      </w:r>
      <w:r w:rsidRPr="00B5580D">
        <w:rPr>
          <w:rFonts w:ascii="Arial Narrow" w:hAnsi="Arial Narrow"/>
          <w:color w:val="auto"/>
          <w:sz w:val="20"/>
          <w:szCs w:val="20"/>
        </w:rPr>
        <w:fldChar w:fldCharType="begin"/>
      </w:r>
      <w:r w:rsidRPr="00B5580D">
        <w:rPr>
          <w:rFonts w:ascii="Arial Narrow" w:hAnsi="Arial Narrow"/>
          <w:color w:val="auto"/>
          <w:sz w:val="20"/>
          <w:szCs w:val="20"/>
        </w:rPr>
        <w:instrText xml:space="preserve"> SEQ Table \* ARABIC </w:instrText>
      </w:r>
      <w:r w:rsidRPr="00B5580D">
        <w:rPr>
          <w:rFonts w:ascii="Arial Narrow" w:hAnsi="Arial Narrow"/>
          <w:color w:val="auto"/>
          <w:sz w:val="20"/>
          <w:szCs w:val="20"/>
        </w:rPr>
        <w:fldChar w:fldCharType="separate"/>
      </w:r>
      <w:r w:rsidR="0018573A">
        <w:rPr>
          <w:rFonts w:ascii="Arial Narrow" w:hAnsi="Arial Narrow"/>
          <w:noProof/>
          <w:color w:val="auto"/>
          <w:sz w:val="20"/>
          <w:szCs w:val="20"/>
        </w:rPr>
        <w:t>7</w:t>
      </w:r>
      <w:r w:rsidRPr="00B5580D">
        <w:rPr>
          <w:rFonts w:ascii="Arial Narrow" w:hAnsi="Arial Narrow"/>
          <w:color w:val="auto"/>
          <w:sz w:val="20"/>
          <w:szCs w:val="20"/>
        </w:rPr>
        <w:fldChar w:fldCharType="end"/>
      </w:r>
      <w:r w:rsidRPr="00B5580D">
        <w:rPr>
          <w:rFonts w:ascii="Arial Narrow" w:hAnsi="Arial Narrow"/>
          <w:color w:val="auto"/>
          <w:sz w:val="20"/>
          <w:szCs w:val="20"/>
        </w:rPr>
        <w:t xml:space="preserve">: Proposed special pricing arrangement for </w:t>
      </w:r>
      <w:proofErr w:type="spellStart"/>
      <w:r w:rsidRPr="00B5580D">
        <w:rPr>
          <w:rFonts w:ascii="Arial Narrow" w:hAnsi="Arial Narrow"/>
          <w:color w:val="auto"/>
          <w:sz w:val="20"/>
          <w:szCs w:val="20"/>
        </w:rPr>
        <w:t>pasireotide</w:t>
      </w:r>
      <w:proofErr w:type="spellEnd"/>
      <w:r w:rsidRPr="00B5580D">
        <w:rPr>
          <w:rFonts w:ascii="Arial Narrow" w:hAnsi="Arial Narrow"/>
          <w:color w:val="auto"/>
          <w:sz w:val="20"/>
          <w:szCs w:val="20"/>
        </w:rPr>
        <w:t xml:space="preserve"> LAR, DPMQ</w:t>
      </w:r>
    </w:p>
    <w:tbl>
      <w:tblPr>
        <w:tblW w:w="4523" w:type="pct"/>
        <w:tblInd w:w="817" w:type="dxa"/>
        <w:tblLook w:val="04A0" w:firstRow="1" w:lastRow="0" w:firstColumn="1" w:lastColumn="0" w:noHBand="0" w:noVBand="1"/>
        <w:tblCaption w:val="Special pricing proposal"/>
      </w:tblPr>
      <w:tblGrid>
        <w:gridCol w:w="1417"/>
        <w:gridCol w:w="1736"/>
        <w:gridCol w:w="1736"/>
        <w:gridCol w:w="1736"/>
        <w:gridCol w:w="1736"/>
      </w:tblGrid>
      <w:tr w:rsidR="00832B65" w:rsidRPr="006D54A5" w:rsidTr="00B5580D">
        <w:tc>
          <w:tcPr>
            <w:tcW w:w="847" w:type="pct"/>
            <w:vMerge w:val="restart"/>
            <w:tcBorders>
              <w:top w:val="single" w:sz="4" w:space="0" w:color="auto"/>
              <w:left w:val="single" w:sz="4" w:space="0" w:color="auto"/>
              <w:right w:val="single" w:sz="4" w:space="0" w:color="auto"/>
            </w:tcBorders>
            <w:shd w:val="clear" w:color="000000" w:fill="auto"/>
            <w:vAlign w:val="center"/>
            <w:hideMark/>
          </w:tcPr>
          <w:p w:rsidR="00832B65" w:rsidRPr="006D54A5" w:rsidRDefault="00832B65" w:rsidP="00E257B0">
            <w:pPr>
              <w:jc w:val="center"/>
              <w:rPr>
                <w:rFonts w:ascii="Arial Narrow" w:hAnsi="Arial Narrow"/>
                <w:bCs/>
                <w:sz w:val="20"/>
              </w:rPr>
            </w:pPr>
          </w:p>
        </w:tc>
        <w:tc>
          <w:tcPr>
            <w:tcW w:w="2076" w:type="pct"/>
            <w:gridSpan w:val="2"/>
            <w:tcBorders>
              <w:top w:val="single" w:sz="4" w:space="0" w:color="auto"/>
              <w:left w:val="nil"/>
              <w:bottom w:val="single" w:sz="4" w:space="0" w:color="auto"/>
              <w:right w:val="single" w:sz="4" w:space="0" w:color="auto"/>
            </w:tcBorders>
            <w:shd w:val="clear" w:color="000000" w:fill="auto"/>
            <w:vAlign w:val="center"/>
          </w:tcPr>
          <w:p w:rsidR="00832B65" w:rsidRPr="006D54A5" w:rsidRDefault="00832B65" w:rsidP="00E257B0">
            <w:pPr>
              <w:jc w:val="center"/>
              <w:rPr>
                <w:rFonts w:ascii="Arial Narrow" w:hAnsi="Arial Narrow"/>
                <w:b/>
                <w:bCs/>
                <w:sz w:val="20"/>
              </w:rPr>
            </w:pPr>
            <w:r w:rsidRPr="006D54A5">
              <w:rPr>
                <w:rFonts w:ascii="Arial Narrow" w:hAnsi="Arial Narrow"/>
                <w:b/>
                <w:bCs/>
                <w:sz w:val="20"/>
              </w:rPr>
              <w:t>Public DPMQ (2 injections)</w:t>
            </w:r>
          </w:p>
        </w:tc>
        <w:tc>
          <w:tcPr>
            <w:tcW w:w="2076" w:type="pct"/>
            <w:gridSpan w:val="2"/>
            <w:tcBorders>
              <w:top w:val="single" w:sz="4" w:space="0" w:color="auto"/>
              <w:left w:val="nil"/>
              <w:bottom w:val="single" w:sz="4" w:space="0" w:color="auto"/>
              <w:right w:val="single" w:sz="4" w:space="0" w:color="auto"/>
            </w:tcBorders>
            <w:shd w:val="clear" w:color="000000" w:fill="auto"/>
            <w:vAlign w:val="center"/>
          </w:tcPr>
          <w:p w:rsidR="00832B65" w:rsidRPr="006D54A5" w:rsidRDefault="00832B65" w:rsidP="00E257B0">
            <w:pPr>
              <w:jc w:val="center"/>
              <w:rPr>
                <w:rFonts w:ascii="Arial Narrow" w:hAnsi="Arial Narrow"/>
                <w:b/>
                <w:bCs/>
                <w:sz w:val="20"/>
              </w:rPr>
            </w:pPr>
            <w:r w:rsidRPr="006D54A5">
              <w:rPr>
                <w:rFonts w:ascii="Arial Narrow" w:hAnsi="Arial Narrow"/>
                <w:b/>
                <w:bCs/>
                <w:sz w:val="20"/>
              </w:rPr>
              <w:t>Private DPMQ (2 injections)</w:t>
            </w:r>
          </w:p>
        </w:tc>
      </w:tr>
      <w:tr w:rsidR="00832B65" w:rsidRPr="006D54A5" w:rsidTr="00B5580D">
        <w:tc>
          <w:tcPr>
            <w:tcW w:w="847" w:type="pct"/>
            <w:vMerge/>
            <w:tcBorders>
              <w:left w:val="single" w:sz="4" w:space="0" w:color="auto"/>
              <w:bottom w:val="single" w:sz="4" w:space="0" w:color="auto"/>
              <w:right w:val="single" w:sz="4" w:space="0" w:color="auto"/>
            </w:tcBorders>
            <w:shd w:val="clear" w:color="000000" w:fill="auto"/>
          </w:tcPr>
          <w:p w:rsidR="00832B65" w:rsidRPr="006D54A5" w:rsidRDefault="00832B65" w:rsidP="00E257B0">
            <w:pPr>
              <w:jc w:val="left"/>
              <w:rPr>
                <w:rFonts w:ascii="Arial Narrow" w:hAnsi="Arial Narrow"/>
                <w:bCs/>
                <w:sz w:val="20"/>
              </w:rPr>
            </w:pPr>
          </w:p>
        </w:tc>
        <w:tc>
          <w:tcPr>
            <w:tcW w:w="1038" w:type="pct"/>
            <w:tcBorders>
              <w:top w:val="single" w:sz="4" w:space="0" w:color="auto"/>
              <w:left w:val="nil"/>
              <w:bottom w:val="single" w:sz="4" w:space="0" w:color="auto"/>
              <w:right w:val="single" w:sz="4" w:space="0" w:color="auto"/>
            </w:tcBorders>
            <w:shd w:val="clear" w:color="000000" w:fill="auto"/>
            <w:vAlign w:val="center"/>
          </w:tcPr>
          <w:p w:rsidR="00832B65" w:rsidRPr="006D54A5" w:rsidRDefault="00832B65" w:rsidP="00E257B0">
            <w:pPr>
              <w:jc w:val="center"/>
              <w:rPr>
                <w:rFonts w:ascii="Arial Narrow" w:hAnsi="Arial Narrow"/>
                <w:b/>
                <w:bCs/>
                <w:sz w:val="20"/>
              </w:rPr>
            </w:pPr>
            <w:r w:rsidRPr="006D54A5">
              <w:rPr>
                <w:rFonts w:ascii="Arial Narrow" w:hAnsi="Arial Narrow"/>
                <w:b/>
                <w:bCs/>
                <w:sz w:val="20"/>
              </w:rPr>
              <w:t>Published price</w:t>
            </w:r>
          </w:p>
        </w:tc>
        <w:tc>
          <w:tcPr>
            <w:tcW w:w="1038" w:type="pct"/>
            <w:tcBorders>
              <w:top w:val="single" w:sz="4" w:space="0" w:color="auto"/>
              <w:left w:val="nil"/>
              <w:bottom w:val="single" w:sz="4" w:space="0" w:color="auto"/>
              <w:right w:val="single" w:sz="4" w:space="0" w:color="auto"/>
            </w:tcBorders>
            <w:shd w:val="clear" w:color="000000" w:fill="auto"/>
            <w:vAlign w:val="center"/>
          </w:tcPr>
          <w:p w:rsidR="00832B65" w:rsidRPr="006D54A5" w:rsidRDefault="00832B65" w:rsidP="00E257B0">
            <w:pPr>
              <w:jc w:val="center"/>
              <w:rPr>
                <w:rFonts w:ascii="Arial Narrow" w:hAnsi="Arial Narrow"/>
                <w:b/>
                <w:bCs/>
                <w:sz w:val="20"/>
              </w:rPr>
            </w:pPr>
            <w:r w:rsidRPr="006D54A5">
              <w:rPr>
                <w:rFonts w:ascii="Arial Narrow" w:hAnsi="Arial Narrow"/>
                <w:b/>
                <w:bCs/>
                <w:sz w:val="20"/>
              </w:rPr>
              <w:t>Effective price</w:t>
            </w:r>
          </w:p>
        </w:tc>
        <w:tc>
          <w:tcPr>
            <w:tcW w:w="1038" w:type="pct"/>
            <w:tcBorders>
              <w:top w:val="single" w:sz="4" w:space="0" w:color="auto"/>
              <w:left w:val="nil"/>
              <w:bottom w:val="single" w:sz="4" w:space="0" w:color="auto"/>
              <w:right w:val="single" w:sz="4" w:space="0" w:color="auto"/>
            </w:tcBorders>
            <w:shd w:val="clear" w:color="000000" w:fill="auto"/>
            <w:vAlign w:val="center"/>
          </w:tcPr>
          <w:p w:rsidR="00832B65" w:rsidRPr="006D54A5" w:rsidRDefault="00832B65" w:rsidP="00E257B0">
            <w:pPr>
              <w:jc w:val="center"/>
              <w:rPr>
                <w:rFonts w:ascii="Arial Narrow" w:hAnsi="Arial Narrow"/>
                <w:b/>
                <w:bCs/>
                <w:sz w:val="20"/>
              </w:rPr>
            </w:pPr>
            <w:r w:rsidRPr="006D54A5">
              <w:rPr>
                <w:rFonts w:ascii="Arial Narrow" w:hAnsi="Arial Narrow"/>
                <w:b/>
                <w:bCs/>
                <w:sz w:val="20"/>
              </w:rPr>
              <w:t>Published price</w:t>
            </w:r>
          </w:p>
        </w:tc>
        <w:tc>
          <w:tcPr>
            <w:tcW w:w="1038" w:type="pct"/>
            <w:tcBorders>
              <w:top w:val="single" w:sz="4" w:space="0" w:color="auto"/>
              <w:left w:val="nil"/>
              <w:bottom w:val="single" w:sz="4" w:space="0" w:color="auto"/>
              <w:right w:val="single" w:sz="4" w:space="0" w:color="auto"/>
            </w:tcBorders>
            <w:shd w:val="clear" w:color="000000" w:fill="auto"/>
            <w:vAlign w:val="center"/>
          </w:tcPr>
          <w:p w:rsidR="00832B65" w:rsidRPr="006D54A5" w:rsidRDefault="00832B65" w:rsidP="00E257B0">
            <w:pPr>
              <w:jc w:val="center"/>
              <w:rPr>
                <w:rFonts w:ascii="Arial Narrow" w:hAnsi="Arial Narrow"/>
                <w:b/>
                <w:bCs/>
                <w:sz w:val="20"/>
              </w:rPr>
            </w:pPr>
            <w:r w:rsidRPr="006D54A5">
              <w:rPr>
                <w:rFonts w:ascii="Arial Narrow" w:hAnsi="Arial Narrow"/>
                <w:b/>
                <w:bCs/>
                <w:sz w:val="20"/>
              </w:rPr>
              <w:t>Effective price</w:t>
            </w:r>
          </w:p>
        </w:tc>
      </w:tr>
      <w:tr w:rsidR="00832B65" w:rsidRPr="006D54A5" w:rsidTr="00B5580D">
        <w:tc>
          <w:tcPr>
            <w:tcW w:w="847" w:type="pct"/>
            <w:tcBorders>
              <w:top w:val="nil"/>
              <w:left w:val="single" w:sz="4" w:space="0" w:color="auto"/>
              <w:bottom w:val="single" w:sz="4" w:space="0" w:color="auto"/>
              <w:right w:val="single" w:sz="4" w:space="0" w:color="auto"/>
            </w:tcBorders>
            <w:shd w:val="clear" w:color="auto" w:fill="auto"/>
            <w:vAlign w:val="center"/>
          </w:tcPr>
          <w:p w:rsidR="00832B65" w:rsidRPr="006D54A5" w:rsidRDefault="00832B65" w:rsidP="00E257B0">
            <w:pPr>
              <w:jc w:val="left"/>
              <w:rPr>
                <w:rFonts w:ascii="Arial Narrow" w:hAnsi="Arial Narrow"/>
                <w:sz w:val="20"/>
              </w:rPr>
            </w:pPr>
            <w:r w:rsidRPr="006D54A5">
              <w:rPr>
                <w:rFonts w:ascii="Arial Narrow" w:hAnsi="Arial Narrow"/>
                <w:bCs/>
                <w:sz w:val="20"/>
              </w:rPr>
              <w:t>Pasireotide LAR</w:t>
            </w:r>
          </w:p>
        </w:tc>
        <w:tc>
          <w:tcPr>
            <w:tcW w:w="1038" w:type="pct"/>
            <w:tcBorders>
              <w:top w:val="nil"/>
              <w:left w:val="nil"/>
              <w:bottom w:val="single" w:sz="4" w:space="0" w:color="auto"/>
              <w:right w:val="single" w:sz="4" w:space="0" w:color="auto"/>
            </w:tcBorders>
            <w:shd w:val="clear" w:color="auto" w:fill="auto"/>
            <w:noWrap/>
            <w:vAlign w:val="center"/>
          </w:tcPr>
          <w:p w:rsidR="00832B65" w:rsidRPr="006D54A5" w:rsidRDefault="00832B65" w:rsidP="00E257B0">
            <w:pPr>
              <w:jc w:val="center"/>
              <w:rPr>
                <w:rFonts w:ascii="Arial Narrow" w:hAnsi="Arial Narrow"/>
                <w:sz w:val="20"/>
              </w:rPr>
            </w:pPr>
            <w:r w:rsidRPr="006D54A5">
              <w:rPr>
                <w:rFonts w:ascii="Arial Narrow" w:hAnsi="Arial Narrow"/>
                <w:sz w:val="20"/>
              </w:rPr>
              <w:t>$</w:t>
            </w:r>
            <w:r w:rsidR="000367B3">
              <w:rPr>
                <w:rFonts w:ascii="Arial Narrow" w:hAnsi="Arial Narrow"/>
                <w:noProof/>
                <w:color w:val="000000"/>
                <w:sz w:val="20"/>
                <w:highlight w:val="black"/>
              </w:rPr>
              <w:t>''''''''''''''''''</w:t>
            </w:r>
          </w:p>
        </w:tc>
        <w:tc>
          <w:tcPr>
            <w:tcW w:w="1038" w:type="pct"/>
            <w:tcBorders>
              <w:top w:val="nil"/>
              <w:left w:val="nil"/>
              <w:bottom w:val="single" w:sz="4" w:space="0" w:color="auto"/>
              <w:right w:val="single" w:sz="4" w:space="0" w:color="auto"/>
            </w:tcBorders>
            <w:shd w:val="clear" w:color="auto" w:fill="auto"/>
            <w:vAlign w:val="center"/>
          </w:tcPr>
          <w:p w:rsidR="00832B65" w:rsidRPr="006D54A5" w:rsidRDefault="00832B65" w:rsidP="00E257B0">
            <w:pPr>
              <w:jc w:val="center"/>
              <w:rPr>
                <w:rFonts w:ascii="Arial Narrow" w:hAnsi="Arial Narrow"/>
                <w:sz w:val="20"/>
              </w:rPr>
            </w:pPr>
            <w:r w:rsidRPr="006D54A5">
              <w:rPr>
                <w:rFonts w:ascii="Arial Narrow" w:hAnsi="Arial Narrow"/>
                <w:sz w:val="20"/>
              </w:rPr>
              <w:t>$</w:t>
            </w:r>
            <w:r w:rsidR="000367B3">
              <w:rPr>
                <w:rFonts w:ascii="Arial Narrow" w:hAnsi="Arial Narrow"/>
                <w:noProof/>
                <w:color w:val="000000"/>
                <w:sz w:val="20"/>
                <w:highlight w:val="black"/>
              </w:rPr>
              <w:t>''''''''''''''''''''''</w:t>
            </w:r>
          </w:p>
        </w:tc>
        <w:tc>
          <w:tcPr>
            <w:tcW w:w="1038" w:type="pct"/>
            <w:tcBorders>
              <w:top w:val="nil"/>
              <w:left w:val="nil"/>
              <w:bottom w:val="single" w:sz="4" w:space="0" w:color="auto"/>
              <w:right w:val="single" w:sz="4" w:space="0" w:color="auto"/>
            </w:tcBorders>
            <w:shd w:val="clear" w:color="auto" w:fill="auto"/>
            <w:vAlign w:val="center"/>
          </w:tcPr>
          <w:p w:rsidR="00832B65" w:rsidRPr="006D54A5" w:rsidRDefault="00832B65" w:rsidP="00E257B0">
            <w:pPr>
              <w:jc w:val="center"/>
              <w:rPr>
                <w:rFonts w:ascii="Arial Narrow" w:hAnsi="Arial Narrow"/>
                <w:sz w:val="20"/>
              </w:rPr>
            </w:pPr>
            <w:r w:rsidRPr="006D54A5">
              <w:rPr>
                <w:rFonts w:ascii="Arial Narrow" w:hAnsi="Arial Narrow"/>
                <w:sz w:val="20"/>
              </w:rPr>
              <w:t>$</w:t>
            </w:r>
            <w:r w:rsidR="000367B3">
              <w:rPr>
                <w:rFonts w:ascii="Arial Narrow" w:hAnsi="Arial Narrow"/>
                <w:noProof/>
                <w:color w:val="000000"/>
                <w:sz w:val="20"/>
                <w:highlight w:val="black"/>
              </w:rPr>
              <w:t>'''''''''''''''''''</w:t>
            </w:r>
          </w:p>
        </w:tc>
        <w:tc>
          <w:tcPr>
            <w:tcW w:w="1038" w:type="pct"/>
            <w:tcBorders>
              <w:top w:val="nil"/>
              <w:left w:val="nil"/>
              <w:bottom w:val="single" w:sz="4" w:space="0" w:color="auto"/>
              <w:right w:val="single" w:sz="4" w:space="0" w:color="auto"/>
            </w:tcBorders>
            <w:shd w:val="clear" w:color="auto" w:fill="auto"/>
            <w:vAlign w:val="center"/>
          </w:tcPr>
          <w:p w:rsidR="00832B65" w:rsidRPr="006D54A5" w:rsidRDefault="00832B65" w:rsidP="00E257B0">
            <w:pPr>
              <w:jc w:val="center"/>
              <w:rPr>
                <w:rFonts w:ascii="Arial Narrow" w:hAnsi="Arial Narrow"/>
                <w:sz w:val="20"/>
              </w:rPr>
            </w:pPr>
            <w:r w:rsidRPr="006D54A5">
              <w:rPr>
                <w:rFonts w:ascii="Arial Narrow" w:hAnsi="Arial Narrow"/>
                <w:sz w:val="20"/>
              </w:rPr>
              <w:t>$</w:t>
            </w:r>
            <w:r w:rsidR="000367B3">
              <w:rPr>
                <w:rFonts w:ascii="Arial Narrow" w:hAnsi="Arial Narrow"/>
                <w:noProof/>
                <w:color w:val="000000"/>
                <w:sz w:val="20"/>
                <w:highlight w:val="black"/>
              </w:rPr>
              <w:t>'''''''''''''''''''''</w:t>
            </w:r>
          </w:p>
        </w:tc>
      </w:tr>
    </w:tbl>
    <w:p w:rsidR="00832B65" w:rsidRPr="006D54A5" w:rsidRDefault="00832B65" w:rsidP="00832B65">
      <w:pPr>
        <w:ind w:left="709"/>
        <w:rPr>
          <w:rFonts w:ascii="Arial Narrow" w:hAnsi="Arial Narrow"/>
          <w:sz w:val="18"/>
        </w:rPr>
      </w:pPr>
      <w:r w:rsidRPr="006D54A5">
        <w:rPr>
          <w:rFonts w:ascii="Arial Narrow" w:hAnsi="Arial Narrow"/>
          <w:sz w:val="18"/>
        </w:rPr>
        <w:t>Note: The sponsor proposed a flat pricing structure across all dose strengths for pasireotide LAR</w:t>
      </w:r>
    </w:p>
    <w:p w:rsidR="00832B65" w:rsidRPr="006D54A5" w:rsidRDefault="00832B65" w:rsidP="00832B65">
      <w:pPr>
        <w:ind w:left="709"/>
        <w:rPr>
          <w:rFonts w:ascii="Arial Narrow" w:hAnsi="Arial Narrow"/>
          <w:sz w:val="18"/>
        </w:rPr>
      </w:pPr>
      <w:r w:rsidRPr="006D54A5">
        <w:rPr>
          <w:rFonts w:ascii="Arial Narrow" w:hAnsi="Arial Narrow"/>
          <w:sz w:val="18"/>
        </w:rPr>
        <w:t>Abbreviations: DPMQ, dispensed price for maximum quantity; LAR, long-acting release</w:t>
      </w:r>
    </w:p>
    <w:p w:rsidR="00832B65" w:rsidRPr="006D54A5" w:rsidRDefault="00832B65" w:rsidP="00832B65">
      <w:pPr>
        <w:ind w:left="709"/>
        <w:rPr>
          <w:rFonts w:ascii="Arial Narrow" w:hAnsi="Arial Narrow"/>
          <w:sz w:val="18"/>
        </w:rPr>
      </w:pPr>
      <w:r w:rsidRPr="006D54A5">
        <w:rPr>
          <w:rFonts w:ascii="Arial Narrow" w:hAnsi="Arial Narrow"/>
          <w:sz w:val="18"/>
        </w:rPr>
        <w:t>Source: Table 61, p130 of the submission</w:t>
      </w:r>
    </w:p>
    <w:p w:rsidR="00832B65" w:rsidRPr="006D54A5" w:rsidRDefault="00832B65" w:rsidP="00576972">
      <w:pPr>
        <w:widowControl/>
        <w:rPr>
          <w:szCs w:val="22"/>
        </w:rPr>
      </w:pPr>
    </w:p>
    <w:p w:rsidR="003E0C57" w:rsidRPr="00F613BA" w:rsidRDefault="003E0C57" w:rsidP="003E0C57">
      <w:pPr>
        <w:widowControl/>
        <w:ind w:firstLine="709"/>
        <w:rPr>
          <w:i/>
          <w:szCs w:val="22"/>
        </w:rPr>
      </w:pPr>
      <w:r w:rsidRPr="00F613BA">
        <w:rPr>
          <w:i/>
          <w:szCs w:val="22"/>
        </w:rPr>
        <w:t>For more detail on PBAC’s view, see section 7 “PBAC outcome”</w:t>
      </w:r>
    </w:p>
    <w:p w:rsidR="00707FFA" w:rsidRDefault="00707FFA">
      <w:pPr>
        <w:widowControl/>
        <w:jc w:val="left"/>
        <w:rPr>
          <w:i/>
        </w:rPr>
      </w:pPr>
    </w:p>
    <w:p w:rsidR="007E54B9" w:rsidRPr="006D54A5" w:rsidRDefault="007E54B9" w:rsidP="00B5580D">
      <w:pPr>
        <w:pStyle w:val="Heading1"/>
      </w:pPr>
      <w:r w:rsidRPr="006D54A5">
        <w:t>PBAC Outcome</w:t>
      </w:r>
    </w:p>
    <w:p w:rsidR="00D012EA" w:rsidRPr="006D54A5" w:rsidRDefault="00D012EA" w:rsidP="00D012EA">
      <w:pPr>
        <w:widowControl/>
        <w:ind w:left="720"/>
        <w:rPr>
          <w:b/>
          <w:bCs/>
          <w:szCs w:val="22"/>
        </w:rPr>
      </w:pPr>
    </w:p>
    <w:p w:rsidR="00D26AEE" w:rsidRPr="006D54A5" w:rsidRDefault="007E54B9" w:rsidP="007E54B9">
      <w:pPr>
        <w:widowControl/>
        <w:numPr>
          <w:ilvl w:val="1"/>
          <w:numId w:val="18"/>
        </w:numPr>
        <w:rPr>
          <w:bCs/>
          <w:szCs w:val="22"/>
        </w:rPr>
      </w:pPr>
      <w:r w:rsidRPr="006D54A5">
        <w:rPr>
          <w:bCs/>
          <w:szCs w:val="22"/>
        </w:rPr>
        <w:t xml:space="preserve">The PBAC recommended the </w:t>
      </w:r>
      <w:r w:rsidR="001B69FE" w:rsidRPr="006D54A5">
        <w:rPr>
          <w:bCs/>
          <w:szCs w:val="22"/>
        </w:rPr>
        <w:t xml:space="preserve">listing of pasireotide as second-line therapy for the treatment of patients with acromegaly, on the basis that it should be available only under special arrangements under </w:t>
      </w:r>
      <w:r w:rsidRPr="006D54A5">
        <w:rPr>
          <w:bCs/>
          <w:szCs w:val="22"/>
        </w:rPr>
        <w:t>Section 100 (Highly Specialised Drugs</w:t>
      </w:r>
      <w:r w:rsidR="001B69FE" w:rsidRPr="006D54A5">
        <w:rPr>
          <w:bCs/>
          <w:szCs w:val="22"/>
        </w:rPr>
        <w:t xml:space="preserve"> Program</w:t>
      </w:r>
      <w:r w:rsidRPr="006D54A5">
        <w:rPr>
          <w:bCs/>
          <w:szCs w:val="22"/>
        </w:rPr>
        <w:t>)</w:t>
      </w:r>
      <w:r w:rsidR="001B69FE" w:rsidRPr="006D54A5">
        <w:rPr>
          <w:bCs/>
          <w:szCs w:val="22"/>
        </w:rPr>
        <w:t>.</w:t>
      </w:r>
      <w:r w:rsidRPr="006D54A5">
        <w:rPr>
          <w:bCs/>
          <w:szCs w:val="22"/>
        </w:rPr>
        <w:t xml:space="preserve"> </w:t>
      </w:r>
      <w:r w:rsidR="004F22C6" w:rsidRPr="006D54A5">
        <w:rPr>
          <w:bCs/>
          <w:szCs w:val="22"/>
        </w:rPr>
        <w:t xml:space="preserve">In making this recommendation, </w:t>
      </w:r>
      <w:r w:rsidR="001B69FE" w:rsidRPr="006D54A5">
        <w:rPr>
          <w:bCs/>
          <w:szCs w:val="22"/>
        </w:rPr>
        <w:t xml:space="preserve">the PBAC recommended that the price be reduced to </w:t>
      </w:r>
      <w:r w:rsidR="007C4503" w:rsidRPr="006D54A5">
        <w:rPr>
          <w:bCs/>
          <w:szCs w:val="22"/>
        </w:rPr>
        <w:t xml:space="preserve">offset the cost </w:t>
      </w:r>
      <w:r w:rsidR="003E0C57" w:rsidRPr="006D54A5">
        <w:rPr>
          <w:bCs/>
          <w:szCs w:val="22"/>
        </w:rPr>
        <w:t>associated with</w:t>
      </w:r>
      <w:r w:rsidR="007C4503" w:rsidRPr="006D54A5">
        <w:rPr>
          <w:bCs/>
          <w:szCs w:val="22"/>
        </w:rPr>
        <w:t xml:space="preserve"> treating hyperglycaemia and diabetes attributable to treatment with pasireotide. </w:t>
      </w:r>
    </w:p>
    <w:p w:rsidR="00D26AEE" w:rsidRPr="006D54A5" w:rsidRDefault="00D26AEE" w:rsidP="00D26AEE">
      <w:pPr>
        <w:widowControl/>
        <w:ind w:left="720"/>
        <w:rPr>
          <w:bCs/>
          <w:szCs w:val="22"/>
        </w:rPr>
      </w:pPr>
    </w:p>
    <w:p w:rsidR="004F22C6" w:rsidRPr="006D54A5" w:rsidRDefault="004F22C6" w:rsidP="004F22C6">
      <w:pPr>
        <w:widowControl/>
        <w:numPr>
          <w:ilvl w:val="1"/>
          <w:numId w:val="18"/>
        </w:numPr>
        <w:rPr>
          <w:bCs/>
          <w:szCs w:val="22"/>
        </w:rPr>
      </w:pPr>
      <w:r w:rsidRPr="006D54A5">
        <w:rPr>
          <w:szCs w:val="22"/>
        </w:rPr>
        <w:t xml:space="preserve">The PBAC considered that a written authority listing would be appropriate to limit use of pasireotide to a second-line agent for the treatment of acromegaly in patients who have an inadequate response to treatment with the maximum recommended doses of other SSAs due to increased comparative harm associated with pasireotide treatment. The PBAC agreed with the Secretariat suggested wording of the restriction. The PBAC noted and agreed with the pre-PBAC response that a stopping rule was not </w:t>
      </w:r>
      <w:r w:rsidR="00094618" w:rsidRPr="006D54A5">
        <w:rPr>
          <w:szCs w:val="22"/>
        </w:rPr>
        <w:t>necessary,</w:t>
      </w:r>
      <w:r w:rsidR="00481B3A" w:rsidRPr="006D54A5">
        <w:rPr>
          <w:szCs w:val="22"/>
        </w:rPr>
        <w:t xml:space="preserve"> as clinicians are likely to </w:t>
      </w:r>
      <w:r w:rsidR="003E0C57" w:rsidRPr="006D54A5">
        <w:rPr>
          <w:szCs w:val="22"/>
        </w:rPr>
        <w:t>cease ineffective treatment</w:t>
      </w:r>
      <w:r w:rsidR="007C4503" w:rsidRPr="006D54A5">
        <w:rPr>
          <w:szCs w:val="22"/>
        </w:rPr>
        <w:t xml:space="preserve"> </w:t>
      </w:r>
      <w:r w:rsidR="003E0C57" w:rsidRPr="006D54A5">
        <w:rPr>
          <w:szCs w:val="22"/>
        </w:rPr>
        <w:t>due to the substantial</w:t>
      </w:r>
      <w:r w:rsidR="007C4503" w:rsidRPr="006D54A5">
        <w:rPr>
          <w:szCs w:val="22"/>
        </w:rPr>
        <w:t xml:space="preserve"> </w:t>
      </w:r>
      <w:r w:rsidR="003E0C57" w:rsidRPr="006D54A5">
        <w:rPr>
          <w:szCs w:val="22"/>
        </w:rPr>
        <w:t>risk of associated harms.</w:t>
      </w:r>
      <w:r w:rsidR="007C4503" w:rsidRPr="006D54A5">
        <w:rPr>
          <w:szCs w:val="22"/>
        </w:rPr>
        <w:t xml:space="preserve"> </w:t>
      </w:r>
    </w:p>
    <w:p w:rsidR="00030998" w:rsidRPr="006D54A5" w:rsidRDefault="00030998" w:rsidP="00030998">
      <w:pPr>
        <w:pStyle w:val="ListParagraph"/>
        <w:rPr>
          <w:bCs/>
          <w:szCs w:val="22"/>
        </w:rPr>
      </w:pPr>
    </w:p>
    <w:p w:rsidR="00030998" w:rsidRPr="006D54A5" w:rsidRDefault="00030998" w:rsidP="00030998">
      <w:pPr>
        <w:widowControl/>
        <w:numPr>
          <w:ilvl w:val="1"/>
          <w:numId w:val="18"/>
        </w:numPr>
        <w:rPr>
          <w:bCs/>
          <w:szCs w:val="22"/>
        </w:rPr>
      </w:pPr>
      <w:r w:rsidRPr="006D54A5">
        <w:rPr>
          <w:bCs/>
          <w:szCs w:val="22"/>
        </w:rPr>
        <w:t xml:space="preserve">The PBAC agreed with the ESC that the mixed comparator of maximum doses of </w:t>
      </w:r>
      <w:proofErr w:type="spellStart"/>
      <w:r w:rsidRPr="006D54A5">
        <w:rPr>
          <w:bCs/>
          <w:szCs w:val="22"/>
        </w:rPr>
        <w:t>octreotide</w:t>
      </w:r>
      <w:proofErr w:type="spellEnd"/>
      <w:r w:rsidRPr="006D54A5">
        <w:rPr>
          <w:bCs/>
          <w:szCs w:val="22"/>
        </w:rPr>
        <w:t xml:space="preserve"> and </w:t>
      </w:r>
      <w:proofErr w:type="spellStart"/>
      <w:r w:rsidRPr="006D54A5">
        <w:rPr>
          <w:bCs/>
          <w:szCs w:val="22"/>
        </w:rPr>
        <w:t>lanreotide</w:t>
      </w:r>
      <w:proofErr w:type="spellEnd"/>
      <w:r w:rsidRPr="006D54A5">
        <w:rPr>
          <w:bCs/>
          <w:szCs w:val="22"/>
        </w:rPr>
        <w:t xml:space="preserve"> was reasonable, despite the </w:t>
      </w:r>
      <w:r w:rsidR="003E0C57" w:rsidRPr="006D54A5">
        <w:rPr>
          <w:bCs/>
          <w:szCs w:val="22"/>
        </w:rPr>
        <w:t xml:space="preserve">uncertain </w:t>
      </w:r>
      <w:r w:rsidRPr="006D54A5">
        <w:rPr>
          <w:bCs/>
          <w:szCs w:val="22"/>
        </w:rPr>
        <w:t>cost-effectiveness of the continued use of these comparators despite suboptimal biochemical control</w:t>
      </w:r>
      <w:r w:rsidR="003E0C57" w:rsidRPr="006D54A5">
        <w:rPr>
          <w:bCs/>
          <w:szCs w:val="22"/>
        </w:rPr>
        <w:t>.</w:t>
      </w:r>
    </w:p>
    <w:p w:rsidR="00030998" w:rsidRPr="006D54A5" w:rsidRDefault="00030998" w:rsidP="00030998">
      <w:pPr>
        <w:widowControl/>
        <w:rPr>
          <w:bCs/>
          <w:szCs w:val="22"/>
        </w:rPr>
      </w:pPr>
    </w:p>
    <w:p w:rsidR="00030998" w:rsidRPr="006D54A5" w:rsidRDefault="00030998" w:rsidP="00030998">
      <w:pPr>
        <w:widowControl/>
        <w:numPr>
          <w:ilvl w:val="1"/>
          <w:numId w:val="18"/>
        </w:numPr>
        <w:rPr>
          <w:bCs/>
          <w:szCs w:val="22"/>
        </w:rPr>
      </w:pPr>
      <w:r w:rsidRPr="006D54A5">
        <w:rPr>
          <w:bCs/>
          <w:szCs w:val="22"/>
        </w:rPr>
        <w:t xml:space="preserve">The PBAC noted the submission presented one head-to-head trial comparing </w:t>
      </w:r>
      <w:proofErr w:type="spellStart"/>
      <w:r w:rsidRPr="006D54A5">
        <w:rPr>
          <w:bCs/>
          <w:szCs w:val="22"/>
        </w:rPr>
        <w:t>pasireotide</w:t>
      </w:r>
      <w:proofErr w:type="spellEnd"/>
      <w:r w:rsidRPr="006D54A5">
        <w:rPr>
          <w:bCs/>
          <w:szCs w:val="22"/>
        </w:rPr>
        <w:t xml:space="preserve"> with </w:t>
      </w:r>
      <w:proofErr w:type="spellStart"/>
      <w:r w:rsidRPr="006D54A5">
        <w:rPr>
          <w:bCs/>
          <w:szCs w:val="22"/>
        </w:rPr>
        <w:t>octreotide</w:t>
      </w:r>
      <w:proofErr w:type="spellEnd"/>
      <w:r w:rsidR="009A6D47">
        <w:rPr>
          <w:bCs/>
          <w:szCs w:val="22"/>
        </w:rPr>
        <w:t xml:space="preserve"> and </w:t>
      </w:r>
      <w:proofErr w:type="spellStart"/>
      <w:r w:rsidR="009A6D47">
        <w:rPr>
          <w:bCs/>
          <w:szCs w:val="22"/>
        </w:rPr>
        <w:t>lanreotide</w:t>
      </w:r>
      <w:proofErr w:type="spellEnd"/>
      <w:r w:rsidRPr="006D54A5">
        <w:rPr>
          <w:bCs/>
          <w:szCs w:val="22"/>
        </w:rPr>
        <w:t xml:space="preserve">, noting that a significantly greater proportion of patients in the pasireotide arm achieved </w:t>
      </w:r>
      <w:r w:rsidR="00B20572" w:rsidRPr="006D54A5">
        <w:rPr>
          <w:bCs/>
          <w:szCs w:val="22"/>
        </w:rPr>
        <w:t xml:space="preserve">biochemical control </w:t>
      </w:r>
      <w:r w:rsidRPr="006D54A5">
        <w:rPr>
          <w:bCs/>
          <w:szCs w:val="22"/>
        </w:rPr>
        <w:t xml:space="preserve">compared to the </w:t>
      </w:r>
      <w:r w:rsidR="003E0C57" w:rsidRPr="006D54A5">
        <w:rPr>
          <w:bCs/>
          <w:szCs w:val="22"/>
        </w:rPr>
        <w:t>active treatment</w:t>
      </w:r>
      <w:r w:rsidRPr="006D54A5">
        <w:rPr>
          <w:bCs/>
          <w:szCs w:val="22"/>
        </w:rPr>
        <w:t xml:space="preserve"> arm. </w:t>
      </w:r>
    </w:p>
    <w:p w:rsidR="00030998" w:rsidRPr="006D54A5" w:rsidRDefault="00030998" w:rsidP="00030998">
      <w:pPr>
        <w:widowControl/>
        <w:ind w:left="720"/>
        <w:rPr>
          <w:bCs/>
          <w:szCs w:val="22"/>
        </w:rPr>
      </w:pPr>
    </w:p>
    <w:p w:rsidR="00030998" w:rsidRPr="006D54A5" w:rsidRDefault="00030998" w:rsidP="00B20572">
      <w:pPr>
        <w:widowControl/>
        <w:numPr>
          <w:ilvl w:val="1"/>
          <w:numId w:val="18"/>
        </w:numPr>
        <w:rPr>
          <w:bCs/>
          <w:szCs w:val="22"/>
        </w:rPr>
      </w:pPr>
      <w:r w:rsidRPr="006D54A5">
        <w:rPr>
          <w:bCs/>
          <w:szCs w:val="22"/>
        </w:rPr>
        <w:t xml:space="preserve">The PBAC </w:t>
      </w:r>
      <w:r w:rsidR="00B20572" w:rsidRPr="006D54A5">
        <w:rPr>
          <w:bCs/>
          <w:szCs w:val="22"/>
        </w:rPr>
        <w:t xml:space="preserve">noted that there was little change in quality of life across all treatment groups but </w:t>
      </w:r>
      <w:r w:rsidRPr="006D54A5">
        <w:rPr>
          <w:bCs/>
          <w:szCs w:val="22"/>
        </w:rPr>
        <w:t xml:space="preserve">considered </w:t>
      </w:r>
      <w:r w:rsidR="00B20572" w:rsidRPr="006D54A5">
        <w:rPr>
          <w:bCs/>
          <w:szCs w:val="22"/>
        </w:rPr>
        <w:t>that this was reasonable</w:t>
      </w:r>
      <w:r w:rsidRPr="006D54A5">
        <w:rPr>
          <w:bCs/>
          <w:szCs w:val="22"/>
        </w:rPr>
        <w:t xml:space="preserve"> given the short</w:t>
      </w:r>
      <w:r w:rsidR="00B20572" w:rsidRPr="006D54A5">
        <w:rPr>
          <w:bCs/>
          <w:szCs w:val="22"/>
        </w:rPr>
        <w:t xml:space="preserve"> (24 week)</w:t>
      </w:r>
      <w:r w:rsidRPr="006D54A5">
        <w:rPr>
          <w:bCs/>
          <w:szCs w:val="22"/>
        </w:rPr>
        <w:t xml:space="preserve"> duration of the trial</w:t>
      </w:r>
      <w:r w:rsidR="00B20572" w:rsidRPr="006D54A5">
        <w:rPr>
          <w:bCs/>
          <w:szCs w:val="22"/>
        </w:rPr>
        <w:t>.</w:t>
      </w:r>
      <w:r w:rsidRPr="006D54A5">
        <w:rPr>
          <w:bCs/>
          <w:szCs w:val="22"/>
        </w:rPr>
        <w:t xml:space="preserve"> </w:t>
      </w:r>
    </w:p>
    <w:p w:rsidR="00030998" w:rsidRPr="006D54A5" w:rsidRDefault="00030998" w:rsidP="00030998">
      <w:pPr>
        <w:widowControl/>
        <w:rPr>
          <w:bCs/>
          <w:szCs w:val="22"/>
        </w:rPr>
      </w:pPr>
      <w:r w:rsidRPr="006D54A5">
        <w:rPr>
          <w:bCs/>
          <w:szCs w:val="22"/>
        </w:rPr>
        <w:t xml:space="preserve"> </w:t>
      </w:r>
    </w:p>
    <w:p w:rsidR="00030998" w:rsidRPr="006D54A5" w:rsidRDefault="00030998" w:rsidP="00030998">
      <w:pPr>
        <w:widowControl/>
        <w:numPr>
          <w:ilvl w:val="1"/>
          <w:numId w:val="18"/>
        </w:numPr>
        <w:rPr>
          <w:bCs/>
          <w:szCs w:val="22"/>
        </w:rPr>
      </w:pPr>
      <w:r w:rsidRPr="006D54A5">
        <w:rPr>
          <w:bCs/>
          <w:szCs w:val="22"/>
        </w:rPr>
        <w:t xml:space="preserve">The PBAC </w:t>
      </w:r>
      <w:r w:rsidR="00B20572" w:rsidRPr="006D54A5">
        <w:rPr>
          <w:bCs/>
          <w:szCs w:val="22"/>
        </w:rPr>
        <w:t>noted the different adverse event profile between pasireotide and the comparator</w:t>
      </w:r>
      <w:r w:rsidR="007E20AD">
        <w:rPr>
          <w:bCs/>
          <w:szCs w:val="22"/>
        </w:rPr>
        <w:t>s</w:t>
      </w:r>
      <w:r w:rsidR="00B20572" w:rsidRPr="006D54A5">
        <w:rPr>
          <w:bCs/>
          <w:szCs w:val="22"/>
        </w:rPr>
        <w:t xml:space="preserve">, agreeing with the ESC that as patients in the </w:t>
      </w:r>
      <w:r w:rsidR="007E20AD">
        <w:rPr>
          <w:bCs/>
          <w:szCs w:val="22"/>
        </w:rPr>
        <w:t xml:space="preserve">active </w:t>
      </w:r>
      <w:r w:rsidR="00B20572" w:rsidRPr="006D54A5">
        <w:rPr>
          <w:bCs/>
          <w:szCs w:val="22"/>
        </w:rPr>
        <w:t xml:space="preserve">control arm had been taking, and likely tolerating, the </w:t>
      </w:r>
      <w:r w:rsidR="003E0C57" w:rsidRPr="006D54A5">
        <w:rPr>
          <w:bCs/>
          <w:szCs w:val="22"/>
        </w:rPr>
        <w:t>comparator</w:t>
      </w:r>
      <w:r w:rsidR="00B20572" w:rsidRPr="006D54A5">
        <w:rPr>
          <w:bCs/>
          <w:szCs w:val="22"/>
        </w:rPr>
        <w:t xml:space="preserve"> medication for at least six months prior to the trial, it is reasonable that the adverse event rate would be higher in the pasireotide arm. </w:t>
      </w:r>
    </w:p>
    <w:p w:rsidR="00030998" w:rsidRPr="006D54A5" w:rsidRDefault="00030998" w:rsidP="00030998">
      <w:pPr>
        <w:widowControl/>
        <w:rPr>
          <w:bCs/>
          <w:szCs w:val="22"/>
        </w:rPr>
      </w:pPr>
    </w:p>
    <w:p w:rsidR="00030998" w:rsidRPr="006D54A5" w:rsidRDefault="00030998" w:rsidP="00030998">
      <w:pPr>
        <w:widowControl/>
        <w:numPr>
          <w:ilvl w:val="1"/>
          <w:numId w:val="18"/>
        </w:numPr>
        <w:rPr>
          <w:bCs/>
          <w:szCs w:val="22"/>
        </w:rPr>
      </w:pPr>
      <w:r w:rsidRPr="006D54A5">
        <w:rPr>
          <w:bCs/>
          <w:szCs w:val="22"/>
        </w:rPr>
        <w:t xml:space="preserve">The PBAC noted the high rates of hyperglycaemia and </w:t>
      </w:r>
      <w:r w:rsidR="00B20572" w:rsidRPr="006D54A5">
        <w:rPr>
          <w:bCs/>
          <w:szCs w:val="22"/>
        </w:rPr>
        <w:t>diabetes attributable to treatment with pasireotide compared to the comparators, reaffirming the clinical place</w:t>
      </w:r>
      <w:r w:rsidR="003E0C57" w:rsidRPr="006D54A5">
        <w:rPr>
          <w:bCs/>
          <w:szCs w:val="22"/>
        </w:rPr>
        <w:t xml:space="preserve"> of pasireotide</w:t>
      </w:r>
      <w:r w:rsidR="00B20572" w:rsidRPr="006D54A5">
        <w:rPr>
          <w:bCs/>
          <w:szCs w:val="22"/>
        </w:rPr>
        <w:t xml:space="preserve"> as a second-line therapy after failure of other SSAs. </w:t>
      </w:r>
    </w:p>
    <w:p w:rsidR="00030998" w:rsidRPr="006D54A5" w:rsidRDefault="00030998" w:rsidP="00030998">
      <w:pPr>
        <w:widowControl/>
        <w:rPr>
          <w:bCs/>
          <w:szCs w:val="22"/>
        </w:rPr>
      </w:pPr>
    </w:p>
    <w:p w:rsidR="00030998" w:rsidRPr="006D54A5" w:rsidRDefault="00030998" w:rsidP="00030998">
      <w:pPr>
        <w:widowControl/>
        <w:numPr>
          <w:ilvl w:val="1"/>
          <w:numId w:val="18"/>
        </w:numPr>
        <w:rPr>
          <w:bCs/>
          <w:szCs w:val="22"/>
        </w:rPr>
      </w:pPr>
      <w:r w:rsidRPr="006D54A5">
        <w:rPr>
          <w:bCs/>
          <w:szCs w:val="22"/>
        </w:rPr>
        <w:lastRenderedPageBreak/>
        <w:t>The PBAC considered the</w:t>
      </w:r>
      <w:r w:rsidR="00B20572" w:rsidRPr="006D54A5">
        <w:rPr>
          <w:bCs/>
          <w:szCs w:val="22"/>
        </w:rPr>
        <w:t xml:space="preserve"> clinical</w:t>
      </w:r>
      <w:r w:rsidRPr="006D54A5">
        <w:rPr>
          <w:bCs/>
          <w:szCs w:val="22"/>
        </w:rPr>
        <w:t xml:space="preserve"> claim of superior efficacy and inferior safety</w:t>
      </w:r>
      <w:r w:rsidR="00481B3A" w:rsidRPr="006D54A5">
        <w:rPr>
          <w:bCs/>
          <w:szCs w:val="22"/>
        </w:rPr>
        <w:t xml:space="preserve"> </w:t>
      </w:r>
      <w:r w:rsidRPr="006D54A5">
        <w:rPr>
          <w:bCs/>
          <w:szCs w:val="22"/>
        </w:rPr>
        <w:t xml:space="preserve">over the </w:t>
      </w:r>
      <w:r w:rsidR="00B20572" w:rsidRPr="006D54A5">
        <w:rPr>
          <w:bCs/>
          <w:szCs w:val="22"/>
        </w:rPr>
        <w:t xml:space="preserve">continued use of </w:t>
      </w:r>
      <w:r w:rsidRPr="006D54A5">
        <w:rPr>
          <w:bCs/>
          <w:szCs w:val="22"/>
        </w:rPr>
        <w:t>existing SSAs</w:t>
      </w:r>
      <w:r w:rsidR="00B20572" w:rsidRPr="006D54A5">
        <w:rPr>
          <w:bCs/>
          <w:szCs w:val="22"/>
        </w:rPr>
        <w:t xml:space="preserve"> for the treatment of acromegaly</w:t>
      </w:r>
      <w:r w:rsidRPr="006D54A5">
        <w:rPr>
          <w:bCs/>
          <w:szCs w:val="22"/>
        </w:rPr>
        <w:t xml:space="preserve"> was </w:t>
      </w:r>
      <w:r w:rsidR="00B20572" w:rsidRPr="006D54A5">
        <w:rPr>
          <w:bCs/>
          <w:szCs w:val="22"/>
        </w:rPr>
        <w:t xml:space="preserve">adequately supported. </w:t>
      </w:r>
      <w:r w:rsidRPr="006D54A5">
        <w:rPr>
          <w:bCs/>
          <w:szCs w:val="22"/>
        </w:rPr>
        <w:t xml:space="preserve"> </w:t>
      </w:r>
    </w:p>
    <w:p w:rsidR="00B20572" w:rsidRPr="006D54A5" w:rsidRDefault="00B20572" w:rsidP="00B20572">
      <w:pPr>
        <w:pStyle w:val="ListParagraph"/>
        <w:rPr>
          <w:bCs/>
          <w:szCs w:val="22"/>
        </w:rPr>
      </w:pPr>
    </w:p>
    <w:p w:rsidR="00B20572" w:rsidRPr="006D54A5" w:rsidRDefault="00B20572" w:rsidP="00030998">
      <w:pPr>
        <w:widowControl/>
        <w:numPr>
          <w:ilvl w:val="1"/>
          <w:numId w:val="18"/>
        </w:numPr>
        <w:rPr>
          <w:bCs/>
          <w:szCs w:val="22"/>
        </w:rPr>
      </w:pPr>
      <w:r w:rsidRPr="006D54A5">
        <w:rPr>
          <w:bCs/>
          <w:szCs w:val="22"/>
        </w:rPr>
        <w:t xml:space="preserve">The PBAC considered that the cost-minimisation analysis was appropriate, noting the difficulties in </w:t>
      </w:r>
      <w:r w:rsidR="00481B3A" w:rsidRPr="006D54A5">
        <w:rPr>
          <w:bCs/>
          <w:szCs w:val="22"/>
        </w:rPr>
        <w:t xml:space="preserve">quantifying the benefits of pasireotide over the comparators in order to conduct a cost utility analysis. There was no formal assessment of </w:t>
      </w:r>
      <w:proofErr w:type="spellStart"/>
      <w:r w:rsidR="00481B3A" w:rsidRPr="006D54A5">
        <w:rPr>
          <w:bCs/>
          <w:szCs w:val="22"/>
        </w:rPr>
        <w:t>equi</w:t>
      </w:r>
      <w:proofErr w:type="spellEnd"/>
      <w:r w:rsidR="00481B3A" w:rsidRPr="006D54A5">
        <w:rPr>
          <w:bCs/>
          <w:szCs w:val="22"/>
        </w:rPr>
        <w:t xml:space="preserve">-effective doses of ongoing therapy, however these are assumed to be aligned with the trial data, with pasireotide 40mg or 60mg every 28 days being equivalent to either </w:t>
      </w:r>
      <w:proofErr w:type="spellStart"/>
      <w:r w:rsidR="00481B3A" w:rsidRPr="006D54A5">
        <w:rPr>
          <w:bCs/>
          <w:szCs w:val="22"/>
        </w:rPr>
        <w:t>octreotide</w:t>
      </w:r>
      <w:proofErr w:type="spellEnd"/>
      <w:r w:rsidR="00481B3A" w:rsidRPr="006D54A5">
        <w:rPr>
          <w:bCs/>
          <w:szCs w:val="22"/>
        </w:rPr>
        <w:t xml:space="preserve"> 30mg or </w:t>
      </w:r>
      <w:proofErr w:type="spellStart"/>
      <w:r w:rsidR="00481B3A" w:rsidRPr="006D54A5">
        <w:rPr>
          <w:bCs/>
          <w:szCs w:val="22"/>
        </w:rPr>
        <w:t>lanreotide</w:t>
      </w:r>
      <w:proofErr w:type="spellEnd"/>
      <w:r w:rsidR="00481B3A" w:rsidRPr="006D54A5">
        <w:rPr>
          <w:bCs/>
          <w:szCs w:val="22"/>
        </w:rPr>
        <w:t xml:space="preserve"> 120mg every 28 days. </w:t>
      </w:r>
    </w:p>
    <w:p w:rsidR="004F22C6" w:rsidRPr="006D54A5" w:rsidRDefault="004F22C6" w:rsidP="004F22C6">
      <w:pPr>
        <w:rPr>
          <w:bCs/>
          <w:szCs w:val="22"/>
        </w:rPr>
      </w:pPr>
    </w:p>
    <w:p w:rsidR="00481B3A" w:rsidRPr="006D54A5" w:rsidRDefault="009A7FCD" w:rsidP="007E54B9">
      <w:pPr>
        <w:widowControl/>
        <w:numPr>
          <w:ilvl w:val="1"/>
          <w:numId w:val="18"/>
        </w:numPr>
        <w:rPr>
          <w:bCs/>
          <w:szCs w:val="22"/>
        </w:rPr>
      </w:pPr>
      <w:r w:rsidRPr="006D54A5">
        <w:rPr>
          <w:bCs/>
          <w:szCs w:val="22"/>
        </w:rPr>
        <w:t>The PBAC agreed with the ESC that the cost</w:t>
      </w:r>
      <w:r w:rsidR="00F24AD3" w:rsidRPr="006D54A5">
        <w:rPr>
          <w:bCs/>
          <w:szCs w:val="22"/>
        </w:rPr>
        <w:t>s associated with</w:t>
      </w:r>
      <w:r w:rsidRPr="006D54A5">
        <w:rPr>
          <w:bCs/>
          <w:szCs w:val="22"/>
        </w:rPr>
        <w:t xml:space="preserve"> </w:t>
      </w:r>
      <w:r w:rsidR="00481B3A" w:rsidRPr="006D54A5">
        <w:rPr>
          <w:bCs/>
          <w:szCs w:val="22"/>
        </w:rPr>
        <w:t xml:space="preserve">hyperglycaemia and </w:t>
      </w:r>
      <w:r w:rsidRPr="006D54A5">
        <w:rPr>
          <w:bCs/>
          <w:szCs w:val="22"/>
        </w:rPr>
        <w:t>diabetes</w:t>
      </w:r>
      <w:r w:rsidR="00F24AD3" w:rsidRPr="006D54A5">
        <w:rPr>
          <w:bCs/>
          <w:szCs w:val="22"/>
        </w:rPr>
        <w:t xml:space="preserve"> management</w:t>
      </w:r>
      <w:r w:rsidRPr="006D54A5">
        <w:rPr>
          <w:bCs/>
          <w:szCs w:val="22"/>
        </w:rPr>
        <w:t xml:space="preserve"> </w:t>
      </w:r>
      <w:r w:rsidR="00481B3A" w:rsidRPr="006D54A5">
        <w:rPr>
          <w:bCs/>
          <w:szCs w:val="22"/>
        </w:rPr>
        <w:t>were</w:t>
      </w:r>
      <w:r w:rsidRPr="006D54A5">
        <w:rPr>
          <w:bCs/>
          <w:szCs w:val="22"/>
        </w:rPr>
        <w:t xml:space="preserve"> </w:t>
      </w:r>
      <w:r w:rsidR="00481B3A" w:rsidRPr="006D54A5">
        <w:rPr>
          <w:bCs/>
          <w:szCs w:val="22"/>
        </w:rPr>
        <w:t xml:space="preserve">significantly </w:t>
      </w:r>
      <w:r w:rsidRPr="006D54A5">
        <w:rPr>
          <w:bCs/>
          <w:szCs w:val="22"/>
        </w:rPr>
        <w:t>underestimated by using drug costs</w:t>
      </w:r>
      <w:r w:rsidR="003E0C57" w:rsidRPr="006D54A5">
        <w:rPr>
          <w:bCs/>
          <w:szCs w:val="22"/>
        </w:rPr>
        <w:t xml:space="preserve"> alone</w:t>
      </w:r>
      <w:r w:rsidR="00481B3A" w:rsidRPr="006D54A5">
        <w:rPr>
          <w:bCs/>
          <w:szCs w:val="22"/>
        </w:rPr>
        <w:t xml:space="preserve"> and excluding the costs of treating exacerbations of symptoms, progression </w:t>
      </w:r>
      <w:r w:rsidR="007E20AD">
        <w:rPr>
          <w:bCs/>
          <w:szCs w:val="22"/>
        </w:rPr>
        <w:t xml:space="preserve">of disease, and micro and </w:t>
      </w:r>
      <w:proofErr w:type="spellStart"/>
      <w:r w:rsidR="007E20AD">
        <w:rPr>
          <w:bCs/>
          <w:szCs w:val="22"/>
        </w:rPr>
        <w:t>macro</w:t>
      </w:r>
      <w:r w:rsidR="00481B3A" w:rsidRPr="006D54A5">
        <w:rPr>
          <w:bCs/>
          <w:szCs w:val="22"/>
        </w:rPr>
        <w:t>vascular</w:t>
      </w:r>
      <w:proofErr w:type="spellEnd"/>
      <w:r w:rsidR="00481B3A" w:rsidRPr="006D54A5">
        <w:rPr>
          <w:bCs/>
          <w:szCs w:val="22"/>
        </w:rPr>
        <w:t xml:space="preserve"> complications of diabetes. The PBAC therefore considered it appropriate that the Department negotiate a revised price that appropriately includes these offsets.</w:t>
      </w:r>
    </w:p>
    <w:p w:rsidR="00481B3A" w:rsidRPr="006D54A5" w:rsidRDefault="009A7FCD" w:rsidP="00481B3A">
      <w:pPr>
        <w:widowControl/>
        <w:rPr>
          <w:bCs/>
          <w:szCs w:val="22"/>
        </w:rPr>
      </w:pPr>
      <w:r w:rsidRPr="006D54A5">
        <w:rPr>
          <w:bCs/>
          <w:szCs w:val="22"/>
        </w:rPr>
        <w:t xml:space="preserve"> </w:t>
      </w:r>
    </w:p>
    <w:p w:rsidR="009A7FCD" w:rsidRPr="006D54A5" w:rsidRDefault="009A7FCD" w:rsidP="007E54B9">
      <w:pPr>
        <w:widowControl/>
        <w:numPr>
          <w:ilvl w:val="1"/>
          <w:numId w:val="18"/>
        </w:numPr>
        <w:rPr>
          <w:bCs/>
          <w:szCs w:val="22"/>
        </w:rPr>
      </w:pPr>
      <w:r w:rsidRPr="006D54A5">
        <w:rPr>
          <w:bCs/>
          <w:szCs w:val="22"/>
        </w:rPr>
        <w:t xml:space="preserve">The PBAC also noted that the financial estimates presented in the submission </w:t>
      </w:r>
      <w:r w:rsidR="007C4503" w:rsidRPr="006D54A5">
        <w:rPr>
          <w:bCs/>
          <w:szCs w:val="22"/>
        </w:rPr>
        <w:t xml:space="preserve">may be underestimated, but considered that the listing of pasireotide is likely to be cost neutral as it will replace the use of other SSAs at an equivalent price.  </w:t>
      </w:r>
    </w:p>
    <w:p w:rsidR="00030998" w:rsidRPr="006D54A5" w:rsidRDefault="00030998" w:rsidP="00030998">
      <w:pPr>
        <w:widowControl/>
        <w:rPr>
          <w:bCs/>
          <w:szCs w:val="22"/>
        </w:rPr>
      </w:pPr>
    </w:p>
    <w:p w:rsidR="009A7FCD" w:rsidRPr="006D54A5" w:rsidRDefault="009A7FCD" w:rsidP="007C4503">
      <w:pPr>
        <w:widowControl/>
        <w:numPr>
          <w:ilvl w:val="1"/>
          <w:numId w:val="18"/>
        </w:numPr>
        <w:rPr>
          <w:bCs/>
          <w:szCs w:val="22"/>
        </w:rPr>
      </w:pPr>
      <w:r w:rsidRPr="006D54A5">
        <w:rPr>
          <w:bCs/>
          <w:szCs w:val="22"/>
        </w:rPr>
        <w:t xml:space="preserve">The PBAC advised </w:t>
      </w:r>
      <w:r w:rsidR="007C4503" w:rsidRPr="006D54A5">
        <w:rPr>
          <w:bCs/>
          <w:szCs w:val="22"/>
        </w:rPr>
        <w:t xml:space="preserve">that under subsection 101(3BA) of the </w:t>
      </w:r>
      <w:r w:rsidR="007C4503" w:rsidRPr="006D54A5">
        <w:rPr>
          <w:bCs/>
          <w:i/>
          <w:szCs w:val="22"/>
        </w:rPr>
        <w:t xml:space="preserve">National Health Act </w:t>
      </w:r>
      <w:r w:rsidR="007C4503" w:rsidRPr="006D54A5">
        <w:rPr>
          <w:bCs/>
          <w:szCs w:val="22"/>
        </w:rPr>
        <w:t xml:space="preserve">1953, </w:t>
      </w:r>
      <w:r w:rsidRPr="006D54A5">
        <w:rPr>
          <w:bCs/>
          <w:szCs w:val="22"/>
        </w:rPr>
        <w:t xml:space="preserve">that </w:t>
      </w:r>
      <w:r w:rsidR="007C4503" w:rsidRPr="006D54A5">
        <w:rPr>
          <w:bCs/>
          <w:szCs w:val="22"/>
        </w:rPr>
        <w:t xml:space="preserve">pasireotide </w:t>
      </w:r>
      <w:r w:rsidRPr="006D54A5">
        <w:rPr>
          <w:bCs/>
          <w:szCs w:val="22"/>
        </w:rPr>
        <w:t xml:space="preserve">should </w:t>
      </w:r>
      <w:r w:rsidR="007C4503" w:rsidRPr="006D54A5">
        <w:rPr>
          <w:bCs/>
          <w:szCs w:val="22"/>
        </w:rPr>
        <w:t xml:space="preserve">not </w:t>
      </w:r>
      <w:r w:rsidRPr="006D54A5">
        <w:rPr>
          <w:bCs/>
          <w:szCs w:val="22"/>
        </w:rPr>
        <w:t>be treated as interchangeable on an individual patient basis</w:t>
      </w:r>
      <w:r w:rsidR="007C4503" w:rsidRPr="006D54A5">
        <w:rPr>
          <w:bCs/>
          <w:szCs w:val="22"/>
        </w:rPr>
        <w:t xml:space="preserve"> with any other drug. </w:t>
      </w:r>
    </w:p>
    <w:p w:rsidR="00030998" w:rsidRPr="006D54A5" w:rsidRDefault="00030998" w:rsidP="00030998">
      <w:pPr>
        <w:widowControl/>
        <w:rPr>
          <w:bCs/>
          <w:szCs w:val="22"/>
        </w:rPr>
      </w:pPr>
    </w:p>
    <w:p w:rsidR="009A7FCD" w:rsidRPr="006D54A5" w:rsidRDefault="00C93945" w:rsidP="00030998">
      <w:pPr>
        <w:widowControl/>
        <w:numPr>
          <w:ilvl w:val="1"/>
          <w:numId w:val="18"/>
        </w:numPr>
        <w:rPr>
          <w:bCs/>
          <w:szCs w:val="22"/>
        </w:rPr>
      </w:pPr>
      <w:r w:rsidRPr="006D54A5">
        <w:rPr>
          <w:bCs/>
          <w:szCs w:val="22"/>
        </w:rPr>
        <w:t>The PBAC advised that pasireotide is not suitable for prescribing by nurse practitioners in line with other somatostatin analogues for the treatment of acromegaly.</w:t>
      </w:r>
    </w:p>
    <w:p w:rsidR="00030998" w:rsidRPr="006D54A5" w:rsidRDefault="00030998" w:rsidP="00030998">
      <w:pPr>
        <w:widowControl/>
        <w:ind w:left="720"/>
        <w:rPr>
          <w:bCs/>
          <w:szCs w:val="22"/>
        </w:rPr>
      </w:pPr>
    </w:p>
    <w:p w:rsidR="00C93945" w:rsidRPr="006D54A5" w:rsidRDefault="00C93945" w:rsidP="007E54B9">
      <w:pPr>
        <w:widowControl/>
        <w:numPr>
          <w:ilvl w:val="1"/>
          <w:numId w:val="18"/>
        </w:numPr>
        <w:rPr>
          <w:bCs/>
          <w:szCs w:val="22"/>
        </w:rPr>
      </w:pPr>
      <w:r w:rsidRPr="006D54A5">
        <w:rPr>
          <w:bCs/>
          <w:szCs w:val="22"/>
        </w:rPr>
        <w:t>The PBAC recommended that the Safety Net 20 Day rule should not apply.</w:t>
      </w:r>
    </w:p>
    <w:p w:rsidR="00030998" w:rsidRPr="006D54A5" w:rsidRDefault="00030998" w:rsidP="00030998">
      <w:pPr>
        <w:widowControl/>
        <w:rPr>
          <w:bCs/>
          <w:szCs w:val="22"/>
        </w:rPr>
      </w:pPr>
    </w:p>
    <w:p w:rsidR="00C93945" w:rsidRPr="006D54A5" w:rsidRDefault="00C93945" w:rsidP="007E54B9">
      <w:pPr>
        <w:widowControl/>
        <w:numPr>
          <w:ilvl w:val="1"/>
          <w:numId w:val="18"/>
        </w:numPr>
        <w:rPr>
          <w:bCs/>
          <w:szCs w:val="22"/>
        </w:rPr>
      </w:pPr>
      <w:r w:rsidRPr="006D54A5">
        <w:rPr>
          <w:bCs/>
          <w:szCs w:val="22"/>
        </w:rPr>
        <w:t>The submission is not eligible for an Independent Review, because the PBAC has made a positive recommendation.</w:t>
      </w:r>
    </w:p>
    <w:p w:rsidR="004B5BC7" w:rsidRDefault="004B5BC7">
      <w:pPr>
        <w:widowControl/>
        <w:jc w:val="left"/>
        <w:rPr>
          <w:i/>
        </w:rPr>
      </w:pPr>
    </w:p>
    <w:p w:rsidR="00C93945" w:rsidRPr="006D54A5" w:rsidRDefault="00C93945" w:rsidP="00B5580D">
      <w:pPr>
        <w:pStyle w:val="Heading2"/>
      </w:pPr>
      <w:r w:rsidRPr="006D54A5">
        <w:t>Outcome</w:t>
      </w:r>
      <w:r w:rsidR="00B5580D">
        <w:t>:</w:t>
      </w:r>
    </w:p>
    <w:p w:rsidR="004B5BC7" w:rsidRPr="006D54A5" w:rsidRDefault="00C93945" w:rsidP="00A91818">
      <w:pPr>
        <w:widowControl/>
        <w:jc w:val="left"/>
        <w:rPr>
          <w:bCs/>
          <w:szCs w:val="22"/>
        </w:rPr>
      </w:pPr>
      <w:r w:rsidRPr="006D54A5">
        <w:rPr>
          <w:bCs/>
          <w:szCs w:val="22"/>
        </w:rPr>
        <w:t>Recommended</w:t>
      </w:r>
    </w:p>
    <w:p w:rsidR="00C93945" w:rsidRDefault="00C93945">
      <w:pPr>
        <w:widowControl/>
        <w:jc w:val="left"/>
        <w:rPr>
          <w:bCs/>
          <w:szCs w:val="22"/>
        </w:rPr>
      </w:pPr>
    </w:p>
    <w:p w:rsidR="00BE6B6B" w:rsidRDefault="00BE6B6B">
      <w:pPr>
        <w:widowControl/>
        <w:jc w:val="left"/>
        <w:rPr>
          <w:bCs/>
          <w:szCs w:val="22"/>
        </w:rPr>
      </w:pPr>
      <w:r>
        <w:rPr>
          <w:bCs/>
          <w:szCs w:val="22"/>
        </w:rPr>
        <w:br w:type="page"/>
      </w:r>
    </w:p>
    <w:p w:rsidR="000D2A6B" w:rsidRPr="006D54A5" w:rsidRDefault="000D2A6B">
      <w:pPr>
        <w:widowControl/>
        <w:jc w:val="left"/>
        <w:rPr>
          <w:bCs/>
          <w:szCs w:val="22"/>
        </w:rPr>
      </w:pPr>
    </w:p>
    <w:p w:rsidR="007C4503" w:rsidRDefault="007C4503" w:rsidP="00B5580D">
      <w:pPr>
        <w:pStyle w:val="Heading1"/>
      </w:pPr>
      <w:r w:rsidRPr="006D54A5">
        <w:t>Recommended listing</w:t>
      </w:r>
    </w:p>
    <w:p w:rsidR="00B5580D" w:rsidRPr="00B5580D" w:rsidRDefault="00B5580D" w:rsidP="00B5580D"/>
    <w:p w:rsidR="007C4503" w:rsidRPr="006D54A5" w:rsidRDefault="007C4503" w:rsidP="007C4503">
      <w:pPr>
        <w:widowControl/>
        <w:numPr>
          <w:ilvl w:val="1"/>
          <w:numId w:val="18"/>
        </w:numPr>
      </w:pPr>
      <w:r w:rsidRPr="006D54A5">
        <w:t>Add new item:</w:t>
      </w:r>
    </w:p>
    <w:p w:rsidR="007C4503" w:rsidRPr="006D54A5" w:rsidRDefault="007C4503">
      <w:pPr>
        <w:widowControl/>
        <w:jc w:val="left"/>
        <w:rPr>
          <w:bCs/>
          <w:szCs w:val="22"/>
        </w:rPr>
      </w:pPr>
    </w:p>
    <w:tbl>
      <w:tblPr>
        <w:tblW w:w="8505" w:type="dxa"/>
        <w:tblInd w:w="817" w:type="dxa"/>
        <w:tblLayout w:type="fixed"/>
        <w:tblLook w:val="04A0" w:firstRow="1" w:lastRow="0" w:firstColumn="1" w:lastColumn="0" w:noHBand="0" w:noVBand="1"/>
        <w:tblCaption w:val="Recommended PBS listing"/>
      </w:tblPr>
      <w:tblGrid>
        <w:gridCol w:w="2119"/>
        <w:gridCol w:w="858"/>
        <w:gridCol w:w="992"/>
        <w:gridCol w:w="1276"/>
        <w:gridCol w:w="1843"/>
        <w:gridCol w:w="1417"/>
      </w:tblGrid>
      <w:tr w:rsidR="008804EE" w:rsidRPr="006D54A5" w:rsidTr="008804EE">
        <w:trPr>
          <w:cantSplit/>
          <w:trHeight w:val="471"/>
        </w:trPr>
        <w:tc>
          <w:tcPr>
            <w:tcW w:w="2977" w:type="dxa"/>
            <w:gridSpan w:val="2"/>
            <w:tcBorders>
              <w:top w:val="nil"/>
              <w:left w:val="nil"/>
              <w:bottom w:val="single" w:sz="4" w:space="0" w:color="auto"/>
              <w:right w:val="nil"/>
            </w:tcBorders>
            <w:hideMark/>
          </w:tcPr>
          <w:p w:rsidR="008804EE" w:rsidRPr="006D54A5" w:rsidRDefault="008804EE" w:rsidP="00DA5F2C">
            <w:pPr>
              <w:keepNext/>
              <w:widowControl/>
              <w:ind w:left="-108"/>
              <w:rPr>
                <w:rFonts w:ascii="Arial Narrow" w:hAnsi="Arial Narrow"/>
                <w:sz w:val="20"/>
                <w:lang w:eastAsia="en-AU"/>
              </w:rPr>
            </w:pPr>
            <w:r w:rsidRPr="006D54A5">
              <w:rPr>
                <w:rFonts w:ascii="Arial Narrow" w:hAnsi="Arial Narrow"/>
                <w:sz w:val="20"/>
                <w:lang w:eastAsia="en-AU"/>
              </w:rPr>
              <w:t>Name, Restriction,</w:t>
            </w:r>
          </w:p>
          <w:p w:rsidR="008804EE" w:rsidRPr="006D54A5" w:rsidRDefault="008804EE" w:rsidP="00DA5F2C">
            <w:pPr>
              <w:keepNext/>
              <w:widowControl/>
              <w:snapToGrid w:val="0"/>
              <w:ind w:left="-108"/>
              <w:rPr>
                <w:rFonts w:ascii="Arial Narrow" w:hAnsi="Arial Narrow"/>
                <w:sz w:val="20"/>
                <w:lang w:eastAsia="en-AU"/>
              </w:rPr>
            </w:pPr>
            <w:r w:rsidRPr="006D54A5">
              <w:rPr>
                <w:rFonts w:ascii="Arial Narrow" w:hAnsi="Arial Narrow"/>
                <w:sz w:val="20"/>
                <w:lang w:eastAsia="en-AU"/>
              </w:rPr>
              <w:t>Manner of administration and form</w:t>
            </w:r>
          </w:p>
        </w:tc>
        <w:tc>
          <w:tcPr>
            <w:tcW w:w="992" w:type="dxa"/>
            <w:tcBorders>
              <w:top w:val="nil"/>
              <w:left w:val="nil"/>
              <w:bottom w:val="single" w:sz="4" w:space="0" w:color="auto"/>
              <w:right w:val="nil"/>
            </w:tcBorders>
            <w:hideMark/>
          </w:tcPr>
          <w:p w:rsidR="008804EE" w:rsidRPr="006D54A5" w:rsidRDefault="008804EE" w:rsidP="00DA5F2C">
            <w:pPr>
              <w:keepNext/>
              <w:widowControl/>
              <w:ind w:left="-108"/>
              <w:rPr>
                <w:rFonts w:ascii="Arial Narrow" w:hAnsi="Arial Narrow"/>
                <w:sz w:val="20"/>
                <w:lang w:eastAsia="en-AU"/>
              </w:rPr>
            </w:pPr>
            <w:r w:rsidRPr="006D54A5">
              <w:rPr>
                <w:rFonts w:ascii="Arial Narrow" w:hAnsi="Arial Narrow"/>
                <w:sz w:val="20"/>
                <w:lang w:eastAsia="en-AU"/>
              </w:rPr>
              <w:t>Max.</w:t>
            </w:r>
          </w:p>
          <w:p w:rsidR="008804EE" w:rsidRPr="006D54A5" w:rsidRDefault="008804EE" w:rsidP="00DA5F2C">
            <w:pPr>
              <w:keepNext/>
              <w:widowControl/>
              <w:snapToGrid w:val="0"/>
              <w:ind w:left="-108"/>
              <w:rPr>
                <w:rFonts w:ascii="Arial Narrow" w:hAnsi="Arial Narrow"/>
                <w:sz w:val="20"/>
                <w:lang w:eastAsia="en-AU"/>
              </w:rPr>
            </w:pPr>
            <w:proofErr w:type="spellStart"/>
            <w:r w:rsidRPr="006D54A5">
              <w:rPr>
                <w:rFonts w:ascii="Arial Narrow" w:hAnsi="Arial Narrow"/>
                <w:sz w:val="20"/>
                <w:lang w:eastAsia="en-AU"/>
              </w:rPr>
              <w:t>Qty</w:t>
            </w:r>
            <w:proofErr w:type="spellEnd"/>
          </w:p>
        </w:tc>
        <w:tc>
          <w:tcPr>
            <w:tcW w:w="1276" w:type="dxa"/>
            <w:tcBorders>
              <w:top w:val="nil"/>
              <w:left w:val="nil"/>
              <w:bottom w:val="single" w:sz="4" w:space="0" w:color="auto"/>
              <w:right w:val="nil"/>
            </w:tcBorders>
            <w:hideMark/>
          </w:tcPr>
          <w:p w:rsidR="008804EE" w:rsidRPr="006D54A5" w:rsidRDefault="008804EE" w:rsidP="00DA5F2C">
            <w:pPr>
              <w:keepNext/>
              <w:widowControl/>
              <w:ind w:left="-108"/>
              <w:rPr>
                <w:rFonts w:ascii="Arial Narrow" w:hAnsi="Arial Narrow"/>
                <w:sz w:val="20"/>
                <w:lang w:eastAsia="en-AU"/>
              </w:rPr>
            </w:pPr>
            <w:r w:rsidRPr="006D54A5">
              <w:rPr>
                <w:rFonts w:ascii="Arial Narrow" w:hAnsi="Arial Narrow"/>
                <w:sz w:val="20"/>
                <w:lang w:eastAsia="en-AU"/>
              </w:rPr>
              <w:t>№.of</w:t>
            </w:r>
          </w:p>
          <w:p w:rsidR="008804EE" w:rsidRPr="006D54A5" w:rsidRDefault="008804EE" w:rsidP="00DA5F2C">
            <w:pPr>
              <w:keepNext/>
              <w:widowControl/>
              <w:snapToGrid w:val="0"/>
              <w:ind w:left="-108"/>
              <w:rPr>
                <w:rFonts w:ascii="Arial Narrow" w:hAnsi="Arial Narrow"/>
                <w:sz w:val="20"/>
                <w:lang w:eastAsia="en-AU"/>
              </w:rPr>
            </w:pPr>
            <w:r w:rsidRPr="006D54A5">
              <w:rPr>
                <w:rFonts w:ascii="Arial Narrow" w:hAnsi="Arial Narrow"/>
                <w:sz w:val="20"/>
                <w:lang w:eastAsia="en-AU"/>
              </w:rPr>
              <w:t>Rpts</w:t>
            </w:r>
          </w:p>
        </w:tc>
        <w:tc>
          <w:tcPr>
            <w:tcW w:w="3260" w:type="dxa"/>
            <w:gridSpan w:val="2"/>
            <w:tcBorders>
              <w:top w:val="nil"/>
              <w:left w:val="nil"/>
              <w:bottom w:val="single" w:sz="4" w:space="0" w:color="auto"/>
              <w:right w:val="nil"/>
            </w:tcBorders>
            <w:hideMark/>
          </w:tcPr>
          <w:p w:rsidR="008804EE" w:rsidRPr="006D54A5" w:rsidRDefault="008804EE" w:rsidP="00DA5F2C">
            <w:pPr>
              <w:keepNext/>
              <w:widowControl/>
              <w:snapToGrid w:val="0"/>
              <w:rPr>
                <w:rFonts w:ascii="Arial Narrow" w:hAnsi="Arial Narrow"/>
                <w:sz w:val="20"/>
                <w:lang w:eastAsia="en-AU"/>
              </w:rPr>
            </w:pPr>
            <w:r w:rsidRPr="006D54A5">
              <w:rPr>
                <w:rFonts w:ascii="Arial Narrow" w:hAnsi="Arial Narrow"/>
                <w:sz w:val="20"/>
                <w:lang w:eastAsia="en-AU"/>
              </w:rPr>
              <w:t>Proprietary Name and Manufacturer</w:t>
            </w:r>
          </w:p>
        </w:tc>
      </w:tr>
      <w:tr w:rsidR="008804EE" w:rsidRPr="006D54A5" w:rsidTr="008804EE">
        <w:trPr>
          <w:cantSplit/>
          <w:trHeight w:val="577"/>
        </w:trPr>
        <w:tc>
          <w:tcPr>
            <w:tcW w:w="2977" w:type="dxa"/>
            <w:gridSpan w:val="2"/>
            <w:hideMark/>
          </w:tcPr>
          <w:p w:rsidR="008804EE" w:rsidRPr="006D54A5" w:rsidRDefault="008804EE" w:rsidP="00DA5F2C">
            <w:pPr>
              <w:keepNext/>
              <w:widowControl/>
              <w:ind w:left="-108"/>
              <w:rPr>
                <w:rFonts w:ascii="Arial Narrow" w:hAnsi="Arial Narrow"/>
                <w:sz w:val="20"/>
                <w:lang w:eastAsia="en-AU"/>
              </w:rPr>
            </w:pPr>
            <w:r w:rsidRPr="006D54A5">
              <w:rPr>
                <w:rFonts w:ascii="Arial Narrow" w:hAnsi="Arial Narrow"/>
                <w:smallCaps/>
                <w:sz w:val="20"/>
                <w:lang w:eastAsia="en-AU"/>
              </w:rPr>
              <w:t>pasireotide</w:t>
            </w:r>
          </w:p>
          <w:p w:rsidR="008804EE" w:rsidRPr="006D54A5" w:rsidRDefault="008804EE" w:rsidP="00DA5F2C">
            <w:pPr>
              <w:keepNext/>
              <w:widowControl/>
              <w:ind w:left="-108"/>
              <w:rPr>
                <w:rFonts w:ascii="Arial Narrow" w:hAnsi="Arial Narrow"/>
                <w:sz w:val="20"/>
                <w:lang w:eastAsia="en-AU"/>
              </w:rPr>
            </w:pPr>
            <w:r w:rsidRPr="006D54A5">
              <w:rPr>
                <w:rFonts w:ascii="Arial Narrow" w:hAnsi="Arial Narrow"/>
                <w:sz w:val="20"/>
                <w:lang w:eastAsia="en-AU"/>
              </w:rPr>
              <w:t>20mg injection: modified release</w:t>
            </w:r>
          </w:p>
          <w:p w:rsidR="008804EE" w:rsidRPr="006D54A5" w:rsidRDefault="008804EE" w:rsidP="00FE181D">
            <w:pPr>
              <w:keepNext/>
              <w:widowControl/>
              <w:ind w:left="-108"/>
              <w:rPr>
                <w:rFonts w:ascii="Arial Narrow" w:hAnsi="Arial Narrow"/>
                <w:sz w:val="20"/>
                <w:lang w:eastAsia="en-AU"/>
              </w:rPr>
            </w:pPr>
            <w:r w:rsidRPr="006D54A5">
              <w:rPr>
                <w:rFonts w:ascii="Arial Narrow" w:hAnsi="Arial Narrow"/>
                <w:sz w:val="20"/>
                <w:lang w:eastAsia="en-AU"/>
              </w:rPr>
              <w:t>40mg injection: modified release</w:t>
            </w:r>
          </w:p>
          <w:p w:rsidR="008804EE" w:rsidRPr="006D54A5" w:rsidRDefault="008804EE" w:rsidP="00FE181D">
            <w:pPr>
              <w:keepNext/>
              <w:widowControl/>
              <w:ind w:left="-108"/>
              <w:rPr>
                <w:rFonts w:ascii="Arial Narrow" w:hAnsi="Arial Narrow"/>
                <w:sz w:val="20"/>
                <w:lang w:eastAsia="en-AU"/>
              </w:rPr>
            </w:pPr>
            <w:r w:rsidRPr="006D54A5">
              <w:rPr>
                <w:rFonts w:ascii="Arial Narrow" w:hAnsi="Arial Narrow"/>
                <w:sz w:val="20"/>
                <w:lang w:eastAsia="en-AU"/>
              </w:rPr>
              <w:t>60mg injection: modified release</w:t>
            </w:r>
          </w:p>
          <w:p w:rsidR="008804EE" w:rsidRPr="006D54A5" w:rsidRDefault="008804EE" w:rsidP="00FE181D">
            <w:pPr>
              <w:keepNext/>
              <w:widowControl/>
              <w:snapToGrid w:val="0"/>
              <w:ind w:left="-108"/>
              <w:rPr>
                <w:rFonts w:ascii="Arial Narrow" w:hAnsi="Arial Narrow"/>
                <w:sz w:val="20"/>
                <w:lang w:eastAsia="en-AU"/>
              </w:rPr>
            </w:pPr>
          </w:p>
        </w:tc>
        <w:tc>
          <w:tcPr>
            <w:tcW w:w="992" w:type="dxa"/>
          </w:tcPr>
          <w:p w:rsidR="008804EE" w:rsidRPr="006D54A5" w:rsidRDefault="008804EE" w:rsidP="00DA5F2C">
            <w:pPr>
              <w:keepNext/>
              <w:widowControl/>
              <w:ind w:left="-108"/>
              <w:rPr>
                <w:rFonts w:ascii="Arial Narrow" w:hAnsi="Arial Narrow"/>
                <w:sz w:val="20"/>
                <w:lang w:eastAsia="en-AU"/>
              </w:rPr>
            </w:pPr>
          </w:p>
          <w:p w:rsidR="008804EE" w:rsidRPr="006D54A5" w:rsidRDefault="008804EE" w:rsidP="00DA5F2C">
            <w:pPr>
              <w:keepNext/>
              <w:widowControl/>
              <w:snapToGrid w:val="0"/>
              <w:ind w:left="-108"/>
              <w:rPr>
                <w:rFonts w:ascii="Arial Narrow" w:hAnsi="Arial Narrow"/>
                <w:sz w:val="20"/>
                <w:lang w:eastAsia="en-AU"/>
              </w:rPr>
            </w:pPr>
            <w:r w:rsidRPr="006D54A5">
              <w:rPr>
                <w:rFonts w:ascii="Arial Narrow" w:hAnsi="Arial Narrow"/>
                <w:sz w:val="20"/>
                <w:lang w:eastAsia="en-AU"/>
              </w:rPr>
              <w:t>2</w:t>
            </w:r>
          </w:p>
        </w:tc>
        <w:tc>
          <w:tcPr>
            <w:tcW w:w="1276" w:type="dxa"/>
          </w:tcPr>
          <w:p w:rsidR="008804EE" w:rsidRPr="006D54A5" w:rsidRDefault="008804EE" w:rsidP="00DA5F2C">
            <w:pPr>
              <w:keepNext/>
              <w:widowControl/>
              <w:ind w:left="-108"/>
              <w:rPr>
                <w:rFonts w:ascii="Arial Narrow" w:hAnsi="Arial Narrow"/>
                <w:sz w:val="20"/>
                <w:lang w:eastAsia="en-AU"/>
              </w:rPr>
            </w:pPr>
          </w:p>
          <w:p w:rsidR="008804EE" w:rsidRPr="006D54A5" w:rsidRDefault="008804EE" w:rsidP="00DA5F2C">
            <w:pPr>
              <w:keepNext/>
              <w:widowControl/>
              <w:snapToGrid w:val="0"/>
              <w:ind w:left="-108"/>
              <w:rPr>
                <w:rFonts w:ascii="Arial Narrow" w:hAnsi="Arial Narrow"/>
                <w:sz w:val="20"/>
                <w:lang w:eastAsia="en-AU"/>
              </w:rPr>
            </w:pPr>
            <w:r w:rsidRPr="006D54A5">
              <w:rPr>
                <w:rFonts w:ascii="Arial Narrow" w:hAnsi="Arial Narrow"/>
                <w:sz w:val="20"/>
                <w:lang w:eastAsia="en-AU"/>
              </w:rPr>
              <w:t>5</w:t>
            </w:r>
          </w:p>
        </w:tc>
        <w:tc>
          <w:tcPr>
            <w:tcW w:w="1843" w:type="dxa"/>
            <w:hideMark/>
          </w:tcPr>
          <w:p w:rsidR="008804EE" w:rsidRPr="006D54A5" w:rsidRDefault="008804EE" w:rsidP="00DA5F2C">
            <w:pPr>
              <w:keepNext/>
              <w:widowControl/>
              <w:snapToGrid w:val="0"/>
              <w:rPr>
                <w:rFonts w:ascii="Arial Narrow" w:hAnsi="Arial Narrow"/>
                <w:sz w:val="20"/>
                <w:vertAlign w:val="superscript"/>
                <w:lang w:eastAsia="en-AU"/>
              </w:rPr>
            </w:pPr>
            <w:proofErr w:type="spellStart"/>
            <w:r w:rsidRPr="006D54A5">
              <w:rPr>
                <w:rFonts w:ascii="Arial Narrow" w:hAnsi="Arial Narrow"/>
                <w:sz w:val="20"/>
                <w:lang w:eastAsia="en-AU"/>
              </w:rPr>
              <w:t>Signifor</w:t>
            </w:r>
            <w:proofErr w:type="spellEnd"/>
            <w:r w:rsidRPr="006D54A5">
              <w:rPr>
                <w:rFonts w:ascii="Arial Narrow" w:hAnsi="Arial Narrow"/>
                <w:sz w:val="20"/>
                <w:lang w:eastAsia="en-AU"/>
              </w:rPr>
              <w:t xml:space="preserve"> LAR</w:t>
            </w:r>
            <w:r w:rsidRPr="006D54A5">
              <w:rPr>
                <w:rFonts w:ascii="Arial Narrow" w:hAnsi="Arial Narrow"/>
                <w:sz w:val="20"/>
                <w:vertAlign w:val="superscript"/>
                <w:lang w:eastAsia="en-AU"/>
              </w:rPr>
              <w:t>®</w:t>
            </w:r>
          </w:p>
        </w:tc>
        <w:tc>
          <w:tcPr>
            <w:tcW w:w="1417" w:type="dxa"/>
            <w:hideMark/>
          </w:tcPr>
          <w:p w:rsidR="008804EE" w:rsidRPr="006D54A5" w:rsidRDefault="008804EE" w:rsidP="00DA5F2C">
            <w:pPr>
              <w:keepNext/>
              <w:widowControl/>
              <w:snapToGrid w:val="0"/>
              <w:rPr>
                <w:rFonts w:ascii="Arial Narrow" w:hAnsi="Arial Narrow"/>
                <w:sz w:val="20"/>
                <w:lang w:eastAsia="en-AU"/>
              </w:rPr>
            </w:pPr>
            <w:r w:rsidRPr="006D54A5">
              <w:rPr>
                <w:rFonts w:ascii="Arial Narrow" w:hAnsi="Arial Narrow"/>
                <w:sz w:val="20"/>
                <w:lang w:eastAsia="en-AU"/>
              </w:rPr>
              <w:t>Novartis</w:t>
            </w:r>
          </w:p>
        </w:tc>
      </w:tr>
      <w:tr w:rsidR="007C4503" w:rsidRPr="006D54A5" w:rsidTr="003E0C57">
        <w:trPr>
          <w:cantSplit/>
          <w:trHeight w:val="360"/>
        </w:trPr>
        <w:tc>
          <w:tcPr>
            <w:tcW w:w="2119" w:type="dxa"/>
            <w:tcBorders>
              <w:top w:val="single" w:sz="4" w:space="0" w:color="auto"/>
              <w:left w:val="single" w:sz="4" w:space="0" w:color="auto"/>
              <w:bottom w:val="single" w:sz="4" w:space="0" w:color="auto"/>
              <w:right w:val="single" w:sz="4" w:space="0" w:color="auto"/>
            </w:tcBorders>
            <w:hideMark/>
          </w:tcPr>
          <w:p w:rsidR="007C4503" w:rsidRPr="006D54A5" w:rsidRDefault="007C4503" w:rsidP="00DA5F2C">
            <w:pPr>
              <w:widowControl/>
              <w:rPr>
                <w:rFonts w:ascii="Arial Narrow" w:hAnsi="Arial Narrow"/>
                <w:b/>
                <w:sz w:val="20"/>
                <w:lang w:eastAsia="en-AU"/>
              </w:rPr>
            </w:pPr>
            <w:r w:rsidRPr="006D54A5">
              <w:rPr>
                <w:rFonts w:ascii="Arial Narrow" w:hAnsi="Arial Narrow"/>
                <w:b/>
                <w:sz w:val="20"/>
                <w:lang w:eastAsia="en-AU"/>
              </w:rPr>
              <w:t xml:space="preserve">Category / </w:t>
            </w:r>
          </w:p>
          <w:p w:rsidR="007C4503" w:rsidRPr="006D54A5" w:rsidRDefault="007C4503" w:rsidP="00DA5F2C">
            <w:pPr>
              <w:widowControl/>
              <w:snapToGrid w:val="0"/>
              <w:rPr>
                <w:rFonts w:ascii="Arial Narrow" w:hAnsi="Arial Narrow"/>
                <w:b/>
                <w:sz w:val="20"/>
                <w:lang w:eastAsia="en-AU"/>
              </w:rPr>
            </w:pPr>
            <w:r w:rsidRPr="006D54A5">
              <w:rPr>
                <w:rFonts w:ascii="Arial Narrow" w:hAnsi="Arial Narrow"/>
                <w:b/>
                <w:sz w:val="20"/>
                <w:lang w:eastAsia="en-AU"/>
              </w:rPr>
              <w:t>Program</w:t>
            </w:r>
          </w:p>
        </w:tc>
        <w:tc>
          <w:tcPr>
            <w:tcW w:w="6386" w:type="dxa"/>
            <w:gridSpan w:val="5"/>
            <w:tcBorders>
              <w:top w:val="single" w:sz="4" w:space="0" w:color="auto"/>
              <w:left w:val="single" w:sz="4" w:space="0" w:color="auto"/>
              <w:bottom w:val="single" w:sz="4" w:space="0" w:color="auto"/>
              <w:right w:val="single" w:sz="4" w:space="0" w:color="auto"/>
            </w:tcBorders>
          </w:tcPr>
          <w:p w:rsidR="007C4503" w:rsidRPr="006D54A5" w:rsidRDefault="007C4503" w:rsidP="00DA5F2C">
            <w:pPr>
              <w:widowControl/>
              <w:jc w:val="left"/>
              <w:rPr>
                <w:rFonts w:ascii="Arial Narrow" w:hAnsi="Arial Narrow"/>
                <w:sz w:val="20"/>
                <w:lang w:eastAsia="en-AU"/>
              </w:rPr>
            </w:pPr>
            <w:r w:rsidRPr="006D54A5">
              <w:rPr>
                <w:rFonts w:ascii="Arial Narrow" w:hAnsi="Arial Narrow"/>
                <w:sz w:val="20"/>
                <w:lang w:eastAsia="en-AU"/>
              </w:rPr>
              <w:t>Section 100 – Highly Specialised Drugs Program</w:t>
            </w:r>
          </w:p>
          <w:p w:rsidR="007C4503" w:rsidRPr="006D54A5" w:rsidRDefault="007C4503" w:rsidP="00DA5F2C">
            <w:pPr>
              <w:widowControl/>
              <w:snapToGrid w:val="0"/>
              <w:jc w:val="left"/>
              <w:rPr>
                <w:rFonts w:ascii="Arial Narrow" w:hAnsi="Arial Narrow"/>
                <w:sz w:val="20"/>
                <w:lang w:eastAsia="en-AU"/>
              </w:rPr>
            </w:pPr>
          </w:p>
        </w:tc>
      </w:tr>
      <w:tr w:rsidR="007C4503" w:rsidRPr="006D54A5" w:rsidTr="003E0C57">
        <w:trPr>
          <w:cantSplit/>
          <w:trHeight w:val="360"/>
        </w:trPr>
        <w:tc>
          <w:tcPr>
            <w:tcW w:w="2119" w:type="dxa"/>
            <w:tcBorders>
              <w:top w:val="single" w:sz="4" w:space="0" w:color="auto"/>
              <w:left w:val="single" w:sz="4" w:space="0" w:color="auto"/>
              <w:bottom w:val="single" w:sz="4" w:space="0" w:color="auto"/>
              <w:right w:val="single" w:sz="4" w:space="0" w:color="auto"/>
            </w:tcBorders>
          </w:tcPr>
          <w:p w:rsidR="007C4503" w:rsidRPr="006D54A5" w:rsidRDefault="007C4503" w:rsidP="00DA5F2C">
            <w:pPr>
              <w:widowControl/>
              <w:rPr>
                <w:rFonts w:ascii="Arial Narrow" w:hAnsi="Arial Narrow"/>
                <w:b/>
                <w:sz w:val="20"/>
                <w:lang w:eastAsia="en-AU"/>
              </w:rPr>
            </w:pPr>
            <w:r w:rsidRPr="006D54A5">
              <w:rPr>
                <w:rFonts w:ascii="Arial Narrow" w:hAnsi="Arial Narrow"/>
                <w:b/>
                <w:sz w:val="20"/>
                <w:lang w:eastAsia="en-AU"/>
              </w:rPr>
              <w:t>Prescriber type:</w:t>
            </w:r>
          </w:p>
          <w:p w:rsidR="007C4503" w:rsidRPr="006D54A5" w:rsidRDefault="007C4503" w:rsidP="00DA5F2C">
            <w:pPr>
              <w:widowControl/>
              <w:snapToGrid w:val="0"/>
              <w:rPr>
                <w:rFonts w:ascii="Arial Narrow" w:hAnsi="Arial Narrow"/>
                <w:b/>
                <w:sz w:val="20"/>
                <w:lang w:eastAsia="en-AU"/>
              </w:rPr>
            </w:pPr>
          </w:p>
        </w:tc>
        <w:tc>
          <w:tcPr>
            <w:tcW w:w="6386" w:type="dxa"/>
            <w:gridSpan w:val="5"/>
            <w:tcBorders>
              <w:top w:val="single" w:sz="4" w:space="0" w:color="auto"/>
              <w:left w:val="single" w:sz="4" w:space="0" w:color="auto"/>
              <w:bottom w:val="single" w:sz="4" w:space="0" w:color="auto"/>
              <w:right w:val="single" w:sz="4" w:space="0" w:color="auto"/>
            </w:tcBorders>
            <w:hideMark/>
          </w:tcPr>
          <w:p w:rsidR="007C4503" w:rsidRPr="006D54A5" w:rsidRDefault="007C4503" w:rsidP="00DA5F2C">
            <w:pPr>
              <w:widowControl/>
              <w:jc w:val="left"/>
              <w:rPr>
                <w:rFonts w:ascii="Arial Narrow" w:hAnsi="Arial Narrow"/>
                <w:sz w:val="20"/>
                <w:lang w:eastAsia="en-AU"/>
              </w:rPr>
            </w:pPr>
            <w:r w:rsidRPr="006D54A5">
              <w:rPr>
                <w:rFonts w:ascii="Arial Narrow" w:hAnsi="Arial Narrow"/>
                <w:sz w:val="20"/>
                <w:lang w:eastAsia="en-AU"/>
              </w:rPr>
              <w:fldChar w:fldCharType="begin">
                <w:ffData>
                  <w:name w:val="Check1"/>
                  <w:enabled/>
                  <w:calcOnExit w:val="0"/>
                  <w:checkBox>
                    <w:sizeAuto/>
                    <w:default w:val="0"/>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 xml:space="preserve">Dental  </w:t>
            </w:r>
            <w:r w:rsidRPr="006D54A5">
              <w:rPr>
                <w:rFonts w:ascii="Arial Narrow" w:hAnsi="Arial Narrow"/>
                <w:sz w:val="20"/>
                <w:lang w:eastAsia="en-AU"/>
              </w:rPr>
              <w:fldChar w:fldCharType="begin">
                <w:ffData>
                  <w:name w:val=""/>
                  <w:enabled/>
                  <w:calcOnExit w:val="0"/>
                  <w:checkBox>
                    <w:sizeAuto/>
                    <w:default w:val="1"/>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 xml:space="preserve">Medical Practitioners  </w:t>
            </w:r>
            <w:r w:rsidRPr="006D54A5">
              <w:rPr>
                <w:rFonts w:ascii="Arial Narrow" w:hAnsi="Arial Narrow"/>
                <w:sz w:val="20"/>
                <w:lang w:eastAsia="en-AU"/>
              </w:rPr>
              <w:fldChar w:fldCharType="begin">
                <w:ffData>
                  <w:name w:val="Check3"/>
                  <w:enabled/>
                  <w:calcOnExit w:val="0"/>
                  <w:checkBox>
                    <w:sizeAuto/>
                    <w:default w:val="0"/>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 xml:space="preserve">Nurse practitioners  </w:t>
            </w:r>
            <w:r w:rsidRPr="006D54A5">
              <w:rPr>
                <w:rFonts w:ascii="Arial Narrow" w:hAnsi="Arial Narrow"/>
                <w:sz w:val="20"/>
                <w:lang w:eastAsia="en-AU"/>
              </w:rPr>
              <w:fldChar w:fldCharType="begin">
                <w:ffData>
                  <w:name w:val=""/>
                  <w:enabled/>
                  <w:calcOnExit w:val="0"/>
                  <w:checkBox>
                    <w:sizeAuto/>
                    <w:default w:val="0"/>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Optometrists</w:t>
            </w:r>
          </w:p>
          <w:p w:rsidR="007C4503" w:rsidRPr="006D54A5" w:rsidRDefault="007C4503" w:rsidP="00DA5F2C">
            <w:pPr>
              <w:widowControl/>
              <w:snapToGrid w:val="0"/>
              <w:jc w:val="left"/>
              <w:rPr>
                <w:rFonts w:ascii="Arial Narrow" w:hAnsi="Arial Narrow"/>
                <w:sz w:val="20"/>
                <w:lang w:eastAsia="en-AU"/>
              </w:rPr>
            </w:pPr>
            <w:r w:rsidRPr="006D54A5">
              <w:rPr>
                <w:rFonts w:ascii="Arial Narrow" w:hAnsi="Arial Narrow"/>
                <w:sz w:val="20"/>
                <w:lang w:eastAsia="en-AU"/>
              </w:rPr>
              <w:fldChar w:fldCharType="begin">
                <w:ffData>
                  <w:name w:val="Check5"/>
                  <w:enabled/>
                  <w:calcOnExit w:val="0"/>
                  <w:checkBox>
                    <w:sizeAuto/>
                    <w:default w:val="0"/>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Midwives</w:t>
            </w:r>
          </w:p>
        </w:tc>
      </w:tr>
      <w:tr w:rsidR="007C4503" w:rsidRPr="006D54A5" w:rsidTr="003E0C57">
        <w:trPr>
          <w:cantSplit/>
          <w:trHeight w:val="360"/>
        </w:trPr>
        <w:tc>
          <w:tcPr>
            <w:tcW w:w="2119" w:type="dxa"/>
            <w:tcBorders>
              <w:top w:val="single" w:sz="4" w:space="0" w:color="auto"/>
              <w:left w:val="single" w:sz="4" w:space="0" w:color="auto"/>
              <w:bottom w:val="single" w:sz="4" w:space="0" w:color="auto"/>
              <w:right w:val="single" w:sz="4" w:space="0" w:color="auto"/>
            </w:tcBorders>
            <w:hideMark/>
          </w:tcPr>
          <w:p w:rsidR="007C4503" w:rsidRPr="006D54A5" w:rsidRDefault="007C4503" w:rsidP="00DA5F2C">
            <w:pPr>
              <w:widowControl/>
              <w:snapToGrid w:val="0"/>
              <w:rPr>
                <w:rFonts w:ascii="Arial Narrow" w:hAnsi="Arial Narrow"/>
                <w:b/>
                <w:sz w:val="20"/>
                <w:lang w:eastAsia="en-AU"/>
              </w:rPr>
            </w:pPr>
            <w:r w:rsidRPr="006D54A5">
              <w:rPr>
                <w:rFonts w:ascii="Arial Narrow" w:hAnsi="Arial Narrow"/>
                <w:b/>
                <w:sz w:val="20"/>
                <w:lang w:eastAsia="en-AU"/>
              </w:rPr>
              <w:t>PBS Indication:</w:t>
            </w:r>
          </w:p>
        </w:tc>
        <w:tc>
          <w:tcPr>
            <w:tcW w:w="6386" w:type="dxa"/>
            <w:gridSpan w:val="5"/>
            <w:tcBorders>
              <w:top w:val="single" w:sz="4" w:space="0" w:color="auto"/>
              <w:left w:val="single" w:sz="4" w:space="0" w:color="auto"/>
              <w:bottom w:val="single" w:sz="4" w:space="0" w:color="auto"/>
              <w:right w:val="single" w:sz="4" w:space="0" w:color="auto"/>
            </w:tcBorders>
            <w:hideMark/>
          </w:tcPr>
          <w:p w:rsidR="007C4503" w:rsidRPr="006D54A5" w:rsidRDefault="007C4503" w:rsidP="00DA5F2C">
            <w:pPr>
              <w:widowControl/>
              <w:snapToGrid w:val="0"/>
              <w:jc w:val="left"/>
              <w:rPr>
                <w:rFonts w:ascii="Arial Narrow" w:hAnsi="Arial Narrow"/>
                <w:sz w:val="20"/>
                <w:lang w:eastAsia="en-AU"/>
              </w:rPr>
            </w:pPr>
            <w:r w:rsidRPr="006D54A5">
              <w:rPr>
                <w:rFonts w:ascii="Arial Narrow" w:hAnsi="Arial Narrow"/>
                <w:sz w:val="20"/>
                <w:lang w:eastAsia="en-AU"/>
              </w:rPr>
              <w:t>Acromegaly</w:t>
            </w:r>
          </w:p>
        </w:tc>
      </w:tr>
      <w:tr w:rsidR="007C4503" w:rsidRPr="006D54A5" w:rsidTr="003E0C57">
        <w:trPr>
          <w:cantSplit/>
          <w:trHeight w:val="360"/>
        </w:trPr>
        <w:tc>
          <w:tcPr>
            <w:tcW w:w="2119" w:type="dxa"/>
            <w:tcBorders>
              <w:top w:val="single" w:sz="4" w:space="0" w:color="auto"/>
              <w:left w:val="single" w:sz="4" w:space="0" w:color="auto"/>
              <w:bottom w:val="single" w:sz="4" w:space="0" w:color="auto"/>
              <w:right w:val="single" w:sz="4" w:space="0" w:color="auto"/>
            </w:tcBorders>
          </w:tcPr>
          <w:p w:rsidR="007C4503" w:rsidRPr="006D54A5" w:rsidRDefault="007C4503" w:rsidP="00DA5F2C">
            <w:pPr>
              <w:widowControl/>
              <w:rPr>
                <w:rFonts w:ascii="Arial Narrow" w:hAnsi="Arial Narrow"/>
                <w:b/>
                <w:sz w:val="20"/>
                <w:lang w:eastAsia="en-AU"/>
              </w:rPr>
            </w:pPr>
            <w:r w:rsidRPr="006D54A5">
              <w:rPr>
                <w:rFonts w:ascii="Arial Narrow" w:hAnsi="Arial Narrow"/>
                <w:b/>
                <w:sz w:val="20"/>
                <w:lang w:eastAsia="en-AU"/>
              </w:rPr>
              <w:t>Treatment phase:</w:t>
            </w:r>
          </w:p>
          <w:p w:rsidR="007C4503" w:rsidRPr="006D54A5" w:rsidRDefault="007C4503" w:rsidP="00DA5F2C">
            <w:pPr>
              <w:widowControl/>
              <w:snapToGrid w:val="0"/>
              <w:rPr>
                <w:rFonts w:ascii="Arial Narrow" w:hAnsi="Arial Narrow"/>
                <w:i/>
                <w:sz w:val="20"/>
                <w:lang w:eastAsia="en-AU"/>
              </w:rPr>
            </w:pPr>
          </w:p>
        </w:tc>
        <w:tc>
          <w:tcPr>
            <w:tcW w:w="6386" w:type="dxa"/>
            <w:gridSpan w:val="5"/>
            <w:tcBorders>
              <w:top w:val="single" w:sz="4" w:space="0" w:color="auto"/>
              <w:left w:val="single" w:sz="4" w:space="0" w:color="auto"/>
              <w:bottom w:val="single" w:sz="4" w:space="0" w:color="auto"/>
              <w:right w:val="single" w:sz="4" w:space="0" w:color="auto"/>
            </w:tcBorders>
            <w:hideMark/>
          </w:tcPr>
          <w:p w:rsidR="007C4503" w:rsidRPr="006D54A5" w:rsidRDefault="003E0C57" w:rsidP="00DA5F2C">
            <w:pPr>
              <w:widowControl/>
              <w:snapToGrid w:val="0"/>
              <w:jc w:val="left"/>
              <w:rPr>
                <w:rFonts w:ascii="Arial Narrow" w:hAnsi="Arial Narrow"/>
                <w:sz w:val="20"/>
                <w:lang w:eastAsia="en-AU"/>
              </w:rPr>
            </w:pPr>
            <w:r w:rsidRPr="006D54A5">
              <w:rPr>
                <w:rFonts w:ascii="Arial Narrow" w:hAnsi="Arial Narrow"/>
                <w:sz w:val="20"/>
                <w:lang w:eastAsia="en-AU"/>
              </w:rPr>
              <w:t xml:space="preserve">Initial treatment </w:t>
            </w:r>
          </w:p>
        </w:tc>
      </w:tr>
      <w:tr w:rsidR="007C4503" w:rsidRPr="006D54A5" w:rsidTr="003E0C57">
        <w:trPr>
          <w:cantSplit/>
          <w:trHeight w:val="360"/>
        </w:trPr>
        <w:tc>
          <w:tcPr>
            <w:tcW w:w="2119" w:type="dxa"/>
            <w:tcBorders>
              <w:top w:val="single" w:sz="4" w:space="0" w:color="auto"/>
              <w:left w:val="single" w:sz="4" w:space="0" w:color="auto"/>
              <w:bottom w:val="single" w:sz="4" w:space="0" w:color="auto"/>
              <w:right w:val="single" w:sz="4" w:space="0" w:color="auto"/>
            </w:tcBorders>
          </w:tcPr>
          <w:p w:rsidR="007C4503" w:rsidRPr="006D54A5" w:rsidRDefault="007C4503" w:rsidP="00DA5F2C">
            <w:pPr>
              <w:widowControl/>
              <w:rPr>
                <w:rFonts w:ascii="Arial Narrow" w:hAnsi="Arial Narrow"/>
                <w:b/>
                <w:sz w:val="20"/>
                <w:lang w:eastAsia="en-AU"/>
              </w:rPr>
            </w:pPr>
            <w:r w:rsidRPr="006D54A5">
              <w:rPr>
                <w:rFonts w:ascii="Arial Narrow" w:hAnsi="Arial Narrow"/>
                <w:b/>
                <w:sz w:val="20"/>
                <w:lang w:eastAsia="en-AU"/>
              </w:rPr>
              <w:t>Restriction Level / Method:</w:t>
            </w:r>
          </w:p>
        </w:tc>
        <w:tc>
          <w:tcPr>
            <w:tcW w:w="6386" w:type="dxa"/>
            <w:gridSpan w:val="5"/>
            <w:tcBorders>
              <w:top w:val="single" w:sz="4" w:space="0" w:color="auto"/>
              <w:left w:val="single" w:sz="4" w:space="0" w:color="auto"/>
              <w:bottom w:val="single" w:sz="4" w:space="0" w:color="auto"/>
              <w:right w:val="single" w:sz="4" w:space="0" w:color="auto"/>
            </w:tcBorders>
            <w:hideMark/>
          </w:tcPr>
          <w:p w:rsidR="007C4503" w:rsidRPr="006D54A5" w:rsidRDefault="007C4503" w:rsidP="00DA5F2C">
            <w:pPr>
              <w:widowControl/>
              <w:jc w:val="left"/>
              <w:rPr>
                <w:rFonts w:ascii="Arial Narrow" w:hAnsi="Arial Narrow"/>
                <w:sz w:val="20"/>
                <w:lang w:eastAsia="en-AU"/>
              </w:rPr>
            </w:pPr>
            <w:r w:rsidRPr="006D54A5">
              <w:rPr>
                <w:rFonts w:ascii="Arial Narrow" w:hAnsi="Arial Narrow"/>
                <w:sz w:val="20"/>
                <w:lang w:eastAsia="en-AU"/>
              </w:rPr>
              <w:fldChar w:fldCharType="begin">
                <w:ffData>
                  <w:name w:val=""/>
                  <w:enabled/>
                  <w:calcOnExit w:val="0"/>
                  <w:checkBox>
                    <w:sizeAuto/>
                    <w:default w:val="1"/>
                  </w:checkBox>
                </w:ffData>
              </w:fldChar>
            </w:r>
            <w:r w:rsidRPr="006D54A5">
              <w:rPr>
                <w:rFonts w:ascii="Arial Narrow" w:hAnsi="Arial Narrow"/>
                <w:sz w:val="20"/>
                <w:lang w:eastAsia="en-AU"/>
              </w:rPr>
              <w:instrText xml:space="preserve"> FORMCHECKBOX </w:instrText>
            </w:r>
            <w:r w:rsidR="0018573A">
              <w:rPr>
                <w:rFonts w:ascii="Arial Narrow" w:hAnsi="Arial Narrow"/>
                <w:sz w:val="20"/>
                <w:lang w:eastAsia="en-AU"/>
              </w:rPr>
            </w:r>
            <w:r w:rsidR="0018573A">
              <w:rPr>
                <w:rFonts w:ascii="Arial Narrow" w:hAnsi="Arial Narrow"/>
                <w:sz w:val="20"/>
                <w:lang w:eastAsia="en-AU"/>
              </w:rPr>
              <w:fldChar w:fldCharType="separate"/>
            </w:r>
            <w:r w:rsidRPr="006D54A5">
              <w:rPr>
                <w:rFonts w:ascii="Arial Narrow" w:hAnsi="Arial Narrow"/>
                <w:sz w:val="20"/>
                <w:lang w:eastAsia="en-AU"/>
              </w:rPr>
              <w:fldChar w:fldCharType="end"/>
            </w:r>
            <w:r w:rsidRPr="006D54A5">
              <w:rPr>
                <w:rFonts w:ascii="Arial Narrow" w:hAnsi="Arial Narrow"/>
                <w:sz w:val="20"/>
                <w:lang w:eastAsia="en-AU"/>
              </w:rPr>
              <w:t>Authority Required - In Writing</w:t>
            </w:r>
          </w:p>
          <w:p w:rsidR="007C4503" w:rsidRPr="006D54A5" w:rsidRDefault="007C4503" w:rsidP="00DA5F2C">
            <w:pPr>
              <w:widowControl/>
              <w:snapToGrid w:val="0"/>
              <w:jc w:val="left"/>
              <w:rPr>
                <w:rFonts w:ascii="Arial Narrow" w:hAnsi="Arial Narrow"/>
                <w:sz w:val="20"/>
                <w:lang w:eastAsia="en-AU"/>
              </w:rPr>
            </w:pPr>
          </w:p>
        </w:tc>
      </w:tr>
      <w:tr w:rsidR="007C4503" w:rsidRPr="006D54A5" w:rsidTr="003E0C57">
        <w:trPr>
          <w:cantSplit/>
          <w:trHeight w:val="360"/>
        </w:trPr>
        <w:tc>
          <w:tcPr>
            <w:tcW w:w="2119" w:type="dxa"/>
            <w:tcBorders>
              <w:top w:val="single" w:sz="4" w:space="0" w:color="auto"/>
              <w:left w:val="single" w:sz="4" w:space="0" w:color="auto"/>
              <w:bottom w:val="single" w:sz="4" w:space="0" w:color="auto"/>
              <w:right w:val="single" w:sz="4" w:space="0" w:color="auto"/>
            </w:tcBorders>
          </w:tcPr>
          <w:p w:rsidR="007C4503" w:rsidRPr="006D54A5" w:rsidRDefault="007C4503" w:rsidP="00DA5F2C">
            <w:pPr>
              <w:widowControl/>
              <w:rPr>
                <w:rFonts w:ascii="Arial Narrow" w:hAnsi="Arial Narrow"/>
                <w:b/>
                <w:sz w:val="20"/>
                <w:lang w:eastAsia="en-AU"/>
              </w:rPr>
            </w:pPr>
            <w:r w:rsidRPr="006D54A5">
              <w:rPr>
                <w:rFonts w:ascii="Arial Narrow" w:hAnsi="Arial Narrow"/>
                <w:b/>
                <w:sz w:val="20"/>
                <w:lang w:eastAsia="en-AU"/>
              </w:rPr>
              <w:t>Clinical criteria:</w:t>
            </w:r>
          </w:p>
          <w:p w:rsidR="007C4503" w:rsidRPr="006D54A5" w:rsidRDefault="007C4503" w:rsidP="00DA5F2C">
            <w:pPr>
              <w:widowControl/>
              <w:rPr>
                <w:rFonts w:ascii="Arial Narrow" w:hAnsi="Arial Narrow"/>
                <w:i/>
                <w:sz w:val="20"/>
                <w:lang w:eastAsia="en-AU"/>
              </w:rPr>
            </w:pPr>
          </w:p>
          <w:p w:rsidR="007C4503" w:rsidRPr="006D54A5" w:rsidRDefault="007C4503" w:rsidP="00DA5F2C">
            <w:pPr>
              <w:widowControl/>
              <w:snapToGrid w:val="0"/>
              <w:rPr>
                <w:rFonts w:ascii="Arial Narrow" w:hAnsi="Arial Narrow"/>
                <w:sz w:val="20"/>
                <w:lang w:eastAsia="en-AU"/>
              </w:rPr>
            </w:pPr>
          </w:p>
        </w:tc>
        <w:tc>
          <w:tcPr>
            <w:tcW w:w="6386" w:type="dxa"/>
            <w:gridSpan w:val="5"/>
            <w:tcBorders>
              <w:top w:val="single" w:sz="4" w:space="0" w:color="auto"/>
              <w:left w:val="single" w:sz="4" w:space="0" w:color="auto"/>
              <w:bottom w:val="single" w:sz="4" w:space="0" w:color="auto"/>
              <w:right w:val="single" w:sz="4" w:space="0" w:color="auto"/>
            </w:tcBorders>
            <w:hideMark/>
          </w:tcPr>
          <w:p w:rsidR="007C4503" w:rsidRPr="006D54A5" w:rsidRDefault="007C4503" w:rsidP="00DA5F2C">
            <w:pPr>
              <w:widowControl/>
              <w:jc w:val="left"/>
              <w:rPr>
                <w:rFonts w:ascii="Arial Narrow" w:hAnsi="Arial Narrow"/>
                <w:sz w:val="20"/>
                <w:lang w:eastAsia="en-AU"/>
              </w:rPr>
            </w:pPr>
            <w:r w:rsidRPr="006D54A5">
              <w:rPr>
                <w:rFonts w:ascii="Arial Narrow" w:hAnsi="Arial Narrow"/>
                <w:sz w:val="20"/>
                <w:lang w:eastAsia="en-AU"/>
              </w:rPr>
              <w:t>The condition must be active</w:t>
            </w:r>
          </w:p>
          <w:p w:rsidR="007C4503" w:rsidRPr="006D54A5" w:rsidRDefault="007C4503" w:rsidP="00DA5F2C">
            <w:pPr>
              <w:widowControl/>
              <w:jc w:val="left"/>
              <w:rPr>
                <w:rFonts w:ascii="Arial Narrow" w:hAnsi="Arial Narrow"/>
                <w:sz w:val="20"/>
                <w:lang w:eastAsia="en-AU"/>
              </w:rPr>
            </w:pPr>
          </w:p>
          <w:p w:rsidR="007C4503" w:rsidRPr="006D54A5" w:rsidRDefault="007C4503" w:rsidP="00DA5F2C">
            <w:pPr>
              <w:widowControl/>
              <w:jc w:val="left"/>
              <w:rPr>
                <w:rFonts w:ascii="Arial Narrow" w:hAnsi="Arial Narrow"/>
                <w:sz w:val="20"/>
                <w:lang w:eastAsia="en-AU"/>
              </w:rPr>
            </w:pPr>
            <w:r w:rsidRPr="006D54A5">
              <w:rPr>
                <w:rFonts w:ascii="Arial Narrow" w:hAnsi="Arial Narrow"/>
                <w:sz w:val="20"/>
                <w:lang w:eastAsia="en-AU"/>
              </w:rPr>
              <w:t>AND</w:t>
            </w:r>
          </w:p>
          <w:p w:rsidR="003E0C57" w:rsidRPr="006D54A5" w:rsidRDefault="003E0C57" w:rsidP="00DA5F2C">
            <w:pPr>
              <w:widowControl/>
              <w:jc w:val="left"/>
              <w:rPr>
                <w:rFonts w:ascii="Arial Narrow" w:hAnsi="Arial Narrow"/>
                <w:sz w:val="20"/>
                <w:lang w:eastAsia="en-AU"/>
              </w:rPr>
            </w:pPr>
          </w:p>
          <w:p w:rsidR="007C4503" w:rsidRPr="006D54A5" w:rsidRDefault="007C4503" w:rsidP="00DA5F2C">
            <w:pPr>
              <w:widowControl/>
              <w:jc w:val="left"/>
              <w:rPr>
                <w:rFonts w:ascii="Arial Narrow" w:hAnsi="Arial Narrow"/>
                <w:sz w:val="20"/>
                <w:lang w:eastAsia="en-AU"/>
              </w:rPr>
            </w:pPr>
            <w:r w:rsidRPr="006D54A5">
              <w:rPr>
                <w:rFonts w:ascii="Arial Narrow" w:hAnsi="Arial Narrow"/>
                <w:sz w:val="20"/>
                <w:lang w:eastAsia="en-AU"/>
              </w:rPr>
              <w:t xml:space="preserve">The treatment must be after failure of therapy with either </w:t>
            </w:r>
            <w:proofErr w:type="spellStart"/>
            <w:r w:rsidRPr="006D54A5">
              <w:rPr>
                <w:rFonts w:ascii="Arial Narrow" w:hAnsi="Arial Narrow"/>
                <w:sz w:val="20"/>
                <w:lang w:eastAsia="en-AU"/>
              </w:rPr>
              <w:t>octreotide</w:t>
            </w:r>
            <w:proofErr w:type="spellEnd"/>
            <w:r w:rsidRPr="006D54A5">
              <w:rPr>
                <w:rFonts w:ascii="Arial Narrow" w:hAnsi="Arial Narrow"/>
                <w:sz w:val="20"/>
                <w:lang w:eastAsia="en-AU"/>
              </w:rPr>
              <w:t xml:space="preserve"> LAR 30 mg or lanreotide ATG 120 mg every 28 days</w:t>
            </w:r>
          </w:p>
          <w:p w:rsidR="007C4503" w:rsidRPr="006D54A5" w:rsidRDefault="007C4503" w:rsidP="00DA5F2C">
            <w:pPr>
              <w:widowControl/>
              <w:jc w:val="left"/>
              <w:rPr>
                <w:rFonts w:ascii="Arial Narrow" w:hAnsi="Arial Narrow"/>
                <w:sz w:val="20"/>
                <w:lang w:eastAsia="en-AU"/>
              </w:rPr>
            </w:pPr>
          </w:p>
          <w:p w:rsidR="007C4503" w:rsidRPr="006D54A5" w:rsidRDefault="007C4503" w:rsidP="00DA5F2C">
            <w:pPr>
              <w:widowControl/>
              <w:jc w:val="left"/>
              <w:rPr>
                <w:rFonts w:ascii="Arial Narrow" w:hAnsi="Arial Narrow"/>
                <w:i/>
                <w:sz w:val="20"/>
                <w:lang w:eastAsia="en-AU"/>
              </w:rPr>
            </w:pPr>
            <w:r w:rsidRPr="006D54A5">
              <w:rPr>
                <w:rFonts w:ascii="Arial Narrow" w:hAnsi="Arial Narrow"/>
                <w:i/>
                <w:sz w:val="20"/>
                <w:lang w:eastAsia="en-AU"/>
              </w:rPr>
              <w:t xml:space="preserve">AND </w:t>
            </w:r>
          </w:p>
          <w:p w:rsidR="007C4503" w:rsidRPr="006D54A5" w:rsidRDefault="007C4503" w:rsidP="00DA5F2C">
            <w:pPr>
              <w:widowControl/>
              <w:jc w:val="left"/>
              <w:rPr>
                <w:rFonts w:ascii="Arial Narrow" w:hAnsi="Arial Narrow"/>
                <w:i/>
                <w:sz w:val="20"/>
                <w:lang w:eastAsia="en-AU"/>
              </w:rPr>
            </w:pPr>
          </w:p>
          <w:p w:rsidR="007C4503" w:rsidRPr="006D54A5" w:rsidRDefault="007C4503" w:rsidP="00DA5F2C">
            <w:pPr>
              <w:widowControl/>
              <w:snapToGrid w:val="0"/>
              <w:jc w:val="left"/>
              <w:rPr>
                <w:rFonts w:ascii="Arial Narrow" w:hAnsi="Arial Narrow"/>
                <w:sz w:val="20"/>
                <w:lang w:eastAsia="en-AU"/>
              </w:rPr>
            </w:pPr>
            <w:r w:rsidRPr="007E20AD">
              <w:rPr>
                <w:rFonts w:ascii="Arial Narrow" w:hAnsi="Arial Narrow"/>
                <w:sz w:val="20"/>
                <w:lang w:eastAsia="en-AU"/>
              </w:rPr>
              <w:t>Patient must have a mean growth hormone</w:t>
            </w:r>
            <w:r w:rsidRPr="006D54A5">
              <w:rPr>
                <w:rFonts w:ascii="Arial Narrow" w:hAnsi="Arial Narrow"/>
                <w:sz w:val="20"/>
                <w:lang w:eastAsia="en-AU"/>
              </w:rPr>
              <w:t xml:space="preserve"> level greater than 2.5 micrograms per litre and IGF-1 &gt;1.3 x ULN.</w:t>
            </w:r>
          </w:p>
        </w:tc>
      </w:tr>
      <w:tr w:rsidR="007C4503" w:rsidRPr="006D54A5" w:rsidTr="003E0C57">
        <w:trPr>
          <w:cantSplit/>
          <w:trHeight w:val="360"/>
        </w:trPr>
        <w:tc>
          <w:tcPr>
            <w:tcW w:w="2119" w:type="dxa"/>
            <w:tcBorders>
              <w:top w:val="single" w:sz="4" w:space="0" w:color="auto"/>
              <w:left w:val="single" w:sz="4" w:space="0" w:color="auto"/>
              <w:bottom w:val="single" w:sz="4" w:space="0" w:color="auto"/>
              <w:right w:val="single" w:sz="4" w:space="0" w:color="auto"/>
            </w:tcBorders>
          </w:tcPr>
          <w:p w:rsidR="007C4503" w:rsidRPr="006D54A5" w:rsidRDefault="007C4503" w:rsidP="00DA5F2C">
            <w:pPr>
              <w:widowControl/>
              <w:rPr>
                <w:rFonts w:ascii="Arial Narrow" w:hAnsi="Arial Narrow"/>
                <w:b/>
                <w:sz w:val="20"/>
                <w:lang w:eastAsia="en-AU"/>
              </w:rPr>
            </w:pPr>
            <w:r w:rsidRPr="006D54A5">
              <w:rPr>
                <w:rFonts w:ascii="Arial Narrow" w:hAnsi="Arial Narrow"/>
                <w:b/>
                <w:sz w:val="20"/>
                <w:lang w:eastAsia="en-AU"/>
              </w:rPr>
              <w:t>Administrative Advice</w:t>
            </w:r>
          </w:p>
          <w:p w:rsidR="007C4503" w:rsidRPr="006D54A5" w:rsidRDefault="007C4503" w:rsidP="00DA5F2C">
            <w:pPr>
              <w:widowControl/>
              <w:snapToGrid w:val="0"/>
              <w:rPr>
                <w:rFonts w:ascii="Arial Narrow" w:hAnsi="Arial Narrow"/>
                <w:i/>
                <w:sz w:val="20"/>
                <w:lang w:eastAsia="en-AU"/>
              </w:rPr>
            </w:pPr>
          </w:p>
        </w:tc>
        <w:tc>
          <w:tcPr>
            <w:tcW w:w="6386" w:type="dxa"/>
            <w:gridSpan w:val="5"/>
            <w:tcBorders>
              <w:top w:val="single" w:sz="4" w:space="0" w:color="auto"/>
              <w:left w:val="single" w:sz="4" w:space="0" w:color="auto"/>
              <w:bottom w:val="single" w:sz="4" w:space="0" w:color="auto"/>
              <w:right w:val="single" w:sz="4" w:space="0" w:color="auto"/>
            </w:tcBorders>
            <w:hideMark/>
          </w:tcPr>
          <w:p w:rsidR="007C4503" w:rsidRPr="007E20AD" w:rsidRDefault="007C4503" w:rsidP="00DA5F2C">
            <w:pPr>
              <w:widowControl/>
              <w:snapToGrid w:val="0"/>
              <w:jc w:val="left"/>
              <w:rPr>
                <w:rFonts w:ascii="Arial Narrow" w:hAnsi="Arial Narrow"/>
                <w:sz w:val="20"/>
                <w:lang w:eastAsia="en-AU"/>
              </w:rPr>
            </w:pPr>
            <w:r w:rsidRPr="007E20AD">
              <w:rPr>
                <w:rFonts w:ascii="Arial Narrow" w:hAnsi="Arial Narrow"/>
                <w:sz w:val="20"/>
                <w:lang w:eastAsia="en-AU"/>
              </w:rPr>
              <w:t>Special Pricing Arrangements apply</w:t>
            </w:r>
          </w:p>
        </w:tc>
      </w:tr>
      <w:tr w:rsidR="007C4503" w:rsidRPr="006D54A5" w:rsidTr="003E0C57">
        <w:trPr>
          <w:cantSplit/>
          <w:trHeight w:val="360"/>
        </w:trPr>
        <w:tc>
          <w:tcPr>
            <w:tcW w:w="2119" w:type="dxa"/>
            <w:tcBorders>
              <w:top w:val="single" w:sz="4" w:space="0" w:color="auto"/>
              <w:left w:val="single" w:sz="4" w:space="0" w:color="auto"/>
              <w:bottom w:val="single" w:sz="4" w:space="0" w:color="auto"/>
              <w:right w:val="single" w:sz="4" w:space="0" w:color="auto"/>
            </w:tcBorders>
          </w:tcPr>
          <w:p w:rsidR="007C4503" w:rsidRPr="006D54A5" w:rsidRDefault="007C4503" w:rsidP="00DA5F2C">
            <w:pPr>
              <w:widowControl/>
              <w:rPr>
                <w:rFonts w:ascii="Arial Narrow" w:hAnsi="Arial Narrow"/>
                <w:b/>
                <w:sz w:val="20"/>
                <w:lang w:eastAsia="en-AU"/>
              </w:rPr>
            </w:pPr>
            <w:r w:rsidRPr="006D54A5">
              <w:rPr>
                <w:rFonts w:ascii="Arial Narrow" w:hAnsi="Arial Narrow"/>
                <w:b/>
                <w:sz w:val="20"/>
                <w:lang w:eastAsia="en-AU"/>
              </w:rPr>
              <w:t>Cautions</w:t>
            </w:r>
          </w:p>
          <w:p w:rsidR="007C4503" w:rsidRPr="006D54A5" w:rsidRDefault="007C4503" w:rsidP="00DA5F2C">
            <w:pPr>
              <w:widowControl/>
              <w:snapToGrid w:val="0"/>
              <w:rPr>
                <w:rFonts w:ascii="Arial Narrow" w:hAnsi="Arial Narrow"/>
                <w:i/>
                <w:sz w:val="20"/>
                <w:lang w:eastAsia="en-AU"/>
              </w:rPr>
            </w:pPr>
          </w:p>
        </w:tc>
        <w:tc>
          <w:tcPr>
            <w:tcW w:w="6386" w:type="dxa"/>
            <w:gridSpan w:val="5"/>
            <w:tcBorders>
              <w:top w:val="single" w:sz="4" w:space="0" w:color="auto"/>
              <w:left w:val="single" w:sz="4" w:space="0" w:color="auto"/>
              <w:bottom w:val="single" w:sz="4" w:space="0" w:color="auto"/>
              <w:right w:val="single" w:sz="4" w:space="0" w:color="auto"/>
            </w:tcBorders>
            <w:hideMark/>
          </w:tcPr>
          <w:p w:rsidR="007C4503" w:rsidRPr="006D54A5" w:rsidRDefault="007C4503" w:rsidP="00DA5F2C">
            <w:pPr>
              <w:widowControl/>
              <w:snapToGrid w:val="0"/>
              <w:jc w:val="left"/>
              <w:rPr>
                <w:rFonts w:ascii="Arial Narrow" w:hAnsi="Arial Narrow"/>
                <w:sz w:val="20"/>
                <w:lang w:eastAsia="en-AU"/>
              </w:rPr>
            </w:pPr>
            <w:r w:rsidRPr="006D54A5">
              <w:rPr>
                <w:rFonts w:ascii="Arial Narrow" w:hAnsi="Arial Narrow"/>
                <w:sz w:val="20"/>
                <w:lang w:eastAsia="en-AU"/>
              </w:rPr>
              <w:t>Careful monitoring of patients is mandatory due to high risk of developing hyperglycaemia.</w:t>
            </w:r>
          </w:p>
        </w:tc>
      </w:tr>
    </w:tbl>
    <w:p w:rsidR="00226A17" w:rsidRDefault="00226A17">
      <w:pPr>
        <w:widowControl/>
        <w:jc w:val="left"/>
        <w:rPr>
          <w:bCs/>
          <w:szCs w:val="22"/>
        </w:rPr>
      </w:pPr>
    </w:p>
    <w:p w:rsidR="00226A17" w:rsidRDefault="00226A17">
      <w:pPr>
        <w:widowControl/>
        <w:jc w:val="left"/>
        <w:rPr>
          <w:bCs/>
          <w:szCs w:val="22"/>
        </w:rPr>
      </w:pPr>
      <w:r>
        <w:rPr>
          <w:bCs/>
          <w:szCs w:val="22"/>
        </w:rPr>
        <w:br w:type="page"/>
      </w:r>
    </w:p>
    <w:p w:rsidR="007C4503" w:rsidRPr="006D54A5" w:rsidRDefault="007C4503">
      <w:pPr>
        <w:widowControl/>
        <w:jc w:val="left"/>
        <w:rPr>
          <w:bCs/>
          <w:szCs w:val="22"/>
        </w:rPr>
      </w:pPr>
    </w:p>
    <w:tbl>
      <w:tblPr>
        <w:tblW w:w="8505" w:type="dxa"/>
        <w:tblInd w:w="817" w:type="dxa"/>
        <w:tblLayout w:type="fixed"/>
        <w:tblLook w:val="0000" w:firstRow="0" w:lastRow="0" w:firstColumn="0" w:lastColumn="0" w:noHBand="0" w:noVBand="0"/>
        <w:tblCaption w:val="Recommended PBS listing (2)"/>
      </w:tblPr>
      <w:tblGrid>
        <w:gridCol w:w="2126"/>
        <w:gridCol w:w="6379"/>
      </w:tblGrid>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 xml:space="preserve">Category / </w:t>
            </w:r>
          </w:p>
          <w:p w:rsidR="003E0C57" w:rsidRPr="006D54A5" w:rsidRDefault="003E0C57" w:rsidP="00DA5F2C">
            <w:pPr>
              <w:rPr>
                <w:rFonts w:ascii="Arial Narrow" w:hAnsi="Arial Narrow"/>
                <w:b/>
                <w:sz w:val="20"/>
              </w:rPr>
            </w:pPr>
            <w:r w:rsidRPr="006D54A5">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Section 100 – Highly Specialised Drugs Program</w:t>
            </w:r>
          </w:p>
          <w:p w:rsidR="003E0C57" w:rsidRPr="006D54A5" w:rsidRDefault="003E0C57" w:rsidP="00DA5F2C">
            <w:pPr>
              <w:rPr>
                <w:rFonts w:ascii="Arial Narrow" w:hAnsi="Arial Narrow"/>
                <w:sz w:val="20"/>
              </w:rPr>
            </w:pP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Prescriber type:</w:t>
            </w:r>
          </w:p>
          <w:p w:rsidR="003E0C57" w:rsidRPr="006D54A5" w:rsidRDefault="003E0C57" w:rsidP="00DA5F2C">
            <w:pPr>
              <w:rPr>
                <w:rFonts w:ascii="Arial Narrow" w:hAnsi="Arial Narrow"/>
                <w:b/>
                <w:sz w:val="20"/>
              </w:rPr>
            </w:pP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fldChar w:fldCharType="begin">
                <w:ffData>
                  <w:name w:val="Check1"/>
                  <w:enabled/>
                  <w:calcOnExit w:val="0"/>
                  <w:checkBox>
                    <w:sizeAuto/>
                    <w:default w:val="0"/>
                  </w:checkBox>
                </w:ffData>
              </w:fldChar>
            </w:r>
            <w:r w:rsidRPr="006D54A5">
              <w:rPr>
                <w:rFonts w:ascii="Arial Narrow" w:hAnsi="Arial Narrow"/>
                <w:sz w:val="20"/>
              </w:rPr>
              <w:instrText xml:space="preserve"> FORMCHECKBOX </w:instrText>
            </w:r>
            <w:r w:rsidR="0018573A">
              <w:rPr>
                <w:rFonts w:ascii="Arial Narrow" w:hAnsi="Arial Narrow"/>
                <w:sz w:val="20"/>
              </w:rPr>
            </w:r>
            <w:r w:rsidR="0018573A">
              <w:rPr>
                <w:rFonts w:ascii="Arial Narrow" w:hAnsi="Arial Narrow"/>
                <w:sz w:val="20"/>
              </w:rPr>
              <w:fldChar w:fldCharType="separate"/>
            </w:r>
            <w:r w:rsidRPr="006D54A5">
              <w:rPr>
                <w:rFonts w:ascii="Arial Narrow" w:hAnsi="Arial Narrow"/>
                <w:sz w:val="20"/>
              </w:rPr>
              <w:fldChar w:fldCharType="end"/>
            </w:r>
            <w:r w:rsidRPr="006D54A5">
              <w:rPr>
                <w:rFonts w:ascii="Arial Narrow" w:hAnsi="Arial Narrow"/>
                <w:sz w:val="20"/>
              </w:rPr>
              <w:t xml:space="preserve">Dental  </w:t>
            </w:r>
            <w:r w:rsidRPr="006D54A5">
              <w:rPr>
                <w:rFonts w:ascii="Arial Narrow" w:hAnsi="Arial Narrow"/>
                <w:sz w:val="20"/>
              </w:rPr>
              <w:fldChar w:fldCharType="begin">
                <w:ffData>
                  <w:name w:val=""/>
                  <w:enabled/>
                  <w:calcOnExit w:val="0"/>
                  <w:checkBox>
                    <w:sizeAuto/>
                    <w:default w:val="1"/>
                  </w:checkBox>
                </w:ffData>
              </w:fldChar>
            </w:r>
            <w:r w:rsidRPr="006D54A5">
              <w:rPr>
                <w:rFonts w:ascii="Arial Narrow" w:hAnsi="Arial Narrow"/>
                <w:sz w:val="20"/>
              </w:rPr>
              <w:instrText xml:space="preserve"> FORMCHECKBOX </w:instrText>
            </w:r>
            <w:r w:rsidR="0018573A">
              <w:rPr>
                <w:rFonts w:ascii="Arial Narrow" w:hAnsi="Arial Narrow"/>
                <w:sz w:val="20"/>
              </w:rPr>
            </w:r>
            <w:r w:rsidR="0018573A">
              <w:rPr>
                <w:rFonts w:ascii="Arial Narrow" w:hAnsi="Arial Narrow"/>
                <w:sz w:val="20"/>
              </w:rPr>
              <w:fldChar w:fldCharType="separate"/>
            </w:r>
            <w:r w:rsidRPr="006D54A5">
              <w:rPr>
                <w:rFonts w:ascii="Arial Narrow" w:hAnsi="Arial Narrow"/>
                <w:sz w:val="20"/>
              </w:rPr>
              <w:fldChar w:fldCharType="end"/>
            </w:r>
            <w:r w:rsidRPr="006D54A5">
              <w:rPr>
                <w:rFonts w:ascii="Arial Narrow" w:hAnsi="Arial Narrow"/>
                <w:sz w:val="20"/>
              </w:rPr>
              <w:t xml:space="preserve">Medical Practitioners  </w:t>
            </w:r>
            <w:r w:rsidRPr="006D54A5">
              <w:rPr>
                <w:rFonts w:ascii="Arial Narrow" w:hAnsi="Arial Narrow"/>
                <w:sz w:val="20"/>
              </w:rPr>
              <w:fldChar w:fldCharType="begin">
                <w:ffData>
                  <w:name w:val="Check3"/>
                  <w:enabled/>
                  <w:calcOnExit w:val="0"/>
                  <w:checkBox>
                    <w:sizeAuto/>
                    <w:default w:val="0"/>
                  </w:checkBox>
                </w:ffData>
              </w:fldChar>
            </w:r>
            <w:r w:rsidRPr="006D54A5">
              <w:rPr>
                <w:rFonts w:ascii="Arial Narrow" w:hAnsi="Arial Narrow"/>
                <w:sz w:val="20"/>
              </w:rPr>
              <w:instrText xml:space="preserve"> FORMCHECKBOX </w:instrText>
            </w:r>
            <w:r w:rsidR="0018573A">
              <w:rPr>
                <w:rFonts w:ascii="Arial Narrow" w:hAnsi="Arial Narrow"/>
                <w:sz w:val="20"/>
              </w:rPr>
            </w:r>
            <w:r w:rsidR="0018573A">
              <w:rPr>
                <w:rFonts w:ascii="Arial Narrow" w:hAnsi="Arial Narrow"/>
                <w:sz w:val="20"/>
              </w:rPr>
              <w:fldChar w:fldCharType="separate"/>
            </w:r>
            <w:r w:rsidRPr="006D54A5">
              <w:rPr>
                <w:rFonts w:ascii="Arial Narrow" w:hAnsi="Arial Narrow"/>
                <w:sz w:val="20"/>
              </w:rPr>
              <w:fldChar w:fldCharType="end"/>
            </w:r>
            <w:r w:rsidRPr="006D54A5">
              <w:rPr>
                <w:rFonts w:ascii="Arial Narrow" w:hAnsi="Arial Narrow"/>
                <w:sz w:val="20"/>
              </w:rPr>
              <w:t xml:space="preserve">Nurse practitioners  </w:t>
            </w:r>
            <w:r w:rsidRPr="006D54A5">
              <w:rPr>
                <w:rFonts w:ascii="Arial Narrow" w:hAnsi="Arial Narrow"/>
                <w:sz w:val="20"/>
              </w:rPr>
              <w:fldChar w:fldCharType="begin">
                <w:ffData>
                  <w:name w:val=""/>
                  <w:enabled/>
                  <w:calcOnExit w:val="0"/>
                  <w:checkBox>
                    <w:sizeAuto/>
                    <w:default w:val="0"/>
                  </w:checkBox>
                </w:ffData>
              </w:fldChar>
            </w:r>
            <w:r w:rsidRPr="006D54A5">
              <w:rPr>
                <w:rFonts w:ascii="Arial Narrow" w:hAnsi="Arial Narrow"/>
                <w:sz w:val="20"/>
              </w:rPr>
              <w:instrText xml:space="preserve"> FORMCHECKBOX </w:instrText>
            </w:r>
            <w:r w:rsidR="0018573A">
              <w:rPr>
                <w:rFonts w:ascii="Arial Narrow" w:hAnsi="Arial Narrow"/>
                <w:sz w:val="20"/>
              </w:rPr>
            </w:r>
            <w:r w:rsidR="0018573A">
              <w:rPr>
                <w:rFonts w:ascii="Arial Narrow" w:hAnsi="Arial Narrow"/>
                <w:sz w:val="20"/>
              </w:rPr>
              <w:fldChar w:fldCharType="separate"/>
            </w:r>
            <w:r w:rsidRPr="006D54A5">
              <w:rPr>
                <w:rFonts w:ascii="Arial Narrow" w:hAnsi="Arial Narrow"/>
                <w:sz w:val="20"/>
              </w:rPr>
              <w:fldChar w:fldCharType="end"/>
            </w:r>
            <w:r w:rsidRPr="006D54A5">
              <w:rPr>
                <w:rFonts w:ascii="Arial Narrow" w:hAnsi="Arial Narrow"/>
                <w:sz w:val="20"/>
              </w:rPr>
              <w:t>Optometrists</w:t>
            </w:r>
          </w:p>
          <w:p w:rsidR="003E0C57" w:rsidRPr="006D54A5" w:rsidRDefault="003E0C57" w:rsidP="00DA5F2C">
            <w:pPr>
              <w:rPr>
                <w:rFonts w:ascii="Arial Narrow" w:hAnsi="Arial Narrow"/>
                <w:sz w:val="20"/>
              </w:rPr>
            </w:pPr>
            <w:r w:rsidRPr="006D54A5">
              <w:rPr>
                <w:rFonts w:ascii="Arial Narrow" w:hAnsi="Arial Narrow"/>
                <w:sz w:val="20"/>
              </w:rPr>
              <w:fldChar w:fldCharType="begin">
                <w:ffData>
                  <w:name w:val="Check5"/>
                  <w:enabled/>
                  <w:calcOnExit w:val="0"/>
                  <w:checkBox>
                    <w:sizeAuto/>
                    <w:default w:val="0"/>
                  </w:checkBox>
                </w:ffData>
              </w:fldChar>
            </w:r>
            <w:r w:rsidRPr="006D54A5">
              <w:rPr>
                <w:rFonts w:ascii="Arial Narrow" w:hAnsi="Arial Narrow"/>
                <w:sz w:val="20"/>
              </w:rPr>
              <w:instrText xml:space="preserve"> FORMCHECKBOX </w:instrText>
            </w:r>
            <w:r w:rsidR="0018573A">
              <w:rPr>
                <w:rFonts w:ascii="Arial Narrow" w:hAnsi="Arial Narrow"/>
                <w:sz w:val="20"/>
              </w:rPr>
            </w:r>
            <w:r w:rsidR="0018573A">
              <w:rPr>
                <w:rFonts w:ascii="Arial Narrow" w:hAnsi="Arial Narrow"/>
                <w:sz w:val="20"/>
              </w:rPr>
              <w:fldChar w:fldCharType="separate"/>
            </w:r>
            <w:r w:rsidRPr="006D54A5">
              <w:rPr>
                <w:rFonts w:ascii="Arial Narrow" w:hAnsi="Arial Narrow"/>
                <w:sz w:val="20"/>
              </w:rPr>
              <w:fldChar w:fldCharType="end"/>
            </w:r>
            <w:r w:rsidRPr="006D54A5">
              <w:rPr>
                <w:rFonts w:ascii="Arial Narrow" w:hAnsi="Arial Narrow"/>
                <w:sz w:val="20"/>
              </w:rPr>
              <w:t>Midwives</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Episodicity:</w:t>
            </w: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Acromegaly</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Acromegaly</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Treatment phase:</w:t>
            </w:r>
          </w:p>
          <w:p w:rsidR="003E0C57" w:rsidRPr="006D54A5" w:rsidRDefault="003E0C57" w:rsidP="00DA5F2C">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Continuing treatment</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Restriction Level / Method:</w:t>
            </w:r>
          </w:p>
          <w:p w:rsidR="003E0C57" w:rsidRPr="006D54A5" w:rsidRDefault="003E0C57" w:rsidP="00DA5F2C">
            <w:pPr>
              <w:rPr>
                <w:rFonts w:ascii="Arial Narrow" w:hAnsi="Arial Narrow"/>
                <w:i/>
                <w:sz w:val="20"/>
                <w:highlight w:val="yellow"/>
              </w:rPr>
            </w:pPr>
          </w:p>
          <w:p w:rsidR="003E0C57" w:rsidRPr="006D54A5" w:rsidRDefault="003E0C57" w:rsidP="00DA5F2C">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fldChar w:fldCharType="begin">
                <w:ffData>
                  <w:name w:val="Check1"/>
                  <w:enabled/>
                  <w:calcOnExit w:val="0"/>
                  <w:checkBox>
                    <w:sizeAuto/>
                    <w:default w:val="0"/>
                  </w:checkBox>
                </w:ffData>
              </w:fldChar>
            </w:r>
            <w:r w:rsidRPr="006D54A5">
              <w:rPr>
                <w:rFonts w:ascii="Arial Narrow" w:hAnsi="Arial Narrow"/>
                <w:sz w:val="20"/>
              </w:rPr>
              <w:instrText xml:space="preserve"> FORMCHECKBOX </w:instrText>
            </w:r>
            <w:r w:rsidR="0018573A">
              <w:rPr>
                <w:rFonts w:ascii="Arial Narrow" w:hAnsi="Arial Narrow"/>
                <w:sz w:val="20"/>
              </w:rPr>
            </w:r>
            <w:r w:rsidR="0018573A">
              <w:rPr>
                <w:rFonts w:ascii="Arial Narrow" w:hAnsi="Arial Narrow"/>
                <w:sz w:val="20"/>
              </w:rPr>
              <w:fldChar w:fldCharType="separate"/>
            </w:r>
            <w:r w:rsidRPr="006D54A5">
              <w:rPr>
                <w:rFonts w:ascii="Arial Narrow" w:hAnsi="Arial Narrow"/>
                <w:sz w:val="20"/>
              </w:rPr>
              <w:fldChar w:fldCharType="end"/>
            </w:r>
            <w:r w:rsidRPr="006D54A5">
              <w:rPr>
                <w:rFonts w:ascii="Arial Narrow" w:hAnsi="Arial Narrow"/>
                <w:sz w:val="20"/>
              </w:rPr>
              <w:t>Restricted benefit</w:t>
            </w:r>
          </w:p>
          <w:p w:rsidR="003E0C57" w:rsidRPr="006D54A5" w:rsidRDefault="003E0C57" w:rsidP="00DA5F2C">
            <w:pPr>
              <w:rPr>
                <w:rFonts w:ascii="Arial Narrow" w:hAnsi="Arial Narrow"/>
                <w:sz w:val="20"/>
              </w:rPr>
            </w:pPr>
            <w:r w:rsidRPr="006D54A5">
              <w:rPr>
                <w:rFonts w:ascii="Arial Narrow" w:hAnsi="Arial Narrow"/>
                <w:sz w:val="20"/>
              </w:rPr>
              <w:fldChar w:fldCharType="begin">
                <w:ffData>
                  <w:name w:val=""/>
                  <w:enabled/>
                  <w:calcOnExit w:val="0"/>
                  <w:checkBox>
                    <w:sizeAuto/>
                    <w:default w:val="1"/>
                  </w:checkBox>
                </w:ffData>
              </w:fldChar>
            </w:r>
            <w:r w:rsidRPr="006D54A5">
              <w:rPr>
                <w:rFonts w:ascii="Arial Narrow" w:hAnsi="Arial Narrow"/>
                <w:sz w:val="20"/>
              </w:rPr>
              <w:instrText xml:space="preserve"> FORMCHECKBOX </w:instrText>
            </w:r>
            <w:r w:rsidR="0018573A">
              <w:rPr>
                <w:rFonts w:ascii="Arial Narrow" w:hAnsi="Arial Narrow"/>
                <w:sz w:val="20"/>
              </w:rPr>
            </w:r>
            <w:r w:rsidR="0018573A">
              <w:rPr>
                <w:rFonts w:ascii="Arial Narrow" w:hAnsi="Arial Narrow"/>
                <w:sz w:val="20"/>
              </w:rPr>
              <w:fldChar w:fldCharType="separate"/>
            </w:r>
            <w:r w:rsidRPr="006D54A5">
              <w:rPr>
                <w:rFonts w:ascii="Arial Narrow" w:hAnsi="Arial Narrow"/>
                <w:sz w:val="20"/>
              </w:rPr>
              <w:fldChar w:fldCharType="end"/>
            </w:r>
            <w:r w:rsidRPr="006D54A5">
              <w:rPr>
                <w:rFonts w:ascii="Arial Narrow" w:hAnsi="Arial Narrow"/>
                <w:sz w:val="20"/>
              </w:rPr>
              <w:t>Authority Required - In Writing</w:t>
            </w:r>
          </w:p>
          <w:p w:rsidR="003E0C57" w:rsidRPr="006D54A5" w:rsidRDefault="003E0C57" w:rsidP="00DA5F2C">
            <w:pPr>
              <w:rPr>
                <w:rFonts w:ascii="Arial Narrow" w:hAnsi="Arial Narrow"/>
                <w:sz w:val="20"/>
              </w:rPr>
            </w:pPr>
            <w:r w:rsidRPr="006D54A5">
              <w:rPr>
                <w:rFonts w:ascii="Arial Narrow" w:hAnsi="Arial Narrow"/>
                <w:sz w:val="20"/>
              </w:rPr>
              <w:fldChar w:fldCharType="begin">
                <w:ffData>
                  <w:name w:val="Check3"/>
                  <w:enabled/>
                  <w:calcOnExit w:val="0"/>
                  <w:checkBox>
                    <w:sizeAuto/>
                    <w:default w:val="0"/>
                  </w:checkBox>
                </w:ffData>
              </w:fldChar>
            </w:r>
            <w:bookmarkStart w:id="18" w:name="Check3"/>
            <w:r w:rsidRPr="006D54A5">
              <w:rPr>
                <w:rFonts w:ascii="Arial Narrow" w:hAnsi="Arial Narrow"/>
                <w:sz w:val="20"/>
              </w:rPr>
              <w:instrText xml:space="preserve"> FORMCHECKBOX </w:instrText>
            </w:r>
            <w:r w:rsidR="0018573A">
              <w:rPr>
                <w:rFonts w:ascii="Arial Narrow" w:hAnsi="Arial Narrow"/>
                <w:sz w:val="20"/>
              </w:rPr>
            </w:r>
            <w:r w:rsidR="0018573A">
              <w:rPr>
                <w:rFonts w:ascii="Arial Narrow" w:hAnsi="Arial Narrow"/>
                <w:sz w:val="20"/>
              </w:rPr>
              <w:fldChar w:fldCharType="separate"/>
            </w:r>
            <w:r w:rsidRPr="006D54A5">
              <w:rPr>
                <w:rFonts w:ascii="Arial Narrow" w:hAnsi="Arial Narrow"/>
                <w:sz w:val="20"/>
              </w:rPr>
              <w:fldChar w:fldCharType="end"/>
            </w:r>
            <w:bookmarkEnd w:id="18"/>
            <w:r w:rsidRPr="006D54A5">
              <w:rPr>
                <w:rFonts w:ascii="Arial Narrow" w:hAnsi="Arial Narrow"/>
                <w:sz w:val="20"/>
              </w:rPr>
              <w:t>Authority Required - Telephone</w:t>
            </w:r>
          </w:p>
          <w:p w:rsidR="003E0C57" w:rsidRPr="006D54A5" w:rsidRDefault="003E0C57" w:rsidP="00DA5F2C">
            <w:pPr>
              <w:rPr>
                <w:rFonts w:ascii="Arial Narrow" w:hAnsi="Arial Narrow"/>
                <w:sz w:val="20"/>
              </w:rPr>
            </w:pPr>
            <w:r w:rsidRPr="006D54A5">
              <w:rPr>
                <w:rFonts w:ascii="Arial Narrow" w:hAnsi="Arial Narrow"/>
                <w:sz w:val="20"/>
              </w:rPr>
              <w:fldChar w:fldCharType="begin">
                <w:ffData>
                  <w:name w:val=""/>
                  <w:enabled/>
                  <w:calcOnExit w:val="0"/>
                  <w:checkBox>
                    <w:sizeAuto/>
                    <w:default w:val="0"/>
                  </w:checkBox>
                </w:ffData>
              </w:fldChar>
            </w:r>
            <w:r w:rsidRPr="006D54A5">
              <w:rPr>
                <w:rFonts w:ascii="Arial Narrow" w:hAnsi="Arial Narrow"/>
                <w:sz w:val="20"/>
              </w:rPr>
              <w:instrText xml:space="preserve"> FORMCHECKBOX </w:instrText>
            </w:r>
            <w:r w:rsidR="0018573A">
              <w:rPr>
                <w:rFonts w:ascii="Arial Narrow" w:hAnsi="Arial Narrow"/>
                <w:sz w:val="20"/>
              </w:rPr>
            </w:r>
            <w:r w:rsidR="0018573A">
              <w:rPr>
                <w:rFonts w:ascii="Arial Narrow" w:hAnsi="Arial Narrow"/>
                <w:sz w:val="20"/>
              </w:rPr>
              <w:fldChar w:fldCharType="separate"/>
            </w:r>
            <w:r w:rsidRPr="006D54A5">
              <w:rPr>
                <w:rFonts w:ascii="Arial Narrow" w:hAnsi="Arial Narrow"/>
                <w:sz w:val="20"/>
              </w:rPr>
              <w:fldChar w:fldCharType="end"/>
            </w:r>
            <w:r w:rsidRPr="006D54A5">
              <w:rPr>
                <w:rFonts w:ascii="Arial Narrow" w:hAnsi="Arial Narrow"/>
                <w:sz w:val="20"/>
              </w:rPr>
              <w:t>Authority Required – Emergency</w:t>
            </w:r>
          </w:p>
          <w:p w:rsidR="003E0C57" w:rsidRPr="006D54A5" w:rsidRDefault="003E0C57" w:rsidP="00DA5F2C">
            <w:pPr>
              <w:rPr>
                <w:rFonts w:ascii="Arial Narrow" w:hAnsi="Arial Narrow"/>
                <w:sz w:val="20"/>
              </w:rPr>
            </w:pPr>
            <w:r w:rsidRPr="006D54A5">
              <w:rPr>
                <w:rFonts w:ascii="Arial Narrow" w:hAnsi="Arial Narrow"/>
                <w:sz w:val="20"/>
              </w:rPr>
              <w:fldChar w:fldCharType="begin">
                <w:ffData>
                  <w:name w:val="Check5"/>
                  <w:enabled/>
                  <w:calcOnExit w:val="0"/>
                  <w:checkBox>
                    <w:sizeAuto/>
                    <w:default w:val="0"/>
                  </w:checkBox>
                </w:ffData>
              </w:fldChar>
            </w:r>
            <w:bookmarkStart w:id="19" w:name="Check5"/>
            <w:r w:rsidRPr="006D54A5">
              <w:rPr>
                <w:rFonts w:ascii="Arial Narrow" w:hAnsi="Arial Narrow"/>
                <w:sz w:val="20"/>
              </w:rPr>
              <w:instrText xml:space="preserve"> FORMCHECKBOX </w:instrText>
            </w:r>
            <w:r w:rsidR="0018573A">
              <w:rPr>
                <w:rFonts w:ascii="Arial Narrow" w:hAnsi="Arial Narrow"/>
                <w:sz w:val="20"/>
              </w:rPr>
            </w:r>
            <w:r w:rsidR="0018573A">
              <w:rPr>
                <w:rFonts w:ascii="Arial Narrow" w:hAnsi="Arial Narrow"/>
                <w:sz w:val="20"/>
              </w:rPr>
              <w:fldChar w:fldCharType="separate"/>
            </w:r>
            <w:r w:rsidRPr="006D54A5">
              <w:rPr>
                <w:rFonts w:ascii="Arial Narrow" w:hAnsi="Arial Narrow"/>
                <w:sz w:val="20"/>
              </w:rPr>
              <w:fldChar w:fldCharType="end"/>
            </w:r>
            <w:bookmarkEnd w:id="19"/>
            <w:r w:rsidRPr="006D54A5">
              <w:rPr>
                <w:rFonts w:ascii="Arial Narrow" w:hAnsi="Arial Narrow"/>
                <w:sz w:val="20"/>
              </w:rPr>
              <w:t>Authority Required - Electronic</w:t>
            </w:r>
          </w:p>
          <w:p w:rsidR="003E0C57" w:rsidRPr="006D54A5" w:rsidRDefault="003E0C57" w:rsidP="00DA5F2C">
            <w:pPr>
              <w:rPr>
                <w:rFonts w:ascii="Arial Narrow" w:hAnsi="Arial Narrow"/>
                <w:sz w:val="20"/>
              </w:rPr>
            </w:pPr>
            <w:r w:rsidRPr="006D54A5">
              <w:rPr>
                <w:rFonts w:ascii="Arial Narrow" w:hAnsi="Arial Narrow"/>
                <w:sz w:val="20"/>
              </w:rPr>
              <w:fldChar w:fldCharType="begin">
                <w:ffData>
                  <w:name w:val="Check5"/>
                  <w:enabled/>
                  <w:calcOnExit w:val="0"/>
                  <w:checkBox>
                    <w:sizeAuto/>
                    <w:default w:val="0"/>
                  </w:checkBox>
                </w:ffData>
              </w:fldChar>
            </w:r>
            <w:r w:rsidRPr="006D54A5">
              <w:rPr>
                <w:rFonts w:ascii="Arial Narrow" w:hAnsi="Arial Narrow"/>
                <w:sz w:val="20"/>
              </w:rPr>
              <w:instrText xml:space="preserve"> FORMCHECKBOX </w:instrText>
            </w:r>
            <w:r w:rsidR="0018573A">
              <w:rPr>
                <w:rFonts w:ascii="Arial Narrow" w:hAnsi="Arial Narrow"/>
                <w:sz w:val="20"/>
              </w:rPr>
            </w:r>
            <w:r w:rsidR="0018573A">
              <w:rPr>
                <w:rFonts w:ascii="Arial Narrow" w:hAnsi="Arial Narrow"/>
                <w:sz w:val="20"/>
              </w:rPr>
              <w:fldChar w:fldCharType="separate"/>
            </w:r>
            <w:r w:rsidRPr="006D54A5">
              <w:rPr>
                <w:rFonts w:ascii="Arial Narrow" w:hAnsi="Arial Narrow"/>
                <w:sz w:val="20"/>
              </w:rPr>
              <w:fldChar w:fldCharType="end"/>
            </w:r>
            <w:r w:rsidRPr="006D54A5">
              <w:rPr>
                <w:rFonts w:ascii="Arial Narrow" w:hAnsi="Arial Narrow"/>
                <w:sz w:val="20"/>
              </w:rPr>
              <w:t>Streamlined</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Treatment criteria:</w:t>
            </w:r>
          </w:p>
          <w:p w:rsidR="003E0C57" w:rsidRPr="006D54A5" w:rsidRDefault="003E0C57" w:rsidP="00DA5F2C">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Clinical criteria:</w:t>
            </w:r>
          </w:p>
          <w:p w:rsidR="003E0C57" w:rsidRPr="006D54A5" w:rsidRDefault="003E0C57" w:rsidP="00DA5F2C">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The condition must be active,</w:t>
            </w:r>
          </w:p>
          <w:p w:rsidR="003E0C57" w:rsidRPr="006D54A5" w:rsidRDefault="003E0C57" w:rsidP="00DA5F2C">
            <w:pPr>
              <w:rPr>
                <w:rFonts w:ascii="Arial Narrow" w:hAnsi="Arial Narrow"/>
                <w:sz w:val="20"/>
              </w:rPr>
            </w:pPr>
          </w:p>
          <w:p w:rsidR="003E0C57" w:rsidRPr="006D54A5" w:rsidRDefault="003E0C57" w:rsidP="00DA5F2C">
            <w:pPr>
              <w:rPr>
                <w:rFonts w:ascii="Arial Narrow" w:hAnsi="Arial Narrow"/>
                <w:sz w:val="20"/>
              </w:rPr>
            </w:pPr>
            <w:r w:rsidRPr="006D54A5">
              <w:rPr>
                <w:rFonts w:ascii="Arial Narrow" w:hAnsi="Arial Narrow"/>
                <w:sz w:val="20"/>
              </w:rPr>
              <w:t>AND</w:t>
            </w:r>
          </w:p>
          <w:p w:rsidR="003E0C57" w:rsidRPr="006D54A5" w:rsidRDefault="003E0C57" w:rsidP="00DA5F2C">
            <w:pPr>
              <w:rPr>
                <w:rFonts w:ascii="Arial Narrow" w:hAnsi="Arial Narrow"/>
                <w:sz w:val="20"/>
              </w:rPr>
            </w:pPr>
          </w:p>
          <w:p w:rsidR="003E0C57" w:rsidRPr="006D54A5" w:rsidRDefault="003E0C57" w:rsidP="00DA5F2C">
            <w:pPr>
              <w:rPr>
                <w:rFonts w:ascii="Arial Narrow" w:hAnsi="Arial Narrow"/>
                <w:sz w:val="20"/>
              </w:rPr>
            </w:pPr>
            <w:r w:rsidRPr="006D54A5">
              <w:rPr>
                <w:rFonts w:ascii="Arial Narrow" w:hAnsi="Arial Narrow"/>
                <w:sz w:val="20"/>
              </w:rPr>
              <w:t>The patient must be currently treated with 40 mg or 60 mg pasireotide LAR,</w:t>
            </w:r>
          </w:p>
          <w:p w:rsidR="003E0C57" w:rsidRPr="006D54A5" w:rsidRDefault="003E0C57" w:rsidP="00DA5F2C">
            <w:pPr>
              <w:rPr>
                <w:rFonts w:ascii="Arial Narrow" w:hAnsi="Arial Narrow"/>
                <w:sz w:val="20"/>
              </w:rPr>
            </w:pPr>
          </w:p>
          <w:p w:rsidR="003E0C57" w:rsidRPr="006D54A5" w:rsidRDefault="003E0C57" w:rsidP="00DA5F2C">
            <w:pPr>
              <w:rPr>
                <w:rFonts w:ascii="Arial Narrow" w:hAnsi="Arial Narrow"/>
                <w:sz w:val="20"/>
              </w:rPr>
            </w:pPr>
            <w:r w:rsidRPr="006D54A5">
              <w:rPr>
                <w:rFonts w:ascii="Arial Narrow" w:hAnsi="Arial Narrow"/>
                <w:sz w:val="20"/>
              </w:rPr>
              <w:t>AND</w:t>
            </w:r>
          </w:p>
          <w:p w:rsidR="003E0C57" w:rsidRPr="006D54A5" w:rsidRDefault="003E0C57" w:rsidP="00DA5F2C">
            <w:pPr>
              <w:rPr>
                <w:rFonts w:ascii="Arial Narrow" w:hAnsi="Arial Narrow"/>
                <w:sz w:val="20"/>
              </w:rPr>
            </w:pPr>
          </w:p>
          <w:p w:rsidR="003E0C57" w:rsidRPr="006D54A5" w:rsidRDefault="003E0C57" w:rsidP="00DA5F2C">
            <w:pPr>
              <w:rPr>
                <w:rFonts w:ascii="Arial Narrow" w:hAnsi="Arial Narrow"/>
                <w:sz w:val="20"/>
              </w:rPr>
            </w:pPr>
            <w:r w:rsidRPr="006D54A5">
              <w:rPr>
                <w:rFonts w:ascii="Arial Narrow" w:hAnsi="Arial Narrow"/>
                <w:sz w:val="20"/>
              </w:rPr>
              <w:t xml:space="preserve">The treatment must cease in a patient treated with radiotherapy if there is biochemical evidence of remission (normal IGF-1) after pasireotide has been withdrawn for at least 4 weeks (8 weeks after the last dose). </w:t>
            </w:r>
          </w:p>
          <w:p w:rsidR="003E0C57" w:rsidRPr="006D54A5" w:rsidRDefault="003E0C57" w:rsidP="00DA5F2C">
            <w:pPr>
              <w:rPr>
                <w:rFonts w:ascii="Arial Narrow" w:hAnsi="Arial Narrow"/>
                <w:sz w:val="20"/>
              </w:rPr>
            </w:pPr>
            <w:r w:rsidRPr="006D54A5">
              <w:rPr>
                <w:rFonts w:ascii="Arial Narrow" w:hAnsi="Arial Narrow"/>
                <w:sz w:val="20"/>
              </w:rPr>
              <w:t xml:space="preserve"> </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Population criteria:</w:t>
            </w:r>
          </w:p>
          <w:p w:rsidR="003E0C57" w:rsidRPr="006D54A5" w:rsidRDefault="003E0C57" w:rsidP="00DA5F2C">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Patient must be 18 years or older</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Foreword</w:t>
            </w:r>
          </w:p>
          <w:p w:rsidR="003E0C57" w:rsidRPr="006D54A5" w:rsidRDefault="003E0C57" w:rsidP="00DA5F2C">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Definitions</w:t>
            </w:r>
          </w:p>
          <w:p w:rsidR="003E0C57" w:rsidRPr="006D54A5" w:rsidRDefault="003E0C57" w:rsidP="00DA5F2C">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Prescriber Instructions</w:t>
            </w:r>
          </w:p>
          <w:p w:rsidR="003E0C57" w:rsidRPr="006D54A5" w:rsidRDefault="003E0C57" w:rsidP="00DA5F2C">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In a patient treated with radiotherapy, pasireotide should be withdrawn every 2 years in the 10 years after radiotherapy for assessment of remission.</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Administrative Advice</w:t>
            </w:r>
          </w:p>
          <w:p w:rsidR="003E0C57" w:rsidRPr="006D54A5" w:rsidRDefault="003E0C57" w:rsidP="00DA5F2C">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w:t>
            </w:r>
          </w:p>
        </w:tc>
      </w:tr>
      <w:tr w:rsidR="003E0C57" w:rsidRPr="006D54A5" w:rsidTr="003E0C57">
        <w:trPr>
          <w:cantSplit/>
          <w:trHeight w:val="360"/>
        </w:trPr>
        <w:tc>
          <w:tcPr>
            <w:tcW w:w="2126"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b/>
                <w:sz w:val="20"/>
              </w:rPr>
            </w:pPr>
            <w:r w:rsidRPr="006D54A5">
              <w:rPr>
                <w:rFonts w:ascii="Arial Narrow" w:hAnsi="Arial Narrow"/>
                <w:b/>
                <w:sz w:val="20"/>
              </w:rPr>
              <w:t>Cautions</w:t>
            </w:r>
          </w:p>
          <w:p w:rsidR="003E0C57" w:rsidRPr="006D54A5" w:rsidRDefault="003E0C57" w:rsidP="00DA5F2C">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3E0C57" w:rsidRPr="006D54A5" w:rsidRDefault="003E0C57" w:rsidP="00DA5F2C">
            <w:pPr>
              <w:rPr>
                <w:rFonts w:ascii="Arial Narrow" w:hAnsi="Arial Narrow"/>
                <w:sz w:val="20"/>
              </w:rPr>
            </w:pPr>
            <w:r w:rsidRPr="006D54A5">
              <w:rPr>
                <w:rFonts w:ascii="Arial Narrow" w:hAnsi="Arial Narrow"/>
                <w:sz w:val="20"/>
              </w:rPr>
              <w:t>Careful monitoring of patients is mandatory due to high risk of developing hyperglycaemia.</w:t>
            </w:r>
          </w:p>
        </w:tc>
      </w:tr>
    </w:tbl>
    <w:p w:rsidR="003E0C57" w:rsidRPr="006D54A5" w:rsidRDefault="003E0C57" w:rsidP="00B5580D">
      <w:pPr>
        <w:widowControl/>
        <w:spacing w:line="480" w:lineRule="auto"/>
        <w:jc w:val="left"/>
        <w:rPr>
          <w:bCs/>
          <w:szCs w:val="22"/>
        </w:rPr>
      </w:pPr>
    </w:p>
    <w:p w:rsidR="002A5741" w:rsidRPr="002A5741" w:rsidRDefault="002A5741" w:rsidP="00B5580D">
      <w:pPr>
        <w:pStyle w:val="Heading1"/>
        <w:rPr>
          <w:rFonts w:eastAsia="SimSun"/>
        </w:rPr>
      </w:pPr>
      <w:r w:rsidRPr="002A5741">
        <w:rPr>
          <w:rFonts w:eastAsia="SimSun"/>
        </w:rPr>
        <w:t>Context for Decision</w:t>
      </w:r>
    </w:p>
    <w:p w:rsidR="002A5741" w:rsidRDefault="002A5741" w:rsidP="002A5741">
      <w:pPr>
        <w:ind w:left="720"/>
        <w:contextualSpacing/>
        <w:rPr>
          <w:rFonts w:ascii="Times New Roman" w:hAnsi="Times New Roman" w:cs="Times New Roman"/>
          <w:b/>
          <w:sz w:val="24"/>
          <w:szCs w:val="24"/>
          <w:lang w:eastAsia="en-AU"/>
        </w:rPr>
      </w:pPr>
    </w:p>
    <w:p w:rsidR="002A5741" w:rsidRDefault="002A5741" w:rsidP="002A5741">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A5741" w:rsidRDefault="002A5741" w:rsidP="002A5741">
      <w:pPr>
        <w:rPr>
          <w:rFonts w:ascii="Times New Roman" w:hAnsi="Times New Roman" w:cs="Times New Roman"/>
          <w:snapToGrid/>
          <w:sz w:val="24"/>
          <w:szCs w:val="24"/>
        </w:rPr>
      </w:pPr>
    </w:p>
    <w:p w:rsidR="002A5741" w:rsidRPr="002A5741" w:rsidRDefault="002A5741" w:rsidP="00B5580D">
      <w:pPr>
        <w:pStyle w:val="Heading1"/>
        <w:rPr>
          <w:rFonts w:eastAsia="SimSun"/>
        </w:rPr>
      </w:pPr>
      <w:r w:rsidRPr="00B5580D">
        <w:rPr>
          <w:rFonts w:eastAsia="SimSun"/>
        </w:rPr>
        <w:t>Sponsor’s</w:t>
      </w:r>
      <w:r w:rsidRPr="002A5741">
        <w:rPr>
          <w:rFonts w:eastAsia="SimSun"/>
        </w:rPr>
        <w:t xml:space="preserve"> Comment</w:t>
      </w:r>
    </w:p>
    <w:p w:rsidR="002A5741" w:rsidRDefault="002A5741" w:rsidP="002A5741">
      <w:pPr>
        <w:tabs>
          <w:tab w:val="left" w:pos="2940"/>
        </w:tabs>
        <w:rPr>
          <w:rFonts w:cs="Times New Roman"/>
          <w:szCs w:val="22"/>
          <w:lang w:eastAsia="en-AU"/>
        </w:rPr>
      </w:pPr>
    </w:p>
    <w:p w:rsidR="0089763A" w:rsidRDefault="0089763A" w:rsidP="0089763A">
      <w:pPr>
        <w:ind w:left="720"/>
        <w:rPr>
          <w:bCs/>
          <w:szCs w:val="22"/>
        </w:rPr>
      </w:pPr>
      <w:r>
        <w:rPr>
          <w:bCs/>
          <w:szCs w:val="22"/>
        </w:rPr>
        <w:t>The sponsor had no comment.</w:t>
      </w:r>
    </w:p>
    <w:p w:rsidR="007C4503" w:rsidRPr="006D54A5" w:rsidRDefault="007C4503">
      <w:pPr>
        <w:widowControl/>
        <w:jc w:val="left"/>
        <w:rPr>
          <w:bCs/>
          <w:szCs w:val="22"/>
        </w:rPr>
      </w:pPr>
    </w:p>
    <w:sectPr w:rsidR="007C4503" w:rsidRPr="006D54A5" w:rsidSect="00FB5949">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E47" w:rsidRDefault="00F24E47" w:rsidP="00124A51">
      <w:r>
        <w:separator/>
      </w:r>
    </w:p>
  </w:endnote>
  <w:endnote w:type="continuationSeparator" w:id="0">
    <w:p w:rsidR="00F24E47" w:rsidRDefault="00F24E4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s Gothic MT">
    <w:altName w:val="Segoe Scrip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47" w:rsidRDefault="00F24E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992724"/>
      <w:docPartObj>
        <w:docPartGallery w:val="Page Numbers (Bottom of Page)"/>
        <w:docPartUnique/>
      </w:docPartObj>
    </w:sdtPr>
    <w:sdtEndPr>
      <w:rPr>
        <w:noProof/>
      </w:rPr>
    </w:sdtEndPr>
    <w:sdtContent>
      <w:p w:rsidR="00F24E47" w:rsidRDefault="00F24E47">
        <w:pPr>
          <w:pStyle w:val="Footer"/>
          <w:jc w:val="center"/>
        </w:pPr>
        <w:r>
          <w:fldChar w:fldCharType="begin"/>
        </w:r>
        <w:r>
          <w:instrText xml:space="preserve"> PAGE   \* MERGEFORMAT </w:instrText>
        </w:r>
        <w:r>
          <w:fldChar w:fldCharType="separate"/>
        </w:r>
        <w:r w:rsidR="0018573A">
          <w:rPr>
            <w:noProof/>
          </w:rPr>
          <w:t>2</w:t>
        </w:r>
        <w:r>
          <w:rPr>
            <w:noProof/>
          </w:rPr>
          <w:fldChar w:fldCharType="end"/>
        </w:r>
      </w:p>
    </w:sdtContent>
  </w:sdt>
  <w:p w:rsidR="00F24E47" w:rsidRPr="00EC6073" w:rsidRDefault="00F24E47">
    <w:pPr>
      <w:pStyle w:val="Foo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47" w:rsidRDefault="00F24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E47" w:rsidRDefault="00F24E47" w:rsidP="00124A51">
      <w:r>
        <w:separator/>
      </w:r>
    </w:p>
  </w:footnote>
  <w:footnote w:type="continuationSeparator" w:id="0">
    <w:p w:rsidR="00F24E47" w:rsidRDefault="00F24E47"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47" w:rsidRDefault="00F24E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47" w:rsidRPr="00450015" w:rsidRDefault="00F24E47" w:rsidP="00AC33C1">
    <w:pPr>
      <w:pStyle w:val="Header"/>
      <w:jc w:val="center"/>
    </w:pPr>
    <w:r w:rsidRPr="00C666B2">
      <w:rPr>
        <w:i/>
        <w:color w:val="808080"/>
      </w:rPr>
      <w:t>Public Summary Document – November 2015 PBAC Meeting</w:t>
    </w:r>
  </w:p>
  <w:p w:rsidR="00F24E47" w:rsidRDefault="00F24E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47" w:rsidRDefault="00F24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042"/>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5352B"/>
    <w:multiLevelType w:val="multilevel"/>
    <w:tmpl w:val="D40C7C50"/>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7956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D7044A9"/>
    <w:multiLevelType w:val="multilevel"/>
    <w:tmpl w:val="137CC178"/>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E760688"/>
    <w:multiLevelType w:val="hybridMultilevel"/>
    <w:tmpl w:val="91E6B5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C761946"/>
    <w:multiLevelType w:val="hybridMultilevel"/>
    <w:tmpl w:val="6C160A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1">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2">
    <w:nsid w:val="2A7462B1"/>
    <w:multiLevelType w:val="hybridMultilevel"/>
    <w:tmpl w:val="B9AC6A42"/>
    <w:lvl w:ilvl="0" w:tplc="FDCE59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382E8C"/>
    <w:multiLevelType w:val="multilevel"/>
    <w:tmpl w:val="0E5A0254"/>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BEF3982"/>
    <w:multiLevelType w:val="hybridMultilevel"/>
    <w:tmpl w:val="F08CB9A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5">
    <w:nsid w:val="33C0778E"/>
    <w:multiLevelType w:val="multilevel"/>
    <w:tmpl w:val="AAD431D4"/>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5E006C1"/>
    <w:multiLevelType w:val="hybridMultilevel"/>
    <w:tmpl w:val="8ADCAF52"/>
    <w:lvl w:ilvl="0" w:tplc="1E44919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D170E3"/>
    <w:multiLevelType w:val="hybridMultilevel"/>
    <w:tmpl w:val="97C0171C"/>
    <w:lvl w:ilvl="0" w:tplc="EC369BBA">
      <w:start w:val="1"/>
      <w:numFmt w:val="decimal"/>
      <w:lvlText w:val="5.%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8F7155A"/>
    <w:multiLevelType w:val="hybridMultilevel"/>
    <w:tmpl w:val="B4F47412"/>
    <w:lvl w:ilvl="0" w:tplc="FDCE59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BD50FFA"/>
    <w:multiLevelType w:val="hybridMultilevel"/>
    <w:tmpl w:val="20F4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3">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967490B"/>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7">
    <w:nsid w:val="4BB701FA"/>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0896EA3"/>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nsid w:val="57DD7FB3"/>
    <w:multiLevelType w:val="multilevel"/>
    <w:tmpl w:val="146CB422"/>
    <w:lvl w:ilvl="0">
      <w:start w:val="3"/>
      <w:numFmt w:val="decimal"/>
      <w:lvlText w:val="%1"/>
      <w:lvlJc w:val="left"/>
      <w:pPr>
        <w:ind w:left="720" w:hanging="720"/>
      </w:pPr>
      <w:rPr>
        <w:rFonts w:hint="default"/>
        <w:b/>
      </w:rPr>
    </w:lvl>
    <w:lvl w:ilvl="1">
      <w:start w:val="1"/>
      <w:numFmt w:val="decimal"/>
      <w:lvlText w:val="4.%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9BC5196"/>
    <w:multiLevelType w:val="multilevel"/>
    <w:tmpl w:val="AC24727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BE0679C"/>
    <w:multiLevelType w:val="hybridMultilevel"/>
    <w:tmpl w:val="2E7A52EE"/>
    <w:lvl w:ilvl="0" w:tplc="FDCE59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DAD039C"/>
    <w:multiLevelType w:val="multilevel"/>
    <w:tmpl w:val="89B422EE"/>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4FB3692"/>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6187187"/>
    <w:multiLevelType w:val="hybridMultilevel"/>
    <w:tmpl w:val="383221B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7">
    <w:nsid w:val="696D5A41"/>
    <w:multiLevelType w:val="hybridMultilevel"/>
    <w:tmpl w:val="90105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E172EA9"/>
    <w:multiLevelType w:val="hybridMultilevel"/>
    <w:tmpl w:val="C2AA7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1854587"/>
    <w:multiLevelType w:val="multilevel"/>
    <w:tmpl w:val="146CB422"/>
    <w:lvl w:ilvl="0">
      <w:start w:val="3"/>
      <w:numFmt w:val="decimal"/>
      <w:lvlText w:val="%1"/>
      <w:lvlJc w:val="left"/>
      <w:pPr>
        <w:ind w:left="720" w:hanging="720"/>
      </w:pPr>
      <w:rPr>
        <w:rFonts w:hint="default"/>
        <w:b/>
      </w:rPr>
    </w:lvl>
    <w:lvl w:ilvl="1">
      <w:start w:val="1"/>
      <w:numFmt w:val="decimal"/>
      <w:lvlText w:val="4.%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25C0150"/>
    <w:multiLevelType w:val="multilevel"/>
    <w:tmpl w:val="9B6E4D64"/>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566237F"/>
    <w:multiLevelType w:val="hybridMultilevel"/>
    <w:tmpl w:val="0C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84D033C"/>
    <w:multiLevelType w:val="multilevel"/>
    <w:tmpl w:val="A080E9C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EF55792"/>
    <w:multiLevelType w:val="hybridMultilevel"/>
    <w:tmpl w:val="70A6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34"/>
  </w:num>
  <w:num w:numId="4">
    <w:abstractNumId w:val="3"/>
  </w:num>
  <w:num w:numId="5">
    <w:abstractNumId w:val="22"/>
  </w:num>
  <w:num w:numId="6">
    <w:abstractNumId w:val="17"/>
  </w:num>
  <w:num w:numId="7">
    <w:abstractNumId w:val="36"/>
  </w:num>
  <w:num w:numId="8">
    <w:abstractNumId w:val="41"/>
  </w:num>
  <w:num w:numId="9">
    <w:abstractNumId w:val="11"/>
  </w:num>
  <w:num w:numId="10">
    <w:abstractNumId w:val="10"/>
  </w:num>
  <w:num w:numId="11">
    <w:abstractNumId w:val="7"/>
  </w:num>
  <w:num w:numId="12">
    <w:abstractNumId w:val="44"/>
  </w:num>
  <w:num w:numId="13">
    <w:abstractNumId w:val="26"/>
  </w:num>
  <w:num w:numId="14">
    <w:abstractNumId w:val="23"/>
  </w:num>
  <w:num w:numId="15">
    <w:abstractNumId w:val="43"/>
  </w:num>
  <w:num w:numId="16">
    <w:abstractNumId w:val="20"/>
  </w:num>
  <w:num w:numId="17">
    <w:abstractNumId w:val="1"/>
  </w:num>
  <w:num w:numId="18">
    <w:abstractNumId w:val="42"/>
  </w:num>
  <w:num w:numId="19">
    <w:abstractNumId w:val="31"/>
  </w:num>
  <w:num w:numId="20">
    <w:abstractNumId w:val="29"/>
  </w:num>
  <w:num w:numId="21">
    <w:abstractNumId w:val="25"/>
  </w:num>
  <w:num w:numId="22">
    <w:abstractNumId w:val="13"/>
  </w:num>
  <w:num w:numId="23">
    <w:abstractNumId w:val="40"/>
  </w:num>
  <w:num w:numId="24">
    <w:abstractNumId w:val="15"/>
  </w:num>
  <w:num w:numId="25">
    <w:abstractNumId w:val="28"/>
  </w:num>
  <w:num w:numId="26">
    <w:abstractNumId w:val="33"/>
  </w:num>
  <w:num w:numId="27">
    <w:abstractNumId w:val="35"/>
  </w:num>
  <w:num w:numId="28">
    <w:abstractNumId w:val="16"/>
  </w:num>
  <w:num w:numId="29">
    <w:abstractNumId w:val="27"/>
  </w:num>
  <w:num w:numId="30">
    <w:abstractNumId w:val="4"/>
  </w:num>
  <w:num w:numId="31">
    <w:abstractNumId w:val="9"/>
  </w:num>
  <w:num w:numId="32">
    <w:abstractNumId w:val="0"/>
  </w:num>
  <w:num w:numId="33">
    <w:abstractNumId w:val="2"/>
  </w:num>
  <w:num w:numId="34">
    <w:abstractNumId w:val="39"/>
  </w:num>
  <w:num w:numId="35">
    <w:abstractNumId w:val="30"/>
  </w:num>
  <w:num w:numId="36">
    <w:abstractNumId w:val="18"/>
  </w:num>
  <w:num w:numId="37">
    <w:abstractNumId w:val="6"/>
  </w:num>
  <w:num w:numId="38">
    <w:abstractNumId w:val="21"/>
  </w:num>
  <w:num w:numId="39">
    <w:abstractNumId w:val="38"/>
  </w:num>
  <w:num w:numId="40">
    <w:abstractNumId w:val="37"/>
  </w:num>
  <w:num w:numId="41">
    <w:abstractNumId w:val="12"/>
  </w:num>
  <w:num w:numId="42">
    <w:abstractNumId w:val="19"/>
  </w:num>
  <w:num w:numId="43">
    <w:abstractNumId w:val="32"/>
  </w:num>
  <w:num w:numId="44">
    <w:abstractNumId w:val="14"/>
  </w:num>
  <w:num w:numId="45">
    <w:abstractNumId w:val="5"/>
  </w:num>
  <w:num w:numId="46">
    <w:abstractNumId w:val="42"/>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11B84"/>
    <w:rsid w:val="00013247"/>
    <w:rsid w:val="0001332E"/>
    <w:rsid w:val="00015886"/>
    <w:rsid w:val="00015B24"/>
    <w:rsid w:val="000162EF"/>
    <w:rsid w:val="00017441"/>
    <w:rsid w:val="00017817"/>
    <w:rsid w:val="0002225F"/>
    <w:rsid w:val="00023512"/>
    <w:rsid w:val="00023763"/>
    <w:rsid w:val="00027631"/>
    <w:rsid w:val="00030723"/>
    <w:rsid w:val="00030998"/>
    <w:rsid w:val="000367B3"/>
    <w:rsid w:val="00040895"/>
    <w:rsid w:val="000411F4"/>
    <w:rsid w:val="000425A1"/>
    <w:rsid w:val="00043744"/>
    <w:rsid w:val="0004389D"/>
    <w:rsid w:val="00043C37"/>
    <w:rsid w:val="00046377"/>
    <w:rsid w:val="00051289"/>
    <w:rsid w:val="000546D7"/>
    <w:rsid w:val="00054DB8"/>
    <w:rsid w:val="00055438"/>
    <w:rsid w:val="0006685E"/>
    <w:rsid w:val="00071248"/>
    <w:rsid w:val="000720B9"/>
    <w:rsid w:val="000731F6"/>
    <w:rsid w:val="000812CA"/>
    <w:rsid w:val="0008305D"/>
    <w:rsid w:val="00090C7E"/>
    <w:rsid w:val="00094618"/>
    <w:rsid w:val="000A1E7D"/>
    <w:rsid w:val="000A7A02"/>
    <w:rsid w:val="000B07A8"/>
    <w:rsid w:val="000C5125"/>
    <w:rsid w:val="000D01DC"/>
    <w:rsid w:val="000D1476"/>
    <w:rsid w:val="000D18D1"/>
    <w:rsid w:val="000D1BFC"/>
    <w:rsid w:val="000D2A6B"/>
    <w:rsid w:val="000D4A1A"/>
    <w:rsid w:val="000D6159"/>
    <w:rsid w:val="000D676A"/>
    <w:rsid w:val="000E022E"/>
    <w:rsid w:val="000E0A43"/>
    <w:rsid w:val="000F4BB8"/>
    <w:rsid w:val="000F6141"/>
    <w:rsid w:val="000F7127"/>
    <w:rsid w:val="00100068"/>
    <w:rsid w:val="00100E56"/>
    <w:rsid w:val="00100F8A"/>
    <w:rsid w:val="001019A1"/>
    <w:rsid w:val="0010487C"/>
    <w:rsid w:val="0011032E"/>
    <w:rsid w:val="00111E8E"/>
    <w:rsid w:val="00111F56"/>
    <w:rsid w:val="00113463"/>
    <w:rsid w:val="0011348B"/>
    <w:rsid w:val="00117690"/>
    <w:rsid w:val="00121554"/>
    <w:rsid w:val="00121799"/>
    <w:rsid w:val="001222FC"/>
    <w:rsid w:val="00124A51"/>
    <w:rsid w:val="00126621"/>
    <w:rsid w:val="001301E9"/>
    <w:rsid w:val="00137645"/>
    <w:rsid w:val="0014015A"/>
    <w:rsid w:val="00140E99"/>
    <w:rsid w:val="00141F18"/>
    <w:rsid w:val="00142819"/>
    <w:rsid w:val="00143AAB"/>
    <w:rsid w:val="00145540"/>
    <w:rsid w:val="001455AE"/>
    <w:rsid w:val="001456B0"/>
    <w:rsid w:val="00145CAB"/>
    <w:rsid w:val="00150B6F"/>
    <w:rsid w:val="00153525"/>
    <w:rsid w:val="00154377"/>
    <w:rsid w:val="00157130"/>
    <w:rsid w:val="00157247"/>
    <w:rsid w:val="00162913"/>
    <w:rsid w:val="00163EFF"/>
    <w:rsid w:val="001661FB"/>
    <w:rsid w:val="00170DC4"/>
    <w:rsid w:val="00173A63"/>
    <w:rsid w:val="00176B15"/>
    <w:rsid w:val="00177672"/>
    <w:rsid w:val="001856E4"/>
    <w:rsid w:val="0018573A"/>
    <w:rsid w:val="0018752F"/>
    <w:rsid w:val="00195222"/>
    <w:rsid w:val="001975D8"/>
    <w:rsid w:val="001A263E"/>
    <w:rsid w:val="001A34A7"/>
    <w:rsid w:val="001A567B"/>
    <w:rsid w:val="001B223D"/>
    <w:rsid w:val="001B3263"/>
    <w:rsid w:val="001B3443"/>
    <w:rsid w:val="001B69FE"/>
    <w:rsid w:val="001B749F"/>
    <w:rsid w:val="001B7A8D"/>
    <w:rsid w:val="001C6E66"/>
    <w:rsid w:val="001D0789"/>
    <w:rsid w:val="001D081B"/>
    <w:rsid w:val="001D2B51"/>
    <w:rsid w:val="001E2361"/>
    <w:rsid w:val="001E238E"/>
    <w:rsid w:val="001E2B1E"/>
    <w:rsid w:val="001E4041"/>
    <w:rsid w:val="001E52EB"/>
    <w:rsid w:val="001E740C"/>
    <w:rsid w:val="001F0683"/>
    <w:rsid w:val="001F1235"/>
    <w:rsid w:val="001F1CB3"/>
    <w:rsid w:val="001F1F7D"/>
    <w:rsid w:val="001F4487"/>
    <w:rsid w:val="001F7255"/>
    <w:rsid w:val="001F7361"/>
    <w:rsid w:val="00201493"/>
    <w:rsid w:val="00202F4E"/>
    <w:rsid w:val="0020385F"/>
    <w:rsid w:val="00203F9F"/>
    <w:rsid w:val="00207021"/>
    <w:rsid w:val="00207D00"/>
    <w:rsid w:val="002105C1"/>
    <w:rsid w:val="002119DD"/>
    <w:rsid w:val="0021376F"/>
    <w:rsid w:val="00223682"/>
    <w:rsid w:val="00223A95"/>
    <w:rsid w:val="00223B49"/>
    <w:rsid w:val="0022494C"/>
    <w:rsid w:val="00224DD4"/>
    <w:rsid w:val="00226A17"/>
    <w:rsid w:val="002303F5"/>
    <w:rsid w:val="002309CC"/>
    <w:rsid w:val="00234104"/>
    <w:rsid w:val="00237923"/>
    <w:rsid w:val="00242984"/>
    <w:rsid w:val="00243639"/>
    <w:rsid w:val="00252741"/>
    <w:rsid w:val="00252DFB"/>
    <w:rsid w:val="00254DCF"/>
    <w:rsid w:val="0025534B"/>
    <w:rsid w:val="002553A2"/>
    <w:rsid w:val="00255BB7"/>
    <w:rsid w:val="00262A87"/>
    <w:rsid w:val="002655AF"/>
    <w:rsid w:val="00266F2E"/>
    <w:rsid w:val="00270910"/>
    <w:rsid w:val="00275C5A"/>
    <w:rsid w:val="00276F53"/>
    <w:rsid w:val="00277F0D"/>
    <w:rsid w:val="00281014"/>
    <w:rsid w:val="00282CE7"/>
    <w:rsid w:val="0028575D"/>
    <w:rsid w:val="002903A4"/>
    <w:rsid w:val="00294D18"/>
    <w:rsid w:val="002A0829"/>
    <w:rsid w:val="002A14AB"/>
    <w:rsid w:val="002A1DE3"/>
    <w:rsid w:val="002A2D27"/>
    <w:rsid w:val="002A3603"/>
    <w:rsid w:val="002A5741"/>
    <w:rsid w:val="002B1C1F"/>
    <w:rsid w:val="002B432F"/>
    <w:rsid w:val="002B6CCE"/>
    <w:rsid w:val="002B7398"/>
    <w:rsid w:val="002B7FE4"/>
    <w:rsid w:val="002C2775"/>
    <w:rsid w:val="002C27C1"/>
    <w:rsid w:val="002C5319"/>
    <w:rsid w:val="002D4307"/>
    <w:rsid w:val="002D712D"/>
    <w:rsid w:val="002E5562"/>
    <w:rsid w:val="002F021B"/>
    <w:rsid w:val="002F12BB"/>
    <w:rsid w:val="00301017"/>
    <w:rsid w:val="0030786C"/>
    <w:rsid w:val="0031031A"/>
    <w:rsid w:val="003105CE"/>
    <w:rsid w:val="00310981"/>
    <w:rsid w:val="00311838"/>
    <w:rsid w:val="00315498"/>
    <w:rsid w:val="003213D2"/>
    <w:rsid w:val="003366C9"/>
    <w:rsid w:val="003371B0"/>
    <w:rsid w:val="0034482A"/>
    <w:rsid w:val="00346010"/>
    <w:rsid w:val="0034680E"/>
    <w:rsid w:val="00355262"/>
    <w:rsid w:val="00355BBA"/>
    <w:rsid w:val="0035620E"/>
    <w:rsid w:val="00356C61"/>
    <w:rsid w:val="00362FD3"/>
    <w:rsid w:val="00363DCB"/>
    <w:rsid w:val="0037140A"/>
    <w:rsid w:val="003733AF"/>
    <w:rsid w:val="00375880"/>
    <w:rsid w:val="0038365C"/>
    <w:rsid w:val="0038799A"/>
    <w:rsid w:val="0039012A"/>
    <w:rsid w:val="0039179A"/>
    <w:rsid w:val="00391A3E"/>
    <w:rsid w:val="00393A51"/>
    <w:rsid w:val="00395C4D"/>
    <w:rsid w:val="00396FD0"/>
    <w:rsid w:val="003A1A7A"/>
    <w:rsid w:val="003A460F"/>
    <w:rsid w:val="003A681A"/>
    <w:rsid w:val="003B2F43"/>
    <w:rsid w:val="003B4F78"/>
    <w:rsid w:val="003C3D61"/>
    <w:rsid w:val="003C6EDA"/>
    <w:rsid w:val="003C7FFD"/>
    <w:rsid w:val="003D0563"/>
    <w:rsid w:val="003D1828"/>
    <w:rsid w:val="003D2422"/>
    <w:rsid w:val="003D2A4C"/>
    <w:rsid w:val="003D5145"/>
    <w:rsid w:val="003E0010"/>
    <w:rsid w:val="003E0C57"/>
    <w:rsid w:val="003E1562"/>
    <w:rsid w:val="003F4156"/>
    <w:rsid w:val="003F4DA5"/>
    <w:rsid w:val="003F4DAF"/>
    <w:rsid w:val="00407617"/>
    <w:rsid w:val="00410594"/>
    <w:rsid w:val="00410708"/>
    <w:rsid w:val="00410EC7"/>
    <w:rsid w:val="00414476"/>
    <w:rsid w:val="00420B9F"/>
    <w:rsid w:val="00422713"/>
    <w:rsid w:val="004314F9"/>
    <w:rsid w:val="004319F8"/>
    <w:rsid w:val="00433044"/>
    <w:rsid w:val="004443A7"/>
    <w:rsid w:val="00444E9D"/>
    <w:rsid w:val="004464EB"/>
    <w:rsid w:val="004469E4"/>
    <w:rsid w:val="00455D45"/>
    <w:rsid w:val="004613BE"/>
    <w:rsid w:val="00464595"/>
    <w:rsid w:val="004645EE"/>
    <w:rsid w:val="004668E9"/>
    <w:rsid w:val="00481B3A"/>
    <w:rsid w:val="004867E2"/>
    <w:rsid w:val="00491B3A"/>
    <w:rsid w:val="00491BA2"/>
    <w:rsid w:val="00492CFD"/>
    <w:rsid w:val="0049468B"/>
    <w:rsid w:val="0049567E"/>
    <w:rsid w:val="004962D2"/>
    <w:rsid w:val="00497FBE"/>
    <w:rsid w:val="004A0DA1"/>
    <w:rsid w:val="004A351F"/>
    <w:rsid w:val="004A3BDE"/>
    <w:rsid w:val="004A501C"/>
    <w:rsid w:val="004A5088"/>
    <w:rsid w:val="004A6597"/>
    <w:rsid w:val="004A769C"/>
    <w:rsid w:val="004B0758"/>
    <w:rsid w:val="004B0902"/>
    <w:rsid w:val="004B1CB4"/>
    <w:rsid w:val="004B2F18"/>
    <w:rsid w:val="004B39ED"/>
    <w:rsid w:val="004B3DDB"/>
    <w:rsid w:val="004B44FD"/>
    <w:rsid w:val="004B5BC7"/>
    <w:rsid w:val="004B5CFC"/>
    <w:rsid w:val="004B628A"/>
    <w:rsid w:val="004B7F7D"/>
    <w:rsid w:val="004C4AED"/>
    <w:rsid w:val="004C6088"/>
    <w:rsid w:val="004D3E59"/>
    <w:rsid w:val="004D5A1E"/>
    <w:rsid w:val="004E0EB8"/>
    <w:rsid w:val="004E2ADC"/>
    <w:rsid w:val="004E43B2"/>
    <w:rsid w:val="004E4A32"/>
    <w:rsid w:val="004E4B68"/>
    <w:rsid w:val="004F1D02"/>
    <w:rsid w:val="004F22C6"/>
    <w:rsid w:val="004F2679"/>
    <w:rsid w:val="004F6AC5"/>
    <w:rsid w:val="004F7865"/>
    <w:rsid w:val="004F787A"/>
    <w:rsid w:val="0050214B"/>
    <w:rsid w:val="00506928"/>
    <w:rsid w:val="005152B5"/>
    <w:rsid w:val="005155F5"/>
    <w:rsid w:val="00515A8A"/>
    <w:rsid w:val="00515F92"/>
    <w:rsid w:val="00521319"/>
    <w:rsid w:val="00523C28"/>
    <w:rsid w:val="00524DC7"/>
    <w:rsid w:val="00527A1E"/>
    <w:rsid w:val="005309DF"/>
    <w:rsid w:val="00530EAA"/>
    <w:rsid w:val="00532BF0"/>
    <w:rsid w:val="00536AD9"/>
    <w:rsid w:val="00540DDB"/>
    <w:rsid w:val="0054356B"/>
    <w:rsid w:val="00544B30"/>
    <w:rsid w:val="00545CB0"/>
    <w:rsid w:val="00551EFB"/>
    <w:rsid w:val="005521B8"/>
    <w:rsid w:val="005527EF"/>
    <w:rsid w:val="00552BD3"/>
    <w:rsid w:val="005540FB"/>
    <w:rsid w:val="00555109"/>
    <w:rsid w:val="00555EAF"/>
    <w:rsid w:val="00562EBE"/>
    <w:rsid w:val="0056696F"/>
    <w:rsid w:val="00574858"/>
    <w:rsid w:val="00575D8D"/>
    <w:rsid w:val="00576972"/>
    <w:rsid w:val="00583699"/>
    <w:rsid w:val="00583EE4"/>
    <w:rsid w:val="0059653B"/>
    <w:rsid w:val="005A1332"/>
    <w:rsid w:val="005A2E4A"/>
    <w:rsid w:val="005A50F5"/>
    <w:rsid w:val="005B07E0"/>
    <w:rsid w:val="005B09C7"/>
    <w:rsid w:val="005B5857"/>
    <w:rsid w:val="005C050B"/>
    <w:rsid w:val="005C191B"/>
    <w:rsid w:val="005C1B83"/>
    <w:rsid w:val="005C2EB9"/>
    <w:rsid w:val="005C32D4"/>
    <w:rsid w:val="005C346B"/>
    <w:rsid w:val="005D044D"/>
    <w:rsid w:val="005D18AD"/>
    <w:rsid w:val="005D448E"/>
    <w:rsid w:val="005D6E3A"/>
    <w:rsid w:val="005E3C38"/>
    <w:rsid w:val="005E6D14"/>
    <w:rsid w:val="005E73C0"/>
    <w:rsid w:val="005F2706"/>
    <w:rsid w:val="005F422D"/>
    <w:rsid w:val="005F5CCD"/>
    <w:rsid w:val="005F6A8F"/>
    <w:rsid w:val="005F7A62"/>
    <w:rsid w:val="00603C07"/>
    <w:rsid w:val="00606A04"/>
    <w:rsid w:val="00607669"/>
    <w:rsid w:val="00611A13"/>
    <w:rsid w:val="00612F97"/>
    <w:rsid w:val="00616802"/>
    <w:rsid w:val="00617E12"/>
    <w:rsid w:val="00621477"/>
    <w:rsid w:val="006236B9"/>
    <w:rsid w:val="00631D6B"/>
    <w:rsid w:val="00632476"/>
    <w:rsid w:val="0063479F"/>
    <w:rsid w:val="006350B6"/>
    <w:rsid w:val="006364A1"/>
    <w:rsid w:val="00637BFD"/>
    <w:rsid w:val="006418CB"/>
    <w:rsid w:val="006432D0"/>
    <w:rsid w:val="00646318"/>
    <w:rsid w:val="006471CC"/>
    <w:rsid w:val="0065079F"/>
    <w:rsid w:val="00653F40"/>
    <w:rsid w:val="00662B12"/>
    <w:rsid w:val="00663787"/>
    <w:rsid w:val="006665FE"/>
    <w:rsid w:val="00674C5D"/>
    <w:rsid w:val="00674E42"/>
    <w:rsid w:val="00675FB0"/>
    <w:rsid w:val="00677159"/>
    <w:rsid w:val="006778AB"/>
    <w:rsid w:val="00682112"/>
    <w:rsid w:val="006872BA"/>
    <w:rsid w:val="006917D7"/>
    <w:rsid w:val="00692C79"/>
    <w:rsid w:val="00694F44"/>
    <w:rsid w:val="006A7456"/>
    <w:rsid w:val="006B3EBF"/>
    <w:rsid w:val="006B3F04"/>
    <w:rsid w:val="006B684D"/>
    <w:rsid w:val="006C20F9"/>
    <w:rsid w:val="006C2A8E"/>
    <w:rsid w:val="006D3C7D"/>
    <w:rsid w:val="006D54A5"/>
    <w:rsid w:val="006D5D5F"/>
    <w:rsid w:val="006E2E28"/>
    <w:rsid w:val="006E5580"/>
    <w:rsid w:val="006E64B0"/>
    <w:rsid w:val="006E7FF4"/>
    <w:rsid w:val="006F63A5"/>
    <w:rsid w:val="007000D5"/>
    <w:rsid w:val="007000EC"/>
    <w:rsid w:val="00702284"/>
    <w:rsid w:val="0070276E"/>
    <w:rsid w:val="00702A85"/>
    <w:rsid w:val="00702F8F"/>
    <w:rsid w:val="00704D4A"/>
    <w:rsid w:val="0070601A"/>
    <w:rsid w:val="0070736E"/>
    <w:rsid w:val="00707FFA"/>
    <w:rsid w:val="00711A36"/>
    <w:rsid w:val="00714204"/>
    <w:rsid w:val="0071590B"/>
    <w:rsid w:val="007172AD"/>
    <w:rsid w:val="0072082E"/>
    <w:rsid w:val="0072416F"/>
    <w:rsid w:val="0072490E"/>
    <w:rsid w:val="00727FEC"/>
    <w:rsid w:val="00731937"/>
    <w:rsid w:val="00731FB0"/>
    <w:rsid w:val="00732C6D"/>
    <w:rsid w:val="00732CDB"/>
    <w:rsid w:val="00734B34"/>
    <w:rsid w:val="00735328"/>
    <w:rsid w:val="0073685B"/>
    <w:rsid w:val="00737261"/>
    <w:rsid w:val="00740399"/>
    <w:rsid w:val="00745084"/>
    <w:rsid w:val="00760179"/>
    <w:rsid w:val="00762E96"/>
    <w:rsid w:val="00763442"/>
    <w:rsid w:val="007656A0"/>
    <w:rsid w:val="00774113"/>
    <w:rsid w:val="0078791F"/>
    <w:rsid w:val="0079556F"/>
    <w:rsid w:val="007A088B"/>
    <w:rsid w:val="007A0A12"/>
    <w:rsid w:val="007A45FC"/>
    <w:rsid w:val="007B251D"/>
    <w:rsid w:val="007B29EC"/>
    <w:rsid w:val="007B58A4"/>
    <w:rsid w:val="007B77D1"/>
    <w:rsid w:val="007C361D"/>
    <w:rsid w:val="007C408E"/>
    <w:rsid w:val="007C4503"/>
    <w:rsid w:val="007C5391"/>
    <w:rsid w:val="007C6455"/>
    <w:rsid w:val="007C6667"/>
    <w:rsid w:val="007C7C25"/>
    <w:rsid w:val="007D0B38"/>
    <w:rsid w:val="007D6C80"/>
    <w:rsid w:val="007E20AD"/>
    <w:rsid w:val="007E3636"/>
    <w:rsid w:val="007E54B9"/>
    <w:rsid w:val="007E765E"/>
    <w:rsid w:val="007F0A56"/>
    <w:rsid w:val="007F1017"/>
    <w:rsid w:val="007F17A4"/>
    <w:rsid w:val="007F23AF"/>
    <w:rsid w:val="007F39B8"/>
    <w:rsid w:val="007F3B19"/>
    <w:rsid w:val="007F4A3F"/>
    <w:rsid w:val="0080015C"/>
    <w:rsid w:val="0080245D"/>
    <w:rsid w:val="0080445B"/>
    <w:rsid w:val="00805142"/>
    <w:rsid w:val="008060E5"/>
    <w:rsid w:val="00807A8B"/>
    <w:rsid w:val="00810162"/>
    <w:rsid w:val="00811DAB"/>
    <w:rsid w:val="00812149"/>
    <w:rsid w:val="008166EF"/>
    <w:rsid w:val="008264EB"/>
    <w:rsid w:val="00832612"/>
    <w:rsid w:val="00832B65"/>
    <w:rsid w:val="00833642"/>
    <w:rsid w:val="00833B05"/>
    <w:rsid w:val="00833E94"/>
    <w:rsid w:val="00834C4D"/>
    <w:rsid w:val="00840CA2"/>
    <w:rsid w:val="0084246B"/>
    <w:rsid w:val="008440C9"/>
    <w:rsid w:val="0085067B"/>
    <w:rsid w:val="00856E9A"/>
    <w:rsid w:val="00862502"/>
    <w:rsid w:val="00865383"/>
    <w:rsid w:val="008804EE"/>
    <w:rsid w:val="008812FE"/>
    <w:rsid w:val="00882874"/>
    <w:rsid w:val="00883136"/>
    <w:rsid w:val="00883787"/>
    <w:rsid w:val="00886D0A"/>
    <w:rsid w:val="00887111"/>
    <w:rsid w:val="00887B85"/>
    <w:rsid w:val="00890CC7"/>
    <w:rsid w:val="008913CC"/>
    <w:rsid w:val="00894489"/>
    <w:rsid w:val="00895A9A"/>
    <w:rsid w:val="008963A5"/>
    <w:rsid w:val="00896F30"/>
    <w:rsid w:val="0089763A"/>
    <w:rsid w:val="008976AF"/>
    <w:rsid w:val="008A014B"/>
    <w:rsid w:val="008A39FC"/>
    <w:rsid w:val="008A3C3E"/>
    <w:rsid w:val="008A4B25"/>
    <w:rsid w:val="008A79DE"/>
    <w:rsid w:val="008B3088"/>
    <w:rsid w:val="008B7D1F"/>
    <w:rsid w:val="008B7D7E"/>
    <w:rsid w:val="008C61EA"/>
    <w:rsid w:val="008C75C6"/>
    <w:rsid w:val="008C7ECB"/>
    <w:rsid w:val="008D0376"/>
    <w:rsid w:val="008D3ABB"/>
    <w:rsid w:val="008D5C22"/>
    <w:rsid w:val="008D697E"/>
    <w:rsid w:val="008E07FF"/>
    <w:rsid w:val="008E1B9E"/>
    <w:rsid w:val="008E37D5"/>
    <w:rsid w:val="008E4263"/>
    <w:rsid w:val="008E6BE7"/>
    <w:rsid w:val="008F120A"/>
    <w:rsid w:val="008F15E4"/>
    <w:rsid w:val="008F1BB1"/>
    <w:rsid w:val="008F3D1B"/>
    <w:rsid w:val="008F48A6"/>
    <w:rsid w:val="008F48EB"/>
    <w:rsid w:val="008F4F0B"/>
    <w:rsid w:val="0090431A"/>
    <w:rsid w:val="00905A3D"/>
    <w:rsid w:val="009062A5"/>
    <w:rsid w:val="00910EC0"/>
    <w:rsid w:val="00911272"/>
    <w:rsid w:val="0091135E"/>
    <w:rsid w:val="00912E11"/>
    <w:rsid w:val="00915E9E"/>
    <w:rsid w:val="00916CFC"/>
    <w:rsid w:val="009176E7"/>
    <w:rsid w:val="00921781"/>
    <w:rsid w:val="00927966"/>
    <w:rsid w:val="00931558"/>
    <w:rsid w:val="0093281D"/>
    <w:rsid w:val="009354A5"/>
    <w:rsid w:val="00935DB0"/>
    <w:rsid w:val="00936647"/>
    <w:rsid w:val="009367AC"/>
    <w:rsid w:val="00941E2C"/>
    <w:rsid w:val="00944383"/>
    <w:rsid w:val="00944D45"/>
    <w:rsid w:val="00950B02"/>
    <w:rsid w:val="0095468F"/>
    <w:rsid w:val="009548F3"/>
    <w:rsid w:val="00962710"/>
    <w:rsid w:val="00962CB9"/>
    <w:rsid w:val="00964312"/>
    <w:rsid w:val="00970110"/>
    <w:rsid w:val="00973F36"/>
    <w:rsid w:val="00980209"/>
    <w:rsid w:val="00981472"/>
    <w:rsid w:val="00982166"/>
    <w:rsid w:val="00982D49"/>
    <w:rsid w:val="00983E57"/>
    <w:rsid w:val="00987065"/>
    <w:rsid w:val="00995783"/>
    <w:rsid w:val="009957BF"/>
    <w:rsid w:val="0099686A"/>
    <w:rsid w:val="00996B1A"/>
    <w:rsid w:val="009A0C02"/>
    <w:rsid w:val="009A6D47"/>
    <w:rsid w:val="009A7FCD"/>
    <w:rsid w:val="009B197E"/>
    <w:rsid w:val="009B345B"/>
    <w:rsid w:val="009B3E26"/>
    <w:rsid w:val="009B6105"/>
    <w:rsid w:val="009D5B91"/>
    <w:rsid w:val="009E0946"/>
    <w:rsid w:val="009E1514"/>
    <w:rsid w:val="009E287A"/>
    <w:rsid w:val="009E4C07"/>
    <w:rsid w:val="009E649A"/>
    <w:rsid w:val="009F68F5"/>
    <w:rsid w:val="00A03D43"/>
    <w:rsid w:val="00A04380"/>
    <w:rsid w:val="00A07F5A"/>
    <w:rsid w:val="00A13948"/>
    <w:rsid w:val="00A143B7"/>
    <w:rsid w:val="00A14A9C"/>
    <w:rsid w:val="00A17B65"/>
    <w:rsid w:val="00A21C68"/>
    <w:rsid w:val="00A27AEC"/>
    <w:rsid w:val="00A31E14"/>
    <w:rsid w:val="00A35D16"/>
    <w:rsid w:val="00A364D3"/>
    <w:rsid w:val="00A426F2"/>
    <w:rsid w:val="00A43C59"/>
    <w:rsid w:val="00A50ECD"/>
    <w:rsid w:val="00A51CBB"/>
    <w:rsid w:val="00A52729"/>
    <w:rsid w:val="00A53675"/>
    <w:rsid w:val="00A55E7A"/>
    <w:rsid w:val="00A560D8"/>
    <w:rsid w:val="00A56B6A"/>
    <w:rsid w:val="00A575C7"/>
    <w:rsid w:val="00A578DC"/>
    <w:rsid w:val="00A6725B"/>
    <w:rsid w:val="00A74875"/>
    <w:rsid w:val="00A75F30"/>
    <w:rsid w:val="00A760D3"/>
    <w:rsid w:val="00A7755B"/>
    <w:rsid w:val="00A77FC4"/>
    <w:rsid w:val="00A825DC"/>
    <w:rsid w:val="00A8361C"/>
    <w:rsid w:val="00A85225"/>
    <w:rsid w:val="00A86E8B"/>
    <w:rsid w:val="00A916AE"/>
    <w:rsid w:val="00A91818"/>
    <w:rsid w:val="00A93072"/>
    <w:rsid w:val="00A959D8"/>
    <w:rsid w:val="00A96E76"/>
    <w:rsid w:val="00AB042A"/>
    <w:rsid w:val="00AB20B6"/>
    <w:rsid w:val="00AB2D34"/>
    <w:rsid w:val="00AB3430"/>
    <w:rsid w:val="00AB7CFA"/>
    <w:rsid w:val="00AC33C1"/>
    <w:rsid w:val="00AC4D26"/>
    <w:rsid w:val="00AD1D16"/>
    <w:rsid w:val="00AD7071"/>
    <w:rsid w:val="00AE7D13"/>
    <w:rsid w:val="00AF68DE"/>
    <w:rsid w:val="00B06AB6"/>
    <w:rsid w:val="00B072D5"/>
    <w:rsid w:val="00B17ED9"/>
    <w:rsid w:val="00B20572"/>
    <w:rsid w:val="00B246AC"/>
    <w:rsid w:val="00B42851"/>
    <w:rsid w:val="00B45674"/>
    <w:rsid w:val="00B464A8"/>
    <w:rsid w:val="00B47103"/>
    <w:rsid w:val="00B50DB8"/>
    <w:rsid w:val="00B527F0"/>
    <w:rsid w:val="00B53761"/>
    <w:rsid w:val="00B53905"/>
    <w:rsid w:val="00B54B5B"/>
    <w:rsid w:val="00B5562E"/>
    <w:rsid w:val="00B5580D"/>
    <w:rsid w:val="00B57000"/>
    <w:rsid w:val="00B60939"/>
    <w:rsid w:val="00B60AFD"/>
    <w:rsid w:val="00B62715"/>
    <w:rsid w:val="00B648EB"/>
    <w:rsid w:val="00B65578"/>
    <w:rsid w:val="00B655B3"/>
    <w:rsid w:val="00B67C0D"/>
    <w:rsid w:val="00B67E8F"/>
    <w:rsid w:val="00B818A4"/>
    <w:rsid w:val="00B8461C"/>
    <w:rsid w:val="00B8649C"/>
    <w:rsid w:val="00B90CDA"/>
    <w:rsid w:val="00B92D0B"/>
    <w:rsid w:val="00B93FE9"/>
    <w:rsid w:val="00B94945"/>
    <w:rsid w:val="00BA3E38"/>
    <w:rsid w:val="00BA48DB"/>
    <w:rsid w:val="00BB4A32"/>
    <w:rsid w:val="00BB7405"/>
    <w:rsid w:val="00BD2F50"/>
    <w:rsid w:val="00BD6CF3"/>
    <w:rsid w:val="00BE180C"/>
    <w:rsid w:val="00BE2180"/>
    <w:rsid w:val="00BE4275"/>
    <w:rsid w:val="00BE6B6B"/>
    <w:rsid w:val="00BE6F2E"/>
    <w:rsid w:val="00BF2433"/>
    <w:rsid w:val="00BF4617"/>
    <w:rsid w:val="00BF4FBC"/>
    <w:rsid w:val="00BF58E8"/>
    <w:rsid w:val="00BF61C9"/>
    <w:rsid w:val="00BF6FD1"/>
    <w:rsid w:val="00BF7844"/>
    <w:rsid w:val="00C01932"/>
    <w:rsid w:val="00C0195F"/>
    <w:rsid w:val="00C060DD"/>
    <w:rsid w:val="00C06681"/>
    <w:rsid w:val="00C12015"/>
    <w:rsid w:val="00C13B74"/>
    <w:rsid w:val="00C176C0"/>
    <w:rsid w:val="00C226B9"/>
    <w:rsid w:val="00C237DA"/>
    <w:rsid w:val="00C2395A"/>
    <w:rsid w:val="00C246AD"/>
    <w:rsid w:val="00C25418"/>
    <w:rsid w:val="00C25D9C"/>
    <w:rsid w:val="00C31649"/>
    <w:rsid w:val="00C34E2E"/>
    <w:rsid w:val="00C40385"/>
    <w:rsid w:val="00C537C9"/>
    <w:rsid w:val="00C605E4"/>
    <w:rsid w:val="00C637D8"/>
    <w:rsid w:val="00C65576"/>
    <w:rsid w:val="00C66165"/>
    <w:rsid w:val="00C66FFE"/>
    <w:rsid w:val="00C750C8"/>
    <w:rsid w:val="00C75FA7"/>
    <w:rsid w:val="00C762EA"/>
    <w:rsid w:val="00C8213F"/>
    <w:rsid w:val="00C82592"/>
    <w:rsid w:val="00C8797A"/>
    <w:rsid w:val="00C87F81"/>
    <w:rsid w:val="00C938CF"/>
    <w:rsid w:val="00C93945"/>
    <w:rsid w:val="00C95BE1"/>
    <w:rsid w:val="00C9793B"/>
    <w:rsid w:val="00CA5245"/>
    <w:rsid w:val="00CA5FAA"/>
    <w:rsid w:val="00CA7B09"/>
    <w:rsid w:val="00CB0679"/>
    <w:rsid w:val="00CB21BE"/>
    <w:rsid w:val="00CB4332"/>
    <w:rsid w:val="00CB4CBB"/>
    <w:rsid w:val="00CB5B1A"/>
    <w:rsid w:val="00CB611F"/>
    <w:rsid w:val="00CC08A1"/>
    <w:rsid w:val="00CC53FB"/>
    <w:rsid w:val="00CD5E76"/>
    <w:rsid w:val="00CD6ADC"/>
    <w:rsid w:val="00CE12D7"/>
    <w:rsid w:val="00CE37DE"/>
    <w:rsid w:val="00CE48D2"/>
    <w:rsid w:val="00CE6274"/>
    <w:rsid w:val="00CE72BD"/>
    <w:rsid w:val="00CF003D"/>
    <w:rsid w:val="00CF456B"/>
    <w:rsid w:val="00CF4D4C"/>
    <w:rsid w:val="00CF5A22"/>
    <w:rsid w:val="00D008E8"/>
    <w:rsid w:val="00D012EA"/>
    <w:rsid w:val="00D0262E"/>
    <w:rsid w:val="00D02FAE"/>
    <w:rsid w:val="00D110BD"/>
    <w:rsid w:val="00D12681"/>
    <w:rsid w:val="00D17D6C"/>
    <w:rsid w:val="00D17EFC"/>
    <w:rsid w:val="00D239DD"/>
    <w:rsid w:val="00D26AEE"/>
    <w:rsid w:val="00D300BE"/>
    <w:rsid w:val="00D32D9D"/>
    <w:rsid w:val="00D357FF"/>
    <w:rsid w:val="00D41272"/>
    <w:rsid w:val="00D5791C"/>
    <w:rsid w:val="00D6022A"/>
    <w:rsid w:val="00D60BC5"/>
    <w:rsid w:val="00D6359B"/>
    <w:rsid w:val="00D6375C"/>
    <w:rsid w:val="00D76A44"/>
    <w:rsid w:val="00D82577"/>
    <w:rsid w:val="00D84CDA"/>
    <w:rsid w:val="00D8508A"/>
    <w:rsid w:val="00D93753"/>
    <w:rsid w:val="00DA4266"/>
    <w:rsid w:val="00DA5F2C"/>
    <w:rsid w:val="00DA6C34"/>
    <w:rsid w:val="00DA77A5"/>
    <w:rsid w:val="00DB1604"/>
    <w:rsid w:val="00DB7929"/>
    <w:rsid w:val="00DC5501"/>
    <w:rsid w:val="00DD02B8"/>
    <w:rsid w:val="00DD3F28"/>
    <w:rsid w:val="00DD4537"/>
    <w:rsid w:val="00DD4E15"/>
    <w:rsid w:val="00DD717A"/>
    <w:rsid w:val="00DE4FCB"/>
    <w:rsid w:val="00DF0897"/>
    <w:rsid w:val="00DF0B1E"/>
    <w:rsid w:val="00DF10B6"/>
    <w:rsid w:val="00DF4680"/>
    <w:rsid w:val="00DF4747"/>
    <w:rsid w:val="00DF5969"/>
    <w:rsid w:val="00DF59AB"/>
    <w:rsid w:val="00DF5D2B"/>
    <w:rsid w:val="00E10149"/>
    <w:rsid w:val="00E16372"/>
    <w:rsid w:val="00E16674"/>
    <w:rsid w:val="00E20ED6"/>
    <w:rsid w:val="00E21358"/>
    <w:rsid w:val="00E2249A"/>
    <w:rsid w:val="00E2249B"/>
    <w:rsid w:val="00E22A0D"/>
    <w:rsid w:val="00E2388B"/>
    <w:rsid w:val="00E25326"/>
    <w:rsid w:val="00E257B0"/>
    <w:rsid w:val="00E2771E"/>
    <w:rsid w:val="00E331B5"/>
    <w:rsid w:val="00E367CA"/>
    <w:rsid w:val="00E36CB7"/>
    <w:rsid w:val="00E36D50"/>
    <w:rsid w:val="00E37569"/>
    <w:rsid w:val="00E37856"/>
    <w:rsid w:val="00E40DC5"/>
    <w:rsid w:val="00E41E30"/>
    <w:rsid w:val="00E436FA"/>
    <w:rsid w:val="00E43D70"/>
    <w:rsid w:val="00E451AB"/>
    <w:rsid w:val="00E4633F"/>
    <w:rsid w:val="00E46FAB"/>
    <w:rsid w:val="00E47B2C"/>
    <w:rsid w:val="00E51560"/>
    <w:rsid w:val="00E515B9"/>
    <w:rsid w:val="00E540AB"/>
    <w:rsid w:val="00E55424"/>
    <w:rsid w:val="00E55BB5"/>
    <w:rsid w:val="00E56B1E"/>
    <w:rsid w:val="00E573F6"/>
    <w:rsid w:val="00E6100C"/>
    <w:rsid w:val="00E6341B"/>
    <w:rsid w:val="00E65E79"/>
    <w:rsid w:val="00E67416"/>
    <w:rsid w:val="00E718B6"/>
    <w:rsid w:val="00E72F3F"/>
    <w:rsid w:val="00E73581"/>
    <w:rsid w:val="00E8153E"/>
    <w:rsid w:val="00E83BDF"/>
    <w:rsid w:val="00E866F8"/>
    <w:rsid w:val="00E97261"/>
    <w:rsid w:val="00EA3864"/>
    <w:rsid w:val="00EA7D3C"/>
    <w:rsid w:val="00EB15B6"/>
    <w:rsid w:val="00EB4916"/>
    <w:rsid w:val="00EB5C38"/>
    <w:rsid w:val="00EB7D55"/>
    <w:rsid w:val="00EC00C9"/>
    <w:rsid w:val="00EC30A9"/>
    <w:rsid w:val="00EC6073"/>
    <w:rsid w:val="00ED0C22"/>
    <w:rsid w:val="00EE07D3"/>
    <w:rsid w:val="00EE547E"/>
    <w:rsid w:val="00EF2C2A"/>
    <w:rsid w:val="00F067A2"/>
    <w:rsid w:val="00F07674"/>
    <w:rsid w:val="00F23A8B"/>
    <w:rsid w:val="00F24837"/>
    <w:rsid w:val="00F24AD3"/>
    <w:rsid w:val="00F24E47"/>
    <w:rsid w:val="00F2575F"/>
    <w:rsid w:val="00F33DE9"/>
    <w:rsid w:val="00F357EE"/>
    <w:rsid w:val="00F3619A"/>
    <w:rsid w:val="00F46CB6"/>
    <w:rsid w:val="00F47240"/>
    <w:rsid w:val="00F47EBC"/>
    <w:rsid w:val="00F5049E"/>
    <w:rsid w:val="00F51F11"/>
    <w:rsid w:val="00F53F62"/>
    <w:rsid w:val="00F55E73"/>
    <w:rsid w:val="00F57627"/>
    <w:rsid w:val="00F60092"/>
    <w:rsid w:val="00F613BA"/>
    <w:rsid w:val="00F63E21"/>
    <w:rsid w:val="00F72C58"/>
    <w:rsid w:val="00F734DC"/>
    <w:rsid w:val="00F73BBE"/>
    <w:rsid w:val="00F75A98"/>
    <w:rsid w:val="00F76B03"/>
    <w:rsid w:val="00F80E5D"/>
    <w:rsid w:val="00F851CE"/>
    <w:rsid w:val="00F8532D"/>
    <w:rsid w:val="00F86E81"/>
    <w:rsid w:val="00F905BF"/>
    <w:rsid w:val="00F91290"/>
    <w:rsid w:val="00F93013"/>
    <w:rsid w:val="00F959A0"/>
    <w:rsid w:val="00F960F4"/>
    <w:rsid w:val="00F96FAB"/>
    <w:rsid w:val="00F97A78"/>
    <w:rsid w:val="00FA24E7"/>
    <w:rsid w:val="00FA4214"/>
    <w:rsid w:val="00FA518A"/>
    <w:rsid w:val="00FA7A86"/>
    <w:rsid w:val="00FB2FCB"/>
    <w:rsid w:val="00FB3E34"/>
    <w:rsid w:val="00FB5949"/>
    <w:rsid w:val="00FC0CC4"/>
    <w:rsid w:val="00FC1074"/>
    <w:rsid w:val="00FC1884"/>
    <w:rsid w:val="00FC2CA1"/>
    <w:rsid w:val="00FC386E"/>
    <w:rsid w:val="00FC5021"/>
    <w:rsid w:val="00FC54F2"/>
    <w:rsid w:val="00FC63B8"/>
    <w:rsid w:val="00FD1670"/>
    <w:rsid w:val="00FD2100"/>
    <w:rsid w:val="00FD446D"/>
    <w:rsid w:val="00FD682D"/>
    <w:rsid w:val="00FE1605"/>
    <w:rsid w:val="00FE181D"/>
    <w:rsid w:val="00FE19B1"/>
    <w:rsid w:val="00FE211A"/>
    <w:rsid w:val="00FE5545"/>
    <w:rsid w:val="00FE695B"/>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B5580D"/>
    <w:rPr>
      <w:sz w:val="22"/>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653F40"/>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5580D"/>
    <w:pPr>
      <w:numPr>
        <w:numId w:val="18"/>
      </w:numPr>
      <w:outlineLvl w:val="0"/>
    </w:pPr>
    <w:rPr>
      <w:rFonts w:ascii="Arial" w:hAnsi="Arial" w:cs="Arial"/>
      <w:b/>
      <w:snapToGrid w:val="0"/>
      <w:sz w:val="32"/>
      <w:szCs w:val="22"/>
      <w:lang w:eastAsia="en-US"/>
    </w:rPr>
  </w:style>
  <w:style w:type="paragraph" w:customStyle="1" w:styleId="PBACTableFootnote">
    <w:name w:val="PBAC Table Footnote"/>
    <w:basedOn w:val="Normal"/>
    <w:link w:val="PBACTableFootnoteChar"/>
    <w:qFormat/>
    <w:rsid w:val="002A0829"/>
    <w:pPr>
      <w:widowControl/>
      <w:spacing w:before="60" w:after="200"/>
      <w:contextualSpacing/>
      <w:jc w:val="left"/>
    </w:pPr>
    <w:rPr>
      <w:rFonts w:ascii="News Gothic MT" w:eastAsia="MS Mincho" w:hAnsi="News Gothic MT" w:cs="Times New Roman"/>
      <w:snapToGrid/>
      <w:sz w:val="16"/>
      <w:szCs w:val="24"/>
      <w:lang w:val="en-US"/>
    </w:rPr>
  </w:style>
  <w:style w:type="character" w:customStyle="1" w:styleId="PBACTableFootnoteChar">
    <w:name w:val="PBAC Table Footnote Char"/>
    <w:basedOn w:val="DefaultParagraphFont"/>
    <w:link w:val="PBACTableFootnote"/>
    <w:rsid w:val="002A0829"/>
    <w:rPr>
      <w:rFonts w:ascii="News Gothic MT" w:eastAsia="MS Mincho" w:hAnsi="News Gothic MT"/>
      <w:sz w:val="16"/>
      <w:szCs w:val="24"/>
      <w:lang w:val="en-US" w:eastAsia="en-US"/>
    </w:rPr>
  </w:style>
  <w:style w:type="paragraph" w:customStyle="1" w:styleId="COMBody">
    <w:name w:val="COMBody"/>
    <w:basedOn w:val="Normal"/>
    <w:link w:val="COMBodyChar"/>
    <w:qFormat/>
    <w:rsid w:val="00935DB0"/>
    <w:pPr>
      <w:widowControl/>
    </w:pPr>
    <w:rPr>
      <w:bCs/>
      <w:snapToGrid/>
      <w:szCs w:val="22"/>
      <w:lang w:val="en-US"/>
    </w:rPr>
  </w:style>
  <w:style w:type="character" w:customStyle="1" w:styleId="COMBodyChar">
    <w:name w:val="COMBody Char"/>
    <w:link w:val="COMBody"/>
    <w:rsid w:val="00935DB0"/>
    <w:rPr>
      <w:rFonts w:ascii="Arial" w:hAnsi="Arial" w:cs="Arial"/>
      <w:bCs/>
      <w:sz w:val="22"/>
      <w:szCs w:val="22"/>
      <w:lang w:val="en-US" w:eastAsia="en-US"/>
    </w:rPr>
  </w:style>
  <w:style w:type="paragraph" w:customStyle="1" w:styleId="COMtblcap">
    <w:name w:val="COMtblcap"/>
    <w:basedOn w:val="Normal"/>
    <w:link w:val="COMtblcapChar"/>
    <w:qFormat/>
    <w:rsid w:val="00935DB0"/>
    <w:pPr>
      <w:keepNext/>
      <w:widowControl/>
    </w:pPr>
    <w:rPr>
      <w:b/>
      <w:snapToGrid/>
      <w:sz w:val="20"/>
      <w:lang w:val="en-US"/>
    </w:rPr>
  </w:style>
  <w:style w:type="character" w:customStyle="1" w:styleId="COMtblcapChar">
    <w:name w:val="COMtblcap Char"/>
    <w:link w:val="COMtblcap"/>
    <w:rsid w:val="00935DB0"/>
    <w:rPr>
      <w:rFonts w:ascii="Arial" w:hAnsi="Arial" w:cs="Arial"/>
      <w:b/>
      <w:lang w:val="en-US" w:eastAsia="en-US"/>
    </w:rPr>
  </w:style>
  <w:style w:type="paragraph" w:customStyle="1" w:styleId="PBACTableText">
    <w:name w:val="PBAC Table Text"/>
    <w:basedOn w:val="Normal"/>
    <w:link w:val="PBACTableTextChar"/>
    <w:qFormat/>
    <w:rsid w:val="001B7A8D"/>
    <w:pPr>
      <w:widowControl/>
      <w:spacing w:before="40" w:after="40"/>
      <w:jc w:val="left"/>
    </w:pPr>
    <w:rPr>
      <w:rFonts w:ascii="News Gothic MT" w:eastAsia="MS Mincho" w:hAnsi="News Gothic MT" w:cs="Times New Roman"/>
      <w:snapToGrid/>
      <w:sz w:val="20"/>
      <w:lang w:val="en-US"/>
    </w:rPr>
  </w:style>
  <w:style w:type="character" w:customStyle="1" w:styleId="PBACTableTextChar">
    <w:name w:val="PBAC Table Text Char"/>
    <w:basedOn w:val="DefaultParagraphFont"/>
    <w:link w:val="PBACTableText"/>
    <w:rsid w:val="001B7A8D"/>
    <w:rPr>
      <w:rFonts w:ascii="News Gothic MT" w:eastAsia="MS Mincho" w:hAnsi="News Gothic MT"/>
      <w:lang w:val="en-US" w:eastAsia="en-US"/>
    </w:rPr>
  </w:style>
  <w:style w:type="paragraph" w:customStyle="1" w:styleId="PBACTableTextBoldCentered">
    <w:name w:val="PBAC Table Text + Bold + Centered"/>
    <w:basedOn w:val="Normal"/>
    <w:rsid w:val="001B7A8D"/>
    <w:pPr>
      <w:keepNext/>
      <w:widowControl/>
      <w:spacing w:before="40" w:after="40"/>
      <w:jc w:val="center"/>
    </w:pPr>
    <w:rPr>
      <w:rFonts w:ascii="News Gothic MT" w:eastAsia="MS Mincho" w:hAnsi="News Gothic MT" w:cs="Times New Roman"/>
      <w:b/>
      <w:bCs/>
      <w:snapToGrid/>
      <w:sz w:val="20"/>
      <w:lang w:val="en-US"/>
    </w:rPr>
  </w:style>
  <w:style w:type="paragraph" w:customStyle="1" w:styleId="PBACTableTextBoldLeft">
    <w:name w:val="PBAC Table Text + Bold + Left"/>
    <w:basedOn w:val="PBACTableText"/>
    <w:qFormat/>
    <w:rsid w:val="00D008E8"/>
    <w:pPr>
      <w:keepNext/>
    </w:pPr>
    <w:rPr>
      <w:b/>
      <w:bCs/>
    </w:rPr>
  </w:style>
  <w:style w:type="paragraph" w:customStyle="1" w:styleId="Default">
    <w:name w:val="Default"/>
    <w:rsid w:val="00030723"/>
    <w:pPr>
      <w:autoSpaceDE w:val="0"/>
      <w:autoSpaceDN w:val="0"/>
      <w:adjustRightInd w:val="0"/>
    </w:pPr>
    <w:rPr>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451AB"/>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basedOn w:val="Heading1"/>
    <w:qFormat/>
    <w:rsid w:val="00B5580D"/>
    <w:rPr>
      <w:sz w:val="28"/>
    </w:rPr>
  </w:style>
  <w:style w:type="character" w:customStyle="1" w:styleId="ListParagraphChar">
    <w:name w:val="List Paragraph Char"/>
    <w:link w:val="ListParagraph"/>
    <w:uiPriority w:val="72"/>
    <w:locked/>
    <w:rsid w:val="00BE180C"/>
    <w:rPr>
      <w:rFonts w:ascii="Arial" w:hAnsi="Arial" w:cs="Arial"/>
      <w:snapToGrid w:val="0"/>
      <w:sz w:val="22"/>
      <w:lang w:eastAsia="en-US"/>
    </w:rPr>
  </w:style>
  <w:style w:type="character" w:styleId="IntenseReference">
    <w:name w:val="Intense Reference"/>
    <w:basedOn w:val="DefaultParagraphFont"/>
    <w:uiPriority w:val="32"/>
    <w:qFormat/>
    <w:rsid w:val="004B5BC7"/>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B5580D"/>
    <w:rPr>
      <w:sz w:val="22"/>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653F40"/>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5580D"/>
    <w:pPr>
      <w:numPr>
        <w:numId w:val="18"/>
      </w:numPr>
      <w:outlineLvl w:val="0"/>
    </w:pPr>
    <w:rPr>
      <w:rFonts w:ascii="Arial" w:hAnsi="Arial" w:cs="Arial"/>
      <w:b/>
      <w:snapToGrid w:val="0"/>
      <w:sz w:val="32"/>
      <w:szCs w:val="22"/>
      <w:lang w:eastAsia="en-US"/>
    </w:rPr>
  </w:style>
  <w:style w:type="paragraph" w:customStyle="1" w:styleId="PBACTableFootnote">
    <w:name w:val="PBAC Table Footnote"/>
    <w:basedOn w:val="Normal"/>
    <w:link w:val="PBACTableFootnoteChar"/>
    <w:qFormat/>
    <w:rsid w:val="002A0829"/>
    <w:pPr>
      <w:widowControl/>
      <w:spacing w:before="60" w:after="200"/>
      <w:contextualSpacing/>
      <w:jc w:val="left"/>
    </w:pPr>
    <w:rPr>
      <w:rFonts w:ascii="News Gothic MT" w:eastAsia="MS Mincho" w:hAnsi="News Gothic MT" w:cs="Times New Roman"/>
      <w:snapToGrid/>
      <w:sz w:val="16"/>
      <w:szCs w:val="24"/>
      <w:lang w:val="en-US"/>
    </w:rPr>
  </w:style>
  <w:style w:type="character" w:customStyle="1" w:styleId="PBACTableFootnoteChar">
    <w:name w:val="PBAC Table Footnote Char"/>
    <w:basedOn w:val="DefaultParagraphFont"/>
    <w:link w:val="PBACTableFootnote"/>
    <w:rsid w:val="002A0829"/>
    <w:rPr>
      <w:rFonts w:ascii="News Gothic MT" w:eastAsia="MS Mincho" w:hAnsi="News Gothic MT"/>
      <w:sz w:val="16"/>
      <w:szCs w:val="24"/>
      <w:lang w:val="en-US" w:eastAsia="en-US"/>
    </w:rPr>
  </w:style>
  <w:style w:type="paragraph" w:customStyle="1" w:styleId="COMBody">
    <w:name w:val="COMBody"/>
    <w:basedOn w:val="Normal"/>
    <w:link w:val="COMBodyChar"/>
    <w:qFormat/>
    <w:rsid w:val="00935DB0"/>
    <w:pPr>
      <w:widowControl/>
    </w:pPr>
    <w:rPr>
      <w:bCs/>
      <w:snapToGrid/>
      <w:szCs w:val="22"/>
      <w:lang w:val="en-US"/>
    </w:rPr>
  </w:style>
  <w:style w:type="character" w:customStyle="1" w:styleId="COMBodyChar">
    <w:name w:val="COMBody Char"/>
    <w:link w:val="COMBody"/>
    <w:rsid w:val="00935DB0"/>
    <w:rPr>
      <w:rFonts w:ascii="Arial" w:hAnsi="Arial" w:cs="Arial"/>
      <w:bCs/>
      <w:sz w:val="22"/>
      <w:szCs w:val="22"/>
      <w:lang w:val="en-US" w:eastAsia="en-US"/>
    </w:rPr>
  </w:style>
  <w:style w:type="paragraph" w:customStyle="1" w:styleId="COMtblcap">
    <w:name w:val="COMtblcap"/>
    <w:basedOn w:val="Normal"/>
    <w:link w:val="COMtblcapChar"/>
    <w:qFormat/>
    <w:rsid w:val="00935DB0"/>
    <w:pPr>
      <w:keepNext/>
      <w:widowControl/>
    </w:pPr>
    <w:rPr>
      <w:b/>
      <w:snapToGrid/>
      <w:sz w:val="20"/>
      <w:lang w:val="en-US"/>
    </w:rPr>
  </w:style>
  <w:style w:type="character" w:customStyle="1" w:styleId="COMtblcapChar">
    <w:name w:val="COMtblcap Char"/>
    <w:link w:val="COMtblcap"/>
    <w:rsid w:val="00935DB0"/>
    <w:rPr>
      <w:rFonts w:ascii="Arial" w:hAnsi="Arial" w:cs="Arial"/>
      <w:b/>
      <w:lang w:val="en-US" w:eastAsia="en-US"/>
    </w:rPr>
  </w:style>
  <w:style w:type="paragraph" w:customStyle="1" w:styleId="PBACTableText">
    <w:name w:val="PBAC Table Text"/>
    <w:basedOn w:val="Normal"/>
    <w:link w:val="PBACTableTextChar"/>
    <w:qFormat/>
    <w:rsid w:val="001B7A8D"/>
    <w:pPr>
      <w:widowControl/>
      <w:spacing w:before="40" w:after="40"/>
      <w:jc w:val="left"/>
    </w:pPr>
    <w:rPr>
      <w:rFonts w:ascii="News Gothic MT" w:eastAsia="MS Mincho" w:hAnsi="News Gothic MT" w:cs="Times New Roman"/>
      <w:snapToGrid/>
      <w:sz w:val="20"/>
      <w:lang w:val="en-US"/>
    </w:rPr>
  </w:style>
  <w:style w:type="character" w:customStyle="1" w:styleId="PBACTableTextChar">
    <w:name w:val="PBAC Table Text Char"/>
    <w:basedOn w:val="DefaultParagraphFont"/>
    <w:link w:val="PBACTableText"/>
    <w:rsid w:val="001B7A8D"/>
    <w:rPr>
      <w:rFonts w:ascii="News Gothic MT" w:eastAsia="MS Mincho" w:hAnsi="News Gothic MT"/>
      <w:lang w:val="en-US" w:eastAsia="en-US"/>
    </w:rPr>
  </w:style>
  <w:style w:type="paragraph" w:customStyle="1" w:styleId="PBACTableTextBoldCentered">
    <w:name w:val="PBAC Table Text + Bold + Centered"/>
    <w:basedOn w:val="Normal"/>
    <w:rsid w:val="001B7A8D"/>
    <w:pPr>
      <w:keepNext/>
      <w:widowControl/>
      <w:spacing w:before="40" w:after="40"/>
      <w:jc w:val="center"/>
    </w:pPr>
    <w:rPr>
      <w:rFonts w:ascii="News Gothic MT" w:eastAsia="MS Mincho" w:hAnsi="News Gothic MT" w:cs="Times New Roman"/>
      <w:b/>
      <w:bCs/>
      <w:snapToGrid/>
      <w:sz w:val="20"/>
      <w:lang w:val="en-US"/>
    </w:rPr>
  </w:style>
  <w:style w:type="paragraph" w:customStyle="1" w:styleId="PBACTableTextBoldLeft">
    <w:name w:val="PBAC Table Text + Bold + Left"/>
    <w:basedOn w:val="PBACTableText"/>
    <w:qFormat/>
    <w:rsid w:val="00D008E8"/>
    <w:pPr>
      <w:keepNext/>
    </w:pPr>
    <w:rPr>
      <w:b/>
      <w:bCs/>
    </w:rPr>
  </w:style>
  <w:style w:type="paragraph" w:customStyle="1" w:styleId="Default">
    <w:name w:val="Default"/>
    <w:rsid w:val="00030723"/>
    <w:pPr>
      <w:autoSpaceDE w:val="0"/>
      <w:autoSpaceDN w:val="0"/>
      <w:adjustRightInd w:val="0"/>
    </w:pPr>
    <w:rPr>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451AB"/>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basedOn w:val="Heading1"/>
    <w:qFormat/>
    <w:rsid w:val="00B5580D"/>
    <w:rPr>
      <w:sz w:val="28"/>
    </w:rPr>
  </w:style>
  <w:style w:type="character" w:customStyle="1" w:styleId="ListParagraphChar">
    <w:name w:val="List Paragraph Char"/>
    <w:link w:val="ListParagraph"/>
    <w:uiPriority w:val="72"/>
    <w:locked/>
    <w:rsid w:val="00BE180C"/>
    <w:rPr>
      <w:rFonts w:ascii="Arial" w:hAnsi="Arial" w:cs="Arial"/>
      <w:snapToGrid w:val="0"/>
      <w:sz w:val="22"/>
      <w:lang w:eastAsia="en-US"/>
    </w:rPr>
  </w:style>
  <w:style w:type="character" w:styleId="IntenseReference">
    <w:name w:val="Intense Reference"/>
    <w:basedOn w:val="DefaultParagraphFont"/>
    <w:uiPriority w:val="32"/>
    <w:qFormat/>
    <w:rsid w:val="004B5BC7"/>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460">
      <w:bodyDiv w:val="1"/>
      <w:marLeft w:val="0"/>
      <w:marRight w:val="0"/>
      <w:marTop w:val="0"/>
      <w:marBottom w:val="0"/>
      <w:divBdr>
        <w:top w:val="none" w:sz="0" w:space="0" w:color="auto"/>
        <w:left w:val="none" w:sz="0" w:space="0" w:color="auto"/>
        <w:bottom w:val="none" w:sz="0" w:space="0" w:color="auto"/>
        <w:right w:val="none" w:sz="0" w:space="0" w:color="auto"/>
      </w:divBdr>
    </w:div>
    <w:div w:id="156575206">
      <w:bodyDiv w:val="1"/>
      <w:marLeft w:val="0"/>
      <w:marRight w:val="0"/>
      <w:marTop w:val="0"/>
      <w:marBottom w:val="0"/>
      <w:divBdr>
        <w:top w:val="none" w:sz="0" w:space="0" w:color="auto"/>
        <w:left w:val="none" w:sz="0" w:space="0" w:color="auto"/>
        <w:bottom w:val="none" w:sz="0" w:space="0" w:color="auto"/>
        <w:right w:val="none" w:sz="0" w:space="0" w:color="auto"/>
      </w:divBdr>
    </w:div>
    <w:div w:id="596451203">
      <w:bodyDiv w:val="1"/>
      <w:marLeft w:val="0"/>
      <w:marRight w:val="0"/>
      <w:marTop w:val="0"/>
      <w:marBottom w:val="0"/>
      <w:divBdr>
        <w:top w:val="none" w:sz="0" w:space="0" w:color="auto"/>
        <w:left w:val="none" w:sz="0" w:space="0" w:color="auto"/>
        <w:bottom w:val="none" w:sz="0" w:space="0" w:color="auto"/>
        <w:right w:val="none" w:sz="0" w:space="0" w:color="auto"/>
      </w:divBdr>
    </w:div>
    <w:div w:id="1285188693">
      <w:bodyDiv w:val="1"/>
      <w:marLeft w:val="0"/>
      <w:marRight w:val="0"/>
      <w:marTop w:val="0"/>
      <w:marBottom w:val="0"/>
      <w:divBdr>
        <w:top w:val="none" w:sz="0" w:space="0" w:color="auto"/>
        <w:left w:val="none" w:sz="0" w:space="0" w:color="auto"/>
        <w:bottom w:val="none" w:sz="0" w:space="0" w:color="auto"/>
        <w:right w:val="none" w:sz="0" w:space="0" w:color="auto"/>
      </w:divBdr>
    </w:div>
    <w:div w:id="1394424453">
      <w:bodyDiv w:val="1"/>
      <w:marLeft w:val="0"/>
      <w:marRight w:val="0"/>
      <w:marTop w:val="0"/>
      <w:marBottom w:val="0"/>
      <w:divBdr>
        <w:top w:val="none" w:sz="0" w:space="0" w:color="auto"/>
        <w:left w:val="none" w:sz="0" w:space="0" w:color="auto"/>
        <w:bottom w:val="none" w:sz="0" w:space="0" w:color="auto"/>
        <w:right w:val="none" w:sz="0" w:space="0" w:color="auto"/>
      </w:divBdr>
    </w:div>
    <w:div w:id="16638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93D5-A89E-4415-AB5D-C25F8F54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4369</Words>
  <Characters>25340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5.11 pasireotide</vt:lpstr>
    </vt:vector>
  </TitlesOfParts>
  <LinksUpToDate>false</LinksUpToDate>
  <CharactersWithSpaces>29650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5.11 pasireotide</dc:title>
  <dc:creator/>
  <cp:lastModifiedBy/>
  <cp:revision>1</cp:revision>
  <dcterms:created xsi:type="dcterms:W3CDTF">2016-02-16T04:52:00Z</dcterms:created>
  <dcterms:modified xsi:type="dcterms:W3CDTF">2016-02-25T22:34:00Z</dcterms:modified>
</cp:coreProperties>
</file>