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045E91" w:rsidRDefault="0004626D" w:rsidP="00FC2839">
      <w:pPr>
        <w:pStyle w:val="Heading1"/>
        <w:numPr>
          <w:ilvl w:val="0"/>
          <w:numId w:val="0"/>
        </w:numPr>
        <w:ind w:left="720" w:hanging="720"/>
        <w:rPr>
          <w:sz w:val="28"/>
          <w:szCs w:val="28"/>
        </w:rPr>
      </w:pPr>
      <w:r w:rsidRPr="00045E91">
        <w:rPr>
          <w:sz w:val="28"/>
          <w:szCs w:val="28"/>
        </w:rPr>
        <w:t>6.19</w:t>
      </w:r>
      <w:r w:rsidR="007C0F57" w:rsidRPr="00045E91">
        <w:rPr>
          <w:sz w:val="28"/>
          <w:szCs w:val="28"/>
        </w:rPr>
        <w:tab/>
      </w:r>
      <w:r w:rsidRPr="00045E91">
        <w:rPr>
          <w:sz w:val="28"/>
          <w:szCs w:val="28"/>
        </w:rPr>
        <w:t>OMALIZUMAB</w:t>
      </w:r>
    </w:p>
    <w:p w:rsidR="002136C4" w:rsidRDefault="0004626D" w:rsidP="00FC2839">
      <w:pPr>
        <w:pStyle w:val="Title"/>
        <w:numPr>
          <w:ilvl w:val="0"/>
          <w:numId w:val="0"/>
        </w:numPr>
        <w:ind w:left="720"/>
        <w:rPr>
          <w:sz w:val="28"/>
          <w:szCs w:val="28"/>
        </w:rPr>
      </w:pPr>
      <w:r w:rsidRPr="00045E91">
        <w:rPr>
          <w:sz w:val="28"/>
          <w:szCs w:val="28"/>
        </w:rPr>
        <w:t>75 mg/0.5 m</w:t>
      </w:r>
      <w:r w:rsidR="002136C4">
        <w:rPr>
          <w:sz w:val="28"/>
          <w:szCs w:val="28"/>
        </w:rPr>
        <w:t>L injection, 1 x 0.5 mL syringe</w:t>
      </w:r>
      <w:r w:rsidRPr="00045E91">
        <w:rPr>
          <w:sz w:val="28"/>
          <w:szCs w:val="28"/>
        </w:rPr>
        <w:t xml:space="preserve">; </w:t>
      </w:r>
      <w:r w:rsidR="002136C4" w:rsidRPr="00045E91">
        <w:rPr>
          <w:sz w:val="28"/>
          <w:szCs w:val="28"/>
        </w:rPr>
        <w:t>150 mg/mL injection, 1 x 1 mL syringe</w:t>
      </w:r>
      <w:r w:rsidR="002136C4" w:rsidRPr="00045E91">
        <w:rPr>
          <w:sz w:val="28"/>
          <w:szCs w:val="28"/>
        </w:rPr>
        <w:t xml:space="preserve"> </w:t>
      </w:r>
      <w:r w:rsidR="002136C4">
        <w:rPr>
          <w:sz w:val="28"/>
          <w:szCs w:val="28"/>
        </w:rPr>
        <w:t>1 pack;</w:t>
      </w:r>
      <w:r w:rsidRPr="00045E91">
        <w:rPr>
          <w:sz w:val="28"/>
          <w:szCs w:val="28"/>
        </w:rPr>
        <w:t xml:space="preserve"> </w:t>
      </w:r>
    </w:p>
    <w:p w:rsidR="00D3280C" w:rsidRPr="00045E91" w:rsidRDefault="0004626D" w:rsidP="00FC2839">
      <w:pPr>
        <w:pStyle w:val="Title"/>
        <w:numPr>
          <w:ilvl w:val="0"/>
          <w:numId w:val="0"/>
        </w:numPr>
        <w:ind w:left="720"/>
        <w:rPr>
          <w:sz w:val="28"/>
          <w:szCs w:val="28"/>
        </w:rPr>
      </w:pPr>
      <w:proofErr w:type="spellStart"/>
      <w:r w:rsidRPr="00045E91">
        <w:rPr>
          <w:sz w:val="28"/>
          <w:szCs w:val="28"/>
        </w:rPr>
        <w:t>Xolair</w:t>
      </w:r>
      <w:proofErr w:type="spellEnd"/>
      <w:r w:rsidRPr="00045E91">
        <w:rPr>
          <w:sz w:val="28"/>
          <w:szCs w:val="28"/>
        </w:rPr>
        <w:t>®, Novartis Pharmaceuticals Australia Pty Ltd</w:t>
      </w:r>
    </w:p>
    <w:p w:rsidR="00C27B58" w:rsidRDefault="00C27B58" w:rsidP="00FC2839">
      <w:pPr>
        <w:pStyle w:val="NoSpacing"/>
        <w:spacing w:line="480" w:lineRule="auto"/>
      </w:pPr>
    </w:p>
    <w:p w:rsidR="00CE10C4" w:rsidRPr="00882085" w:rsidRDefault="00CE10C4" w:rsidP="00FC2839">
      <w:pPr>
        <w:pStyle w:val="Heading1"/>
      </w:pPr>
      <w:r w:rsidRPr="00882085">
        <w:t xml:space="preserve">Purpose of </w:t>
      </w:r>
      <w:r w:rsidR="0004240E" w:rsidRPr="00882085">
        <w:t>Application</w:t>
      </w:r>
    </w:p>
    <w:p w:rsidR="006A12A5" w:rsidRPr="00882085" w:rsidRDefault="006A12A5" w:rsidP="00882085">
      <w:pPr>
        <w:jc w:val="both"/>
        <w:rPr>
          <w:rFonts w:ascii="Arial" w:hAnsi="Arial"/>
          <w:sz w:val="22"/>
          <w:szCs w:val="22"/>
        </w:rPr>
      </w:pPr>
    </w:p>
    <w:p w:rsidR="00EF44A0" w:rsidRDefault="00430632" w:rsidP="00F9629A">
      <w:pPr>
        <w:pStyle w:val="ListParagraph"/>
        <w:jc w:val="both"/>
        <w:rPr>
          <w:rFonts w:ascii="Arial" w:hAnsi="Arial"/>
          <w:sz w:val="22"/>
          <w:szCs w:val="22"/>
        </w:rPr>
      </w:pPr>
      <w:r w:rsidRPr="00430632">
        <w:rPr>
          <w:rFonts w:ascii="Arial" w:hAnsi="Arial"/>
          <w:sz w:val="22"/>
          <w:szCs w:val="22"/>
        </w:rPr>
        <w:t>T</w:t>
      </w:r>
      <w:r w:rsidR="0024414C">
        <w:rPr>
          <w:rFonts w:ascii="Arial" w:hAnsi="Arial"/>
          <w:sz w:val="22"/>
          <w:szCs w:val="22"/>
        </w:rPr>
        <w:t>o</w:t>
      </w:r>
      <w:r w:rsidRPr="00430632">
        <w:rPr>
          <w:rFonts w:ascii="Arial" w:hAnsi="Arial"/>
          <w:sz w:val="22"/>
          <w:szCs w:val="22"/>
        </w:rPr>
        <w:t xml:space="preserve"> </w:t>
      </w:r>
      <w:r w:rsidR="0024414C">
        <w:rPr>
          <w:rFonts w:ascii="Arial" w:hAnsi="Arial"/>
          <w:sz w:val="22"/>
          <w:szCs w:val="22"/>
        </w:rPr>
        <w:t>request an amendment to</w:t>
      </w:r>
      <w:r w:rsidRPr="00430632">
        <w:rPr>
          <w:rFonts w:ascii="Arial" w:hAnsi="Arial"/>
          <w:sz w:val="22"/>
          <w:szCs w:val="22"/>
        </w:rPr>
        <w:t xml:space="preserve"> the current </w:t>
      </w:r>
      <w:r w:rsidR="00CF03A1">
        <w:rPr>
          <w:rFonts w:ascii="Arial" w:hAnsi="Arial"/>
          <w:sz w:val="22"/>
          <w:szCs w:val="22"/>
        </w:rPr>
        <w:t>PBS eligibility criteria</w:t>
      </w:r>
      <w:r w:rsidR="0040610D">
        <w:rPr>
          <w:rFonts w:ascii="Arial" w:hAnsi="Arial"/>
          <w:sz w:val="22"/>
          <w:szCs w:val="22"/>
        </w:rPr>
        <w:t xml:space="preserve"> of omalizumab</w:t>
      </w:r>
      <w:r w:rsidR="00CF03A1">
        <w:rPr>
          <w:rFonts w:ascii="Arial" w:hAnsi="Arial"/>
          <w:sz w:val="22"/>
          <w:szCs w:val="22"/>
        </w:rPr>
        <w:t xml:space="preserve"> </w:t>
      </w:r>
      <w:r w:rsidR="00413565">
        <w:rPr>
          <w:rFonts w:ascii="Arial" w:hAnsi="Arial"/>
          <w:sz w:val="22"/>
          <w:szCs w:val="22"/>
        </w:rPr>
        <w:t>for</w:t>
      </w:r>
      <w:r w:rsidR="0040610D">
        <w:rPr>
          <w:rFonts w:ascii="Arial" w:hAnsi="Arial"/>
          <w:sz w:val="22"/>
          <w:szCs w:val="22"/>
        </w:rPr>
        <w:t xml:space="preserve"> the treatment of severe allergic asthma</w:t>
      </w:r>
      <w:r w:rsidR="00413565">
        <w:rPr>
          <w:rFonts w:ascii="Arial" w:hAnsi="Arial"/>
          <w:sz w:val="22"/>
          <w:szCs w:val="22"/>
        </w:rPr>
        <w:t xml:space="preserve"> </w:t>
      </w:r>
      <w:r w:rsidR="00CF03A1">
        <w:rPr>
          <w:rFonts w:ascii="Arial" w:hAnsi="Arial"/>
          <w:sz w:val="22"/>
          <w:szCs w:val="22"/>
        </w:rPr>
        <w:t xml:space="preserve">with respect to baseline </w:t>
      </w:r>
      <w:r w:rsidR="001F079B">
        <w:rPr>
          <w:rFonts w:ascii="Arial" w:hAnsi="Arial"/>
          <w:sz w:val="22"/>
          <w:szCs w:val="22"/>
        </w:rPr>
        <w:t>human immunoglobulin (</w:t>
      </w:r>
      <w:proofErr w:type="spellStart"/>
      <w:r w:rsidR="00CF03A1">
        <w:rPr>
          <w:rFonts w:ascii="Arial" w:hAnsi="Arial"/>
          <w:sz w:val="22"/>
          <w:szCs w:val="22"/>
        </w:rPr>
        <w:t>IgE</w:t>
      </w:r>
      <w:proofErr w:type="spellEnd"/>
      <w:r w:rsidR="001F079B">
        <w:rPr>
          <w:rFonts w:ascii="Arial" w:hAnsi="Arial"/>
          <w:sz w:val="22"/>
          <w:szCs w:val="22"/>
        </w:rPr>
        <w:t>)</w:t>
      </w:r>
      <w:r w:rsidRPr="00430632">
        <w:rPr>
          <w:rFonts w:ascii="Arial" w:hAnsi="Arial"/>
          <w:sz w:val="22"/>
          <w:szCs w:val="22"/>
        </w:rPr>
        <w:t>.</w:t>
      </w:r>
      <w:r w:rsidR="00CF03A1">
        <w:rPr>
          <w:rFonts w:ascii="Arial" w:hAnsi="Arial"/>
          <w:sz w:val="22"/>
          <w:szCs w:val="22"/>
        </w:rPr>
        <w:t xml:space="preserve"> </w:t>
      </w:r>
    </w:p>
    <w:p w:rsidR="00F9629A" w:rsidRPr="00F9629A" w:rsidRDefault="00F9629A" w:rsidP="00FC2839">
      <w:pPr>
        <w:pStyle w:val="NoSpacing"/>
        <w:spacing w:line="480" w:lineRule="auto"/>
      </w:pPr>
    </w:p>
    <w:p w:rsidR="00614159" w:rsidRPr="00882085" w:rsidRDefault="006A12A5" w:rsidP="00FC2839">
      <w:pPr>
        <w:pStyle w:val="Heading1"/>
      </w:pPr>
      <w:r w:rsidRPr="00882085">
        <w:t>Requested listing</w:t>
      </w:r>
    </w:p>
    <w:p w:rsidR="006A12A5" w:rsidRPr="00882085" w:rsidRDefault="006A12A5" w:rsidP="00882085">
      <w:pPr>
        <w:jc w:val="both"/>
        <w:rPr>
          <w:rFonts w:ascii="Arial" w:hAnsi="Arial"/>
          <w:b/>
          <w:sz w:val="22"/>
          <w:szCs w:val="22"/>
        </w:rPr>
      </w:pPr>
      <w:bookmarkStart w:id="0" w:name="_GoBack"/>
      <w:bookmarkEnd w:id="0"/>
    </w:p>
    <w:p w:rsidR="00555E24" w:rsidRDefault="0024414C" w:rsidP="00882085">
      <w:pPr>
        <w:pStyle w:val="ListParagraph"/>
        <w:numPr>
          <w:ilvl w:val="1"/>
          <w:numId w:val="25"/>
        </w:numPr>
        <w:jc w:val="both"/>
        <w:rPr>
          <w:rFonts w:ascii="Arial" w:hAnsi="Arial"/>
          <w:sz w:val="22"/>
          <w:szCs w:val="22"/>
        </w:rPr>
      </w:pPr>
      <w:r>
        <w:rPr>
          <w:rFonts w:ascii="Arial" w:hAnsi="Arial"/>
          <w:sz w:val="22"/>
          <w:szCs w:val="22"/>
        </w:rPr>
        <w:t xml:space="preserve">The submission proposed that </w:t>
      </w:r>
      <w:r w:rsidR="001F079B">
        <w:rPr>
          <w:rFonts w:ascii="Arial" w:hAnsi="Arial"/>
          <w:sz w:val="22"/>
          <w:szCs w:val="22"/>
        </w:rPr>
        <w:t xml:space="preserve">patients with baseline </w:t>
      </w:r>
      <w:proofErr w:type="spellStart"/>
      <w:r>
        <w:rPr>
          <w:rFonts w:ascii="Arial" w:hAnsi="Arial"/>
          <w:sz w:val="22"/>
          <w:szCs w:val="22"/>
        </w:rPr>
        <w:t>IgE</w:t>
      </w:r>
      <w:proofErr w:type="spellEnd"/>
      <w:r>
        <w:rPr>
          <w:rFonts w:ascii="Arial" w:hAnsi="Arial"/>
          <w:sz w:val="22"/>
          <w:szCs w:val="22"/>
        </w:rPr>
        <w:t xml:space="preserve"> of 30 to 75 IU/mL have </w:t>
      </w:r>
      <w:r w:rsidR="001F079B">
        <w:rPr>
          <w:rFonts w:ascii="Arial" w:hAnsi="Arial"/>
          <w:sz w:val="22"/>
          <w:szCs w:val="22"/>
        </w:rPr>
        <w:t>a</w:t>
      </w:r>
      <w:r>
        <w:rPr>
          <w:rFonts w:ascii="Arial" w:hAnsi="Arial"/>
          <w:sz w:val="22"/>
          <w:szCs w:val="22"/>
        </w:rPr>
        <w:t xml:space="preserve"> high disease burden and clinical need similar to patients with </w:t>
      </w:r>
      <w:proofErr w:type="spellStart"/>
      <w:r>
        <w:rPr>
          <w:rFonts w:ascii="Arial" w:hAnsi="Arial"/>
          <w:sz w:val="22"/>
          <w:szCs w:val="22"/>
        </w:rPr>
        <w:t>IgE</w:t>
      </w:r>
      <w:proofErr w:type="spellEnd"/>
      <w:r w:rsidR="001F079B">
        <w:rPr>
          <w:rFonts w:ascii="Arial" w:hAnsi="Arial"/>
          <w:sz w:val="22"/>
          <w:szCs w:val="22"/>
        </w:rPr>
        <w:t xml:space="preserve"> </w:t>
      </w:r>
      <w:r>
        <w:rPr>
          <w:rFonts w:ascii="Arial" w:hAnsi="Arial" w:cs="Arial"/>
          <w:sz w:val="22"/>
          <w:szCs w:val="22"/>
        </w:rPr>
        <w:t>≥</w:t>
      </w:r>
      <w:r w:rsidR="001F079B">
        <w:rPr>
          <w:rFonts w:ascii="Arial" w:hAnsi="Arial" w:cs="Arial"/>
          <w:sz w:val="22"/>
          <w:szCs w:val="22"/>
        </w:rPr>
        <w:t xml:space="preserve"> </w:t>
      </w:r>
      <w:r>
        <w:rPr>
          <w:rFonts w:ascii="Arial" w:hAnsi="Arial"/>
          <w:sz w:val="22"/>
          <w:szCs w:val="22"/>
        </w:rPr>
        <w:t>76</w:t>
      </w:r>
      <w:r w:rsidR="0083539A">
        <w:rPr>
          <w:rFonts w:ascii="Arial" w:hAnsi="Arial"/>
          <w:sz w:val="22"/>
          <w:szCs w:val="22"/>
        </w:rPr>
        <w:t xml:space="preserve"> IU/mL</w:t>
      </w:r>
      <w:r>
        <w:rPr>
          <w:rFonts w:ascii="Arial" w:hAnsi="Arial"/>
          <w:sz w:val="22"/>
          <w:szCs w:val="22"/>
        </w:rPr>
        <w:t xml:space="preserve"> but are not able to trial PBS-subsidised omalizumab.</w:t>
      </w:r>
      <w:r w:rsidR="001F079B">
        <w:rPr>
          <w:rFonts w:ascii="Arial" w:hAnsi="Arial"/>
          <w:sz w:val="22"/>
          <w:szCs w:val="22"/>
        </w:rPr>
        <w:t xml:space="preserve"> So t</w:t>
      </w:r>
      <w:r w:rsidR="00EF44A0">
        <w:rPr>
          <w:rFonts w:ascii="Arial" w:hAnsi="Arial"/>
          <w:sz w:val="22"/>
          <w:szCs w:val="22"/>
        </w:rPr>
        <w:t xml:space="preserve">he submission </w:t>
      </w:r>
      <w:r w:rsidR="00FF2801">
        <w:rPr>
          <w:rFonts w:ascii="Arial" w:hAnsi="Arial"/>
          <w:sz w:val="22"/>
          <w:szCs w:val="22"/>
        </w:rPr>
        <w:t>requested</w:t>
      </w:r>
      <w:r w:rsidR="00EF44A0">
        <w:rPr>
          <w:rFonts w:ascii="Arial" w:hAnsi="Arial"/>
          <w:sz w:val="22"/>
          <w:szCs w:val="22"/>
        </w:rPr>
        <w:t xml:space="preserve"> </w:t>
      </w:r>
      <w:r w:rsidR="00CF03A1">
        <w:rPr>
          <w:rFonts w:ascii="Arial" w:hAnsi="Arial"/>
          <w:sz w:val="22"/>
          <w:szCs w:val="22"/>
        </w:rPr>
        <w:t xml:space="preserve">to amend the current PBS </w:t>
      </w:r>
      <w:r w:rsidR="0083539A">
        <w:rPr>
          <w:rFonts w:ascii="Arial" w:hAnsi="Arial"/>
          <w:sz w:val="22"/>
          <w:szCs w:val="22"/>
        </w:rPr>
        <w:t>restriction</w:t>
      </w:r>
      <w:r w:rsidR="00CF03A1">
        <w:rPr>
          <w:rFonts w:ascii="Arial" w:hAnsi="Arial"/>
          <w:sz w:val="22"/>
          <w:szCs w:val="22"/>
        </w:rPr>
        <w:t xml:space="preserve"> with respect to baseline </w:t>
      </w:r>
      <w:proofErr w:type="spellStart"/>
      <w:r w:rsidR="00CF03A1">
        <w:rPr>
          <w:rFonts w:ascii="Arial" w:hAnsi="Arial"/>
          <w:sz w:val="22"/>
          <w:szCs w:val="22"/>
        </w:rPr>
        <w:t>IgE</w:t>
      </w:r>
      <w:proofErr w:type="spellEnd"/>
      <w:r>
        <w:rPr>
          <w:rFonts w:ascii="Arial" w:hAnsi="Arial"/>
          <w:sz w:val="22"/>
          <w:szCs w:val="22"/>
        </w:rPr>
        <w:t>.</w:t>
      </w:r>
    </w:p>
    <w:p w:rsidR="0024414C" w:rsidRDefault="0024414C" w:rsidP="0024414C">
      <w:pPr>
        <w:pStyle w:val="ListParagraph"/>
        <w:jc w:val="both"/>
        <w:rPr>
          <w:rFonts w:ascii="Arial" w:hAnsi="Arial"/>
          <w:sz w:val="22"/>
          <w:szCs w:val="22"/>
        </w:rPr>
      </w:pPr>
    </w:p>
    <w:tbl>
      <w:tblPr>
        <w:tblStyle w:val="TableGrid"/>
        <w:tblW w:w="0" w:type="auto"/>
        <w:tblInd w:w="720" w:type="dxa"/>
        <w:tblLook w:val="04A0" w:firstRow="1" w:lastRow="0" w:firstColumn="1" w:lastColumn="0" w:noHBand="0" w:noVBand="1"/>
        <w:tblCaption w:val="Current eligibility criteria compared to requested ammendment"/>
      </w:tblPr>
      <w:tblGrid>
        <w:gridCol w:w="4261"/>
        <w:gridCol w:w="4261"/>
      </w:tblGrid>
      <w:tr w:rsidR="00555E24" w:rsidRPr="00FC2839" w:rsidTr="00D811AD">
        <w:trPr>
          <w:tblHeader/>
        </w:trPr>
        <w:tc>
          <w:tcPr>
            <w:tcW w:w="4621" w:type="dxa"/>
          </w:tcPr>
          <w:p w:rsidR="00555E24" w:rsidRPr="00FC2839" w:rsidRDefault="00555E24" w:rsidP="00555E24">
            <w:pPr>
              <w:pStyle w:val="ListParagraph"/>
              <w:ind w:left="0"/>
              <w:jc w:val="both"/>
              <w:rPr>
                <w:rFonts w:ascii="Arial Narrow" w:hAnsi="Arial Narrow"/>
                <w:b/>
                <w:sz w:val="20"/>
                <w:szCs w:val="22"/>
              </w:rPr>
            </w:pPr>
            <w:r w:rsidRPr="00FC2839">
              <w:rPr>
                <w:rFonts w:ascii="Arial Narrow" w:hAnsi="Arial Narrow"/>
                <w:b/>
                <w:sz w:val="20"/>
                <w:szCs w:val="22"/>
              </w:rPr>
              <w:t>Current eligibility criteria</w:t>
            </w:r>
          </w:p>
        </w:tc>
        <w:tc>
          <w:tcPr>
            <w:tcW w:w="4621" w:type="dxa"/>
          </w:tcPr>
          <w:p w:rsidR="00555E24" w:rsidRPr="00FC2839" w:rsidRDefault="0024414C" w:rsidP="0024414C">
            <w:pPr>
              <w:pStyle w:val="ListParagraph"/>
              <w:ind w:left="0"/>
              <w:jc w:val="both"/>
              <w:rPr>
                <w:rFonts w:ascii="Arial Narrow" w:hAnsi="Arial Narrow"/>
                <w:b/>
                <w:sz w:val="20"/>
                <w:szCs w:val="22"/>
              </w:rPr>
            </w:pPr>
            <w:r w:rsidRPr="00FC2839">
              <w:rPr>
                <w:rFonts w:ascii="Arial Narrow" w:hAnsi="Arial Narrow"/>
                <w:b/>
                <w:sz w:val="20"/>
                <w:szCs w:val="22"/>
              </w:rPr>
              <w:t>Requested amendment</w:t>
            </w:r>
          </w:p>
        </w:tc>
      </w:tr>
      <w:tr w:rsidR="00555E24" w:rsidRPr="00FC2839" w:rsidTr="00555E24">
        <w:tc>
          <w:tcPr>
            <w:tcW w:w="4621" w:type="dxa"/>
          </w:tcPr>
          <w:p w:rsidR="00555E24" w:rsidRPr="00FC2839" w:rsidRDefault="0024414C" w:rsidP="0024414C">
            <w:pPr>
              <w:pStyle w:val="ListParagraph"/>
              <w:ind w:left="0"/>
              <w:jc w:val="both"/>
              <w:rPr>
                <w:rFonts w:ascii="Arial Narrow" w:hAnsi="Arial Narrow"/>
                <w:sz w:val="20"/>
                <w:szCs w:val="22"/>
              </w:rPr>
            </w:pPr>
            <w:r w:rsidRPr="00FC2839">
              <w:rPr>
                <w:rFonts w:ascii="Arial Narrow" w:hAnsi="Arial Narrow"/>
                <w:sz w:val="20"/>
                <w:szCs w:val="22"/>
              </w:rPr>
              <w:t>total serum human immunoglobulin E (</w:t>
            </w:r>
            <w:proofErr w:type="spellStart"/>
            <w:r w:rsidRPr="00FC2839">
              <w:rPr>
                <w:rFonts w:ascii="Arial Narrow" w:hAnsi="Arial Narrow"/>
                <w:sz w:val="20"/>
                <w:szCs w:val="22"/>
              </w:rPr>
              <w:t>IgE</w:t>
            </w:r>
            <w:proofErr w:type="spellEnd"/>
            <w:r w:rsidRPr="00FC2839">
              <w:rPr>
                <w:rFonts w:ascii="Arial Narrow" w:hAnsi="Arial Narrow"/>
                <w:sz w:val="20"/>
                <w:szCs w:val="22"/>
              </w:rPr>
              <w:t xml:space="preserve">) greater than or equal to </w:t>
            </w:r>
            <w:r w:rsidRPr="00FC2839">
              <w:rPr>
                <w:rFonts w:ascii="Arial Narrow" w:hAnsi="Arial Narrow"/>
                <w:sz w:val="20"/>
                <w:szCs w:val="22"/>
                <w:u w:val="single"/>
              </w:rPr>
              <w:t>76 IU/ml</w:t>
            </w:r>
            <w:r w:rsidRPr="00FC2839">
              <w:rPr>
                <w:rFonts w:ascii="Arial Narrow" w:hAnsi="Arial Narrow"/>
                <w:sz w:val="20"/>
                <w:szCs w:val="22"/>
              </w:rPr>
              <w:t xml:space="preserve"> and assessed in the previous 12 months</w:t>
            </w:r>
          </w:p>
        </w:tc>
        <w:tc>
          <w:tcPr>
            <w:tcW w:w="4621" w:type="dxa"/>
          </w:tcPr>
          <w:p w:rsidR="00555E24" w:rsidRPr="00FC2839" w:rsidRDefault="0024414C" w:rsidP="0024414C">
            <w:pPr>
              <w:pStyle w:val="ListParagraph"/>
              <w:ind w:left="0"/>
              <w:jc w:val="both"/>
              <w:rPr>
                <w:rFonts w:ascii="Arial Narrow" w:hAnsi="Arial Narrow"/>
                <w:sz w:val="20"/>
                <w:szCs w:val="22"/>
              </w:rPr>
            </w:pPr>
            <w:r w:rsidRPr="00FC2839">
              <w:rPr>
                <w:rFonts w:ascii="Arial Narrow" w:hAnsi="Arial Narrow"/>
                <w:sz w:val="20"/>
                <w:szCs w:val="22"/>
              </w:rPr>
              <w:t>total serum human immunoglobulin E (</w:t>
            </w:r>
            <w:proofErr w:type="spellStart"/>
            <w:r w:rsidRPr="00FC2839">
              <w:rPr>
                <w:rFonts w:ascii="Arial Narrow" w:hAnsi="Arial Narrow"/>
                <w:sz w:val="20"/>
                <w:szCs w:val="22"/>
              </w:rPr>
              <w:t>IgE</w:t>
            </w:r>
            <w:proofErr w:type="spellEnd"/>
            <w:r w:rsidRPr="00FC2839">
              <w:rPr>
                <w:rFonts w:ascii="Arial Narrow" w:hAnsi="Arial Narrow"/>
                <w:sz w:val="20"/>
                <w:szCs w:val="22"/>
              </w:rPr>
              <w:t xml:space="preserve">) greater than or equal to </w:t>
            </w:r>
            <w:r w:rsidRPr="00FC2839">
              <w:rPr>
                <w:rFonts w:ascii="Arial Narrow" w:hAnsi="Arial Narrow"/>
                <w:sz w:val="20"/>
                <w:szCs w:val="22"/>
                <w:u w:val="single"/>
              </w:rPr>
              <w:t>30 IU/ml</w:t>
            </w:r>
            <w:r w:rsidRPr="00FC2839">
              <w:rPr>
                <w:rFonts w:ascii="Arial Narrow" w:hAnsi="Arial Narrow"/>
                <w:sz w:val="20"/>
                <w:szCs w:val="22"/>
              </w:rPr>
              <w:t xml:space="preserve"> and assessed in the previous 12 months</w:t>
            </w:r>
          </w:p>
        </w:tc>
      </w:tr>
    </w:tbl>
    <w:p w:rsidR="00187DD4" w:rsidRPr="0024414C" w:rsidRDefault="00187DD4" w:rsidP="0024414C">
      <w:pPr>
        <w:pStyle w:val="ListParagraph"/>
        <w:jc w:val="both"/>
        <w:rPr>
          <w:rFonts w:ascii="Arial" w:hAnsi="Arial"/>
          <w:sz w:val="22"/>
          <w:szCs w:val="22"/>
        </w:rPr>
      </w:pPr>
    </w:p>
    <w:p w:rsidR="00E03B3D" w:rsidRDefault="0040610D" w:rsidP="00FF70AB">
      <w:pPr>
        <w:pStyle w:val="ListParagraph"/>
        <w:numPr>
          <w:ilvl w:val="1"/>
          <w:numId w:val="25"/>
        </w:numPr>
        <w:jc w:val="both"/>
        <w:rPr>
          <w:rFonts w:ascii="Arial" w:hAnsi="Arial"/>
          <w:sz w:val="22"/>
          <w:szCs w:val="22"/>
        </w:rPr>
      </w:pPr>
      <w:r w:rsidRPr="00FF70AB">
        <w:rPr>
          <w:rFonts w:ascii="Arial" w:hAnsi="Arial"/>
          <w:sz w:val="22"/>
          <w:szCs w:val="22"/>
        </w:rPr>
        <w:t xml:space="preserve">Although patients with total serum </w:t>
      </w:r>
      <w:proofErr w:type="spellStart"/>
      <w:r w:rsidRPr="00FF70AB">
        <w:rPr>
          <w:rFonts w:ascii="Arial" w:hAnsi="Arial"/>
          <w:sz w:val="22"/>
          <w:szCs w:val="22"/>
        </w:rPr>
        <w:t>IgE</w:t>
      </w:r>
      <w:proofErr w:type="spellEnd"/>
      <w:r w:rsidRPr="00FF70AB">
        <w:rPr>
          <w:rFonts w:ascii="Arial" w:hAnsi="Arial"/>
          <w:sz w:val="22"/>
          <w:szCs w:val="22"/>
        </w:rPr>
        <w:t xml:space="preserve"> of 30-75 IU/mL are included in the TGA approved dosing table, </w:t>
      </w:r>
      <w:r w:rsidR="00E03B3D">
        <w:rPr>
          <w:rFonts w:ascii="Arial" w:hAnsi="Arial"/>
          <w:sz w:val="22"/>
          <w:szCs w:val="22"/>
        </w:rPr>
        <w:t xml:space="preserve">the TGA-approved </w:t>
      </w:r>
      <w:r w:rsidR="00E03B3D" w:rsidRPr="00E03B3D">
        <w:rPr>
          <w:rFonts w:ascii="Arial" w:hAnsi="Arial"/>
          <w:sz w:val="22"/>
          <w:szCs w:val="22"/>
        </w:rPr>
        <w:t xml:space="preserve">approved Product Information states that </w:t>
      </w:r>
      <w:r w:rsidR="00E03B3D" w:rsidRPr="00EA6C69">
        <w:rPr>
          <w:rFonts w:ascii="Arial" w:hAnsi="Arial"/>
          <w:i/>
          <w:sz w:val="22"/>
          <w:szCs w:val="22"/>
        </w:rPr>
        <w:t xml:space="preserve">‘Patients with severe asthma and a baseline </w:t>
      </w:r>
      <w:proofErr w:type="spellStart"/>
      <w:r w:rsidR="00E03B3D" w:rsidRPr="00EA6C69">
        <w:rPr>
          <w:rFonts w:ascii="Arial" w:hAnsi="Arial"/>
          <w:i/>
          <w:sz w:val="22"/>
          <w:szCs w:val="22"/>
        </w:rPr>
        <w:t>IgE</w:t>
      </w:r>
      <w:proofErr w:type="spellEnd"/>
      <w:r w:rsidR="00E03B3D" w:rsidRPr="00EA6C69">
        <w:rPr>
          <w:rFonts w:ascii="Arial" w:hAnsi="Arial"/>
          <w:i/>
          <w:sz w:val="22"/>
          <w:szCs w:val="22"/>
        </w:rPr>
        <w:t xml:space="preserve"> lower than 76 IU/mL were less likely to experience benefit’</w:t>
      </w:r>
      <w:r w:rsidR="00E03B3D" w:rsidRPr="00E03B3D">
        <w:rPr>
          <w:rFonts w:ascii="Arial" w:hAnsi="Arial"/>
          <w:sz w:val="22"/>
          <w:szCs w:val="22"/>
        </w:rPr>
        <w:t>.</w:t>
      </w:r>
      <w:r w:rsidR="00E03B3D">
        <w:rPr>
          <w:rFonts w:ascii="Arial" w:hAnsi="Arial"/>
          <w:sz w:val="22"/>
          <w:szCs w:val="22"/>
        </w:rPr>
        <w:t xml:space="preserve"> </w:t>
      </w:r>
      <w:r w:rsidR="00E03B3D" w:rsidRPr="00E03B3D">
        <w:rPr>
          <w:rFonts w:ascii="Arial" w:hAnsi="Arial"/>
          <w:bCs/>
          <w:sz w:val="22"/>
          <w:szCs w:val="22"/>
          <w:lang w:val="en-GB"/>
        </w:rPr>
        <w:t>Accordingly</w:t>
      </w:r>
      <w:r w:rsidR="00E03B3D">
        <w:rPr>
          <w:rFonts w:ascii="Arial" w:hAnsi="Arial"/>
          <w:bCs/>
          <w:sz w:val="22"/>
          <w:szCs w:val="22"/>
          <w:lang w:val="en-GB"/>
        </w:rPr>
        <w:t xml:space="preserve"> at its November 2014 meeting,</w:t>
      </w:r>
      <w:r w:rsidR="00E03B3D" w:rsidRPr="00E03B3D">
        <w:rPr>
          <w:rFonts w:ascii="Arial" w:hAnsi="Arial"/>
          <w:bCs/>
          <w:sz w:val="22"/>
          <w:szCs w:val="22"/>
          <w:lang w:val="en-GB"/>
        </w:rPr>
        <w:t xml:space="preserve"> the PBAC recommended that the sponsor submit a major resubmission to justify reducing the baseline </w:t>
      </w:r>
      <w:proofErr w:type="spellStart"/>
      <w:r w:rsidR="00E03B3D" w:rsidRPr="00E03B3D">
        <w:rPr>
          <w:rFonts w:ascii="Arial" w:hAnsi="Arial"/>
          <w:bCs/>
          <w:sz w:val="22"/>
          <w:szCs w:val="22"/>
          <w:lang w:val="en-GB"/>
        </w:rPr>
        <w:t>IgE</w:t>
      </w:r>
      <w:proofErr w:type="spellEnd"/>
      <w:r w:rsidR="00E03B3D" w:rsidRPr="00E03B3D">
        <w:rPr>
          <w:rFonts w:ascii="Arial" w:hAnsi="Arial"/>
          <w:bCs/>
          <w:sz w:val="22"/>
          <w:szCs w:val="22"/>
          <w:lang w:val="en-GB"/>
        </w:rPr>
        <w:t xml:space="preserve"> threshold as well as other requested changes to the wording of the restriction.</w:t>
      </w:r>
    </w:p>
    <w:p w:rsidR="0013309A" w:rsidRDefault="0013309A" w:rsidP="0013309A">
      <w:pPr>
        <w:ind w:firstLine="709"/>
        <w:jc w:val="both"/>
        <w:rPr>
          <w:rFonts w:ascii="Arial" w:hAnsi="Arial"/>
          <w:i/>
          <w:sz w:val="22"/>
          <w:szCs w:val="22"/>
        </w:rPr>
      </w:pPr>
    </w:p>
    <w:p w:rsidR="000B68E3" w:rsidRPr="0013309A" w:rsidRDefault="0013309A" w:rsidP="0013309A">
      <w:pPr>
        <w:ind w:firstLine="709"/>
        <w:jc w:val="both"/>
        <w:rPr>
          <w:rFonts w:ascii="Arial" w:hAnsi="Arial"/>
          <w:sz w:val="22"/>
          <w:szCs w:val="22"/>
        </w:rPr>
      </w:pPr>
      <w:r w:rsidRPr="0013309A">
        <w:rPr>
          <w:rFonts w:ascii="Arial" w:hAnsi="Arial"/>
          <w:i/>
          <w:sz w:val="22"/>
          <w:szCs w:val="22"/>
        </w:rPr>
        <w:t>For more detail on PBAC’s view, see section 7 “PBAC outcome”</w:t>
      </w:r>
    </w:p>
    <w:p w:rsidR="00B5624D" w:rsidRPr="00882085" w:rsidRDefault="00B5624D" w:rsidP="00FC2839">
      <w:pPr>
        <w:spacing w:line="480" w:lineRule="auto"/>
        <w:jc w:val="both"/>
        <w:rPr>
          <w:rFonts w:ascii="Arial" w:hAnsi="Arial"/>
          <w:b/>
          <w:sz w:val="22"/>
          <w:szCs w:val="22"/>
        </w:rPr>
      </w:pPr>
    </w:p>
    <w:p w:rsidR="00CE10C4" w:rsidRPr="00882085" w:rsidRDefault="00CE10C4" w:rsidP="00FC2839">
      <w:pPr>
        <w:pStyle w:val="Heading1"/>
      </w:pPr>
      <w:r w:rsidRPr="00882085">
        <w:t>Background</w:t>
      </w:r>
    </w:p>
    <w:p w:rsidR="006A12A5" w:rsidRPr="00882085" w:rsidRDefault="006A12A5" w:rsidP="00882085">
      <w:pPr>
        <w:jc w:val="both"/>
        <w:rPr>
          <w:rFonts w:ascii="Arial" w:hAnsi="Arial"/>
          <w:sz w:val="22"/>
          <w:szCs w:val="22"/>
        </w:rPr>
      </w:pPr>
    </w:p>
    <w:p w:rsidR="002B1AE6" w:rsidRPr="00476245" w:rsidRDefault="002310C0" w:rsidP="00882085">
      <w:pPr>
        <w:pStyle w:val="ListParagraph"/>
        <w:numPr>
          <w:ilvl w:val="1"/>
          <w:numId w:val="25"/>
        </w:numPr>
        <w:jc w:val="both"/>
        <w:rPr>
          <w:rFonts w:ascii="Arial" w:hAnsi="Arial"/>
          <w:i/>
          <w:sz w:val="22"/>
          <w:szCs w:val="22"/>
        </w:rPr>
      </w:pPr>
      <w:r w:rsidRPr="002310C0">
        <w:rPr>
          <w:rFonts w:ascii="Arial" w:hAnsi="Arial"/>
          <w:sz w:val="22"/>
          <w:szCs w:val="22"/>
        </w:rPr>
        <w:t xml:space="preserve">Omalizumab was first TGA registered </w:t>
      </w:r>
      <w:r>
        <w:rPr>
          <w:rFonts w:ascii="Arial" w:hAnsi="Arial"/>
          <w:sz w:val="22"/>
          <w:szCs w:val="22"/>
        </w:rPr>
        <w:t>in</w:t>
      </w:r>
      <w:r w:rsidRPr="002310C0">
        <w:rPr>
          <w:rFonts w:ascii="Arial" w:hAnsi="Arial"/>
          <w:sz w:val="22"/>
          <w:szCs w:val="22"/>
        </w:rPr>
        <w:t xml:space="preserve"> June 2002 for the management of adults and adolescent patients with moderate allergic asthma.  Registration was extended </w:t>
      </w:r>
      <w:r>
        <w:rPr>
          <w:rFonts w:ascii="Arial" w:hAnsi="Arial"/>
          <w:sz w:val="22"/>
          <w:szCs w:val="22"/>
        </w:rPr>
        <w:t>in</w:t>
      </w:r>
      <w:r w:rsidRPr="002310C0">
        <w:rPr>
          <w:rFonts w:ascii="Arial" w:hAnsi="Arial"/>
          <w:sz w:val="22"/>
          <w:szCs w:val="22"/>
        </w:rPr>
        <w:t xml:space="preserve"> December 2005 to include management of adult and adolescent patients with moderate to severe allergic asthma, who are already being treated with inhaled steroids, and who have serum immunoglobulin E levels corresponding to the recommended dose range.</w:t>
      </w:r>
      <w:r w:rsidR="002B1AE6" w:rsidRPr="00476245">
        <w:rPr>
          <w:rFonts w:ascii="Arial" w:hAnsi="Arial"/>
          <w:sz w:val="22"/>
          <w:szCs w:val="22"/>
        </w:rPr>
        <w:t xml:space="preserve"> </w:t>
      </w:r>
    </w:p>
    <w:p w:rsidR="006B0D94" w:rsidRPr="00882085" w:rsidRDefault="006B0D94" w:rsidP="00882085">
      <w:pPr>
        <w:pStyle w:val="ListParagraph"/>
        <w:jc w:val="both"/>
        <w:rPr>
          <w:rFonts w:ascii="Arial" w:hAnsi="Arial"/>
          <w:sz w:val="22"/>
          <w:szCs w:val="22"/>
        </w:rPr>
      </w:pPr>
    </w:p>
    <w:p w:rsidR="002310C0" w:rsidRDefault="002310C0" w:rsidP="002310C0">
      <w:pPr>
        <w:pStyle w:val="ListParagraph"/>
        <w:numPr>
          <w:ilvl w:val="1"/>
          <w:numId w:val="25"/>
        </w:numPr>
        <w:jc w:val="both"/>
        <w:rPr>
          <w:rFonts w:ascii="Arial" w:hAnsi="Arial"/>
          <w:sz w:val="22"/>
          <w:szCs w:val="22"/>
        </w:rPr>
      </w:pPr>
      <w:r>
        <w:rPr>
          <w:rFonts w:ascii="Arial" w:hAnsi="Arial"/>
          <w:sz w:val="22"/>
          <w:szCs w:val="22"/>
        </w:rPr>
        <w:t xml:space="preserve">The PBAC rejected omalizumab for listing for the treatment of patients with uncontrolled severe allergic asthma in November 2009. Following this outcome, a post-PBAC meeting was held in December 2009 and a PBAC-convened stakeholder meeting was held in April 2010. A resubmission was considered and approved by the PBAC for listing in November 2010. The resubmission included the restrictions that were agreed to at the April 2010 stakeholder meeting. </w:t>
      </w:r>
    </w:p>
    <w:p w:rsidR="002310C0" w:rsidRPr="001052F9" w:rsidRDefault="002310C0" w:rsidP="002310C0">
      <w:pPr>
        <w:pStyle w:val="ListParagraph"/>
        <w:rPr>
          <w:rFonts w:ascii="Arial" w:hAnsi="Arial"/>
          <w:sz w:val="22"/>
          <w:szCs w:val="22"/>
        </w:rPr>
      </w:pPr>
    </w:p>
    <w:p w:rsidR="002310C0" w:rsidRDefault="002310C0" w:rsidP="002310C0">
      <w:pPr>
        <w:pStyle w:val="ListParagraph"/>
        <w:numPr>
          <w:ilvl w:val="1"/>
          <w:numId w:val="25"/>
        </w:numPr>
        <w:jc w:val="both"/>
        <w:rPr>
          <w:rFonts w:ascii="Arial" w:hAnsi="Arial"/>
          <w:sz w:val="22"/>
          <w:szCs w:val="22"/>
        </w:rPr>
      </w:pPr>
      <w:r>
        <w:rPr>
          <w:rFonts w:ascii="Arial" w:hAnsi="Arial"/>
          <w:sz w:val="22"/>
          <w:szCs w:val="22"/>
        </w:rPr>
        <w:t xml:space="preserve">In February 2013, DUSC considered the utilisation of omalizumab over the first 12 months of listing, which was approximately </w:t>
      </w:r>
      <w:r w:rsidR="00BA3F5C">
        <w:rPr>
          <w:rFonts w:ascii="Arial" w:hAnsi="Arial"/>
          <w:noProof/>
          <w:color w:val="000000"/>
          <w:sz w:val="22"/>
          <w:szCs w:val="22"/>
          <w:highlight w:val="black"/>
        </w:rPr>
        <w:t>''''''</w:t>
      </w:r>
      <w:r>
        <w:rPr>
          <w:rFonts w:ascii="Arial" w:hAnsi="Arial"/>
          <w:sz w:val="22"/>
          <w:szCs w:val="22"/>
        </w:rPr>
        <w:t xml:space="preserve">% of predicted. In April 2013, the PBAC considered that access to appropriately qualified prescribers, establishing eligibility to access PBS-subsidised omalizumab; and the requirement to maintain patients on long-term corticosteroids contributed to the low uptake of omalizumab. </w:t>
      </w:r>
    </w:p>
    <w:p w:rsidR="002310C0" w:rsidRPr="001052F9" w:rsidRDefault="002310C0" w:rsidP="002310C0">
      <w:pPr>
        <w:pStyle w:val="ListParagraph"/>
        <w:rPr>
          <w:rFonts w:ascii="Arial" w:hAnsi="Arial"/>
          <w:sz w:val="22"/>
          <w:szCs w:val="22"/>
        </w:rPr>
      </w:pPr>
    </w:p>
    <w:p w:rsidR="002310C0" w:rsidRPr="00466D75" w:rsidRDefault="002310C0" w:rsidP="002310C0">
      <w:pPr>
        <w:pStyle w:val="ListParagraph"/>
        <w:numPr>
          <w:ilvl w:val="1"/>
          <w:numId w:val="25"/>
        </w:numPr>
        <w:jc w:val="both"/>
        <w:rPr>
          <w:rFonts w:ascii="Arial" w:hAnsi="Arial"/>
          <w:sz w:val="22"/>
          <w:szCs w:val="22"/>
        </w:rPr>
      </w:pPr>
      <w:r w:rsidRPr="00046397">
        <w:rPr>
          <w:rFonts w:ascii="Arial" w:hAnsi="Arial"/>
          <w:sz w:val="22"/>
          <w:szCs w:val="22"/>
        </w:rPr>
        <w:t xml:space="preserve">In June 2014, DUSC </w:t>
      </w:r>
      <w:r w:rsidRPr="00466D75">
        <w:rPr>
          <w:rFonts w:ascii="Arial" w:hAnsi="Arial"/>
          <w:sz w:val="22"/>
          <w:szCs w:val="22"/>
        </w:rPr>
        <w:t xml:space="preserve">considered the utilisation of omalizumab over the first 24 months of listing, which was approximately </w:t>
      </w:r>
      <w:r w:rsidR="00BA3F5C">
        <w:rPr>
          <w:rFonts w:ascii="Arial" w:hAnsi="Arial"/>
          <w:noProof/>
          <w:color w:val="000000"/>
          <w:sz w:val="22"/>
          <w:szCs w:val="22"/>
          <w:highlight w:val="black"/>
        </w:rPr>
        <w:t>''''''</w:t>
      </w:r>
      <w:r w:rsidRPr="00466D75">
        <w:rPr>
          <w:rFonts w:ascii="Arial" w:hAnsi="Arial"/>
          <w:sz w:val="22"/>
          <w:szCs w:val="22"/>
        </w:rPr>
        <w:t>% of predicted in the second year. In July 2014, the PBAC recalled that a stakeholder meeting in 2010 had been required to finalise the restriction, and requested that such a group be reconvened to discuss potential changes.  The PBAC particularly noted the elements of the current restriction referring to oral corticosteroid use were developed in consultation with the stakeholder group and reflected the best practice guidelines at the time.  The PBAC recalled that oral corticosteroid use had been an important element in cost effectiveness analysis underpinning the original recommendation. The PBAC considered therefore that a change to the restriction could influence the cost effectiveness of omalizumab.</w:t>
      </w:r>
    </w:p>
    <w:p w:rsidR="002310C0" w:rsidRPr="00466D75" w:rsidRDefault="002310C0" w:rsidP="002310C0">
      <w:pPr>
        <w:jc w:val="both"/>
        <w:rPr>
          <w:rFonts w:ascii="Arial" w:hAnsi="Arial"/>
          <w:sz w:val="22"/>
          <w:szCs w:val="22"/>
        </w:rPr>
      </w:pPr>
    </w:p>
    <w:p w:rsidR="00BB7EC3" w:rsidRDefault="002310C0" w:rsidP="002310C0">
      <w:pPr>
        <w:pStyle w:val="ListParagraph"/>
        <w:numPr>
          <w:ilvl w:val="1"/>
          <w:numId w:val="25"/>
        </w:numPr>
        <w:jc w:val="both"/>
        <w:rPr>
          <w:rFonts w:ascii="Arial" w:hAnsi="Arial"/>
          <w:sz w:val="22"/>
          <w:szCs w:val="22"/>
        </w:rPr>
      </w:pPr>
      <w:r w:rsidRPr="00466D75">
        <w:rPr>
          <w:rFonts w:ascii="Arial" w:hAnsi="Arial"/>
          <w:sz w:val="22"/>
          <w:szCs w:val="22"/>
        </w:rPr>
        <w:t>The sponsor note</w:t>
      </w:r>
      <w:r>
        <w:rPr>
          <w:rFonts w:ascii="Arial" w:hAnsi="Arial"/>
          <w:sz w:val="22"/>
          <w:szCs w:val="22"/>
        </w:rPr>
        <w:t>d</w:t>
      </w:r>
      <w:r w:rsidRPr="00466D75">
        <w:rPr>
          <w:rFonts w:ascii="Arial" w:hAnsi="Arial"/>
          <w:sz w:val="22"/>
          <w:szCs w:val="22"/>
        </w:rPr>
        <w:t xml:space="preserve"> that while the r</w:t>
      </w:r>
      <w:r>
        <w:rPr>
          <w:rFonts w:ascii="Arial" w:hAnsi="Arial"/>
          <w:sz w:val="22"/>
          <w:szCs w:val="22"/>
        </w:rPr>
        <w:t xml:space="preserve">estriction for omalizumab would be considered through the review of Authority </w:t>
      </w:r>
      <w:proofErr w:type="gramStart"/>
      <w:r>
        <w:rPr>
          <w:rFonts w:ascii="Arial" w:hAnsi="Arial"/>
          <w:sz w:val="22"/>
          <w:szCs w:val="22"/>
        </w:rPr>
        <w:t>Required</w:t>
      </w:r>
      <w:proofErr w:type="gramEnd"/>
      <w:r>
        <w:rPr>
          <w:rFonts w:ascii="Arial" w:hAnsi="Arial"/>
          <w:sz w:val="22"/>
          <w:szCs w:val="22"/>
        </w:rPr>
        <w:t xml:space="preserve"> listings, the scope may not allow for a detailed analysis of the eligibility criteria and this would not occur until the third round of reviews.</w:t>
      </w:r>
    </w:p>
    <w:p w:rsidR="00EA6C69" w:rsidRDefault="00EA6C69" w:rsidP="00EA6C69">
      <w:pPr>
        <w:pStyle w:val="ListParagraph"/>
        <w:jc w:val="both"/>
        <w:rPr>
          <w:rFonts w:ascii="Arial" w:hAnsi="Arial"/>
          <w:sz w:val="22"/>
          <w:szCs w:val="22"/>
        </w:rPr>
      </w:pPr>
    </w:p>
    <w:p w:rsidR="00C12E3F" w:rsidRPr="00EA6C69" w:rsidRDefault="004E681C" w:rsidP="00EA6C69">
      <w:pPr>
        <w:pStyle w:val="ListParagraph"/>
        <w:numPr>
          <w:ilvl w:val="1"/>
          <w:numId w:val="25"/>
        </w:numPr>
        <w:jc w:val="both"/>
        <w:rPr>
          <w:rFonts w:ascii="Arial" w:hAnsi="Arial"/>
          <w:sz w:val="22"/>
          <w:szCs w:val="22"/>
        </w:rPr>
      </w:pPr>
      <w:r>
        <w:rPr>
          <w:rFonts w:ascii="Arial" w:hAnsi="Arial"/>
          <w:sz w:val="22"/>
          <w:szCs w:val="22"/>
        </w:rPr>
        <w:t xml:space="preserve">In November 2014, </w:t>
      </w:r>
      <w:r w:rsidR="00C12E3F">
        <w:rPr>
          <w:rFonts w:ascii="Arial" w:hAnsi="Arial"/>
          <w:sz w:val="22"/>
          <w:szCs w:val="22"/>
        </w:rPr>
        <w:t>the Sponsor proposed approximately 10 changes to the restriction (see the Table in November 2014 PBAC minutes). The</w:t>
      </w:r>
      <w:r>
        <w:rPr>
          <w:rFonts w:ascii="Arial" w:hAnsi="Arial"/>
          <w:sz w:val="22"/>
          <w:szCs w:val="22"/>
        </w:rPr>
        <w:t xml:space="preserve"> </w:t>
      </w:r>
      <w:r w:rsidRPr="004E681C">
        <w:rPr>
          <w:rFonts w:ascii="Arial" w:hAnsi="Arial"/>
          <w:bCs/>
          <w:sz w:val="22"/>
          <w:szCs w:val="22"/>
          <w:lang w:val="en-GB"/>
        </w:rPr>
        <w:t xml:space="preserve">PBAC recommended amending the restriction wording of omalizumab to align the definition of optimal asthma therapy with current clinical guidelines (refers to row 1.8b in the </w:t>
      </w:r>
      <w:r w:rsidR="00C12E3F">
        <w:rPr>
          <w:rFonts w:ascii="Arial" w:hAnsi="Arial"/>
          <w:sz w:val="22"/>
          <w:szCs w:val="22"/>
        </w:rPr>
        <w:t xml:space="preserve">Table in November 2014 PBAC </w:t>
      </w:r>
      <w:r w:rsidR="00791609">
        <w:rPr>
          <w:rFonts w:ascii="Arial" w:hAnsi="Arial"/>
          <w:sz w:val="22"/>
          <w:szCs w:val="22"/>
        </w:rPr>
        <w:t>Public Summary Document</w:t>
      </w:r>
      <w:r w:rsidRPr="004E681C">
        <w:rPr>
          <w:rFonts w:ascii="Arial" w:hAnsi="Arial"/>
          <w:bCs/>
          <w:sz w:val="22"/>
          <w:szCs w:val="22"/>
          <w:lang w:val="en-GB"/>
        </w:rPr>
        <w:t>) and to extend the period for assessment of response from 2 weeks to 4 weeks (refers to row 3</w:t>
      </w:r>
      <w:r w:rsidR="00C12E3F">
        <w:rPr>
          <w:rFonts w:ascii="Arial" w:hAnsi="Arial"/>
          <w:bCs/>
          <w:sz w:val="22"/>
          <w:szCs w:val="22"/>
          <w:lang w:val="en-GB"/>
        </w:rPr>
        <w:t xml:space="preserve"> </w:t>
      </w:r>
      <w:r w:rsidR="00C12E3F">
        <w:rPr>
          <w:rFonts w:ascii="Arial" w:hAnsi="Arial"/>
          <w:sz w:val="22"/>
          <w:szCs w:val="22"/>
        </w:rPr>
        <w:t xml:space="preserve">Table in November 2014 PBAC </w:t>
      </w:r>
      <w:r w:rsidR="00791609">
        <w:rPr>
          <w:rFonts w:ascii="Arial" w:hAnsi="Arial"/>
          <w:sz w:val="22"/>
          <w:szCs w:val="22"/>
        </w:rPr>
        <w:t>Public Summary Document</w:t>
      </w:r>
      <w:r w:rsidRPr="004E681C">
        <w:rPr>
          <w:rFonts w:ascii="Arial" w:hAnsi="Arial"/>
          <w:bCs/>
          <w:sz w:val="22"/>
          <w:szCs w:val="22"/>
          <w:lang w:val="en-GB"/>
        </w:rPr>
        <w:t>)</w:t>
      </w:r>
      <w:r>
        <w:rPr>
          <w:rFonts w:ascii="Arial" w:hAnsi="Arial"/>
          <w:bCs/>
          <w:sz w:val="22"/>
          <w:szCs w:val="22"/>
          <w:lang w:val="en-GB"/>
        </w:rPr>
        <w:t xml:space="preserve">. </w:t>
      </w:r>
      <w:r w:rsidRPr="004E681C">
        <w:rPr>
          <w:rFonts w:ascii="Arial" w:hAnsi="Arial"/>
          <w:bCs/>
          <w:sz w:val="22"/>
          <w:szCs w:val="22"/>
          <w:lang w:val="en-GB"/>
        </w:rPr>
        <w:t xml:space="preserve">The PBAC noted that the remaining requested changes to the restriction for omalizumab would require formal evaluation prior to consideration by PBAC. Accordingly, the PBAC recommended that the sponsor submit a major resubmission to justify reducing the baseline </w:t>
      </w:r>
      <w:proofErr w:type="spellStart"/>
      <w:r w:rsidRPr="004E681C">
        <w:rPr>
          <w:rFonts w:ascii="Arial" w:hAnsi="Arial"/>
          <w:bCs/>
          <w:sz w:val="22"/>
          <w:szCs w:val="22"/>
          <w:lang w:val="en-GB"/>
        </w:rPr>
        <w:t>IgE</w:t>
      </w:r>
      <w:proofErr w:type="spellEnd"/>
      <w:r w:rsidRPr="004E681C">
        <w:rPr>
          <w:rFonts w:ascii="Arial" w:hAnsi="Arial"/>
          <w:bCs/>
          <w:sz w:val="22"/>
          <w:szCs w:val="22"/>
          <w:lang w:val="en-GB"/>
        </w:rPr>
        <w:t xml:space="preserve"> threshold as well as other requested changes to the wording of the restriction.</w:t>
      </w:r>
    </w:p>
    <w:p w:rsidR="00763864" w:rsidRDefault="00763864" w:rsidP="00FC2839">
      <w:pPr>
        <w:pStyle w:val="ListParagraph"/>
        <w:spacing w:line="480" w:lineRule="auto"/>
        <w:jc w:val="both"/>
        <w:rPr>
          <w:rFonts w:ascii="Arial" w:hAnsi="Arial"/>
          <w:sz w:val="22"/>
          <w:szCs w:val="22"/>
        </w:rPr>
      </w:pPr>
    </w:p>
    <w:p w:rsidR="00272546" w:rsidRPr="00272546" w:rsidRDefault="00272546" w:rsidP="00FC2839">
      <w:pPr>
        <w:pStyle w:val="Heading1"/>
      </w:pPr>
      <w:r w:rsidRPr="00272546">
        <w:t>Current situation</w:t>
      </w:r>
    </w:p>
    <w:p w:rsidR="00272546" w:rsidRDefault="00272546" w:rsidP="00272546">
      <w:pPr>
        <w:pStyle w:val="ListParagraph"/>
        <w:jc w:val="both"/>
        <w:rPr>
          <w:rFonts w:ascii="Arial" w:hAnsi="Arial"/>
          <w:sz w:val="22"/>
          <w:szCs w:val="22"/>
        </w:rPr>
      </w:pPr>
    </w:p>
    <w:p w:rsidR="00272546" w:rsidRDefault="00890526" w:rsidP="00890526">
      <w:pPr>
        <w:pStyle w:val="ListParagraph"/>
        <w:numPr>
          <w:ilvl w:val="1"/>
          <w:numId w:val="25"/>
        </w:numPr>
        <w:jc w:val="both"/>
        <w:rPr>
          <w:rFonts w:ascii="Arial" w:hAnsi="Arial"/>
          <w:sz w:val="22"/>
          <w:szCs w:val="22"/>
        </w:rPr>
      </w:pPr>
      <w:r>
        <w:rPr>
          <w:rFonts w:ascii="Arial" w:hAnsi="Arial"/>
          <w:sz w:val="22"/>
          <w:szCs w:val="22"/>
        </w:rPr>
        <w:t xml:space="preserve">The </w:t>
      </w:r>
      <w:r w:rsidR="00DC3ED2">
        <w:rPr>
          <w:rFonts w:ascii="Arial" w:hAnsi="Arial"/>
          <w:sz w:val="22"/>
          <w:szCs w:val="22"/>
        </w:rPr>
        <w:t xml:space="preserve">minor </w:t>
      </w:r>
      <w:r>
        <w:rPr>
          <w:rFonts w:ascii="Arial" w:hAnsi="Arial"/>
          <w:sz w:val="22"/>
          <w:szCs w:val="22"/>
        </w:rPr>
        <w:t xml:space="preserve">submission proposed an amendment to one of </w:t>
      </w:r>
      <w:r w:rsidR="00272546">
        <w:rPr>
          <w:rFonts w:ascii="Arial" w:hAnsi="Arial"/>
          <w:sz w:val="22"/>
          <w:szCs w:val="22"/>
        </w:rPr>
        <w:t>the PBS</w:t>
      </w:r>
      <w:r w:rsidR="00C12E3F" w:rsidRPr="00890526">
        <w:rPr>
          <w:rFonts w:ascii="Arial" w:hAnsi="Arial"/>
          <w:sz w:val="22"/>
          <w:szCs w:val="22"/>
        </w:rPr>
        <w:t xml:space="preserve"> </w:t>
      </w:r>
      <w:r w:rsidR="00272546">
        <w:rPr>
          <w:rFonts w:ascii="Arial" w:hAnsi="Arial"/>
          <w:sz w:val="22"/>
          <w:szCs w:val="22"/>
        </w:rPr>
        <w:t>restrictions</w:t>
      </w:r>
      <w:r w:rsidR="00C12E3F" w:rsidRPr="00890526">
        <w:rPr>
          <w:rFonts w:ascii="Arial" w:hAnsi="Arial"/>
          <w:sz w:val="22"/>
          <w:szCs w:val="22"/>
        </w:rPr>
        <w:t xml:space="preserve"> </w:t>
      </w:r>
      <w:r w:rsidR="00272546">
        <w:rPr>
          <w:rFonts w:ascii="Arial" w:hAnsi="Arial"/>
          <w:sz w:val="22"/>
          <w:szCs w:val="22"/>
        </w:rPr>
        <w:t xml:space="preserve">to allow patients with </w:t>
      </w:r>
      <w:proofErr w:type="spellStart"/>
      <w:r w:rsidR="00272546" w:rsidRPr="00272546">
        <w:rPr>
          <w:rFonts w:ascii="Arial" w:hAnsi="Arial"/>
          <w:sz w:val="22"/>
          <w:szCs w:val="22"/>
        </w:rPr>
        <w:t>IgE</w:t>
      </w:r>
      <w:proofErr w:type="spellEnd"/>
      <w:r w:rsidR="00272546" w:rsidRPr="00272546">
        <w:rPr>
          <w:rFonts w:ascii="Arial" w:hAnsi="Arial"/>
          <w:sz w:val="22"/>
          <w:szCs w:val="22"/>
        </w:rPr>
        <w:t xml:space="preserve"> 30-75 IU/mL who meet all other existing PBS eligibility criteria to have the opportunity to trial use of omalizumab for their severe allergic asthma.</w:t>
      </w:r>
    </w:p>
    <w:p w:rsidR="00272546" w:rsidRDefault="00272546" w:rsidP="00272546">
      <w:pPr>
        <w:pStyle w:val="ListParagraph"/>
        <w:jc w:val="both"/>
        <w:rPr>
          <w:rFonts w:ascii="Arial" w:hAnsi="Arial"/>
          <w:sz w:val="22"/>
          <w:szCs w:val="22"/>
        </w:rPr>
      </w:pPr>
    </w:p>
    <w:p w:rsidR="00C12E3F" w:rsidRPr="00DC3ED2" w:rsidRDefault="00272546" w:rsidP="00890526">
      <w:pPr>
        <w:pStyle w:val="ListParagraph"/>
        <w:numPr>
          <w:ilvl w:val="1"/>
          <w:numId w:val="25"/>
        </w:numPr>
        <w:jc w:val="both"/>
        <w:rPr>
          <w:rFonts w:ascii="Arial" w:hAnsi="Arial"/>
          <w:sz w:val="22"/>
          <w:szCs w:val="22"/>
        </w:rPr>
      </w:pPr>
      <w:r w:rsidRPr="00DC3ED2">
        <w:rPr>
          <w:rFonts w:ascii="Arial" w:hAnsi="Arial"/>
          <w:sz w:val="22"/>
          <w:szCs w:val="22"/>
        </w:rPr>
        <w:t>The submission</w:t>
      </w:r>
      <w:r w:rsidR="00890526" w:rsidRPr="00DC3ED2">
        <w:rPr>
          <w:rFonts w:ascii="Arial" w:hAnsi="Arial"/>
          <w:sz w:val="22"/>
          <w:szCs w:val="22"/>
        </w:rPr>
        <w:t xml:space="preserve"> proposed a </w:t>
      </w:r>
      <w:r w:rsidR="00C12E3F" w:rsidRPr="00DC3ED2">
        <w:rPr>
          <w:rFonts w:ascii="Arial" w:hAnsi="Arial"/>
          <w:sz w:val="22"/>
          <w:szCs w:val="22"/>
        </w:rPr>
        <w:t xml:space="preserve">rebate </w:t>
      </w:r>
      <w:r w:rsidR="00890526" w:rsidRPr="00DC3ED2">
        <w:rPr>
          <w:rFonts w:ascii="Arial" w:hAnsi="Arial"/>
          <w:sz w:val="22"/>
          <w:szCs w:val="22"/>
        </w:rPr>
        <w:t xml:space="preserve">of </w:t>
      </w:r>
      <w:r w:rsidR="00BA3F5C">
        <w:rPr>
          <w:rFonts w:ascii="Arial" w:hAnsi="Arial"/>
          <w:noProof/>
          <w:color w:val="000000"/>
          <w:sz w:val="22"/>
          <w:szCs w:val="22"/>
          <w:highlight w:val="black"/>
        </w:rPr>
        <w:t>'''''''''''''''</w:t>
      </w:r>
      <w:r w:rsidR="00C12E3F" w:rsidRPr="00DC3ED2">
        <w:rPr>
          <w:rFonts w:ascii="Arial" w:hAnsi="Arial"/>
          <w:sz w:val="22"/>
          <w:szCs w:val="22"/>
        </w:rPr>
        <w:t xml:space="preserve"> of the cost of up to 28 weeks of therapy for the patients with </w:t>
      </w:r>
      <w:proofErr w:type="spellStart"/>
      <w:r w:rsidR="00C12E3F" w:rsidRPr="00DC3ED2">
        <w:rPr>
          <w:rFonts w:ascii="Arial" w:hAnsi="Arial"/>
          <w:sz w:val="22"/>
          <w:szCs w:val="22"/>
        </w:rPr>
        <w:t>IgE</w:t>
      </w:r>
      <w:proofErr w:type="spellEnd"/>
      <w:r w:rsidR="00C12E3F" w:rsidRPr="00DC3ED2">
        <w:rPr>
          <w:rFonts w:ascii="Arial" w:hAnsi="Arial"/>
          <w:sz w:val="22"/>
          <w:szCs w:val="22"/>
        </w:rPr>
        <w:t xml:space="preserve"> 30-75 IU/mL who do not respond to omalizumab.</w:t>
      </w:r>
    </w:p>
    <w:p w:rsidR="0013309A" w:rsidRDefault="0013309A" w:rsidP="00890526">
      <w:pPr>
        <w:pStyle w:val="ListParagraph"/>
        <w:ind w:left="1440"/>
        <w:jc w:val="both"/>
        <w:rPr>
          <w:rFonts w:ascii="Arial" w:hAnsi="Arial"/>
          <w:i/>
          <w:sz w:val="22"/>
          <w:szCs w:val="22"/>
        </w:rPr>
      </w:pPr>
    </w:p>
    <w:p w:rsidR="00BB7EC3" w:rsidRDefault="0013309A" w:rsidP="0013309A">
      <w:pPr>
        <w:pStyle w:val="ListParagraph"/>
        <w:ind w:left="1440" w:hanging="731"/>
        <w:jc w:val="both"/>
        <w:rPr>
          <w:rFonts w:ascii="Arial" w:hAnsi="Arial"/>
          <w:i/>
          <w:sz w:val="22"/>
          <w:szCs w:val="22"/>
        </w:rPr>
      </w:pPr>
      <w:r w:rsidRPr="0013309A">
        <w:rPr>
          <w:rFonts w:ascii="Arial" w:hAnsi="Arial"/>
          <w:i/>
          <w:sz w:val="22"/>
          <w:szCs w:val="22"/>
        </w:rPr>
        <w:t>For more detail on PBAC’s view, see section 7 “PBAC outcome”</w:t>
      </w:r>
    </w:p>
    <w:p w:rsidR="00FC2839" w:rsidRPr="00890526" w:rsidRDefault="00FC2839" w:rsidP="00FC2839">
      <w:pPr>
        <w:pStyle w:val="ListParagraph"/>
        <w:spacing w:line="480" w:lineRule="auto"/>
        <w:ind w:left="1440" w:hanging="731"/>
        <w:contextualSpacing w:val="0"/>
        <w:jc w:val="both"/>
        <w:rPr>
          <w:rFonts w:ascii="Arial" w:hAnsi="Arial"/>
          <w:sz w:val="22"/>
          <w:szCs w:val="22"/>
        </w:rPr>
      </w:pPr>
    </w:p>
    <w:p w:rsidR="00CE10C4" w:rsidRPr="00882085" w:rsidRDefault="00CE10C4" w:rsidP="00FC2839">
      <w:pPr>
        <w:pStyle w:val="Heading1"/>
      </w:pPr>
      <w:r w:rsidRPr="00882085">
        <w:t>Clinical place for the proposed ther</w:t>
      </w:r>
      <w:r w:rsidR="006A12A5" w:rsidRPr="00882085">
        <w:t>apy</w:t>
      </w:r>
    </w:p>
    <w:p w:rsidR="00CE10C4" w:rsidRPr="00882085" w:rsidRDefault="00CE10C4" w:rsidP="00882085">
      <w:pPr>
        <w:jc w:val="both"/>
        <w:rPr>
          <w:rFonts w:ascii="Arial" w:hAnsi="Arial"/>
          <w:sz w:val="22"/>
          <w:szCs w:val="22"/>
        </w:rPr>
      </w:pPr>
    </w:p>
    <w:p w:rsidR="006A12A5" w:rsidRPr="00882085" w:rsidRDefault="00BB33A5" w:rsidP="00882085">
      <w:pPr>
        <w:pStyle w:val="ListParagraph"/>
        <w:numPr>
          <w:ilvl w:val="1"/>
          <w:numId w:val="25"/>
        </w:numPr>
        <w:jc w:val="both"/>
        <w:rPr>
          <w:rFonts w:ascii="Arial" w:hAnsi="Arial"/>
          <w:sz w:val="22"/>
          <w:szCs w:val="22"/>
        </w:rPr>
      </w:pPr>
      <w:r w:rsidRPr="00BB33A5">
        <w:rPr>
          <w:rFonts w:ascii="Arial" w:hAnsi="Arial"/>
          <w:sz w:val="22"/>
          <w:szCs w:val="22"/>
        </w:rPr>
        <w:lastRenderedPageBreak/>
        <w:t>Omalizumab, administered as a subcutaneous injection, is an add-on treatment for the management of severe allergic asthma for patients who are treated with maximal recommended asthma maintenance medication, yet remain symptomatic</w:t>
      </w:r>
      <w:r>
        <w:rPr>
          <w:rFonts w:ascii="Arial" w:hAnsi="Arial"/>
          <w:sz w:val="22"/>
          <w:szCs w:val="22"/>
        </w:rPr>
        <w:t xml:space="preserve"> </w:t>
      </w:r>
      <w:r w:rsidRPr="00BB33A5">
        <w:rPr>
          <w:rFonts w:ascii="Arial" w:hAnsi="Arial"/>
          <w:sz w:val="22"/>
          <w:szCs w:val="22"/>
        </w:rPr>
        <w:t>(Public Summary Document, November 2009).</w:t>
      </w:r>
    </w:p>
    <w:p w:rsidR="00BB7EC3" w:rsidRDefault="00BB7EC3" w:rsidP="00FC2839">
      <w:pPr>
        <w:pStyle w:val="Header"/>
        <w:tabs>
          <w:tab w:val="clear" w:pos="4153"/>
          <w:tab w:val="clear" w:pos="8306"/>
        </w:tabs>
        <w:spacing w:line="480" w:lineRule="auto"/>
        <w:jc w:val="both"/>
        <w:rPr>
          <w:rFonts w:ascii="Arial" w:hAnsi="Arial"/>
          <w:sz w:val="22"/>
          <w:szCs w:val="22"/>
        </w:rPr>
      </w:pPr>
    </w:p>
    <w:p w:rsidR="000B558D" w:rsidRPr="00882085" w:rsidRDefault="008D7A41" w:rsidP="00FC2839">
      <w:pPr>
        <w:pStyle w:val="Heading1"/>
      </w:pPr>
      <w:r>
        <w:t>C</w:t>
      </w:r>
      <w:r w:rsidR="00D84934">
        <w:t>onsideration of the evidence</w:t>
      </w:r>
    </w:p>
    <w:p w:rsidR="00E37B74" w:rsidRDefault="00E37B74" w:rsidP="00E37B74">
      <w:pPr>
        <w:jc w:val="both"/>
        <w:rPr>
          <w:rFonts w:ascii="Arial" w:hAnsi="Arial"/>
          <w:b/>
          <w:sz w:val="22"/>
          <w:szCs w:val="22"/>
          <w:highlight w:val="yellow"/>
        </w:rPr>
      </w:pPr>
    </w:p>
    <w:p w:rsidR="00E37B74" w:rsidRPr="00393ED4" w:rsidRDefault="00E37B74" w:rsidP="00FC2839">
      <w:pPr>
        <w:pStyle w:val="Heading2"/>
      </w:pPr>
      <w:r w:rsidRPr="00FC2839">
        <w:t>Sponsor</w:t>
      </w:r>
      <w:r w:rsidRPr="00393ED4">
        <w:t xml:space="preserve"> hearing</w:t>
      </w:r>
    </w:p>
    <w:p w:rsidR="00E37B74" w:rsidRPr="00393ED4" w:rsidRDefault="00E37B74" w:rsidP="00E37B74">
      <w:pPr>
        <w:jc w:val="both"/>
        <w:rPr>
          <w:rFonts w:ascii="Arial" w:hAnsi="Arial"/>
          <w:b/>
          <w:sz w:val="22"/>
          <w:szCs w:val="22"/>
        </w:rPr>
      </w:pPr>
    </w:p>
    <w:p w:rsidR="00E37B74" w:rsidRPr="00393ED4" w:rsidRDefault="00E37B74" w:rsidP="00E37B74">
      <w:pPr>
        <w:pStyle w:val="ListParagraph"/>
        <w:numPr>
          <w:ilvl w:val="1"/>
          <w:numId w:val="25"/>
        </w:numPr>
        <w:jc w:val="both"/>
        <w:rPr>
          <w:rFonts w:ascii="Arial" w:hAnsi="Arial"/>
          <w:b/>
          <w:sz w:val="22"/>
          <w:szCs w:val="22"/>
        </w:rPr>
      </w:pPr>
      <w:r w:rsidRPr="00393ED4">
        <w:rPr>
          <w:rFonts w:ascii="Arial" w:hAnsi="Arial" w:cs="Arial"/>
          <w:bCs/>
          <w:snapToGrid w:val="0"/>
          <w:sz w:val="22"/>
          <w:szCs w:val="22"/>
        </w:rPr>
        <w:t>There was no hearing for this item as it was a minor submission.</w:t>
      </w:r>
    </w:p>
    <w:p w:rsidR="00E37B74" w:rsidRDefault="00E37B74" w:rsidP="00E37B74">
      <w:pPr>
        <w:jc w:val="both"/>
        <w:rPr>
          <w:rFonts w:ascii="Arial" w:hAnsi="Arial"/>
          <w:b/>
          <w:sz w:val="22"/>
          <w:szCs w:val="22"/>
        </w:rPr>
      </w:pPr>
    </w:p>
    <w:p w:rsidR="001D6DEB" w:rsidRPr="001D6591" w:rsidRDefault="001D6DEB" w:rsidP="00FC2839">
      <w:pPr>
        <w:pStyle w:val="Heading2"/>
      </w:pPr>
      <w:r w:rsidRPr="001D6591">
        <w:t>Consumer comments</w:t>
      </w:r>
    </w:p>
    <w:p w:rsidR="001D6DEB" w:rsidRPr="001D6591" w:rsidRDefault="001D6DEB" w:rsidP="001D6DEB">
      <w:pPr>
        <w:jc w:val="both"/>
        <w:rPr>
          <w:rFonts w:ascii="Arial" w:hAnsi="Arial"/>
          <w:b/>
          <w:sz w:val="22"/>
          <w:szCs w:val="22"/>
        </w:rPr>
      </w:pPr>
    </w:p>
    <w:p w:rsidR="001D6DEB" w:rsidRDefault="001D6DEB" w:rsidP="001D6DEB">
      <w:pPr>
        <w:pStyle w:val="ListParagraph"/>
        <w:widowControl w:val="0"/>
        <w:numPr>
          <w:ilvl w:val="1"/>
          <w:numId w:val="25"/>
        </w:numPr>
        <w:jc w:val="both"/>
        <w:rPr>
          <w:rFonts w:ascii="Arial" w:hAnsi="Arial" w:cs="Arial"/>
          <w:bCs/>
          <w:snapToGrid w:val="0"/>
          <w:sz w:val="22"/>
          <w:szCs w:val="22"/>
        </w:rPr>
      </w:pPr>
      <w:r w:rsidRPr="001D6591">
        <w:rPr>
          <w:rFonts w:ascii="Arial" w:hAnsi="Arial" w:cs="Arial"/>
          <w:bCs/>
          <w:snapToGrid w:val="0"/>
          <w:sz w:val="22"/>
          <w:szCs w:val="22"/>
        </w:rPr>
        <w:t xml:space="preserve">The PBAC noted and welcomed the input from </w:t>
      </w:r>
      <w:r w:rsidR="00393ED4" w:rsidRPr="001D6591">
        <w:rPr>
          <w:rFonts w:ascii="Arial" w:hAnsi="Arial" w:cs="Arial"/>
          <w:bCs/>
          <w:snapToGrid w:val="0"/>
          <w:sz w:val="22"/>
          <w:szCs w:val="22"/>
        </w:rPr>
        <w:t>health care professionals (1</w:t>
      </w:r>
      <w:r w:rsidRPr="001D6591">
        <w:rPr>
          <w:rFonts w:ascii="Arial" w:hAnsi="Arial" w:cs="Arial"/>
          <w:bCs/>
          <w:snapToGrid w:val="0"/>
          <w:sz w:val="22"/>
          <w:szCs w:val="22"/>
        </w:rPr>
        <w:t>) and organisations (</w:t>
      </w:r>
      <w:r w:rsidR="00393ED4" w:rsidRPr="001D6591">
        <w:rPr>
          <w:rFonts w:ascii="Arial" w:hAnsi="Arial" w:cs="Arial"/>
          <w:bCs/>
          <w:snapToGrid w:val="0"/>
          <w:sz w:val="22"/>
          <w:szCs w:val="22"/>
        </w:rPr>
        <w:t>2</w:t>
      </w:r>
      <w:r w:rsidRPr="001D6591">
        <w:rPr>
          <w:rFonts w:ascii="Arial" w:hAnsi="Arial" w:cs="Arial"/>
          <w:bCs/>
          <w:snapToGrid w:val="0"/>
          <w:sz w:val="22"/>
          <w:szCs w:val="22"/>
        </w:rPr>
        <w:t xml:space="preserve">) via the Consumer Comments facility on the PBS website.  The comments </w:t>
      </w:r>
      <w:r w:rsidR="00654E3B" w:rsidRPr="001D6591">
        <w:rPr>
          <w:rFonts w:ascii="Arial" w:hAnsi="Arial" w:cs="Arial"/>
          <w:bCs/>
          <w:snapToGrid w:val="0"/>
          <w:sz w:val="22"/>
          <w:szCs w:val="22"/>
        </w:rPr>
        <w:t xml:space="preserve">were supportive of the requested changes to the restriction criteria </w:t>
      </w:r>
      <w:r w:rsidR="00654E3B" w:rsidRPr="001D6591">
        <w:rPr>
          <w:rFonts w:ascii="Arial" w:hAnsi="Arial"/>
          <w:sz w:val="22"/>
          <w:szCs w:val="22"/>
        </w:rPr>
        <w:t>for the treatment of severe allergic asthma with respect to baseline human immunoglobulin</w:t>
      </w:r>
      <w:r w:rsidR="00173320" w:rsidRPr="001D6591">
        <w:rPr>
          <w:rFonts w:ascii="Arial" w:hAnsi="Arial"/>
          <w:sz w:val="22"/>
          <w:szCs w:val="22"/>
        </w:rPr>
        <w:t>. T</w:t>
      </w:r>
      <w:r w:rsidRPr="001D6591">
        <w:rPr>
          <w:rFonts w:ascii="Arial" w:hAnsi="Arial" w:cs="Arial"/>
          <w:bCs/>
          <w:snapToGrid w:val="0"/>
          <w:sz w:val="22"/>
          <w:szCs w:val="22"/>
        </w:rPr>
        <w:t xml:space="preserve">he PBAC </w:t>
      </w:r>
      <w:r w:rsidR="00654E3B" w:rsidRPr="001D6591">
        <w:rPr>
          <w:rFonts w:ascii="Arial" w:hAnsi="Arial" w:cs="Arial"/>
          <w:bCs/>
          <w:snapToGrid w:val="0"/>
          <w:sz w:val="22"/>
          <w:szCs w:val="22"/>
        </w:rPr>
        <w:t xml:space="preserve">noted the advice </w:t>
      </w:r>
      <w:r w:rsidR="00173320" w:rsidRPr="001D6591">
        <w:rPr>
          <w:rFonts w:ascii="Arial" w:hAnsi="Arial" w:cs="Arial"/>
          <w:bCs/>
          <w:snapToGrid w:val="0"/>
          <w:sz w:val="22"/>
          <w:szCs w:val="22"/>
        </w:rPr>
        <w:t>that PBS restrictions are not generally well understood by patients with severe allergic asthma and can present a barrier to accessing effective treatment options.</w:t>
      </w:r>
    </w:p>
    <w:p w:rsidR="009E38A5" w:rsidRDefault="009E38A5" w:rsidP="009E38A5">
      <w:pPr>
        <w:pStyle w:val="ListParagraph"/>
        <w:widowControl w:val="0"/>
        <w:jc w:val="both"/>
        <w:rPr>
          <w:rFonts w:ascii="Arial" w:hAnsi="Arial" w:cs="Arial"/>
          <w:bCs/>
          <w:snapToGrid w:val="0"/>
          <w:sz w:val="22"/>
          <w:szCs w:val="22"/>
        </w:rPr>
      </w:pPr>
    </w:p>
    <w:p w:rsidR="009E38A5" w:rsidRPr="001D6591" w:rsidRDefault="009E38A5" w:rsidP="001D6DEB">
      <w:pPr>
        <w:pStyle w:val="ListParagraph"/>
        <w:widowControl w:val="0"/>
        <w:numPr>
          <w:ilvl w:val="1"/>
          <w:numId w:val="25"/>
        </w:numPr>
        <w:jc w:val="both"/>
        <w:rPr>
          <w:rFonts w:ascii="Arial" w:hAnsi="Arial" w:cs="Arial"/>
          <w:bCs/>
          <w:snapToGrid w:val="0"/>
          <w:sz w:val="22"/>
          <w:szCs w:val="22"/>
        </w:rPr>
      </w:pPr>
      <w:r>
        <w:rPr>
          <w:rFonts w:ascii="Arial" w:hAnsi="Arial" w:cs="Arial"/>
          <w:bCs/>
          <w:snapToGrid w:val="0"/>
          <w:sz w:val="22"/>
          <w:szCs w:val="22"/>
        </w:rPr>
        <w:t>The PBAC noted and welcomed the input.</w:t>
      </w:r>
    </w:p>
    <w:p w:rsidR="00BB7EC3" w:rsidRPr="001D6591" w:rsidRDefault="00BB7EC3" w:rsidP="00F9629A">
      <w:pPr>
        <w:jc w:val="both"/>
        <w:rPr>
          <w:rFonts w:ascii="Arial" w:hAnsi="Arial"/>
          <w:sz w:val="22"/>
          <w:szCs w:val="22"/>
        </w:rPr>
      </w:pPr>
    </w:p>
    <w:p w:rsidR="00D84934" w:rsidRPr="001D6591" w:rsidRDefault="00D84934" w:rsidP="00FC2839">
      <w:pPr>
        <w:pStyle w:val="Heading2"/>
      </w:pPr>
      <w:r w:rsidRPr="001D6591">
        <w:t>Clinical trials</w:t>
      </w:r>
    </w:p>
    <w:p w:rsidR="00D84934" w:rsidRPr="00F9629A" w:rsidRDefault="00D84934" w:rsidP="00F9629A">
      <w:pPr>
        <w:jc w:val="both"/>
        <w:rPr>
          <w:rFonts w:ascii="Arial" w:hAnsi="Arial"/>
          <w:sz w:val="22"/>
          <w:szCs w:val="22"/>
        </w:rPr>
      </w:pPr>
    </w:p>
    <w:p w:rsidR="009F4E46" w:rsidRDefault="00BB33A5" w:rsidP="00BB33A5">
      <w:pPr>
        <w:pStyle w:val="ListParagraph"/>
        <w:numPr>
          <w:ilvl w:val="1"/>
          <w:numId w:val="25"/>
        </w:numPr>
        <w:jc w:val="both"/>
        <w:rPr>
          <w:rFonts w:ascii="Arial" w:hAnsi="Arial"/>
          <w:sz w:val="22"/>
          <w:szCs w:val="22"/>
        </w:rPr>
      </w:pPr>
      <w:r w:rsidRPr="00BB33A5">
        <w:rPr>
          <w:rFonts w:ascii="Arial" w:hAnsi="Arial"/>
          <w:sz w:val="22"/>
          <w:szCs w:val="22"/>
        </w:rPr>
        <w:t>The same trials presented in the November 20</w:t>
      </w:r>
      <w:r w:rsidR="00166F0A">
        <w:rPr>
          <w:rFonts w:ascii="Arial" w:hAnsi="Arial"/>
          <w:sz w:val="22"/>
          <w:szCs w:val="22"/>
        </w:rPr>
        <w:t>10</w:t>
      </w:r>
      <w:r w:rsidRPr="00BB33A5">
        <w:rPr>
          <w:rFonts w:ascii="Arial" w:hAnsi="Arial"/>
          <w:sz w:val="22"/>
          <w:szCs w:val="22"/>
        </w:rPr>
        <w:t xml:space="preserve"> submission were </w:t>
      </w:r>
      <w:r w:rsidR="00DC3ED2">
        <w:rPr>
          <w:rFonts w:ascii="Arial" w:hAnsi="Arial"/>
          <w:sz w:val="22"/>
          <w:szCs w:val="22"/>
        </w:rPr>
        <w:t>re-</w:t>
      </w:r>
      <w:r w:rsidRPr="00BB33A5">
        <w:rPr>
          <w:rFonts w:ascii="Arial" w:hAnsi="Arial"/>
          <w:sz w:val="22"/>
          <w:szCs w:val="22"/>
        </w:rPr>
        <w:t>presented in th</w:t>
      </w:r>
      <w:r w:rsidR="00890526">
        <w:rPr>
          <w:rFonts w:ascii="Arial" w:hAnsi="Arial"/>
          <w:sz w:val="22"/>
          <w:szCs w:val="22"/>
        </w:rPr>
        <w:t>is</w:t>
      </w:r>
      <w:r w:rsidRPr="00BB33A5">
        <w:rPr>
          <w:rFonts w:ascii="Arial" w:hAnsi="Arial"/>
          <w:sz w:val="22"/>
          <w:szCs w:val="22"/>
        </w:rPr>
        <w:t xml:space="preserve"> submission</w:t>
      </w:r>
      <w:r w:rsidR="00166F0A">
        <w:rPr>
          <w:rFonts w:ascii="Arial" w:hAnsi="Arial"/>
          <w:sz w:val="22"/>
          <w:szCs w:val="22"/>
        </w:rPr>
        <w:t xml:space="preserve">. </w:t>
      </w:r>
    </w:p>
    <w:p w:rsidR="0076420C" w:rsidRDefault="0076420C" w:rsidP="0076420C">
      <w:pPr>
        <w:ind w:left="709"/>
        <w:jc w:val="both"/>
        <w:rPr>
          <w:rFonts w:ascii="Arial" w:hAnsi="Arial"/>
          <w:sz w:val="22"/>
          <w:szCs w:val="22"/>
        </w:rPr>
      </w:pPr>
    </w:p>
    <w:p w:rsidR="00FC2839" w:rsidRDefault="00FC2839">
      <w:pPr>
        <w:rPr>
          <w:rFonts w:ascii="Arial Narrow" w:hAnsi="Arial Narrow"/>
          <w:b/>
          <w:sz w:val="20"/>
        </w:rPr>
      </w:pPr>
      <w:r>
        <w:rPr>
          <w:rFonts w:ascii="Arial Narrow" w:hAnsi="Arial Narrow"/>
          <w:b/>
          <w:sz w:val="20"/>
        </w:rPr>
        <w:br w:type="page"/>
      </w:r>
    </w:p>
    <w:p w:rsidR="0076420C" w:rsidRPr="00D84934" w:rsidRDefault="00763864" w:rsidP="00FC2839">
      <w:pPr>
        <w:ind w:firstLine="720"/>
        <w:rPr>
          <w:rFonts w:ascii="Arial Narrow" w:hAnsi="Arial Narrow"/>
          <w:b/>
          <w:sz w:val="20"/>
        </w:rPr>
      </w:pPr>
      <w:r>
        <w:rPr>
          <w:rFonts w:ascii="Arial Narrow" w:hAnsi="Arial Narrow"/>
          <w:b/>
          <w:sz w:val="20"/>
        </w:rPr>
        <w:lastRenderedPageBreak/>
        <w:t xml:space="preserve">Table 1: </w:t>
      </w:r>
      <w:r w:rsidR="0076420C" w:rsidRPr="00D84934">
        <w:rPr>
          <w:rFonts w:ascii="Arial Narrow" w:hAnsi="Arial Narrow"/>
          <w:b/>
          <w:sz w:val="20"/>
        </w:rPr>
        <w:t>Trials and associated reports presented in the re-submission</w:t>
      </w:r>
    </w:p>
    <w:tbl>
      <w:tblPr>
        <w:tblW w:w="842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1: Trials and associated reports presented in the re-submission"/>
      </w:tblPr>
      <w:tblGrid>
        <w:gridCol w:w="833"/>
        <w:gridCol w:w="2002"/>
        <w:gridCol w:w="1985"/>
        <w:gridCol w:w="3605"/>
      </w:tblGrid>
      <w:tr w:rsidR="002522CA" w:rsidRPr="002522CA" w:rsidTr="000B68E3">
        <w:trPr>
          <w:cantSplit/>
          <w:tblHeader/>
        </w:trPr>
        <w:tc>
          <w:tcPr>
            <w:tcW w:w="833" w:type="dxa"/>
          </w:tcPr>
          <w:p w:rsidR="002522CA" w:rsidRPr="002522CA" w:rsidRDefault="002522CA" w:rsidP="00D84934">
            <w:pPr>
              <w:pStyle w:val="NoSpacing"/>
              <w:rPr>
                <w:rFonts w:ascii="Arial Narrow" w:hAnsi="Arial Narrow"/>
                <w:b/>
                <w:sz w:val="20"/>
              </w:rPr>
            </w:pPr>
            <w:r w:rsidRPr="002522CA">
              <w:rPr>
                <w:rFonts w:ascii="Arial Narrow" w:hAnsi="Arial Narrow"/>
                <w:b/>
                <w:sz w:val="20"/>
              </w:rPr>
              <w:t>Trial ID</w:t>
            </w:r>
          </w:p>
        </w:tc>
        <w:tc>
          <w:tcPr>
            <w:tcW w:w="2002" w:type="dxa"/>
          </w:tcPr>
          <w:p w:rsidR="002522CA" w:rsidRPr="002522CA" w:rsidRDefault="002522CA" w:rsidP="0062748A">
            <w:pPr>
              <w:keepNext/>
              <w:jc w:val="center"/>
              <w:rPr>
                <w:rFonts w:ascii="Arial Narrow" w:hAnsi="Arial Narrow"/>
                <w:b/>
                <w:sz w:val="20"/>
              </w:rPr>
            </w:pPr>
            <w:r w:rsidRPr="002522CA">
              <w:rPr>
                <w:rFonts w:ascii="Arial Narrow" w:hAnsi="Arial Narrow"/>
                <w:b/>
                <w:sz w:val="20"/>
              </w:rPr>
              <w:t>Protocol title/ Publication title</w:t>
            </w:r>
          </w:p>
        </w:tc>
        <w:tc>
          <w:tcPr>
            <w:tcW w:w="1985" w:type="dxa"/>
          </w:tcPr>
          <w:p w:rsidR="002522CA" w:rsidRPr="002522CA" w:rsidRDefault="002522CA" w:rsidP="0062748A">
            <w:pPr>
              <w:keepNext/>
              <w:rPr>
                <w:rFonts w:ascii="Arial Narrow" w:hAnsi="Arial Narrow"/>
                <w:b/>
                <w:sz w:val="20"/>
              </w:rPr>
            </w:pPr>
            <w:r w:rsidRPr="002522CA">
              <w:rPr>
                <w:rFonts w:ascii="Arial Narrow" w:hAnsi="Arial Narrow"/>
                <w:b/>
                <w:sz w:val="20"/>
              </w:rPr>
              <w:t>Primary outcomes</w:t>
            </w:r>
          </w:p>
        </w:tc>
        <w:tc>
          <w:tcPr>
            <w:tcW w:w="3605" w:type="dxa"/>
          </w:tcPr>
          <w:p w:rsidR="002522CA" w:rsidRPr="002522CA" w:rsidRDefault="002522CA" w:rsidP="0062748A">
            <w:pPr>
              <w:keepNext/>
              <w:rPr>
                <w:rFonts w:ascii="Arial Narrow" w:hAnsi="Arial Narrow"/>
                <w:b/>
                <w:sz w:val="20"/>
              </w:rPr>
            </w:pPr>
            <w:r w:rsidRPr="002522CA">
              <w:rPr>
                <w:rFonts w:ascii="Arial Narrow" w:hAnsi="Arial Narrow"/>
                <w:b/>
                <w:sz w:val="20"/>
              </w:rPr>
              <w:t>Secondary outcomes</w:t>
            </w:r>
          </w:p>
        </w:tc>
      </w:tr>
      <w:tr w:rsidR="002522CA" w:rsidRPr="002522CA" w:rsidTr="000B68E3">
        <w:trPr>
          <w:cantSplit/>
        </w:trPr>
        <w:tc>
          <w:tcPr>
            <w:tcW w:w="833" w:type="dxa"/>
          </w:tcPr>
          <w:p w:rsidR="002522CA" w:rsidRPr="002522CA" w:rsidRDefault="002522CA" w:rsidP="00D84934">
            <w:pPr>
              <w:pStyle w:val="NoSpacing"/>
              <w:rPr>
                <w:rFonts w:ascii="Arial Narrow" w:hAnsi="Arial Narrow"/>
                <w:sz w:val="20"/>
              </w:rPr>
            </w:pPr>
            <w:r w:rsidRPr="002522CA">
              <w:rPr>
                <w:rFonts w:ascii="Arial Narrow" w:hAnsi="Arial Narrow"/>
                <w:sz w:val="20"/>
              </w:rPr>
              <w:t>2306</w:t>
            </w:r>
          </w:p>
        </w:tc>
        <w:tc>
          <w:tcPr>
            <w:tcW w:w="2002" w:type="dxa"/>
          </w:tcPr>
          <w:p w:rsidR="002522CA" w:rsidRPr="002522CA" w:rsidRDefault="002522CA" w:rsidP="0062748A">
            <w:pPr>
              <w:keepNext/>
              <w:rPr>
                <w:rFonts w:ascii="Arial Narrow" w:hAnsi="Arial Narrow"/>
                <w:sz w:val="20"/>
              </w:rPr>
            </w:pPr>
            <w:r w:rsidRPr="002522CA">
              <w:rPr>
                <w:rFonts w:ascii="Arial Narrow" w:hAnsi="Arial Narrow"/>
                <w:sz w:val="20"/>
              </w:rPr>
              <w:t>Direct randomised double blind trial with post-hoc adjustment for primary outcome</w:t>
            </w:r>
          </w:p>
        </w:tc>
        <w:tc>
          <w:tcPr>
            <w:tcW w:w="1985" w:type="dxa"/>
          </w:tcPr>
          <w:p w:rsidR="002522CA" w:rsidRPr="002522CA" w:rsidRDefault="002522CA" w:rsidP="002522CA">
            <w:pPr>
              <w:keepNext/>
              <w:numPr>
                <w:ilvl w:val="0"/>
                <w:numId w:val="44"/>
              </w:numPr>
              <w:rPr>
                <w:rFonts w:ascii="Arial Narrow" w:hAnsi="Arial Narrow"/>
                <w:sz w:val="20"/>
              </w:rPr>
            </w:pPr>
            <w:r w:rsidRPr="002522CA">
              <w:rPr>
                <w:rFonts w:ascii="Arial Narrow" w:hAnsi="Arial Narrow"/>
                <w:sz w:val="20"/>
              </w:rPr>
              <w:t>Clinically significant asthma exacerbation rate (see below).</w:t>
            </w:r>
          </w:p>
        </w:tc>
        <w:tc>
          <w:tcPr>
            <w:tcW w:w="3605" w:type="dxa"/>
          </w:tcPr>
          <w:p w:rsidR="002522CA" w:rsidRPr="00D76BE0" w:rsidRDefault="002522CA" w:rsidP="002522CA">
            <w:pPr>
              <w:numPr>
                <w:ilvl w:val="0"/>
                <w:numId w:val="44"/>
              </w:numPr>
              <w:rPr>
                <w:rFonts w:ascii="Arial Narrow" w:hAnsi="Arial Narrow" w:cs="Arial"/>
                <w:sz w:val="20"/>
                <w:szCs w:val="20"/>
              </w:rPr>
            </w:pPr>
            <w:r w:rsidRPr="00D76BE0">
              <w:rPr>
                <w:rFonts w:ascii="Arial Narrow" w:hAnsi="Arial Narrow" w:cs="Arial"/>
                <w:sz w:val="20"/>
                <w:szCs w:val="20"/>
              </w:rPr>
              <w:t>Use of asthma rescue medication (number of puffs/day)</w:t>
            </w:r>
          </w:p>
          <w:p w:rsidR="002522CA" w:rsidRPr="00D76BE0" w:rsidRDefault="002522CA" w:rsidP="002522CA">
            <w:pPr>
              <w:numPr>
                <w:ilvl w:val="0"/>
                <w:numId w:val="44"/>
              </w:numPr>
              <w:rPr>
                <w:rFonts w:ascii="Arial Narrow" w:hAnsi="Arial Narrow" w:cs="Arial"/>
                <w:sz w:val="20"/>
                <w:szCs w:val="20"/>
              </w:rPr>
            </w:pPr>
            <w:r w:rsidRPr="00D76BE0">
              <w:rPr>
                <w:rFonts w:ascii="Arial Narrow" w:hAnsi="Arial Narrow" w:cs="Arial"/>
                <w:sz w:val="20"/>
                <w:szCs w:val="20"/>
              </w:rPr>
              <w:t xml:space="preserve">AQLQ </w:t>
            </w:r>
          </w:p>
          <w:p w:rsidR="002522CA" w:rsidRPr="00D76BE0" w:rsidRDefault="002522CA" w:rsidP="002522CA">
            <w:pPr>
              <w:numPr>
                <w:ilvl w:val="0"/>
                <w:numId w:val="44"/>
              </w:numPr>
              <w:rPr>
                <w:rFonts w:ascii="Arial Narrow" w:hAnsi="Arial Narrow" w:cs="Arial"/>
                <w:sz w:val="20"/>
                <w:szCs w:val="20"/>
              </w:rPr>
            </w:pPr>
            <w:r w:rsidRPr="00D76BE0">
              <w:rPr>
                <w:rFonts w:ascii="Arial Narrow" w:hAnsi="Arial Narrow" w:cs="Arial"/>
                <w:sz w:val="20"/>
                <w:szCs w:val="20"/>
              </w:rPr>
              <w:t>Total daily clinical (nocturnal, morning and daytime) symptom score</w:t>
            </w:r>
          </w:p>
          <w:p w:rsidR="002522CA" w:rsidRPr="00D76BE0" w:rsidRDefault="002522CA" w:rsidP="002522CA">
            <w:pPr>
              <w:numPr>
                <w:ilvl w:val="0"/>
                <w:numId w:val="44"/>
              </w:numPr>
              <w:rPr>
                <w:rFonts w:ascii="Arial Narrow" w:hAnsi="Arial Narrow" w:cs="Arial"/>
                <w:sz w:val="20"/>
                <w:szCs w:val="20"/>
              </w:rPr>
            </w:pPr>
            <w:r w:rsidRPr="00D76BE0">
              <w:rPr>
                <w:rFonts w:ascii="Arial Narrow" w:hAnsi="Arial Narrow" w:cs="Arial"/>
                <w:sz w:val="20"/>
                <w:szCs w:val="20"/>
              </w:rPr>
              <w:t>Patient and investigator GETE</w:t>
            </w:r>
          </w:p>
          <w:p w:rsidR="002522CA" w:rsidRPr="00D76BE0" w:rsidRDefault="002522CA" w:rsidP="002522CA">
            <w:pPr>
              <w:numPr>
                <w:ilvl w:val="0"/>
                <w:numId w:val="44"/>
              </w:numPr>
              <w:rPr>
                <w:rFonts w:ascii="Arial Narrow" w:hAnsi="Arial Narrow" w:cs="Arial"/>
                <w:sz w:val="20"/>
                <w:szCs w:val="20"/>
              </w:rPr>
            </w:pPr>
            <w:r w:rsidRPr="00D76BE0">
              <w:rPr>
                <w:rFonts w:ascii="Arial Narrow" w:hAnsi="Arial Narrow" w:cs="Arial"/>
                <w:sz w:val="20"/>
                <w:szCs w:val="20"/>
              </w:rPr>
              <w:t xml:space="preserve">Pulmonary function tests </w:t>
            </w:r>
          </w:p>
          <w:p w:rsidR="002522CA" w:rsidRPr="00D76BE0" w:rsidRDefault="002522CA" w:rsidP="002522CA">
            <w:pPr>
              <w:numPr>
                <w:ilvl w:val="0"/>
                <w:numId w:val="44"/>
              </w:numPr>
              <w:rPr>
                <w:rFonts w:ascii="Arial Narrow" w:hAnsi="Arial Narrow" w:cs="Arial"/>
                <w:sz w:val="20"/>
                <w:szCs w:val="20"/>
              </w:rPr>
            </w:pPr>
            <w:r w:rsidRPr="00D76BE0">
              <w:rPr>
                <w:rFonts w:ascii="Arial Narrow" w:hAnsi="Arial Narrow" w:cs="Arial"/>
                <w:sz w:val="20"/>
                <w:szCs w:val="20"/>
              </w:rPr>
              <w:t>Morning and Evening PEF (L/min)</w:t>
            </w:r>
          </w:p>
          <w:p w:rsidR="002522CA" w:rsidRPr="002522CA" w:rsidRDefault="002522CA" w:rsidP="002522CA">
            <w:pPr>
              <w:keepNext/>
              <w:numPr>
                <w:ilvl w:val="0"/>
                <w:numId w:val="44"/>
              </w:numPr>
              <w:rPr>
                <w:rFonts w:ascii="Arial Narrow" w:hAnsi="Arial Narrow"/>
                <w:sz w:val="20"/>
              </w:rPr>
            </w:pPr>
            <w:r w:rsidRPr="00D76BE0">
              <w:rPr>
                <w:rFonts w:ascii="Arial Narrow" w:hAnsi="Arial Narrow" w:cs="Arial"/>
                <w:sz w:val="20"/>
                <w:szCs w:val="20"/>
              </w:rPr>
              <w:t xml:space="preserve">Number of days with &gt;20% decrease in morning PEF </w:t>
            </w:r>
            <w:r w:rsidRPr="00D76BE0">
              <w:rPr>
                <w:rFonts w:ascii="Arial Narrow" w:hAnsi="Arial Narrow" w:cs="Arial"/>
                <w:sz w:val="20"/>
                <w:szCs w:val="20"/>
                <w:lang w:val="en-US"/>
              </w:rPr>
              <w:t>compared to personal best</w:t>
            </w:r>
          </w:p>
        </w:tc>
      </w:tr>
      <w:tr w:rsidR="002522CA" w:rsidRPr="002522CA" w:rsidTr="000B68E3">
        <w:trPr>
          <w:cantSplit/>
        </w:trPr>
        <w:tc>
          <w:tcPr>
            <w:tcW w:w="833" w:type="dxa"/>
          </w:tcPr>
          <w:p w:rsidR="002522CA" w:rsidRPr="002522CA" w:rsidRDefault="002522CA" w:rsidP="00D84934">
            <w:pPr>
              <w:pStyle w:val="NoSpacing"/>
              <w:rPr>
                <w:rFonts w:ascii="Arial Narrow" w:hAnsi="Arial Narrow"/>
                <w:sz w:val="20"/>
              </w:rPr>
            </w:pPr>
            <w:r w:rsidRPr="002522CA">
              <w:rPr>
                <w:rFonts w:ascii="Arial Narrow" w:hAnsi="Arial Narrow"/>
                <w:sz w:val="20"/>
              </w:rPr>
              <w:t>2425</w:t>
            </w:r>
          </w:p>
        </w:tc>
        <w:tc>
          <w:tcPr>
            <w:tcW w:w="2002" w:type="dxa"/>
          </w:tcPr>
          <w:p w:rsidR="002522CA" w:rsidRPr="002522CA" w:rsidRDefault="002522CA" w:rsidP="0062748A">
            <w:pPr>
              <w:keepNext/>
              <w:rPr>
                <w:rFonts w:ascii="Arial Narrow" w:hAnsi="Arial Narrow"/>
                <w:sz w:val="20"/>
              </w:rPr>
            </w:pPr>
            <w:r w:rsidRPr="002522CA">
              <w:rPr>
                <w:rFonts w:ascii="Arial Narrow" w:hAnsi="Arial Narrow"/>
                <w:sz w:val="20"/>
              </w:rPr>
              <w:t xml:space="preserve">Direct randomised open label trial </w:t>
            </w:r>
          </w:p>
        </w:tc>
        <w:tc>
          <w:tcPr>
            <w:tcW w:w="1985" w:type="dxa"/>
          </w:tcPr>
          <w:p w:rsidR="002522CA" w:rsidRPr="002522CA" w:rsidRDefault="002522CA" w:rsidP="002522CA">
            <w:pPr>
              <w:keepNext/>
              <w:numPr>
                <w:ilvl w:val="0"/>
                <w:numId w:val="44"/>
              </w:numPr>
              <w:rPr>
                <w:rFonts w:ascii="Arial Narrow" w:hAnsi="Arial Narrow"/>
                <w:sz w:val="20"/>
              </w:rPr>
            </w:pPr>
            <w:r w:rsidRPr="002522CA">
              <w:rPr>
                <w:rFonts w:ascii="Arial Narrow" w:hAnsi="Arial Narrow"/>
                <w:sz w:val="20"/>
              </w:rPr>
              <w:t>Persistency rate (%) of response; based on the investigator’s and patient’s Global Evaluation of Treatment Effectiveness (GETE).</w:t>
            </w:r>
          </w:p>
          <w:p w:rsidR="002522CA" w:rsidRPr="002522CA" w:rsidRDefault="002522CA" w:rsidP="002522CA">
            <w:pPr>
              <w:pStyle w:val="ListParagraph"/>
              <w:keepNext/>
              <w:numPr>
                <w:ilvl w:val="0"/>
                <w:numId w:val="44"/>
              </w:numPr>
              <w:rPr>
                <w:rFonts w:ascii="Arial Narrow" w:hAnsi="Arial Narrow"/>
                <w:sz w:val="20"/>
              </w:rPr>
            </w:pPr>
            <w:r w:rsidRPr="002522CA">
              <w:rPr>
                <w:rFonts w:ascii="Arial Narrow" w:hAnsi="Arial Narrow"/>
                <w:sz w:val="20"/>
              </w:rPr>
              <w:t>Investigator’s and patient’s GETE, dichotomised to responders (excellent or good) and non-responders (moderate, poor or worsening).</w:t>
            </w:r>
          </w:p>
        </w:tc>
        <w:tc>
          <w:tcPr>
            <w:tcW w:w="3605" w:type="dxa"/>
          </w:tcPr>
          <w:p w:rsidR="002522CA" w:rsidRPr="00D76BE0" w:rsidRDefault="002522CA" w:rsidP="002522CA">
            <w:pPr>
              <w:numPr>
                <w:ilvl w:val="0"/>
                <w:numId w:val="44"/>
              </w:numPr>
              <w:rPr>
                <w:rFonts w:ascii="Arial Narrow" w:hAnsi="Arial Narrow" w:cs="Arial"/>
                <w:sz w:val="20"/>
                <w:szCs w:val="20"/>
              </w:rPr>
            </w:pPr>
            <w:r w:rsidRPr="00D76BE0">
              <w:rPr>
                <w:rFonts w:ascii="Arial Narrow" w:hAnsi="Arial Narrow" w:cs="Arial"/>
                <w:sz w:val="20"/>
                <w:szCs w:val="20"/>
              </w:rPr>
              <w:t>Persistency rate (%) of non-response to omalizumab.</w:t>
            </w:r>
          </w:p>
          <w:p w:rsidR="002522CA" w:rsidRPr="00D76BE0" w:rsidRDefault="002522CA" w:rsidP="002522CA">
            <w:pPr>
              <w:numPr>
                <w:ilvl w:val="0"/>
                <w:numId w:val="44"/>
              </w:numPr>
              <w:rPr>
                <w:rFonts w:ascii="Arial Narrow" w:hAnsi="Arial Narrow" w:cs="Arial"/>
                <w:sz w:val="20"/>
                <w:szCs w:val="20"/>
              </w:rPr>
            </w:pPr>
            <w:r w:rsidRPr="00D76BE0">
              <w:rPr>
                <w:rFonts w:ascii="Arial Narrow" w:hAnsi="Arial Narrow" w:cs="Arial"/>
                <w:sz w:val="20"/>
                <w:szCs w:val="20"/>
              </w:rPr>
              <w:t>Persistency rate (%) of response to optimised asthma therapy alone</w:t>
            </w:r>
          </w:p>
          <w:p w:rsidR="002522CA" w:rsidRPr="00D76BE0" w:rsidRDefault="002522CA" w:rsidP="002522CA">
            <w:pPr>
              <w:numPr>
                <w:ilvl w:val="0"/>
                <w:numId w:val="44"/>
              </w:numPr>
              <w:rPr>
                <w:rFonts w:ascii="Arial Narrow" w:hAnsi="Arial Narrow" w:cs="Arial"/>
                <w:sz w:val="20"/>
                <w:szCs w:val="20"/>
              </w:rPr>
            </w:pPr>
            <w:r w:rsidRPr="00D76BE0">
              <w:rPr>
                <w:rFonts w:ascii="Arial Narrow" w:hAnsi="Arial Narrow" w:cs="Arial"/>
                <w:sz w:val="20"/>
                <w:szCs w:val="20"/>
              </w:rPr>
              <w:t>Lung function (FEV</w:t>
            </w:r>
            <w:r w:rsidRPr="00D76BE0">
              <w:rPr>
                <w:rFonts w:ascii="Arial Narrow" w:hAnsi="Arial Narrow" w:cs="Arial"/>
                <w:sz w:val="20"/>
                <w:szCs w:val="20"/>
                <w:vertAlign w:val="subscript"/>
              </w:rPr>
              <w:t>1</w:t>
            </w:r>
            <w:r w:rsidRPr="00D76BE0">
              <w:rPr>
                <w:rFonts w:ascii="Arial Narrow" w:hAnsi="Arial Narrow" w:cs="Arial"/>
                <w:sz w:val="20"/>
                <w:szCs w:val="20"/>
              </w:rPr>
              <w:t>, ml).</w:t>
            </w:r>
          </w:p>
          <w:p w:rsidR="002522CA" w:rsidRPr="00D76BE0" w:rsidRDefault="002522CA" w:rsidP="002522CA">
            <w:pPr>
              <w:numPr>
                <w:ilvl w:val="0"/>
                <w:numId w:val="44"/>
              </w:numPr>
              <w:rPr>
                <w:rFonts w:ascii="Arial Narrow" w:hAnsi="Arial Narrow" w:cs="Arial"/>
                <w:sz w:val="20"/>
                <w:szCs w:val="20"/>
              </w:rPr>
            </w:pPr>
            <w:r w:rsidRPr="00D76BE0">
              <w:rPr>
                <w:rFonts w:ascii="Arial Narrow" w:hAnsi="Arial Narrow" w:cs="Arial"/>
                <w:sz w:val="20"/>
                <w:szCs w:val="20"/>
              </w:rPr>
              <w:t xml:space="preserve">Rate of clinically significant and severe asthma exacerbations </w:t>
            </w:r>
          </w:p>
          <w:p w:rsidR="002522CA" w:rsidRPr="00D76BE0" w:rsidRDefault="002522CA" w:rsidP="002522CA">
            <w:pPr>
              <w:numPr>
                <w:ilvl w:val="0"/>
                <w:numId w:val="44"/>
              </w:numPr>
              <w:rPr>
                <w:rFonts w:ascii="Arial Narrow" w:hAnsi="Arial Narrow" w:cs="Arial"/>
                <w:sz w:val="20"/>
                <w:szCs w:val="20"/>
              </w:rPr>
            </w:pPr>
            <w:r w:rsidRPr="00D76BE0">
              <w:rPr>
                <w:rFonts w:ascii="Arial Narrow" w:hAnsi="Arial Narrow" w:cs="Arial"/>
                <w:sz w:val="20"/>
                <w:szCs w:val="20"/>
              </w:rPr>
              <w:t>Individual and combined rates of hospitalisations, emergency room visits or unscheduled clinic interventions due to asthma worsening</w:t>
            </w:r>
          </w:p>
          <w:p w:rsidR="002522CA" w:rsidRPr="00D76BE0" w:rsidRDefault="002522CA" w:rsidP="002522CA">
            <w:pPr>
              <w:numPr>
                <w:ilvl w:val="0"/>
                <w:numId w:val="44"/>
              </w:numPr>
              <w:rPr>
                <w:rFonts w:ascii="Arial Narrow" w:hAnsi="Arial Narrow" w:cs="Arial"/>
                <w:sz w:val="20"/>
                <w:szCs w:val="20"/>
              </w:rPr>
            </w:pPr>
            <w:r w:rsidRPr="00D76BE0">
              <w:rPr>
                <w:rFonts w:ascii="Arial Narrow" w:hAnsi="Arial Narrow" w:cs="Arial"/>
                <w:sz w:val="20"/>
                <w:szCs w:val="20"/>
              </w:rPr>
              <w:t>Reduction in use of maintenance oral corticosteroid in subgroup of patients requiring oral corticosteroids as asthma maintenance therapy</w:t>
            </w:r>
          </w:p>
          <w:p w:rsidR="002522CA" w:rsidRPr="00D76BE0" w:rsidRDefault="002522CA" w:rsidP="002522CA">
            <w:pPr>
              <w:numPr>
                <w:ilvl w:val="0"/>
                <w:numId w:val="44"/>
              </w:numPr>
              <w:rPr>
                <w:rFonts w:ascii="Arial Narrow" w:hAnsi="Arial Narrow" w:cs="Arial"/>
                <w:sz w:val="20"/>
                <w:szCs w:val="20"/>
              </w:rPr>
            </w:pPr>
            <w:r w:rsidRPr="00D76BE0">
              <w:rPr>
                <w:rFonts w:ascii="Arial Narrow" w:hAnsi="Arial Narrow" w:cs="Arial"/>
                <w:sz w:val="20"/>
                <w:szCs w:val="20"/>
              </w:rPr>
              <w:t>ACQ, AQLQ, EQ5D and VAS scores</w:t>
            </w:r>
          </w:p>
          <w:p w:rsidR="002522CA" w:rsidRPr="002522CA" w:rsidRDefault="002522CA" w:rsidP="002522CA">
            <w:pPr>
              <w:keepNext/>
              <w:numPr>
                <w:ilvl w:val="0"/>
                <w:numId w:val="44"/>
              </w:numPr>
              <w:rPr>
                <w:rFonts w:ascii="Arial Narrow" w:hAnsi="Arial Narrow"/>
                <w:sz w:val="20"/>
              </w:rPr>
            </w:pPr>
            <w:r w:rsidRPr="00D76BE0">
              <w:rPr>
                <w:rFonts w:ascii="Arial Narrow" w:hAnsi="Arial Narrow" w:cs="Arial"/>
                <w:sz w:val="20"/>
                <w:szCs w:val="20"/>
              </w:rPr>
              <w:t>Night time awakenings</w:t>
            </w:r>
          </w:p>
        </w:tc>
      </w:tr>
    </w:tbl>
    <w:p w:rsidR="0076420C" w:rsidRPr="0076420C" w:rsidRDefault="0076420C" w:rsidP="0076420C">
      <w:pPr>
        <w:pStyle w:val="tablenotes"/>
        <w:ind w:firstLine="709"/>
        <w:rPr>
          <w:rFonts w:ascii="Arial Narrow" w:hAnsi="Arial Narrow"/>
          <w:sz w:val="18"/>
          <w:szCs w:val="18"/>
        </w:rPr>
      </w:pPr>
      <w:r w:rsidRPr="005838CB">
        <w:rPr>
          <w:rFonts w:ascii="Arial Narrow" w:hAnsi="Arial Narrow"/>
          <w:sz w:val="18"/>
          <w:szCs w:val="18"/>
        </w:rPr>
        <w:t xml:space="preserve">Source: </w:t>
      </w:r>
      <w:r w:rsidR="002522CA">
        <w:rPr>
          <w:rFonts w:ascii="Arial Narrow" w:hAnsi="Arial Narrow"/>
          <w:sz w:val="18"/>
          <w:szCs w:val="18"/>
        </w:rPr>
        <w:t>adapted from PSD, November 2009 PBAC</w:t>
      </w:r>
    </w:p>
    <w:p w:rsidR="00D84934" w:rsidRPr="009F4E46" w:rsidRDefault="00D84934" w:rsidP="0076420C">
      <w:pPr>
        <w:pStyle w:val="ListParagraph"/>
        <w:ind w:left="709"/>
        <w:jc w:val="both"/>
        <w:rPr>
          <w:rFonts w:ascii="Arial" w:hAnsi="Arial"/>
          <w:color w:val="FF00FF"/>
          <w:sz w:val="22"/>
          <w:szCs w:val="22"/>
        </w:rPr>
      </w:pPr>
    </w:p>
    <w:p w:rsidR="00C142AF" w:rsidRDefault="00C142AF" w:rsidP="00D84934">
      <w:pPr>
        <w:pStyle w:val="ListParagraph"/>
        <w:numPr>
          <w:ilvl w:val="1"/>
          <w:numId w:val="25"/>
        </w:numPr>
        <w:jc w:val="both"/>
        <w:rPr>
          <w:rFonts w:ascii="Arial" w:hAnsi="Arial"/>
          <w:sz w:val="22"/>
          <w:szCs w:val="22"/>
        </w:rPr>
      </w:pPr>
      <w:r w:rsidRPr="00C142AF">
        <w:rPr>
          <w:rFonts w:ascii="Arial" w:hAnsi="Arial"/>
          <w:sz w:val="22"/>
          <w:szCs w:val="22"/>
        </w:rPr>
        <w:t>The submission presented the baseline characteristics of patients in trials 2306 and 2425 (pooled trials and treatment arms)</w:t>
      </w:r>
      <w:r>
        <w:rPr>
          <w:rFonts w:ascii="Arial" w:hAnsi="Arial"/>
          <w:sz w:val="22"/>
          <w:szCs w:val="22"/>
        </w:rPr>
        <w:t xml:space="preserve"> to show that the current and proposed PBS criteria are selecting patients that have severe asthma and a high medical need for add-on treatment with omalizumab</w:t>
      </w:r>
      <w:r w:rsidRPr="00C142AF">
        <w:rPr>
          <w:rFonts w:ascii="Arial" w:hAnsi="Arial"/>
          <w:sz w:val="22"/>
          <w:szCs w:val="22"/>
        </w:rPr>
        <w:t>.</w:t>
      </w:r>
    </w:p>
    <w:p w:rsidR="00F40A78" w:rsidRDefault="00F40A78">
      <w:pPr>
        <w:rPr>
          <w:rFonts w:ascii="Arial" w:hAnsi="Arial"/>
          <w:sz w:val="22"/>
          <w:szCs w:val="22"/>
        </w:rPr>
      </w:pPr>
    </w:p>
    <w:p w:rsidR="00FC2839" w:rsidRDefault="00FC2839">
      <w:pPr>
        <w:rPr>
          <w:rFonts w:ascii="Arial Narrow" w:hAnsi="Arial Narrow"/>
          <w:b/>
          <w:sz w:val="20"/>
          <w:szCs w:val="20"/>
        </w:rPr>
      </w:pPr>
      <w:r>
        <w:rPr>
          <w:rFonts w:ascii="Arial Narrow" w:hAnsi="Arial Narrow"/>
          <w:b/>
          <w:sz w:val="20"/>
          <w:szCs w:val="20"/>
        </w:rPr>
        <w:br w:type="page"/>
      </w:r>
    </w:p>
    <w:p w:rsidR="00C142AF" w:rsidRPr="00C142AF" w:rsidRDefault="00763864" w:rsidP="00C142AF">
      <w:pPr>
        <w:pStyle w:val="ListParagraph"/>
        <w:jc w:val="both"/>
        <w:rPr>
          <w:rFonts w:ascii="Arial Narrow" w:hAnsi="Arial Narrow"/>
          <w:b/>
          <w:sz w:val="20"/>
          <w:szCs w:val="20"/>
        </w:rPr>
      </w:pPr>
      <w:r>
        <w:rPr>
          <w:rFonts w:ascii="Arial Narrow" w:hAnsi="Arial Narrow"/>
          <w:b/>
          <w:sz w:val="20"/>
          <w:szCs w:val="20"/>
        </w:rPr>
        <w:lastRenderedPageBreak/>
        <w:t xml:space="preserve">Table 2: </w:t>
      </w:r>
      <w:r w:rsidR="00C142AF" w:rsidRPr="00C142AF">
        <w:rPr>
          <w:rFonts w:ascii="Arial Narrow" w:hAnsi="Arial Narrow"/>
          <w:b/>
          <w:sz w:val="20"/>
          <w:szCs w:val="20"/>
        </w:rPr>
        <w:t>Demographics of patients in trials 2306 and 2425 – data are presented for the total cohort (pooled trials and treatment arms) and those meeting certain PBS eligibility criteria</w:t>
      </w:r>
    </w:p>
    <w:tbl>
      <w:tblPr>
        <w:tblStyle w:val="TableGrid1"/>
        <w:tblW w:w="8505" w:type="dxa"/>
        <w:tblInd w:w="817" w:type="dxa"/>
        <w:tblLook w:val="04A0" w:firstRow="1" w:lastRow="0" w:firstColumn="1" w:lastColumn="0" w:noHBand="0" w:noVBand="1"/>
        <w:tblCaption w:val="Table 2: Demographics of patients in trials 2306 and 2425 – data are presented for the total cohort (pooled trials and treatment arms) and those meeting certain PBS eligibility criteria"/>
      </w:tblPr>
      <w:tblGrid>
        <w:gridCol w:w="2552"/>
        <w:gridCol w:w="1275"/>
        <w:gridCol w:w="1560"/>
        <w:gridCol w:w="1559"/>
        <w:gridCol w:w="1559"/>
      </w:tblGrid>
      <w:tr w:rsidR="00C142AF" w:rsidRPr="00C142AF" w:rsidTr="00D811AD">
        <w:trPr>
          <w:tblHeader/>
        </w:trPr>
        <w:tc>
          <w:tcPr>
            <w:tcW w:w="2552" w:type="dxa"/>
          </w:tcPr>
          <w:p w:rsidR="00C142AF" w:rsidRPr="00C142AF" w:rsidRDefault="00C142AF" w:rsidP="00C142AF">
            <w:pPr>
              <w:spacing w:before="40" w:after="40"/>
              <w:rPr>
                <w:rFonts w:ascii="Arial Narrow" w:hAnsi="Arial Narrow"/>
                <w:sz w:val="20"/>
                <w:szCs w:val="20"/>
              </w:rPr>
            </w:pPr>
            <w:r w:rsidRPr="00C142AF">
              <w:rPr>
                <w:rFonts w:ascii="Arial Narrow" w:hAnsi="Arial Narrow"/>
                <w:sz w:val="20"/>
                <w:szCs w:val="20"/>
              </w:rPr>
              <w:t>Characteristic</w:t>
            </w:r>
          </w:p>
        </w:tc>
        <w:tc>
          <w:tcPr>
            <w:tcW w:w="1275" w:type="dxa"/>
          </w:tcPr>
          <w:p w:rsidR="00C142AF" w:rsidRPr="00C142AF" w:rsidRDefault="00C142AF" w:rsidP="00C142AF">
            <w:pPr>
              <w:spacing w:before="40" w:after="40"/>
              <w:jc w:val="center"/>
              <w:rPr>
                <w:rFonts w:ascii="Arial Narrow" w:hAnsi="Arial Narrow"/>
                <w:sz w:val="20"/>
                <w:szCs w:val="20"/>
              </w:rPr>
            </w:pPr>
            <w:r w:rsidRPr="00C142AF">
              <w:rPr>
                <w:rFonts w:ascii="Arial Narrow" w:hAnsi="Arial Narrow"/>
                <w:sz w:val="20"/>
                <w:szCs w:val="20"/>
              </w:rPr>
              <w:t xml:space="preserve">Trial </w:t>
            </w:r>
            <w:r w:rsidRPr="00C142AF">
              <w:rPr>
                <w:rFonts w:ascii="Arial Narrow" w:hAnsi="Arial Narrow"/>
                <w:b/>
                <w:sz w:val="20"/>
                <w:szCs w:val="20"/>
              </w:rPr>
              <w:t xml:space="preserve">ITT </w:t>
            </w:r>
            <w:r w:rsidRPr="00C142AF">
              <w:rPr>
                <w:rFonts w:ascii="Arial Narrow" w:hAnsi="Arial Narrow"/>
                <w:sz w:val="20"/>
                <w:szCs w:val="20"/>
              </w:rPr>
              <w:t>population</w:t>
            </w:r>
          </w:p>
        </w:tc>
        <w:tc>
          <w:tcPr>
            <w:tcW w:w="1560" w:type="dxa"/>
          </w:tcPr>
          <w:p w:rsidR="00C142AF" w:rsidRPr="00C142AF" w:rsidRDefault="00C142AF" w:rsidP="00C142AF">
            <w:pPr>
              <w:spacing w:before="40" w:after="40"/>
              <w:jc w:val="center"/>
              <w:rPr>
                <w:rFonts w:ascii="Arial Narrow" w:hAnsi="Arial Narrow"/>
                <w:sz w:val="20"/>
                <w:szCs w:val="20"/>
              </w:rPr>
            </w:pPr>
            <w:r w:rsidRPr="00C142AF">
              <w:rPr>
                <w:rFonts w:ascii="Arial Narrow" w:hAnsi="Arial Narrow"/>
                <w:sz w:val="20"/>
                <w:szCs w:val="20"/>
              </w:rPr>
              <w:t xml:space="preserve">Subgroup meeting </w:t>
            </w:r>
            <w:r w:rsidRPr="00C142AF">
              <w:rPr>
                <w:rFonts w:ascii="Arial Narrow" w:hAnsi="Arial Narrow"/>
                <w:sz w:val="20"/>
                <w:szCs w:val="20"/>
                <w:u w:val="single"/>
              </w:rPr>
              <w:t>current</w:t>
            </w:r>
            <w:r w:rsidRPr="00C142AF">
              <w:rPr>
                <w:rFonts w:ascii="Arial Narrow" w:hAnsi="Arial Narrow"/>
                <w:sz w:val="20"/>
                <w:szCs w:val="20"/>
              </w:rPr>
              <w:t xml:space="preserve"> PBS criteria - includes restriction for </w:t>
            </w:r>
            <w:r w:rsidRPr="00C142AF">
              <w:rPr>
                <w:rFonts w:ascii="Arial Narrow" w:hAnsi="Arial Narrow"/>
                <w:b/>
                <w:sz w:val="20"/>
                <w:szCs w:val="20"/>
              </w:rPr>
              <w:t>IgE≥76</w:t>
            </w:r>
          </w:p>
        </w:tc>
        <w:tc>
          <w:tcPr>
            <w:tcW w:w="1559" w:type="dxa"/>
          </w:tcPr>
          <w:p w:rsidR="00C142AF" w:rsidRPr="00C142AF" w:rsidRDefault="00C142AF" w:rsidP="00C142AF">
            <w:pPr>
              <w:spacing w:before="40" w:after="40"/>
              <w:jc w:val="center"/>
              <w:rPr>
                <w:rFonts w:ascii="Arial Narrow" w:hAnsi="Arial Narrow"/>
                <w:sz w:val="20"/>
                <w:szCs w:val="20"/>
              </w:rPr>
            </w:pPr>
            <w:r w:rsidRPr="00C142AF">
              <w:rPr>
                <w:rFonts w:ascii="Arial Narrow" w:hAnsi="Arial Narrow"/>
                <w:sz w:val="20"/>
                <w:szCs w:val="20"/>
              </w:rPr>
              <w:t xml:space="preserve">Subgroup meeting </w:t>
            </w:r>
            <w:r w:rsidRPr="00C142AF">
              <w:rPr>
                <w:rFonts w:ascii="Arial Narrow" w:hAnsi="Arial Narrow"/>
                <w:sz w:val="20"/>
                <w:szCs w:val="20"/>
                <w:u w:val="single"/>
              </w:rPr>
              <w:t>proposed</w:t>
            </w:r>
            <w:r w:rsidRPr="00C142AF">
              <w:rPr>
                <w:rFonts w:ascii="Arial Narrow" w:hAnsi="Arial Narrow"/>
                <w:sz w:val="20"/>
                <w:szCs w:val="20"/>
              </w:rPr>
              <w:t xml:space="preserve"> PBS criteria -includes restriction for </w:t>
            </w:r>
            <w:r w:rsidRPr="00C142AF">
              <w:rPr>
                <w:rFonts w:ascii="Arial Narrow" w:hAnsi="Arial Narrow"/>
                <w:b/>
                <w:sz w:val="20"/>
                <w:szCs w:val="20"/>
              </w:rPr>
              <w:t>IgE≥30</w:t>
            </w:r>
          </w:p>
        </w:tc>
        <w:tc>
          <w:tcPr>
            <w:tcW w:w="1559" w:type="dxa"/>
          </w:tcPr>
          <w:p w:rsidR="00C142AF" w:rsidRPr="00C142AF" w:rsidRDefault="00C142AF" w:rsidP="00C142AF">
            <w:pPr>
              <w:spacing w:before="40" w:after="40"/>
              <w:jc w:val="center"/>
              <w:rPr>
                <w:rFonts w:ascii="Arial Narrow" w:hAnsi="Arial Narrow"/>
                <w:sz w:val="20"/>
                <w:szCs w:val="20"/>
              </w:rPr>
            </w:pPr>
            <w:r w:rsidRPr="00C142AF">
              <w:rPr>
                <w:rFonts w:ascii="Arial Narrow" w:hAnsi="Arial Narrow"/>
                <w:sz w:val="20"/>
                <w:szCs w:val="20"/>
              </w:rPr>
              <w:t xml:space="preserve">Small subgroup meeting PBS criteria and who have   </w:t>
            </w:r>
            <w:proofErr w:type="spellStart"/>
            <w:r w:rsidRPr="00C142AF">
              <w:rPr>
                <w:rFonts w:ascii="Arial Narrow" w:hAnsi="Arial Narrow"/>
                <w:b/>
                <w:sz w:val="20"/>
                <w:szCs w:val="20"/>
              </w:rPr>
              <w:t>IgE</w:t>
            </w:r>
            <w:proofErr w:type="spellEnd"/>
            <w:r w:rsidRPr="00C142AF">
              <w:rPr>
                <w:rFonts w:ascii="Arial Narrow" w:hAnsi="Arial Narrow"/>
                <w:b/>
                <w:sz w:val="20"/>
                <w:szCs w:val="20"/>
              </w:rPr>
              <w:t xml:space="preserve"> 30-75</w:t>
            </w:r>
          </w:p>
        </w:tc>
      </w:tr>
      <w:tr w:rsidR="00C142AF" w:rsidRPr="00C142AF" w:rsidTr="00C142AF">
        <w:tc>
          <w:tcPr>
            <w:tcW w:w="2552" w:type="dxa"/>
            <w:vAlign w:val="center"/>
          </w:tcPr>
          <w:p w:rsidR="00C142AF" w:rsidRPr="00C142AF" w:rsidRDefault="00C142AF" w:rsidP="00C142AF">
            <w:pPr>
              <w:spacing w:before="40" w:after="40"/>
              <w:rPr>
                <w:rFonts w:ascii="Arial Narrow" w:hAnsi="Arial Narrow" w:cs="Arial"/>
                <w:color w:val="000000"/>
                <w:sz w:val="20"/>
                <w:szCs w:val="20"/>
              </w:rPr>
            </w:pPr>
            <w:r w:rsidRPr="00C142AF">
              <w:rPr>
                <w:rFonts w:ascii="Arial Narrow" w:hAnsi="Arial Narrow" w:cs="Arial"/>
                <w:color w:val="000000"/>
                <w:sz w:val="20"/>
                <w:szCs w:val="20"/>
              </w:rPr>
              <w:t>N in trial or PBS subgroup</w:t>
            </w:r>
          </w:p>
        </w:tc>
        <w:tc>
          <w:tcPr>
            <w:tcW w:w="1275" w:type="dxa"/>
            <w:vAlign w:val="center"/>
          </w:tcPr>
          <w:p w:rsidR="00C142AF" w:rsidRPr="00C142AF" w:rsidRDefault="00C142AF" w:rsidP="00C142AF">
            <w:pPr>
              <w:spacing w:before="40" w:after="40"/>
              <w:jc w:val="center"/>
              <w:rPr>
                <w:rFonts w:ascii="Arial Narrow" w:hAnsi="Arial Narrow" w:cs="Arial"/>
                <w:bCs/>
                <w:color w:val="000000"/>
                <w:sz w:val="20"/>
                <w:szCs w:val="20"/>
              </w:rPr>
            </w:pPr>
            <w:r w:rsidRPr="00C142AF">
              <w:rPr>
                <w:rFonts w:ascii="Arial Narrow" w:hAnsi="Arial Narrow" w:cs="Arial"/>
                <w:bCs/>
                <w:color w:val="000000"/>
                <w:sz w:val="20"/>
                <w:szCs w:val="20"/>
              </w:rPr>
              <w:t>819</w:t>
            </w:r>
          </w:p>
        </w:tc>
        <w:tc>
          <w:tcPr>
            <w:tcW w:w="1560" w:type="dxa"/>
            <w:vAlign w:val="center"/>
          </w:tcPr>
          <w:p w:rsidR="00C142AF" w:rsidRPr="00C142AF" w:rsidRDefault="00C142AF" w:rsidP="00C142AF">
            <w:pPr>
              <w:spacing w:before="40" w:after="40"/>
              <w:jc w:val="center"/>
              <w:rPr>
                <w:rFonts w:ascii="Arial Narrow" w:hAnsi="Arial Narrow" w:cs="Arial"/>
                <w:bCs/>
                <w:color w:val="000000"/>
                <w:sz w:val="20"/>
                <w:szCs w:val="20"/>
              </w:rPr>
            </w:pPr>
            <w:r w:rsidRPr="00C142AF">
              <w:rPr>
                <w:rFonts w:ascii="Arial Narrow" w:hAnsi="Arial Narrow" w:cs="Arial"/>
                <w:bCs/>
                <w:color w:val="000000"/>
                <w:sz w:val="20"/>
                <w:szCs w:val="20"/>
              </w:rPr>
              <w:t>118</w:t>
            </w:r>
          </w:p>
        </w:tc>
        <w:tc>
          <w:tcPr>
            <w:tcW w:w="1559" w:type="dxa"/>
            <w:vAlign w:val="center"/>
          </w:tcPr>
          <w:p w:rsidR="00C142AF" w:rsidRPr="00C142AF" w:rsidRDefault="00C142AF" w:rsidP="00C142AF">
            <w:pPr>
              <w:spacing w:before="40" w:after="40"/>
              <w:jc w:val="center"/>
              <w:rPr>
                <w:rFonts w:ascii="Arial Narrow" w:hAnsi="Arial Narrow" w:cs="Arial"/>
                <w:bCs/>
                <w:color w:val="000000"/>
                <w:sz w:val="20"/>
                <w:szCs w:val="20"/>
              </w:rPr>
            </w:pPr>
            <w:r w:rsidRPr="00C142AF">
              <w:rPr>
                <w:rFonts w:ascii="Arial Narrow" w:hAnsi="Arial Narrow" w:cs="Arial"/>
                <w:bCs/>
                <w:color w:val="000000"/>
                <w:sz w:val="20"/>
                <w:szCs w:val="20"/>
              </w:rPr>
              <w:t>146</w:t>
            </w:r>
          </w:p>
        </w:tc>
        <w:tc>
          <w:tcPr>
            <w:tcW w:w="1559" w:type="dxa"/>
            <w:shd w:val="clear" w:color="auto" w:fill="auto"/>
            <w:vAlign w:val="center"/>
          </w:tcPr>
          <w:p w:rsidR="00C142AF" w:rsidRPr="00C142AF" w:rsidRDefault="00C142AF" w:rsidP="00C142AF">
            <w:pPr>
              <w:spacing w:before="40" w:after="40"/>
              <w:jc w:val="center"/>
              <w:rPr>
                <w:rFonts w:ascii="Arial Narrow" w:hAnsi="Arial Narrow" w:cs="Arial"/>
                <w:bCs/>
                <w:color w:val="000000"/>
                <w:sz w:val="20"/>
                <w:szCs w:val="20"/>
              </w:rPr>
            </w:pPr>
            <w:r w:rsidRPr="00C142AF">
              <w:rPr>
                <w:rFonts w:ascii="Arial Narrow" w:hAnsi="Arial Narrow" w:cs="Arial"/>
                <w:bCs/>
                <w:color w:val="000000"/>
                <w:sz w:val="20"/>
                <w:szCs w:val="20"/>
              </w:rPr>
              <w:t>28</w:t>
            </w:r>
          </w:p>
        </w:tc>
      </w:tr>
      <w:tr w:rsidR="00C142AF" w:rsidRPr="00C142AF" w:rsidTr="00C142AF">
        <w:tc>
          <w:tcPr>
            <w:tcW w:w="2552" w:type="dxa"/>
            <w:vAlign w:val="center"/>
          </w:tcPr>
          <w:p w:rsidR="00C142AF" w:rsidRPr="00C142AF" w:rsidRDefault="00C142AF" w:rsidP="00C142AF">
            <w:pPr>
              <w:spacing w:before="40" w:after="40"/>
              <w:rPr>
                <w:rFonts w:ascii="Arial Narrow" w:hAnsi="Arial Narrow" w:cs="Arial"/>
                <w:color w:val="000000"/>
                <w:sz w:val="20"/>
                <w:szCs w:val="20"/>
              </w:rPr>
            </w:pPr>
            <w:proofErr w:type="spellStart"/>
            <w:r w:rsidRPr="00C142AF">
              <w:rPr>
                <w:rFonts w:ascii="Arial Narrow" w:hAnsi="Arial Narrow" w:cs="Arial"/>
                <w:color w:val="000000"/>
                <w:sz w:val="20"/>
                <w:szCs w:val="20"/>
              </w:rPr>
              <w:t>IgE</w:t>
            </w:r>
            <w:proofErr w:type="spellEnd"/>
            <w:r w:rsidRPr="00C142AF">
              <w:rPr>
                <w:rFonts w:ascii="Arial Narrow" w:hAnsi="Arial Narrow" w:cs="Arial"/>
                <w:color w:val="000000"/>
                <w:sz w:val="20"/>
                <w:szCs w:val="20"/>
              </w:rPr>
              <w:t xml:space="preserve"> (mean)</w:t>
            </w:r>
          </w:p>
        </w:tc>
        <w:tc>
          <w:tcPr>
            <w:tcW w:w="1275" w:type="dxa"/>
            <w:vAlign w:val="center"/>
          </w:tcPr>
          <w:p w:rsidR="00C142AF" w:rsidRPr="00C142AF" w:rsidRDefault="00C142AF" w:rsidP="00C142AF">
            <w:pPr>
              <w:spacing w:before="40" w:after="40"/>
              <w:jc w:val="center"/>
              <w:rPr>
                <w:rFonts w:ascii="Arial Narrow" w:hAnsi="Arial Narrow"/>
                <w:color w:val="000000"/>
                <w:sz w:val="20"/>
                <w:szCs w:val="20"/>
              </w:rPr>
            </w:pPr>
            <w:r w:rsidRPr="00C142AF">
              <w:rPr>
                <w:rFonts w:ascii="Arial Narrow" w:hAnsi="Arial Narrow"/>
                <w:color w:val="000000"/>
                <w:sz w:val="20"/>
                <w:szCs w:val="20"/>
              </w:rPr>
              <w:t>213</w:t>
            </w:r>
          </w:p>
        </w:tc>
        <w:tc>
          <w:tcPr>
            <w:tcW w:w="1560" w:type="dxa"/>
            <w:vAlign w:val="center"/>
          </w:tcPr>
          <w:p w:rsidR="00C142AF" w:rsidRPr="00C142AF" w:rsidRDefault="00C142AF" w:rsidP="00C142AF">
            <w:pPr>
              <w:spacing w:before="40" w:after="40"/>
              <w:jc w:val="center"/>
              <w:rPr>
                <w:rFonts w:ascii="Arial Narrow" w:hAnsi="Arial Narrow"/>
                <w:color w:val="000000"/>
                <w:sz w:val="20"/>
                <w:szCs w:val="20"/>
              </w:rPr>
            </w:pPr>
            <w:r w:rsidRPr="00C142AF">
              <w:rPr>
                <w:rFonts w:ascii="Arial Narrow" w:hAnsi="Arial Narrow"/>
                <w:color w:val="000000"/>
                <w:sz w:val="20"/>
                <w:szCs w:val="20"/>
              </w:rPr>
              <w:t>242</w:t>
            </w:r>
          </w:p>
        </w:tc>
        <w:tc>
          <w:tcPr>
            <w:tcW w:w="1559" w:type="dxa"/>
            <w:vAlign w:val="center"/>
          </w:tcPr>
          <w:p w:rsidR="00C142AF" w:rsidRPr="00C142AF" w:rsidRDefault="00C142AF" w:rsidP="00C142AF">
            <w:pPr>
              <w:spacing w:before="40" w:after="40"/>
              <w:jc w:val="center"/>
              <w:rPr>
                <w:rFonts w:ascii="Arial Narrow" w:hAnsi="Arial Narrow"/>
                <w:color w:val="000000"/>
                <w:sz w:val="20"/>
                <w:szCs w:val="20"/>
              </w:rPr>
            </w:pPr>
            <w:r w:rsidRPr="00C142AF">
              <w:rPr>
                <w:rFonts w:ascii="Arial Narrow" w:hAnsi="Arial Narrow"/>
                <w:color w:val="000000"/>
                <w:sz w:val="20"/>
                <w:szCs w:val="20"/>
              </w:rPr>
              <w:t>206</w:t>
            </w:r>
          </w:p>
        </w:tc>
        <w:tc>
          <w:tcPr>
            <w:tcW w:w="1559" w:type="dxa"/>
            <w:shd w:val="clear" w:color="auto" w:fill="auto"/>
            <w:vAlign w:val="center"/>
          </w:tcPr>
          <w:p w:rsidR="00C142AF" w:rsidRPr="00C142AF" w:rsidRDefault="00C142AF" w:rsidP="00C142AF">
            <w:pPr>
              <w:spacing w:before="40" w:after="40"/>
              <w:jc w:val="center"/>
              <w:rPr>
                <w:rFonts w:ascii="Arial Narrow" w:hAnsi="Arial Narrow" w:cs="Arial"/>
                <w:bCs/>
                <w:color w:val="000000"/>
                <w:sz w:val="20"/>
                <w:szCs w:val="20"/>
              </w:rPr>
            </w:pPr>
            <w:r w:rsidRPr="00C142AF">
              <w:rPr>
                <w:rFonts w:ascii="Arial Narrow" w:hAnsi="Arial Narrow" w:cs="Arial"/>
                <w:bCs/>
                <w:color w:val="000000"/>
                <w:sz w:val="20"/>
                <w:szCs w:val="20"/>
              </w:rPr>
              <w:t>53.5</w:t>
            </w:r>
          </w:p>
        </w:tc>
      </w:tr>
      <w:tr w:rsidR="00C142AF" w:rsidRPr="00C142AF" w:rsidTr="00C142AF">
        <w:tc>
          <w:tcPr>
            <w:tcW w:w="2552" w:type="dxa"/>
            <w:vAlign w:val="center"/>
          </w:tcPr>
          <w:p w:rsidR="00C142AF" w:rsidRPr="00C142AF" w:rsidRDefault="00C142AF" w:rsidP="00C142AF">
            <w:pPr>
              <w:spacing w:before="40" w:after="40"/>
              <w:rPr>
                <w:rFonts w:ascii="Arial Narrow" w:hAnsi="Arial Narrow" w:cs="Arial"/>
                <w:color w:val="000000"/>
                <w:sz w:val="20"/>
                <w:szCs w:val="20"/>
              </w:rPr>
            </w:pPr>
            <w:r w:rsidRPr="00C142AF">
              <w:rPr>
                <w:rFonts w:ascii="Arial Narrow" w:hAnsi="Arial Narrow" w:cs="Arial"/>
                <w:color w:val="000000"/>
                <w:sz w:val="20"/>
                <w:szCs w:val="20"/>
              </w:rPr>
              <w:t>Female (%)</w:t>
            </w:r>
          </w:p>
        </w:tc>
        <w:tc>
          <w:tcPr>
            <w:tcW w:w="1275" w:type="dxa"/>
            <w:vAlign w:val="center"/>
          </w:tcPr>
          <w:p w:rsidR="00C142AF" w:rsidRPr="00C142AF" w:rsidRDefault="00C142AF" w:rsidP="00C142AF">
            <w:pPr>
              <w:spacing w:before="40" w:after="40"/>
              <w:jc w:val="center"/>
              <w:rPr>
                <w:rFonts w:ascii="Arial Narrow" w:hAnsi="Arial Narrow"/>
                <w:color w:val="000000"/>
                <w:sz w:val="20"/>
                <w:szCs w:val="20"/>
              </w:rPr>
            </w:pPr>
            <w:r w:rsidRPr="00C142AF">
              <w:rPr>
                <w:rFonts w:ascii="Arial Narrow" w:hAnsi="Arial Narrow"/>
                <w:color w:val="000000"/>
                <w:sz w:val="20"/>
                <w:szCs w:val="20"/>
              </w:rPr>
              <w:t>66%</w:t>
            </w:r>
          </w:p>
        </w:tc>
        <w:tc>
          <w:tcPr>
            <w:tcW w:w="1560" w:type="dxa"/>
            <w:vAlign w:val="center"/>
          </w:tcPr>
          <w:p w:rsidR="00C142AF" w:rsidRPr="00C142AF" w:rsidRDefault="00C142AF" w:rsidP="00C142AF">
            <w:pPr>
              <w:spacing w:before="40" w:after="40"/>
              <w:jc w:val="center"/>
              <w:rPr>
                <w:rFonts w:ascii="Arial Narrow" w:hAnsi="Arial Narrow"/>
                <w:color w:val="000000"/>
                <w:sz w:val="20"/>
                <w:szCs w:val="20"/>
              </w:rPr>
            </w:pPr>
            <w:r w:rsidRPr="00C142AF">
              <w:rPr>
                <w:rFonts w:ascii="Arial Narrow" w:hAnsi="Arial Narrow"/>
                <w:color w:val="000000"/>
                <w:sz w:val="20"/>
                <w:szCs w:val="20"/>
              </w:rPr>
              <w:t>68%</w:t>
            </w:r>
          </w:p>
        </w:tc>
        <w:tc>
          <w:tcPr>
            <w:tcW w:w="1559" w:type="dxa"/>
            <w:vAlign w:val="center"/>
          </w:tcPr>
          <w:p w:rsidR="00C142AF" w:rsidRPr="00C142AF" w:rsidRDefault="00C142AF" w:rsidP="00C142AF">
            <w:pPr>
              <w:spacing w:before="40" w:after="40"/>
              <w:jc w:val="center"/>
              <w:rPr>
                <w:rFonts w:ascii="Arial Narrow" w:hAnsi="Arial Narrow"/>
                <w:color w:val="000000"/>
                <w:sz w:val="20"/>
                <w:szCs w:val="20"/>
              </w:rPr>
            </w:pPr>
            <w:r w:rsidRPr="00C142AF">
              <w:rPr>
                <w:rFonts w:ascii="Arial Narrow" w:hAnsi="Arial Narrow"/>
                <w:color w:val="000000"/>
                <w:sz w:val="20"/>
                <w:szCs w:val="20"/>
              </w:rPr>
              <w:t>68%</w:t>
            </w:r>
          </w:p>
        </w:tc>
        <w:tc>
          <w:tcPr>
            <w:tcW w:w="1559" w:type="dxa"/>
            <w:shd w:val="clear" w:color="auto" w:fill="auto"/>
            <w:vAlign w:val="center"/>
          </w:tcPr>
          <w:p w:rsidR="00C142AF" w:rsidRPr="00C142AF" w:rsidRDefault="00C142AF" w:rsidP="00C142AF">
            <w:pPr>
              <w:spacing w:before="40" w:after="40"/>
              <w:jc w:val="center"/>
              <w:rPr>
                <w:rFonts w:ascii="Arial Narrow" w:hAnsi="Arial Narrow" w:cs="Arial"/>
                <w:bCs/>
                <w:color w:val="000000"/>
                <w:sz w:val="20"/>
                <w:szCs w:val="20"/>
              </w:rPr>
            </w:pPr>
            <w:r w:rsidRPr="00C142AF">
              <w:rPr>
                <w:rFonts w:ascii="Arial Narrow" w:hAnsi="Arial Narrow" w:cs="Arial"/>
                <w:bCs/>
                <w:color w:val="000000"/>
                <w:sz w:val="20"/>
                <w:szCs w:val="20"/>
              </w:rPr>
              <w:t>68%</w:t>
            </w:r>
          </w:p>
        </w:tc>
      </w:tr>
      <w:tr w:rsidR="00C142AF" w:rsidRPr="00C142AF" w:rsidTr="00C142AF">
        <w:tc>
          <w:tcPr>
            <w:tcW w:w="2552" w:type="dxa"/>
            <w:vAlign w:val="center"/>
          </w:tcPr>
          <w:p w:rsidR="00C142AF" w:rsidRPr="00C142AF" w:rsidRDefault="00C142AF" w:rsidP="00C142AF">
            <w:pPr>
              <w:spacing w:before="40" w:after="40"/>
              <w:rPr>
                <w:rFonts w:ascii="Arial Narrow" w:hAnsi="Arial Narrow" w:cs="Arial"/>
                <w:color w:val="000000"/>
                <w:sz w:val="20"/>
                <w:szCs w:val="20"/>
              </w:rPr>
            </w:pPr>
            <w:r w:rsidRPr="00C142AF">
              <w:rPr>
                <w:rFonts w:ascii="Arial Narrow" w:hAnsi="Arial Narrow" w:cs="Arial"/>
                <w:color w:val="000000"/>
                <w:sz w:val="20"/>
                <w:szCs w:val="20"/>
              </w:rPr>
              <w:t>Clinical symptom score (mean)</w:t>
            </w:r>
          </w:p>
        </w:tc>
        <w:tc>
          <w:tcPr>
            <w:tcW w:w="1275" w:type="dxa"/>
            <w:vAlign w:val="center"/>
          </w:tcPr>
          <w:p w:rsidR="00C142AF" w:rsidRPr="00C142AF" w:rsidRDefault="00C142AF" w:rsidP="00C142AF">
            <w:pPr>
              <w:spacing w:before="40" w:after="40"/>
              <w:jc w:val="center"/>
              <w:rPr>
                <w:rFonts w:ascii="Arial Narrow" w:hAnsi="Arial Narrow"/>
                <w:color w:val="000000"/>
                <w:sz w:val="20"/>
                <w:szCs w:val="20"/>
              </w:rPr>
            </w:pPr>
            <w:r w:rsidRPr="00C142AF">
              <w:rPr>
                <w:rFonts w:ascii="Arial Narrow" w:hAnsi="Arial Narrow"/>
                <w:color w:val="000000"/>
                <w:sz w:val="20"/>
                <w:szCs w:val="20"/>
              </w:rPr>
              <w:t>3.5</w:t>
            </w:r>
          </w:p>
        </w:tc>
        <w:tc>
          <w:tcPr>
            <w:tcW w:w="1560" w:type="dxa"/>
            <w:vAlign w:val="center"/>
          </w:tcPr>
          <w:p w:rsidR="00C142AF" w:rsidRPr="00C142AF" w:rsidRDefault="00C142AF" w:rsidP="00C142AF">
            <w:pPr>
              <w:spacing w:before="40" w:after="40"/>
              <w:jc w:val="center"/>
              <w:rPr>
                <w:rFonts w:ascii="Arial Narrow" w:hAnsi="Arial Narrow"/>
                <w:color w:val="000000"/>
                <w:sz w:val="20"/>
                <w:szCs w:val="20"/>
              </w:rPr>
            </w:pPr>
            <w:r w:rsidRPr="00C142AF">
              <w:rPr>
                <w:rFonts w:ascii="Arial Narrow" w:hAnsi="Arial Narrow"/>
                <w:color w:val="000000"/>
                <w:sz w:val="20"/>
                <w:szCs w:val="20"/>
              </w:rPr>
              <w:t>4.1</w:t>
            </w:r>
          </w:p>
        </w:tc>
        <w:tc>
          <w:tcPr>
            <w:tcW w:w="1559" w:type="dxa"/>
            <w:vAlign w:val="center"/>
          </w:tcPr>
          <w:p w:rsidR="00C142AF" w:rsidRPr="00C142AF" w:rsidRDefault="00C142AF" w:rsidP="00C142AF">
            <w:pPr>
              <w:spacing w:before="40" w:after="40"/>
              <w:jc w:val="center"/>
              <w:rPr>
                <w:rFonts w:ascii="Arial Narrow" w:hAnsi="Arial Narrow"/>
                <w:color w:val="000000"/>
                <w:sz w:val="20"/>
                <w:szCs w:val="20"/>
              </w:rPr>
            </w:pPr>
            <w:r w:rsidRPr="00C142AF">
              <w:rPr>
                <w:rFonts w:ascii="Arial Narrow" w:hAnsi="Arial Narrow"/>
                <w:color w:val="000000"/>
                <w:sz w:val="20"/>
                <w:szCs w:val="20"/>
              </w:rPr>
              <w:t>4.1</w:t>
            </w:r>
          </w:p>
        </w:tc>
        <w:tc>
          <w:tcPr>
            <w:tcW w:w="1559" w:type="dxa"/>
            <w:shd w:val="clear" w:color="auto" w:fill="auto"/>
            <w:vAlign w:val="center"/>
          </w:tcPr>
          <w:p w:rsidR="00C142AF" w:rsidRPr="00C142AF" w:rsidRDefault="00C142AF" w:rsidP="00C142AF">
            <w:pPr>
              <w:spacing w:before="40" w:after="40"/>
              <w:jc w:val="center"/>
              <w:rPr>
                <w:rFonts w:ascii="Arial Narrow" w:hAnsi="Arial Narrow" w:cs="Arial"/>
                <w:bCs/>
                <w:color w:val="000000"/>
                <w:sz w:val="20"/>
                <w:szCs w:val="20"/>
              </w:rPr>
            </w:pPr>
            <w:r w:rsidRPr="00C142AF">
              <w:rPr>
                <w:rFonts w:ascii="Arial Narrow" w:hAnsi="Arial Narrow" w:cs="Arial"/>
                <w:bCs/>
                <w:color w:val="000000"/>
                <w:sz w:val="20"/>
                <w:szCs w:val="20"/>
              </w:rPr>
              <w:t>4.5</w:t>
            </w:r>
          </w:p>
        </w:tc>
      </w:tr>
      <w:tr w:rsidR="00C142AF" w:rsidRPr="00C142AF" w:rsidTr="00C142AF">
        <w:tc>
          <w:tcPr>
            <w:tcW w:w="2552" w:type="dxa"/>
            <w:vAlign w:val="center"/>
          </w:tcPr>
          <w:p w:rsidR="00C142AF" w:rsidRPr="00C142AF" w:rsidRDefault="00C142AF" w:rsidP="00C142AF">
            <w:pPr>
              <w:spacing w:before="40" w:after="40"/>
              <w:rPr>
                <w:rFonts w:ascii="Arial Narrow" w:hAnsi="Arial Narrow" w:cs="Arial"/>
                <w:color w:val="000000"/>
                <w:sz w:val="20"/>
                <w:szCs w:val="20"/>
              </w:rPr>
            </w:pPr>
            <w:r w:rsidRPr="00C142AF">
              <w:rPr>
                <w:rFonts w:ascii="Arial Narrow" w:hAnsi="Arial Narrow" w:cs="Arial"/>
                <w:color w:val="000000"/>
                <w:sz w:val="20"/>
                <w:szCs w:val="20"/>
              </w:rPr>
              <w:t>ACQ7 score (mean)</w:t>
            </w:r>
          </w:p>
        </w:tc>
        <w:tc>
          <w:tcPr>
            <w:tcW w:w="1275" w:type="dxa"/>
            <w:vAlign w:val="center"/>
          </w:tcPr>
          <w:p w:rsidR="00C142AF" w:rsidRPr="00C142AF" w:rsidRDefault="00C142AF" w:rsidP="00C142AF">
            <w:pPr>
              <w:spacing w:before="40" w:after="40"/>
              <w:jc w:val="center"/>
              <w:rPr>
                <w:rFonts w:ascii="Arial Narrow" w:hAnsi="Arial Narrow"/>
                <w:color w:val="000000"/>
                <w:sz w:val="20"/>
                <w:szCs w:val="20"/>
              </w:rPr>
            </w:pPr>
            <w:r w:rsidRPr="00C142AF">
              <w:rPr>
                <w:rFonts w:ascii="Arial Narrow" w:hAnsi="Arial Narrow"/>
                <w:color w:val="000000"/>
                <w:sz w:val="20"/>
                <w:szCs w:val="20"/>
              </w:rPr>
              <w:t>2.7</w:t>
            </w:r>
          </w:p>
        </w:tc>
        <w:tc>
          <w:tcPr>
            <w:tcW w:w="1560" w:type="dxa"/>
            <w:vAlign w:val="center"/>
          </w:tcPr>
          <w:p w:rsidR="00C142AF" w:rsidRPr="00C142AF" w:rsidRDefault="00C142AF" w:rsidP="00C142AF">
            <w:pPr>
              <w:spacing w:before="40" w:after="40"/>
              <w:jc w:val="center"/>
              <w:rPr>
                <w:rFonts w:ascii="Arial Narrow" w:hAnsi="Arial Narrow"/>
                <w:color w:val="000000"/>
                <w:sz w:val="20"/>
                <w:szCs w:val="20"/>
              </w:rPr>
            </w:pPr>
            <w:r w:rsidRPr="00C142AF">
              <w:rPr>
                <w:rFonts w:ascii="Arial Narrow" w:hAnsi="Arial Narrow"/>
                <w:color w:val="000000"/>
                <w:sz w:val="20"/>
                <w:szCs w:val="20"/>
              </w:rPr>
              <w:t>3.2</w:t>
            </w:r>
          </w:p>
        </w:tc>
        <w:tc>
          <w:tcPr>
            <w:tcW w:w="1559" w:type="dxa"/>
            <w:vAlign w:val="center"/>
          </w:tcPr>
          <w:p w:rsidR="00C142AF" w:rsidRPr="00C142AF" w:rsidRDefault="00C142AF" w:rsidP="00C142AF">
            <w:pPr>
              <w:spacing w:before="40" w:after="40"/>
              <w:jc w:val="center"/>
              <w:rPr>
                <w:rFonts w:ascii="Arial Narrow" w:hAnsi="Arial Narrow"/>
                <w:color w:val="000000"/>
                <w:sz w:val="20"/>
                <w:szCs w:val="20"/>
              </w:rPr>
            </w:pPr>
            <w:r w:rsidRPr="00C142AF">
              <w:rPr>
                <w:rFonts w:ascii="Arial Narrow" w:hAnsi="Arial Narrow"/>
                <w:color w:val="000000"/>
                <w:sz w:val="20"/>
                <w:szCs w:val="20"/>
              </w:rPr>
              <w:t>3.3</w:t>
            </w:r>
          </w:p>
        </w:tc>
        <w:tc>
          <w:tcPr>
            <w:tcW w:w="1559" w:type="dxa"/>
            <w:shd w:val="clear" w:color="auto" w:fill="auto"/>
            <w:vAlign w:val="center"/>
          </w:tcPr>
          <w:p w:rsidR="00C142AF" w:rsidRPr="00C142AF" w:rsidRDefault="00C142AF" w:rsidP="00C142AF">
            <w:pPr>
              <w:spacing w:before="40" w:after="40"/>
              <w:jc w:val="center"/>
              <w:rPr>
                <w:rFonts w:ascii="Arial Narrow" w:hAnsi="Arial Narrow" w:cs="Arial"/>
                <w:bCs/>
                <w:color w:val="000000"/>
                <w:sz w:val="20"/>
                <w:szCs w:val="20"/>
              </w:rPr>
            </w:pPr>
            <w:r w:rsidRPr="00C142AF">
              <w:rPr>
                <w:rFonts w:ascii="Arial Narrow" w:hAnsi="Arial Narrow" w:cs="Arial"/>
                <w:bCs/>
                <w:color w:val="000000"/>
                <w:sz w:val="20"/>
                <w:szCs w:val="20"/>
              </w:rPr>
              <w:t>3.6</w:t>
            </w:r>
          </w:p>
        </w:tc>
      </w:tr>
      <w:tr w:rsidR="00C142AF" w:rsidRPr="00C142AF" w:rsidTr="00C142AF">
        <w:tc>
          <w:tcPr>
            <w:tcW w:w="2552" w:type="dxa"/>
            <w:vAlign w:val="center"/>
          </w:tcPr>
          <w:p w:rsidR="00C142AF" w:rsidRPr="00C142AF" w:rsidRDefault="00C142AF" w:rsidP="00C142AF">
            <w:pPr>
              <w:spacing w:before="40" w:after="40"/>
              <w:rPr>
                <w:rFonts w:ascii="Arial Narrow" w:hAnsi="Arial Narrow" w:cs="Arial"/>
                <w:color w:val="000000"/>
                <w:sz w:val="20"/>
                <w:szCs w:val="20"/>
              </w:rPr>
            </w:pPr>
            <w:r w:rsidRPr="00C142AF">
              <w:rPr>
                <w:rFonts w:ascii="Arial Narrow" w:hAnsi="Arial Narrow" w:cs="Arial"/>
                <w:color w:val="000000"/>
                <w:sz w:val="20"/>
                <w:szCs w:val="20"/>
              </w:rPr>
              <w:t>ACQ5 score  (mean)</w:t>
            </w:r>
          </w:p>
        </w:tc>
        <w:tc>
          <w:tcPr>
            <w:tcW w:w="1275" w:type="dxa"/>
            <w:vAlign w:val="center"/>
          </w:tcPr>
          <w:p w:rsidR="00C142AF" w:rsidRPr="00C142AF" w:rsidRDefault="00C142AF" w:rsidP="00C142AF">
            <w:pPr>
              <w:spacing w:before="40" w:after="40"/>
              <w:jc w:val="center"/>
              <w:rPr>
                <w:rFonts w:ascii="Arial Narrow" w:hAnsi="Arial Narrow"/>
                <w:color w:val="000000"/>
                <w:sz w:val="20"/>
                <w:szCs w:val="20"/>
              </w:rPr>
            </w:pPr>
            <w:r w:rsidRPr="00C142AF">
              <w:rPr>
                <w:rFonts w:ascii="Arial Narrow" w:hAnsi="Arial Narrow"/>
                <w:color w:val="000000"/>
                <w:sz w:val="20"/>
                <w:szCs w:val="20"/>
              </w:rPr>
              <w:t>2.6</w:t>
            </w:r>
          </w:p>
        </w:tc>
        <w:tc>
          <w:tcPr>
            <w:tcW w:w="1560" w:type="dxa"/>
            <w:vAlign w:val="center"/>
          </w:tcPr>
          <w:p w:rsidR="00C142AF" w:rsidRPr="00C142AF" w:rsidRDefault="00C142AF" w:rsidP="00C142AF">
            <w:pPr>
              <w:spacing w:before="40" w:after="40"/>
              <w:jc w:val="center"/>
              <w:rPr>
                <w:rFonts w:ascii="Arial Narrow" w:hAnsi="Arial Narrow"/>
                <w:color w:val="000000"/>
                <w:sz w:val="20"/>
                <w:szCs w:val="20"/>
              </w:rPr>
            </w:pPr>
            <w:r w:rsidRPr="00C142AF">
              <w:rPr>
                <w:rFonts w:ascii="Arial Narrow" w:hAnsi="Arial Narrow"/>
                <w:color w:val="000000"/>
                <w:sz w:val="20"/>
                <w:szCs w:val="20"/>
              </w:rPr>
              <w:t>3.2</w:t>
            </w:r>
          </w:p>
        </w:tc>
        <w:tc>
          <w:tcPr>
            <w:tcW w:w="1559" w:type="dxa"/>
            <w:vAlign w:val="center"/>
          </w:tcPr>
          <w:p w:rsidR="00C142AF" w:rsidRPr="00C142AF" w:rsidRDefault="00C142AF" w:rsidP="00C142AF">
            <w:pPr>
              <w:spacing w:before="40" w:after="40"/>
              <w:jc w:val="center"/>
              <w:rPr>
                <w:rFonts w:ascii="Arial Narrow" w:hAnsi="Arial Narrow"/>
                <w:color w:val="000000"/>
                <w:sz w:val="20"/>
                <w:szCs w:val="20"/>
              </w:rPr>
            </w:pPr>
            <w:r w:rsidRPr="00C142AF">
              <w:rPr>
                <w:rFonts w:ascii="Arial Narrow" w:hAnsi="Arial Narrow"/>
                <w:color w:val="000000"/>
                <w:sz w:val="20"/>
                <w:szCs w:val="20"/>
              </w:rPr>
              <w:t>3.2</w:t>
            </w:r>
          </w:p>
        </w:tc>
        <w:tc>
          <w:tcPr>
            <w:tcW w:w="1559" w:type="dxa"/>
            <w:shd w:val="clear" w:color="auto" w:fill="auto"/>
            <w:vAlign w:val="center"/>
          </w:tcPr>
          <w:p w:rsidR="00C142AF" w:rsidRPr="00C142AF" w:rsidRDefault="00C142AF" w:rsidP="00C142AF">
            <w:pPr>
              <w:spacing w:before="40" w:after="40"/>
              <w:jc w:val="center"/>
              <w:rPr>
                <w:rFonts w:ascii="Arial Narrow" w:hAnsi="Arial Narrow" w:cs="Arial"/>
                <w:bCs/>
                <w:color w:val="000000"/>
                <w:sz w:val="20"/>
                <w:szCs w:val="20"/>
              </w:rPr>
            </w:pPr>
            <w:r w:rsidRPr="00C142AF">
              <w:rPr>
                <w:rFonts w:ascii="Arial Narrow" w:hAnsi="Arial Narrow" w:cs="Arial"/>
                <w:bCs/>
                <w:color w:val="000000"/>
                <w:sz w:val="20"/>
                <w:szCs w:val="20"/>
              </w:rPr>
              <w:t>3.6</w:t>
            </w:r>
          </w:p>
        </w:tc>
      </w:tr>
      <w:tr w:rsidR="00C142AF" w:rsidRPr="00C142AF" w:rsidTr="00C142AF">
        <w:tc>
          <w:tcPr>
            <w:tcW w:w="2552" w:type="dxa"/>
            <w:vAlign w:val="center"/>
          </w:tcPr>
          <w:p w:rsidR="00C142AF" w:rsidRPr="00C142AF" w:rsidRDefault="00C142AF" w:rsidP="00C142AF">
            <w:pPr>
              <w:spacing w:before="40" w:after="40"/>
              <w:rPr>
                <w:rFonts w:ascii="Arial Narrow" w:hAnsi="Arial Narrow" w:cs="Arial"/>
                <w:color w:val="000000"/>
                <w:sz w:val="20"/>
                <w:szCs w:val="20"/>
              </w:rPr>
            </w:pPr>
            <w:r w:rsidRPr="00C142AF">
              <w:rPr>
                <w:rFonts w:ascii="Arial Narrow" w:hAnsi="Arial Narrow" w:cs="Arial"/>
                <w:color w:val="000000"/>
                <w:sz w:val="20"/>
                <w:szCs w:val="20"/>
              </w:rPr>
              <w:t>AQLQ score (mean)</w:t>
            </w:r>
          </w:p>
        </w:tc>
        <w:tc>
          <w:tcPr>
            <w:tcW w:w="1275" w:type="dxa"/>
            <w:vAlign w:val="center"/>
          </w:tcPr>
          <w:p w:rsidR="00C142AF" w:rsidRPr="00C142AF" w:rsidRDefault="00C142AF" w:rsidP="00C142AF">
            <w:pPr>
              <w:spacing w:before="40" w:after="40"/>
              <w:jc w:val="center"/>
              <w:rPr>
                <w:rFonts w:ascii="Arial Narrow" w:hAnsi="Arial Narrow"/>
                <w:color w:val="000000"/>
                <w:sz w:val="20"/>
                <w:szCs w:val="20"/>
              </w:rPr>
            </w:pPr>
            <w:r w:rsidRPr="00C142AF">
              <w:rPr>
                <w:rFonts w:ascii="Arial Narrow" w:hAnsi="Arial Narrow"/>
                <w:color w:val="000000"/>
                <w:sz w:val="20"/>
                <w:szCs w:val="20"/>
              </w:rPr>
              <w:t>3.9</w:t>
            </w:r>
          </w:p>
        </w:tc>
        <w:tc>
          <w:tcPr>
            <w:tcW w:w="1560" w:type="dxa"/>
            <w:vAlign w:val="center"/>
          </w:tcPr>
          <w:p w:rsidR="00C142AF" w:rsidRPr="00C142AF" w:rsidRDefault="00C142AF" w:rsidP="00C142AF">
            <w:pPr>
              <w:spacing w:before="40" w:after="40"/>
              <w:jc w:val="center"/>
              <w:rPr>
                <w:rFonts w:ascii="Arial Narrow" w:hAnsi="Arial Narrow"/>
                <w:color w:val="000000"/>
                <w:sz w:val="20"/>
                <w:szCs w:val="20"/>
              </w:rPr>
            </w:pPr>
            <w:r w:rsidRPr="00C142AF">
              <w:rPr>
                <w:rFonts w:ascii="Arial Narrow" w:hAnsi="Arial Narrow"/>
                <w:color w:val="000000"/>
                <w:sz w:val="20"/>
                <w:szCs w:val="20"/>
              </w:rPr>
              <w:t>3.5</w:t>
            </w:r>
          </w:p>
        </w:tc>
        <w:tc>
          <w:tcPr>
            <w:tcW w:w="1559" w:type="dxa"/>
            <w:vAlign w:val="center"/>
          </w:tcPr>
          <w:p w:rsidR="00C142AF" w:rsidRPr="00C142AF" w:rsidRDefault="00C142AF" w:rsidP="00C142AF">
            <w:pPr>
              <w:spacing w:before="40" w:after="40"/>
              <w:jc w:val="center"/>
              <w:rPr>
                <w:rFonts w:ascii="Arial Narrow" w:hAnsi="Arial Narrow"/>
                <w:color w:val="000000"/>
                <w:sz w:val="20"/>
                <w:szCs w:val="20"/>
              </w:rPr>
            </w:pPr>
            <w:r w:rsidRPr="00C142AF">
              <w:rPr>
                <w:rFonts w:ascii="Arial Narrow" w:hAnsi="Arial Narrow"/>
                <w:color w:val="000000"/>
                <w:sz w:val="20"/>
                <w:szCs w:val="20"/>
              </w:rPr>
              <w:t>3.5</w:t>
            </w:r>
          </w:p>
        </w:tc>
        <w:tc>
          <w:tcPr>
            <w:tcW w:w="1559" w:type="dxa"/>
            <w:shd w:val="clear" w:color="auto" w:fill="auto"/>
            <w:vAlign w:val="center"/>
          </w:tcPr>
          <w:p w:rsidR="00C142AF" w:rsidRPr="00C142AF" w:rsidRDefault="00C142AF" w:rsidP="00C142AF">
            <w:pPr>
              <w:spacing w:before="40" w:after="40"/>
              <w:jc w:val="center"/>
              <w:rPr>
                <w:rFonts w:ascii="Arial Narrow" w:hAnsi="Arial Narrow" w:cs="Arial"/>
                <w:bCs/>
                <w:color w:val="000000"/>
                <w:sz w:val="20"/>
                <w:szCs w:val="20"/>
              </w:rPr>
            </w:pPr>
            <w:r w:rsidRPr="00C142AF">
              <w:rPr>
                <w:rFonts w:ascii="Arial Narrow" w:hAnsi="Arial Narrow" w:cs="Arial"/>
                <w:bCs/>
                <w:color w:val="000000"/>
                <w:sz w:val="20"/>
                <w:szCs w:val="20"/>
              </w:rPr>
              <w:t>3.3</w:t>
            </w:r>
          </w:p>
        </w:tc>
      </w:tr>
      <w:tr w:rsidR="00C142AF" w:rsidRPr="00C142AF" w:rsidTr="00C142AF">
        <w:tc>
          <w:tcPr>
            <w:tcW w:w="2552" w:type="dxa"/>
            <w:vAlign w:val="center"/>
          </w:tcPr>
          <w:p w:rsidR="00C142AF" w:rsidRPr="00C142AF" w:rsidRDefault="00C142AF" w:rsidP="00C142AF">
            <w:pPr>
              <w:spacing w:before="40" w:after="40"/>
              <w:rPr>
                <w:rFonts w:ascii="Arial Narrow" w:hAnsi="Arial Narrow" w:cs="Arial"/>
                <w:color w:val="000000"/>
                <w:sz w:val="20"/>
                <w:szCs w:val="20"/>
              </w:rPr>
            </w:pPr>
            <w:r w:rsidRPr="00C142AF">
              <w:rPr>
                <w:rFonts w:ascii="Arial Narrow" w:hAnsi="Arial Narrow" w:cs="Arial"/>
                <w:color w:val="000000"/>
                <w:sz w:val="20"/>
                <w:szCs w:val="20"/>
              </w:rPr>
              <w:t>Exacerbations in last 12mths (n)</w:t>
            </w:r>
          </w:p>
        </w:tc>
        <w:tc>
          <w:tcPr>
            <w:tcW w:w="1275" w:type="dxa"/>
            <w:vAlign w:val="center"/>
          </w:tcPr>
          <w:p w:rsidR="00C142AF" w:rsidRPr="00C142AF" w:rsidRDefault="00C142AF" w:rsidP="00C142AF">
            <w:pPr>
              <w:spacing w:before="40" w:after="40"/>
              <w:jc w:val="center"/>
              <w:rPr>
                <w:rFonts w:ascii="Arial Narrow" w:hAnsi="Arial Narrow"/>
                <w:color w:val="000000"/>
                <w:sz w:val="20"/>
                <w:szCs w:val="20"/>
              </w:rPr>
            </w:pPr>
            <w:r w:rsidRPr="00C142AF">
              <w:rPr>
                <w:rFonts w:ascii="Arial Narrow" w:hAnsi="Arial Narrow"/>
                <w:color w:val="000000"/>
                <w:sz w:val="20"/>
                <w:szCs w:val="20"/>
              </w:rPr>
              <w:t>2.3</w:t>
            </w:r>
          </w:p>
        </w:tc>
        <w:tc>
          <w:tcPr>
            <w:tcW w:w="1560" w:type="dxa"/>
            <w:vAlign w:val="center"/>
          </w:tcPr>
          <w:p w:rsidR="00C142AF" w:rsidRPr="00C142AF" w:rsidRDefault="00C142AF" w:rsidP="00C142AF">
            <w:pPr>
              <w:spacing w:before="40" w:after="40"/>
              <w:jc w:val="center"/>
              <w:rPr>
                <w:rFonts w:ascii="Arial Narrow" w:hAnsi="Arial Narrow"/>
                <w:color w:val="000000"/>
                <w:sz w:val="20"/>
                <w:szCs w:val="20"/>
              </w:rPr>
            </w:pPr>
            <w:r w:rsidRPr="00C142AF">
              <w:rPr>
                <w:rFonts w:ascii="Arial Narrow" w:hAnsi="Arial Narrow"/>
                <w:color w:val="000000"/>
                <w:sz w:val="20"/>
                <w:szCs w:val="20"/>
              </w:rPr>
              <w:t>2.5</w:t>
            </w:r>
          </w:p>
        </w:tc>
        <w:tc>
          <w:tcPr>
            <w:tcW w:w="1559" w:type="dxa"/>
            <w:vAlign w:val="center"/>
          </w:tcPr>
          <w:p w:rsidR="00C142AF" w:rsidRPr="00C142AF" w:rsidRDefault="00C142AF" w:rsidP="00C142AF">
            <w:pPr>
              <w:spacing w:before="40" w:after="40"/>
              <w:jc w:val="center"/>
              <w:rPr>
                <w:rFonts w:ascii="Arial Narrow" w:hAnsi="Arial Narrow"/>
                <w:color w:val="000000"/>
                <w:sz w:val="20"/>
                <w:szCs w:val="20"/>
              </w:rPr>
            </w:pPr>
            <w:r w:rsidRPr="00C142AF">
              <w:rPr>
                <w:rFonts w:ascii="Arial Narrow" w:hAnsi="Arial Narrow"/>
                <w:color w:val="000000"/>
                <w:sz w:val="20"/>
                <w:szCs w:val="20"/>
              </w:rPr>
              <w:t>2.5</w:t>
            </w:r>
          </w:p>
        </w:tc>
        <w:tc>
          <w:tcPr>
            <w:tcW w:w="1559" w:type="dxa"/>
            <w:shd w:val="clear" w:color="auto" w:fill="auto"/>
            <w:vAlign w:val="center"/>
          </w:tcPr>
          <w:p w:rsidR="00C142AF" w:rsidRPr="00C142AF" w:rsidRDefault="00C142AF" w:rsidP="00C142AF">
            <w:pPr>
              <w:spacing w:before="40" w:after="40"/>
              <w:jc w:val="center"/>
              <w:rPr>
                <w:rFonts w:ascii="Arial Narrow" w:hAnsi="Arial Narrow" w:cs="Arial"/>
                <w:bCs/>
                <w:color w:val="000000"/>
                <w:sz w:val="20"/>
                <w:szCs w:val="20"/>
              </w:rPr>
            </w:pPr>
            <w:r w:rsidRPr="00C142AF">
              <w:rPr>
                <w:rFonts w:ascii="Arial Narrow" w:hAnsi="Arial Narrow" w:cs="Arial"/>
                <w:bCs/>
                <w:color w:val="000000"/>
                <w:sz w:val="20"/>
                <w:szCs w:val="20"/>
              </w:rPr>
              <w:t>2.4</w:t>
            </w:r>
          </w:p>
        </w:tc>
      </w:tr>
      <w:tr w:rsidR="00C142AF" w:rsidRPr="00C142AF" w:rsidTr="00C142AF">
        <w:tc>
          <w:tcPr>
            <w:tcW w:w="2552" w:type="dxa"/>
            <w:vAlign w:val="center"/>
          </w:tcPr>
          <w:p w:rsidR="00C142AF" w:rsidRPr="00C142AF" w:rsidRDefault="00C142AF" w:rsidP="00C142AF">
            <w:pPr>
              <w:spacing w:before="40" w:after="40"/>
              <w:rPr>
                <w:rFonts w:ascii="Arial Narrow" w:hAnsi="Arial Narrow" w:cs="Arial"/>
                <w:color w:val="000000"/>
                <w:sz w:val="20"/>
                <w:szCs w:val="20"/>
              </w:rPr>
            </w:pPr>
            <w:proofErr w:type="spellStart"/>
            <w:r w:rsidRPr="00C142AF">
              <w:rPr>
                <w:rFonts w:ascii="Arial Narrow" w:hAnsi="Arial Narrow" w:cs="Arial"/>
                <w:color w:val="000000"/>
                <w:sz w:val="20"/>
                <w:szCs w:val="20"/>
              </w:rPr>
              <w:t>Hospitalised</w:t>
            </w:r>
            <w:proofErr w:type="spellEnd"/>
            <w:r w:rsidRPr="00C142AF">
              <w:rPr>
                <w:rFonts w:ascii="Arial Narrow" w:hAnsi="Arial Narrow" w:cs="Arial"/>
                <w:color w:val="000000"/>
                <w:sz w:val="20"/>
                <w:szCs w:val="20"/>
              </w:rPr>
              <w:t xml:space="preserve"> in last 12mths (%)</w:t>
            </w:r>
          </w:p>
        </w:tc>
        <w:tc>
          <w:tcPr>
            <w:tcW w:w="1275" w:type="dxa"/>
            <w:vAlign w:val="center"/>
          </w:tcPr>
          <w:p w:rsidR="00C142AF" w:rsidRPr="00C142AF" w:rsidRDefault="00C142AF" w:rsidP="00C142AF">
            <w:pPr>
              <w:spacing w:before="40" w:after="40"/>
              <w:jc w:val="center"/>
              <w:rPr>
                <w:rFonts w:ascii="Arial Narrow" w:hAnsi="Arial Narrow"/>
                <w:color w:val="000000"/>
                <w:sz w:val="20"/>
                <w:szCs w:val="20"/>
              </w:rPr>
            </w:pPr>
            <w:r w:rsidRPr="00C142AF">
              <w:rPr>
                <w:rFonts w:ascii="Arial Narrow" w:hAnsi="Arial Narrow"/>
                <w:color w:val="000000"/>
                <w:sz w:val="20"/>
                <w:szCs w:val="20"/>
              </w:rPr>
              <w:t>31%</w:t>
            </w:r>
          </w:p>
        </w:tc>
        <w:tc>
          <w:tcPr>
            <w:tcW w:w="1560" w:type="dxa"/>
            <w:vAlign w:val="center"/>
          </w:tcPr>
          <w:p w:rsidR="00C142AF" w:rsidRPr="00C142AF" w:rsidRDefault="00C142AF" w:rsidP="00C142AF">
            <w:pPr>
              <w:spacing w:before="40" w:after="40"/>
              <w:jc w:val="center"/>
              <w:rPr>
                <w:rFonts w:ascii="Arial Narrow" w:hAnsi="Arial Narrow"/>
                <w:color w:val="000000"/>
                <w:sz w:val="20"/>
                <w:szCs w:val="20"/>
              </w:rPr>
            </w:pPr>
            <w:r w:rsidRPr="00C142AF">
              <w:rPr>
                <w:rFonts w:ascii="Arial Narrow" w:hAnsi="Arial Narrow"/>
                <w:color w:val="000000"/>
                <w:sz w:val="20"/>
                <w:szCs w:val="20"/>
              </w:rPr>
              <w:t>42%</w:t>
            </w:r>
          </w:p>
        </w:tc>
        <w:tc>
          <w:tcPr>
            <w:tcW w:w="1559" w:type="dxa"/>
            <w:vAlign w:val="center"/>
          </w:tcPr>
          <w:p w:rsidR="00C142AF" w:rsidRPr="00C142AF" w:rsidRDefault="00C142AF" w:rsidP="00C142AF">
            <w:pPr>
              <w:spacing w:before="40" w:after="40"/>
              <w:jc w:val="center"/>
              <w:rPr>
                <w:rFonts w:ascii="Arial Narrow" w:hAnsi="Arial Narrow"/>
                <w:color w:val="000000"/>
                <w:sz w:val="20"/>
                <w:szCs w:val="20"/>
              </w:rPr>
            </w:pPr>
            <w:r w:rsidRPr="00C142AF">
              <w:rPr>
                <w:rFonts w:ascii="Arial Narrow" w:hAnsi="Arial Narrow"/>
                <w:color w:val="000000"/>
                <w:sz w:val="20"/>
                <w:szCs w:val="20"/>
              </w:rPr>
              <w:t>45%</w:t>
            </w:r>
          </w:p>
        </w:tc>
        <w:tc>
          <w:tcPr>
            <w:tcW w:w="1559" w:type="dxa"/>
            <w:shd w:val="clear" w:color="auto" w:fill="auto"/>
            <w:vAlign w:val="center"/>
          </w:tcPr>
          <w:p w:rsidR="00C142AF" w:rsidRPr="00C142AF" w:rsidRDefault="00C142AF" w:rsidP="00C142AF">
            <w:pPr>
              <w:spacing w:before="40" w:after="40"/>
              <w:jc w:val="center"/>
              <w:rPr>
                <w:rFonts w:ascii="Arial Narrow" w:hAnsi="Arial Narrow" w:cs="Arial"/>
                <w:bCs/>
                <w:color w:val="000000"/>
                <w:sz w:val="20"/>
                <w:szCs w:val="20"/>
              </w:rPr>
            </w:pPr>
            <w:r w:rsidRPr="00C142AF">
              <w:rPr>
                <w:rFonts w:ascii="Arial Narrow" w:hAnsi="Arial Narrow" w:cs="Arial"/>
                <w:bCs/>
                <w:color w:val="000000"/>
                <w:sz w:val="20"/>
                <w:szCs w:val="20"/>
              </w:rPr>
              <w:t>54%</w:t>
            </w:r>
          </w:p>
        </w:tc>
      </w:tr>
      <w:tr w:rsidR="00C142AF" w:rsidRPr="00C142AF" w:rsidTr="00C142AF">
        <w:tc>
          <w:tcPr>
            <w:tcW w:w="2552" w:type="dxa"/>
            <w:vAlign w:val="center"/>
          </w:tcPr>
          <w:p w:rsidR="00C142AF" w:rsidRPr="00C142AF" w:rsidRDefault="00C142AF" w:rsidP="00C142AF">
            <w:pPr>
              <w:spacing w:before="40" w:after="40"/>
              <w:rPr>
                <w:rFonts w:ascii="Arial Narrow" w:hAnsi="Arial Narrow" w:cs="Arial"/>
                <w:color w:val="000000"/>
                <w:sz w:val="20"/>
                <w:szCs w:val="20"/>
              </w:rPr>
            </w:pPr>
            <w:r w:rsidRPr="00C142AF">
              <w:rPr>
                <w:rFonts w:ascii="Arial Narrow" w:hAnsi="Arial Narrow" w:cs="Arial"/>
                <w:color w:val="000000"/>
                <w:sz w:val="20"/>
                <w:szCs w:val="20"/>
              </w:rPr>
              <w:t>OCS dose/day (mg)</w:t>
            </w:r>
          </w:p>
        </w:tc>
        <w:tc>
          <w:tcPr>
            <w:tcW w:w="1275" w:type="dxa"/>
            <w:vAlign w:val="center"/>
          </w:tcPr>
          <w:p w:rsidR="00C142AF" w:rsidRPr="00C142AF" w:rsidRDefault="00C142AF" w:rsidP="00C142AF">
            <w:pPr>
              <w:spacing w:before="40" w:after="40"/>
              <w:jc w:val="center"/>
              <w:rPr>
                <w:rFonts w:ascii="Arial Narrow" w:hAnsi="Arial Narrow"/>
                <w:color w:val="000000"/>
                <w:sz w:val="20"/>
                <w:szCs w:val="20"/>
              </w:rPr>
            </w:pPr>
            <w:r w:rsidRPr="00C142AF">
              <w:rPr>
                <w:rFonts w:ascii="Arial Narrow" w:hAnsi="Arial Narrow"/>
                <w:color w:val="000000"/>
                <w:sz w:val="20"/>
                <w:szCs w:val="20"/>
              </w:rPr>
              <w:t>3.6</w:t>
            </w:r>
          </w:p>
        </w:tc>
        <w:tc>
          <w:tcPr>
            <w:tcW w:w="1560" w:type="dxa"/>
            <w:vAlign w:val="center"/>
          </w:tcPr>
          <w:p w:rsidR="00C142AF" w:rsidRPr="00C142AF" w:rsidRDefault="00C142AF" w:rsidP="00C142AF">
            <w:pPr>
              <w:spacing w:before="40" w:after="40"/>
              <w:jc w:val="center"/>
              <w:rPr>
                <w:rFonts w:ascii="Arial Narrow" w:hAnsi="Arial Narrow"/>
                <w:color w:val="000000"/>
                <w:sz w:val="20"/>
                <w:szCs w:val="20"/>
              </w:rPr>
            </w:pPr>
            <w:r w:rsidRPr="00C142AF">
              <w:rPr>
                <w:rFonts w:ascii="Arial Narrow" w:hAnsi="Arial Narrow"/>
                <w:color w:val="000000"/>
                <w:sz w:val="20"/>
                <w:szCs w:val="20"/>
              </w:rPr>
              <w:t>16.2</w:t>
            </w:r>
          </w:p>
        </w:tc>
        <w:tc>
          <w:tcPr>
            <w:tcW w:w="1559" w:type="dxa"/>
            <w:vAlign w:val="center"/>
          </w:tcPr>
          <w:p w:rsidR="00C142AF" w:rsidRPr="00C142AF" w:rsidRDefault="00C142AF" w:rsidP="00C142AF">
            <w:pPr>
              <w:spacing w:before="40" w:after="40"/>
              <w:jc w:val="center"/>
              <w:rPr>
                <w:rFonts w:ascii="Arial Narrow" w:hAnsi="Arial Narrow"/>
                <w:color w:val="000000"/>
                <w:sz w:val="20"/>
                <w:szCs w:val="20"/>
              </w:rPr>
            </w:pPr>
            <w:r w:rsidRPr="00C142AF">
              <w:rPr>
                <w:rFonts w:ascii="Arial Narrow" w:hAnsi="Arial Narrow"/>
                <w:color w:val="000000"/>
                <w:sz w:val="20"/>
                <w:szCs w:val="20"/>
              </w:rPr>
              <w:t>16.8</w:t>
            </w:r>
          </w:p>
        </w:tc>
        <w:tc>
          <w:tcPr>
            <w:tcW w:w="1559" w:type="dxa"/>
            <w:shd w:val="clear" w:color="auto" w:fill="auto"/>
            <w:vAlign w:val="center"/>
          </w:tcPr>
          <w:p w:rsidR="00C142AF" w:rsidRPr="00C142AF" w:rsidRDefault="00C142AF" w:rsidP="00C142AF">
            <w:pPr>
              <w:spacing w:before="40" w:after="40"/>
              <w:jc w:val="center"/>
              <w:rPr>
                <w:rFonts w:ascii="Arial Narrow" w:hAnsi="Arial Narrow" w:cs="Arial"/>
                <w:bCs/>
                <w:color w:val="000000"/>
                <w:sz w:val="20"/>
                <w:szCs w:val="20"/>
              </w:rPr>
            </w:pPr>
            <w:r w:rsidRPr="00C142AF">
              <w:rPr>
                <w:rFonts w:ascii="Arial Narrow" w:hAnsi="Arial Narrow" w:cs="Arial"/>
                <w:bCs/>
                <w:color w:val="000000"/>
                <w:sz w:val="20"/>
                <w:szCs w:val="20"/>
              </w:rPr>
              <w:t>19.3</w:t>
            </w:r>
          </w:p>
        </w:tc>
      </w:tr>
      <w:tr w:rsidR="00C142AF" w:rsidRPr="00C142AF" w:rsidTr="00C142AF">
        <w:tc>
          <w:tcPr>
            <w:tcW w:w="2552" w:type="dxa"/>
            <w:vAlign w:val="center"/>
          </w:tcPr>
          <w:p w:rsidR="00C142AF" w:rsidRPr="00C142AF" w:rsidRDefault="00C142AF" w:rsidP="00C142AF">
            <w:pPr>
              <w:spacing w:before="40" w:after="40"/>
              <w:rPr>
                <w:rFonts w:ascii="Arial Narrow" w:hAnsi="Arial Narrow" w:cs="Arial"/>
                <w:color w:val="000000"/>
                <w:sz w:val="20"/>
                <w:szCs w:val="20"/>
              </w:rPr>
            </w:pPr>
            <w:r w:rsidRPr="00C142AF">
              <w:rPr>
                <w:rFonts w:ascii="Arial Narrow" w:hAnsi="Arial Narrow" w:cs="Arial"/>
                <w:color w:val="000000"/>
                <w:sz w:val="20"/>
                <w:szCs w:val="20"/>
              </w:rPr>
              <w:t>EQ-5D (mean)</w:t>
            </w:r>
          </w:p>
        </w:tc>
        <w:tc>
          <w:tcPr>
            <w:tcW w:w="1275" w:type="dxa"/>
            <w:vAlign w:val="center"/>
          </w:tcPr>
          <w:p w:rsidR="00C142AF" w:rsidRPr="00C142AF" w:rsidRDefault="00C142AF" w:rsidP="00C142AF">
            <w:pPr>
              <w:spacing w:before="40" w:after="40"/>
              <w:jc w:val="center"/>
              <w:rPr>
                <w:rFonts w:ascii="Arial Narrow" w:hAnsi="Arial Narrow"/>
                <w:color w:val="000000"/>
                <w:sz w:val="20"/>
                <w:szCs w:val="20"/>
              </w:rPr>
            </w:pPr>
            <w:r w:rsidRPr="00C142AF">
              <w:rPr>
                <w:rFonts w:ascii="Arial Narrow" w:hAnsi="Arial Narrow"/>
                <w:color w:val="000000"/>
                <w:sz w:val="20"/>
                <w:szCs w:val="20"/>
              </w:rPr>
              <w:t>0.7</w:t>
            </w:r>
          </w:p>
        </w:tc>
        <w:tc>
          <w:tcPr>
            <w:tcW w:w="1560" w:type="dxa"/>
            <w:vAlign w:val="center"/>
          </w:tcPr>
          <w:p w:rsidR="00C142AF" w:rsidRPr="00C142AF" w:rsidRDefault="00C142AF" w:rsidP="00C142AF">
            <w:pPr>
              <w:spacing w:before="40" w:after="40"/>
              <w:jc w:val="center"/>
              <w:rPr>
                <w:rFonts w:ascii="Arial Narrow" w:hAnsi="Arial Narrow"/>
                <w:color w:val="000000"/>
                <w:sz w:val="20"/>
                <w:szCs w:val="20"/>
              </w:rPr>
            </w:pPr>
            <w:r w:rsidRPr="00C142AF">
              <w:rPr>
                <w:rFonts w:ascii="Arial Narrow" w:hAnsi="Arial Narrow"/>
                <w:color w:val="000000"/>
                <w:sz w:val="20"/>
                <w:szCs w:val="20"/>
              </w:rPr>
              <w:t>0.6</w:t>
            </w:r>
          </w:p>
        </w:tc>
        <w:tc>
          <w:tcPr>
            <w:tcW w:w="1559" w:type="dxa"/>
            <w:vAlign w:val="center"/>
          </w:tcPr>
          <w:p w:rsidR="00C142AF" w:rsidRPr="00C142AF" w:rsidRDefault="00C142AF" w:rsidP="00C142AF">
            <w:pPr>
              <w:spacing w:before="40" w:after="40"/>
              <w:jc w:val="center"/>
              <w:rPr>
                <w:rFonts w:ascii="Arial Narrow" w:hAnsi="Arial Narrow"/>
                <w:color w:val="000000"/>
                <w:sz w:val="20"/>
                <w:szCs w:val="20"/>
              </w:rPr>
            </w:pPr>
            <w:r w:rsidRPr="00C142AF">
              <w:rPr>
                <w:rFonts w:ascii="Arial Narrow" w:hAnsi="Arial Narrow"/>
                <w:color w:val="000000"/>
                <w:sz w:val="20"/>
                <w:szCs w:val="20"/>
              </w:rPr>
              <w:t>0.6</w:t>
            </w:r>
          </w:p>
        </w:tc>
        <w:tc>
          <w:tcPr>
            <w:tcW w:w="1559" w:type="dxa"/>
            <w:shd w:val="clear" w:color="auto" w:fill="auto"/>
            <w:vAlign w:val="center"/>
          </w:tcPr>
          <w:p w:rsidR="00C142AF" w:rsidRPr="00C142AF" w:rsidRDefault="00C142AF" w:rsidP="00C142AF">
            <w:pPr>
              <w:spacing w:before="40" w:after="40"/>
              <w:jc w:val="center"/>
              <w:rPr>
                <w:rFonts w:ascii="Arial Narrow" w:hAnsi="Arial Narrow" w:cs="Arial"/>
                <w:bCs/>
                <w:color w:val="000000"/>
                <w:sz w:val="20"/>
                <w:szCs w:val="20"/>
              </w:rPr>
            </w:pPr>
            <w:r w:rsidRPr="00C142AF">
              <w:rPr>
                <w:rFonts w:ascii="Arial Narrow" w:hAnsi="Arial Narrow" w:cs="Arial"/>
                <w:bCs/>
                <w:color w:val="000000"/>
                <w:sz w:val="20"/>
                <w:szCs w:val="20"/>
              </w:rPr>
              <w:t>0.6</w:t>
            </w:r>
          </w:p>
        </w:tc>
      </w:tr>
      <w:tr w:rsidR="00C142AF" w:rsidRPr="00C142AF" w:rsidTr="00C142AF">
        <w:tc>
          <w:tcPr>
            <w:tcW w:w="2552" w:type="dxa"/>
            <w:vAlign w:val="center"/>
          </w:tcPr>
          <w:p w:rsidR="00C142AF" w:rsidRPr="00C142AF" w:rsidRDefault="00C142AF" w:rsidP="00C142AF">
            <w:pPr>
              <w:spacing w:before="40" w:after="40"/>
              <w:rPr>
                <w:rFonts w:ascii="Arial Narrow" w:hAnsi="Arial Narrow" w:cs="Arial"/>
                <w:color w:val="000000"/>
                <w:sz w:val="20"/>
                <w:szCs w:val="20"/>
              </w:rPr>
            </w:pPr>
            <w:r w:rsidRPr="00C142AF">
              <w:rPr>
                <w:rFonts w:ascii="Arial Narrow" w:hAnsi="Arial Narrow" w:cs="Arial"/>
                <w:color w:val="000000"/>
                <w:sz w:val="20"/>
                <w:szCs w:val="20"/>
              </w:rPr>
              <w:t>AQL5D (mean)</w:t>
            </w:r>
          </w:p>
        </w:tc>
        <w:tc>
          <w:tcPr>
            <w:tcW w:w="1275" w:type="dxa"/>
            <w:vAlign w:val="center"/>
          </w:tcPr>
          <w:p w:rsidR="00C142AF" w:rsidRPr="00C142AF" w:rsidRDefault="00C142AF" w:rsidP="00C142AF">
            <w:pPr>
              <w:spacing w:before="40" w:after="40"/>
              <w:jc w:val="center"/>
              <w:rPr>
                <w:rFonts w:ascii="Arial Narrow" w:hAnsi="Arial Narrow"/>
                <w:color w:val="000000"/>
                <w:sz w:val="20"/>
                <w:szCs w:val="20"/>
              </w:rPr>
            </w:pPr>
            <w:r w:rsidRPr="00C142AF">
              <w:rPr>
                <w:rFonts w:ascii="Arial Narrow" w:hAnsi="Arial Narrow"/>
                <w:color w:val="000000"/>
                <w:sz w:val="20"/>
                <w:szCs w:val="20"/>
              </w:rPr>
              <w:t>0.7</w:t>
            </w:r>
          </w:p>
        </w:tc>
        <w:tc>
          <w:tcPr>
            <w:tcW w:w="1560" w:type="dxa"/>
            <w:vAlign w:val="center"/>
          </w:tcPr>
          <w:p w:rsidR="00C142AF" w:rsidRPr="00C142AF" w:rsidRDefault="00C142AF" w:rsidP="00C142AF">
            <w:pPr>
              <w:spacing w:before="40" w:after="40"/>
              <w:jc w:val="center"/>
              <w:rPr>
                <w:rFonts w:ascii="Arial Narrow" w:hAnsi="Arial Narrow"/>
                <w:color w:val="000000"/>
                <w:sz w:val="20"/>
                <w:szCs w:val="20"/>
              </w:rPr>
            </w:pPr>
            <w:r w:rsidRPr="00C142AF">
              <w:rPr>
                <w:rFonts w:ascii="Arial Narrow" w:hAnsi="Arial Narrow"/>
                <w:color w:val="000000"/>
                <w:sz w:val="20"/>
                <w:szCs w:val="20"/>
              </w:rPr>
              <w:t>0.7</w:t>
            </w:r>
          </w:p>
        </w:tc>
        <w:tc>
          <w:tcPr>
            <w:tcW w:w="1559" w:type="dxa"/>
            <w:vAlign w:val="center"/>
          </w:tcPr>
          <w:p w:rsidR="00C142AF" w:rsidRPr="00C142AF" w:rsidRDefault="00C142AF" w:rsidP="00C142AF">
            <w:pPr>
              <w:spacing w:before="40" w:after="40"/>
              <w:jc w:val="center"/>
              <w:rPr>
                <w:rFonts w:ascii="Arial Narrow" w:hAnsi="Arial Narrow"/>
                <w:color w:val="000000"/>
                <w:sz w:val="20"/>
                <w:szCs w:val="20"/>
              </w:rPr>
            </w:pPr>
            <w:r w:rsidRPr="00C142AF">
              <w:rPr>
                <w:rFonts w:ascii="Arial Narrow" w:hAnsi="Arial Narrow"/>
                <w:color w:val="000000"/>
                <w:sz w:val="20"/>
                <w:szCs w:val="20"/>
              </w:rPr>
              <w:t>0.6</w:t>
            </w:r>
          </w:p>
        </w:tc>
        <w:tc>
          <w:tcPr>
            <w:tcW w:w="1559" w:type="dxa"/>
            <w:shd w:val="clear" w:color="auto" w:fill="auto"/>
            <w:vAlign w:val="center"/>
          </w:tcPr>
          <w:p w:rsidR="00C142AF" w:rsidRPr="00C142AF" w:rsidRDefault="00C142AF" w:rsidP="00C142AF">
            <w:pPr>
              <w:spacing w:before="40" w:after="40"/>
              <w:jc w:val="center"/>
              <w:rPr>
                <w:rFonts w:ascii="Arial Narrow" w:hAnsi="Arial Narrow" w:cs="Arial"/>
                <w:bCs/>
                <w:color w:val="000000"/>
                <w:sz w:val="20"/>
                <w:szCs w:val="20"/>
              </w:rPr>
            </w:pPr>
            <w:r w:rsidRPr="00C142AF">
              <w:rPr>
                <w:rFonts w:ascii="Arial Narrow" w:hAnsi="Arial Narrow" w:cs="Arial"/>
                <w:bCs/>
                <w:color w:val="000000"/>
                <w:sz w:val="20"/>
                <w:szCs w:val="20"/>
              </w:rPr>
              <w:t>0.6</w:t>
            </w:r>
          </w:p>
        </w:tc>
      </w:tr>
    </w:tbl>
    <w:p w:rsidR="00611FBF" w:rsidRDefault="005969DB" w:rsidP="00611FBF">
      <w:pPr>
        <w:pStyle w:val="ListParagraph"/>
        <w:jc w:val="both"/>
        <w:rPr>
          <w:rFonts w:ascii="Arial Narrow" w:hAnsi="Arial Narrow"/>
          <w:sz w:val="20"/>
          <w:szCs w:val="20"/>
          <w:lang w:eastAsia="en-US"/>
        </w:rPr>
      </w:pPr>
      <w:r w:rsidRPr="005969DB">
        <w:rPr>
          <w:rFonts w:ascii="Arial Narrow" w:hAnsi="Arial Narrow"/>
          <w:sz w:val="20"/>
          <w:szCs w:val="20"/>
          <w:lang w:eastAsia="en-US"/>
        </w:rPr>
        <w:t xml:space="preserve">Source: Spreadsheet </w:t>
      </w:r>
      <w:proofErr w:type="spellStart"/>
      <w:r w:rsidRPr="005969DB">
        <w:rPr>
          <w:rFonts w:ascii="Arial Narrow" w:hAnsi="Arial Narrow"/>
          <w:sz w:val="20"/>
          <w:szCs w:val="20"/>
          <w:lang w:eastAsia="en-US"/>
        </w:rPr>
        <w:t>Att</w:t>
      </w:r>
      <w:proofErr w:type="spellEnd"/>
      <w:r w:rsidRPr="005969DB">
        <w:rPr>
          <w:rFonts w:ascii="Arial Narrow" w:hAnsi="Arial Narrow"/>
          <w:sz w:val="20"/>
          <w:szCs w:val="20"/>
          <w:lang w:eastAsia="en-US"/>
        </w:rPr>
        <w:t xml:space="preserve"> 5_Trial IPD demo </w:t>
      </w:r>
      <w:proofErr w:type="spellStart"/>
      <w:r w:rsidRPr="005969DB">
        <w:rPr>
          <w:rFonts w:ascii="Arial Narrow" w:hAnsi="Arial Narrow"/>
          <w:sz w:val="20"/>
          <w:szCs w:val="20"/>
          <w:lang w:eastAsia="en-US"/>
        </w:rPr>
        <w:t>resp</w:t>
      </w:r>
      <w:proofErr w:type="spellEnd"/>
      <w:r w:rsidRPr="005969DB">
        <w:rPr>
          <w:rFonts w:ascii="Arial Narrow" w:hAnsi="Arial Narrow"/>
          <w:sz w:val="20"/>
          <w:szCs w:val="20"/>
          <w:lang w:eastAsia="en-US"/>
        </w:rPr>
        <w:t xml:space="preserve"> data_Aug15, work sheet “Summary”</w:t>
      </w:r>
      <w:r w:rsidR="00D85E5D">
        <w:rPr>
          <w:rFonts w:ascii="Arial Narrow" w:hAnsi="Arial Narrow"/>
          <w:sz w:val="20"/>
          <w:szCs w:val="20"/>
          <w:lang w:eastAsia="en-US"/>
        </w:rPr>
        <w:t xml:space="preserve"> and p iii of the submission</w:t>
      </w:r>
    </w:p>
    <w:p w:rsidR="005969DB" w:rsidRPr="005969DB" w:rsidRDefault="005969DB" w:rsidP="00611FBF">
      <w:pPr>
        <w:pStyle w:val="ListParagraph"/>
        <w:jc w:val="both"/>
        <w:rPr>
          <w:rFonts w:ascii="Arial Narrow" w:hAnsi="Arial Narrow"/>
          <w:sz w:val="20"/>
          <w:szCs w:val="20"/>
        </w:rPr>
      </w:pPr>
    </w:p>
    <w:p w:rsidR="00875C47" w:rsidRDefault="00EB6EED" w:rsidP="00D84934">
      <w:pPr>
        <w:pStyle w:val="ListParagraph"/>
        <w:numPr>
          <w:ilvl w:val="1"/>
          <w:numId w:val="25"/>
        </w:numPr>
        <w:jc w:val="both"/>
        <w:rPr>
          <w:rFonts w:ascii="Arial" w:hAnsi="Arial"/>
          <w:sz w:val="22"/>
          <w:szCs w:val="22"/>
        </w:rPr>
      </w:pPr>
      <w:r w:rsidRPr="00EB6EED">
        <w:rPr>
          <w:rFonts w:ascii="Arial" w:hAnsi="Arial"/>
          <w:sz w:val="22"/>
          <w:szCs w:val="22"/>
        </w:rPr>
        <w:t xml:space="preserve">The </w:t>
      </w:r>
      <w:r w:rsidR="00DC3ED2">
        <w:rPr>
          <w:rFonts w:ascii="Arial" w:hAnsi="Arial"/>
          <w:sz w:val="22"/>
          <w:szCs w:val="22"/>
        </w:rPr>
        <w:t xml:space="preserve">minor </w:t>
      </w:r>
      <w:r w:rsidR="0092686B">
        <w:rPr>
          <w:rFonts w:ascii="Arial" w:hAnsi="Arial"/>
          <w:sz w:val="22"/>
          <w:szCs w:val="22"/>
        </w:rPr>
        <w:t xml:space="preserve">submission claimed that the </w:t>
      </w:r>
      <w:r w:rsidR="0092686B" w:rsidRPr="00F423FF">
        <w:rPr>
          <w:rFonts w:ascii="Arial" w:hAnsi="Arial"/>
          <w:i/>
          <w:sz w:val="22"/>
          <w:szCs w:val="22"/>
        </w:rPr>
        <w:t>“…</w:t>
      </w:r>
      <w:r w:rsidRPr="00F423FF">
        <w:rPr>
          <w:rFonts w:ascii="Arial" w:hAnsi="Arial"/>
          <w:i/>
          <w:sz w:val="22"/>
          <w:szCs w:val="22"/>
        </w:rPr>
        <w:t xml:space="preserve">comparison of baseline characteristics across the existing PBS restriction (IgE≥76, n=118) and the proposed broader PBS restriction (IgE≥30, n=146) showed that the additional patients gaining access to omalizumab (i.e. </w:t>
      </w:r>
      <w:proofErr w:type="spellStart"/>
      <w:r w:rsidRPr="00F423FF">
        <w:rPr>
          <w:rFonts w:ascii="Arial" w:hAnsi="Arial"/>
          <w:i/>
          <w:sz w:val="22"/>
          <w:szCs w:val="22"/>
        </w:rPr>
        <w:t>IgE</w:t>
      </w:r>
      <w:proofErr w:type="spellEnd"/>
      <w:r w:rsidRPr="00F423FF">
        <w:rPr>
          <w:rFonts w:ascii="Arial" w:hAnsi="Arial"/>
          <w:i/>
          <w:sz w:val="22"/>
          <w:szCs w:val="22"/>
        </w:rPr>
        <w:t xml:space="preserve"> 30-75, n=28) have the same (if not higher) clinical need for treatment as the existing PBS population with respect to their disease severity</w:t>
      </w:r>
      <w:r w:rsidR="0092686B" w:rsidRPr="00F423FF">
        <w:rPr>
          <w:rFonts w:ascii="Arial" w:hAnsi="Arial"/>
          <w:i/>
          <w:sz w:val="22"/>
          <w:szCs w:val="22"/>
        </w:rPr>
        <w:t>”</w:t>
      </w:r>
      <w:r w:rsidRPr="00EB6EED">
        <w:rPr>
          <w:rFonts w:ascii="Arial" w:hAnsi="Arial"/>
          <w:sz w:val="22"/>
          <w:szCs w:val="22"/>
        </w:rPr>
        <w:t>.</w:t>
      </w:r>
      <w:r w:rsidR="0092686B">
        <w:rPr>
          <w:rFonts w:ascii="Arial" w:hAnsi="Arial"/>
          <w:sz w:val="22"/>
          <w:szCs w:val="22"/>
        </w:rPr>
        <w:t xml:space="preserve">  This claim could not be evaluated in the context of a minor submission. </w:t>
      </w:r>
    </w:p>
    <w:p w:rsidR="00875C47" w:rsidRDefault="00875C47" w:rsidP="00875C47">
      <w:pPr>
        <w:pStyle w:val="ListParagraph"/>
        <w:jc w:val="both"/>
        <w:rPr>
          <w:rFonts w:ascii="Arial" w:hAnsi="Arial"/>
          <w:sz w:val="22"/>
          <w:szCs w:val="22"/>
        </w:rPr>
      </w:pPr>
    </w:p>
    <w:p w:rsidR="00306198" w:rsidRDefault="0092686B" w:rsidP="00D84934">
      <w:pPr>
        <w:pStyle w:val="ListParagraph"/>
        <w:numPr>
          <w:ilvl w:val="1"/>
          <w:numId w:val="25"/>
        </w:numPr>
        <w:jc w:val="both"/>
        <w:rPr>
          <w:rFonts w:ascii="Arial" w:hAnsi="Arial"/>
          <w:sz w:val="22"/>
          <w:szCs w:val="22"/>
        </w:rPr>
      </w:pPr>
      <w:r>
        <w:rPr>
          <w:rFonts w:ascii="Arial" w:hAnsi="Arial"/>
          <w:sz w:val="22"/>
          <w:szCs w:val="22"/>
        </w:rPr>
        <w:t>The minor submission presented the r</w:t>
      </w:r>
      <w:r w:rsidR="00EB6EED" w:rsidRPr="00EB6EED">
        <w:rPr>
          <w:rFonts w:ascii="Arial" w:hAnsi="Arial"/>
          <w:sz w:val="22"/>
          <w:szCs w:val="22"/>
        </w:rPr>
        <w:t>esults of the study end points</w:t>
      </w:r>
      <w:r>
        <w:rPr>
          <w:rFonts w:ascii="Arial" w:hAnsi="Arial"/>
          <w:sz w:val="22"/>
          <w:szCs w:val="22"/>
        </w:rPr>
        <w:t>, which</w:t>
      </w:r>
      <w:r w:rsidR="00EB6EED" w:rsidRPr="00EB6EED">
        <w:rPr>
          <w:rFonts w:ascii="Arial" w:hAnsi="Arial"/>
          <w:sz w:val="22"/>
          <w:szCs w:val="22"/>
        </w:rPr>
        <w:t xml:space="preserve"> included response rates using PBS criteria. </w:t>
      </w:r>
      <w:r w:rsidR="008868B8" w:rsidRPr="008868B8">
        <w:rPr>
          <w:rFonts w:ascii="Arial" w:hAnsi="Arial"/>
          <w:sz w:val="22"/>
          <w:szCs w:val="22"/>
        </w:rPr>
        <w:t xml:space="preserve">The </w:t>
      </w:r>
      <w:r w:rsidR="008868B8">
        <w:rPr>
          <w:rFonts w:ascii="Arial" w:hAnsi="Arial"/>
          <w:sz w:val="22"/>
          <w:szCs w:val="22"/>
        </w:rPr>
        <w:t xml:space="preserve">submission proposed that the </w:t>
      </w:r>
      <w:r w:rsidR="008868B8" w:rsidRPr="008868B8">
        <w:rPr>
          <w:rFonts w:ascii="Arial" w:hAnsi="Arial"/>
          <w:sz w:val="22"/>
          <w:szCs w:val="22"/>
        </w:rPr>
        <w:t xml:space="preserve">response rates in omalizumab-treated patients were very similar for the cohort with </w:t>
      </w:r>
      <w:proofErr w:type="spellStart"/>
      <w:r w:rsidR="008868B8" w:rsidRPr="008868B8">
        <w:rPr>
          <w:rFonts w:ascii="Arial" w:hAnsi="Arial"/>
          <w:sz w:val="22"/>
          <w:szCs w:val="22"/>
        </w:rPr>
        <w:t>IgE</w:t>
      </w:r>
      <w:proofErr w:type="spellEnd"/>
      <w:r w:rsidR="008868B8" w:rsidRPr="008868B8">
        <w:rPr>
          <w:rFonts w:ascii="Arial" w:hAnsi="Arial"/>
          <w:sz w:val="22"/>
          <w:szCs w:val="22"/>
        </w:rPr>
        <w:t xml:space="preserve"> ≥30 (n=94; response rate </w:t>
      </w:r>
      <w:proofErr w:type="gramStart"/>
      <w:r w:rsidR="00BA3F5C">
        <w:rPr>
          <w:rFonts w:ascii="Arial" w:hAnsi="Arial"/>
          <w:noProof/>
          <w:color w:val="000000"/>
          <w:sz w:val="22"/>
          <w:szCs w:val="22"/>
          <w:highlight w:val="black"/>
        </w:rPr>
        <w:t>''''''''''</w:t>
      </w:r>
      <w:r w:rsidR="008868B8" w:rsidRPr="008868B8">
        <w:rPr>
          <w:rFonts w:ascii="Arial" w:hAnsi="Arial"/>
          <w:sz w:val="22"/>
          <w:szCs w:val="22"/>
        </w:rPr>
        <w:t>%</w:t>
      </w:r>
      <w:proofErr w:type="gramEnd"/>
      <w:r w:rsidR="008868B8" w:rsidRPr="008868B8">
        <w:rPr>
          <w:rFonts w:ascii="Arial" w:hAnsi="Arial"/>
          <w:sz w:val="22"/>
          <w:szCs w:val="22"/>
        </w:rPr>
        <w:t xml:space="preserve">) compared with the cohort with </w:t>
      </w:r>
      <w:proofErr w:type="spellStart"/>
      <w:r w:rsidR="008868B8" w:rsidRPr="008868B8">
        <w:rPr>
          <w:rFonts w:ascii="Arial" w:hAnsi="Arial"/>
          <w:sz w:val="22"/>
          <w:szCs w:val="22"/>
        </w:rPr>
        <w:t>IgE</w:t>
      </w:r>
      <w:proofErr w:type="spellEnd"/>
      <w:r w:rsidR="008868B8" w:rsidRPr="008868B8">
        <w:rPr>
          <w:rFonts w:ascii="Arial" w:hAnsi="Arial"/>
          <w:sz w:val="22"/>
          <w:szCs w:val="22"/>
        </w:rPr>
        <w:t xml:space="preserve"> ≥76 (n=80; response rate </w:t>
      </w:r>
      <w:r w:rsidR="00BA3F5C">
        <w:rPr>
          <w:rFonts w:ascii="Arial" w:hAnsi="Arial"/>
          <w:noProof/>
          <w:color w:val="000000"/>
          <w:sz w:val="22"/>
          <w:szCs w:val="22"/>
          <w:highlight w:val="black"/>
        </w:rPr>
        <w:t>'''''''''''</w:t>
      </w:r>
      <w:r w:rsidR="008868B8" w:rsidRPr="008868B8">
        <w:rPr>
          <w:rFonts w:ascii="Arial" w:hAnsi="Arial"/>
          <w:sz w:val="22"/>
          <w:szCs w:val="22"/>
        </w:rPr>
        <w:t xml:space="preserve">%). In the small subgroup of patients with </w:t>
      </w:r>
      <w:proofErr w:type="spellStart"/>
      <w:r w:rsidR="008868B8" w:rsidRPr="008868B8">
        <w:rPr>
          <w:rFonts w:ascii="Arial" w:hAnsi="Arial"/>
          <w:sz w:val="22"/>
          <w:szCs w:val="22"/>
        </w:rPr>
        <w:t>IgE</w:t>
      </w:r>
      <w:proofErr w:type="spellEnd"/>
      <w:r w:rsidR="008868B8" w:rsidRPr="008868B8">
        <w:rPr>
          <w:rFonts w:ascii="Arial" w:hAnsi="Arial"/>
          <w:sz w:val="22"/>
          <w:szCs w:val="22"/>
        </w:rPr>
        <w:t xml:space="preserve"> of 30-75 IU/mL (n=14) the response rate was approximately 10% lower, at </w:t>
      </w:r>
      <w:r w:rsidR="00BA3F5C">
        <w:rPr>
          <w:rFonts w:ascii="Arial" w:hAnsi="Arial"/>
          <w:noProof/>
          <w:color w:val="000000"/>
          <w:sz w:val="22"/>
          <w:szCs w:val="22"/>
          <w:highlight w:val="black"/>
        </w:rPr>
        <w:t>''''''''''''</w:t>
      </w:r>
      <w:r w:rsidR="008868B8" w:rsidRPr="008868B8">
        <w:rPr>
          <w:rFonts w:ascii="Arial" w:hAnsi="Arial"/>
          <w:sz w:val="22"/>
          <w:szCs w:val="22"/>
        </w:rPr>
        <w:t>%.</w:t>
      </w:r>
    </w:p>
    <w:p w:rsidR="008868B8" w:rsidRDefault="008868B8" w:rsidP="008868B8">
      <w:pPr>
        <w:pStyle w:val="ListParagraph"/>
        <w:jc w:val="both"/>
        <w:rPr>
          <w:rFonts w:ascii="Arial" w:hAnsi="Arial"/>
          <w:sz w:val="22"/>
          <w:szCs w:val="22"/>
        </w:rPr>
      </w:pPr>
    </w:p>
    <w:p w:rsidR="00B87E88" w:rsidRDefault="00763864" w:rsidP="008868B8">
      <w:pPr>
        <w:pStyle w:val="ListParagraph"/>
        <w:jc w:val="both"/>
        <w:rPr>
          <w:rFonts w:ascii="Arial" w:hAnsi="Arial"/>
          <w:sz w:val="22"/>
          <w:szCs w:val="22"/>
        </w:rPr>
      </w:pPr>
      <w:r>
        <w:rPr>
          <w:rFonts w:ascii="Arial Narrow" w:hAnsi="Arial Narrow"/>
          <w:b/>
          <w:sz w:val="20"/>
          <w:szCs w:val="20"/>
        </w:rPr>
        <w:t xml:space="preserve">Table 3: </w:t>
      </w:r>
      <w:r w:rsidR="00B87E88" w:rsidRPr="00B87E88">
        <w:rPr>
          <w:rFonts w:ascii="Arial Narrow" w:hAnsi="Arial Narrow"/>
          <w:b/>
          <w:sz w:val="20"/>
          <w:szCs w:val="20"/>
        </w:rPr>
        <w:t>Response rates in trials2306 and 2425 using the PBS response criteria – in omalizumab-treated patients who met the PBS eligibility criteria</w:t>
      </w:r>
      <w:r w:rsidR="00B87E88">
        <w:rPr>
          <w:rFonts w:ascii="Arial" w:hAnsi="Arial"/>
          <w:sz w:val="22"/>
          <w:szCs w:val="22"/>
        </w:rPr>
        <w:t xml:space="preserve"> </w:t>
      </w:r>
    </w:p>
    <w:tbl>
      <w:tblPr>
        <w:tblStyle w:val="TableGrid2"/>
        <w:tblW w:w="8363" w:type="dxa"/>
        <w:tblInd w:w="817" w:type="dxa"/>
        <w:tblLook w:val="04A0" w:firstRow="1" w:lastRow="0" w:firstColumn="1" w:lastColumn="0" w:noHBand="0" w:noVBand="1"/>
        <w:tblCaption w:val="Table 3: Response rates in trials2306 and 2425 using the PBS response criteria – in omalizumab-treated patients who met the PBS eligibility criteria "/>
      </w:tblPr>
      <w:tblGrid>
        <w:gridCol w:w="2268"/>
        <w:gridCol w:w="2126"/>
        <w:gridCol w:w="1985"/>
        <w:gridCol w:w="1984"/>
      </w:tblGrid>
      <w:tr w:rsidR="00B87E88" w:rsidRPr="00B87E88" w:rsidTr="00D811AD">
        <w:trPr>
          <w:tblHeader/>
        </w:trPr>
        <w:tc>
          <w:tcPr>
            <w:tcW w:w="2268" w:type="dxa"/>
          </w:tcPr>
          <w:p w:rsidR="00B87E88" w:rsidRPr="00B87E88" w:rsidRDefault="00B87E88" w:rsidP="00B87E88">
            <w:pPr>
              <w:spacing w:before="40" w:after="40"/>
              <w:rPr>
                <w:rFonts w:ascii="Arial Narrow" w:hAnsi="Arial Narrow"/>
                <w:sz w:val="20"/>
                <w:szCs w:val="20"/>
              </w:rPr>
            </w:pPr>
            <w:r w:rsidRPr="00B87E88">
              <w:rPr>
                <w:rFonts w:ascii="Arial Narrow" w:hAnsi="Arial Narrow"/>
                <w:sz w:val="20"/>
                <w:szCs w:val="20"/>
              </w:rPr>
              <w:t>Characteristic</w:t>
            </w:r>
          </w:p>
        </w:tc>
        <w:tc>
          <w:tcPr>
            <w:tcW w:w="2126" w:type="dxa"/>
          </w:tcPr>
          <w:p w:rsidR="00B87E88" w:rsidRPr="00B87E88" w:rsidRDefault="00B87E88" w:rsidP="00B87E88">
            <w:pPr>
              <w:spacing w:before="40" w:after="40"/>
              <w:jc w:val="center"/>
              <w:rPr>
                <w:rFonts w:ascii="Arial Narrow" w:hAnsi="Arial Narrow"/>
                <w:sz w:val="20"/>
                <w:szCs w:val="20"/>
              </w:rPr>
            </w:pPr>
            <w:r w:rsidRPr="00B87E88">
              <w:rPr>
                <w:rFonts w:ascii="Arial Narrow" w:hAnsi="Arial Narrow"/>
                <w:sz w:val="20"/>
                <w:szCs w:val="20"/>
              </w:rPr>
              <w:t>Subgroup meeting current PBS criteria - includes restriction for IgE≥76</w:t>
            </w:r>
          </w:p>
        </w:tc>
        <w:tc>
          <w:tcPr>
            <w:tcW w:w="1985" w:type="dxa"/>
          </w:tcPr>
          <w:p w:rsidR="00B87E88" w:rsidRPr="00B87E88" w:rsidRDefault="00B87E88" w:rsidP="00B87E88">
            <w:pPr>
              <w:spacing w:before="40" w:after="40"/>
              <w:jc w:val="center"/>
              <w:rPr>
                <w:rFonts w:ascii="Arial Narrow" w:hAnsi="Arial Narrow"/>
                <w:sz w:val="20"/>
                <w:szCs w:val="20"/>
              </w:rPr>
            </w:pPr>
            <w:r w:rsidRPr="00B87E88">
              <w:rPr>
                <w:rFonts w:ascii="Arial Narrow" w:hAnsi="Arial Narrow"/>
                <w:sz w:val="20"/>
                <w:szCs w:val="20"/>
              </w:rPr>
              <w:t>Subgroup meeting proposed PBS criteria - includes restriction for IgE≥30</w:t>
            </w:r>
          </w:p>
        </w:tc>
        <w:tc>
          <w:tcPr>
            <w:tcW w:w="1984" w:type="dxa"/>
          </w:tcPr>
          <w:p w:rsidR="00B87E88" w:rsidRPr="00B87E88" w:rsidRDefault="00B87E88" w:rsidP="00B87E88">
            <w:pPr>
              <w:spacing w:before="40" w:after="40"/>
              <w:jc w:val="center"/>
              <w:rPr>
                <w:rFonts w:ascii="Arial Narrow" w:hAnsi="Arial Narrow"/>
                <w:sz w:val="20"/>
                <w:szCs w:val="20"/>
              </w:rPr>
            </w:pPr>
            <w:r w:rsidRPr="00B87E88">
              <w:rPr>
                <w:rFonts w:ascii="Arial Narrow" w:hAnsi="Arial Narrow"/>
                <w:sz w:val="20"/>
                <w:szCs w:val="20"/>
              </w:rPr>
              <w:t xml:space="preserve">Small subgroup meeting PBS criteria and who have </w:t>
            </w:r>
            <w:proofErr w:type="spellStart"/>
            <w:r w:rsidRPr="00B87E88">
              <w:rPr>
                <w:rFonts w:ascii="Arial Narrow" w:hAnsi="Arial Narrow"/>
                <w:sz w:val="20"/>
                <w:szCs w:val="20"/>
              </w:rPr>
              <w:t>IgE</w:t>
            </w:r>
            <w:proofErr w:type="spellEnd"/>
            <w:r w:rsidRPr="00B87E88">
              <w:rPr>
                <w:rFonts w:ascii="Arial Narrow" w:hAnsi="Arial Narrow"/>
                <w:sz w:val="20"/>
                <w:szCs w:val="20"/>
              </w:rPr>
              <w:t xml:space="preserve"> 30-75</w:t>
            </w:r>
          </w:p>
        </w:tc>
      </w:tr>
      <w:tr w:rsidR="00B87E88" w:rsidRPr="00B87E88" w:rsidTr="00B87E88">
        <w:tc>
          <w:tcPr>
            <w:tcW w:w="2268" w:type="dxa"/>
          </w:tcPr>
          <w:p w:rsidR="00B87E88" w:rsidRPr="00B87E88" w:rsidRDefault="00B87E88" w:rsidP="00B87E88">
            <w:pPr>
              <w:spacing w:before="40" w:after="40"/>
              <w:rPr>
                <w:rFonts w:ascii="Arial Narrow" w:hAnsi="Arial Narrow"/>
                <w:sz w:val="20"/>
                <w:szCs w:val="20"/>
              </w:rPr>
            </w:pPr>
            <w:r w:rsidRPr="00B87E88">
              <w:rPr>
                <w:rFonts w:ascii="Arial Narrow" w:hAnsi="Arial Narrow"/>
                <w:sz w:val="20"/>
                <w:szCs w:val="20"/>
              </w:rPr>
              <w:t>N in PBS eligible subgroup</w:t>
            </w:r>
          </w:p>
        </w:tc>
        <w:tc>
          <w:tcPr>
            <w:tcW w:w="2126" w:type="dxa"/>
            <w:shd w:val="clear" w:color="auto" w:fill="auto"/>
          </w:tcPr>
          <w:p w:rsidR="00B87E88" w:rsidRPr="00BA3F5C" w:rsidRDefault="00BA3F5C" w:rsidP="00B87E88">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985" w:type="dxa"/>
            <w:shd w:val="clear" w:color="auto" w:fill="auto"/>
          </w:tcPr>
          <w:p w:rsidR="00B87E88" w:rsidRPr="00BA3F5C" w:rsidRDefault="00BA3F5C" w:rsidP="00B87E88">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984" w:type="dxa"/>
            <w:shd w:val="clear" w:color="auto" w:fill="auto"/>
          </w:tcPr>
          <w:p w:rsidR="00B87E88" w:rsidRPr="00BA3F5C" w:rsidRDefault="00BA3F5C" w:rsidP="00B87E88">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B87E88" w:rsidRPr="00B87E88" w:rsidTr="00B87E88">
        <w:tc>
          <w:tcPr>
            <w:tcW w:w="2268" w:type="dxa"/>
          </w:tcPr>
          <w:p w:rsidR="00B87E88" w:rsidRPr="00B87E88" w:rsidRDefault="00B87E88" w:rsidP="00B87E88">
            <w:pPr>
              <w:spacing w:before="40" w:after="40"/>
              <w:rPr>
                <w:rFonts w:ascii="Arial Narrow" w:hAnsi="Arial Narrow"/>
                <w:sz w:val="20"/>
                <w:szCs w:val="20"/>
              </w:rPr>
            </w:pPr>
            <w:r w:rsidRPr="00B87E88">
              <w:rPr>
                <w:rFonts w:ascii="Arial Narrow" w:hAnsi="Arial Narrow"/>
                <w:sz w:val="20"/>
                <w:szCs w:val="20"/>
              </w:rPr>
              <w:t>N responding via PBS criteria</w:t>
            </w:r>
          </w:p>
        </w:tc>
        <w:tc>
          <w:tcPr>
            <w:tcW w:w="2126" w:type="dxa"/>
            <w:shd w:val="clear" w:color="auto" w:fill="auto"/>
          </w:tcPr>
          <w:p w:rsidR="00B87E88" w:rsidRPr="00BA3F5C" w:rsidRDefault="00BA3F5C" w:rsidP="00B87E88">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985" w:type="dxa"/>
            <w:shd w:val="clear" w:color="auto" w:fill="auto"/>
          </w:tcPr>
          <w:p w:rsidR="00B87E88" w:rsidRPr="00BA3F5C" w:rsidRDefault="00BA3F5C" w:rsidP="00B87E88">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984" w:type="dxa"/>
            <w:shd w:val="clear" w:color="auto" w:fill="auto"/>
          </w:tcPr>
          <w:p w:rsidR="00B87E88" w:rsidRPr="00BA3F5C" w:rsidRDefault="00BA3F5C" w:rsidP="00B87E88">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B87E88" w:rsidRPr="00B87E88" w:rsidTr="00B87E88">
        <w:tc>
          <w:tcPr>
            <w:tcW w:w="2268" w:type="dxa"/>
          </w:tcPr>
          <w:p w:rsidR="00B87E88" w:rsidRPr="00B87E88" w:rsidRDefault="00B87E88" w:rsidP="00B87E88">
            <w:pPr>
              <w:spacing w:before="40" w:after="40"/>
              <w:rPr>
                <w:rFonts w:ascii="Arial Narrow" w:hAnsi="Arial Narrow"/>
                <w:sz w:val="20"/>
                <w:szCs w:val="20"/>
              </w:rPr>
            </w:pPr>
            <w:r w:rsidRPr="00B87E88">
              <w:rPr>
                <w:rFonts w:ascii="Arial Narrow" w:hAnsi="Arial Narrow"/>
                <w:sz w:val="20"/>
                <w:szCs w:val="20"/>
              </w:rPr>
              <w:t>Response rates</w:t>
            </w:r>
          </w:p>
        </w:tc>
        <w:tc>
          <w:tcPr>
            <w:tcW w:w="2126" w:type="dxa"/>
            <w:shd w:val="clear" w:color="auto" w:fill="auto"/>
          </w:tcPr>
          <w:p w:rsidR="00B87E88" w:rsidRPr="00BA3F5C" w:rsidRDefault="00BA3F5C" w:rsidP="00B87E88">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985" w:type="dxa"/>
            <w:shd w:val="clear" w:color="auto" w:fill="auto"/>
          </w:tcPr>
          <w:p w:rsidR="00B87E88" w:rsidRPr="00BA3F5C" w:rsidRDefault="00BA3F5C" w:rsidP="00B87E88">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984" w:type="dxa"/>
            <w:shd w:val="clear" w:color="auto" w:fill="auto"/>
          </w:tcPr>
          <w:p w:rsidR="00B87E88" w:rsidRPr="00BA3F5C" w:rsidRDefault="00BA3F5C" w:rsidP="00B87E88">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r>
    </w:tbl>
    <w:p w:rsidR="00875C47" w:rsidRPr="005969DB" w:rsidRDefault="005969DB" w:rsidP="00875C47">
      <w:pPr>
        <w:pStyle w:val="ListParagraph"/>
        <w:jc w:val="both"/>
        <w:rPr>
          <w:rFonts w:ascii="Arial Narrow" w:hAnsi="Arial Narrow"/>
          <w:sz w:val="20"/>
          <w:szCs w:val="20"/>
          <w:lang w:eastAsia="en-US"/>
        </w:rPr>
      </w:pPr>
      <w:r w:rsidRPr="005969DB">
        <w:rPr>
          <w:rFonts w:ascii="Arial Narrow" w:hAnsi="Arial Narrow"/>
          <w:sz w:val="20"/>
          <w:szCs w:val="20"/>
          <w:lang w:eastAsia="en-US"/>
        </w:rPr>
        <w:t xml:space="preserve">Source: Spreadsheet </w:t>
      </w:r>
      <w:proofErr w:type="spellStart"/>
      <w:r w:rsidRPr="005969DB">
        <w:rPr>
          <w:rFonts w:ascii="Arial Narrow" w:hAnsi="Arial Narrow"/>
          <w:sz w:val="20"/>
          <w:szCs w:val="20"/>
          <w:lang w:eastAsia="en-US"/>
        </w:rPr>
        <w:t>Att</w:t>
      </w:r>
      <w:proofErr w:type="spellEnd"/>
      <w:r w:rsidRPr="005969DB">
        <w:rPr>
          <w:rFonts w:ascii="Arial Narrow" w:hAnsi="Arial Narrow"/>
          <w:sz w:val="20"/>
          <w:szCs w:val="20"/>
          <w:lang w:eastAsia="en-US"/>
        </w:rPr>
        <w:t xml:space="preserve"> 5_Trial IPD demo </w:t>
      </w:r>
      <w:proofErr w:type="spellStart"/>
      <w:r w:rsidRPr="005969DB">
        <w:rPr>
          <w:rFonts w:ascii="Arial Narrow" w:hAnsi="Arial Narrow"/>
          <w:sz w:val="20"/>
          <w:szCs w:val="20"/>
          <w:lang w:eastAsia="en-US"/>
        </w:rPr>
        <w:t>resp</w:t>
      </w:r>
      <w:proofErr w:type="spellEnd"/>
      <w:r w:rsidRPr="005969DB">
        <w:rPr>
          <w:rFonts w:ascii="Arial Narrow" w:hAnsi="Arial Narrow"/>
          <w:sz w:val="20"/>
          <w:szCs w:val="20"/>
          <w:lang w:eastAsia="en-US"/>
        </w:rPr>
        <w:t xml:space="preserve"> data_Aug15, work sheet “Summary”</w:t>
      </w:r>
      <w:r w:rsidR="00D85E5D">
        <w:rPr>
          <w:rFonts w:ascii="Arial Narrow" w:hAnsi="Arial Narrow"/>
          <w:sz w:val="20"/>
          <w:szCs w:val="20"/>
          <w:lang w:eastAsia="en-US"/>
        </w:rPr>
        <w:t xml:space="preserve"> and p </w:t>
      </w:r>
      <w:proofErr w:type="gramStart"/>
      <w:r w:rsidR="00D85E5D">
        <w:rPr>
          <w:rFonts w:ascii="Arial Narrow" w:hAnsi="Arial Narrow"/>
          <w:sz w:val="20"/>
          <w:szCs w:val="20"/>
          <w:lang w:eastAsia="en-US"/>
        </w:rPr>
        <w:t>iv</w:t>
      </w:r>
      <w:proofErr w:type="gramEnd"/>
      <w:r w:rsidR="00D85E5D">
        <w:rPr>
          <w:rFonts w:ascii="Arial Narrow" w:hAnsi="Arial Narrow"/>
          <w:sz w:val="20"/>
          <w:szCs w:val="20"/>
          <w:lang w:eastAsia="en-US"/>
        </w:rPr>
        <w:t xml:space="preserve"> of the submission</w:t>
      </w:r>
    </w:p>
    <w:p w:rsidR="005969DB" w:rsidRDefault="005969DB" w:rsidP="00875C47">
      <w:pPr>
        <w:pStyle w:val="ListParagraph"/>
        <w:jc w:val="both"/>
        <w:rPr>
          <w:rFonts w:ascii="Arial" w:hAnsi="Arial"/>
          <w:sz w:val="22"/>
          <w:szCs w:val="22"/>
        </w:rPr>
      </w:pPr>
    </w:p>
    <w:p w:rsidR="00F42665" w:rsidRDefault="0076420C" w:rsidP="005969DB">
      <w:pPr>
        <w:pStyle w:val="ListParagraph"/>
        <w:numPr>
          <w:ilvl w:val="1"/>
          <w:numId w:val="25"/>
        </w:numPr>
        <w:jc w:val="both"/>
        <w:rPr>
          <w:rFonts w:ascii="Arial" w:hAnsi="Arial"/>
          <w:sz w:val="22"/>
          <w:szCs w:val="22"/>
        </w:rPr>
      </w:pPr>
      <w:r>
        <w:rPr>
          <w:rFonts w:ascii="Arial" w:hAnsi="Arial"/>
          <w:sz w:val="22"/>
          <w:szCs w:val="22"/>
        </w:rPr>
        <w:lastRenderedPageBreak/>
        <w:t xml:space="preserve">The submission </w:t>
      </w:r>
      <w:r w:rsidR="00DC3ED2">
        <w:rPr>
          <w:rFonts w:ascii="Arial" w:hAnsi="Arial"/>
          <w:sz w:val="22"/>
          <w:szCs w:val="22"/>
        </w:rPr>
        <w:t>stated</w:t>
      </w:r>
      <w:r w:rsidR="00101AED">
        <w:rPr>
          <w:rFonts w:ascii="Arial" w:hAnsi="Arial"/>
          <w:sz w:val="22"/>
          <w:szCs w:val="22"/>
        </w:rPr>
        <w:t xml:space="preserve"> that</w:t>
      </w:r>
      <w:r w:rsidR="009D5364">
        <w:rPr>
          <w:rFonts w:ascii="Arial" w:hAnsi="Arial"/>
          <w:sz w:val="22"/>
          <w:szCs w:val="22"/>
        </w:rPr>
        <w:t xml:space="preserve"> using circulating total polyclonal </w:t>
      </w:r>
      <w:proofErr w:type="spellStart"/>
      <w:r w:rsidR="009D5364">
        <w:rPr>
          <w:rFonts w:ascii="Arial" w:hAnsi="Arial"/>
          <w:sz w:val="22"/>
          <w:szCs w:val="22"/>
        </w:rPr>
        <w:t>IgE</w:t>
      </w:r>
      <w:proofErr w:type="spellEnd"/>
      <w:r w:rsidR="009D5364">
        <w:rPr>
          <w:rFonts w:ascii="Arial" w:hAnsi="Arial"/>
          <w:sz w:val="22"/>
          <w:szCs w:val="22"/>
        </w:rPr>
        <w:t xml:space="preserve"> as a biomarker to predict response to omalizumab, excluded patients with asthma-inducing local tissue </w:t>
      </w:r>
      <w:proofErr w:type="spellStart"/>
      <w:r w:rsidR="009D5364">
        <w:rPr>
          <w:rFonts w:ascii="Arial" w:hAnsi="Arial"/>
          <w:sz w:val="22"/>
          <w:szCs w:val="22"/>
        </w:rPr>
        <w:t>IgE</w:t>
      </w:r>
      <w:proofErr w:type="spellEnd"/>
      <w:r w:rsidR="009D5364">
        <w:rPr>
          <w:rFonts w:ascii="Arial" w:hAnsi="Arial"/>
          <w:sz w:val="22"/>
          <w:szCs w:val="22"/>
        </w:rPr>
        <w:t xml:space="preserve"> from the TGA approved treatment. </w:t>
      </w:r>
    </w:p>
    <w:p w:rsidR="00F42665" w:rsidRDefault="00F42665" w:rsidP="00F42665">
      <w:pPr>
        <w:pStyle w:val="ListParagraph"/>
        <w:jc w:val="both"/>
        <w:rPr>
          <w:rFonts w:ascii="Arial" w:hAnsi="Arial"/>
          <w:sz w:val="22"/>
          <w:szCs w:val="22"/>
        </w:rPr>
      </w:pPr>
    </w:p>
    <w:p w:rsidR="0013309A" w:rsidRDefault="0013309A" w:rsidP="00F42665">
      <w:pPr>
        <w:pStyle w:val="ListParagraph"/>
        <w:jc w:val="both"/>
        <w:rPr>
          <w:rFonts w:ascii="Arial" w:hAnsi="Arial"/>
          <w:i/>
          <w:sz w:val="22"/>
          <w:szCs w:val="22"/>
        </w:rPr>
      </w:pPr>
      <w:r w:rsidRPr="0013309A">
        <w:rPr>
          <w:rFonts w:ascii="Arial" w:hAnsi="Arial"/>
          <w:i/>
          <w:sz w:val="22"/>
          <w:szCs w:val="22"/>
        </w:rPr>
        <w:t>For more detail on PBAC’s view, see section 7 “PBAC outcome”</w:t>
      </w:r>
      <w:r>
        <w:rPr>
          <w:rFonts w:ascii="Arial" w:hAnsi="Arial"/>
          <w:i/>
          <w:sz w:val="22"/>
          <w:szCs w:val="22"/>
        </w:rPr>
        <w:t>.</w:t>
      </w:r>
    </w:p>
    <w:p w:rsidR="0013309A" w:rsidRDefault="0013309A" w:rsidP="00F42665">
      <w:pPr>
        <w:pStyle w:val="ListParagraph"/>
        <w:jc w:val="both"/>
        <w:rPr>
          <w:rFonts w:ascii="Arial" w:hAnsi="Arial"/>
          <w:sz w:val="22"/>
          <w:szCs w:val="22"/>
        </w:rPr>
      </w:pPr>
    </w:p>
    <w:p w:rsidR="00763864" w:rsidRPr="00E37B74" w:rsidRDefault="00763864" w:rsidP="00FC2839">
      <w:pPr>
        <w:pStyle w:val="Heading2"/>
      </w:pPr>
      <w:r w:rsidRPr="00E37B74">
        <w:t>Economic analysis</w:t>
      </w:r>
    </w:p>
    <w:p w:rsidR="00763864" w:rsidRPr="00763864" w:rsidRDefault="00763864" w:rsidP="00763864">
      <w:pPr>
        <w:jc w:val="both"/>
        <w:rPr>
          <w:rFonts w:ascii="Arial" w:hAnsi="Arial"/>
          <w:sz w:val="22"/>
          <w:szCs w:val="22"/>
        </w:rPr>
      </w:pPr>
    </w:p>
    <w:p w:rsidR="00763864" w:rsidRPr="00763864" w:rsidRDefault="00763864" w:rsidP="00763864">
      <w:pPr>
        <w:numPr>
          <w:ilvl w:val="1"/>
          <w:numId w:val="25"/>
        </w:numPr>
        <w:jc w:val="both"/>
        <w:rPr>
          <w:rFonts w:ascii="Arial" w:hAnsi="Arial"/>
          <w:sz w:val="22"/>
          <w:szCs w:val="22"/>
        </w:rPr>
      </w:pPr>
      <w:r w:rsidRPr="00763864">
        <w:rPr>
          <w:rFonts w:ascii="Arial" w:hAnsi="Arial"/>
          <w:sz w:val="22"/>
          <w:szCs w:val="22"/>
        </w:rPr>
        <w:t>The minor submission presented no new economic analyses.</w:t>
      </w:r>
    </w:p>
    <w:p w:rsidR="00763864" w:rsidRPr="00882085" w:rsidRDefault="00763864" w:rsidP="00763864">
      <w:pPr>
        <w:jc w:val="both"/>
        <w:rPr>
          <w:rFonts w:ascii="Arial" w:hAnsi="Arial"/>
          <w:sz w:val="22"/>
          <w:szCs w:val="22"/>
        </w:rPr>
      </w:pPr>
    </w:p>
    <w:p w:rsidR="005A3173" w:rsidRPr="00E37B74" w:rsidRDefault="005A3173" w:rsidP="00FC2839">
      <w:pPr>
        <w:pStyle w:val="Heading2"/>
      </w:pPr>
      <w:r w:rsidRPr="00E37B74">
        <w:t>Estimated PBS usage &amp; financial implications</w:t>
      </w:r>
    </w:p>
    <w:p w:rsidR="005A3173" w:rsidRPr="00882085" w:rsidRDefault="005A3173" w:rsidP="00882085">
      <w:pPr>
        <w:ind w:left="720" w:hanging="720"/>
        <w:jc w:val="both"/>
        <w:rPr>
          <w:rFonts w:ascii="Arial" w:hAnsi="Arial"/>
          <w:b/>
          <w:i/>
          <w:sz w:val="22"/>
          <w:szCs w:val="22"/>
        </w:rPr>
      </w:pPr>
    </w:p>
    <w:p w:rsidR="00890526" w:rsidRPr="008D11DF" w:rsidRDefault="0023272D" w:rsidP="00890526">
      <w:pPr>
        <w:pStyle w:val="ListParagraph"/>
        <w:numPr>
          <w:ilvl w:val="1"/>
          <w:numId w:val="25"/>
        </w:numPr>
        <w:jc w:val="both"/>
        <w:rPr>
          <w:rFonts w:ascii="Arial" w:hAnsi="Arial"/>
          <w:sz w:val="22"/>
          <w:szCs w:val="22"/>
        </w:rPr>
      </w:pPr>
      <w:r w:rsidRPr="008D11DF">
        <w:rPr>
          <w:rFonts w:ascii="Arial" w:hAnsi="Arial"/>
          <w:sz w:val="22"/>
          <w:szCs w:val="22"/>
        </w:rPr>
        <w:t xml:space="preserve">The submission presented financial estimates based on the expected increase in uptake and response/continuation rates of omalizumab </w:t>
      </w:r>
      <w:r w:rsidR="00835A0D" w:rsidRPr="008D11DF">
        <w:rPr>
          <w:rFonts w:ascii="Arial" w:hAnsi="Arial"/>
          <w:sz w:val="22"/>
          <w:szCs w:val="22"/>
        </w:rPr>
        <w:t xml:space="preserve">due to the lower baseline </w:t>
      </w:r>
      <w:proofErr w:type="spellStart"/>
      <w:r w:rsidR="00835A0D" w:rsidRPr="008D11DF">
        <w:rPr>
          <w:rFonts w:ascii="Arial" w:hAnsi="Arial"/>
          <w:sz w:val="22"/>
          <w:szCs w:val="22"/>
        </w:rPr>
        <w:t>IgE</w:t>
      </w:r>
      <w:proofErr w:type="spellEnd"/>
      <w:r w:rsidR="00835A0D" w:rsidRPr="008D11DF">
        <w:rPr>
          <w:rFonts w:ascii="Arial" w:hAnsi="Arial"/>
          <w:sz w:val="22"/>
          <w:szCs w:val="22"/>
        </w:rPr>
        <w:t xml:space="preserve"> level being extended from 76 to 30 IU/</w:t>
      </w:r>
      <w:proofErr w:type="spellStart"/>
      <w:r w:rsidR="00835A0D" w:rsidRPr="008D11DF">
        <w:rPr>
          <w:rFonts w:ascii="Arial" w:hAnsi="Arial"/>
          <w:sz w:val="22"/>
          <w:szCs w:val="22"/>
        </w:rPr>
        <w:t>mL.</w:t>
      </w:r>
      <w:proofErr w:type="spellEnd"/>
      <w:r w:rsidR="00835A0D" w:rsidRPr="008D11DF">
        <w:rPr>
          <w:rFonts w:ascii="Arial" w:hAnsi="Arial"/>
          <w:sz w:val="22"/>
          <w:szCs w:val="22"/>
        </w:rPr>
        <w:t xml:space="preserve"> </w:t>
      </w:r>
      <w:r w:rsidR="00890526" w:rsidRPr="008D11DF">
        <w:rPr>
          <w:rFonts w:ascii="Arial" w:hAnsi="Arial"/>
          <w:sz w:val="22"/>
          <w:szCs w:val="22"/>
        </w:rPr>
        <w:t>The submission</w:t>
      </w:r>
      <w:r w:rsidRPr="008D11DF">
        <w:rPr>
          <w:rFonts w:ascii="Arial" w:hAnsi="Arial"/>
          <w:sz w:val="22"/>
          <w:szCs w:val="22"/>
        </w:rPr>
        <w:t xml:space="preserve"> further</w:t>
      </w:r>
      <w:r w:rsidR="00890526" w:rsidRPr="008D11DF">
        <w:rPr>
          <w:rFonts w:ascii="Arial" w:hAnsi="Arial"/>
          <w:sz w:val="22"/>
          <w:szCs w:val="22"/>
        </w:rPr>
        <w:t xml:space="preserve"> offered to rebate </w:t>
      </w:r>
      <w:r w:rsidR="00BA3F5C">
        <w:rPr>
          <w:rFonts w:ascii="Arial" w:hAnsi="Arial"/>
          <w:noProof/>
          <w:color w:val="000000"/>
          <w:sz w:val="22"/>
          <w:szCs w:val="22"/>
          <w:highlight w:val="black"/>
        </w:rPr>
        <w:t>'''''''''''''''</w:t>
      </w:r>
      <w:r w:rsidR="00890526" w:rsidRPr="008D11DF">
        <w:rPr>
          <w:rFonts w:ascii="Arial" w:hAnsi="Arial"/>
          <w:sz w:val="22"/>
          <w:szCs w:val="22"/>
        </w:rPr>
        <w:t xml:space="preserve"> of the cost of up to 28 weeks of therapy for the patients with </w:t>
      </w:r>
      <w:proofErr w:type="spellStart"/>
      <w:r w:rsidR="00890526" w:rsidRPr="008D11DF">
        <w:rPr>
          <w:rFonts w:ascii="Arial" w:hAnsi="Arial"/>
          <w:sz w:val="22"/>
          <w:szCs w:val="22"/>
        </w:rPr>
        <w:t>IgE</w:t>
      </w:r>
      <w:proofErr w:type="spellEnd"/>
      <w:r w:rsidR="00890526" w:rsidRPr="008D11DF">
        <w:rPr>
          <w:rFonts w:ascii="Arial" w:hAnsi="Arial"/>
          <w:sz w:val="22"/>
          <w:szCs w:val="22"/>
        </w:rPr>
        <w:t xml:space="preserve"> 30-75 IU/mL who do not respond to omalizumab.</w:t>
      </w:r>
    </w:p>
    <w:p w:rsidR="00890526" w:rsidRPr="008D11DF" w:rsidRDefault="00890526" w:rsidP="00890526">
      <w:pPr>
        <w:pStyle w:val="ListParagraph"/>
        <w:jc w:val="both"/>
        <w:rPr>
          <w:rFonts w:ascii="Arial" w:hAnsi="Arial"/>
          <w:sz w:val="22"/>
          <w:szCs w:val="22"/>
        </w:rPr>
      </w:pPr>
    </w:p>
    <w:p w:rsidR="00835A0D" w:rsidRPr="008D11DF" w:rsidRDefault="00890526" w:rsidP="00835A0D">
      <w:pPr>
        <w:pStyle w:val="ListParagraph"/>
        <w:numPr>
          <w:ilvl w:val="1"/>
          <w:numId w:val="25"/>
        </w:numPr>
        <w:jc w:val="both"/>
        <w:rPr>
          <w:rFonts w:ascii="Arial" w:hAnsi="Arial"/>
          <w:sz w:val="22"/>
          <w:szCs w:val="22"/>
        </w:rPr>
      </w:pPr>
      <w:r w:rsidRPr="008D11DF">
        <w:rPr>
          <w:rFonts w:ascii="Arial" w:hAnsi="Arial"/>
          <w:sz w:val="22"/>
          <w:szCs w:val="22"/>
        </w:rPr>
        <w:t xml:space="preserve">The submission proposed </w:t>
      </w:r>
      <w:r w:rsidR="0023272D" w:rsidRPr="008D11DF">
        <w:rPr>
          <w:rFonts w:ascii="Arial" w:hAnsi="Arial"/>
          <w:sz w:val="22"/>
          <w:szCs w:val="22"/>
        </w:rPr>
        <w:t xml:space="preserve">that given </w:t>
      </w:r>
      <w:r w:rsidR="00835A0D" w:rsidRPr="008D11DF">
        <w:rPr>
          <w:rFonts w:ascii="Arial" w:hAnsi="Arial"/>
          <w:sz w:val="22"/>
          <w:szCs w:val="22"/>
        </w:rPr>
        <w:t xml:space="preserve">there are a pool of patients with </w:t>
      </w:r>
      <w:proofErr w:type="spellStart"/>
      <w:r w:rsidR="00835A0D" w:rsidRPr="008D11DF">
        <w:rPr>
          <w:rFonts w:ascii="Arial" w:hAnsi="Arial"/>
          <w:sz w:val="22"/>
          <w:szCs w:val="22"/>
        </w:rPr>
        <w:t>IgE</w:t>
      </w:r>
      <w:proofErr w:type="spellEnd"/>
      <w:r w:rsidR="00835A0D" w:rsidRPr="008D11DF">
        <w:rPr>
          <w:rFonts w:ascii="Arial" w:hAnsi="Arial"/>
          <w:sz w:val="22"/>
          <w:szCs w:val="22"/>
        </w:rPr>
        <w:t xml:space="preserve"> 30-75 IU/mL waiting to be treated (based on advice from physicians and frequent requests for subsidy) the expected uptake rate has been set higher than the current uptake rate of </w:t>
      </w:r>
      <w:r w:rsidR="00BA3F5C">
        <w:rPr>
          <w:rFonts w:ascii="Arial" w:hAnsi="Arial"/>
          <w:noProof/>
          <w:color w:val="000000"/>
          <w:sz w:val="22"/>
          <w:szCs w:val="22"/>
          <w:highlight w:val="black"/>
        </w:rPr>
        <w:t>'''''</w:t>
      </w:r>
      <w:r w:rsidR="00835A0D" w:rsidRPr="008D11DF">
        <w:rPr>
          <w:rFonts w:ascii="Arial" w:hAnsi="Arial"/>
          <w:sz w:val="22"/>
          <w:szCs w:val="22"/>
        </w:rPr>
        <w:t xml:space="preserve">% in the </w:t>
      </w:r>
      <w:proofErr w:type="spellStart"/>
      <w:r w:rsidR="00835A0D" w:rsidRPr="008D11DF">
        <w:rPr>
          <w:rFonts w:ascii="Arial" w:hAnsi="Arial"/>
          <w:sz w:val="22"/>
          <w:szCs w:val="22"/>
        </w:rPr>
        <w:t>IgE</w:t>
      </w:r>
      <w:proofErr w:type="spellEnd"/>
      <w:r w:rsidR="00835A0D" w:rsidRPr="008D11DF">
        <w:rPr>
          <w:rFonts w:ascii="Arial" w:hAnsi="Arial"/>
          <w:sz w:val="22"/>
          <w:szCs w:val="22"/>
        </w:rPr>
        <w:t xml:space="preserve"> ≥76 patients. The rate for Year 1 is set at </w:t>
      </w:r>
      <w:r w:rsidR="00BA3F5C">
        <w:rPr>
          <w:rFonts w:ascii="Arial" w:hAnsi="Arial"/>
          <w:noProof/>
          <w:color w:val="000000"/>
          <w:sz w:val="22"/>
          <w:szCs w:val="22"/>
          <w:highlight w:val="black"/>
        </w:rPr>
        <w:t>''''''</w:t>
      </w:r>
      <w:r w:rsidR="00835A0D" w:rsidRPr="008D11DF">
        <w:rPr>
          <w:rFonts w:ascii="Arial" w:hAnsi="Arial"/>
          <w:sz w:val="22"/>
          <w:szCs w:val="22"/>
        </w:rPr>
        <w:t xml:space="preserve">%, Year 2 at </w:t>
      </w:r>
      <w:r w:rsidR="00BA3F5C">
        <w:rPr>
          <w:rFonts w:ascii="Arial" w:hAnsi="Arial"/>
          <w:noProof/>
          <w:color w:val="000000"/>
          <w:sz w:val="22"/>
          <w:szCs w:val="22"/>
          <w:highlight w:val="black"/>
        </w:rPr>
        <w:t>''''''</w:t>
      </w:r>
      <w:r w:rsidR="00835A0D" w:rsidRPr="008D11DF">
        <w:rPr>
          <w:rFonts w:ascii="Arial" w:hAnsi="Arial"/>
          <w:sz w:val="22"/>
          <w:szCs w:val="22"/>
        </w:rPr>
        <w:t xml:space="preserve">%, and then </w:t>
      </w:r>
      <w:r w:rsidR="00BA3F5C">
        <w:rPr>
          <w:rFonts w:ascii="Arial" w:hAnsi="Arial"/>
          <w:noProof/>
          <w:color w:val="000000"/>
          <w:sz w:val="22"/>
          <w:szCs w:val="22"/>
          <w:highlight w:val="black"/>
        </w:rPr>
        <w:t>''''''</w:t>
      </w:r>
      <w:r w:rsidR="00835A0D" w:rsidRPr="008D11DF">
        <w:rPr>
          <w:rFonts w:ascii="Arial" w:hAnsi="Arial"/>
          <w:sz w:val="22"/>
          <w:szCs w:val="22"/>
        </w:rPr>
        <w:t xml:space="preserve">% for subsequent years. </w:t>
      </w:r>
    </w:p>
    <w:p w:rsidR="00835A0D" w:rsidRPr="008D11DF" w:rsidRDefault="00835A0D" w:rsidP="00835A0D">
      <w:pPr>
        <w:pStyle w:val="ListParagraph"/>
        <w:jc w:val="both"/>
        <w:rPr>
          <w:rFonts w:ascii="Arial" w:hAnsi="Arial"/>
          <w:sz w:val="22"/>
          <w:szCs w:val="22"/>
        </w:rPr>
      </w:pPr>
    </w:p>
    <w:p w:rsidR="00C00DA7" w:rsidRPr="008D11DF" w:rsidRDefault="00FF2801" w:rsidP="00011A44">
      <w:pPr>
        <w:pStyle w:val="ListParagraph"/>
        <w:numPr>
          <w:ilvl w:val="1"/>
          <w:numId w:val="25"/>
        </w:numPr>
        <w:jc w:val="both"/>
        <w:rPr>
          <w:rFonts w:ascii="Arial" w:hAnsi="Arial"/>
          <w:sz w:val="22"/>
          <w:szCs w:val="22"/>
        </w:rPr>
      </w:pPr>
      <w:r w:rsidRPr="008D11DF">
        <w:rPr>
          <w:rFonts w:ascii="Arial" w:hAnsi="Arial"/>
          <w:sz w:val="22"/>
          <w:szCs w:val="22"/>
        </w:rPr>
        <w:t>The submission estimated</w:t>
      </w:r>
      <w:r w:rsidR="00835A0D" w:rsidRPr="008D11DF">
        <w:rPr>
          <w:rFonts w:ascii="Arial" w:hAnsi="Arial"/>
          <w:sz w:val="22"/>
          <w:szCs w:val="22"/>
        </w:rPr>
        <w:t xml:space="preserve"> a net cost</w:t>
      </w:r>
      <w:r w:rsidR="00C00DA7" w:rsidRPr="008D11DF">
        <w:rPr>
          <w:rFonts w:ascii="Arial" w:hAnsi="Arial"/>
          <w:sz w:val="22"/>
          <w:szCs w:val="22"/>
        </w:rPr>
        <w:t xml:space="preserve"> to the PBS of $</w:t>
      </w:r>
      <w:r w:rsidR="00BA3F5C">
        <w:rPr>
          <w:rFonts w:ascii="Arial" w:hAnsi="Arial"/>
          <w:noProof/>
          <w:color w:val="000000"/>
          <w:sz w:val="22"/>
          <w:szCs w:val="22"/>
          <w:highlight w:val="black"/>
        </w:rPr>
        <w:t>'''''''''''''''''''</w:t>
      </w:r>
      <w:r w:rsidR="00C00DA7" w:rsidRPr="008D11DF">
        <w:rPr>
          <w:rFonts w:ascii="Arial" w:hAnsi="Arial"/>
          <w:sz w:val="22"/>
          <w:szCs w:val="22"/>
        </w:rPr>
        <w:t xml:space="preserve"> in Year 5 of listing, with a total net cost to the PBS of </w:t>
      </w:r>
      <w:r w:rsidR="00011A44" w:rsidRPr="00011A44">
        <w:rPr>
          <w:rFonts w:ascii="Arial" w:hAnsi="Arial"/>
          <w:sz w:val="22"/>
          <w:szCs w:val="22"/>
        </w:rPr>
        <w:t xml:space="preserve">less than $10 million </w:t>
      </w:r>
      <w:r w:rsidR="00C00DA7" w:rsidRPr="008D11DF">
        <w:rPr>
          <w:rFonts w:ascii="Arial" w:hAnsi="Arial"/>
          <w:sz w:val="22"/>
          <w:szCs w:val="22"/>
        </w:rPr>
        <w:t>over the first 5 years of listing.  This is summarised in the table below</w:t>
      </w:r>
      <w:r w:rsidR="00BC0B66" w:rsidRPr="008D11DF">
        <w:rPr>
          <w:rFonts w:ascii="Arial" w:hAnsi="Arial"/>
          <w:sz w:val="22"/>
          <w:szCs w:val="22"/>
        </w:rPr>
        <w:t>.</w:t>
      </w:r>
      <w:r w:rsidR="00C00DA7" w:rsidRPr="008D11DF">
        <w:rPr>
          <w:rFonts w:ascii="Arial" w:hAnsi="Arial"/>
          <w:sz w:val="22"/>
          <w:szCs w:val="22"/>
        </w:rPr>
        <w:t xml:space="preserve"> </w:t>
      </w:r>
    </w:p>
    <w:p w:rsidR="008D11DF" w:rsidRDefault="008D11DF" w:rsidP="00BC0B66">
      <w:pPr>
        <w:pStyle w:val="ListParagraph"/>
        <w:jc w:val="both"/>
        <w:rPr>
          <w:rFonts w:ascii="Arial Narrow" w:hAnsi="Arial Narrow"/>
          <w:b/>
          <w:sz w:val="20"/>
          <w:szCs w:val="20"/>
        </w:rPr>
      </w:pPr>
    </w:p>
    <w:p w:rsidR="00BB7EC3" w:rsidRPr="00BC0B66" w:rsidRDefault="00763864" w:rsidP="00BC0B66">
      <w:pPr>
        <w:pStyle w:val="ListParagraph"/>
        <w:jc w:val="both"/>
        <w:rPr>
          <w:rFonts w:ascii="Arial Narrow" w:hAnsi="Arial Narrow"/>
          <w:b/>
          <w:sz w:val="20"/>
          <w:szCs w:val="20"/>
        </w:rPr>
      </w:pPr>
      <w:r>
        <w:rPr>
          <w:rFonts w:ascii="Arial Narrow" w:hAnsi="Arial Narrow"/>
          <w:b/>
          <w:sz w:val="20"/>
          <w:szCs w:val="20"/>
        </w:rPr>
        <w:t xml:space="preserve">Table 4: </w:t>
      </w:r>
      <w:r w:rsidR="00BC0B66" w:rsidRPr="00BC0B66">
        <w:rPr>
          <w:rFonts w:ascii="Arial Narrow" w:hAnsi="Arial Narrow"/>
          <w:b/>
          <w:sz w:val="20"/>
          <w:szCs w:val="20"/>
        </w:rPr>
        <w:t xml:space="preserve">Financial estimates for the change in PBS restrictions for patients with </w:t>
      </w:r>
      <w:proofErr w:type="spellStart"/>
      <w:r w:rsidR="00BC0B66" w:rsidRPr="00BC0B66">
        <w:rPr>
          <w:rFonts w:ascii="Arial Narrow" w:hAnsi="Arial Narrow"/>
          <w:b/>
          <w:sz w:val="20"/>
          <w:szCs w:val="20"/>
        </w:rPr>
        <w:t>IgE</w:t>
      </w:r>
      <w:proofErr w:type="spellEnd"/>
      <w:r w:rsidR="00BC0B66" w:rsidRPr="00BC0B66">
        <w:rPr>
          <w:rFonts w:ascii="Arial Narrow" w:hAnsi="Arial Narrow"/>
          <w:b/>
          <w:sz w:val="20"/>
          <w:szCs w:val="20"/>
        </w:rPr>
        <w:t xml:space="preserve"> 30-75</w:t>
      </w:r>
    </w:p>
    <w:tbl>
      <w:tblPr>
        <w:tblStyle w:val="TableGrid"/>
        <w:tblW w:w="8505" w:type="dxa"/>
        <w:tblInd w:w="817" w:type="dxa"/>
        <w:tblLook w:val="04A0" w:firstRow="1" w:lastRow="0" w:firstColumn="1" w:lastColumn="0" w:noHBand="0" w:noVBand="1"/>
        <w:tblCaption w:val="Table 4: Financial estimates for the change in PBS restrictions for patients with IgE 30-75"/>
      </w:tblPr>
      <w:tblGrid>
        <w:gridCol w:w="1701"/>
        <w:gridCol w:w="1134"/>
        <w:gridCol w:w="1418"/>
        <w:gridCol w:w="1417"/>
        <w:gridCol w:w="1418"/>
        <w:gridCol w:w="1417"/>
      </w:tblGrid>
      <w:tr w:rsidR="00BC0B66" w:rsidRPr="00BC0B66" w:rsidTr="00D811AD">
        <w:trPr>
          <w:trHeight w:val="300"/>
          <w:tblHeader/>
        </w:trPr>
        <w:tc>
          <w:tcPr>
            <w:tcW w:w="1701" w:type="dxa"/>
            <w:noWrap/>
            <w:hideMark/>
          </w:tcPr>
          <w:p w:rsidR="00BC0B66" w:rsidRPr="00BC0B66" w:rsidRDefault="00BC0B66" w:rsidP="00BC0B66">
            <w:pPr>
              <w:spacing w:before="40" w:after="40"/>
              <w:rPr>
                <w:rFonts w:ascii="Arial Narrow" w:hAnsi="Arial Narrow"/>
                <w:sz w:val="20"/>
                <w:szCs w:val="20"/>
                <w:lang w:val="en-US"/>
              </w:rPr>
            </w:pPr>
          </w:p>
        </w:tc>
        <w:tc>
          <w:tcPr>
            <w:tcW w:w="1134" w:type="dxa"/>
            <w:noWrap/>
            <w:hideMark/>
          </w:tcPr>
          <w:p w:rsidR="00BC0B66" w:rsidRPr="00BC0B66" w:rsidRDefault="00BC0B66" w:rsidP="00BC0B66">
            <w:pPr>
              <w:spacing w:before="40" w:after="40"/>
              <w:rPr>
                <w:rFonts w:ascii="Arial Narrow" w:hAnsi="Arial Narrow"/>
                <w:sz w:val="20"/>
                <w:szCs w:val="20"/>
                <w:lang w:val="en-US"/>
              </w:rPr>
            </w:pPr>
            <w:r w:rsidRPr="00BC0B66">
              <w:rPr>
                <w:rFonts w:ascii="Arial Narrow" w:hAnsi="Arial Narrow"/>
                <w:sz w:val="20"/>
                <w:szCs w:val="20"/>
                <w:lang w:val="en-US"/>
              </w:rPr>
              <w:t>Year 1</w:t>
            </w:r>
          </w:p>
        </w:tc>
        <w:tc>
          <w:tcPr>
            <w:tcW w:w="1418" w:type="dxa"/>
            <w:noWrap/>
            <w:hideMark/>
          </w:tcPr>
          <w:p w:rsidR="00BC0B66" w:rsidRPr="00BC0B66" w:rsidRDefault="00BC0B66" w:rsidP="00BC0B66">
            <w:pPr>
              <w:spacing w:before="40" w:after="40"/>
              <w:rPr>
                <w:rFonts w:ascii="Arial Narrow" w:hAnsi="Arial Narrow"/>
                <w:sz w:val="20"/>
                <w:szCs w:val="20"/>
                <w:lang w:val="en-US"/>
              </w:rPr>
            </w:pPr>
            <w:r w:rsidRPr="00BC0B66">
              <w:rPr>
                <w:rFonts w:ascii="Arial Narrow" w:hAnsi="Arial Narrow"/>
                <w:sz w:val="20"/>
                <w:szCs w:val="20"/>
                <w:lang w:val="en-US"/>
              </w:rPr>
              <w:t>Year 2</w:t>
            </w:r>
          </w:p>
        </w:tc>
        <w:tc>
          <w:tcPr>
            <w:tcW w:w="1417" w:type="dxa"/>
            <w:noWrap/>
            <w:hideMark/>
          </w:tcPr>
          <w:p w:rsidR="00BC0B66" w:rsidRPr="00BC0B66" w:rsidRDefault="00BC0B66" w:rsidP="00BC0B66">
            <w:pPr>
              <w:spacing w:before="40" w:after="40"/>
              <w:rPr>
                <w:rFonts w:ascii="Arial Narrow" w:hAnsi="Arial Narrow"/>
                <w:sz w:val="20"/>
                <w:szCs w:val="20"/>
                <w:lang w:val="en-US"/>
              </w:rPr>
            </w:pPr>
            <w:r w:rsidRPr="00BC0B66">
              <w:rPr>
                <w:rFonts w:ascii="Arial Narrow" w:hAnsi="Arial Narrow"/>
                <w:sz w:val="20"/>
                <w:szCs w:val="20"/>
                <w:lang w:val="en-US"/>
              </w:rPr>
              <w:t>Year 3</w:t>
            </w:r>
          </w:p>
        </w:tc>
        <w:tc>
          <w:tcPr>
            <w:tcW w:w="1418" w:type="dxa"/>
            <w:noWrap/>
            <w:hideMark/>
          </w:tcPr>
          <w:p w:rsidR="00BC0B66" w:rsidRPr="00BC0B66" w:rsidRDefault="00BC0B66" w:rsidP="00BC0B66">
            <w:pPr>
              <w:spacing w:before="40" w:after="40"/>
              <w:rPr>
                <w:rFonts w:ascii="Arial Narrow" w:hAnsi="Arial Narrow"/>
                <w:sz w:val="20"/>
                <w:szCs w:val="20"/>
                <w:lang w:val="en-US"/>
              </w:rPr>
            </w:pPr>
            <w:r w:rsidRPr="00BC0B66">
              <w:rPr>
                <w:rFonts w:ascii="Arial Narrow" w:hAnsi="Arial Narrow"/>
                <w:sz w:val="20"/>
                <w:szCs w:val="20"/>
                <w:lang w:val="en-US"/>
              </w:rPr>
              <w:t>Year 4</w:t>
            </w:r>
          </w:p>
        </w:tc>
        <w:tc>
          <w:tcPr>
            <w:tcW w:w="1417" w:type="dxa"/>
            <w:noWrap/>
            <w:hideMark/>
          </w:tcPr>
          <w:p w:rsidR="00BC0B66" w:rsidRPr="00BC0B66" w:rsidRDefault="00BC0B66" w:rsidP="00BC0B66">
            <w:pPr>
              <w:spacing w:before="40" w:after="40"/>
              <w:rPr>
                <w:rFonts w:ascii="Arial Narrow" w:hAnsi="Arial Narrow"/>
                <w:sz w:val="20"/>
                <w:szCs w:val="20"/>
                <w:lang w:val="en-US"/>
              </w:rPr>
            </w:pPr>
            <w:r w:rsidRPr="00BC0B66">
              <w:rPr>
                <w:rFonts w:ascii="Arial Narrow" w:hAnsi="Arial Narrow"/>
                <w:sz w:val="20"/>
                <w:szCs w:val="20"/>
                <w:lang w:val="en-US"/>
              </w:rPr>
              <w:t>Year 5</w:t>
            </w:r>
          </w:p>
        </w:tc>
      </w:tr>
      <w:tr w:rsidR="00BC0B66" w:rsidRPr="00BC0B66" w:rsidTr="00BC0B66">
        <w:trPr>
          <w:trHeight w:val="300"/>
        </w:trPr>
        <w:tc>
          <w:tcPr>
            <w:tcW w:w="1701" w:type="dxa"/>
            <w:noWrap/>
            <w:hideMark/>
          </w:tcPr>
          <w:p w:rsidR="00BC0B66" w:rsidRPr="00BC0B66" w:rsidRDefault="00BC0B66" w:rsidP="00BC0B66">
            <w:pPr>
              <w:spacing w:before="40" w:after="40"/>
              <w:rPr>
                <w:rFonts w:ascii="Arial Narrow" w:hAnsi="Arial Narrow"/>
                <w:sz w:val="20"/>
                <w:szCs w:val="20"/>
                <w:lang w:val="en-US"/>
              </w:rPr>
            </w:pPr>
            <w:r w:rsidRPr="00BC0B66">
              <w:rPr>
                <w:rFonts w:ascii="Arial Narrow" w:hAnsi="Arial Narrow"/>
                <w:sz w:val="20"/>
                <w:szCs w:val="20"/>
                <w:lang w:val="en-US"/>
              </w:rPr>
              <w:t>Patients (</w:t>
            </w:r>
            <w:proofErr w:type="spellStart"/>
            <w:r w:rsidRPr="00BC0B66">
              <w:rPr>
                <w:rFonts w:ascii="Arial Narrow" w:hAnsi="Arial Narrow"/>
                <w:sz w:val="20"/>
                <w:szCs w:val="20"/>
                <w:lang w:val="en-US"/>
              </w:rPr>
              <w:t>New+Cont</w:t>
            </w:r>
            <w:proofErr w:type="spellEnd"/>
            <w:r w:rsidRPr="00BC0B66">
              <w:rPr>
                <w:rFonts w:ascii="Arial Narrow" w:hAnsi="Arial Narrow"/>
                <w:sz w:val="20"/>
                <w:szCs w:val="20"/>
                <w:lang w:val="en-US"/>
              </w:rPr>
              <w:t>.)</w:t>
            </w:r>
          </w:p>
        </w:tc>
        <w:tc>
          <w:tcPr>
            <w:tcW w:w="1134" w:type="dxa"/>
            <w:noWrap/>
            <w:hideMark/>
          </w:tcPr>
          <w:p w:rsidR="00BC0B66" w:rsidRPr="00BA3F5C" w:rsidRDefault="00BA3F5C" w:rsidP="00BC0B66">
            <w:pPr>
              <w:spacing w:before="40" w:after="40"/>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1418" w:type="dxa"/>
            <w:noWrap/>
            <w:hideMark/>
          </w:tcPr>
          <w:p w:rsidR="00BC0B66" w:rsidRPr="00BA3F5C" w:rsidRDefault="00BA3F5C" w:rsidP="00BC0B66">
            <w:pPr>
              <w:spacing w:before="40" w:after="40"/>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1417" w:type="dxa"/>
            <w:noWrap/>
            <w:hideMark/>
          </w:tcPr>
          <w:p w:rsidR="00BC0B66" w:rsidRPr="00BA3F5C" w:rsidRDefault="00BA3F5C" w:rsidP="00BC0B66">
            <w:pPr>
              <w:spacing w:before="40" w:after="40"/>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1418" w:type="dxa"/>
            <w:noWrap/>
            <w:hideMark/>
          </w:tcPr>
          <w:p w:rsidR="00BC0B66" w:rsidRPr="00BA3F5C" w:rsidRDefault="00BA3F5C" w:rsidP="00BC0B66">
            <w:pPr>
              <w:spacing w:before="40" w:after="40"/>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1417" w:type="dxa"/>
            <w:noWrap/>
            <w:hideMark/>
          </w:tcPr>
          <w:p w:rsidR="00BC0B66" w:rsidRPr="00BA3F5C" w:rsidRDefault="00BA3F5C" w:rsidP="00BC0B66">
            <w:pPr>
              <w:spacing w:before="40" w:after="40"/>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r>
      <w:tr w:rsidR="00BC0B66" w:rsidRPr="00BC0B66" w:rsidTr="00BC0B66">
        <w:trPr>
          <w:trHeight w:val="300"/>
        </w:trPr>
        <w:tc>
          <w:tcPr>
            <w:tcW w:w="1701" w:type="dxa"/>
            <w:noWrap/>
            <w:hideMark/>
          </w:tcPr>
          <w:p w:rsidR="00BC0B66" w:rsidRPr="00BC0B66" w:rsidRDefault="00BC0B66" w:rsidP="00BC0B66">
            <w:pPr>
              <w:spacing w:before="40" w:after="40"/>
              <w:rPr>
                <w:rFonts w:ascii="Arial Narrow" w:hAnsi="Arial Narrow"/>
                <w:sz w:val="20"/>
                <w:szCs w:val="20"/>
                <w:lang w:val="en-US"/>
              </w:rPr>
            </w:pPr>
            <w:r w:rsidRPr="00BC0B66">
              <w:rPr>
                <w:rFonts w:ascii="Arial Narrow" w:hAnsi="Arial Narrow"/>
                <w:sz w:val="20"/>
                <w:szCs w:val="20"/>
                <w:lang w:val="en-US"/>
              </w:rPr>
              <w:t>Cost at published $</w:t>
            </w:r>
          </w:p>
        </w:tc>
        <w:tc>
          <w:tcPr>
            <w:tcW w:w="1134" w:type="dxa"/>
            <w:noWrap/>
            <w:hideMark/>
          </w:tcPr>
          <w:p w:rsidR="00BC0B66" w:rsidRPr="00BC0B66" w:rsidRDefault="00BC0B66" w:rsidP="00BC0B66">
            <w:pPr>
              <w:spacing w:before="40" w:after="40"/>
              <w:rPr>
                <w:rFonts w:ascii="Arial Narrow" w:hAnsi="Arial Narrow"/>
                <w:sz w:val="20"/>
                <w:szCs w:val="20"/>
                <w:lang w:val="en-US"/>
              </w:rPr>
            </w:pPr>
            <w:r w:rsidRPr="00BC0B66">
              <w:rPr>
                <w:rFonts w:ascii="Arial Narrow" w:hAnsi="Arial Narrow"/>
                <w:sz w:val="20"/>
                <w:szCs w:val="20"/>
                <w:lang w:val="en-US"/>
              </w:rPr>
              <w:t>$</w:t>
            </w:r>
            <w:r w:rsidR="00BA3F5C">
              <w:rPr>
                <w:rFonts w:ascii="Arial Narrow" w:hAnsi="Arial Narrow"/>
                <w:noProof/>
                <w:color w:val="000000"/>
                <w:sz w:val="20"/>
                <w:szCs w:val="20"/>
                <w:highlight w:val="black"/>
                <w:lang w:val="en-US"/>
              </w:rPr>
              <w:t>''''''''''''''''''''''''</w:t>
            </w:r>
          </w:p>
        </w:tc>
        <w:tc>
          <w:tcPr>
            <w:tcW w:w="1418" w:type="dxa"/>
            <w:noWrap/>
            <w:hideMark/>
          </w:tcPr>
          <w:p w:rsidR="00BC0B66" w:rsidRPr="00BC0B66" w:rsidRDefault="00BC0B66" w:rsidP="00BC0B66">
            <w:pPr>
              <w:spacing w:before="40" w:after="40"/>
              <w:rPr>
                <w:rFonts w:ascii="Arial Narrow" w:hAnsi="Arial Narrow"/>
                <w:sz w:val="20"/>
                <w:szCs w:val="20"/>
                <w:lang w:val="en-US"/>
              </w:rPr>
            </w:pPr>
            <w:r w:rsidRPr="00BC0B66">
              <w:rPr>
                <w:rFonts w:ascii="Arial Narrow" w:hAnsi="Arial Narrow"/>
                <w:sz w:val="20"/>
                <w:szCs w:val="20"/>
                <w:lang w:val="en-US"/>
              </w:rPr>
              <w:t>$</w:t>
            </w:r>
            <w:r w:rsidR="00BA3F5C">
              <w:rPr>
                <w:rFonts w:ascii="Arial Narrow" w:hAnsi="Arial Narrow"/>
                <w:noProof/>
                <w:color w:val="000000"/>
                <w:sz w:val="20"/>
                <w:szCs w:val="20"/>
                <w:highlight w:val="black"/>
                <w:lang w:val="en-US"/>
              </w:rPr>
              <w:t>'''''''''''''''''''''''</w:t>
            </w:r>
          </w:p>
        </w:tc>
        <w:tc>
          <w:tcPr>
            <w:tcW w:w="1417" w:type="dxa"/>
            <w:noWrap/>
            <w:hideMark/>
          </w:tcPr>
          <w:p w:rsidR="00BC0B66" w:rsidRPr="00BC0B66" w:rsidRDefault="00BC0B66" w:rsidP="00BC0B66">
            <w:pPr>
              <w:spacing w:before="40" w:after="40"/>
              <w:rPr>
                <w:rFonts w:ascii="Arial Narrow" w:hAnsi="Arial Narrow"/>
                <w:sz w:val="20"/>
                <w:szCs w:val="20"/>
                <w:lang w:val="en-US"/>
              </w:rPr>
            </w:pPr>
            <w:r w:rsidRPr="00BC0B66">
              <w:rPr>
                <w:rFonts w:ascii="Arial Narrow" w:hAnsi="Arial Narrow"/>
                <w:sz w:val="20"/>
                <w:szCs w:val="20"/>
                <w:lang w:val="en-US"/>
              </w:rPr>
              <w:t>$</w:t>
            </w:r>
            <w:r w:rsidR="00BA3F5C">
              <w:rPr>
                <w:rFonts w:ascii="Arial Narrow" w:hAnsi="Arial Narrow"/>
                <w:noProof/>
                <w:color w:val="000000"/>
                <w:sz w:val="20"/>
                <w:szCs w:val="20"/>
                <w:highlight w:val="black"/>
                <w:lang w:val="en-US"/>
              </w:rPr>
              <w:t>''''''''''''''''''''''</w:t>
            </w:r>
          </w:p>
        </w:tc>
        <w:tc>
          <w:tcPr>
            <w:tcW w:w="1418" w:type="dxa"/>
            <w:noWrap/>
            <w:hideMark/>
          </w:tcPr>
          <w:p w:rsidR="00BC0B66" w:rsidRPr="00BC0B66" w:rsidRDefault="00BC0B66" w:rsidP="00BC0B66">
            <w:pPr>
              <w:spacing w:before="40" w:after="40"/>
              <w:rPr>
                <w:rFonts w:ascii="Arial Narrow" w:hAnsi="Arial Narrow"/>
                <w:sz w:val="20"/>
                <w:szCs w:val="20"/>
                <w:lang w:val="en-US"/>
              </w:rPr>
            </w:pPr>
            <w:r w:rsidRPr="00BC0B66">
              <w:rPr>
                <w:rFonts w:ascii="Arial Narrow" w:hAnsi="Arial Narrow"/>
                <w:sz w:val="20"/>
                <w:szCs w:val="20"/>
                <w:lang w:val="en-US"/>
              </w:rPr>
              <w:t>$</w:t>
            </w:r>
            <w:r w:rsidR="00BA3F5C">
              <w:rPr>
                <w:rFonts w:ascii="Arial Narrow" w:hAnsi="Arial Narrow"/>
                <w:noProof/>
                <w:color w:val="000000"/>
                <w:sz w:val="20"/>
                <w:szCs w:val="20"/>
                <w:highlight w:val="black"/>
                <w:lang w:val="en-US"/>
              </w:rPr>
              <w:t>'''''''''''''''''''''''</w:t>
            </w:r>
          </w:p>
        </w:tc>
        <w:tc>
          <w:tcPr>
            <w:tcW w:w="1417" w:type="dxa"/>
            <w:noWrap/>
            <w:hideMark/>
          </w:tcPr>
          <w:p w:rsidR="00BC0B66" w:rsidRPr="00BC0B66" w:rsidRDefault="00BC0B66" w:rsidP="00BC0B66">
            <w:pPr>
              <w:spacing w:before="40" w:after="40"/>
              <w:rPr>
                <w:rFonts w:ascii="Arial Narrow" w:hAnsi="Arial Narrow"/>
                <w:sz w:val="20"/>
                <w:szCs w:val="20"/>
                <w:lang w:val="en-US"/>
              </w:rPr>
            </w:pPr>
            <w:r w:rsidRPr="00BC0B66">
              <w:rPr>
                <w:rFonts w:ascii="Arial Narrow" w:hAnsi="Arial Narrow"/>
                <w:sz w:val="20"/>
                <w:szCs w:val="20"/>
                <w:lang w:val="en-US"/>
              </w:rPr>
              <w:t>$</w:t>
            </w:r>
            <w:r w:rsidR="00BA3F5C">
              <w:rPr>
                <w:rFonts w:ascii="Arial Narrow" w:hAnsi="Arial Narrow"/>
                <w:noProof/>
                <w:color w:val="000000"/>
                <w:sz w:val="20"/>
                <w:szCs w:val="20"/>
                <w:highlight w:val="black"/>
                <w:lang w:val="en-US"/>
              </w:rPr>
              <w:t>''''''''''''''''''''''''''</w:t>
            </w:r>
          </w:p>
        </w:tc>
      </w:tr>
      <w:tr w:rsidR="00BC0B66" w:rsidRPr="00BC0B66" w:rsidTr="00BC0B66">
        <w:trPr>
          <w:trHeight w:val="300"/>
        </w:trPr>
        <w:tc>
          <w:tcPr>
            <w:tcW w:w="1701" w:type="dxa"/>
            <w:noWrap/>
            <w:hideMark/>
          </w:tcPr>
          <w:p w:rsidR="00BC0B66" w:rsidRPr="00BA3F5C" w:rsidRDefault="00BA3F5C" w:rsidP="00BC0B66">
            <w:pPr>
              <w:spacing w:before="40" w:after="40"/>
              <w:rPr>
                <w:rFonts w:ascii="Arial Narrow" w:hAnsi="Arial Narrow"/>
                <w:sz w:val="20"/>
                <w:szCs w:val="20"/>
                <w:highlight w:val="black"/>
                <w:lang w:val="en-US"/>
              </w:rPr>
            </w:pPr>
            <w:r>
              <w:rPr>
                <w:rFonts w:ascii="Arial Narrow" w:hAnsi="Arial Narrow"/>
                <w:noProof/>
                <w:color w:val="000000"/>
                <w:sz w:val="20"/>
                <w:szCs w:val="20"/>
                <w:highlight w:val="black"/>
                <w:lang w:val="en-US"/>
              </w:rPr>
              <w:t>''''''''''' '''''''''''''''' ''''</w:t>
            </w:r>
          </w:p>
        </w:tc>
        <w:tc>
          <w:tcPr>
            <w:tcW w:w="1134" w:type="dxa"/>
            <w:noWrap/>
            <w:hideMark/>
          </w:tcPr>
          <w:p w:rsidR="00BC0B66" w:rsidRPr="00BC0B66" w:rsidRDefault="00BC0B66" w:rsidP="00BC0B66">
            <w:pPr>
              <w:spacing w:before="40" w:after="40"/>
              <w:rPr>
                <w:rFonts w:ascii="Arial Narrow" w:hAnsi="Arial Narrow"/>
                <w:sz w:val="20"/>
                <w:szCs w:val="20"/>
                <w:lang w:val="en-US"/>
              </w:rPr>
            </w:pPr>
          </w:p>
        </w:tc>
        <w:tc>
          <w:tcPr>
            <w:tcW w:w="1418" w:type="dxa"/>
            <w:noWrap/>
            <w:hideMark/>
          </w:tcPr>
          <w:p w:rsidR="00BC0B66" w:rsidRPr="00BC0B66" w:rsidRDefault="00BC0B66" w:rsidP="00BC0B66">
            <w:pPr>
              <w:spacing w:before="40" w:after="40"/>
              <w:rPr>
                <w:rFonts w:ascii="Arial Narrow" w:hAnsi="Arial Narrow"/>
                <w:sz w:val="20"/>
                <w:szCs w:val="20"/>
                <w:lang w:val="en-US"/>
              </w:rPr>
            </w:pPr>
          </w:p>
        </w:tc>
        <w:tc>
          <w:tcPr>
            <w:tcW w:w="1417" w:type="dxa"/>
            <w:noWrap/>
            <w:hideMark/>
          </w:tcPr>
          <w:p w:rsidR="00BC0B66" w:rsidRPr="00BC0B66" w:rsidRDefault="00BC0B66" w:rsidP="00BC0B66">
            <w:pPr>
              <w:spacing w:before="40" w:after="40"/>
              <w:rPr>
                <w:rFonts w:ascii="Arial Narrow" w:hAnsi="Arial Narrow"/>
                <w:sz w:val="20"/>
                <w:szCs w:val="20"/>
                <w:lang w:val="en-US"/>
              </w:rPr>
            </w:pPr>
          </w:p>
        </w:tc>
        <w:tc>
          <w:tcPr>
            <w:tcW w:w="1418" w:type="dxa"/>
            <w:noWrap/>
            <w:hideMark/>
          </w:tcPr>
          <w:p w:rsidR="00BC0B66" w:rsidRPr="00BC0B66" w:rsidRDefault="00BC0B66" w:rsidP="00BC0B66">
            <w:pPr>
              <w:spacing w:before="40" w:after="40"/>
              <w:rPr>
                <w:rFonts w:ascii="Arial Narrow" w:hAnsi="Arial Narrow"/>
                <w:sz w:val="20"/>
                <w:szCs w:val="20"/>
                <w:lang w:val="en-US"/>
              </w:rPr>
            </w:pPr>
          </w:p>
        </w:tc>
        <w:tc>
          <w:tcPr>
            <w:tcW w:w="1417" w:type="dxa"/>
            <w:noWrap/>
            <w:hideMark/>
          </w:tcPr>
          <w:p w:rsidR="00BC0B66" w:rsidRPr="00BC0B66" w:rsidRDefault="00BC0B66" w:rsidP="00BC0B66">
            <w:pPr>
              <w:spacing w:before="40" w:after="40"/>
              <w:rPr>
                <w:rFonts w:ascii="Arial Narrow" w:hAnsi="Arial Narrow"/>
                <w:sz w:val="20"/>
                <w:szCs w:val="20"/>
                <w:lang w:val="en-US"/>
              </w:rPr>
            </w:pPr>
          </w:p>
        </w:tc>
      </w:tr>
      <w:tr w:rsidR="00BC0B66" w:rsidRPr="00BC0B66" w:rsidTr="00BC0B66">
        <w:trPr>
          <w:trHeight w:val="300"/>
        </w:trPr>
        <w:tc>
          <w:tcPr>
            <w:tcW w:w="1701" w:type="dxa"/>
            <w:noWrap/>
            <w:hideMark/>
          </w:tcPr>
          <w:p w:rsidR="00BC0B66" w:rsidRPr="00BC0B66" w:rsidRDefault="00BC0B66" w:rsidP="00BC0B66">
            <w:pPr>
              <w:spacing w:before="40" w:after="40"/>
              <w:rPr>
                <w:rFonts w:ascii="Arial Narrow" w:hAnsi="Arial Narrow"/>
                <w:sz w:val="20"/>
                <w:szCs w:val="20"/>
                <w:lang w:val="en-US"/>
              </w:rPr>
            </w:pPr>
            <w:r w:rsidRPr="00BC0B66">
              <w:rPr>
                <w:rFonts w:ascii="Arial Narrow" w:hAnsi="Arial Narrow"/>
                <w:sz w:val="20"/>
                <w:szCs w:val="20"/>
                <w:lang w:val="en-US"/>
              </w:rPr>
              <w:t>Cost at effective $</w:t>
            </w:r>
          </w:p>
        </w:tc>
        <w:tc>
          <w:tcPr>
            <w:tcW w:w="1134" w:type="dxa"/>
            <w:noWrap/>
            <w:hideMark/>
          </w:tcPr>
          <w:p w:rsidR="00BC0B66" w:rsidRPr="00BC0B66" w:rsidRDefault="00BC0B66" w:rsidP="00BC0B66">
            <w:pPr>
              <w:spacing w:before="40" w:after="40"/>
              <w:rPr>
                <w:rFonts w:ascii="Arial Narrow" w:hAnsi="Arial Narrow"/>
                <w:sz w:val="20"/>
                <w:szCs w:val="20"/>
                <w:lang w:val="en-US"/>
              </w:rPr>
            </w:pPr>
            <w:r w:rsidRPr="00BC0B66">
              <w:rPr>
                <w:rFonts w:ascii="Arial Narrow" w:hAnsi="Arial Narrow"/>
                <w:sz w:val="20"/>
                <w:szCs w:val="20"/>
                <w:lang w:val="en-US"/>
              </w:rPr>
              <w:t>$</w:t>
            </w:r>
            <w:r w:rsidR="00BA3F5C">
              <w:rPr>
                <w:rFonts w:ascii="Arial Narrow" w:hAnsi="Arial Narrow"/>
                <w:noProof/>
                <w:color w:val="000000"/>
                <w:sz w:val="20"/>
                <w:szCs w:val="20"/>
                <w:highlight w:val="black"/>
                <w:lang w:val="en-US"/>
              </w:rPr>
              <w:t>''''''''''''''''''''</w:t>
            </w:r>
          </w:p>
        </w:tc>
        <w:tc>
          <w:tcPr>
            <w:tcW w:w="1418" w:type="dxa"/>
            <w:noWrap/>
            <w:hideMark/>
          </w:tcPr>
          <w:p w:rsidR="00BC0B66" w:rsidRPr="00BC0B66" w:rsidRDefault="00BC0B66" w:rsidP="00BC0B66">
            <w:pPr>
              <w:spacing w:before="40" w:after="40"/>
              <w:rPr>
                <w:rFonts w:ascii="Arial Narrow" w:hAnsi="Arial Narrow"/>
                <w:sz w:val="20"/>
                <w:szCs w:val="20"/>
                <w:lang w:val="en-US"/>
              </w:rPr>
            </w:pPr>
            <w:r w:rsidRPr="00BC0B66">
              <w:rPr>
                <w:rFonts w:ascii="Arial Narrow" w:hAnsi="Arial Narrow"/>
                <w:sz w:val="20"/>
                <w:szCs w:val="20"/>
                <w:lang w:val="en-US"/>
              </w:rPr>
              <w:t>$</w:t>
            </w:r>
            <w:r w:rsidR="00BA3F5C">
              <w:rPr>
                <w:rFonts w:ascii="Arial Narrow" w:hAnsi="Arial Narrow"/>
                <w:noProof/>
                <w:color w:val="000000"/>
                <w:sz w:val="20"/>
                <w:szCs w:val="20"/>
                <w:highlight w:val="black"/>
                <w:lang w:val="en-US"/>
              </w:rPr>
              <w:t>'''''''''''''''''''''''</w:t>
            </w:r>
          </w:p>
        </w:tc>
        <w:tc>
          <w:tcPr>
            <w:tcW w:w="1417" w:type="dxa"/>
            <w:noWrap/>
            <w:hideMark/>
          </w:tcPr>
          <w:p w:rsidR="00BC0B66" w:rsidRPr="00BC0B66" w:rsidRDefault="00BC0B66" w:rsidP="00BC0B66">
            <w:pPr>
              <w:spacing w:before="40" w:after="40"/>
              <w:rPr>
                <w:rFonts w:ascii="Arial Narrow" w:hAnsi="Arial Narrow"/>
                <w:sz w:val="20"/>
                <w:szCs w:val="20"/>
                <w:lang w:val="en-US"/>
              </w:rPr>
            </w:pPr>
            <w:r w:rsidRPr="00BC0B66">
              <w:rPr>
                <w:rFonts w:ascii="Arial Narrow" w:hAnsi="Arial Narrow"/>
                <w:sz w:val="20"/>
                <w:szCs w:val="20"/>
                <w:lang w:val="en-US"/>
              </w:rPr>
              <w:t>$</w:t>
            </w:r>
            <w:r w:rsidR="00BA3F5C">
              <w:rPr>
                <w:rFonts w:ascii="Arial Narrow" w:hAnsi="Arial Narrow"/>
                <w:noProof/>
                <w:color w:val="000000"/>
                <w:sz w:val="20"/>
                <w:szCs w:val="20"/>
                <w:highlight w:val="black"/>
                <w:lang w:val="en-US"/>
              </w:rPr>
              <w:t>'''''''''''''''''''''</w:t>
            </w:r>
          </w:p>
        </w:tc>
        <w:tc>
          <w:tcPr>
            <w:tcW w:w="1418" w:type="dxa"/>
            <w:noWrap/>
            <w:hideMark/>
          </w:tcPr>
          <w:p w:rsidR="00BC0B66" w:rsidRPr="00BC0B66" w:rsidRDefault="00BC0B66" w:rsidP="00BC0B66">
            <w:pPr>
              <w:spacing w:before="40" w:after="40"/>
              <w:rPr>
                <w:rFonts w:ascii="Arial Narrow" w:hAnsi="Arial Narrow"/>
                <w:sz w:val="20"/>
                <w:szCs w:val="20"/>
                <w:lang w:val="en-US"/>
              </w:rPr>
            </w:pPr>
            <w:r w:rsidRPr="00BC0B66">
              <w:rPr>
                <w:rFonts w:ascii="Arial Narrow" w:hAnsi="Arial Narrow"/>
                <w:sz w:val="20"/>
                <w:szCs w:val="20"/>
                <w:lang w:val="en-US"/>
              </w:rPr>
              <w:t>$</w:t>
            </w:r>
            <w:r w:rsidR="00BA3F5C">
              <w:rPr>
                <w:rFonts w:ascii="Arial Narrow" w:hAnsi="Arial Narrow"/>
                <w:noProof/>
                <w:color w:val="000000"/>
                <w:sz w:val="20"/>
                <w:szCs w:val="20"/>
                <w:highlight w:val="black"/>
                <w:lang w:val="en-US"/>
              </w:rPr>
              <w:t>'''''''''''''''''''</w:t>
            </w:r>
          </w:p>
        </w:tc>
        <w:tc>
          <w:tcPr>
            <w:tcW w:w="1417" w:type="dxa"/>
            <w:noWrap/>
            <w:hideMark/>
          </w:tcPr>
          <w:p w:rsidR="00BC0B66" w:rsidRPr="00BC0B66" w:rsidRDefault="00BC0B66" w:rsidP="00BC0B66">
            <w:pPr>
              <w:spacing w:before="40" w:after="40"/>
              <w:rPr>
                <w:rFonts w:ascii="Arial Narrow" w:hAnsi="Arial Narrow"/>
                <w:sz w:val="20"/>
                <w:szCs w:val="20"/>
                <w:lang w:val="en-US"/>
              </w:rPr>
            </w:pPr>
            <w:r w:rsidRPr="00BC0B66">
              <w:rPr>
                <w:rFonts w:ascii="Arial Narrow" w:hAnsi="Arial Narrow"/>
                <w:sz w:val="20"/>
                <w:szCs w:val="20"/>
                <w:lang w:val="en-US"/>
              </w:rPr>
              <w:t>$</w:t>
            </w:r>
            <w:r w:rsidR="00BA3F5C">
              <w:rPr>
                <w:rFonts w:ascii="Arial Narrow" w:hAnsi="Arial Narrow"/>
                <w:noProof/>
                <w:color w:val="000000"/>
                <w:sz w:val="20"/>
                <w:szCs w:val="20"/>
                <w:highlight w:val="black"/>
                <w:lang w:val="en-US"/>
              </w:rPr>
              <w:t>'''''''''''''''''''''</w:t>
            </w:r>
          </w:p>
        </w:tc>
      </w:tr>
      <w:tr w:rsidR="00BC0B66" w:rsidRPr="00BC0B66" w:rsidTr="00BC0B66">
        <w:trPr>
          <w:trHeight w:val="300"/>
        </w:trPr>
        <w:tc>
          <w:tcPr>
            <w:tcW w:w="1701" w:type="dxa"/>
            <w:noWrap/>
            <w:hideMark/>
          </w:tcPr>
          <w:p w:rsidR="00BC0B66" w:rsidRPr="00BA3F5C" w:rsidRDefault="00BA3F5C" w:rsidP="00BC0B66">
            <w:pPr>
              <w:spacing w:before="40" w:after="40"/>
              <w:rPr>
                <w:rFonts w:ascii="Arial Narrow" w:hAnsi="Arial Narrow"/>
                <w:sz w:val="20"/>
                <w:szCs w:val="20"/>
                <w:highlight w:val="black"/>
                <w:lang w:val="en-US"/>
              </w:rPr>
            </w:pPr>
            <w:r>
              <w:rPr>
                <w:rFonts w:ascii="Arial Narrow" w:hAnsi="Arial Narrow"/>
                <w:noProof/>
                <w:color w:val="000000"/>
                <w:sz w:val="20"/>
                <w:szCs w:val="20"/>
                <w:highlight w:val="black"/>
                <w:lang w:val="en-US"/>
              </w:rPr>
              <w:t>''''''''''' ''''''''''''''''''' ''''</w:t>
            </w:r>
          </w:p>
        </w:tc>
        <w:tc>
          <w:tcPr>
            <w:tcW w:w="1134" w:type="dxa"/>
            <w:noWrap/>
            <w:hideMark/>
          </w:tcPr>
          <w:p w:rsidR="00BC0B66" w:rsidRPr="00BC0B66" w:rsidRDefault="00BC0B66" w:rsidP="00BC0B66">
            <w:pPr>
              <w:spacing w:before="40" w:after="40"/>
              <w:rPr>
                <w:rFonts w:ascii="Arial Narrow" w:hAnsi="Arial Narrow"/>
                <w:sz w:val="20"/>
                <w:szCs w:val="20"/>
                <w:lang w:val="en-US"/>
              </w:rPr>
            </w:pPr>
          </w:p>
        </w:tc>
        <w:tc>
          <w:tcPr>
            <w:tcW w:w="1418" w:type="dxa"/>
            <w:noWrap/>
            <w:hideMark/>
          </w:tcPr>
          <w:p w:rsidR="00BC0B66" w:rsidRPr="00BC0B66" w:rsidRDefault="00BC0B66" w:rsidP="00BC0B66">
            <w:pPr>
              <w:spacing w:before="40" w:after="40"/>
              <w:rPr>
                <w:rFonts w:ascii="Arial Narrow" w:hAnsi="Arial Narrow"/>
                <w:sz w:val="20"/>
                <w:szCs w:val="20"/>
                <w:lang w:val="en-US"/>
              </w:rPr>
            </w:pPr>
          </w:p>
        </w:tc>
        <w:tc>
          <w:tcPr>
            <w:tcW w:w="1417" w:type="dxa"/>
            <w:noWrap/>
            <w:hideMark/>
          </w:tcPr>
          <w:p w:rsidR="00BC0B66" w:rsidRPr="00BC0B66" w:rsidRDefault="00BC0B66" w:rsidP="00BC0B66">
            <w:pPr>
              <w:spacing w:before="40" w:after="40"/>
              <w:rPr>
                <w:rFonts w:ascii="Arial Narrow" w:hAnsi="Arial Narrow"/>
                <w:sz w:val="20"/>
                <w:szCs w:val="20"/>
                <w:lang w:val="en-US"/>
              </w:rPr>
            </w:pPr>
          </w:p>
        </w:tc>
        <w:tc>
          <w:tcPr>
            <w:tcW w:w="1418" w:type="dxa"/>
            <w:noWrap/>
            <w:hideMark/>
          </w:tcPr>
          <w:p w:rsidR="00BC0B66" w:rsidRPr="00BC0B66" w:rsidRDefault="00BC0B66" w:rsidP="00BC0B66">
            <w:pPr>
              <w:spacing w:before="40" w:after="40"/>
              <w:rPr>
                <w:rFonts w:ascii="Arial Narrow" w:hAnsi="Arial Narrow"/>
                <w:sz w:val="20"/>
                <w:szCs w:val="20"/>
                <w:lang w:val="en-US"/>
              </w:rPr>
            </w:pPr>
          </w:p>
        </w:tc>
        <w:tc>
          <w:tcPr>
            <w:tcW w:w="1417" w:type="dxa"/>
            <w:noWrap/>
            <w:hideMark/>
          </w:tcPr>
          <w:p w:rsidR="00BC0B66" w:rsidRPr="00BC0B66" w:rsidRDefault="00BC0B66" w:rsidP="00BC0B66">
            <w:pPr>
              <w:spacing w:before="40" w:after="40"/>
              <w:rPr>
                <w:rFonts w:ascii="Arial Narrow" w:hAnsi="Arial Narrow"/>
                <w:sz w:val="20"/>
                <w:szCs w:val="20"/>
                <w:lang w:val="en-US"/>
              </w:rPr>
            </w:pPr>
          </w:p>
        </w:tc>
      </w:tr>
      <w:tr w:rsidR="00BC0B66" w:rsidRPr="00BC0B66" w:rsidTr="00BC0B66">
        <w:trPr>
          <w:trHeight w:val="300"/>
        </w:trPr>
        <w:tc>
          <w:tcPr>
            <w:tcW w:w="1701" w:type="dxa"/>
            <w:noWrap/>
            <w:hideMark/>
          </w:tcPr>
          <w:p w:rsidR="00BC0B66" w:rsidRPr="00BC0B66" w:rsidRDefault="00BC0B66" w:rsidP="00BC0B66">
            <w:pPr>
              <w:spacing w:before="40" w:after="40"/>
              <w:rPr>
                <w:rFonts w:ascii="Arial Narrow" w:hAnsi="Arial Narrow"/>
                <w:sz w:val="20"/>
                <w:szCs w:val="20"/>
                <w:lang w:val="en-US"/>
              </w:rPr>
            </w:pPr>
            <w:r w:rsidRPr="00BC0B66">
              <w:rPr>
                <w:rFonts w:ascii="Arial Narrow" w:hAnsi="Arial Narrow"/>
                <w:sz w:val="20"/>
                <w:szCs w:val="20"/>
                <w:lang w:val="en-US"/>
              </w:rPr>
              <w:t>Cost at effective $</w:t>
            </w:r>
          </w:p>
        </w:tc>
        <w:tc>
          <w:tcPr>
            <w:tcW w:w="1134" w:type="dxa"/>
            <w:noWrap/>
            <w:hideMark/>
          </w:tcPr>
          <w:p w:rsidR="00BC0B66" w:rsidRPr="00BC0B66" w:rsidRDefault="00BC0B66" w:rsidP="00BC0B66">
            <w:pPr>
              <w:spacing w:before="40" w:after="40"/>
              <w:rPr>
                <w:rFonts w:ascii="Arial Narrow" w:hAnsi="Arial Narrow"/>
                <w:sz w:val="20"/>
                <w:szCs w:val="20"/>
                <w:lang w:val="en-US"/>
              </w:rPr>
            </w:pPr>
            <w:r w:rsidRPr="00BC0B66">
              <w:rPr>
                <w:rFonts w:ascii="Arial Narrow" w:hAnsi="Arial Narrow"/>
                <w:sz w:val="20"/>
                <w:szCs w:val="20"/>
                <w:lang w:val="en-US"/>
              </w:rPr>
              <w:t>$</w:t>
            </w:r>
            <w:r w:rsidR="00BA3F5C">
              <w:rPr>
                <w:rFonts w:ascii="Arial Narrow" w:hAnsi="Arial Narrow"/>
                <w:noProof/>
                <w:color w:val="000000"/>
                <w:sz w:val="20"/>
                <w:szCs w:val="20"/>
                <w:highlight w:val="black"/>
                <w:lang w:val="en-US"/>
              </w:rPr>
              <w:t>''''''''''''''''''</w:t>
            </w:r>
          </w:p>
        </w:tc>
        <w:tc>
          <w:tcPr>
            <w:tcW w:w="1418" w:type="dxa"/>
            <w:noWrap/>
            <w:hideMark/>
          </w:tcPr>
          <w:p w:rsidR="00BC0B66" w:rsidRPr="00BC0B66" w:rsidRDefault="00BC0B66" w:rsidP="00BC0B66">
            <w:pPr>
              <w:spacing w:before="40" w:after="40"/>
              <w:rPr>
                <w:rFonts w:ascii="Arial Narrow" w:hAnsi="Arial Narrow"/>
                <w:sz w:val="20"/>
                <w:szCs w:val="20"/>
                <w:lang w:val="en-US"/>
              </w:rPr>
            </w:pPr>
            <w:r w:rsidRPr="00BC0B66">
              <w:rPr>
                <w:rFonts w:ascii="Arial Narrow" w:hAnsi="Arial Narrow"/>
                <w:sz w:val="20"/>
                <w:szCs w:val="20"/>
                <w:lang w:val="en-US"/>
              </w:rPr>
              <w:t>$</w:t>
            </w:r>
            <w:r w:rsidR="00BA3F5C">
              <w:rPr>
                <w:rFonts w:ascii="Arial Narrow" w:hAnsi="Arial Narrow"/>
                <w:noProof/>
                <w:color w:val="000000"/>
                <w:sz w:val="20"/>
                <w:szCs w:val="20"/>
                <w:highlight w:val="black"/>
                <w:lang w:val="en-US"/>
              </w:rPr>
              <w:t>''''''''''''''''''</w:t>
            </w:r>
          </w:p>
        </w:tc>
        <w:tc>
          <w:tcPr>
            <w:tcW w:w="1417" w:type="dxa"/>
            <w:noWrap/>
            <w:hideMark/>
          </w:tcPr>
          <w:p w:rsidR="00BC0B66" w:rsidRPr="00BC0B66" w:rsidRDefault="00BC0B66" w:rsidP="00BC0B66">
            <w:pPr>
              <w:spacing w:before="40" w:after="40"/>
              <w:rPr>
                <w:rFonts w:ascii="Arial Narrow" w:hAnsi="Arial Narrow"/>
                <w:sz w:val="20"/>
                <w:szCs w:val="20"/>
                <w:lang w:val="en-US"/>
              </w:rPr>
            </w:pPr>
            <w:r w:rsidRPr="00BC0B66">
              <w:rPr>
                <w:rFonts w:ascii="Arial Narrow" w:hAnsi="Arial Narrow"/>
                <w:sz w:val="20"/>
                <w:szCs w:val="20"/>
                <w:lang w:val="en-US"/>
              </w:rPr>
              <w:t>$</w:t>
            </w:r>
            <w:r w:rsidR="00BA3F5C">
              <w:rPr>
                <w:rFonts w:ascii="Arial Narrow" w:hAnsi="Arial Narrow"/>
                <w:noProof/>
                <w:color w:val="000000"/>
                <w:sz w:val="20"/>
                <w:szCs w:val="20"/>
                <w:highlight w:val="black"/>
                <w:lang w:val="en-US"/>
              </w:rPr>
              <w:t>''''''''''''''''''''</w:t>
            </w:r>
          </w:p>
        </w:tc>
        <w:tc>
          <w:tcPr>
            <w:tcW w:w="1418" w:type="dxa"/>
            <w:noWrap/>
            <w:hideMark/>
          </w:tcPr>
          <w:p w:rsidR="00BC0B66" w:rsidRPr="00BC0B66" w:rsidRDefault="00BC0B66" w:rsidP="00BC0B66">
            <w:pPr>
              <w:spacing w:before="40" w:after="40"/>
              <w:rPr>
                <w:rFonts w:ascii="Arial Narrow" w:hAnsi="Arial Narrow"/>
                <w:sz w:val="20"/>
                <w:szCs w:val="20"/>
                <w:lang w:val="en-US"/>
              </w:rPr>
            </w:pPr>
            <w:r w:rsidRPr="00BC0B66">
              <w:rPr>
                <w:rFonts w:ascii="Arial Narrow" w:hAnsi="Arial Narrow"/>
                <w:sz w:val="20"/>
                <w:szCs w:val="20"/>
                <w:lang w:val="en-US"/>
              </w:rPr>
              <w:t>$</w:t>
            </w:r>
            <w:r w:rsidR="00BA3F5C">
              <w:rPr>
                <w:rFonts w:ascii="Arial Narrow" w:hAnsi="Arial Narrow"/>
                <w:noProof/>
                <w:color w:val="000000"/>
                <w:sz w:val="20"/>
                <w:szCs w:val="20"/>
                <w:highlight w:val="black"/>
                <w:lang w:val="en-US"/>
              </w:rPr>
              <w:t>'''''''''''''''''''</w:t>
            </w:r>
          </w:p>
        </w:tc>
        <w:tc>
          <w:tcPr>
            <w:tcW w:w="1417" w:type="dxa"/>
            <w:noWrap/>
            <w:hideMark/>
          </w:tcPr>
          <w:p w:rsidR="00BC0B66" w:rsidRPr="00BC0B66" w:rsidRDefault="00BC0B66" w:rsidP="00BC0B66">
            <w:pPr>
              <w:spacing w:before="40" w:after="40"/>
              <w:rPr>
                <w:rFonts w:ascii="Arial Narrow" w:hAnsi="Arial Narrow"/>
                <w:sz w:val="20"/>
                <w:szCs w:val="20"/>
                <w:lang w:val="en-US"/>
              </w:rPr>
            </w:pPr>
            <w:r w:rsidRPr="00BC0B66">
              <w:rPr>
                <w:rFonts w:ascii="Arial Narrow" w:hAnsi="Arial Narrow"/>
                <w:sz w:val="20"/>
                <w:szCs w:val="20"/>
                <w:lang w:val="en-US"/>
              </w:rPr>
              <w:t>$</w:t>
            </w:r>
            <w:r w:rsidR="00BA3F5C">
              <w:rPr>
                <w:rFonts w:ascii="Arial Narrow" w:hAnsi="Arial Narrow"/>
                <w:noProof/>
                <w:color w:val="000000"/>
                <w:sz w:val="20"/>
                <w:szCs w:val="20"/>
                <w:highlight w:val="black"/>
                <w:lang w:val="en-US"/>
              </w:rPr>
              <w:t>''''''''''''''''''''</w:t>
            </w:r>
          </w:p>
        </w:tc>
      </w:tr>
    </w:tbl>
    <w:p w:rsidR="000F42D6" w:rsidRDefault="00BC0B66" w:rsidP="00BC0B66">
      <w:pPr>
        <w:pStyle w:val="ListParagraph"/>
        <w:jc w:val="both"/>
        <w:rPr>
          <w:rFonts w:ascii="Arial Narrow" w:hAnsi="Arial Narrow"/>
          <w:sz w:val="20"/>
          <w:szCs w:val="20"/>
          <w:lang w:eastAsia="en-US"/>
        </w:rPr>
      </w:pPr>
      <w:r w:rsidRPr="005969DB">
        <w:rPr>
          <w:rFonts w:ascii="Arial Narrow" w:hAnsi="Arial Narrow"/>
          <w:sz w:val="20"/>
          <w:szCs w:val="20"/>
          <w:lang w:eastAsia="en-US"/>
        </w:rPr>
        <w:t xml:space="preserve">Source: </w:t>
      </w:r>
      <w:r>
        <w:rPr>
          <w:rFonts w:ascii="Arial Narrow" w:hAnsi="Arial Narrow"/>
          <w:sz w:val="20"/>
          <w:szCs w:val="20"/>
          <w:lang w:eastAsia="en-US"/>
        </w:rPr>
        <w:t xml:space="preserve">Table 12 p 23 of the submission. </w:t>
      </w:r>
    </w:p>
    <w:p w:rsidR="000F42D6" w:rsidRDefault="000F42D6" w:rsidP="00BC0B66">
      <w:pPr>
        <w:pStyle w:val="ListParagraph"/>
        <w:jc w:val="both"/>
        <w:rPr>
          <w:rFonts w:ascii="Arial Narrow" w:hAnsi="Arial Narrow"/>
          <w:sz w:val="20"/>
          <w:szCs w:val="20"/>
          <w:lang w:eastAsia="en-US"/>
        </w:rPr>
      </w:pPr>
    </w:p>
    <w:p w:rsidR="006B229F" w:rsidRDefault="006B229F" w:rsidP="00BC0B66">
      <w:pPr>
        <w:pStyle w:val="ListParagraph"/>
        <w:jc w:val="both"/>
        <w:rPr>
          <w:rFonts w:ascii="Arial" w:hAnsi="Arial" w:cs="Arial"/>
          <w:i/>
          <w:sz w:val="22"/>
          <w:szCs w:val="22"/>
          <w:lang w:eastAsia="en-US"/>
        </w:rPr>
      </w:pPr>
      <w:r>
        <w:rPr>
          <w:rFonts w:ascii="Arial" w:hAnsi="Arial" w:cs="Arial"/>
          <w:i/>
          <w:sz w:val="22"/>
          <w:szCs w:val="22"/>
          <w:lang w:eastAsia="en-US"/>
        </w:rPr>
        <w:t>The redacted table above shows that the number of patients treated with omalizumab is estimated to be less than 10,000 per year at a net cost to the PBS of less than $10 million per year.</w:t>
      </w:r>
    </w:p>
    <w:p w:rsidR="006B229F" w:rsidRPr="006B229F" w:rsidRDefault="006B229F" w:rsidP="00BC0B66">
      <w:pPr>
        <w:pStyle w:val="ListParagraph"/>
        <w:jc w:val="both"/>
        <w:rPr>
          <w:rFonts w:ascii="Arial" w:hAnsi="Arial" w:cs="Arial"/>
          <w:i/>
          <w:sz w:val="22"/>
          <w:szCs w:val="22"/>
          <w:lang w:eastAsia="en-US"/>
        </w:rPr>
      </w:pPr>
    </w:p>
    <w:p w:rsidR="0092686B" w:rsidRDefault="000F42D6" w:rsidP="000F42D6">
      <w:pPr>
        <w:pStyle w:val="ListParagraph"/>
        <w:numPr>
          <w:ilvl w:val="1"/>
          <w:numId w:val="25"/>
        </w:numPr>
        <w:jc w:val="both"/>
        <w:rPr>
          <w:rFonts w:ascii="Arial" w:hAnsi="Arial"/>
          <w:sz w:val="22"/>
          <w:szCs w:val="22"/>
        </w:rPr>
      </w:pPr>
      <w:r w:rsidRPr="000F42D6">
        <w:rPr>
          <w:rFonts w:ascii="Arial" w:hAnsi="Arial"/>
          <w:sz w:val="22"/>
          <w:szCs w:val="22"/>
        </w:rPr>
        <w:t>The submissi</w:t>
      </w:r>
      <w:r>
        <w:rPr>
          <w:rFonts w:ascii="Arial" w:hAnsi="Arial"/>
          <w:sz w:val="22"/>
          <w:szCs w:val="22"/>
        </w:rPr>
        <w:t xml:space="preserve">on noted that these estimates </w:t>
      </w:r>
      <w:r w:rsidRPr="000F42D6">
        <w:rPr>
          <w:rFonts w:ascii="Arial" w:hAnsi="Arial"/>
          <w:sz w:val="22"/>
          <w:szCs w:val="22"/>
        </w:rPr>
        <w:t xml:space="preserve">represent the expected Commonwealth Expenditure (CE) at the published price and at the effective price </w:t>
      </w:r>
      <w:r w:rsidR="00BA3F5C">
        <w:rPr>
          <w:rFonts w:ascii="Arial" w:hAnsi="Arial"/>
          <w:noProof/>
          <w:color w:val="000000"/>
          <w:sz w:val="22"/>
          <w:szCs w:val="22"/>
          <w:highlight w:val="black"/>
        </w:rPr>
        <w:t>'''''''''''' ''''''''''''''''''''''' ''''' ''''''' ''''''''''''' ''''' '''''''''''''''''''''''''' '''''''''''''''' ''''''''''''''''''''' '''''' ''''''' '''''''' '''''''''''''''''''''''''' ''''''''''''''''''''' ''''''' ''''''''''''''''''''''''' ''''''''' '''''''''''''''''''' '''''''''''' ''''''''' '''''''''''' ''''''' '''''''''''''''''''' '''''''''''''' ''''''''''''''''''''' ''''' '''''' '''''''''''' ''''''''''' ''''' ''''''' '''''' ''''''' ''''' '''''''''''''''''''''''''''' '''''''''''''''''''' ''''''''''' '''''''' ''''''''''''' ''''''''''''' ''''''''''''''''''''''''''''''''</w:t>
      </w:r>
    </w:p>
    <w:p w:rsidR="00036C85" w:rsidRPr="00036C85" w:rsidRDefault="00036C85" w:rsidP="00036C85">
      <w:pPr>
        <w:jc w:val="both"/>
        <w:rPr>
          <w:rFonts w:ascii="Arial" w:hAnsi="Arial"/>
          <w:sz w:val="22"/>
          <w:szCs w:val="22"/>
        </w:rPr>
      </w:pPr>
    </w:p>
    <w:p w:rsidR="00036C85" w:rsidRPr="00036C85" w:rsidRDefault="00036C85" w:rsidP="00036C85">
      <w:pPr>
        <w:pStyle w:val="ListParagraph"/>
        <w:numPr>
          <w:ilvl w:val="1"/>
          <w:numId w:val="25"/>
        </w:numPr>
        <w:jc w:val="both"/>
        <w:rPr>
          <w:rFonts w:ascii="Arial" w:hAnsi="Arial"/>
          <w:sz w:val="22"/>
          <w:szCs w:val="22"/>
        </w:rPr>
      </w:pPr>
      <w:r w:rsidRPr="001334B7">
        <w:rPr>
          <w:rFonts w:ascii="Arial" w:hAnsi="Arial"/>
          <w:sz w:val="22"/>
          <w:szCs w:val="22"/>
        </w:rPr>
        <w:lastRenderedPageBreak/>
        <w:t xml:space="preserve">The </w:t>
      </w:r>
      <w:r>
        <w:rPr>
          <w:rFonts w:ascii="Arial" w:hAnsi="Arial"/>
          <w:sz w:val="22"/>
          <w:szCs w:val="22"/>
        </w:rPr>
        <w:t xml:space="preserve">November 2014 </w:t>
      </w:r>
      <w:r w:rsidRPr="001334B7">
        <w:rPr>
          <w:rFonts w:ascii="Arial" w:hAnsi="Arial"/>
          <w:sz w:val="22"/>
          <w:szCs w:val="22"/>
        </w:rPr>
        <w:t xml:space="preserve">minor submission </w:t>
      </w:r>
      <w:r>
        <w:rPr>
          <w:rFonts w:ascii="Arial" w:hAnsi="Arial"/>
          <w:sz w:val="22"/>
          <w:szCs w:val="22"/>
        </w:rPr>
        <w:t xml:space="preserve">had </w:t>
      </w:r>
      <w:r w:rsidRPr="001334B7">
        <w:rPr>
          <w:rFonts w:ascii="Arial" w:hAnsi="Arial"/>
          <w:sz w:val="22"/>
          <w:szCs w:val="22"/>
        </w:rPr>
        <w:t>estimate</w:t>
      </w:r>
      <w:r>
        <w:rPr>
          <w:rFonts w:ascii="Arial" w:hAnsi="Arial"/>
          <w:sz w:val="22"/>
          <w:szCs w:val="22"/>
        </w:rPr>
        <w:t>d</w:t>
      </w:r>
      <w:r w:rsidRPr="001334B7">
        <w:rPr>
          <w:rFonts w:ascii="Arial" w:hAnsi="Arial"/>
          <w:sz w:val="22"/>
          <w:szCs w:val="22"/>
        </w:rPr>
        <w:t xml:space="preserve"> a total net cost to the PBS of $</w:t>
      </w:r>
      <w:r w:rsidR="00BA3F5C">
        <w:rPr>
          <w:rFonts w:ascii="Arial" w:hAnsi="Arial"/>
          <w:noProof/>
          <w:color w:val="000000"/>
          <w:sz w:val="22"/>
          <w:szCs w:val="22"/>
          <w:highlight w:val="black"/>
        </w:rPr>
        <w:t>'''''''''''''''''''''''''</w:t>
      </w:r>
      <w:r w:rsidR="00DC3ED2">
        <w:rPr>
          <w:rFonts w:ascii="Arial" w:hAnsi="Arial"/>
          <w:sz w:val="22"/>
          <w:szCs w:val="22"/>
        </w:rPr>
        <w:t xml:space="preserve"> at the effective </w:t>
      </w:r>
      <w:r w:rsidR="00DB1BBB">
        <w:rPr>
          <w:rFonts w:ascii="Arial" w:hAnsi="Arial"/>
          <w:sz w:val="22"/>
          <w:szCs w:val="22"/>
        </w:rPr>
        <w:t xml:space="preserve">price, with an additional </w:t>
      </w:r>
      <w:r w:rsidR="00BA3F5C">
        <w:rPr>
          <w:rFonts w:ascii="Arial" w:hAnsi="Arial"/>
          <w:noProof/>
          <w:color w:val="000000"/>
          <w:sz w:val="22"/>
          <w:szCs w:val="22"/>
          <w:highlight w:val="black"/>
        </w:rPr>
        <w:t>'''''''''</w:t>
      </w:r>
      <w:r w:rsidR="00DB1BBB">
        <w:rPr>
          <w:rFonts w:ascii="Arial" w:hAnsi="Arial"/>
          <w:sz w:val="22"/>
          <w:szCs w:val="22"/>
        </w:rPr>
        <w:t xml:space="preserve"> patients treated in year 5.</w:t>
      </w:r>
    </w:p>
    <w:p w:rsidR="00036C85" w:rsidRPr="00C00DA7" w:rsidRDefault="00036C85" w:rsidP="00036C85">
      <w:pPr>
        <w:pStyle w:val="ListParagraph"/>
        <w:ind w:left="709"/>
        <w:jc w:val="both"/>
        <w:rPr>
          <w:rFonts w:ascii="Arial" w:hAnsi="Arial"/>
          <w:sz w:val="22"/>
          <w:szCs w:val="22"/>
        </w:rPr>
      </w:pPr>
    </w:p>
    <w:p w:rsidR="00036C85" w:rsidRPr="00DF4640" w:rsidRDefault="00763864" w:rsidP="00036C85">
      <w:pPr>
        <w:keepNext/>
        <w:widowControl w:val="0"/>
        <w:ind w:left="709"/>
        <w:jc w:val="both"/>
        <w:rPr>
          <w:rFonts w:ascii="Arial Narrow" w:hAnsi="Arial Narrow" w:cs="Arial"/>
          <w:b/>
          <w:snapToGrid w:val="0"/>
          <w:sz w:val="20"/>
          <w:lang w:eastAsia="en-US"/>
        </w:rPr>
      </w:pPr>
      <w:r>
        <w:rPr>
          <w:rFonts w:ascii="Arial Narrow" w:hAnsi="Arial Narrow" w:cs="Arial"/>
          <w:b/>
          <w:snapToGrid w:val="0"/>
          <w:sz w:val="20"/>
          <w:lang w:eastAsia="en-US"/>
        </w:rPr>
        <w:t xml:space="preserve">Table 5: </w:t>
      </w:r>
      <w:r w:rsidR="00036C85" w:rsidRPr="00843560">
        <w:rPr>
          <w:rFonts w:ascii="Arial Narrow" w:hAnsi="Arial Narrow" w:cs="Arial"/>
          <w:b/>
          <w:snapToGrid w:val="0"/>
          <w:sz w:val="20"/>
          <w:lang w:eastAsia="en-US"/>
        </w:rPr>
        <w:t>Estimated use and financial implications</w:t>
      </w:r>
      <w:r w:rsidR="00036C85">
        <w:rPr>
          <w:rFonts w:ascii="Arial Narrow" w:hAnsi="Arial Narrow" w:cs="Arial"/>
          <w:b/>
          <w:snapToGrid w:val="0"/>
          <w:sz w:val="20"/>
          <w:lang w:eastAsia="en-US"/>
        </w:rPr>
        <w:t xml:space="preserve"> from November 2014 submission</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5: Estimated use and financial implications from November 2014 submission"/>
      </w:tblPr>
      <w:tblGrid>
        <w:gridCol w:w="2696"/>
        <w:gridCol w:w="1130"/>
        <w:gridCol w:w="1130"/>
        <w:gridCol w:w="1130"/>
        <w:gridCol w:w="1130"/>
        <w:gridCol w:w="1130"/>
      </w:tblGrid>
      <w:tr w:rsidR="00036C85" w:rsidRPr="004E2ADC" w:rsidTr="00F42A53">
        <w:trPr>
          <w:tblHeader/>
        </w:trPr>
        <w:tc>
          <w:tcPr>
            <w:tcW w:w="1615" w:type="pct"/>
            <w:tcBorders>
              <w:bottom w:val="single" w:sz="4" w:space="0" w:color="auto"/>
            </w:tcBorders>
            <w:shd w:val="clear" w:color="auto" w:fill="auto"/>
            <w:vAlign w:val="center"/>
          </w:tcPr>
          <w:p w:rsidR="00036C85" w:rsidRPr="004E2ADC" w:rsidRDefault="00036C85" w:rsidP="00F42A53">
            <w:pPr>
              <w:keepNext/>
              <w:tabs>
                <w:tab w:val="left" w:pos="142"/>
              </w:tabs>
              <w:rPr>
                <w:rFonts w:ascii="Arial Narrow" w:hAnsi="Arial Narrow"/>
                <w:b/>
                <w:sz w:val="20"/>
              </w:rPr>
            </w:pPr>
          </w:p>
        </w:tc>
        <w:tc>
          <w:tcPr>
            <w:tcW w:w="677" w:type="pct"/>
            <w:tcBorders>
              <w:bottom w:val="single" w:sz="4" w:space="0" w:color="auto"/>
            </w:tcBorders>
            <w:shd w:val="clear" w:color="auto" w:fill="auto"/>
            <w:vAlign w:val="center"/>
          </w:tcPr>
          <w:p w:rsidR="00036C85" w:rsidRPr="004E2ADC" w:rsidRDefault="00036C85" w:rsidP="00F42A53">
            <w:pPr>
              <w:keepNext/>
              <w:jc w:val="center"/>
              <w:rPr>
                <w:rFonts w:ascii="Arial Narrow" w:hAnsi="Arial Narrow"/>
                <w:b/>
                <w:sz w:val="20"/>
              </w:rPr>
            </w:pPr>
            <w:r w:rsidRPr="004E2ADC">
              <w:rPr>
                <w:rFonts w:ascii="Arial Narrow" w:hAnsi="Arial Narrow"/>
                <w:b/>
                <w:sz w:val="20"/>
              </w:rPr>
              <w:t>Year 1</w:t>
            </w:r>
          </w:p>
        </w:tc>
        <w:tc>
          <w:tcPr>
            <w:tcW w:w="677" w:type="pct"/>
            <w:tcBorders>
              <w:bottom w:val="single" w:sz="4" w:space="0" w:color="auto"/>
            </w:tcBorders>
            <w:shd w:val="clear" w:color="auto" w:fill="auto"/>
            <w:vAlign w:val="center"/>
          </w:tcPr>
          <w:p w:rsidR="00036C85" w:rsidRPr="004E2ADC" w:rsidRDefault="00036C85" w:rsidP="00F42A53">
            <w:pPr>
              <w:keepNext/>
              <w:jc w:val="center"/>
              <w:rPr>
                <w:rFonts w:ascii="Arial Narrow" w:hAnsi="Arial Narrow"/>
                <w:b/>
                <w:sz w:val="20"/>
              </w:rPr>
            </w:pPr>
            <w:r w:rsidRPr="004E2ADC">
              <w:rPr>
                <w:rFonts w:ascii="Arial Narrow" w:hAnsi="Arial Narrow"/>
                <w:b/>
                <w:sz w:val="20"/>
              </w:rPr>
              <w:t>Year 2</w:t>
            </w:r>
          </w:p>
        </w:tc>
        <w:tc>
          <w:tcPr>
            <w:tcW w:w="677" w:type="pct"/>
            <w:tcBorders>
              <w:bottom w:val="single" w:sz="4" w:space="0" w:color="auto"/>
            </w:tcBorders>
            <w:shd w:val="clear" w:color="auto" w:fill="auto"/>
            <w:vAlign w:val="center"/>
          </w:tcPr>
          <w:p w:rsidR="00036C85" w:rsidRPr="004E2ADC" w:rsidRDefault="00036C85" w:rsidP="00F42A53">
            <w:pPr>
              <w:keepNext/>
              <w:jc w:val="center"/>
              <w:rPr>
                <w:rFonts w:ascii="Arial Narrow" w:hAnsi="Arial Narrow"/>
                <w:b/>
                <w:sz w:val="20"/>
              </w:rPr>
            </w:pPr>
            <w:r w:rsidRPr="004E2ADC">
              <w:rPr>
                <w:rFonts w:ascii="Arial Narrow" w:hAnsi="Arial Narrow"/>
                <w:b/>
                <w:sz w:val="20"/>
              </w:rPr>
              <w:t>Year 3</w:t>
            </w:r>
          </w:p>
        </w:tc>
        <w:tc>
          <w:tcPr>
            <w:tcW w:w="677" w:type="pct"/>
            <w:tcBorders>
              <w:bottom w:val="single" w:sz="4" w:space="0" w:color="auto"/>
            </w:tcBorders>
            <w:shd w:val="clear" w:color="auto" w:fill="auto"/>
            <w:vAlign w:val="center"/>
          </w:tcPr>
          <w:p w:rsidR="00036C85" w:rsidRPr="004E2ADC" w:rsidRDefault="00036C85" w:rsidP="00F42A53">
            <w:pPr>
              <w:keepNext/>
              <w:jc w:val="center"/>
              <w:rPr>
                <w:rFonts w:ascii="Arial Narrow" w:hAnsi="Arial Narrow"/>
                <w:b/>
                <w:sz w:val="20"/>
              </w:rPr>
            </w:pPr>
            <w:r w:rsidRPr="004E2ADC">
              <w:rPr>
                <w:rFonts w:ascii="Arial Narrow" w:hAnsi="Arial Narrow"/>
                <w:b/>
                <w:sz w:val="20"/>
              </w:rPr>
              <w:t>Year 4</w:t>
            </w:r>
          </w:p>
        </w:tc>
        <w:tc>
          <w:tcPr>
            <w:tcW w:w="677" w:type="pct"/>
            <w:tcBorders>
              <w:bottom w:val="single" w:sz="4" w:space="0" w:color="auto"/>
            </w:tcBorders>
            <w:shd w:val="clear" w:color="auto" w:fill="auto"/>
            <w:vAlign w:val="center"/>
          </w:tcPr>
          <w:p w:rsidR="00036C85" w:rsidRPr="004E2ADC" w:rsidRDefault="00036C85" w:rsidP="00F42A53">
            <w:pPr>
              <w:keepNext/>
              <w:jc w:val="center"/>
              <w:rPr>
                <w:rFonts w:ascii="Arial Narrow" w:hAnsi="Arial Narrow"/>
                <w:b/>
                <w:sz w:val="20"/>
              </w:rPr>
            </w:pPr>
            <w:r w:rsidRPr="004E2ADC">
              <w:rPr>
                <w:rFonts w:ascii="Arial Narrow" w:hAnsi="Arial Narrow"/>
                <w:b/>
                <w:sz w:val="20"/>
              </w:rPr>
              <w:t>Year 5</w:t>
            </w:r>
          </w:p>
        </w:tc>
      </w:tr>
      <w:tr w:rsidR="00036C85" w:rsidRPr="004E2ADC" w:rsidTr="00F42A53">
        <w:tc>
          <w:tcPr>
            <w:tcW w:w="1615" w:type="pct"/>
            <w:tcBorders>
              <w:right w:val="nil"/>
            </w:tcBorders>
            <w:shd w:val="clear" w:color="auto" w:fill="auto"/>
            <w:vAlign w:val="center"/>
          </w:tcPr>
          <w:p w:rsidR="00036C85" w:rsidRPr="004E2ADC" w:rsidRDefault="00036C85" w:rsidP="00F42A53">
            <w:pPr>
              <w:keepNext/>
              <w:tabs>
                <w:tab w:val="left" w:pos="142"/>
              </w:tabs>
              <w:rPr>
                <w:rFonts w:ascii="Arial Narrow" w:hAnsi="Arial Narrow"/>
                <w:sz w:val="20"/>
              </w:rPr>
            </w:pPr>
            <w:r w:rsidRPr="004E2ADC">
              <w:rPr>
                <w:rFonts w:ascii="Arial Narrow" w:hAnsi="Arial Narrow"/>
                <w:b/>
                <w:bCs/>
                <w:color w:val="000000"/>
                <w:sz w:val="20"/>
              </w:rPr>
              <w:t>Estimated extent of use</w:t>
            </w:r>
          </w:p>
        </w:tc>
        <w:tc>
          <w:tcPr>
            <w:tcW w:w="677" w:type="pct"/>
            <w:tcBorders>
              <w:left w:val="nil"/>
              <w:right w:val="nil"/>
            </w:tcBorders>
            <w:shd w:val="clear" w:color="auto" w:fill="auto"/>
          </w:tcPr>
          <w:p w:rsidR="00036C85" w:rsidRDefault="00036C85" w:rsidP="00F42A53">
            <w:pPr>
              <w:keepNext/>
              <w:jc w:val="center"/>
              <w:rPr>
                <w:rFonts w:ascii="Arial Narrow" w:hAnsi="Arial Narrow"/>
                <w:bCs/>
                <w:color w:val="000000"/>
                <w:sz w:val="20"/>
              </w:rPr>
            </w:pPr>
          </w:p>
        </w:tc>
        <w:tc>
          <w:tcPr>
            <w:tcW w:w="677" w:type="pct"/>
            <w:tcBorders>
              <w:left w:val="nil"/>
              <w:right w:val="nil"/>
            </w:tcBorders>
            <w:shd w:val="clear" w:color="auto" w:fill="auto"/>
          </w:tcPr>
          <w:p w:rsidR="00036C85" w:rsidRDefault="00036C85" w:rsidP="00F42A53">
            <w:pPr>
              <w:keepNext/>
              <w:jc w:val="center"/>
              <w:rPr>
                <w:rFonts w:ascii="Arial Narrow" w:hAnsi="Arial Narrow"/>
                <w:bCs/>
                <w:color w:val="000000"/>
                <w:sz w:val="20"/>
              </w:rPr>
            </w:pPr>
          </w:p>
        </w:tc>
        <w:tc>
          <w:tcPr>
            <w:tcW w:w="677" w:type="pct"/>
            <w:tcBorders>
              <w:left w:val="nil"/>
              <w:right w:val="nil"/>
            </w:tcBorders>
            <w:shd w:val="clear" w:color="auto" w:fill="auto"/>
          </w:tcPr>
          <w:p w:rsidR="00036C85" w:rsidRDefault="00036C85" w:rsidP="00F42A53">
            <w:pPr>
              <w:keepNext/>
              <w:jc w:val="center"/>
              <w:rPr>
                <w:rFonts w:ascii="Arial Narrow" w:hAnsi="Arial Narrow"/>
                <w:bCs/>
                <w:color w:val="000000"/>
                <w:sz w:val="20"/>
              </w:rPr>
            </w:pPr>
          </w:p>
        </w:tc>
        <w:tc>
          <w:tcPr>
            <w:tcW w:w="677" w:type="pct"/>
            <w:tcBorders>
              <w:left w:val="nil"/>
              <w:right w:val="nil"/>
            </w:tcBorders>
            <w:shd w:val="clear" w:color="auto" w:fill="auto"/>
          </w:tcPr>
          <w:p w:rsidR="00036C85" w:rsidRDefault="00036C85" w:rsidP="00F42A53">
            <w:pPr>
              <w:keepNext/>
              <w:jc w:val="center"/>
              <w:rPr>
                <w:rFonts w:ascii="Arial Narrow" w:hAnsi="Arial Narrow"/>
                <w:bCs/>
                <w:color w:val="000000"/>
                <w:sz w:val="20"/>
              </w:rPr>
            </w:pPr>
          </w:p>
        </w:tc>
        <w:tc>
          <w:tcPr>
            <w:tcW w:w="677" w:type="pct"/>
            <w:tcBorders>
              <w:left w:val="nil"/>
            </w:tcBorders>
            <w:shd w:val="clear" w:color="auto" w:fill="auto"/>
          </w:tcPr>
          <w:p w:rsidR="00036C85" w:rsidRDefault="00036C85" w:rsidP="00F42A53">
            <w:pPr>
              <w:keepNext/>
              <w:jc w:val="center"/>
              <w:rPr>
                <w:rFonts w:ascii="Arial Narrow" w:hAnsi="Arial Narrow"/>
                <w:bCs/>
                <w:color w:val="000000"/>
                <w:sz w:val="20"/>
              </w:rPr>
            </w:pPr>
          </w:p>
        </w:tc>
      </w:tr>
      <w:tr w:rsidR="00036C85" w:rsidRPr="004E2ADC" w:rsidTr="00F42A53">
        <w:tc>
          <w:tcPr>
            <w:tcW w:w="1615" w:type="pct"/>
            <w:shd w:val="clear" w:color="auto" w:fill="auto"/>
            <w:vAlign w:val="center"/>
          </w:tcPr>
          <w:p w:rsidR="00036C85" w:rsidRPr="004E2ADC" w:rsidRDefault="00036C85" w:rsidP="00F42A53">
            <w:pPr>
              <w:keepNext/>
              <w:tabs>
                <w:tab w:val="left" w:pos="142"/>
              </w:tabs>
              <w:rPr>
                <w:rFonts w:ascii="Arial Narrow" w:hAnsi="Arial Narrow"/>
                <w:sz w:val="20"/>
              </w:rPr>
            </w:pPr>
            <w:r w:rsidRPr="004E2ADC">
              <w:rPr>
                <w:rFonts w:ascii="Arial Narrow" w:hAnsi="Arial Narrow"/>
                <w:sz w:val="20"/>
              </w:rPr>
              <w:t xml:space="preserve">Number </w:t>
            </w:r>
            <w:r>
              <w:rPr>
                <w:rFonts w:ascii="Arial Narrow" w:hAnsi="Arial Narrow"/>
                <w:sz w:val="20"/>
              </w:rPr>
              <w:t xml:space="preserve">currently </w:t>
            </w:r>
            <w:r w:rsidRPr="004E2ADC">
              <w:rPr>
                <w:rFonts w:ascii="Arial Narrow" w:hAnsi="Arial Narrow"/>
                <w:sz w:val="20"/>
              </w:rPr>
              <w:t>treated</w:t>
            </w:r>
          </w:p>
        </w:tc>
        <w:tc>
          <w:tcPr>
            <w:tcW w:w="677" w:type="pct"/>
            <w:shd w:val="clear" w:color="auto" w:fill="auto"/>
          </w:tcPr>
          <w:p w:rsidR="00036C85" w:rsidRPr="00BA3F5C" w:rsidRDefault="00BA3F5C" w:rsidP="00F42A53">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7" w:type="pct"/>
            <w:shd w:val="clear" w:color="auto" w:fill="auto"/>
          </w:tcPr>
          <w:p w:rsidR="00036C85" w:rsidRPr="00BA3F5C" w:rsidRDefault="00BA3F5C" w:rsidP="00F42A53">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7" w:type="pct"/>
            <w:shd w:val="clear" w:color="auto" w:fill="auto"/>
          </w:tcPr>
          <w:p w:rsidR="00036C85" w:rsidRPr="00BA3F5C" w:rsidRDefault="00BA3F5C" w:rsidP="00F42A53">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7" w:type="pct"/>
            <w:shd w:val="clear" w:color="auto" w:fill="auto"/>
          </w:tcPr>
          <w:p w:rsidR="00036C85" w:rsidRPr="00BA3F5C" w:rsidRDefault="00BA3F5C" w:rsidP="00F42A53">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7" w:type="pct"/>
            <w:shd w:val="clear" w:color="auto" w:fill="auto"/>
          </w:tcPr>
          <w:p w:rsidR="00036C85" w:rsidRPr="00BA3F5C" w:rsidRDefault="00BA3F5C" w:rsidP="00F42A53">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036C85" w:rsidRPr="004E2ADC" w:rsidTr="00F42A53">
        <w:tc>
          <w:tcPr>
            <w:tcW w:w="1615" w:type="pct"/>
            <w:tcBorders>
              <w:bottom w:val="single" w:sz="4" w:space="0" w:color="auto"/>
            </w:tcBorders>
            <w:shd w:val="clear" w:color="auto" w:fill="auto"/>
            <w:vAlign w:val="center"/>
          </w:tcPr>
          <w:p w:rsidR="00036C85" w:rsidRPr="004E2ADC" w:rsidRDefault="00036C85" w:rsidP="00F42A53">
            <w:pPr>
              <w:keepNext/>
              <w:tabs>
                <w:tab w:val="left" w:pos="142"/>
              </w:tabs>
              <w:rPr>
                <w:rFonts w:ascii="Arial Narrow" w:hAnsi="Arial Narrow"/>
                <w:sz w:val="20"/>
              </w:rPr>
            </w:pPr>
            <w:r>
              <w:rPr>
                <w:rFonts w:ascii="Arial Narrow" w:hAnsi="Arial Narrow"/>
                <w:sz w:val="20"/>
              </w:rPr>
              <w:t xml:space="preserve">Number treated under proposed restriction changes </w:t>
            </w:r>
          </w:p>
        </w:tc>
        <w:tc>
          <w:tcPr>
            <w:tcW w:w="677" w:type="pct"/>
            <w:tcBorders>
              <w:bottom w:val="single" w:sz="4" w:space="0" w:color="auto"/>
            </w:tcBorders>
            <w:shd w:val="clear" w:color="auto" w:fill="auto"/>
          </w:tcPr>
          <w:p w:rsidR="00036C85" w:rsidRPr="00BA3F5C" w:rsidRDefault="00BA3F5C" w:rsidP="00F42A53">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7" w:type="pct"/>
            <w:tcBorders>
              <w:bottom w:val="single" w:sz="4" w:space="0" w:color="auto"/>
            </w:tcBorders>
            <w:shd w:val="clear" w:color="auto" w:fill="auto"/>
          </w:tcPr>
          <w:p w:rsidR="00036C85" w:rsidRPr="00BA3F5C" w:rsidRDefault="00BA3F5C" w:rsidP="00F42A53">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7" w:type="pct"/>
            <w:tcBorders>
              <w:bottom w:val="single" w:sz="4" w:space="0" w:color="auto"/>
            </w:tcBorders>
            <w:shd w:val="clear" w:color="auto" w:fill="auto"/>
          </w:tcPr>
          <w:p w:rsidR="00036C85" w:rsidRPr="00BA3F5C" w:rsidRDefault="00BA3F5C" w:rsidP="00F42A53">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7" w:type="pct"/>
            <w:tcBorders>
              <w:bottom w:val="single" w:sz="4" w:space="0" w:color="auto"/>
            </w:tcBorders>
            <w:shd w:val="clear" w:color="auto" w:fill="auto"/>
          </w:tcPr>
          <w:p w:rsidR="00036C85" w:rsidRPr="00BA3F5C" w:rsidRDefault="00BA3F5C" w:rsidP="00F42A53">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7" w:type="pct"/>
            <w:tcBorders>
              <w:bottom w:val="single" w:sz="4" w:space="0" w:color="auto"/>
            </w:tcBorders>
            <w:shd w:val="clear" w:color="auto" w:fill="auto"/>
          </w:tcPr>
          <w:p w:rsidR="00036C85" w:rsidRPr="00BA3F5C" w:rsidRDefault="00BA3F5C" w:rsidP="00F42A53">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036C85" w:rsidRPr="004E2ADC" w:rsidTr="00F42A53">
        <w:tc>
          <w:tcPr>
            <w:tcW w:w="1615" w:type="pct"/>
            <w:tcBorders>
              <w:right w:val="nil"/>
            </w:tcBorders>
            <w:shd w:val="clear" w:color="auto" w:fill="auto"/>
            <w:vAlign w:val="center"/>
          </w:tcPr>
          <w:p w:rsidR="00036C85" w:rsidRPr="0049118B" w:rsidRDefault="00036C85" w:rsidP="00F42A53">
            <w:pPr>
              <w:keepNext/>
              <w:tabs>
                <w:tab w:val="left" w:pos="142"/>
              </w:tabs>
              <w:rPr>
                <w:rFonts w:ascii="Arial Narrow" w:hAnsi="Arial Narrow"/>
                <w:b/>
                <w:sz w:val="20"/>
              </w:rPr>
            </w:pPr>
            <w:r>
              <w:rPr>
                <w:rFonts w:ascii="Arial Narrow" w:hAnsi="Arial Narrow"/>
                <w:b/>
                <w:sz w:val="19"/>
                <w:szCs w:val="19"/>
              </w:rPr>
              <w:t xml:space="preserve">Estimated </w:t>
            </w:r>
            <w:r w:rsidRPr="0049118B">
              <w:rPr>
                <w:rFonts w:ascii="Arial Narrow" w:hAnsi="Arial Narrow"/>
                <w:b/>
                <w:sz w:val="19"/>
                <w:szCs w:val="19"/>
              </w:rPr>
              <w:t>net cost to PBS</w:t>
            </w:r>
            <w:r>
              <w:rPr>
                <w:rFonts w:ascii="Arial Narrow" w:hAnsi="Arial Narrow"/>
                <w:b/>
                <w:sz w:val="19"/>
                <w:szCs w:val="19"/>
              </w:rPr>
              <w:t xml:space="preserve"> </w:t>
            </w:r>
          </w:p>
        </w:tc>
        <w:tc>
          <w:tcPr>
            <w:tcW w:w="677" w:type="pct"/>
            <w:tcBorders>
              <w:left w:val="nil"/>
              <w:right w:val="nil"/>
            </w:tcBorders>
            <w:shd w:val="clear" w:color="auto" w:fill="auto"/>
          </w:tcPr>
          <w:p w:rsidR="00036C85" w:rsidRPr="00DF4640" w:rsidRDefault="00036C85" w:rsidP="00F42A53">
            <w:pPr>
              <w:keepNext/>
              <w:jc w:val="center"/>
              <w:rPr>
                <w:rFonts w:ascii="Arial Narrow" w:hAnsi="Arial Narrow"/>
                <w:bCs/>
                <w:color w:val="000000"/>
                <w:sz w:val="20"/>
              </w:rPr>
            </w:pPr>
          </w:p>
        </w:tc>
        <w:tc>
          <w:tcPr>
            <w:tcW w:w="677" w:type="pct"/>
            <w:tcBorders>
              <w:left w:val="nil"/>
              <w:right w:val="nil"/>
            </w:tcBorders>
            <w:shd w:val="clear" w:color="auto" w:fill="auto"/>
          </w:tcPr>
          <w:p w:rsidR="00036C85" w:rsidRPr="00DF4640" w:rsidRDefault="00036C85" w:rsidP="00F42A53">
            <w:pPr>
              <w:keepNext/>
              <w:jc w:val="center"/>
              <w:rPr>
                <w:rFonts w:ascii="Arial Narrow" w:hAnsi="Arial Narrow"/>
                <w:bCs/>
                <w:color w:val="000000"/>
                <w:sz w:val="20"/>
              </w:rPr>
            </w:pPr>
          </w:p>
        </w:tc>
        <w:tc>
          <w:tcPr>
            <w:tcW w:w="677" w:type="pct"/>
            <w:tcBorders>
              <w:left w:val="nil"/>
              <w:right w:val="nil"/>
            </w:tcBorders>
            <w:shd w:val="clear" w:color="auto" w:fill="auto"/>
          </w:tcPr>
          <w:p w:rsidR="00036C85" w:rsidRPr="00DF4640" w:rsidRDefault="00036C85" w:rsidP="00F42A53">
            <w:pPr>
              <w:keepNext/>
              <w:jc w:val="center"/>
              <w:rPr>
                <w:rFonts w:ascii="Arial Narrow" w:hAnsi="Arial Narrow"/>
                <w:bCs/>
                <w:color w:val="000000"/>
                <w:sz w:val="20"/>
              </w:rPr>
            </w:pPr>
          </w:p>
        </w:tc>
        <w:tc>
          <w:tcPr>
            <w:tcW w:w="677" w:type="pct"/>
            <w:tcBorders>
              <w:left w:val="nil"/>
              <w:right w:val="nil"/>
            </w:tcBorders>
            <w:shd w:val="clear" w:color="auto" w:fill="auto"/>
          </w:tcPr>
          <w:p w:rsidR="00036C85" w:rsidRPr="00DF4640" w:rsidRDefault="00036C85" w:rsidP="00F42A53">
            <w:pPr>
              <w:keepNext/>
              <w:jc w:val="center"/>
              <w:rPr>
                <w:rFonts w:ascii="Arial Narrow" w:hAnsi="Arial Narrow"/>
                <w:bCs/>
                <w:color w:val="000000"/>
                <w:sz w:val="20"/>
              </w:rPr>
            </w:pPr>
          </w:p>
        </w:tc>
        <w:tc>
          <w:tcPr>
            <w:tcW w:w="677" w:type="pct"/>
            <w:tcBorders>
              <w:left w:val="nil"/>
            </w:tcBorders>
            <w:shd w:val="clear" w:color="auto" w:fill="auto"/>
          </w:tcPr>
          <w:p w:rsidR="00036C85" w:rsidRPr="00DF4640" w:rsidRDefault="00036C85" w:rsidP="00F42A53">
            <w:pPr>
              <w:keepNext/>
              <w:jc w:val="center"/>
              <w:rPr>
                <w:rFonts w:ascii="Arial Narrow" w:hAnsi="Arial Narrow"/>
                <w:bCs/>
                <w:color w:val="000000"/>
                <w:sz w:val="20"/>
              </w:rPr>
            </w:pPr>
          </w:p>
        </w:tc>
      </w:tr>
      <w:tr w:rsidR="00036C85" w:rsidRPr="004E2ADC" w:rsidTr="00F42A53">
        <w:tc>
          <w:tcPr>
            <w:tcW w:w="1615" w:type="pct"/>
            <w:shd w:val="clear" w:color="auto" w:fill="auto"/>
            <w:vAlign w:val="center"/>
          </w:tcPr>
          <w:p w:rsidR="00036C85" w:rsidRPr="00DF4640" w:rsidRDefault="00036C85" w:rsidP="00F42A53">
            <w:pPr>
              <w:keepNext/>
              <w:tabs>
                <w:tab w:val="left" w:pos="142"/>
              </w:tabs>
              <w:rPr>
                <w:rFonts w:ascii="Arial Narrow" w:hAnsi="Arial Narrow"/>
                <w:sz w:val="19"/>
                <w:szCs w:val="19"/>
              </w:rPr>
            </w:pPr>
            <w:r>
              <w:rPr>
                <w:rFonts w:ascii="Arial Narrow" w:hAnsi="Arial Narrow"/>
                <w:sz w:val="19"/>
                <w:szCs w:val="19"/>
              </w:rPr>
              <w:t xml:space="preserve">Net cost to PBS – </w:t>
            </w:r>
            <w:r w:rsidRPr="00DF4640">
              <w:rPr>
                <w:rFonts w:ascii="Arial Narrow" w:hAnsi="Arial Narrow"/>
                <w:sz w:val="19"/>
                <w:szCs w:val="19"/>
              </w:rPr>
              <w:t>published</w:t>
            </w:r>
            <w:r>
              <w:rPr>
                <w:rFonts w:ascii="Arial Narrow" w:hAnsi="Arial Narrow"/>
                <w:sz w:val="19"/>
                <w:szCs w:val="19"/>
              </w:rPr>
              <w:t xml:space="preserve"> </w:t>
            </w:r>
            <w:r w:rsidRPr="00DF4640">
              <w:rPr>
                <w:rFonts w:ascii="Arial Narrow" w:hAnsi="Arial Narrow"/>
                <w:sz w:val="19"/>
                <w:szCs w:val="19"/>
              </w:rPr>
              <w:t xml:space="preserve"> DPMQ</w:t>
            </w:r>
          </w:p>
        </w:tc>
        <w:tc>
          <w:tcPr>
            <w:tcW w:w="677" w:type="pct"/>
            <w:shd w:val="clear" w:color="auto" w:fill="auto"/>
          </w:tcPr>
          <w:p w:rsidR="00036C85" w:rsidRPr="00DF4640" w:rsidRDefault="00036C85" w:rsidP="00F42A53">
            <w:pPr>
              <w:keepNext/>
              <w:jc w:val="center"/>
              <w:rPr>
                <w:rFonts w:ascii="Arial Narrow" w:hAnsi="Arial Narrow"/>
                <w:bCs/>
                <w:color w:val="000000"/>
                <w:sz w:val="20"/>
              </w:rPr>
            </w:pPr>
            <w:r w:rsidRPr="00DF4640">
              <w:rPr>
                <w:rFonts w:ascii="Arial Narrow" w:hAnsi="Arial Narrow"/>
                <w:bCs/>
                <w:color w:val="000000"/>
                <w:sz w:val="20"/>
              </w:rPr>
              <w:t>$</w:t>
            </w:r>
            <w:r w:rsidR="00BA3F5C">
              <w:rPr>
                <w:rFonts w:ascii="Arial Narrow" w:hAnsi="Arial Narrow"/>
                <w:bCs/>
                <w:noProof/>
                <w:color w:val="000000"/>
                <w:sz w:val="20"/>
                <w:highlight w:val="black"/>
              </w:rPr>
              <w:t>''''''''''''''''''''''</w:t>
            </w:r>
          </w:p>
        </w:tc>
        <w:tc>
          <w:tcPr>
            <w:tcW w:w="677" w:type="pct"/>
            <w:shd w:val="clear" w:color="auto" w:fill="auto"/>
          </w:tcPr>
          <w:p w:rsidR="00036C85" w:rsidRPr="00DF4640" w:rsidRDefault="00036C85" w:rsidP="00F42A53">
            <w:pPr>
              <w:keepNext/>
              <w:jc w:val="center"/>
              <w:rPr>
                <w:rFonts w:ascii="Arial Narrow" w:hAnsi="Arial Narrow"/>
                <w:bCs/>
                <w:color w:val="000000"/>
                <w:sz w:val="20"/>
              </w:rPr>
            </w:pPr>
            <w:r w:rsidRPr="00DF4640">
              <w:rPr>
                <w:rFonts w:ascii="Arial Narrow" w:hAnsi="Arial Narrow"/>
                <w:bCs/>
                <w:color w:val="000000"/>
                <w:sz w:val="20"/>
              </w:rPr>
              <w:t>$</w:t>
            </w:r>
            <w:r w:rsidR="00BA3F5C">
              <w:rPr>
                <w:rFonts w:ascii="Arial Narrow" w:hAnsi="Arial Narrow"/>
                <w:bCs/>
                <w:noProof/>
                <w:color w:val="000000"/>
                <w:sz w:val="20"/>
                <w:highlight w:val="black"/>
              </w:rPr>
              <w:t>''''''''''''''''''''''''</w:t>
            </w:r>
          </w:p>
        </w:tc>
        <w:tc>
          <w:tcPr>
            <w:tcW w:w="677" w:type="pct"/>
            <w:shd w:val="clear" w:color="auto" w:fill="auto"/>
          </w:tcPr>
          <w:p w:rsidR="00036C85" w:rsidRPr="00DF4640" w:rsidRDefault="00036C85" w:rsidP="00F42A53">
            <w:pPr>
              <w:keepNext/>
              <w:jc w:val="center"/>
              <w:rPr>
                <w:rFonts w:ascii="Arial Narrow" w:hAnsi="Arial Narrow"/>
                <w:bCs/>
                <w:color w:val="000000"/>
                <w:sz w:val="20"/>
              </w:rPr>
            </w:pPr>
            <w:r w:rsidRPr="00DF4640">
              <w:rPr>
                <w:rFonts w:ascii="Arial Narrow" w:hAnsi="Arial Narrow"/>
                <w:bCs/>
                <w:color w:val="000000"/>
                <w:sz w:val="20"/>
              </w:rPr>
              <w:t>$</w:t>
            </w:r>
            <w:r w:rsidR="00BA3F5C">
              <w:rPr>
                <w:rFonts w:ascii="Arial Narrow" w:hAnsi="Arial Narrow"/>
                <w:bCs/>
                <w:noProof/>
                <w:color w:val="000000"/>
                <w:sz w:val="20"/>
                <w:highlight w:val="black"/>
              </w:rPr>
              <w:t>'''''''''''''''''''''''</w:t>
            </w:r>
          </w:p>
        </w:tc>
        <w:tc>
          <w:tcPr>
            <w:tcW w:w="677" w:type="pct"/>
            <w:shd w:val="clear" w:color="auto" w:fill="auto"/>
          </w:tcPr>
          <w:p w:rsidR="00036C85" w:rsidRPr="00DF4640" w:rsidRDefault="00036C85" w:rsidP="00F42A53">
            <w:pPr>
              <w:keepNext/>
              <w:jc w:val="center"/>
              <w:rPr>
                <w:rFonts w:ascii="Arial Narrow" w:hAnsi="Arial Narrow"/>
                <w:bCs/>
                <w:color w:val="000000"/>
                <w:sz w:val="20"/>
              </w:rPr>
            </w:pPr>
            <w:r w:rsidRPr="00DF4640">
              <w:rPr>
                <w:rFonts w:ascii="Arial Narrow" w:hAnsi="Arial Narrow"/>
                <w:bCs/>
                <w:color w:val="000000"/>
                <w:sz w:val="20"/>
              </w:rPr>
              <w:t>$</w:t>
            </w:r>
            <w:r w:rsidR="00BA3F5C">
              <w:rPr>
                <w:rFonts w:ascii="Arial Narrow" w:hAnsi="Arial Narrow"/>
                <w:bCs/>
                <w:noProof/>
                <w:color w:val="000000"/>
                <w:sz w:val="20"/>
                <w:highlight w:val="black"/>
              </w:rPr>
              <w:t>'''''''''''''''''''''''''</w:t>
            </w:r>
          </w:p>
        </w:tc>
        <w:tc>
          <w:tcPr>
            <w:tcW w:w="677" w:type="pct"/>
            <w:shd w:val="clear" w:color="auto" w:fill="auto"/>
          </w:tcPr>
          <w:p w:rsidR="00036C85" w:rsidRPr="00DF4640" w:rsidRDefault="00036C85" w:rsidP="00F42A53">
            <w:pPr>
              <w:keepNext/>
              <w:jc w:val="center"/>
              <w:rPr>
                <w:rFonts w:ascii="Arial Narrow" w:hAnsi="Arial Narrow"/>
                <w:bCs/>
                <w:color w:val="000000"/>
                <w:sz w:val="20"/>
              </w:rPr>
            </w:pPr>
            <w:r w:rsidRPr="00DF4640">
              <w:rPr>
                <w:rFonts w:ascii="Arial Narrow" w:hAnsi="Arial Narrow"/>
                <w:bCs/>
                <w:color w:val="000000"/>
                <w:sz w:val="20"/>
              </w:rPr>
              <w:t>$</w:t>
            </w:r>
            <w:r w:rsidR="00BA3F5C">
              <w:rPr>
                <w:rFonts w:ascii="Arial Narrow" w:hAnsi="Arial Narrow"/>
                <w:bCs/>
                <w:noProof/>
                <w:color w:val="000000"/>
                <w:sz w:val="20"/>
                <w:highlight w:val="black"/>
              </w:rPr>
              <w:t>''''''''''''''''''''''</w:t>
            </w:r>
          </w:p>
        </w:tc>
      </w:tr>
      <w:tr w:rsidR="00036C85" w:rsidRPr="004E2ADC" w:rsidTr="00F42A53">
        <w:tc>
          <w:tcPr>
            <w:tcW w:w="1615" w:type="pct"/>
            <w:shd w:val="clear" w:color="auto" w:fill="auto"/>
            <w:vAlign w:val="center"/>
          </w:tcPr>
          <w:p w:rsidR="00036C85" w:rsidRDefault="00036C85" w:rsidP="00F42A53">
            <w:pPr>
              <w:keepNext/>
              <w:tabs>
                <w:tab w:val="left" w:pos="142"/>
              </w:tabs>
              <w:rPr>
                <w:rFonts w:ascii="Arial Narrow" w:hAnsi="Arial Narrow"/>
                <w:b/>
                <w:sz w:val="19"/>
                <w:szCs w:val="19"/>
              </w:rPr>
            </w:pPr>
            <w:r>
              <w:rPr>
                <w:rFonts w:ascii="Arial Narrow" w:hAnsi="Arial Narrow"/>
                <w:sz w:val="19"/>
                <w:szCs w:val="19"/>
              </w:rPr>
              <w:t>Net cost to PBS – effective price</w:t>
            </w:r>
          </w:p>
        </w:tc>
        <w:tc>
          <w:tcPr>
            <w:tcW w:w="677" w:type="pct"/>
            <w:shd w:val="clear" w:color="auto" w:fill="auto"/>
          </w:tcPr>
          <w:p w:rsidR="00036C85" w:rsidRPr="00DF4640" w:rsidRDefault="00036C85" w:rsidP="00F42A53">
            <w:pPr>
              <w:keepNext/>
              <w:jc w:val="center"/>
              <w:rPr>
                <w:rFonts w:ascii="Arial Narrow" w:hAnsi="Arial Narrow"/>
                <w:bCs/>
                <w:color w:val="000000"/>
                <w:sz w:val="20"/>
              </w:rPr>
            </w:pPr>
            <w:r w:rsidRPr="00DF4640">
              <w:rPr>
                <w:rFonts w:ascii="Arial Narrow" w:hAnsi="Arial Narrow"/>
                <w:bCs/>
                <w:color w:val="000000"/>
                <w:sz w:val="20"/>
              </w:rPr>
              <w:t>$</w:t>
            </w:r>
            <w:r w:rsidR="00BA3F5C">
              <w:rPr>
                <w:rFonts w:ascii="Arial Narrow" w:hAnsi="Arial Narrow"/>
                <w:bCs/>
                <w:noProof/>
                <w:color w:val="000000"/>
                <w:sz w:val="20"/>
                <w:highlight w:val="black"/>
              </w:rPr>
              <w:t>'''''''''''''''''''''''''</w:t>
            </w:r>
          </w:p>
        </w:tc>
        <w:tc>
          <w:tcPr>
            <w:tcW w:w="677" w:type="pct"/>
            <w:shd w:val="clear" w:color="auto" w:fill="auto"/>
          </w:tcPr>
          <w:p w:rsidR="00036C85" w:rsidRPr="00DF4640" w:rsidRDefault="00036C85" w:rsidP="00F42A53">
            <w:pPr>
              <w:keepNext/>
              <w:jc w:val="center"/>
              <w:rPr>
                <w:rFonts w:ascii="Arial Narrow" w:hAnsi="Arial Narrow"/>
                <w:bCs/>
                <w:color w:val="000000"/>
                <w:sz w:val="20"/>
              </w:rPr>
            </w:pPr>
            <w:r w:rsidRPr="00DF4640">
              <w:rPr>
                <w:rFonts w:ascii="Arial Narrow" w:hAnsi="Arial Narrow"/>
                <w:bCs/>
                <w:color w:val="000000"/>
                <w:sz w:val="20"/>
              </w:rPr>
              <w:t>$</w:t>
            </w:r>
            <w:r w:rsidR="00BA3F5C">
              <w:rPr>
                <w:rFonts w:ascii="Arial Narrow" w:hAnsi="Arial Narrow"/>
                <w:bCs/>
                <w:noProof/>
                <w:color w:val="000000"/>
                <w:sz w:val="20"/>
                <w:highlight w:val="black"/>
              </w:rPr>
              <w:t>''''''''''''''''''''''''''</w:t>
            </w:r>
          </w:p>
        </w:tc>
        <w:tc>
          <w:tcPr>
            <w:tcW w:w="677" w:type="pct"/>
            <w:shd w:val="clear" w:color="auto" w:fill="auto"/>
          </w:tcPr>
          <w:p w:rsidR="00036C85" w:rsidRPr="00DF4640" w:rsidRDefault="00036C85" w:rsidP="00F42A53">
            <w:pPr>
              <w:keepNext/>
              <w:jc w:val="center"/>
              <w:rPr>
                <w:rFonts w:ascii="Arial Narrow" w:hAnsi="Arial Narrow"/>
                <w:bCs/>
                <w:color w:val="000000"/>
                <w:sz w:val="20"/>
              </w:rPr>
            </w:pPr>
            <w:r w:rsidRPr="00DF4640">
              <w:rPr>
                <w:rFonts w:ascii="Arial Narrow" w:hAnsi="Arial Narrow"/>
                <w:bCs/>
                <w:color w:val="000000"/>
                <w:sz w:val="20"/>
              </w:rPr>
              <w:t>$</w:t>
            </w:r>
            <w:r w:rsidR="00BA3F5C">
              <w:rPr>
                <w:rFonts w:ascii="Arial Narrow" w:hAnsi="Arial Narrow"/>
                <w:bCs/>
                <w:noProof/>
                <w:color w:val="000000"/>
                <w:sz w:val="20"/>
                <w:highlight w:val="black"/>
              </w:rPr>
              <w:t>'''''''''''''''''''''''''</w:t>
            </w:r>
          </w:p>
        </w:tc>
        <w:tc>
          <w:tcPr>
            <w:tcW w:w="677" w:type="pct"/>
            <w:shd w:val="clear" w:color="auto" w:fill="auto"/>
          </w:tcPr>
          <w:p w:rsidR="00036C85" w:rsidRPr="00DF4640" w:rsidRDefault="00036C85" w:rsidP="00F42A53">
            <w:pPr>
              <w:keepNext/>
              <w:jc w:val="center"/>
              <w:rPr>
                <w:rFonts w:ascii="Arial Narrow" w:hAnsi="Arial Narrow"/>
                <w:bCs/>
                <w:color w:val="000000"/>
                <w:sz w:val="20"/>
              </w:rPr>
            </w:pPr>
            <w:r w:rsidRPr="00DF4640">
              <w:rPr>
                <w:rFonts w:ascii="Arial Narrow" w:hAnsi="Arial Narrow"/>
                <w:bCs/>
                <w:color w:val="000000"/>
                <w:sz w:val="20"/>
              </w:rPr>
              <w:t>$</w:t>
            </w:r>
            <w:r w:rsidR="00BA3F5C">
              <w:rPr>
                <w:rFonts w:ascii="Arial Narrow" w:hAnsi="Arial Narrow"/>
                <w:bCs/>
                <w:noProof/>
                <w:color w:val="000000"/>
                <w:sz w:val="20"/>
                <w:highlight w:val="black"/>
              </w:rPr>
              <w:t>''''''''''''''''''''''</w:t>
            </w:r>
          </w:p>
        </w:tc>
        <w:tc>
          <w:tcPr>
            <w:tcW w:w="677" w:type="pct"/>
            <w:shd w:val="clear" w:color="auto" w:fill="auto"/>
          </w:tcPr>
          <w:p w:rsidR="00036C85" w:rsidRPr="00DF4640" w:rsidRDefault="00036C85" w:rsidP="00F42A53">
            <w:pPr>
              <w:keepNext/>
              <w:jc w:val="center"/>
              <w:rPr>
                <w:rFonts w:ascii="Arial Narrow" w:hAnsi="Arial Narrow"/>
                <w:bCs/>
                <w:color w:val="000000"/>
                <w:sz w:val="20"/>
              </w:rPr>
            </w:pPr>
            <w:r w:rsidRPr="00DF4640">
              <w:rPr>
                <w:rFonts w:ascii="Arial Narrow" w:hAnsi="Arial Narrow"/>
                <w:bCs/>
                <w:color w:val="000000"/>
                <w:sz w:val="20"/>
              </w:rPr>
              <w:t>$</w:t>
            </w:r>
            <w:r w:rsidR="00BA3F5C">
              <w:rPr>
                <w:rFonts w:ascii="Arial Narrow" w:hAnsi="Arial Narrow"/>
                <w:bCs/>
                <w:noProof/>
                <w:color w:val="000000"/>
                <w:sz w:val="20"/>
                <w:highlight w:val="black"/>
              </w:rPr>
              <w:t>''''''''''''''''''''''''</w:t>
            </w:r>
          </w:p>
        </w:tc>
      </w:tr>
    </w:tbl>
    <w:p w:rsidR="00036C85" w:rsidRDefault="00036C85" w:rsidP="00036C85">
      <w:pPr>
        <w:pStyle w:val="TableFooter"/>
        <w:widowControl/>
        <w:ind w:firstLine="720"/>
        <w:rPr>
          <w:sz w:val="16"/>
          <w:szCs w:val="16"/>
        </w:rPr>
      </w:pPr>
      <w:r w:rsidRPr="00843560">
        <w:rPr>
          <w:sz w:val="16"/>
          <w:szCs w:val="16"/>
        </w:rPr>
        <w:t>Source: Table</w:t>
      </w:r>
      <w:r>
        <w:rPr>
          <w:sz w:val="16"/>
          <w:szCs w:val="16"/>
        </w:rPr>
        <w:t xml:space="preserve"> 14 p 44</w:t>
      </w:r>
      <w:r w:rsidRPr="00843560">
        <w:rPr>
          <w:sz w:val="16"/>
          <w:szCs w:val="16"/>
        </w:rPr>
        <w:t xml:space="preserve"> of the submission</w:t>
      </w:r>
      <w:r>
        <w:rPr>
          <w:sz w:val="16"/>
          <w:szCs w:val="16"/>
        </w:rPr>
        <w:t xml:space="preserve"> and the Financial Workbook.</w:t>
      </w:r>
    </w:p>
    <w:p w:rsidR="00730BE5" w:rsidRPr="00FA3517" w:rsidRDefault="00730BE5" w:rsidP="00F423FF">
      <w:pPr>
        <w:jc w:val="both"/>
        <w:rPr>
          <w:rFonts w:ascii="Arial" w:hAnsi="Arial"/>
          <w:sz w:val="22"/>
          <w:szCs w:val="22"/>
        </w:rPr>
      </w:pPr>
    </w:p>
    <w:p w:rsidR="008B621C" w:rsidRPr="008B621C" w:rsidRDefault="00DB1BBB" w:rsidP="000F42D6">
      <w:pPr>
        <w:pStyle w:val="ListParagraph"/>
        <w:numPr>
          <w:ilvl w:val="1"/>
          <w:numId w:val="25"/>
        </w:numPr>
        <w:jc w:val="both"/>
        <w:rPr>
          <w:rFonts w:ascii="Arial" w:hAnsi="Arial"/>
          <w:sz w:val="22"/>
          <w:szCs w:val="22"/>
        </w:rPr>
      </w:pPr>
      <w:r>
        <w:rPr>
          <w:rFonts w:ascii="Arial" w:hAnsi="Arial"/>
          <w:sz w:val="22"/>
          <w:szCs w:val="22"/>
        </w:rPr>
        <w:t xml:space="preserve">The minor submission’s estimates differ significantly from </w:t>
      </w:r>
      <w:r w:rsidR="00F1461F">
        <w:rPr>
          <w:rFonts w:ascii="Arial" w:hAnsi="Arial"/>
          <w:sz w:val="22"/>
          <w:szCs w:val="22"/>
        </w:rPr>
        <w:t>those in the November 2014 minor submission (Net PBS cost in year 5: $</w:t>
      </w:r>
      <w:r w:rsidR="00BA3F5C">
        <w:rPr>
          <w:rFonts w:ascii="Arial" w:hAnsi="Arial"/>
          <w:noProof/>
          <w:color w:val="000000"/>
          <w:sz w:val="22"/>
          <w:szCs w:val="22"/>
          <w:highlight w:val="black"/>
        </w:rPr>
        <w:t>''''''''''''''''''''</w:t>
      </w:r>
      <w:r w:rsidR="00F1461F">
        <w:rPr>
          <w:rFonts w:ascii="Arial" w:hAnsi="Arial"/>
          <w:sz w:val="22"/>
          <w:szCs w:val="22"/>
        </w:rPr>
        <w:t xml:space="preserve"> vs. $</w:t>
      </w:r>
      <w:r w:rsidR="00BA3F5C">
        <w:rPr>
          <w:rFonts w:ascii="Arial" w:hAnsi="Arial"/>
          <w:noProof/>
          <w:color w:val="000000"/>
          <w:sz w:val="22"/>
          <w:szCs w:val="22"/>
          <w:highlight w:val="black"/>
        </w:rPr>
        <w:t>'''''''''''''''''''''''</w:t>
      </w:r>
      <w:r w:rsidR="00F1461F">
        <w:rPr>
          <w:rFonts w:ascii="Arial" w:hAnsi="Arial"/>
          <w:sz w:val="22"/>
          <w:szCs w:val="22"/>
        </w:rPr>
        <w:t xml:space="preserve">; total number of patients treated in year 5: </w:t>
      </w:r>
      <w:r w:rsidR="00BA3F5C">
        <w:rPr>
          <w:rFonts w:ascii="Arial" w:hAnsi="Arial"/>
          <w:noProof/>
          <w:color w:val="000000"/>
          <w:sz w:val="22"/>
          <w:szCs w:val="22"/>
          <w:highlight w:val="black"/>
        </w:rPr>
        <w:t>''''''''''</w:t>
      </w:r>
      <w:r w:rsidR="00F1461F">
        <w:rPr>
          <w:rFonts w:ascii="Arial" w:hAnsi="Arial"/>
          <w:sz w:val="22"/>
          <w:szCs w:val="22"/>
        </w:rPr>
        <w:t xml:space="preserve"> vs. </w:t>
      </w:r>
      <w:r w:rsidR="00BA3F5C">
        <w:rPr>
          <w:rFonts w:ascii="Arial" w:hAnsi="Arial"/>
          <w:noProof/>
          <w:color w:val="000000"/>
          <w:sz w:val="22"/>
          <w:szCs w:val="22"/>
          <w:highlight w:val="black"/>
        </w:rPr>
        <w:t>'''''''''</w:t>
      </w:r>
      <w:r w:rsidR="00F1461F">
        <w:rPr>
          <w:rFonts w:ascii="Arial" w:hAnsi="Arial"/>
          <w:sz w:val="22"/>
          <w:szCs w:val="22"/>
        </w:rPr>
        <w:t xml:space="preserve">).  The differences in these </w:t>
      </w:r>
      <w:r w:rsidR="00F1461F" w:rsidRPr="008B621C">
        <w:rPr>
          <w:rFonts w:ascii="Arial" w:hAnsi="Arial"/>
          <w:sz w:val="22"/>
          <w:szCs w:val="22"/>
        </w:rPr>
        <w:t xml:space="preserve">estimates could not be further elucidated, nor could the validity </w:t>
      </w:r>
      <w:r w:rsidRPr="008B621C">
        <w:rPr>
          <w:rFonts w:ascii="Arial" w:hAnsi="Arial"/>
          <w:sz w:val="22"/>
          <w:szCs w:val="22"/>
        </w:rPr>
        <w:t xml:space="preserve">of </w:t>
      </w:r>
      <w:r w:rsidR="00F1461F" w:rsidRPr="008B621C">
        <w:rPr>
          <w:rFonts w:ascii="Arial" w:hAnsi="Arial"/>
          <w:sz w:val="22"/>
          <w:szCs w:val="22"/>
        </w:rPr>
        <w:t xml:space="preserve">projected uptake rates be assessed, in the context of a </w:t>
      </w:r>
      <w:r w:rsidR="00FA3517">
        <w:rPr>
          <w:rFonts w:ascii="Arial" w:hAnsi="Arial"/>
          <w:sz w:val="22"/>
          <w:szCs w:val="22"/>
        </w:rPr>
        <w:t>minor</w:t>
      </w:r>
      <w:r w:rsidR="00F1461F" w:rsidRPr="008B621C">
        <w:rPr>
          <w:rFonts w:ascii="Arial" w:hAnsi="Arial"/>
          <w:sz w:val="22"/>
          <w:szCs w:val="22"/>
        </w:rPr>
        <w:t xml:space="preserve"> submission. </w:t>
      </w:r>
    </w:p>
    <w:p w:rsidR="008B621C" w:rsidRPr="008B621C" w:rsidRDefault="008B621C" w:rsidP="008B621C">
      <w:pPr>
        <w:pStyle w:val="ListParagraph"/>
        <w:jc w:val="both"/>
        <w:rPr>
          <w:rFonts w:ascii="Arial" w:hAnsi="Arial"/>
          <w:sz w:val="22"/>
          <w:szCs w:val="22"/>
        </w:rPr>
      </w:pPr>
    </w:p>
    <w:p w:rsidR="008B621C" w:rsidRDefault="008B621C" w:rsidP="008B621C">
      <w:pPr>
        <w:pStyle w:val="ListParagraph"/>
        <w:numPr>
          <w:ilvl w:val="1"/>
          <w:numId w:val="25"/>
        </w:numPr>
        <w:jc w:val="both"/>
        <w:rPr>
          <w:rFonts w:ascii="Arial" w:hAnsi="Arial"/>
          <w:sz w:val="22"/>
          <w:szCs w:val="22"/>
        </w:rPr>
      </w:pPr>
      <w:r w:rsidRPr="008B621C">
        <w:rPr>
          <w:rFonts w:ascii="Arial" w:hAnsi="Arial"/>
          <w:sz w:val="22"/>
          <w:szCs w:val="22"/>
        </w:rPr>
        <w:t xml:space="preserve">The sponsor argued that a trial of omalizumab to test for response is appropriate given the equivalent medical need and disease burden in the </w:t>
      </w:r>
      <w:proofErr w:type="spellStart"/>
      <w:r w:rsidRPr="008B621C">
        <w:rPr>
          <w:rFonts w:ascii="Arial" w:hAnsi="Arial"/>
          <w:sz w:val="22"/>
          <w:szCs w:val="22"/>
        </w:rPr>
        <w:t>IgE</w:t>
      </w:r>
      <w:proofErr w:type="spellEnd"/>
      <w:r w:rsidRPr="008B621C">
        <w:rPr>
          <w:rFonts w:ascii="Arial" w:hAnsi="Arial"/>
          <w:sz w:val="22"/>
          <w:szCs w:val="22"/>
        </w:rPr>
        <w:t xml:space="preserve"> 30-75 cohort compared with the higher </w:t>
      </w:r>
      <w:proofErr w:type="spellStart"/>
      <w:r w:rsidRPr="008B621C">
        <w:rPr>
          <w:rFonts w:ascii="Arial" w:hAnsi="Arial"/>
          <w:sz w:val="22"/>
          <w:szCs w:val="22"/>
        </w:rPr>
        <w:t>IgE</w:t>
      </w:r>
      <w:proofErr w:type="spellEnd"/>
      <w:r w:rsidRPr="008B621C">
        <w:rPr>
          <w:rFonts w:ascii="Arial" w:hAnsi="Arial"/>
          <w:sz w:val="22"/>
          <w:szCs w:val="22"/>
        </w:rPr>
        <w:t xml:space="preserve"> patients. In support of this the submission proposed to repay </w:t>
      </w:r>
      <w:r w:rsidR="00791609">
        <w:rPr>
          <w:rFonts w:ascii="Arial" w:hAnsi="Arial"/>
          <w:sz w:val="22"/>
          <w:szCs w:val="22"/>
        </w:rPr>
        <w:t xml:space="preserve">of </w:t>
      </w:r>
      <w:r w:rsidR="00BA3F5C">
        <w:rPr>
          <w:rFonts w:ascii="Arial" w:hAnsi="Arial"/>
          <w:noProof/>
          <w:color w:val="000000"/>
          <w:sz w:val="22"/>
          <w:szCs w:val="22"/>
          <w:highlight w:val="black"/>
        </w:rPr>
        <w:t>''''''</w:t>
      </w:r>
      <w:r w:rsidR="00791609">
        <w:rPr>
          <w:rFonts w:ascii="Arial" w:hAnsi="Arial"/>
          <w:sz w:val="22"/>
          <w:szCs w:val="22"/>
        </w:rPr>
        <w:t xml:space="preserve">% of </w:t>
      </w:r>
      <w:r w:rsidRPr="008B621C">
        <w:rPr>
          <w:rFonts w:ascii="Arial" w:hAnsi="Arial"/>
          <w:sz w:val="22"/>
          <w:szCs w:val="22"/>
        </w:rPr>
        <w:t xml:space="preserve">the cost of treatment (initial 28 weeks) for patients with </w:t>
      </w:r>
      <w:proofErr w:type="spellStart"/>
      <w:r w:rsidRPr="008B621C">
        <w:rPr>
          <w:rFonts w:ascii="Arial" w:hAnsi="Arial"/>
          <w:sz w:val="22"/>
          <w:szCs w:val="22"/>
        </w:rPr>
        <w:t>IgE</w:t>
      </w:r>
      <w:proofErr w:type="spellEnd"/>
      <w:r w:rsidRPr="008B621C">
        <w:rPr>
          <w:rFonts w:ascii="Arial" w:hAnsi="Arial"/>
          <w:sz w:val="22"/>
          <w:szCs w:val="22"/>
        </w:rPr>
        <w:t xml:space="preserve"> 30-75 IU/mL that fail to respond to omalizumab at the initial assessment and do not go on to continuation therapy.</w:t>
      </w:r>
    </w:p>
    <w:p w:rsidR="006C41F0" w:rsidRPr="006C41F0" w:rsidRDefault="006C41F0" w:rsidP="006C41F0">
      <w:pPr>
        <w:pStyle w:val="ListParagraph"/>
        <w:rPr>
          <w:rFonts w:ascii="Arial" w:hAnsi="Arial"/>
          <w:sz w:val="22"/>
          <w:szCs w:val="22"/>
        </w:rPr>
      </w:pPr>
    </w:p>
    <w:p w:rsidR="006C41F0" w:rsidRPr="008B621C" w:rsidRDefault="006C41F0" w:rsidP="0068768D">
      <w:pPr>
        <w:pStyle w:val="ListParagraph"/>
        <w:numPr>
          <w:ilvl w:val="1"/>
          <w:numId w:val="25"/>
        </w:numPr>
        <w:rPr>
          <w:rFonts w:ascii="Arial" w:hAnsi="Arial"/>
          <w:sz w:val="22"/>
          <w:szCs w:val="22"/>
        </w:rPr>
      </w:pPr>
      <w:r>
        <w:rPr>
          <w:rFonts w:ascii="Arial" w:hAnsi="Arial"/>
          <w:sz w:val="22"/>
          <w:szCs w:val="22"/>
        </w:rPr>
        <w:t>The minor submission estimates a total of $</w:t>
      </w:r>
      <w:r w:rsidR="00BA3F5C">
        <w:rPr>
          <w:rFonts w:ascii="Arial" w:hAnsi="Arial"/>
          <w:noProof/>
          <w:color w:val="000000"/>
          <w:sz w:val="22"/>
          <w:szCs w:val="22"/>
          <w:highlight w:val="black"/>
        </w:rPr>
        <w:t>''''''''''''''''''</w:t>
      </w:r>
      <w:r>
        <w:rPr>
          <w:rFonts w:ascii="Arial" w:hAnsi="Arial"/>
          <w:sz w:val="22"/>
          <w:szCs w:val="22"/>
        </w:rPr>
        <w:t xml:space="preserve"> in rebates for the cost of </w:t>
      </w:r>
      <w:r w:rsidR="00C67603">
        <w:rPr>
          <w:rFonts w:ascii="Arial" w:hAnsi="Arial"/>
          <w:sz w:val="22"/>
          <w:szCs w:val="22"/>
        </w:rPr>
        <w:t xml:space="preserve">the initial 28 weeks of </w:t>
      </w:r>
      <w:r>
        <w:rPr>
          <w:rFonts w:ascii="Arial" w:hAnsi="Arial"/>
          <w:sz w:val="22"/>
          <w:szCs w:val="22"/>
        </w:rPr>
        <w:t xml:space="preserve">treatment </w:t>
      </w:r>
      <w:r w:rsidR="00C67603">
        <w:rPr>
          <w:rFonts w:ascii="Arial" w:hAnsi="Arial"/>
          <w:sz w:val="22"/>
          <w:szCs w:val="22"/>
        </w:rPr>
        <w:t xml:space="preserve">for patients that are shown then not to respond at a 22-26 week assessment.  The submission estimated a 65% response rate at six months in patients with </w:t>
      </w:r>
      <w:proofErr w:type="spellStart"/>
      <w:r w:rsidR="00C67603">
        <w:rPr>
          <w:rFonts w:ascii="Arial" w:hAnsi="Arial"/>
          <w:sz w:val="22"/>
          <w:szCs w:val="22"/>
        </w:rPr>
        <w:t>IgE</w:t>
      </w:r>
      <w:proofErr w:type="spellEnd"/>
      <w:r w:rsidR="00C67603">
        <w:rPr>
          <w:rFonts w:ascii="Arial" w:hAnsi="Arial"/>
          <w:sz w:val="22"/>
          <w:szCs w:val="22"/>
        </w:rPr>
        <w:t xml:space="preserve"> 30-75, </w:t>
      </w:r>
      <w:r w:rsidR="007D56BC">
        <w:rPr>
          <w:rFonts w:ascii="Arial" w:hAnsi="Arial"/>
          <w:sz w:val="22"/>
          <w:szCs w:val="22"/>
        </w:rPr>
        <w:t>“…</w:t>
      </w:r>
      <w:r w:rsidR="00C67603">
        <w:rPr>
          <w:rFonts w:ascii="Arial" w:hAnsi="Arial"/>
          <w:sz w:val="22"/>
          <w:szCs w:val="22"/>
        </w:rPr>
        <w:t>based</w:t>
      </w:r>
      <w:r>
        <w:rPr>
          <w:rFonts w:ascii="Arial" w:hAnsi="Arial"/>
          <w:sz w:val="22"/>
          <w:szCs w:val="22"/>
        </w:rPr>
        <w:t xml:space="preserve"> </w:t>
      </w:r>
      <w:r w:rsidR="00C67603" w:rsidRPr="00C67603">
        <w:rPr>
          <w:rFonts w:ascii="Arial" w:hAnsi="Arial"/>
          <w:sz w:val="22"/>
          <w:szCs w:val="22"/>
        </w:rPr>
        <w:t xml:space="preserve">on </w:t>
      </w:r>
      <w:r w:rsidR="00C67603">
        <w:rPr>
          <w:rFonts w:ascii="Arial" w:hAnsi="Arial"/>
          <w:sz w:val="22"/>
          <w:szCs w:val="22"/>
        </w:rPr>
        <w:t xml:space="preserve">the </w:t>
      </w:r>
      <w:r w:rsidR="00BA3F5C">
        <w:rPr>
          <w:rFonts w:ascii="Arial" w:hAnsi="Arial"/>
          <w:noProof/>
          <w:color w:val="000000"/>
          <w:sz w:val="22"/>
          <w:szCs w:val="22"/>
          <w:highlight w:val="black"/>
        </w:rPr>
        <w:t>''''''''''''''''''' '''''''''''''''''''''' ''''''</w:t>
      </w:r>
      <w:r w:rsidR="00C67603" w:rsidRPr="00C67603">
        <w:rPr>
          <w:rFonts w:ascii="Arial" w:hAnsi="Arial"/>
          <w:sz w:val="22"/>
          <w:szCs w:val="22"/>
        </w:rPr>
        <w:t xml:space="preserve">% in patients with </w:t>
      </w:r>
      <w:proofErr w:type="spellStart"/>
      <w:r w:rsidR="00C67603" w:rsidRPr="00C67603">
        <w:rPr>
          <w:rFonts w:ascii="Arial" w:hAnsi="Arial"/>
          <w:sz w:val="22"/>
          <w:szCs w:val="22"/>
        </w:rPr>
        <w:t>IgE</w:t>
      </w:r>
      <w:proofErr w:type="spellEnd"/>
      <w:r w:rsidR="00C67603" w:rsidRPr="00C67603">
        <w:rPr>
          <w:rFonts w:ascii="Arial" w:hAnsi="Arial"/>
          <w:sz w:val="22"/>
          <w:szCs w:val="22"/>
        </w:rPr>
        <w:t xml:space="preserve"> 30-75 in 2306/2425 trials and 80% in real world in higher </w:t>
      </w:r>
      <w:proofErr w:type="spellStart"/>
      <w:r w:rsidR="00C67603" w:rsidRPr="00C67603">
        <w:rPr>
          <w:rFonts w:ascii="Arial" w:hAnsi="Arial"/>
          <w:sz w:val="22"/>
          <w:szCs w:val="22"/>
        </w:rPr>
        <w:t>IgE</w:t>
      </w:r>
      <w:proofErr w:type="spellEnd"/>
      <w:r w:rsidR="00C67603" w:rsidRPr="00C67603">
        <w:rPr>
          <w:rFonts w:ascii="Arial" w:hAnsi="Arial"/>
          <w:sz w:val="22"/>
          <w:szCs w:val="22"/>
        </w:rPr>
        <w:t xml:space="preserve"> patients [those that went on to continuation therapy])</w:t>
      </w:r>
      <w:r w:rsidR="007D56BC">
        <w:rPr>
          <w:rFonts w:ascii="Arial" w:hAnsi="Arial"/>
          <w:sz w:val="22"/>
          <w:szCs w:val="22"/>
        </w:rPr>
        <w:t>…”  The DUSC 24 month Predicted vs Actual (</w:t>
      </w:r>
      <w:proofErr w:type="spellStart"/>
      <w:r w:rsidR="007D56BC">
        <w:rPr>
          <w:rFonts w:ascii="Arial" w:hAnsi="Arial"/>
          <w:sz w:val="22"/>
          <w:szCs w:val="22"/>
        </w:rPr>
        <w:t>PvA</w:t>
      </w:r>
      <w:proofErr w:type="spellEnd"/>
      <w:r w:rsidR="007D56BC">
        <w:rPr>
          <w:rFonts w:ascii="Arial" w:hAnsi="Arial"/>
          <w:sz w:val="22"/>
          <w:szCs w:val="22"/>
        </w:rPr>
        <w:t xml:space="preserve">) analysis in June 2014 determined a continuation rate of 80% in PBS utilisation (a population with total serum </w:t>
      </w:r>
      <w:proofErr w:type="spellStart"/>
      <w:r w:rsidR="007D56BC">
        <w:rPr>
          <w:rFonts w:ascii="Arial" w:hAnsi="Arial"/>
          <w:sz w:val="22"/>
          <w:szCs w:val="22"/>
        </w:rPr>
        <w:t>IgE</w:t>
      </w:r>
      <w:proofErr w:type="spellEnd"/>
      <w:r w:rsidR="007D56BC">
        <w:rPr>
          <w:rFonts w:ascii="Arial" w:hAnsi="Arial"/>
          <w:sz w:val="22"/>
          <w:szCs w:val="22"/>
        </w:rPr>
        <w:t xml:space="preserve"> greater than or equal to 76 IU/</w:t>
      </w:r>
      <w:proofErr w:type="spellStart"/>
      <w:r w:rsidR="007D56BC">
        <w:rPr>
          <w:rFonts w:ascii="Arial" w:hAnsi="Arial"/>
          <w:sz w:val="22"/>
          <w:szCs w:val="22"/>
        </w:rPr>
        <w:t>mL.</w:t>
      </w:r>
      <w:proofErr w:type="spellEnd"/>
      <w:r w:rsidR="007D56BC">
        <w:rPr>
          <w:rFonts w:ascii="Arial" w:hAnsi="Arial"/>
          <w:sz w:val="22"/>
          <w:szCs w:val="22"/>
        </w:rPr>
        <w:t xml:space="preserve">  </w:t>
      </w:r>
      <w:r w:rsidR="00C02703">
        <w:rPr>
          <w:rFonts w:ascii="Arial" w:hAnsi="Arial"/>
          <w:sz w:val="22"/>
          <w:szCs w:val="22"/>
        </w:rPr>
        <w:t xml:space="preserve">Evaluation of the estimated 65% response rate in patients with </w:t>
      </w:r>
      <w:proofErr w:type="spellStart"/>
      <w:r w:rsidR="00C02703">
        <w:rPr>
          <w:rFonts w:ascii="Arial" w:hAnsi="Arial"/>
          <w:sz w:val="22"/>
          <w:szCs w:val="22"/>
        </w:rPr>
        <w:t>IgE</w:t>
      </w:r>
      <w:proofErr w:type="spellEnd"/>
      <w:r w:rsidR="00C02703">
        <w:rPr>
          <w:rFonts w:ascii="Arial" w:hAnsi="Arial"/>
          <w:sz w:val="22"/>
          <w:szCs w:val="22"/>
        </w:rPr>
        <w:t xml:space="preserve"> 30-75 IU/mL was not possible in the context of a minor </w:t>
      </w:r>
      <w:proofErr w:type="gramStart"/>
      <w:r w:rsidR="00C02703">
        <w:rPr>
          <w:rFonts w:ascii="Arial" w:hAnsi="Arial"/>
          <w:sz w:val="22"/>
          <w:szCs w:val="22"/>
        </w:rPr>
        <w:t>submission</w:t>
      </w:r>
      <w:r w:rsidR="008D11DF">
        <w:rPr>
          <w:rFonts w:ascii="Arial" w:hAnsi="Arial"/>
          <w:sz w:val="22"/>
          <w:szCs w:val="22"/>
        </w:rPr>
        <w:t>,</w:t>
      </w:r>
      <w:proofErr w:type="gramEnd"/>
      <w:r w:rsidR="008D11DF">
        <w:rPr>
          <w:rFonts w:ascii="Arial" w:hAnsi="Arial"/>
          <w:sz w:val="22"/>
          <w:szCs w:val="22"/>
        </w:rPr>
        <w:t xml:space="preserve"> therefore the validity of this assumption is unknown</w:t>
      </w:r>
      <w:r w:rsidR="00C02703">
        <w:rPr>
          <w:rFonts w:ascii="Arial" w:hAnsi="Arial"/>
          <w:sz w:val="22"/>
          <w:szCs w:val="22"/>
        </w:rPr>
        <w:t>.</w:t>
      </w:r>
      <w:r>
        <w:rPr>
          <w:rFonts w:ascii="Arial" w:hAnsi="Arial"/>
          <w:sz w:val="22"/>
          <w:szCs w:val="22"/>
        </w:rPr>
        <w:t xml:space="preserve"> </w:t>
      </w:r>
    </w:p>
    <w:p w:rsidR="008B621C" w:rsidRPr="00F423FF" w:rsidRDefault="008B621C" w:rsidP="00F423FF">
      <w:pPr>
        <w:pStyle w:val="ListParagraph"/>
        <w:tabs>
          <w:tab w:val="left" w:pos="3345"/>
        </w:tabs>
        <w:rPr>
          <w:rFonts w:ascii="Arial" w:hAnsi="Arial"/>
          <w:sz w:val="22"/>
          <w:szCs w:val="22"/>
        </w:rPr>
      </w:pPr>
      <w:r w:rsidRPr="008B621C">
        <w:rPr>
          <w:rFonts w:ascii="Arial" w:hAnsi="Arial"/>
          <w:sz w:val="22"/>
          <w:szCs w:val="22"/>
        </w:rPr>
        <w:tab/>
      </w:r>
    </w:p>
    <w:p w:rsidR="008B621C" w:rsidRDefault="008B621C" w:rsidP="008B621C">
      <w:pPr>
        <w:pStyle w:val="ListParagraph"/>
        <w:numPr>
          <w:ilvl w:val="1"/>
          <w:numId w:val="25"/>
        </w:numPr>
        <w:jc w:val="both"/>
        <w:rPr>
          <w:rFonts w:ascii="Arial" w:hAnsi="Arial"/>
          <w:sz w:val="22"/>
          <w:szCs w:val="22"/>
        </w:rPr>
      </w:pPr>
      <w:r w:rsidRPr="008B621C">
        <w:rPr>
          <w:rFonts w:ascii="Arial" w:hAnsi="Arial"/>
          <w:sz w:val="22"/>
          <w:szCs w:val="22"/>
        </w:rPr>
        <w:t xml:space="preserve">The </w:t>
      </w:r>
      <w:r w:rsidR="006C41F0">
        <w:rPr>
          <w:rFonts w:ascii="Arial" w:hAnsi="Arial"/>
          <w:sz w:val="22"/>
          <w:szCs w:val="22"/>
        </w:rPr>
        <w:t xml:space="preserve">PBS restriction requires that patients on continuing treatment demonstrate a sustained response to continue to access PBS-subsidised omalizumab.  The </w:t>
      </w:r>
      <w:r w:rsidRPr="008B621C">
        <w:rPr>
          <w:rFonts w:ascii="Arial" w:hAnsi="Arial"/>
          <w:sz w:val="22"/>
          <w:szCs w:val="22"/>
        </w:rPr>
        <w:t xml:space="preserve">sponsor’s proposed rebate would not account for patients who </w:t>
      </w:r>
      <w:r w:rsidR="007D56BC">
        <w:rPr>
          <w:rFonts w:ascii="Arial" w:hAnsi="Arial"/>
          <w:sz w:val="22"/>
          <w:szCs w:val="22"/>
        </w:rPr>
        <w:t xml:space="preserve">are not able to sustain a response to omalizumab and </w:t>
      </w:r>
      <w:r w:rsidRPr="008B621C">
        <w:rPr>
          <w:rFonts w:ascii="Arial" w:hAnsi="Arial"/>
          <w:sz w:val="22"/>
          <w:szCs w:val="22"/>
        </w:rPr>
        <w:t xml:space="preserve">discontinue treatment after </w:t>
      </w:r>
      <w:r w:rsidR="00C02703">
        <w:rPr>
          <w:rFonts w:ascii="Arial" w:hAnsi="Arial"/>
          <w:sz w:val="22"/>
          <w:szCs w:val="22"/>
        </w:rPr>
        <w:t xml:space="preserve">assessment at 22-26 weeks (i.e. after </w:t>
      </w:r>
      <w:r w:rsidRPr="008B621C">
        <w:rPr>
          <w:rFonts w:ascii="Arial" w:hAnsi="Arial"/>
          <w:sz w:val="22"/>
          <w:szCs w:val="22"/>
        </w:rPr>
        <w:t>commencing their first continuation prescription</w:t>
      </w:r>
      <w:r w:rsidR="00C02703">
        <w:rPr>
          <w:rFonts w:ascii="Arial" w:hAnsi="Arial"/>
          <w:sz w:val="22"/>
          <w:szCs w:val="22"/>
        </w:rPr>
        <w:t>)</w:t>
      </w:r>
      <w:r w:rsidRPr="008B621C">
        <w:rPr>
          <w:rFonts w:ascii="Arial" w:hAnsi="Arial"/>
          <w:sz w:val="22"/>
          <w:szCs w:val="22"/>
        </w:rPr>
        <w:t xml:space="preserve">.  </w:t>
      </w:r>
    </w:p>
    <w:p w:rsidR="0068768D" w:rsidRPr="0068768D" w:rsidRDefault="0068768D" w:rsidP="0068768D">
      <w:pPr>
        <w:pStyle w:val="ListParagraph"/>
        <w:rPr>
          <w:rFonts w:ascii="Arial" w:hAnsi="Arial"/>
          <w:sz w:val="22"/>
          <w:szCs w:val="22"/>
        </w:rPr>
      </w:pPr>
    </w:p>
    <w:p w:rsidR="0068768D" w:rsidRDefault="0068768D" w:rsidP="008B621C">
      <w:pPr>
        <w:pStyle w:val="ListParagraph"/>
        <w:numPr>
          <w:ilvl w:val="1"/>
          <w:numId w:val="25"/>
        </w:numPr>
        <w:jc w:val="both"/>
        <w:rPr>
          <w:rFonts w:ascii="Arial" w:hAnsi="Arial"/>
          <w:sz w:val="22"/>
          <w:szCs w:val="22"/>
        </w:rPr>
      </w:pPr>
      <w:r>
        <w:rPr>
          <w:rFonts w:ascii="Arial" w:hAnsi="Arial"/>
          <w:sz w:val="22"/>
          <w:szCs w:val="22"/>
        </w:rPr>
        <w:t xml:space="preserve">The sponsor’s assumption of a lower response rate in patients with </w:t>
      </w:r>
      <w:proofErr w:type="spellStart"/>
      <w:r>
        <w:rPr>
          <w:rFonts w:ascii="Arial" w:hAnsi="Arial"/>
          <w:sz w:val="22"/>
          <w:szCs w:val="22"/>
        </w:rPr>
        <w:t>IgE</w:t>
      </w:r>
      <w:proofErr w:type="spellEnd"/>
      <w:r>
        <w:rPr>
          <w:rFonts w:ascii="Arial" w:hAnsi="Arial"/>
          <w:sz w:val="22"/>
          <w:szCs w:val="22"/>
        </w:rPr>
        <w:t xml:space="preserve"> 30-75 IU/mL than demonstrated in patients with </w:t>
      </w:r>
      <w:proofErr w:type="spellStart"/>
      <w:r>
        <w:rPr>
          <w:rFonts w:ascii="Arial" w:hAnsi="Arial"/>
          <w:sz w:val="22"/>
          <w:szCs w:val="22"/>
        </w:rPr>
        <w:t>IgE</w:t>
      </w:r>
      <w:proofErr w:type="spellEnd"/>
      <w:r>
        <w:rPr>
          <w:rFonts w:ascii="Arial" w:hAnsi="Arial"/>
          <w:sz w:val="22"/>
          <w:szCs w:val="22"/>
        </w:rPr>
        <w:t xml:space="preserve"> greater than or equal to 76 IU/mL may suggest that omalizumab is less effective in patients with lower </w:t>
      </w:r>
      <w:proofErr w:type="spellStart"/>
      <w:r>
        <w:rPr>
          <w:rFonts w:ascii="Arial" w:hAnsi="Arial"/>
          <w:sz w:val="22"/>
          <w:szCs w:val="22"/>
        </w:rPr>
        <w:t>IgE</w:t>
      </w:r>
      <w:proofErr w:type="spellEnd"/>
      <w:r>
        <w:rPr>
          <w:rFonts w:ascii="Arial" w:hAnsi="Arial"/>
          <w:sz w:val="22"/>
          <w:szCs w:val="22"/>
        </w:rPr>
        <w:t xml:space="preserve">. The </w:t>
      </w:r>
      <w:r w:rsidR="00C02703">
        <w:rPr>
          <w:rFonts w:ascii="Arial" w:hAnsi="Arial"/>
          <w:sz w:val="22"/>
          <w:szCs w:val="22"/>
        </w:rPr>
        <w:t>submission</w:t>
      </w:r>
      <w:r>
        <w:rPr>
          <w:rFonts w:ascii="Arial" w:hAnsi="Arial"/>
          <w:sz w:val="22"/>
          <w:szCs w:val="22"/>
        </w:rPr>
        <w:t xml:space="preserve"> refers also to </w:t>
      </w:r>
      <w:r w:rsidR="004974AB">
        <w:rPr>
          <w:rFonts w:ascii="Arial" w:hAnsi="Arial"/>
          <w:sz w:val="22"/>
          <w:szCs w:val="22"/>
        </w:rPr>
        <w:t xml:space="preserve">the </w:t>
      </w:r>
      <w:r w:rsidR="00FA3517">
        <w:rPr>
          <w:rFonts w:ascii="Arial" w:hAnsi="Arial"/>
          <w:sz w:val="22"/>
          <w:szCs w:val="22"/>
        </w:rPr>
        <w:t>following statement in</w:t>
      </w:r>
      <w:r w:rsidR="004974AB">
        <w:rPr>
          <w:rFonts w:ascii="Arial" w:hAnsi="Arial"/>
          <w:sz w:val="22"/>
          <w:szCs w:val="22"/>
        </w:rPr>
        <w:t xml:space="preserve"> the approved Product Information (PI): </w:t>
      </w:r>
      <w:r w:rsidR="004974AB" w:rsidRPr="004974AB">
        <w:rPr>
          <w:rFonts w:ascii="Arial" w:hAnsi="Arial"/>
          <w:sz w:val="22"/>
          <w:szCs w:val="22"/>
        </w:rPr>
        <w:t>“</w:t>
      </w:r>
      <w:r w:rsidR="004974AB" w:rsidRPr="004974AB">
        <w:rPr>
          <w:rFonts w:ascii="Arial" w:hAnsi="Arial"/>
          <w:i/>
          <w:sz w:val="22"/>
          <w:szCs w:val="22"/>
        </w:rPr>
        <w:t xml:space="preserve">Patients with severe asthma and a baseline </w:t>
      </w:r>
      <w:proofErr w:type="spellStart"/>
      <w:r w:rsidR="004974AB" w:rsidRPr="004974AB">
        <w:rPr>
          <w:rFonts w:ascii="Arial" w:hAnsi="Arial"/>
          <w:i/>
          <w:sz w:val="22"/>
          <w:szCs w:val="22"/>
        </w:rPr>
        <w:t>IgE</w:t>
      </w:r>
      <w:proofErr w:type="spellEnd"/>
      <w:r w:rsidR="004974AB" w:rsidRPr="004974AB">
        <w:rPr>
          <w:rFonts w:ascii="Arial" w:hAnsi="Arial"/>
          <w:i/>
          <w:sz w:val="22"/>
          <w:szCs w:val="22"/>
        </w:rPr>
        <w:t xml:space="preserve"> lower than 76 IU/mL were less likely to experience benefit</w:t>
      </w:r>
      <w:r w:rsidR="004974AB" w:rsidRPr="004974AB">
        <w:rPr>
          <w:rFonts w:ascii="Arial" w:hAnsi="Arial"/>
          <w:sz w:val="22"/>
          <w:szCs w:val="22"/>
        </w:rPr>
        <w:t>”.</w:t>
      </w:r>
    </w:p>
    <w:p w:rsidR="0068768D" w:rsidRPr="0068768D" w:rsidRDefault="0068768D" w:rsidP="0068768D">
      <w:pPr>
        <w:pStyle w:val="ListParagraph"/>
        <w:rPr>
          <w:rFonts w:ascii="Arial" w:hAnsi="Arial"/>
          <w:sz w:val="22"/>
          <w:szCs w:val="22"/>
        </w:rPr>
      </w:pPr>
    </w:p>
    <w:p w:rsidR="00FA3517" w:rsidRDefault="0068768D" w:rsidP="008B621C">
      <w:pPr>
        <w:pStyle w:val="ListParagraph"/>
        <w:numPr>
          <w:ilvl w:val="1"/>
          <w:numId w:val="25"/>
        </w:numPr>
        <w:jc w:val="both"/>
        <w:rPr>
          <w:rFonts w:ascii="Arial" w:hAnsi="Arial"/>
          <w:sz w:val="22"/>
          <w:szCs w:val="22"/>
        </w:rPr>
      </w:pPr>
      <w:r>
        <w:rPr>
          <w:rFonts w:ascii="Arial" w:hAnsi="Arial"/>
          <w:sz w:val="22"/>
          <w:szCs w:val="22"/>
        </w:rPr>
        <w:lastRenderedPageBreak/>
        <w:t>The sponsor argues that because “…</w:t>
      </w:r>
      <w:r w:rsidRPr="0068768D">
        <w:rPr>
          <w:rFonts w:ascii="Arial" w:hAnsi="Arial"/>
          <w:sz w:val="22"/>
          <w:szCs w:val="22"/>
        </w:rPr>
        <w:t xml:space="preserve">the clinical and economic data on low </w:t>
      </w:r>
      <w:proofErr w:type="spellStart"/>
      <w:r w:rsidRPr="0068768D">
        <w:rPr>
          <w:rFonts w:ascii="Arial" w:hAnsi="Arial"/>
          <w:sz w:val="22"/>
          <w:szCs w:val="22"/>
        </w:rPr>
        <w:t>IgE</w:t>
      </w:r>
      <w:proofErr w:type="spellEnd"/>
      <w:r w:rsidRPr="0068768D">
        <w:rPr>
          <w:rFonts w:ascii="Arial" w:hAnsi="Arial"/>
          <w:sz w:val="22"/>
          <w:szCs w:val="22"/>
        </w:rPr>
        <w:t xml:space="preserve"> patients has already been fully evaluated (and the price, and thus ICER is now 16% lower) and because there are no new </w:t>
      </w:r>
      <w:proofErr w:type="spellStart"/>
      <w:r w:rsidRPr="0068768D">
        <w:rPr>
          <w:rFonts w:ascii="Arial" w:hAnsi="Arial"/>
          <w:sz w:val="22"/>
          <w:szCs w:val="22"/>
        </w:rPr>
        <w:t>IgE</w:t>
      </w:r>
      <w:proofErr w:type="spellEnd"/>
      <w:r w:rsidRPr="0068768D">
        <w:rPr>
          <w:rFonts w:ascii="Arial" w:hAnsi="Arial"/>
          <w:sz w:val="22"/>
          <w:szCs w:val="22"/>
        </w:rPr>
        <w:t xml:space="preserve"> data to present, Novartis has elected to submit this proposal for a rebate for low </w:t>
      </w:r>
      <w:proofErr w:type="spellStart"/>
      <w:r w:rsidRPr="0068768D">
        <w:rPr>
          <w:rFonts w:ascii="Arial" w:hAnsi="Arial"/>
          <w:sz w:val="22"/>
          <w:szCs w:val="22"/>
        </w:rPr>
        <w:t>IgE</w:t>
      </w:r>
      <w:proofErr w:type="spellEnd"/>
      <w:r w:rsidRPr="0068768D">
        <w:rPr>
          <w:rFonts w:ascii="Arial" w:hAnsi="Arial"/>
          <w:sz w:val="22"/>
          <w:szCs w:val="22"/>
        </w:rPr>
        <w:t xml:space="preserve"> patients who don’t respond to omalizumab at the initial assessment, as minor re-submission.</w:t>
      </w:r>
      <w:r>
        <w:rPr>
          <w:rFonts w:ascii="Arial" w:hAnsi="Arial"/>
          <w:sz w:val="22"/>
          <w:szCs w:val="22"/>
        </w:rPr>
        <w:t>”</w:t>
      </w:r>
      <w:r w:rsidR="004974AB">
        <w:rPr>
          <w:rFonts w:ascii="Arial" w:hAnsi="Arial"/>
          <w:sz w:val="22"/>
          <w:szCs w:val="22"/>
        </w:rPr>
        <w:t xml:space="preserve">  </w:t>
      </w:r>
    </w:p>
    <w:p w:rsidR="00FA3517" w:rsidRPr="00FA3517" w:rsidRDefault="00FA3517" w:rsidP="00FA3517">
      <w:pPr>
        <w:pStyle w:val="ListParagraph"/>
        <w:rPr>
          <w:rFonts w:ascii="Arial" w:hAnsi="Arial"/>
          <w:sz w:val="22"/>
          <w:szCs w:val="22"/>
        </w:rPr>
      </w:pPr>
    </w:p>
    <w:p w:rsidR="0068768D" w:rsidRPr="00F423FF" w:rsidRDefault="004974AB" w:rsidP="00011A44">
      <w:pPr>
        <w:pStyle w:val="ListParagraph"/>
        <w:numPr>
          <w:ilvl w:val="1"/>
          <w:numId w:val="25"/>
        </w:numPr>
        <w:jc w:val="both"/>
        <w:rPr>
          <w:rFonts w:ascii="Arial" w:hAnsi="Arial"/>
          <w:sz w:val="22"/>
          <w:szCs w:val="22"/>
        </w:rPr>
      </w:pPr>
      <w:r>
        <w:rPr>
          <w:rFonts w:ascii="Arial" w:hAnsi="Arial"/>
          <w:sz w:val="22"/>
          <w:szCs w:val="22"/>
        </w:rPr>
        <w:t xml:space="preserve">The base case ICER considered acceptable by the PBAC in November 2010 </w:t>
      </w:r>
      <w:r w:rsidR="001F00DB">
        <w:rPr>
          <w:rFonts w:ascii="Arial" w:hAnsi="Arial"/>
          <w:sz w:val="22"/>
          <w:szCs w:val="22"/>
        </w:rPr>
        <w:t xml:space="preserve">of </w:t>
      </w:r>
      <w:r w:rsidR="00011A44" w:rsidRPr="00011A44">
        <w:rPr>
          <w:rFonts w:ascii="Arial" w:hAnsi="Arial"/>
          <w:sz w:val="22"/>
          <w:szCs w:val="22"/>
        </w:rPr>
        <w:t>$15,000</w:t>
      </w:r>
      <w:r w:rsidR="006B229F">
        <w:rPr>
          <w:rFonts w:ascii="Arial" w:hAnsi="Arial"/>
          <w:sz w:val="22"/>
          <w:szCs w:val="22"/>
        </w:rPr>
        <w:t>/QALY</w:t>
      </w:r>
      <w:r w:rsidR="00011A44" w:rsidRPr="00011A44">
        <w:rPr>
          <w:rFonts w:ascii="Arial" w:hAnsi="Arial"/>
          <w:sz w:val="22"/>
          <w:szCs w:val="22"/>
        </w:rPr>
        <w:t xml:space="preserve"> - $45,000</w:t>
      </w:r>
      <w:r w:rsidR="001F00DB">
        <w:rPr>
          <w:rFonts w:ascii="Arial" w:hAnsi="Arial"/>
          <w:sz w:val="22"/>
          <w:szCs w:val="22"/>
        </w:rPr>
        <w:t xml:space="preserve">/QALY was in the context of a restriction to patients with </w:t>
      </w:r>
      <w:proofErr w:type="spellStart"/>
      <w:r w:rsidR="001F00DB">
        <w:rPr>
          <w:rFonts w:ascii="Arial" w:hAnsi="Arial"/>
          <w:sz w:val="22"/>
          <w:szCs w:val="22"/>
        </w:rPr>
        <w:t>IgE</w:t>
      </w:r>
      <w:proofErr w:type="spellEnd"/>
      <w:r w:rsidR="001F00DB">
        <w:rPr>
          <w:rFonts w:ascii="Arial" w:hAnsi="Arial"/>
          <w:sz w:val="22"/>
          <w:szCs w:val="22"/>
        </w:rPr>
        <w:t xml:space="preserve"> greater than or equal to 76 IU/</w:t>
      </w:r>
      <w:proofErr w:type="spellStart"/>
      <w:r w:rsidR="001F00DB">
        <w:rPr>
          <w:rFonts w:ascii="Arial" w:hAnsi="Arial"/>
          <w:sz w:val="22"/>
          <w:szCs w:val="22"/>
        </w:rPr>
        <w:t>mL</w:t>
      </w:r>
      <w:r w:rsidR="00C02703">
        <w:rPr>
          <w:rFonts w:ascii="Arial" w:hAnsi="Arial"/>
          <w:sz w:val="22"/>
          <w:szCs w:val="22"/>
        </w:rPr>
        <w:t>.</w:t>
      </w:r>
      <w:proofErr w:type="spellEnd"/>
      <w:r w:rsidR="00C02703">
        <w:rPr>
          <w:rFonts w:ascii="Arial" w:hAnsi="Arial"/>
          <w:sz w:val="22"/>
          <w:szCs w:val="22"/>
        </w:rPr>
        <w:t xml:space="preserve">  </w:t>
      </w:r>
    </w:p>
    <w:p w:rsidR="003872CF" w:rsidRDefault="003872CF" w:rsidP="00E37B74">
      <w:pPr>
        <w:pStyle w:val="ListParagraph"/>
        <w:jc w:val="both"/>
        <w:rPr>
          <w:rFonts w:ascii="Arial" w:hAnsi="Arial"/>
          <w:sz w:val="22"/>
          <w:szCs w:val="22"/>
        </w:rPr>
      </w:pPr>
    </w:p>
    <w:p w:rsidR="00DB153B" w:rsidRDefault="0013309A" w:rsidP="0013309A">
      <w:pPr>
        <w:ind w:firstLine="709"/>
        <w:rPr>
          <w:rFonts w:ascii="Arial" w:hAnsi="Arial"/>
          <w:i/>
          <w:sz w:val="22"/>
          <w:szCs w:val="22"/>
        </w:rPr>
      </w:pPr>
      <w:r w:rsidRPr="0013309A">
        <w:rPr>
          <w:rFonts w:ascii="Arial" w:hAnsi="Arial"/>
          <w:i/>
          <w:sz w:val="22"/>
          <w:szCs w:val="22"/>
        </w:rPr>
        <w:t>For more detail on PBAC’s view, see section 7 “PBAC outcome”</w:t>
      </w:r>
    </w:p>
    <w:p w:rsidR="000B0937" w:rsidRDefault="000B0937" w:rsidP="00FC2839">
      <w:pPr>
        <w:spacing w:line="480" w:lineRule="auto"/>
        <w:ind w:firstLine="709"/>
        <w:rPr>
          <w:rFonts w:ascii="Arial" w:hAnsi="Arial"/>
          <w:i/>
          <w:sz w:val="22"/>
          <w:szCs w:val="22"/>
        </w:rPr>
      </w:pPr>
    </w:p>
    <w:p w:rsidR="00E37B74" w:rsidRPr="00204C5F" w:rsidRDefault="00E37B74" w:rsidP="00FC2839">
      <w:pPr>
        <w:pStyle w:val="Heading1"/>
        <w:rPr>
          <w:snapToGrid w:val="0"/>
          <w:lang w:eastAsia="en-US"/>
        </w:rPr>
      </w:pPr>
      <w:r w:rsidRPr="00204C5F">
        <w:rPr>
          <w:snapToGrid w:val="0"/>
          <w:lang w:eastAsia="en-US"/>
        </w:rPr>
        <w:t>PBAC Outcome</w:t>
      </w:r>
    </w:p>
    <w:p w:rsidR="00E37B74" w:rsidRPr="00204C5F" w:rsidRDefault="00E37B74" w:rsidP="00E37B74">
      <w:pPr>
        <w:contextualSpacing/>
        <w:jc w:val="both"/>
        <w:rPr>
          <w:rFonts w:ascii="Arial" w:hAnsi="Arial" w:cs="Arial"/>
          <w:b/>
          <w:bCs/>
          <w:snapToGrid w:val="0"/>
          <w:sz w:val="22"/>
          <w:szCs w:val="22"/>
          <w:lang w:val="en-GB" w:eastAsia="en-US"/>
        </w:rPr>
      </w:pPr>
    </w:p>
    <w:p w:rsidR="006F3138" w:rsidRDefault="00204C5F" w:rsidP="00E37B74">
      <w:pPr>
        <w:widowControl w:val="0"/>
        <w:numPr>
          <w:ilvl w:val="1"/>
          <w:numId w:val="25"/>
        </w:numPr>
        <w:spacing w:after="120"/>
        <w:contextualSpacing/>
        <w:jc w:val="both"/>
        <w:rPr>
          <w:rFonts w:ascii="Arial" w:hAnsi="Arial" w:cs="Arial"/>
          <w:bCs/>
          <w:snapToGrid w:val="0"/>
          <w:sz w:val="22"/>
          <w:szCs w:val="22"/>
          <w:lang w:val="en-GB" w:eastAsia="en-US"/>
        </w:rPr>
      </w:pPr>
      <w:r w:rsidRPr="00204C5F">
        <w:rPr>
          <w:rFonts w:ascii="Arial" w:hAnsi="Arial" w:cs="Arial"/>
          <w:bCs/>
          <w:snapToGrid w:val="0"/>
          <w:sz w:val="22"/>
          <w:szCs w:val="22"/>
          <w:lang w:val="en-GB" w:eastAsia="en-US"/>
        </w:rPr>
        <w:t xml:space="preserve">The PBAC </w:t>
      </w:r>
      <w:r>
        <w:rPr>
          <w:rFonts w:ascii="Arial" w:hAnsi="Arial" w:cs="Arial"/>
          <w:bCs/>
          <w:snapToGrid w:val="0"/>
          <w:sz w:val="22"/>
          <w:szCs w:val="22"/>
          <w:lang w:val="en-GB" w:eastAsia="en-US"/>
        </w:rPr>
        <w:t xml:space="preserve">recommended </w:t>
      </w:r>
      <w:r w:rsidR="00833571">
        <w:rPr>
          <w:rFonts w:ascii="Arial" w:hAnsi="Arial" w:cs="Arial"/>
          <w:bCs/>
          <w:snapToGrid w:val="0"/>
          <w:sz w:val="22"/>
          <w:szCs w:val="22"/>
          <w:lang w:val="en-GB" w:eastAsia="en-US"/>
        </w:rPr>
        <w:t>amend</w:t>
      </w:r>
      <w:r w:rsidR="00F6384C">
        <w:rPr>
          <w:rFonts w:ascii="Arial" w:hAnsi="Arial" w:cs="Arial"/>
          <w:bCs/>
          <w:snapToGrid w:val="0"/>
          <w:sz w:val="22"/>
          <w:szCs w:val="22"/>
          <w:lang w:val="en-GB" w:eastAsia="en-US"/>
        </w:rPr>
        <w:t xml:space="preserve">ment to </w:t>
      </w:r>
      <w:r w:rsidR="00B055DF">
        <w:rPr>
          <w:rFonts w:ascii="Arial" w:hAnsi="Arial" w:cs="Arial"/>
          <w:bCs/>
          <w:snapToGrid w:val="0"/>
          <w:sz w:val="22"/>
          <w:szCs w:val="22"/>
          <w:lang w:val="en-GB" w:eastAsia="en-US"/>
        </w:rPr>
        <w:t xml:space="preserve">the </w:t>
      </w:r>
      <w:r w:rsidR="00F6384C">
        <w:rPr>
          <w:rFonts w:ascii="Arial" w:hAnsi="Arial" w:cs="Arial"/>
          <w:bCs/>
          <w:snapToGrid w:val="0"/>
          <w:sz w:val="22"/>
          <w:szCs w:val="22"/>
          <w:lang w:val="en-GB" w:eastAsia="en-US"/>
        </w:rPr>
        <w:t xml:space="preserve">PBS restriction of </w:t>
      </w:r>
      <w:r w:rsidR="00B055DF">
        <w:rPr>
          <w:rFonts w:ascii="Arial" w:hAnsi="Arial" w:cs="Arial"/>
          <w:bCs/>
          <w:snapToGrid w:val="0"/>
          <w:sz w:val="22"/>
          <w:szCs w:val="22"/>
          <w:lang w:val="en-GB" w:eastAsia="en-US"/>
        </w:rPr>
        <w:t xml:space="preserve">omalizumab </w:t>
      </w:r>
      <w:r w:rsidR="00F42A53">
        <w:rPr>
          <w:rFonts w:ascii="Arial" w:hAnsi="Arial" w:cs="Arial"/>
          <w:bCs/>
          <w:snapToGrid w:val="0"/>
          <w:sz w:val="22"/>
          <w:szCs w:val="22"/>
          <w:lang w:val="en-GB" w:eastAsia="en-US"/>
        </w:rPr>
        <w:t>75mg and 150mg pre</w:t>
      </w:r>
      <w:r w:rsidR="00F42A53">
        <w:rPr>
          <w:rFonts w:ascii="Arial" w:hAnsi="Arial" w:cs="Arial"/>
          <w:bCs/>
          <w:snapToGrid w:val="0"/>
          <w:sz w:val="22"/>
          <w:szCs w:val="22"/>
          <w:lang w:val="en-GB" w:eastAsia="en-US"/>
        </w:rPr>
        <w:noBreakHyphen/>
        <w:t xml:space="preserve">filled syringe </w:t>
      </w:r>
      <w:r w:rsidR="00F6384C" w:rsidRPr="00F6384C">
        <w:rPr>
          <w:rFonts w:ascii="Arial" w:hAnsi="Arial" w:cs="Arial"/>
          <w:bCs/>
          <w:snapToGrid w:val="0"/>
          <w:sz w:val="22"/>
          <w:szCs w:val="22"/>
          <w:lang w:eastAsia="en-US"/>
        </w:rPr>
        <w:t xml:space="preserve">to allow patients with </w:t>
      </w:r>
      <w:r w:rsidR="00F6384C">
        <w:rPr>
          <w:rFonts w:ascii="Arial" w:hAnsi="Arial" w:cs="Arial"/>
          <w:bCs/>
          <w:snapToGrid w:val="0"/>
          <w:sz w:val="22"/>
          <w:szCs w:val="22"/>
          <w:lang w:eastAsia="en-US"/>
        </w:rPr>
        <w:t xml:space="preserve">a baseline </w:t>
      </w:r>
      <w:proofErr w:type="spellStart"/>
      <w:r w:rsidR="00F6384C" w:rsidRPr="00F6384C">
        <w:rPr>
          <w:rFonts w:ascii="Arial" w:hAnsi="Arial" w:cs="Arial"/>
          <w:bCs/>
          <w:snapToGrid w:val="0"/>
          <w:sz w:val="22"/>
          <w:szCs w:val="22"/>
          <w:lang w:eastAsia="en-US"/>
        </w:rPr>
        <w:t>IgE</w:t>
      </w:r>
      <w:proofErr w:type="spellEnd"/>
      <w:r w:rsidR="00F6384C" w:rsidRPr="00F6384C">
        <w:rPr>
          <w:rFonts w:ascii="Arial" w:hAnsi="Arial" w:cs="Arial"/>
          <w:bCs/>
          <w:snapToGrid w:val="0"/>
          <w:sz w:val="22"/>
          <w:szCs w:val="22"/>
          <w:lang w:eastAsia="en-US"/>
        </w:rPr>
        <w:t xml:space="preserve"> 30-75 IU/mL who meet all other existing PBS eligibility criteria to have the opportunity to trial use of omalizumab for their severe allergic asthma</w:t>
      </w:r>
      <w:r w:rsidR="00F6384C">
        <w:rPr>
          <w:rFonts w:ascii="Arial" w:hAnsi="Arial" w:cs="Arial"/>
          <w:bCs/>
          <w:snapToGrid w:val="0"/>
          <w:sz w:val="22"/>
          <w:szCs w:val="22"/>
          <w:lang w:eastAsia="en-US"/>
        </w:rPr>
        <w:t xml:space="preserve"> </w:t>
      </w:r>
      <w:r w:rsidR="00097C83">
        <w:rPr>
          <w:rFonts w:ascii="Arial" w:hAnsi="Arial" w:cs="Arial"/>
          <w:bCs/>
          <w:snapToGrid w:val="0"/>
          <w:sz w:val="22"/>
          <w:szCs w:val="22"/>
          <w:lang w:val="en-GB" w:eastAsia="en-US"/>
        </w:rPr>
        <w:t xml:space="preserve">on the basis </w:t>
      </w:r>
      <w:r w:rsidR="0076610D">
        <w:rPr>
          <w:rFonts w:ascii="Arial" w:hAnsi="Arial" w:cs="Arial"/>
          <w:bCs/>
          <w:snapToGrid w:val="0"/>
          <w:sz w:val="22"/>
          <w:szCs w:val="22"/>
          <w:lang w:val="en-GB" w:eastAsia="en-US"/>
        </w:rPr>
        <w:t xml:space="preserve">that it should be available only under special arrangements under Section 100 (Highly Specialised Drugs Program). </w:t>
      </w:r>
    </w:p>
    <w:p w:rsidR="006F3138" w:rsidRDefault="006F3138" w:rsidP="006F3138">
      <w:pPr>
        <w:widowControl w:val="0"/>
        <w:spacing w:after="120"/>
        <w:ind w:left="720"/>
        <w:contextualSpacing/>
        <w:jc w:val="both"/>
        <w:rPr>
          <w:rFonts w:ascii="Arial" w:hAnsi="Arial" w:cs="Arial"/>
          <w:bCs/>
          <w:snapToGrid w:val="0"/>
          <w:sz w:val="22"/>
          <w:szCs w:val="22"/>
          <w:lang w:val="en-GB" w:eastAsia="en-US"/>
        </w:rPr>
      </w:pPr>
    </w:p>
    <w:p w:rsidR="00E37B74" w:rsidRDefault="0076610D" w:rsidP="00E37B74">
      <w:pPr>
        <w:widowControl w:val="0"/>
        <w:numPr>
          <w:ilvl w:val="1"/>
          <w:numId w:val="25"/>
        </w:numPr>
        <w:spacing w:after="120"/>
        <w:contextualSpacing/>
        <w:jc w:val="both"/>
        <w:rPr>
          <w:rFonts w:ascii="Arial" w:hAnsi="Arial" w:cs="Arial"/>
          <w:bCs/>
          <w:snapToGrid w:val="0"/>
          <w:sz w:val="22"/>
          <w:szCs w:val="22"/>
          <w:lang w:val="en-GB" w:eastAsia="en-US"/>
        </w:rPr>
      </w:pPr>
      <w:r>
        <w:rPr>
          <w:rFonts w:ascii="Arial" w:hAnsi="Arial" w:cs="Arial"/>
          <w:bCs/>
          <w:snapToGrid w:val="0"/>
          <w:sz w:val="22"/>
          <w:szCs w:val="22"/>
          <w:lang w:val="en-GB" w:eastAsia="en-US"/>
        </w:rPr>
        <w:t xml:space="preserve">The recommendation was made on the basis of </w:t>
      </w:r>
      <w:r w:rsidR="00097C83">
        <w:rPr>
          <w:rFonts w:ascii="Arial" w:hAnsi="Arial" w:cs="Arial"/>
          <w:bCs/>
          <w:snapToGrid w:val="0"/>
          <w:sz w:val="22"/>
          <w:szCs w:val="22"/>
          <w:lang w:val="en-GB" w:eastAsia="en-US"/>
        </w:rPr>
        <w:t xml:space="preserve">a risk share arrangement </w:t>
      </w:r>
      <w:r w:rsidR="006D576B">
        <w:rPr>
          <w:rFonts w:ascii="Arial" w:hAnsi="Arial" w:cs="Arial"/>
          <w:bCs/>
          <w:snapToGrid w:val="0"/>
          <w:sz w:val="22"/>
          <w:szCs w:val="22"/>
          <w:lang w:val="en-GB" w:eastAsia="en-US"/>
        </w:rPr>
        <w:t>whereby the</w:t>
      </w:r>
      <w:r w:rsidR="00097C83">
        <w:rPr>
          <w:rFonts w:ascii="Arial" w:hAnsi="Arial" w:cs="Arial"/>
          <w:bCs/>
          <w:snapToGrid w:val="0"/>
          <w:sz w:val="22"/>
          <w:szCs w:val="22"/>
          <w:lang w:val="en-GB" w:eastAsia="en-US"/>
        </w:rPr>
        <w:t xml:space="preserve"> sponsor will </w:t>
      </w:r>
      <w:r w:rsidR="006D576B">
        <w:rPr>
          <w:rFonts w:ascii="Arial" w:hAnsi="Arial" w:cs="Arial"/>
          <w:bCs/>
          <w:snapToGrid w:val="0"/>
          <w:sz w:val="22"/>
          <w:szCs w:val="22"/>
          <w:lang w:val="en-GB" w:eastAsia="en-US"/>
        </w:rPr>
        <w:t>rebate</w:t>
      </w:r>
      <w:r w:rsidR="00097C83">
        <w:rPr>
          <w:rFonts w:ascii="Arial" w:hAnsi="Arial" w:cs="Arial"/>
          <w:bCs/>
          <w:snapToGrid w:val="0"/>
          <w:sz w:val="22"/>
          <w:szCs w:val="22"/>
          <w:lang w:val="en-GB" w:eastAsia="en-US"/>
        </w:rPr>
        <w:t xml:space="preserve"> </w:t>
      </w:r>
      <w:r w:rsidR="00BA3F5C">
        <w:rPr>
          <w:rFonts w:ascii="Arial" w:hAnsi="Arial" w:cs="Arial"/>
          <w:bCs/>
          <w:noProof/>
          <w:snapToGrid w:val="0"/>
          <w:color w:val="000000"/>
          <w:sz w:val="22"/>
          <w:szCs w:val="22"/>
          <w:highlight w:val="black"/>
          <w:lang w:val="en-GB" w:eastAsia="en-US"/>
        </w:rPr>
        <w:t>''''''''</w:t>
      </w:r>
      <w:r w:rsidR="008D6E75">
        <w:rPr>
          <w:rFonts w:ascii="Arial" w:hAnsi="Arial" w:cs="Arial"/>
          <w:bCs/>
          <w:snapToGrid w:val="0"/>
          <w:sz w:val="22"/>
          <w:szCs w:val="22"/>
          <w:lang w:val="en-GB" w:eastAsia="en-US"/>
        </w:rPr>
        <w:t xml:space="preserve">% of the cost of up to 28 weeks of therapy for the patients with </w:t>
      </w:r>
      <w:proofErr w:type="spellStart"/>
      <w:r w:rsidR="008D6E75">
        <w:rPr>
          <w:rFonts w:ascii="Arial" w:hAnsi="Arial" w:cs="Arial"/>
          <w:bCs/>
          <w:snapToGrid w:val="0"/>
          <w:sz w:val="22"/>
          <w:szCs w:val="22"/>
          <w:lang w:val="en-GB" w:eastAsia="en-US"/>
        </w:rPr>
        <w:t>IgE</w:t>
      </w:r>
      <w:proofErr w:type="spellEnd"/>
      <w:r w:rsidR="008D6E75">
        <w:rPr>
          <w:rFonts w:ascii="Arial" w:hAnsi="Arial" w:cs="Arial"/>
          <w:bCs/>
          <w:snapToGrid w:val="0"/>
          <w:sz w:val="22"/>
          <w:szCs w:val="22"/>
          <w:lang w:val="en-GB" w:eastAsia="en-US"/>
        </w:rPr>
        <w:t xml:space="preserve"> of 30-75 IU/mL who do not respond to omalizumab.</w:t>
      </w:r>
      <w:r w:rsidR="00097C83">
        <w:rPr>
          <w:rFonts w:ascii="Arial" w:hAnsi="Arial" w:cs="Arial"/>
          <w:bCs/>
          <w:snapToGrid w:val="0"/>
          <w:sz w:val="22"/>
          <w:szCs w:val="22"/>
          <w:lang w:val="en-GB" w:eastAsia="en-US"/>
        </w:rPr>
        <w:t xml:space="preserve"> </w:t>
      </w:r>
    </w:p>
    <w:p w:rsidR="006A79C8" w:rsidRDefault="006A79C8" w:rsidP="006A79C8">
      <w:pPr>
        <w:widowControl w:val="0"/>
        <w:spacing w:after="120"/>
        <w:ind w:left="720"/>
        <w:contextualSpacing/>
        <w:jc w:val="both"/>
        <w:rPr>
          <w:rFonts w:ascii="Arial" w:hAnsi="Arial" w:cs="Arial"/>
          <w:bCs/>
          <w:snapToGrid w:val="0"/>
          <w:sz w:val="22"/>
          <w:szCs w:val="22"/>
          <w:lang w:val="en-GB" w:eastAsia="en-US"/>
        </w:rPr>
      </w:pPr>
    </w:p>
    <w:p w:rsidR="00097C83" w:rsidRDefault="00097C83" w:rsidP="00097C83">
      <w:pPr>
        <w:widowControl w:val="0"/>
        <w:numPr>
          <w:ilvl w:val="1"/>
          <w:numId w:val="25"/>
        </w:numPr>
        <w:spacing w:after="120"/>
        <w:contextualSpacing/>
        <w:jc w:val="both"/>
        <w:rPr>
          <w:rFonts w:ascii="Arial" w:hAnsi="Arial" w:cs="Arial"/>
          <w:bCs/>
          <w:snapToGrid w:val="0"/>
          <w:sz w:val="22"/>
          <w:szCs w:val="22"/>
          <w:lang w:val="en-GB" w:eastAsia="en-US"/>
        </w:rPr>
      </w:pPr>
      <w:r>
        <w:rPr>
          <w:rFonts w:ascii="Arial" w:hAnsi="Arial" w:cs="Arial"/>
          <w:bCs/>
          <w:snapToGrid w:val="0"/>
          <w:sz w:val="22"/>
          <w:szCs w:val="22"/>
          <w:lang w:val="en-GB" w:eastAsia="en-US"/>
        </w:rPr>
        <w:t xml:space="preserve">In making this recommendation, the PBAC </w:t>
      </w:r>
      <w:r w:rsidRPr="00097C83">
        <w:rPr>
          <w:rFonts w:ascii="Arial" w:hAnsi="Arial" w:cs="Arial"/>
          <w:bCs/>
          <w:snapToGrid w:val="0"/>
          <w:sz w:val="22"/>
          <w:szCs w:val="22"/>
          <w:lang w:val="en-GB" w:eastAsia="en-US"/>
        </w:rPr>
        <w:t xml:space="preserve">recommended review of utilisation </w:t>
      </w:r>
      <w:r w:rsidR="009379A5">
        <w:rPr>
          <w:rFonts w:ascii="Arial" w:hAnsi="Arial" w:cs="Arial"/>
          <w:bCs/>
          <w:snapToGrid w:val="0"/>
          <w:sz w:val="22"/>
          <w:szCs w:val="22"/>
          <w:lang w:val="en-GB" w:eastAsia="en-US"/>
        </w:rPr>
        <w:t xml:space="preserve">of omalizumab </w:t>
      </w:r>
      <w:r w:rsidRPr="00097C83">
        <w:rPr>
          <w:rFonts w:ascii="Arial" w:hAnsi="Arial" w:cs="Arial"/>
          <w:bCs/>
          <w:snapToGrid w:val="0"/>
          <w:sz w:val="22"/>
          <w:szCs w:val="22"/>
          <w:lang w:val="en-GB" w:eastAsia="en-US"/>
        </w:rPr>
        <w:t>and existing cap arrangements</w:t>
      </w:r>
      <w:r w:rsidR="008D6E75">
        <w:rPr>
          <w:rFonts w:ascii="Arial" w:hAnsi="Arial" w:cs="Arial"/>
          <w:bCs/>
          <w:snapToGrid w:val="0"/>
          <w:sz w:val="22"/>
          <w:szCs w:val="22"/>
          <w:lang w:val="en-GB" w:eastAsia="en-US"/>
        </w:rPr>
        <w:t>.</w:t>
      </w:r>
    </w:p>
    <w:p w:rsidR="006D576B" w:rsidRDefault="006D576B" w:rsidP="006D576B">
      <w:pPr>
        <w:widowControl w:val="0"/>
        <w:spacing w:after="120"/>
        <w:ind w:left="720"/>
        <w:contextualSpacing/>
        <w:jc w:val="both"/>
        <w:rPr>
          <w:rFonts w:ascii="Arial" w:hAnsi="Arial" w:cs="Arial"/>
          <w:bCs/>
          <w:snapToGrid w:val="0"/>
          <w:sz w:val="22"/>
          <w:szCs w:val="22"/>
          <w:lang w:val="en-GB" w:eastAsia="en-US"/>
        </w:rPr>
      </w:pPr>
    </w:p>
    <w:p w:rsidR="00E974C0" w:rsidRDefault="00E974C0" w:rsidP="00097C83">
      <w:pPr>
        <w:widowControl w:val="0"/>
        <w:numPr>
          <w:ilvl w:val="1"/>
          <w:numId w:val="25"/>
        </w:numPr>
        <w:spacing w:after="120"/>
        <w:contextualSpacing/>
        <w:jc w:val="both"/>
        <w:rPr>
          <w:rFonts w:ascii="Arial" w:hAnsi="Arial" w:cs="Arial"/>
          <w:bCs/>
          <w:snapToGrid w:val="0"/>
          <w:sz w:val="22"/>
          <w:szCs w:val="22"/>
          <w:lang w:val="en-GB" w:eastAsia="en-US"/>
        </w:rPr>
      </w:pPr>
      <w:r>
        <w:rPr>
          <w:rFonts w:ascii="Arial" w:hAnsi="Arial" w:cs="Arial"/>
          <w:bCs/>
          <w:snapToGrid w:val="0"/>
          <w:sz w:val="22"/>
          <w:szCs w:val="22"/>
          <w:lang w:val="en-GB" w:eastAsia="en-US"/>
        </w:rPr>
        <w:t xml:space="preserve">The PBAC </w:t>
      </w:r>
      <w:r w:rsidR="00EE552C">
        <w:rPr>
          <w:rFonts w:ascii="Arial" w:hAnsi="Arial" w:cs="Arial"/>
          <w:bCs/>
          <w:snapToGrid w:val="0"/>
          <w:sz w:val="22"/>
          <w:szCs w:val="22"/>
          <w:lang w:val="en-GB" w:eastAsia="en-US"/>
        </w:rPr>
        <w:t>considered</w:t>
      </w:r>
      <w:r>
        <w:rPr>
          <w:rFonts w:ascii="Arial" w:hAnsi="Arial" w:cs="Arial"/>
          <w:bCs/>
          <w:snapToGrid w:val="0"/>
          <w:sz w:val="22"/>
          <w:szCs w:val="22"/>
          <w:lang w:val="en-GB" w:eastAsia="en-US"/>
        </w:rPr>
        <w:t xml:space="preserve"> amending the </w:t>
      </w:r>
      <w:r w:rsidR="009B0F8D">
        <w:rPr>
          <w:rFonts w:ascii="Arial" w:hAnsi="Arial" w:cs="Arial"/>
          <w:bCs/>
          <w:snapToGrid w:val="0"/>
          <w:sz w:val="22"/>
          <w:szCs w:val="22"/>
          <w:lang w:val="en-GB" w:eastAsia="en-US"/>
        </w:rPr>
        <w:t xml:space="preserve">existing </w:t>
      </w:r>
      <w:r>
        <w:rPr>
          <w:rFonts w:ascii="Arial" w:hAnsi="Arial" w:cs="Arial"/>
          <w:bCs/>
          <w:snapToGrid w:val="0"/>
          <w:sz w:val="22"/>
          <w:szCs w:val="22"/>
          <w:lang w:val="en-GB" w:eastAsia="en-US"/>
        </w:rPr>
        <w:t xml:space="preserve">clinical criteria </w:t>
      </w:r>
      <w:r w:rsidR="00F42A53">
        <w:rPr>
          <w:rFonts w:ascii="Arial" w:hAnsi="Arial" w:cs="Arial"/>
          <w:bCs/>
          <w:snapToGrid w:val="0"/>
          <w:sz w:val="22"/>
          <w:szCs w:val="22"/>
          <w:lang w:val="en-GB" w:eastAsia="en-US"/>
        </w:rPr>
        <w:t xml:space="preserve">for omalizumab 75mg and 150mg pre-filled </w:t>
      </w:r>
      <w:r w:rsidR="0045632D">
        <w:rPr>
          <w:rFonts w:ascii="Arial" w:hAnsi="Arial" w:cs="Arial"/>
          <w:bCs/>
          <w:snapToGrid w:val="0"/>
          <w:sz w:val="22"/>
          <w:szCs w:val="22"/>
          <w:lang w:val="en-GB" w:eastAsia="en-US"/>
        </w:rPr>
        <w:t>syringe</w:t>
      </w:r>
      <w:r w:rsidR="00F42A53">
        <w:rPr>
          <w:rFonts w:ascii="Arial" w:hAnsi="Arial" w:cs="Arial"/>
          <w:bCs/>
          <w:snapToGrid w:val="0"/>
          <w:sz w:val="22"/>
          <w:szCs w:val="22"/>
          <w:lang w:val="en-GB" w:eastAsia="en-US"/>
        </w:rPr>
        <w:t xml:space="preserve"> for the </w:t>
      </w:r>
      <w:r w:rsidR="00F6384C" w:rsidRPr="00F6384C">
        <w:rPr>
          <w:rFonts w:ascii="Arial" w:hAnsi="Arial" w:cs="Arial"/>
          <w:bCs/>
          <w:snapToGrid w:val="0"/>
          <w:sz w:val="22"/>
          <w:szCs w:val="22"/>
          <w:lang w:val="en-GB" w:eastAsia="en-US"/>
        </w:rPr>
        <w:t xml:space="preserve">treatment of severe allergic asthma </w:t>
      </w:r>
      <w:r>
        <w:rPr>
          <w:rFonts w:ascii="Arial" w:hAnsi="Arial" w:cs="Arial"/>
          <w:bCs/>
          <w:snapToGrid w:val="0"/>
          <w:sz w:val="22"/>
          <w:szCs w:val="22"/>
          <w:lang w:val="en-GB" w:eastAsia="en-US"/>
        </w:rPr>
        <w:t xml:space="preserve">to </w:t>
      </w:r>
      <w:r w:rsidR="00EE552C">
        <w:rPr>
          <w:rFonts w:ascii="Arial" w:hAnsi="Arial" w:cs="Arial"/>
          <w:bCs/>
          <w:snapToGrid w:val="0"/>
          <w:sz w:val="22"/>
          <w:szCs w:val="22"/>
          <w:lang w:val="en-GB" w:eastAsia="en-US"/>
        </w:rPr>
        <w:t>include</w:t>
      </w:r>
      <w:r>
        <w:rPr>
          <w:rFonts w:ascii="Arial" w:hAnsi="Arial" w:cs="Arial"/>
          <w:bCs/>
          <w:snapToGrid w:val="0"/>
          <w:sz w:val="22"/>
          <w:szCs w:val="22"/>
          <w:lang w:val="en-GB" w:eastAsia="en-US"/>
        </w:rPr>
        <w:t xml:space="preserve"> </w:t>
      </w:r>
      <w:r w:rsidR="00EE552C">
        <w:rPr>
          <w:rFonts w:ascii="Arial" w:hAnsi="Arial" w:cs="Arial"/>
          <w:bCs/>
          <w:snapToGrid w:val="0"/>
          <w:sz w:val="22"/>
          <w:szCs w:val="22"/>
          <w:lang w:val="en-GB" w:eastAsia="en-US"/>
        </w:rPr>
        <w:t xml:space="preserve">the restriction wording </w:t>
      </w:r>
      <w:r>
        <w:rPr>
          <w:rFonts w:ascii="Arial" w:hAnsi="Arial" w:cs="Arial"/>
          <w:bCs/>
          <w:snapToGrid w:val="0"/>
          <w:sz w:val="22"/>
          <w:szCs w:val="22"/>
          <w:lang w:val="en-GB" w:eastAsia="en-US"/>
        </w:rPr>
        <w:t>“</w:t>
      </w:r>
      <w:r w:rsidRPr="00EE552C">
        <w:rPr>
          <w:rFonts w:ascii="Arial" w:hAnsi="Arial" w:cs="Arial"/>
          <w:bCs/>
          <w:i/>
          <w:snapToGrid w:val="0"/>
          <w:sz w:val="22"/>
          <w:szCs w:val="22"/>
          <w:lang w:val="en-GB" w:eastAsia="en-US"/>
        </w:rPr>
        <w:t>total serum human immunoglobulin E (</w:t>
      </w:r>
      <w:proofErr w:type="spellStart"/>
      <w:r w:rsidRPr="00EE552C">
        <w:rPr>
          <w:rFonts w:ascii="Arial" w:hAnsi="Arial" w:cs="Arial"/>
          <w:bCs/>
          <w:i/>
          <w:snapToGrid w:val="0"/>
          <w:sz w:val="22"/>
          <w:szCs w:val="22"/>
          <w:lang w:val="en-GB" w:eastAsia="en-US"/>
        </w:rPr>
        <w:t>IgE</w:t>
      </w:r>
      <w:proofErr w:type="spellEnd"/>
      <w:r w:rsidRPr="00EE552C">
        <w:rPr>
          <w:rFonts w:ascii="Arial" w:hAnsi="Arial" w:cs="Arial"/>
          <w:bCs/>
          <w:i/>
          <w:snapToGrid w:val="0"/>
          <w:sz w:val="22"/>
          <w:szCs w:val="22"/>
          <w:lang w:val="en-GB" w:eastAsia="en-US"/>
        </w:rPr>
        <w:t>) greater than or equal to 30 IU/mL and assessed in the previous 12 months</w:t>
      </w:r>
      <w:r>
        <w:rPr>
          <w:rFonts w:ascii="Arial" w:hAnsi="Arial" w:cs="Arial"/>
          <w:bCs/>
          <w:snapToGrid w:val="0"/>
          <w:sz w:val="22"/>
          <w:szCs w:val="22"/>
          <w:lang w:val="en-GB" w:eastAsia="en-US"/>
        </w:rPr>
        <w:t>”.</w:t>
      </w:r>
    </w:p>
    <w:p w:rsidR="00E974C0" w:rsidRDefault="00E974C0" w:rsidP="00E974C0">
      <w:pPr>
        <w:widowControl w:val="0"/>
        <w:spacing w:after="120"/>
        <w:ind w:left="720"/>
        <w:contextualSpacing/>
        <w:jc w:val="both"/>
        <w:rPr>
          <w:rFonts w:ascii="Arial" w:hAnsi="Arial" w:cs="Arial"/>
          <w:bCs/>
          <w:snapToGrid w:val="0"/>
          <w:sz w:val="22"/>
          <w:szCs w:val="22"/>
          <w:lang w:val="en-GB" w:eastAsia="en-US"/>
        </w:rPr>
      </w:pPr>
    </w:p>
    <w:p w:rsidR="009117BC" w:rsidRDefault="009117BC" w:rsidP="00097C83">
      <w:pPr>
        <w:widowControl w:val="0"/>
        <w:numPr>
          <w:ilvl w:val="1"/>
          <w:numId w:val="25"/>
        </w:numPr>
        <w:spacing w:after="120"/>
        <w:contextualSpacing/>
        <w:jc w:val="both"/>
        <w:rPr>
          <w:rFonts w:ascii="Arial" w:hAnsi="Arial" w:cs="Arial"/>
          <w:bCs/>
          <w:snapToGrid w:val="0"/>
          <w:sz w:val="22"/>
          <w:szCs w:val="22"/>
          <w:lang w:val="en-GB" w:eastAsia="en-US"/>
        </w:rPr>
      </w:pPr>
      <w:r>
        <w:rPr>
          <w:rFonts w:ascii="Arial" w:hAnsi="Arial" w:cs="Arial"/>
          <w:bCs/>
          <w:snapToGrid w:val="0"/>
          <w:sz w:val="22"/>
          <w:szCs w:val="22"/>
          <w:lang w:val="en-GB" w:eastAsia="en-US"/>
        </w:rPr>
        <w:t xml:space="preserve">The PBAC advised that the current continuation rule </w:t>
      </w:r>
      <w:r w:rsidR="009379A5">
        <w:rPr>
          <w:rFonts w:ascii="Arial" w:hAnsi="Arial" w:cs="Arial"/>
          <w:bCs/>
          <w:snapToGrid w:val="0"/>
          <w:sz w:val="22"/>
          <w:szCs w:val="22"/>
          <w:lang w:val="en-GB" w:eastAsia="en-US"/>
        </w:rPr>
        <w:t xml:space="preserve">which applies to the patients with </w:t>
      </w:r>
      <w:proofErr w:type="spellStart"/>
      <w:r w:rsidR="009379A5">
        <w:rPr>
          <w:rFonts w:ascii="Arial" w:hAnsi="Arial" w:cs="Arial"/>
          <w:bCs/>
          <w:snapToGrid w:val="0"/>
          <w:sz w:val="22"/>
          <w:szCs w:val="22"/>
          <w:lang w:val="en-GB" w:eastAsia="en-US"/>
        </w:rPr>
        <w:t>IgE</w:t>
      </w:r>
      <w:proofErr w:type="spellEnd"/>
      <w:r w:rsidR="009379A5">
        <w:rPr>
          <w:rFonts w:ascii="Arial" w:hAnsi="Arial" w:cs="Arial"/>
          <w:bCs/>
          <w:snapToGrid w:val="0"/>
          <w:sz w:val="22"/>
          <w:szCs w:val="22"/>
          <w:lang w:val="en-GB" w:eastAsia="en-US"/>
        </w:rPr>
        <w:t xml:space="preserve"> of ≥ 76 should</w:t>
      </w:r>
      <w:r>
        <w:rPr>
          <w:rFonts w:ascii="Arial" w:hAnsi="Arial" w:cs="Arial"/>
          <w:bCs/>
          <w:snapToGrid w:val="0"/>
          <w:sz w:val="22"/>
          <w:szCs w:val="22"/>
          <w:lang w:val="en-GB" w:eastAsia="en-US"/>
        </w:rPr>
        <w:t xml:space="preserve"> be applied for this patient group</w:t>
      </w:r>
      <w:r w:rsidR="009379A5">
        <w:rPr>
          <w:rFonts w:ascii="Arial" w:hAnsi="Arial" w:cs="Arial"/>
          <w:bCs/>
          <w:snapToGrid w:val="0"/>
          <w:sz w:val="22"/>
          <w:szCs w:val="22"/>
          <w:lang w:val="en-GB" w:eastAsia="en-US"/>
        </w:rPr>
        <w:t xml:space="preserve"> with </w:t>
      </w:r>
      <w:proofErr w:type="spellStart"/>
      <w:r w:rsidR="009379A5">
        <w:rPr>
          <w:rFonts w:ascii="Arial" w:hAnsi="Arial" w:cs="Arial"/>
          <w:bCs/>
          <w:snapToGrid w:val="0"/>
          <w:sz w:val="22"/>
          <w:szCs w:val="22"/>
          <w:lang w:val="en-GB" w:eastAsia="en-US"/>
        </w:rPr>
        <w:t>IgE</w:t>
      </w:r>
      <w:proofErr w:type="spellEnd"/>
      <w:r w:rsidR="009379A5">
        <w:rPr>
          <w:rFonts w:ascii="Arial" w:hAnsi="Arial" w:cs="Arial"/>
          <w:bCs/>
          <w:snapToGrid w:val="0"/>
          <w:sz w:val="22"/>
          <w:szCs w:val="22"/>
          <w:lang w:val="en-GB" w:eastAsia="en-US"/>
        </w:rPr>
        <w:t xml:space="preserve"> of 30-75 IU/</w:t>
      </w:r>
      <w:proofErr w:type="spellStart"/>
      <w:r w:rsidR="009379A5">
        <w:rPr>
          <w:rFonts w:ascii="Arial" w:hAnsi="Arial" w:cs="Arial"/>
          <w:bCs/>
          <w:snapToGrid w:val="0"/>
          <w:sz w:val="22"/>
          <w:szCs w:val="22"/>
          <w:lang w:val="en-GB" w:eastAsia="en-US"/>
        </w:rPr>
        <w:t>mL</w:t>
      </w:r>
      <w:r>
        <w:rPr>
          <w:rFonts w:ascii="Arial" w:hAnsi="Arial" w:cs="Arial"/>
          <w:bCs/>
          <w:snapToGrid w:val="0"/>
          <w:sz w:val="22"/>
          <w:szCs w:val="22"/>
          <w:lang w:val="en-GB" w:eastAsia="en-US"/>
        </w:rPr>
        <w:t>.</w:t>
      </w:r>
      <w:proofErr w:type="spellEnd"/>
      <w:r w:rsidR="005E075F">
        <w:rPr>
          <w:rFonts w:ascii="Arial" w:hAnsi="Arial" w:cs="Arial"/>
          <w:bCs/>
          <w:snapToGrid w:val="0"/>
          <w:sz w:val="22"/>
          <w:szCs w:val="22"/>
          <w:lang w:val="en-GB" w:eastAsia="en-US"/>
        </w:rPr>
        <w:t xml:space="preserve"> </w:t>
      </w:r>
    </w:p>
    <w:p w:rsidR="009117BC" w:rsidRDefault="009117BC" w:rsidP="009117BC">
      <w:pPr>
        <w:widowControl w:val="0"/>
        <w:spacing w:after="120"/>
        <w:ind w:left="720"/>
        <w:contextualSpacing/>
        <w:jc w:val="both"/>
        <w:rPr>
          <w:rFonts w:ascii="Arial" w:hAnsi="Arial" w:cs="Arial"/>
          <w:bCs/>
          <w:snapToGrid w:val="0"/>
          <w:sz w:val="22"/>
          <w:szCs w:val="22"/>
          <w:lang w:val="en-GB" w:eastAsia="en-US"/>
        </w:rPr>
      </w:pPr>
    </w:p>
    <w:p w:rsidR="009117BC" w:rsidRDefault="009117BC" w:rsidP="00097C83">
      <w:pPr>
        <w:widowControl w:val="0"/>
        <w:numPr>
          <w:ilvl w:val="1"/>
          <w:numId w:val="25"/>
        </w:numPr>
        <w:spacing w:after="120"/>
        <w:contextualSpacing/>
        <w:jc w:val="both"/>
        <w:rPr>
          <w:rFonts w:ascii="Arial" w:hAnsi="Arial" w:cs="Arial"/>
          <w:bCs/>
          <w:snapToGrid w:val="0"/>
          <w:sz w:val="22"/>
          <w:szCs w:val="22"/>
          <w:lang w:val="en-GB" w:eastAsia="en-US"/>
        </w:rPr>
      </w:pPr>
      <w:r>
        <w:rPr>
          <w:rFonts w:ascii="Arial" w:hAnsi="Arial" w:cs="Arial"/>
          <w:bCs/>
          <w:snapToGrid w:val="0"/>
          <w:sz w:val="22"/>
          <w:szCs w:val="22"/>
          <w:lang w:val="en-GB" w:eastAsia="en-US"/>
        </w:rPr>
        <w:t xml:space="preserve">The PBAC noted </w:t>
      </w:r>
      <w:r w:rsidR="00327DD7">
        <w:rPr>
          <w:rFonts w:ascii="Arial" w:hAnsi="Arial" w:cs="Arial"/>
          <w:bCs/>
          <w:snapToGrid w:val="0"/>
          <w:sz w:val="22"/>
          <w:szCs w:val="22"/>
          <w:lang w:val="en-GB" w:eastAsia="en-US"/>
        </w:rPr>
        <w:t xml:space="preserve">from the subgroup analyses of the clinical trials, </w:t>
      </w:r>
      <w:r>
        <w:rPr>
          <w:rFonts w:ascii="Arial" w:hAnsi="Arial" w:cs="Arial"/>
          <w:bCs/>
          <w:snapToGrid w:val="0"/>
          <w:sz w:val="22"/>
          <w:szCs w:val="22"/>
          <w:lang w:val="en-GB" w:eastAsia="en-US"/>
        </w:rPr>
        <w:t xml:space="preserve">that </w:t>
      </w:r>
      <w:r w:rsidR="005A647F">
        <w:rPr>
          <w:rFonts w:ascii="Arial" w:hAnsi="Arial" w:cs="Arial"/>
          <w:bCs/>
          <w:snapToGrid w:val="0"/>
          <w:sz w:val="22"/>
          <w:szCs w:val="22"/>
          <w:lang w:val="en-GB" w:eastAsia="en-US"/>
        </w:rPr>
        <w:t>an estimated</w:t>
      </w:r>
      <w:r>
        <w:rPr>
          <w:rFonts w:ascii="Arial" w:hAnsi="Arial" w:cs="Arial"/>
          <w:bCs/>
          <w:snapToGrid w:val="0"/>
          <w:sz w:val="22"/>
          <w:szCs w:val="22"/>
          <w:lang w:val="en-GB" w:eastAsia="en-US"/>
        </w:rPr>
        <w:t xml:space="preserve"> </w:t>
      </w:r>
      <w:r w:rsidR="00BA3F5C">
        <w:rPr>
          <w:rFonts w:ascii="Arial" w:hAnsi="Arial" w:cs="Arial"/>
          <w:bCs/>
          <w:noProof/>
          <w:snapToGrid w:val="0"/>
          <w:color w:val="000000"/>
          <w:sz w:val="22"/>
          <w:szCs w:val="22"/>
          <w:highlight w:val="black"/>
          <w:lang w:val="en-GB" w:eastAsia="en-US"/>
        </w:rPr>
        <w:t>'''''''</w:t>
      </w:r>
      <w:r>
        <w:rPr>
          <w:rFonts w:ascii="Arial" w:hAnsi="Arial" w:cs="Arial"/>
          <w:bCs/>
          <w:snapToGrid w:val="0"/>
          <w:sz w:val="22"/>
          <w:szCs w:val="22"/>
          <w:lang w:val="en-GB" w:eastAsia="en-US"/>
        </w:rPr>
        <w:t xml:space="preserve">% will be added to the current </w:t>
      </w:r>
      <w:r w:rsidR="00327DD7">
        <w:rPr>
          <w:rFonts w:ascii="Arial" w:hAnsi="Arial" w:cs="Arial"/>
          <w:bCs/>
          <w:snapToGrid w:val="0"/>
          <w:sz w:val="22"/>
          <w:szCs w:val="22"/>
          <w:lang w:val="en-GB" w:eastAsia="en-US"/>
        </w:rPr>
        <w:t xml:space="preserve">treatment </w:t>
      </w:r>
      <w:r>
        <w:rPr>
          <w:rFonts w:ascii="Arial" w:hAnsi="Arial" w:cs="Arial"/>
          <w:bCs/>
          <w:snapToGrid w:val="0"/>
          <w:sz w:val="22"/>
          <w:szCs w:val="22"/>
          <w:lang w:val="en-GB" w:eastAsia="en-US"/>
        </w:rPr>
        <w:t xml:space="preserve">population </w:t>
      </w:r>
      <w:r w:rsidR="001C3D66">
        <w:rPr>
          <w:rFonts w:ascii="Arial" w:hAnsi="Arial" w:cs="Arial"/>
          <w:bCs/>
          <w:snapToGrid w:val="0"/>
          <w:sz w:val="22"/>
          <w:szCs w:val="22"/>
          <w:lang w:val="en-GB" w:eastAsia="en-US"/>
        </w:rPr>
        <w:t xml:space="preserve">who </w:t>
      </w:r>
      <w:r w:rsidR="00327DD7">
        <w:rPr>
          <w:rFonts w:ascii="Arial" w:hAnsi="Arial" w:cs="Arial"/>
          <w:bCs/>
          <w:snapToGrid w:val="0"/>
          <w:sz w:val="22"/>
          <w:szCs w:val="22"/>
          <w:lang w:val="en-GB" w:eastAsia="en-US"/>
        </w:rPr>
        <w:t>meet the PBS eligibility criteria</w:t>
      </w:r>
      <w:r w:rsidR="006318F1">
        <w:rPr>
          <w:rFonts w:ascii="Arial" w:hAnsi="Arial" w:cs="Arial"/>
          <w:bCs/>
          <w:snapToGrid w:val="0"/>
          <w:sz w:val="22"/>
          <w:szCs w:val="22"/>
          <w:lang w:val="en-GB" w:eastAsia="en-US"/>
        </w:rPr>
        <w:t xml:space="preserve"> and</w:t>
      </w:r>
      <w:r w:rsidR="00327DD7">
        <w:rPr>
          <w:rFonts w:ascii="Arial" w:hAnsi="Arial" w:cs="Arial"/>
          <w:bCs/>
          <w:snapToGrid w:val="0"/>
          <w:sz w:val="22"/>
          <w:szCs w:val="22"/>
          <w:lang w:val="en-GB" w:eastAsia="en-US"/>
        </w:rPr>
        <w:t xml:space="preserve"> </w:t>
      </w:r>
      <w:r w:rsidR="001C3D66">
        <w:rPr>
          <w:rFonts w:ascii="Arial" w:hAnsi="Arial" w:cs="Arial"/>
          <w:bCs/>
          <w:snapToGrid w:val="0"/>
          <w:sz w:val="22"/>
          <w:szCs w:val="22"/>
          <w:lang w:val="en-GB" w:eastAsia="en-US"/>
        </w:rPr>
        <w:t>have the same clinical need for treatment as the existing PBS population</w:t>
      </w:r>
      <w:r>
        <w:rPr>
          <w:rFonts w:ascii="Arial" w:hAnsi="Arial" w:cs="Arial"/>
          <w:bCs/>
          <w:snapToGrid w:val="0"/>
          <w:sz w:val="22"/>
          <w:szCs w:val="22"/>
          <w:lang w:val="en-GB" w:eastAsia="en-US"/>
        </w:rPr>
        <w:t>.</w:t>
      </w:r>
      <w:r w:rsidR="00327DD7">
        <w:rPr>
          <w:rFonts w:ascii="Arial" w:hAnsi="Arial" w:cs="Arial"/>
          <w:bCs/>
          <w:snapToGrid w:val="0"/>
          <w:sz w:val="22"/>
          <w:szCs w:val="22"/>
          <w:lang w:val="en-GB" w:eastAsia="en-US"/>
        </w:rPr>
        <w:t xml:space="preserve"> The PBAC noted that the response rates were similar between the subgroups.</w:t>
      </w:r>
    </w:p>
    <w:p w:rsidR="009117BC" w:rsidRDefault="009117BC" w:rsidP="009117BC">
      <w:pPr>
        <w:widowControl w:val="0"/>
        <w:spacing w:after="120"/>
        <w:ind w:left="720"/>
        <w:contextualSpacing/>
        <w:jc w:val="both"/>
        <w:rPr>
          <w:rFonts w:ascii="Arial" w:hAnsi="Arial" w:cs="Arial"/>
          <w:bCs/>
          <w:snapToGrid w:val="0"/>
          <w:sz w:val="22"/>
          <w:szCs w:val="22"/>
          <w:lang w:val="en-GB" w:eastAsia="en-US"/>
        </w:rPr>
      </w:pPr>
    </w:p>
    <w:p w:rsidR="00091115" w:rsidRDefault="00091115" w:rsidP="00097C83">
      <w:pPr>
        <w:widowControl w:val="0"/>
        <w:numPr>
          <w:ilvl w:val="1"/>
          <w:numId w:val="25"/>
        </w:numPr>
        <w:spacing w:after="120"/>
        <w:contextualSpacing/>
        <w:jc w:val="both"/>
        <w:rPr>
          <w:rFonts w:ascii="Arial" w:hAnsi="Arial" w:cs="Arial"/>
          <w:bCs/>
          <w:snapToGrid w:val="0"/>
          <w:sz w:val="22"/>
          <w:szCs w:val="22"/>
          <w:lang w:val="en-GB" w:eastAsia="en-US"/>
        </w:rPr>
      </w:pPr>
      <w:r>
        <w:rPr>
          <w:rFonts w:ascii="Arial" w:hAnsi="Arial" w:cs="Arial"/>
          <w:bCs/>
          <w:snapToGrid w:val="0"/>
          <w:sz w:val="22"/>
          <w:szCs w:val="22"/>
          <w:lang w:val="en-GB" w:eastAsia="en-US"/>
        </w:rPr>
        <w:t xml:space="preserve">The PBAC </w:t>
      </w:r>
      <w:r w:rsidR="00327DD7">
        <w:rPr>
          <w:rFonts w:ascii="Arial" w:hAnsi="Arial" w:cs="Arial"/>
          <w:bCs/>
          <w:snapToGrid w:val="0"/>
          <w:sz w:val="22"/>
          <w:szCs w:val="22"/>
          <w:lang w:val="en-GB" w:eastAsia="en-US"/>
        </w:rPr>
        <w:t>considered</w:t>
      </w:r>
      <w:r>
        <w:rPr>
          <w:rFonts w:ascii="Arial" w:hAnsi="Arial" w:cs="Arial"/>
          <w:bCs/>
          <w:snapToGrid w:val="0"/>
          <w:sz w:val="22"/>
          <w:szCs w:val="22"/>
          <w:lang w:val="en-GB" w:eastAsia="en-US"/>
        </w:rPr>
        <w:t xml:space="preserve"> the </w:t>
      </w:r>
      <w:r w:rsidR="00327DD7">
        <w:rPr>
          <w:rFonts w:ascii="Arial" w:hAnsi="Arial" w:cs="Arial"/>
          <w:bCs/>
          <w:snapToGrid w:val="0"/>
          <w:sz w:val="22"/>
          <w:szCs w:val="22"/>
          <w:lang w:val="en-GB" w:eastAsia="en-US"/>
        </w:rPr>
        <w:t>financial estimates in the submission were</w:t>
      </w:r>
      <w:r w:rsidR="001C3D66">
        <w:rPr>
          <w:rFonts w:ascii="Arial" w:hAnsi="Arial" w:cs="Arial"/>
          <w:bCs/>
          <w:snapToGrid w:val="0"/>
          <w:sz w:val="22"/>
          <w:szCs w:val="22"/>
          <w:lang w:val="en-GB" w:eastAsia="en-US"/>
        </w:rPr>
        <w:t xml:space="preserve"> reasonable </w:t>
      </w:r>
      <w:r w:rsidR="00327DD7">
        <w:rPr>
          <w:rFonts w:ascii="Arial" w:hAnsi="Arial" w:cs="Arial"/>
          <w:bCs/>
          <w:snapToGrid w:val="0"/>
          <w:sz w:val="22"/>
          <w:szCs w:val="22"/>
          <w:lang w:val="en-GB" w:eastAsia="en-US"/>
        </w:rPr>
        <w:t>given the majority of</w:t>
      </w:r>
      <w:r w:rsidR="00F6384C">
        <w:rPr>
          <w:rFonts w:ascii="Arial" w:hAnsi="Arial" w:cs="Arial"/>
          <w:bCs/>
          <w:snapToGrid w:val="0"/>
          <w:sz w:val="22"/>
          <w:szCs w:val="22"/>
          <w:lang w:val="en-GB" w:eastAsia="en-US"/>
        </w:rPr>
        <w:t xml:space="preserve"> patients with baseline</w:t>
      </w:r>
      <w:r w:rsidR="00327DD7">
        <w:rPr>
          <w:rFonts w:ascii="Arial" w:hAnsi="Arial" w:cs="Arial"/>
          <w:bCs/>
          <w:snapToGrid w:val="0"/>
          <w:sz w:val="22"/>
          <w:szCs w:val="22"/>
          <w:lang w:val="en-GB" w:eastAsia="en-US"/>
        </w:rPr>
        <w:t xml:space="preserve"> </w:t>
      </w:r>
      <w:proofErr w:type="spellStart"/>
      <w:r w:rsidR="00327DD7">
        <w:rPr>
          <w:rFonts w:ascii="Arial" w:hAnsi="Arial" w:cs="Arial"/>
          <w:bCs/>
          <w:snapToGrid w:val="0"/>
          <w:sz w:val="22"/>
          <w:szCs w:val="22"/>
          <w:lang w:val="en-GB" w:eastAsia="en-US"/>
        </w:rPr>
        <w:t>IgE</w:t>
      </w:r>
      <w:proofErr w:type="spellEnd"/>
      <w:r w:rsidR="00327DD7">
        <w:rPr>
          <w:rFonts w:ascii="Arial" w:hAnsi="Arial" w:cs="Arial"/>
          <w:bCs/>
          <w:snapToGrid w:val="0"/>
          <w:sz w:val="22"/>
          <w:szCs w:val="22"/>
          <w:lang w:val="en-GB" w:eastAsia="en-US"/>
        </w:rPr>
        <w:t xml:space="preserve"> 30-75 require 1 syringe/month which is less than the required quantity for patients with IgE≥76. The PBAC noted </w:t>
      </w:r>
      <w:r>
        <w:rPr>
          <w:rFonts w:ascii="Arial" w:hAnsi="Arial" w:cs="Arial"/>
          <w:bCs/>
          <w:snapToGrid w:val="0"/>
          <w:sz w:val="22"/>
          <w:szCs w:val="22"/>
          <w:lang w:val="en-GB" w:eastAsia="en-US"/>
        </w:rPr>
        <w:t xml:space="preserve">that the listing of omalizumab is likely to </w:t>
      </w:r>
      <w:r w:rsidR="001C3D66">
        <w:rPr>
          <w:rFonts w:ascii="Arial" w:hAnsi="Arial" w:cs="Arial"/>
          <w:bCs/>
          <w:snapToGrid w:val="0"/>
          <w:sz w:val="22"/>
          <w:szCs w:val="22"/>
          <w:lang w:val="en-GB" w:eastAsia="en-US"/>
        </w:rPr>
        <w:t>cost less than $1</w:t>
      </w:r>
      <w:r w:rsidR="00791609">
        <w:rPr>
          <w:rFonts w:ascii="Arial" w:hAnsi="Arial" w:cs="Arial"/>
          <w:bCs/>
          <w:snapToGrid w:val="0"/>
          <w:sz w:val="22"/>
          <w:szCs w:val="22"/>
          <w:lang w:val="en-GB" w:eastAsia="en-US"/>
        </w:rPr>
        <w:t>0</w:t>
      </w:r>
      <w:r w:rsidR="001C3D66">
        <w:rPr>
          <w:rFonts w:ascii="Arial" w:hAnsi="Arial" w:cs="Arial"/>
          <w:bCs/>
          <w:snapToGrid w:val="0"/>
          <w:sz w:val="22"/>
          <w:szCs w:val="22"/>
          <w:lang w:val="en-GB" w:eastAsia="en-US"/>
        </w:rPr>
        <w:t xml:space="preserve"> million</w:t>
      </w:r>
      <w:r w:rsidR="00327DD7">
        <w:rPr>
          <w:rFonts w:ascii="Arial" w:hAnsi="Arial" w:cs="Arial"/>
          <w:bCs/>
          <w:snapToGrid w:val="0"/>
          <w:sz w:val="22"/>
          <w:szCs w:val="22"/>
          <w:lang w:val="en-GB" w:eastAsia="en-US"/>
        </w:rPr>
        <w:t xml:space="preserve"> over the next five years</w:t>
      </w:r>
      <w:r w:rsidR="009117BC">
        <w:rPr>
          <w:rFonts w:ascii="Arial" w:hAnsi="Arial" w:cs="Arial"/>
          <w:bCs/>
          <w:snapToGrid w:val="0"/>
          <w:sz w:val="22"/>
          <w:szCs w:val="22"/>
          <w:lang w:val="en-GB" w:eastAsia="en-US"/>
        </w:rPr>
        <w:t>.</w:t>
      </w:r>
    </w:p>
    <w:p w:rsidR="009117BC" w:rsidRDefault="009117BC" w:rsidP="009117BC">
      <w:pPr>
        <w:widowControl w:val="0"/>
        <w:spacing w:after="120"/>
        <w:ind w:left="720"/>
        <w:contextualSpacing/>
        <w:jc w:val="both"/>
        <w:rPr>
          <w:rFonts w:ascii="Arial" w:hAnsi="Arial" w:cs="Arial"/>
          <w:bCs/>
          <w:snapToGrid w:val="0"/>
          <w:sz w:val="22"/>
          <w:szCs w:val="22"/>
          <w:lang w:val="en-GB" w:eastAsia="en-US"/>
        </w:rPr>
      </w:pPr>
    </w:p>
    <w:p w:rsidR="000B0937" w:rsidRPr="000B0937" w:rsidRDefault="000B0937" w:rsidP="000B0937">
      <w:pPr>
        <w:widowControl w:val="0"/>
        <w:numPr>
          <w:ilvl w:val="1"/>
          <w:numId w:val="25"/>
        </w:numPr>
        <w:jc w:val="both"/>
        <w:rPr>
          <w:rFonts w:ascii="Arial" w:hAnsi="Arial" w:cs="Arial"/>
          <w:bCs/>
          <w:snapToGrid w:val="0"/>
          <w:sz w:val="22"/>
          <w:szCs w:val="22"/>
          <w:lang w:val="en-GB" w:eastAsia="en-US"/>
        </w:rPr>
      </w:pPr>
      <w:r w:rsidRPr="000B0937">
        <w:rPr>
          <w:rFonts w:ascii="Arial" w:hAnsi="Arial" w:cs="Arial"/>
          <w:bCs/>
          <w:snapToGrid w:val="0"/>
          <w:sz w:val="22"/>
          <w:szCs w:val="22"/>
          <w:lang w:val="en-GB" w:eastAsia="en-US"/>
        </w:rPr>
        <w:t xml:space="preserve">The PBAC advised that under subsection 101(3BA) of the </w:t>
      </w:r>
      <w:r w:rsidRPr="000B0937">
        <w:rPr>
          <w:rFonts w:ascii="Arial" w:hAnsi="Arial" w:cs="Arial"/>
          <w:bCs/>
          <w:i/>
          <w:snapToGrid w:val="0"/>
          <w:sz w:val="22"/>
          <w:szCs w:val="22"/>
          <w:lang w:val="en-GB" w:eastAsia="en-US"/>
        </w:rPr>
        <w:t xml:space="preserve">National Health Act </w:t>
      </w:r>
      <w:r w:rsidRPr="000B0937">
        <w:rPr>
          <w:rFonts w:ascii="Arial" w:hAnsi="Arial" w:cs="Arial"/>
          <w:bCs/>
          <w:snapToGrid w:val="0"/>
          <w:sz w:val="22"/>
          <w:szCs w:val="22"/>
          <w:lang w:val="en-GB" w:eastAsia="en-US"/>
        </w:rPr>
        <w:t xml:space="preserve">1953, that </w:t>
      </w:r>
      <w:r>
        <w:rPr>
          <w:rFonts w:ascii="Arial" w:hAnsi="Arial" w:cs="Arial"/>
          <w:bCs/>
          <w:snapToGrid w:val="0"/>
          <w:sz w:val="22"/>
          <w:szCs w:val="22"/>
          <w:lang w:val="en-GB" w:eastAsia="en-US"/>
        </w:rPr>
        <w:t>omalizumab</w:t>
      </w:r>
      <w:r w:rsidRPr="000B0937">
        <w:rPr>
          <w:rFonts w:ascii="Arial" w:hAnsi="Arial" w:cs="Arial"/>
          <w:bCs/>
          <w:snapToGrid w:val="0"/>
          <w:sz w:val="22"/>
          <w:szCs w:val="22"/>
          <w:lang w:val="en-GB" w:eastAsia="en-US"/>
        </w:rPr>
        <w:t xml:space="preserve"> should not be treated as interchangeable on an individual patient basis with any other drug. </w:t>
      </w:r>
    </w:p>
    <w:p w:rsidR="000B0937" w:rsidRPr="000B0937" w:rsidRDefault="000B0937" w:rsidP="000B0937">
      <w:pPr>
        <w:jc w:val="both"/>
        <w:rPr>
          <w:rFonts w:ascii="Arial" w:hAnsi="Arial" w:cs="Arial"/>
          <w:bCs/>
          <w:snapToGrid w:val="0"/>
          <w:sz w:val="22"/>
          <w:szCs w:val="22"/>
          <w:lang w:val="en-GB" w:eastAsia="en-US"/>
        </w:rPr>
      </w:pPr>
    </w:p>
    <w:p w:rsidR="000B0937" w:rsidRPr="000B0937" w:rsidRDefault="000B0937" w:rsidP="000B0937">
      <w:pPr>
        <w:widowControl w:val="0"/>
        <w:numPr>
          <w:ilvl w:val="1"/>
          <w:numId w:val="25"/>
        </w:numPr>
        <w:jc w:val="both"/>
        <w:rPr>
          <w:rFonts w:ascii="Arial" w:hAnsi="Arial" w:cs="Arial"/>
          <w:bCs/>
          <w:snapToGrid w:val="0"/>
          <w:sz w:val="22"/>
          <w:szCs w:val="22"/>
          <w:lang w:val="en-GB" w:eastAsia="en-US"/>
        </w:rPr>
      </w:pPr>
      <w:r w:rsidRPr="000B0937">
        <w:rPr>
          <w:rFonts w:ascii="Arial" w:hAnsi="Arial" w:cs="Arial"/>
          <w:bCs/>
          <w:snapToGrid w:val="0"/>
          <w:sz w:val="22"/>
          <w:szCs w:val="22"/>
          <w:lang w:val="en-GB" w:eastAsia="en-US"/>
        </w:rPr>
        <w:t xml:space="preserve">The PBAC advised that </w:t>
      </w:r>
      <w:r>
        <w:rPr>
          <w:rFonts w:ascii="Arial" w:hAnsi="Arial" w:cs="Arial"/>
          <w:bCs/>
          <w:snapToGrid w:val="0"/>
          <w:sz w:val="22"/>
          <w:szCs w:val="22"/>
          <w:lang w:val="en-GB" w:eastAsia="en-US"/>
        </w:rPr>
        <w:t>omalizumab</w:t>
      </w:r>
      <w:r w:rsidRPr="000B0937">
        <w:rPr>
          <w:rFonts w:ascii="Arial" w:hAnsi="Arial" w:cs="Arial"/>
          <w:bCs/>
          <w:snapToGrid w:val="0"/>
          <w:sz w:val="22"/>
          <w:szCs w:val="22"/>
          <w:lang w:val="en-GB" w:eastAsia="en-US"/>
        </w:rPr>
        <w:t xml:space="preserve"> is not suitable for prescribing by nurse </w:t>
      </w:r>
      <w:r w:rsidRPr="000B0937">
        <w:rPr>
          <w:rFonts w:ascii="Arial" w:hAnsi="Arial" w:cs="Arial"/>
          <w:bCs/>
          <w:snapToGrid w:val="0"/>
          <w:sz w:val="22"/>
          <w:szCs w:val="22"/>
          <w:lang w:val="en-GB" w:eastAsia="en-US"/>
        </w:rPr>
        <w:lastRenderedPageBreak/>
        <w:t>practitioners.</w:t>
      </w:r>
    </w:p>
    <w:p w:rsidR="000B0937" w:rsidRPr="000B0937" w:rsidRDefault="000B0937" w:rsidP="000B0937">
      <w:pPr>
        <w:ind w:left="720"/>
        <w:jc w:val="both"/>
        <w:rPr>
          <w:rFonts w:ascii="Arial" w:hAnsi="Arial" w:cs="Arial"/>
          <w:bCs/>
          <w:snapToGrid w:val="0"/>
          <w:sz w:val="22"/>
          <w:szCs w:val="22"/>
          <w:lang w:val="en-GB" w:eastAsia="en-US"/>
        </w:rPr>
      </w:pPr>
    </w:p>
    <w:p w:rsidR="000B0937" w:rsidRPr="000B0937" w:rsidRDefault="000B0937" w:rsidP="000B0937">
      <w:pPr>
        <w:widowControl w:val="0"/>
        <w:numPr>
          <w:ilvl w:val="1"/>
          <w:numId w:val="25"/>
        </w:numPr>
        <w:jc w:val="both"/>
        <w:rPr>
          <w:rFonts w:ascii="Arial" w:hAnsi="Arial" w:cs="Arial"/>
          <w:bCs/>
          <w:snapToGrid w:val="0"/>
          <w:sz w:val="22"/>
          <w:szCs w:val="22"/>
          <w:lang w:val="en-GB" w:eastAsia="en-US"/>
        </w:rPr>
      </w:pPr>
      <w:r w:rsidRPr="000B0937">
        <w:rPr>
          <w:rFonts w:ascii="Arial" w:hAnsi="Arial" w:cs="Arial"/>
          <w:bCs/>
          <w:snapToGrid w:val="0"/>
          <w:sz w:val="22"/>
          <w:szCs w:val="22"/>
          <w:lang w:val="en-GB" w:eastAsia="en-US"/>
        </w:rPr>
        <w:t>The PBAC recommended that the Safety Net 20 Day rule should not apply.</w:t>
      </w:r>
    </w:p>
    <w:p w:rsidR="000B0937" w:rsidRPr="000B0937" w:rsidRDefault="000B0937" w:rsidP="000B0937">
      <w:pPr>
        <w:jc w:val="both"/>
        <w:rPr>
          <w:rFonts w:ascii="Arial" w:hAnsi="Arial" w:cs="Arial"/>
          <w:bCs/>
          <w:snapToGrid w:val="0"/>
          <w:sz w:val="22"/>
          <w:szCs w:val="22"/>
          <w:lang w:val="en-GB" w:eastAsia="en-US"/>
        </w:rPr>
      </w:pPr>
    </w:p>
    <w:p w:rsidR="000B0937" w:rsidRPr="000B0937" w:rsidRDefault="000B0937" w:rsidP="000B0937">
      <w:pPr>
        <w:widowControl w:val="0"/>
        <w:numPr>
          <w:ilvl w:val="1"/>
          <w:numId w:val="25"/>
        </w:numPr>
        <w:jc w:val="both"/>
        <w:rPr>
          <w:rFonts w:ascii="Arial" w:hAnsi="Arial" w:cs="Arial"/>
          <w:bCs/>
          <w:snapToGrid w:val="0"/>
          <w:sz w:val="22"/>
          <w:szCs w:val="22"/>
          <w:lang w:val="en-GB" w:eastAsia="en-US"/>
        </w:rPr>
      </w:pPr>
      <w:r w:rsidRPr="000B0937">
        <w:rPr>
          <w:rFonts w:ascii="Arial" w:hAnsi="Arial" w:cs="Arial"/>
          <w:bCs/>
          <w:snapToGrid w:val="0"/>
          <w:sz w:val="22"/>
          <w:szCs w:val="22"/>
          <w:lang w:val="en-GB" w:eastAsia="en-US"/>
        </w:rPr>
        <w:t>The submission is not eligible for an Independent Review, because the PBAC has made a positive recommendation.</w:t>
      </w:r>
    </w:p>
    <w:p w:rsidR="00E37B74" w:rsidRPr="00204C5F" w:rsidRDefault="00E37B74" w:rsidP="00E37B74">
      <w:pPr>
        <w:rPr>
          <w:rFonts w:ascii="Arial" w:hAnsi="Arial" w:cs="Arial"/>
          <w:b/>
          <w:snapToGrid w:val="0"/>
          <w:sz w:val="22"/>
          <w:szCs w:val="22"/>
          <w:lang w:val="en-GB" w:eastAsia="en-US"/>
        </w:rPr>
      </w:pPr>
    </w:p>
    <w:p w:rsidR="00E37B74" w:rsidRPr="00204C5F" w:rsidRDefault="00E37B74" w:rsidP="00FC2839">
      <w:pPr>
        <w:pStyle w:val="Heading2"/>
        <w:rPr>
          <w:snapToGrid w:val="0"/>
          <w:lang w:val="en-GB" w:eastAsia="en-US"/>
        </w:rPr>
      </w:pPr>
      <w:r w:rsidRPr="00204C5F">
        <w:rPr>
          <w:snapToGrid w:val="0"/>
          <w:lang w:val="en-GB" w:eastAsia="en-US"/>
        </w:rPr>
        <w:t>Outcome:</w:t>
      </w:r>
    </w:p>
    <w:p w:rsidR="00E37B74" w:rsidRPr="00204C5F" w:rsidRDefault="00E37B74" w:rsidP="00E37B74">
      <w:pPr>
        <w:jc w:val="both"/>
        <w:rPr>
          <w:rFonts w:ascii="Arial" w:hAnsi="Arial" w:cs="Arial"/>
          <w:bCs/>
          <w:snapToGrid w:val="0"/>
          <w:sz w:val="22"/>
          <w:szCs w:val="22"/>
          <w:lang w:val="en-GB" w:eastAsia="en-US"/>
        </w:rPr>
      </w:pPr>
      <w:r w:rsidRPr="00204C5F">
        <w:rPr>
          <w:rFonts w:ascii="Arial" w:hAnsi="Arial" w:cs="Arial"/>
          <w:bCs/>
          <w:snapToGrid w:val="0"/>
          <w:sz w:val="22"/>
          <w:szCs w:val="22"/>
          <w:lang w:val="en-GB" w:eastAsia="en-US"/>
        </w:rPr>
        <w:t>Recommended</w:t>
      </w:r>
    </w:p>
    <w:p w:rsidR="00E37B74" w:rsidRPr="00204C5F" w:rsidRDefault="00E37B74" w:rsidP="00E37B74">
      <w:pPr>
        <w:jc w:val="both"/>
        <w:rPr>
          <w:rFonts w:ascii="Arial" w:hAnsi="Arial" w:cs="Arial"/>
          <w:bCs/>
          <w:snapToGrid w:val="0"/>
          <w:sz w:val="22"/>
          <w:szCs w:val="22"/>
          <w:lang w:val="en-GB" w:eastAsia="en-US"/>
        </w:rPr>
      </w:pPr>
    </w:p>
    <w:p w:rsidR="00E37B74" w:rsidRPr="00F12EE7" w:rsidRDefault="00E37B74" w:rsidP="00FC2839">
      <w:pPr>
        <w:pStyle w:val="Heading1"/>
        <w:rPr>
          <w:snapToGrid w:val="0"/>
          <w:lang w:val="en-GB" w:eastAsia="en-US"/>
        </w:rPr>
      </w:pPr>
      <w:r w:rsidRPr="000B0937">
        <w:rPr>
          <w:snapToGrid w:val="0"/>
          <w:lang w:val="en-GB" w:eastAsia="en-US"/>
        </w:rPr>
        <w:t>Recommended listing</w:t>
      </w:r>
    </w:p>
    <w:p w:rsidR="00E37B74" w:rsidRPr="000B0937" w:rsidRDefault="00E37B74" w:rsidP="000B0937">
      <w:pPr>
        <w:widowControl w:val="0"/>
        <w:numPr>
          <w:ilvl w:val="1"/>
          <w:numId w:val="25"/>
        </w:numPr>
        <w:jc w:val="both"/>
        <w:rPr>
          <w:rFonts w:ascii="Arial" w:hAnsi="Arial" w:cs="Arial"/>
          <w:bCs/>
          <w:snapToGrid w:val="0"/>
          <w:sz w:val="22"/>
          <w:szCs w:val="22"/>
          <w:lang w:eastAsia="en-US"/>
        </w:rPr>
      </w:pPr>
      <w:r w:rsidRPr="000B0937">
        <w:rPr>
          <w:rFonts w:ascii="Arial" w:hAnsi="Arial" w:cs="Arial"/>
          <w:bCs/>
          <w:snapToGrid w:val="0"/>
          <w:sz w:val="22"/>
          <w:szCs w:val="22"/>
          <w:lang w:eastAsia="en-US"/>
        </w:rPr>
        <w:t>Amend existing listing as follows:</w:t>
      </w:r>
    </w:p>
    <w:p w:rsidR="00E37B74" w:rsidRPr="000E195B" w:rsidRDefault="00E37B74" w:rsidP="00E37B74">
      <w:pPr>
        <w:widowControl w:val="0"/>
        <w:jc w:val="both"/>
        <w:rPr>
          <w:rFonts w:ascii="Arial" w:hAnsi="Arial" w:cs="Arial"/>
          <w:bCs/>
          <w:snapToGrid w:val="0"/>
          <w:sz w:val="22"/>
          <w:szCs w:val="22"/>
          <w:lang w:eastAsia="en-US"/>
        </w:rPr>
      </w:pPr>
      <w:r w:rsidRPr="000E195B">
        <w:rPr>
          <w:rFonts w:ascii="Arial" w:hAnsi="Arial" w:cs="Arial"/>
          <w:bCs/>
          <w:snapToGrid w:val="0"/>
          <w:sz w:val="22"/>
          <w:szCs w:val="22"/>
          <w:lang w:eastAsia="en-US"/>
        </w:rPr>
        <w:t xml:space="preserve"> </w:t>
      </w:r>
    </w:p>
    <w:p w:rsidR="00E37B74" w:rsidRDefault="00EE552C" w:rsidP="00E37B74">
      <w:pPr>
        <w:ind w:left="720"/>
        <w:jc w:val="both"/>
        <w:rPr>
          <w:rFonts w:ascii="Arial" w:hAnsi="Arial" w:cs="Arial"/>
          <w:sz w:val="22"/>
          <w:szCs w:val="22"/>
        </w:rPr>
      </w:pPr>
      <w:r w:rsidRPr="00F42A53">
        <w:rPr>
          <w:rFonts w:ascii="Arial" w:hAnsi="Arial" w:cs="Arial"/>
          <w:sz w:val="22"/>
          <w:szCs w:val="22"/>
        </w:rPr>
        <w:t xml:space="preserve">Item numbers 10110D, </w:t>
      </w:r>
      <w:r w:rsidR="00F42A53" w:rsidRPr="00F42A53">
        <w:rPr>
          <w:rFonts w:ascii="Arial" w:hAnsi="Arial" w:cs="Arial"/>
          <w:sz w:val="22"/>
          <w:szCs w:val="22"/>
        </w:rPr>
        <w:t xml:space="preserve">10118M, 10109C, </w:t>
      </w:r>
      <w:r w:rsidRPr="00F42A53">
        <w:rPr>
          <w:rFonts w:ascii="Arial" w:hAnsi="Arial" w:cs="Arial"/>
          <w:sz w:val="22"/>
          <w:szCs w:val="22"/>
        </w:rPr>
        <w:t>10122R</w:t>
      </w:r>
    </w:p>
    <w:p w:rsidR="00F42A53" w:rsidRPr="00F42A53" w:rsidRDefault="00F42A53" w:rsidP="00E37B74">
      <w:pPr>
        <w:ind w:left="720"/>
        <w:jc w:val="both"/>
        <w:rPr>
          <w:rFonts w:ascii="Arial" w:hAnsi="Arial" w:cs="Arial"/>
          <w:sz w:val="22"/>
          <w:szCs w:val="22"/>
        </w:rPr>
      </w:pPr>
    </w:p>
    <w:p w:rsidR="00E37B74" w:rsidRDefault="009E5B49" w:rsidP="00E37B74">
      <w:pPr>
        <w:jc w:val="both"/>
        <w:rPr>
          <w:rFonts w:ascii="Arial" w:hAnsi="Arial"/>
          <w:sz w:val="22"/>
          <w:szCs w:val="22"/>
        </w:rPr>
      </w:pPr>
      <w:r>
        <w:rPr>
          <w:rFonts w:ascii="Arial" w:hAnsi="Arial"/>
          <w:sz w:val="22"/>
          <w:szCs w:val="22"/>
        </w:rPr>
        <w:t xml:space="preserve">“Patient must have total serum human immunoglobulin E </w:t>
      </w:r>
      <w:r w:rsidR="008F7E37" w:rsidRPr="0024414C">
        <w:rPr>
          <w:rFonts w:ascii="Arial" w:hAnsi="Arial"/>
          <w:sz w:val="22"/>
          <w:szCs w:val="22"/>
        </w:rPr>
        <w:t xml:space="preserve">greater than or equal to </w:t>
      </w:r>
      <w:r w:rsidR="008F7E37" w:rsidRPr="0024414C">
        <w:rPr>
          <w:rFonts w:ascii="Arial" w:hAnsi="Arial"/>
          <w:sz w:val="22"/>
          <w:szCs w:val="22"/>
          <w:u w:val="single"/>
        </w:rPr>
        <w:t>76 IU/ml</w:t>
      </w:r>
      <w:r>
        <w:rPr>
          <w:rFonts w:ascii="Arial" w:hAnsi="Arial"/>
          <w:sz w:val="22"/>
          <w:szCs w:val="22"/>
        </w:rPr>
        <w:t>”</w:t>
      </w:r>
    </w:p>
    <w:p w:rsidR="008F7E37" w:rsidRDefault="00002CD8" w:rsidP="00E37B74">
      <w:pPr>
        <w:jc w:val="both"/>
        <w:rPr>
          <w:rFonts w:ascii="Arial" w:hAnsi="Arial"/>
          <w:sz w:val="22"/>
          <w:szCs w:val="22"/>
        </w:rPr>
      </w:pPr>
      <w:proofErr w:type="gramStart"/>
      <w:r>
        <w:rPr>
          <w:rFonts w:ascii="Arial" w:hAnsi="Arial"/>
          <w:sz w:val="22"/>
          <w:szCs w:val="22"/>
        </w:rPr>
        <w:t>to</w:t>
      </w:r>
      <w:proofErr w:type="gramEnd"/>
    </w:p>
    <w:p w:rsidR="008F7E37" w:rsidRDefault="009E5B49" w:rsidP="00E37B74">
      <w:pPr>
        <w:jc w:val="both"/>
        <w:rPr>
          <w:rFonts w:ascii="Arial" w:hAnsi="Arial" w:cs="Arial"/>
          <w:b/>
          <w:sz w:val="22"/>
          <w:szCs w:val="22"/>
        </w:rPr>
      </w:pPr>
      <w:r>
        <w:rPr>
          <w:rFonts w:ascii="Arial" w:hAnsi="Arial"/>
          <w:sz w:val="22"/>
          <w:szCs w:val="22"/>
        </w:rPr>
        <w:t>“</w:t>
      </w:r>
      <w:r w:rsidRPr="009E5B49">
        <w:rPr>
          <w:rFonts w:ascii="Arial" w:hAnsi="Arial"/>
          <w:sz w:val="22"/>
          <w:szCs w:val="22"/>
        </w:rPr>
        <w:t xml:space="preserve">Patient must have total serum </w:t>
      </w:r>
      <w:r w:rsidR="008F7E37" w:rsidRPr="0024414C">
        <w:rPr>
          <w:rFonts w:ascii="Arial" w:hAnsi="Arial"/>
          <w:sz w:val="22"/>
          <w:szCs w:val="22"/>
        </w:rPr>
        <w:t>human immunoglobulin E (</w:t>
      </w:r>
      <w:proofErr w:type="spellStart"/>
      <w:r w:rsidR="008F7E37" w:rsidRPr="0024414C">
        <w:rPr>
          <w:rFonts w:ascii="Arial" w:hAnsi="Arial"/>
          <w:sz w:val="22"/>
          <w:szCs w:val="22"/>
        </w:rPr>
        <w:t>IgE</w:t>
      </w:r>
      <w:proofErr w:type="spellEnd"/>
      <w:r w:rsidR="008F7E37" w:rsidRPr="0024414C">
        <w:rPr>
          <w:rFonts w:ascii="Arial" w:hAnsi="Arial"/>
          <w:sz w:val="22"/>
          <w:szCs w:val="22"/>
        </w:rPr>
        <w:t xml:space="preserve">) greater than or equal to </w:t>
      </w:r>
      <w:r w:rsidR="008F7E37" w:rsidRPr="0024414C">
        <w:rPr>
          <w:rFonts w:ascii="Arial" w:hAnsi="Arial"/>
          <w:sz w:val="22"/>
          <w:szCs w:val="22"/>
          <w:u w:val="single"/>
        </w:rPr>
        <w:t>30</w:t>
      </w:r>
      <w:r w:rsidR="00002CD8">
        <w:rPr>
          <w:rFonts w:ascii="Arial" w:hAnsi="Arial"/>
          <w:sz w:val="22"/>
          <w:szCs w:val="22"/>
          <w:u w:val="single"/>
        </w:rPr>
        <w:t> </w:t>
      </w:r>
      <w:r w:rsidR="008F7E37" w:rsidRPr="0024414C">
        <w:rPr>
          <w:rFonts w:ascii="Arial" w:hAnsi="Arial"/>
          <w:sz w:val="22"/>
          <w:szCs w:val="22"/>
          <w:u w:val="single"/>
        </w:rPr>
        <w:t>IU/ml</w:t>
      </w:r>
      <w:r>
        <w:rPr>
          <w:rFonts w:ascii="Arial" w:hAnsi="Arial"/>
          <w:sz w:val="22"/>
          <w:szCs w:val="22"/>
        </w:rPr>
        <w:t>”</w:t>
      </w:r>
    </w:p>
    <w:p w:rsidR="00E37B74" w:rsidRDefault="00E37B74" w:rsidP="00FC2839">
      <w:pPr>
        <w:spacing w:line="480" w:lineRule="auto"/>
        <w:jc w:val="both"/>
        <w:rPr>
          <w:rFonts w:ascii="Arial" w:hAnsi="Arial" w:cs="Arial"/>
          <w:b/>
          <w:sz w:val="22"/>
          <w:szCs w:val="22"/>
        </w:rPr>
      </w:pPr>
    </w:p>
    <w:p w:rsidR="00070BCC" w:rsidRPr="002A5741" w:rsidRDefault="00070BCC" w:rsidP="00FC2839">
      <w:pPr>
        <w:pStyle w:val="Heading1"/>
        <w:rPr>
          <w:rFonts w:eastAsia="SimSun"/>
        </w:rPr>
      </w:pPr>
      <w:r w:rsidRPr="002A5741">
        <w:rPr>
          <w:rFonts w:eastAsia="SimSun"/>
        </w:rPr>
        <w:t>Context for Decision</w:t>
      </w:r>
    </w:p>
    <w:p w:rsidR="00070BCC" w:rsidRDefault="00070BCC" w:rsidP="00070BCC">
      <w:pPr>
        <w:ind w:left="720"/>
        <w:contextualSpacing/>
        <w:rPr>
          <w:b/>
        </w:rPr>
      </w:pPr>
    </w:p>
    <w:p w:rsidR="00070BCC" w:rsidRPr="009D7BEE" w:rsidRDefault="00070BCC" w:rsidP="00070BCC">
      <w:pPr>
        <w:ind w:left="720"/>
        <w:rPr>
          <w:rFonts w:ascii="Arial" w:hAnsi="Arial" w:cs="Arial"/>
          <w:bCs/>
          <w:sz w:val="22"/>
          <w:szCs w:val="22"/>
        </w:rPr>
      </w:pPr>
      <w:r w:rsidRPr="009D7BEE">
        <w:rPr>
          <w:rFonts w:ascii="Arial" w:hAnsi="Arial" w:cs="Arial"/>
          <w:bCs/>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070BCC" w:rsidRDefault="00070BCC" w:rsidP="00FC2839">
      <w:pPr>
        <w:spacing w:line="480" w:lineRule="auto"/>
      </w:pPr>
    </w:p>
    <w:p w:rsidR="00070BCC" w:rsidRPr="002A5741" w:rsidRDefault="00070BCC" w:rsidP="00FC2839">
      <w:pPr>
        <w:pStyle w:val="Heading1"/>
        <w:rPr>
          <w:rFonts w:eastAsia="SimSun"/>
        </w:rPr>
      </w:pPr>
      <w:r w:rsidRPr="002A5741">
        <w:rPr>
          <w:rFonts w:eastAsia="SimSun"/>
        </w:rPr>
        <w:t>Sponsor’s Comment</w:t>
      </w:r>
    </w:p>
    <w:p w:rsidR="00070BCC" w:rsidRDefault="00070BCC" w:rsidP="00070BCC">
      <w:pPr>
        <w:tabs>
          <w:tab w:val="left" w:pos="2940"/>
        </w:tabs>
        <w:rPr>
          <w:szCs w:val="22"/>
        </w:rPr>
      </w:pPr>
    </w:p>
    <w:p w:rsidR="00791609" w:rsidRPr="00DB10AB" w:rsidRDefault="00791609" w:rsidP="00791609">
      <w:pPr>
        <w:ind w:left="720"/>
        <w:jc w:val="both"/>
        <w:rPr>
          <w:rFonts w:ascii="Arial" w:hAnsi="Arial" w:cs="Arial"/>
          <w:sz w:val="22"/>
          <w:szCs w:val="22"/>
        </w:rPr>
      </w:pPr>
      <w:r w:rsidRPr="00DB10AB">
        <w:rPr>
          <w:rFonts w:ascii="Arial" w:hAnsi="Arial" w:cs="Arial"/>
          <w:sz w:val="22"/>
          <w:szCs w:val="22"/>
        </w:rPr>
        <w:t xml:space="preserve">Novartis is very pleased that patients with </w:t>
      </w:r>
      <w:r w:rsidRPr="005E16D6">
        <w:rPr>
          <w:rFonts w:ascii="Arial" w:hAnsi="Arial" w:cs="Arial"/>
          <w:sz w:val="22"/>
          <w:szCs w:val="22"/>
        </w:rPr>
        <w:t xml:space="preserve">total serum </w:t>
      </w:r>
      <w:proofErr w:type="spellStart"/>
      <w:r>
        <w:rPr>
          <w:rFonts w:ascii="Arial" w:hAnsi="Arial" w:cs="Arial"/>
          <w:sz w:val="22"/>
          <w:szCs w:val="22"/>
        </w:rPr>
        <w:t>Ig</w:t>
      </w:r>
      <w:r w:rsidRPr="005E16D6">
        <w:rPr>
          <w:rFonts w:ascii="Arial" w:hAnsi="Arial" w:cs="Arial"/>
          <w:sz w:val="22"/>
          <w:szCs w:val="22"/>
        </w:rPr>
        <w:t>E</w:t>
      </w:r>
      <w:proofErr w:type="spellEnd"/>
      <w:r>
        <w:rPr>
          <w:rFonts w:ascii="Arial" w:hAnsi="Arial" w:cs="Arial"/>
          <w:sz w:val="22"/>
          <w:szCs w:val="22"/>
        </w:rPr>
        <w:t xml:space="preserve"> 30 to 75 IU/mL who meet other PBS criteria will now be eligible to trial omalizumab for management of their severe allergic asthma. Novartis wishes to thank the consumer and physician organisations that supported improved patient access to omalizumab, as well as the PBAC and government.</w:t>
      </w:r>
    </w:p>
    <w:p w:rsidR="00F64CC1" w:rsidRDefault="00F64CC1" w:rsidP="00B055DF">
      <w:pPr>
        <w:jc w:val="both"/>
        <w:rPr>
          <w:rFonts w:ascii="Arial" w:hAnsi="Arial"/>
          <w:sz w:val="22"/>
          <w:szCs w:val="22"/>
        </w:rPr>
      </w:pPr>
    </w:p>
    <w:sectPr w:rsidR="00F64CC1"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F5C" w:rsidRDefault="00BA3F5C">
      <w:r>
        <w:separator/>
      </w:r>
    </w:p>
    <w:p w:rsidR="00BA3F5C" w:rsidRDefault="00BA3F5C"/>
  </w:endnote>
  <w:endnote w:type="continuationSeparator" w:id="0">
    <w:p w:rsidR="00BA3F5C" w:rsidRDefault="00BA3F5C">
      <w:r>
        <w:continuationSeparator/>
      </w:r>
    </w:p>
    <w:p w:rsidR="00BA3F5C" w:rsidRDefault="00BA3F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42A53" w:rsidTr="005A3173">
      <w:trPr>
        <w:trHeight w:val="151"/>
      </w:trPr>
      <w:tc>
        <w:tcPr>
          <w:tcW w:w="2250" w:type="pct"/>
          <w:tcBorders>
            <w:top w:val="nil"/>
            <w:left w:val="nil"/>
            <w:bottom w:val="single" w:sz="4" w:space="0" w:color="4F81BD"/>
            <w:right w:val="nil"/>
          </w:tcBorders>
        </w:tcPr>
        <w:p w:rsidR="00F42A53" w:rsidRPr="005A3173" w:rsidRDefault="00F42A5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42A53" w:rsidRPr="005A3173" w:rsidRDefault="00F42A5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42A53" w:rsidRPr="005A3173" w:rsidRDefault="00F42A53" w:rsidP="005A3173">
          <w:pPr>
            <w:pStyle w:val="Header"/>
            <w:spacing w:line="276" w:lineRule="auto"/>
            <w:rPr>
              <w:rFonts w:ascii="Calibri" w:eastAsia="MS Gothic" w:hAnsi="Calibri"/>
              <w:b/>
              <w:bCs/>
              <w:color w:val="4F81BD"/>
            </w:rPr>
          </w:pPr>
        </w:p>
      </w:tc>
    </w:tr>
    <w:tr w:rsidR="00F42A53" w:rsidTr="005A3173">
      <w:trPr>
        <w:trHeight w:val="150"/>
      </w:trPr>
      <w:tc>
        <w:tcPr>
          <w:tcW w:w="2250" w:type="pct"/>
          <w:tcBorders>
            <w:top w:val="single" w:sz="4" w:space="0" w:color="4F81BD"/>
            <w:left w:val="nil"/>
            <w:bottom w:val="nil"/>
            <w:right w:val="nil"/>
          </w:tcBorders>
        </w:tcPr>
        <w:p w:rsidR="00F42A53" w:rsidRPr="005A3173" w:rsidRDefault="00F42A53" w:rsidP="005A3173">
          <w:pPr>
            <w:pStyle w:val="Header"/>
            <w:spacing w:line="276" w:lineRule="auto"/>
            <w:rPr>
              <w:rFonts w:ascii="Calibri" w:eastAsia="MS Gothic" w:hAnsi="Calibri"/>
              <w:b/>
              <w:bCs/>
              <w:color w:val="4F81BD"/>
            </w:rPr>
          </w:pPr>
        </w:p>
      </w:tc>
      <w:tc>
        <w:tcPr>
          <w:tcW w:w="0" w:type="auto"/>
          <w:vMerge/>
          <w:vAlign w:val="center"/>
          <w:hideMark/>
        </w:tcPr>
        <w:p w:rsidR="00F42A53" w:rsidRPr="005A3173" w:rsidRDefault="00F42A53" w:rsidP="005A3173">
          <w:pPr>
            <w:rPr>
              <w:rFonts w:ascii="Calibri" w:hAnsi="Calibri"/>
              <w:color w:val="365F91"/>
              <w:sz w:val="22"/>
              <w:szCs w:val="22"/>
            </w:rPr>
          </w:pPr>
        </w:p>
      </w:tc>
      <w:tc>
        <w:tcPr>
          <w:tcW w:w="2250" w:type="pct"/>
          <w:tcBorders>
            <w:top w:val="single" w:sz="4" w:space="0" w:color="4F81BD"/>
            <w:left w:val="nil"/>
            <w:bottom w:val="nil"/>
            <w:right w:val="nil"/>
          </w:tcBorders>
        </w:tcPr>
        <w:p w:rsidR="00F42A53" w:rsidRPr="005A3173" w:rsidRDefault="00F42A53" w:rsidP="005A3173">
          <w:pPr>
            <w:pStyle w:val="Header"/>
            <w:spacing w:line="276" w:lineRule="auto"/>
            <w:rPr>
              <w:rFonts w:ascii="Calibri" w:eastAsia="MS Gothic" w:hAnsi="Calibri"/>
              <w:b/>
              <w:bCs/>
              <w:color w:val="4F81BD"/>
            </w:rPr>
          </w:pPr>
        </w:p>
      </w:tc>
    </w:tr>
  </w:tbl>
  <w:p w:rsidR="00F42A53" w:rsidRDefault="00F42A53"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2A53" w:rsidRDefault="00F42A53">
    <w:pPr>
      <w:pStyle w:val="Footer"/>
    </w:pPr>
  </w:p>
  <w:p w:rsidR="00F42A53" w:rsidRDefault="00F42A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0"/>
      </w:rPr>
      <w:id w:val="968634919"/>
      <w:docPartObj>
        <w:docPartGallery w:val="Page Numbers (Bottom of Page)"/>
        <w:docPartUnique/>
      </w:docPartObj>
    </w:sdtPr>
    <w:sdtEndPr>
      <w:rPr>
        <w:noProof/>
      </w:rPr>
    </w:sdtEndPr>
    <w:sdtContent>
      <w:p w:rsidR="00F42A53" w:rsidRPr="00FC2839" w:rsidRDefault="00F42A53" w:rsidP="00E37B74">
        <w:pPr>
          <w:pStyle w:val="Footer"/>
          <w:jc w:val="center"/>
          <w:rPr>
            <w:rFonts w:ascii="Arial" w:hAnsi="Arial" w:cs="Arial"/>
            <w:sz w:val="22"/>
            <w:szCs w:val="20"/>
          </w:rPr>
        </w:pPr>
        <w:r w:rsidRPr="00FC2839">
          <w:rPr>
            <w:rFonts w:ascii="Arial" w:hAnsi="Arial" w:cs="Arial"/>
            <w:sz w:val="22"/>
            <w:szCs w:val="20"/>
          </w:rPr>
          <w:fldChar w:fldCharType="begin"/>
        </w:r>
        <w:r w:rsidRPr="00FC2839">
          <w:rPr>
            <w:rFonts w:ascii="Arial" w:hAnsi="Arial" w:cs="Arial"/>
            <w:sz w:val="22"/>
            <w:szCs w:val="20"/>
          </w:rPr>
          <w:instrText xml:space="preserve"> PAGE   \* MERGEFORMAT </w:instrText>
        </w:r>
        <w:r w:rsidRPr="00FC2839">
          <w:rPr>
            <w:rFonts w:ascii="Arial" w:hAnsi="Arial" w:cs="Arial"/>
            <w:sz w:val="22"/>
            <w:szCs w:val="20"/>
          </w:rPr>
          <w:fldChar w:fldCharType="separate"/>
        </w:r>
        <w:r w:rsidR="0033103D">
          <w:rPr>
            <w:rFonts w:ascii="Arial" w:hAnsi="Arial" w:cs="Arial"/>
            <w:noProof/>
            <w:sz w:val="22"/>
            <w:szCs w:val="20"/>
          </w:rPr>
          <w:t>1</w:t>
        </w:r>
        <w:r w:rsidRPr="00FC2839">
          <w:rPr>
            <w:rFonts w:ascii="Arial" w:hAnsi="Arial" w:cs="Arial"/>
            <w:noProof/>
            <w:sz w:val="22"/>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F42A53" w:rsidTr="005A3173">
      <w:trPr>
        <w:trHeight w:val="151"/>
      </w:trPr>
      <w:tc>
        <w:tcPr>
          <w:tcW w:w="2250" w:type="pct"/>
          <w:tcBorders>
            <w:top w:val="nil"/>
            <w:left w:val="nil"/>
            <w:bottom w:val="single" w:sz="4" w:space="0" w:color="4F81BD"/>
            <w:right w:val="nil"/>
          </w:tcBorders>
        </w:tcPr>
        <w:p w:rsidR="00F42A53" w:rsidRPr="005A3173" w:rsidRDefault="00F42A5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42A53" w:rsidRPr="005A3173" w:rsidRDefault="00F42A5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42A53" w:rsidRPr="005A3173" w:rsidRDefault="00F42A53" w:rsidP="005A3173">
          <w:pPr>
            <w:pStyle w:val="Header"/>
            <w:spacing w:line="276" w:lineRule="auto"/>
            <w:rPr>
              <w:rFonts w:ascii="Calibri" w:eastAsia="MS Gothic" w:hAnsi="Calibri"/>
              <w:b/>
              <w:bCs/>
              <w:color w:val="4F81BD"/>
            </w:rPr>
          </w:pPr>
        </w:p>
      </w:tc>
    </w:tr>
    <w:tr w:rsidR="00F42A53" w:rsidTr="005A3173">
      <w:trPr>
        <w:trHeight w:val="150"/>
      </w:trPr>
      <w:tc>
        <w:tcPr>
          <w:tcW w:w="2250" w:type="pct"/>
          <w:tcBorders>
            <w:top w:val="single" w:sz="4" w:space="0" w:color="4F81BD"/>
            <w:left w:val="nil"/>
            <w:bottom w:val="nil"/>
            <w:right w:val="nil"/>
          </w:tcBorders>
        </w:tcPr>
        <w:p w:rsidR="00F42A53" w:rsidRPr="005A3173" w:rsidRDefault="00F42A53" w:rsidP="005A3173">
          <w:pPr>
            <w:pStyle w:val="Header"/>
            <w:spacing w:line="276" w:lineRule="auto"/>
            <w:rPr>
              <w:rFonts w:ascii="Calibri" w:eastAsia="MS Gothic" w:hAnsi="Calibri"/>
              <w:b/>
              <w:bCs/>
              <w:color w:val="4F81BD"/>
            </w:rPr>
          </w:pPr>
        </w:p>
      </w:tc>
      <w:tc>
        <w:tcPr>
          <w:tcW w:w="0" w:type="auto"/>
          <w:vMerge/>
          <w:vAlign w:val="center"/>
          <w:hideMark/>
        </w:tcPr>
        <w:p w:rsidR="00F42A53" w:rsidRPr="005A3173" w:rsidRDefault="00F42A53" w:rsidP="005A3173">
          <w:pPr>
            <w:rPr>
              <w:rFonts w:ascii="Calibri" w:hAnsi="Calibri"/>
              <w:color w:val="365F91"/>
              <w:sz w:val="22"/>
              <w:szCs w:val="22"/>
            </w:rPr>
          </w:pPr>
        </w:p>
      </w:tc>
      <w:tc>
        <w:tcPr>
          <w:tcW w:w="2250" w:type="pct"/>
          <w:tcBorders>
            <w:top w:val="single" w:sz="4" w:space="0" w:color="4F81BD"/>
            <w:left w:val="nil"/>
            <w:bottom w:val="nil"/>
            <w:right w:val="nil"/>
          </w:tcBorders>
        </w:tcPr>
        <w:p w:rsidR="00F42A53" w:rsidRPr="005A3173" w:rsidRDefault="00F42A53"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42A53" w:rsidTr="005A3173">
      <w:trPr>
        <w:trHeight w:val="151"/>
      </w:trPr>
      <w:tc>
        <w:tcPr>
          <w:tcW w:w="2250" w:type="pct"/>
          <w:tcBorders>
            <w:top w:val="nil"/>
            <w:left w:val="nil"/>
            <w:bottom w:val="single" w:sz="4" w:space="0" w:color="4F81BD"/>
            <w:right w:val="nil"/>
          </w:tcBorders>
        </w:tcPr>
        <w:p w:rsidR="00F42A53" w:rsidRPr="005A3173" w:rsidRDefault="00F42A5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42A53" w:rsidRPr="005A3173" w:rsidRDefault="00F42A5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42A53" w:rsidRPr="005A3173" w:rsidRDefault="00F42A53" w:rsidP="005A3173">
          <w:pPr>
            <w:pStyle w:val="Header"/>
            <w:spacing w:line="276" w:lineRule="auto"/>
            <w:rPr>
              <w:rFonts w:ascii="Calibri" w:eastAsia="MS Gothic" w:hAnsi="Calibri"/>
              <w:b/>
              <w:bCs/>
              <w:color w:val="4F81BD"/>
            </w:rPr>
          </w:pPr>
        </w:p>
      </w:tc>
    </w:tr>
    <w:tr w:rsidR="00F42A53" w:rsidTr="005A3173">
      <w:trPr>
        <w:trHeight w:val="150"/>
      </w:trPr>
      <w:tc>
        <w:tcPr>
          <w:tcW w:w="2250" w:type="pct"/>
          <w:tcBorders>
            <w:top w:val="single" w:sz="4" w:space="0" w:color="4F81BD"/>
            <w:left w:val="nil"/>
            <w:bottom w:val="nil"/>
            <w:right w:val="nil"/>
          </w:tcBorders>
        </w:tcPr>
        <w:p w:rsidR="00F42A53" w:rsidRPr="005A3173" w:rsidRDefault="00F42A53" w:rsidP="005A3173">
          <w:pPr>
            <w:pStyle w:val="Header"/>
            <w:spacing w:line="276" w:lineRule="auto"/>
            <w:rPr>
              <w:rFonts w:ascii="Calibri" w:eastAsia="MS Gothic" w:hAnsi="Calibri"/>
              <w:b/>
              <w:bCs/>
              <w:color w:val="4F81BD"/>
            </w:rPr>
          </w:pPr>
        </w:p>
      </w:tc>
      <w:tc>
        <w:tcPr>
          <w:tcW w:w="0" w:type="auto"/>
          <w:vMerge/>
          <w:vAlign w:val="center"/>
          <w:hideMark/>
        </w:tcPr>
        <w:p w:rsidR="00F42A53" w:rsidRPr="005A3173" w:rsidRDefault="00F42A53" w:rsidP="005A3173">
          <w:pPr>
            <w:rPr>
              <w:rFonts w:ascii="Calibri" w:hAnsi="Calibri"/>
              <w:color w:val="365F91"/>
              <w:sz w:val="22"/>
              <w:szCs w:val="22"/>
            </w:rPr>
          </w:pPr>
        </w:p>
      </w:tc>
      <w:tc>
        <w:tcPr>
          <w:tcW w:w="2250" w:type="pct"/>
          <w:tcBorders>
            <w:top w:val="single" w:sz="4" w:space="0" w:color="4F81BD"/>
            <w:left w:val="nil"/>
            <w:bottom w:val="nil"/>
            <w:right w:val="nil"/>
          </w:tcBorders>
        </w:tcPr>
        <w:p w:rsidR="00F42A53" w:rsidRPr="005A3173" w:rsidRDefault="00F42A53" w:rsidP="005A3173">
          <w:pPr>
            <w:pStyle w:val="Header"/>
            <w:spacing w:line="276" w:lineRule="auto"/>
            <w:rPr>
              <w:rFonts w:ascii="Calibri" w:eastAsia="MS Gothic" w:hAnsi="Calibri"/>
              <w:b/>
              <w:bCs/>
              <w:color w:val="4F81BD"/>
            </w:rPr>
          </w:pPr>
        </w:p>
      </w:tc>
    </w:tr>
  </w:tbl>
  <w:p w:rsidR="00F42A53" w:rsidRPr="007C0F57" w:rsidRDefault="00F42A53"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F42A53" w:rsidRPr="007C0F57" w:rsidRDefault="00F42A53" w:rsidP="007C0F57">
    <w:pPr>
      <w:pStyle w:val="Footer"/>
      <w:jc w:val="center"/>
      <w:rPr>
        <w:b/>
        <w:i/>
        <w:sz w:val="20"/>
        <w:szCs w:val="20"/>
      </w:rPr>
    </w:pPr>
    <w:r w:rsidRPr="007C0F57">
      <w:rPr>
        <w:b/>
        <w:i/>
        <w:sz w:val="20"/>
        <w:szCs w:val="20"/>
      </w:rPr>
      <w:t>Commercial-in-Confidence</w:t>
    </w:r>
  </w:p>
  <w:p w:rsidR="00F42A53" w:rsidRDefault="00F42A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F5C" w:rsidRDefault="00BA3F5C">
      <w:r>
        <w:separator/>
      </w:r>
    </w:p>
    <w:p w:rsidR="00BA3F5C" w:rsidRDefault="00BA3F5C"/>
  </w:footnote>
  <w:footnote w:type="continuationSeparator" w:id="0">
    <w:p w:rsidR="00BA3F5C" w:rsidRDefault="00BA3F5C">
      <w:r>
        <w:continuationSeparator/>
      </w:r>
    </w:p>
    <w:p w:rsidR="00BA3F5C" w:rsidRDefault="00BA3F5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42A53" w:rsidRPr="008E0D90" w:rsidTr="00A06225">
      <w:trPr>
        <w:trHeight w:val="151"/>
      </w:trPr>
      <w:tc>
        <w:tcPr>
          <w:tcW w:w="2389" w:type="pct"/>
          <w:tcBorders>
            <w:top w:val="nil"/>
            <w:left w:val="nil"/>
            <w:bottom w:val="single" w:sz="4" w:space="0" w:color="4F81BD"/>
            <w:right w:val="nil"/>
          </w:tcBorders>
        </w:tcPr>
        <w:p w:rsidR="00F42A53" w:rsidRPr="00A06225" w:rsidRDefault="00F42A53">
          <w:pPr>
            <w:pStyle w:val="Header"/>
            <w:spacing w:line="276" w:lineRule="auto"/>
            <w:rPr>
              <w:rFonts w:ascii="Cambria" w:eastAsia="MS Gothic" w:hAnsi="Cambria"/>
              <w:b/>
              <w:bCs/>
              <w:color w:val="4F81BD"/>
            </w:rPr>
          </w:pPr>
        </w:p>
      </w:tc>
      <w:tc>
        <w:tcPr>
          <w:tcW w:w="333" w:type="pct"/>
          <w:vMerge w:val="restart"/>
          <w:noWrap/>
          <w:vAlign w:val="center"/>
          <w:hideMark/>
        </w:tcPr>
        <w:p w:rsidR="00F42A53" w:rsidRPr="00A06225" w:rsidRDefault="00F42A53"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42A53" w:rsidRPr="00A06225" w:rsidRDefault="00F42A53">
          <w:pPr>
            <w:pStyle w:val="Header"/>
            <w:spacing w:line="276" w:lineRule="auto"/>
            <w:rPr>
              <w:rFonts w:ascii="Cambria" w:eastAsia="MS Gothic" w:hAnsi="Cambria"/>
              <w:b/>
              <w:bCs/>
              <w:color w:val="4F81BD"/>
            </w:rPr>
          </w:pPr>
        </w:p>
      </w:tc>
    </w:tr>
    <w:tr w:rsidR="00F42A53" w:rsidRPr="008E0D90" w:rsidTr="00A06225">
      <w:trPr>
        <w:trHeight w:val="150"/>
      </w:trPr>
      <w:tc>
        <w:tcPr>
          <w:tcW w:w="2389" w:type="pct"/>
          <w:tcBorders>
            <w:top w:val="single" w:sz="4" w:space="0" w:color="4F81BD"/>
            <w:left w:val="nil"/>
            <w:bottom w:val="nil"/>
            <w:right w:val="nil"/>
          </w:tcBorders>
        </w:tcPr>
        <w:p w:rsidR="00F42A53" w:rsidRPr="00A06225" w:rsidRDefault="00F42A53">
          <w:pPr>
            <w:pStyle w:val="Header"/>
            <w:spacing w:line="276" w:lineRule="auto"/>
            <w:rPr>
              <w:rFonts w:ascii="Cambria" w:eastAsia="MS Gothic" w:hAnsi="Cambria"/>
              <w:b/>
              <w:bCs/>
              <w:color w:val="4F81BD"/>
            </w:rPr>
          </w:pPr>
        </w:p>
      </w:tc>
      <w:tc>
        <w:tcPr>
          <w:tcW w:w="0" w:type="auto"/>
          <w:vMerge/>
          <w:vAlign w:val="center"/>
          <w:hideMark/>
        </w:tcPr>
        <w:p w:rsidR="00F42A53" w:rsidRPr="00A06225" w:rsidRDefault="00F42A53">
          <w:pPr>
            <w:rPr>
              <w:rFonts w:ascii="Cambria" w:hAnsi="Cambria"/>
              <w:color w:val="4F81BD"/>
              <w:sz w:val="22"/>
              <w:szCs w:val="22"/>
            </w:rPr>
          </w:pPr>
        </w:p>
      </w:tc>
      <w:tc>
        <w:tcPr>
          <w:tcW w:w="2278" w:type="pct"/>
          <w:tcBorders>
            <w:top w:val="single" w:sz="4" w:space="0" w:color="4F81BD"/>
            <w:left w:val="nil"/>
            <w:bottom w:val="nil"/>
            <w:right w:val="nil"/>
          </w:tcBorders>
        </w:tcPr>
        <w:p w:rsidR="00F42A53" w:rsidRPr="00A06225" w:rsidRDefault="00F42A53">
          <w:pPr>
            <w:pStyle w:val="Header"/>
            <w:spacing w:line="276" w:lineRule="auto"/>
            <w:rPr>
              <w:rFonts w:ascii="Cambria" w:eastAsia="MS Gothic" w:hAnsi="Cambria"/>
              <w:b/>
              <w:bCs/>
              <w:color w:val="4F81BD"/>
            </w:rPr>
          </w:pPr>
        </w:p>
      </w:tc>
    </w:tr>
  </w:tbl>
  <w:p w:rsidR="00F42A53" w:rsidRDefault="00F42A53">
    <w:pPr>
      <w:pStyle w:val="Header"/>
    </w:pPr>
  </w:p>
  <w:p w:rsidR="00F42A53" w:rsidRDefault="00F42A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127" w:rsidRPr="00BE15D7" w:rsidRDefault="00912127" w:rsidP="00912127">
    <w:pPr>
      <w:pStyle w:val="Header"/>
      <w:jc w:val="center"/>
      <w:rPr>
        <w:rFonts w:ascii="Arial" w:hAnsi="Arial" w:cs="Arial"/>
        <w:sz w:val="22"/>
        <w:szCs w:val="22"/>
      </w:rPr>
    </w:pPr>
    <w:r w:rsidRPr="00BE15D7">
      <w:rPr>
        <w:rFonts w:ascii="Arial" w:hAnsi="Arial" w:cs="Arial"/>
        <w:i/>
        <w:color w:val="808080"/>
        <w:sz w:val="22"/>
        <w:szCs w:val="22"/>
      </w:rPr>
      <w:t>Public Summary Document – November 2015 PBAC Meeting</w:t>
    </w:r>
  </w:p>
  <w:p w:rsidR="00F73FBE" w:rsidRPr="00E37B74" w:rsidRDefault="00F73FBE" w:rsidP="00E37B74">
    <w:pPr>
      <w:pStyle w:val="Header"/>
      <w:ind w:left="360"/>
      <w:jc w:val="center"/>
      <w:rPr>
        <w: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57A4460"/>
    <w:multiLevelType w:val="multilevel"/>
    <w:tmpl w:val="3F2CD68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9">
    <w:nsid w:val="15296AB7"/>
    <w:multiLevelType w:val="hybridMultilevel"/>
    <w:tmpl w:val="D91CA3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Trebuchet M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Trebuchet MS"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Trebuchet MS"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11">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3">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4">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6">
    <w:nsid w:val="29DC2290"/>
    <w:multiLevelType w:val="hybridMultilevel"/>
    <w:tmpl w:val="BECAD07C"/>
    <w:lvl w:ilvl="0" w:tplc="7B72568C">
      <w:start w:val="6"/>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7">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20">
    <w:nsid w:val="36F63A02"/>
    <w:multiLevelType w:val="hybridMultilevel"/>
    <w:tmpl w:val="5964A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23">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4">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5">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7">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8">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9">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AC038B1"/>
    <w:multiLevelType w:val="multilevel"/>
    <w:tmpl w:val="3F2CD68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8">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40">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41">
    <w:nsid w:val="72A73DB1"/>
    <w:multiLevelType w:val="hybridMultilevel"/>
    <w:tmpl w:val="CE2626A0"/>
    <w:lvl w:ilvl="0" w:tplc="0F7ECC8C">
      <w:start w:val="5"/>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3">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4">
    <w:nsid w:val="784D033C"/>
    <w:multiLevelType w:val="multilevel"/>
    <w:tmpl w:val="0518D9F2"/>
    <w:lvl w:ilvl="0">
      <w:start w:val="1"/>
      <w:numFmt w:val="decimal"/>
      <w:pStyle w:val="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7">
    <w:nsid w:val="7D877C5B"/>
    <w:multiLevelType w:val="hybridMultilevel"/>
    <w:tmpl w:val="9E8E4F62"/>
    <w:lvl w:ilvl="0" w:tplc="2CA6504A">
      <w:start w:val="6"/>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num w:numId="1">
    <w:abstractNumId w:val="12"/>
  </w:num>
  <w:num w:numId="2">
    <w:abstractNumId w:val="39"/>
  </w:num>
  <w:num w:numId="3">
    <w:abstractNumId w:val="24"/>
  </w:num>
  <w:num w:numId="4">
    <w:abstractNumId w:val="0"/>
  </w:num>
  <w:num w:numId="5">
    <w:abstractNumId w:val="7"/>
  </w:num>
  <w:num w:numId="6">
    <w:abstractNumId w:val="23"/>
  </w:num>
  <w:num w:numId="7">
    <w:abstractNumId w:val="19"/>
  </w:num>
  <w:num w:numId="8">
    <w:abstractNumId w:val="6"/>
  </w:num>
  <w:num w:numId="9">
    <w:abstractNumId w:val="10"/>
  </w:num>
  <w:num w:numId="10">
    <w:abstractNumId w:val="37"/>
  </w:num>
  <w:num w:numId="11">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40"/>
  </w:num>
  <w:num w:numId="15">
    <w:abstractNumId w:val="31"/>
  </w:num>
  <w:num w:numId="16">
    <w:abstractNumId w:val="27"/>
  </w:num>
  <w:num w:numId="17">
    <w:abstractNumId w:val="43"/>
  </w:num>
  <w:num w:numId="18">
    <w:abstractNumId w:val="15"/>
  </w:num>
  <w:num w:numId="19">
    <w:abstractNumId w:val="22"/>
  </w:num>
  <w:num w:numId="20">
    <w:abstractNumId w:val="5"/>
  </w:num>
  <w:num w:numId="21">
    <w:abstractNumId w:val="35"/>
  </w:num>
  <w:num w:numId="22">
    <w:abstractNumId w:val="38"/>
  </w:num>
  <w:num w:numId="23">
    <w:abstractNumId w:val="45"/>
  </w:num>
  <w:num w:numId="24">
    <w:abstractNumId w:val="18"/>
  </w:num>
  <w:num w:numId="25">
    <w:abstractNumId w:val="44"/>
  </w:num>
  <w:num w:numId="26">
    <w:abstractNumId w:val="32"/>
  </w:num>
  <w:num w:numId="27">
    <w:abstractNumId w:val="14"/>
  </w:num>
  <w:num w:numId="28">
    <w:abstractNumId w:val="8"/>
  </w:num>
  <w:num w:numId="29">
    <w:abstractNumId w:val="29"/>
  </w:num>
  <w:num w:numId="30">
    <w:abstractNumId w:val="4"/>
  </w:num>
  <w:num w:numId="31">
    <w:abstractNumId w:val="30"/>
  </w:num>
  <w:num w:numId="32">
    <w:abstractNumId w:val="42"/>
  </w:num>
  <w:num w:numId="33">
    <w:abstractNumId w:val="28"/>
  </w:num>
  <w:num w:numId="34">
    <w:abstractNumId w:val="46"/>
  </w:num>
  <w:num w:numId="35">
    <w:abstractNumId w:val="13"/>
  </w:num>
  <w:num w:numId="36">
    <w:abstractNumId w:val="26"/>
  </w:num>
  <w:num w:numId="37">
    <w:abstractNumId w:val="34"/>
  </w:num>
  <w:num w:numId="38">
    <w:abstractNumId w:val="11"/>
  </w:num>
  <w:num w:numId="39">
    <w:abstractNumId w:val="21"/>
  </w:num>
  <w:num w:numId="40">
    <w:abstractNumId w:val="2"/>
  </w:num>
  <w:num w:numId="41">
    <w:abstractNumId w:val="17"/>
  </w:num>
  <w:num w:numId="42">
    <w:abstractNumId w:val="36"/>
  </w:num>
  <w:num w:numId="43">
    <w:abstractNumId w:val="3"/>
  </w:num>
  <w:num w:numId="44">
    <w:abstractNumId w:val="9"/>
  </w:num>
  <w:num w:numId="45">
    <w:abstractNumId w:val="20"/>
  </w:num>
  <w:num w:numId="46">
    <w:abstractNumId w:val="33"/>
  </w:num>
  <w:num w:numId="47">
    <w:abstractNumId w:val="1"/>
  </w:num>
  <w:num w:numId="48">
    <w:abstractNumId w:val="47"/>
  </w:num>
  <w:num w:numId="49">
    <w:abstractNumId w:val="16"/>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2CD8"/>
    <w:rsid w:val="00011A44"/>
    <w:rsid w:val="0002464A"/>
    <w:rsid w:val="0003106B"/>
    <w:rsid w:val="00036C85"/>
    <w:rsid w:val="000421A1"/>
    <w:rsid w:val="0004240E"/>
    <w:rsid w:val="00045E26"/>
    <w:rsid w:val="00045E91"/>
    <w:rsid w:val="0004626D"/>
    <w:rsid w:val="000514B5"/>
    <w:rsid w:val="00060E64"/>
    <w:rsid w:val="00066755"/>
    <w:rsid w:val="00070BCC"/>
    <w:rsid w:val="00091115"/>
    <w:rsid w:val="000969AD"/>
    <w:rsid w:val="00097C83"/>
    <w:rsid w:val="000B0937"/>
    <w:rsid w:val="000B0D1A"/>
    <w:rsid w:val="000B558D"/>
    <w:rsid w:val="000B5B9A"/>
    <w:rsid w:val="000B68E3"/>
    <w:rsid w:val="000C6996"/>
    <w:rsid w:val="000D23BA"/>
    <w:rsid w:val="000E681E"/>
    <w:rsid w:val="000F42D6"/>
    <w:rsid w:val="000F4E6A"/>
    <w:rsid w:val="00101AED"/>
    <w:rsid w:val="0010551A"/>
    <w:rsid w:val="001107BF"/>
    <w:rsid w:val="0012417C"/>
    <w:rsid w:val="0013309A"/>
    <w:rsid w:val="00142395"/>
    <w:rsid w:val="00142714"/>
    <w:rsid w:val="00143BBC"/>
    <w:rsid w:val="001452ED"/>
    <w:rsid w:val="00152A16"/>
    <w:rsid w:val="00166F0A"/>
    <w:rsid w:val="00173320"/>
    <w:rsid w:val="001830CE"/>
    <w:rsid w:val="00187DD4"/>
    <w:rsid w:val="001918FB"/>
    <w:rsid w:val="00196307"/>
    <w:rsid w:val="001B017F"/>
    <w:rsid w:val="001B5129"/>
    <w:rsid w:val="001B7344"/>
    <w:rsid w:val="001C1195"/>
    <w:rsid w:val="001C3D66"/>
    <w:rsid w:val="001D6591"/>
    <w:rsid w:val="001D6DEB"/>
    <w:rsid w:val="001F00DB"/>
    <w:rsid w:val="001F079B"/>
    <w:rsid w:val="00204C5F"/>
    <w:rsid w:val="002136C4"/>
    <w:rsid w:val="00213CFB"/>
    <w:rsid w:val="002147B5"/>
    <w:rsid w:val="00225A0C"/>
    <w:rsid w:val="00227BA6"/>
    <w:rsid w:val="002310C0"/>
    <w:rsid w:val="0023272D"/>
    <w:rsid w:val="0024414C"/>
    <w:rsid w:val="002522CA"/>
    <w:rsid w:val="00271BA1"/>
    <w:rsid w:val="00272546"/>
    <w:rsid w:val="00277505"/>
    <w:rsid w:val="002864D9"/>
    <w:rsid w:val="0029458F"/>
    <w:rsid w:val="002A104C"/>
    <w:rsid w:val="002A4960"/>
    <w:rsid w:val="002A78A9"/>
    <w:rsid w:val="002B1AE6"/>
    <w:rsid w:val="002B1B95"/>
    <w:rsid w:val="002B30F8"/>
    <w:rsid w:val="002C212F"/>
    <w:rsid w:val="002D695B"/>
    <w:rsid w:val="002E192A"/>
    <w:rsid w:val="002E3153"/>
    <w:rsid w:val="002E72CA"/>
    <w:rsid w:val="00306198"/>
    <w:rsid w:val="00322501"/>
    <w:rsid w:val="00326E79"/>
    <w:rsid w:val="00327DD7"/>
    <w:rsid w:val="0033103D"/>
    <w:rsid w:val="003367EF"/>
    <w:rsid w:val="00341AE4"/>
    <w:rsid w:val="003872CF"/>
    <w:rsid w:val="00393ED4"/>
    <w:rsid w:val="0039782C"/>
    <w:rsid w:val="003A5B4A"/>
    <w:rsid w:val="003B23C5"/>
    <w:rsid w:val="003B2A75"/>
    <w:rsid w:val="003C1445"/>
    <w:rsid w:val="003D2569"/>
    <w:rsid w:val="003D4AC4"/>
    <w:rsid w:val="003D63B7"/>
    <w:rsid w:val="003E468B"/>
    <w:rsid w:val="003F5C8C"/>
    <w:rsid w:val="0040610D"/>
    <w:rsid w:val="00413565"/>
    <w:rsid w:val="00430632"/>
    <w:rsid w:val="00441E65"/>
    <w:rsid w:val="004465BD"/>
    <w:rsid w:val="0045632D"/>
    <w:rsid w:val="00466ADA"/>
    <w:rsid w:val="00476245"/>
    <w:rsid w:val="00485940"/>
    <w:rsid w:val="004974AB"/>
    <w:rsid w:val="004A5A85"/>
    <w:rsid w:val="004B5640"/>
    <w:rsid w:val="004C1BD7"/>
    <w:rsid w:val="004C691D"/>
    <w:rsid w:val="004E681C"/>
    <w:rsid w:val="004E692D"/>
    <w:rsid w:val="00501554"/>
    <w:rsid w:val="00514CD7"/>
    <w:rsid w:val="005319B2"/>
    <w:rsid w:val="00532C74"/>
    <w:rsid w:val="00534E2E"/>
    <w:rsid w:val="00544552"/>
    <w:rsid w:val="00555E24"/>
    <w:rsid w:val="00566277"/>
    <w:rsid w:val="00581932"/>
    <w:rsid w:val="005963BB"/>
    <w:rsid w:val="005969DB"/>
    <w:rsid w:val="005A1C56"/>
    <w:rsid w:val="005A3173"/>
    <w:rsid w:val="005A3223"/>
    <w:rsid w:val="005A3DA3"/>
    <w:rsid w:val="005A52C4"/>
    <w:rsid w:val="005A647F"/>
    <w:rsid w:val="005D03AB"/>
    <w:rsid w:val="005D5017"/>
    <w:rsid w:val="005E075F"/>
    <w:rsid w:val="00601A91"/>
    <w:rsid w:val="00602BA3"/>
    <w:rsid w:val="00611FBF"/>
    <w:rsid w:val="00614159"/>
    <w:rsid w:val="00617BC1"/>
    <w:rsid w:val="00617C00"/>
    <w:rsid w:val="006263BF"/>
    <w:rsid w:val="0062748A"/>
    <w:rsid w:val="00630A2C"/>
    <w:rsid w:val="006318F1"/>
    <w:rsid w:val="00641855"/>
    <w:rsid w:val="00651169"/>
    <w:rsid w:val="00653D69"/>
    <w:rsid w:val="00654E3B"/>
    <w:rsid w:val="00670A76"/>
    <w:rsid w:val="006711AA"/>
    <w:rsid w:val="00672B57"/>
    <w:rsid w:val="00675622"/>
    <w:rsid w:val="0067719A"/>
    <w:rsid w:val="0068768D"/>
    <w:rsid w:val="006906DB"/>
    <w:rsid w:val="006A12A5"/>
    <w:rsid w:val="006A79C8"/>
    <w:rsid w:val="006B0D94"/>
    <w:rsid w:val="006B229F"/>
    <w:rsid w:val="006B485D"/>
    <w:rsid w:val="006C377C"/>
    <w:rsid w:val="006C41F0"/>
    <w:rsid w:val="006C708E"/>
    <w:rsid w:val="006D576B"/>
    <w:rsid w:val="006D68B2"/>
    <w:rsid w:val="006D6EC7"/>
    <w:rsid w:val="006F3138"/>
    <w:rsid w:val="006F5125"/>
    <w:rsid w:val="007174BB"/>
    <w:rsid w:val="00730BE5"/>
    <w:rsid w:val="00763864"/>
    <w:rsid w:val="0076420C"/>
    <w:rsid w:val="0076610D"/>
    <w:rsid w:val="007753C2"/>
    <w:rsid w:val="007838B8"/>
    <w:rsid w:val="007852D6"/>
    <w:rsid w:val="00791609"/>
    <w:rsid w:val="007C0F57"/>
    <w:rsid w:val="007C3C34"/>
    <w:rsid w:val="007C40B6"/>
    <w:rsid w:val="007C6568"/>
    <w:rsid w:val="007C729F"/>
    <w:rsid w:val="007D1795"/>
    <w:rsid w:val="007D56BC"/>
    <w:rsid w:val="007D7AB0"/>
    <w:rsid w:val="007E1155"/>
    <w:rsid w:val="007E1D28"/>
    <w:rsid w:val="007F2641"/>
    <w:rsid w:val="007F7C36"/>
    <w:rsid w:val="00806796"/>
    <w:rsid w:val="00826F6D"/>
    <w:rsid w:val="00833571"/>
    <w:rsid w:val="0083539A"/>
    <w:rsid w:val="00835A0D"/>
    <w:rsid w:val="00841E4D"/>
    <w:rsid w:val="00856DDD"/>
    <w:rsid w:val="00863E68"/>
    <w:rsid w:val="00875C47"/>
    <w:rsid w:val="00882085"/>
    <w:rsid w:val="00883188"/>
    <w:rsid w:val="008868B8"/>
    <w:rsid w:val="00890526"/>
    <w:rsid w:val="00897D58"/>
    <w:rsid w:val="008A1956"/>
    <w:rsid w:val="008A4937"/>
    <w:rsid w:val="008B621C"/>
    <w:rsid w:val="008D11DF"/>
    <w:rsid w:val="008D3C82"/>
    <w:rsid w:val="008D447E"/>
    <w:rsid w:val="008D6E75"/>
    <w:rsid w:val="008D7A41"/>
    <w:rsid w:val="008E3680"/>
    <w:rsid w:val="008E5870"/>
    <w:rsid w:val="008E7DC5"/>
    <w:rsid w:val="008F1434"/>
    <w:rsid w:val="008F7355"/>
    <w:rsid w:val="008F7E37"/>
    <w:rsid w:val="009067B7"/>
    <w:rsid w:val="009117BC"/>
    <w:rsid w:val="00912127"/>
    <w:rsid w:val="0092686B"/>
    <w:rsid w:val="00930937"/>
    <w:rsid w:val="00933E6C"/>
    <w:rsid w:val="009379A5"/>
    <w:rsid w:val="00942160"/>
    <w:rsid w:val="009602C5"/>
    <w:rsid w:val="00964C23"/>
    <w:rsid w:val="009703FD"/>
    <w:rsid w:val="00974C21"/>
    <w:rsid w:val="009952A9"/>
    <w:rsid w:val="009B0F67"/>
    <w:rsid w:val="009B0F8D"/>
    <w:rsid w:val="009C703C"/>
    <w:rsid w:val="009D3CAA"/>
    <w:rsid w:val="009D5364"/>
    <w:rsid w:val="009E38A5"/>
    <w:rsid w:val="009E5B49"/>
    <w:rsid w:val="009F4E46"/>
    <w:rsid w:val="009F5B65"/>
    <w:rsid w:val="009F5F2E"/>
    <w:rsid w:val="00A06225"/>
    <w:rsid w:val="00A128E6"/>
    <w:rsid w:val="00A13516"/>
    <w:rsid w:val="00A37C8D"/>
    <w:rsid w:val="00A5273B"/>
    <w:rsid w:val="00A53A9D"/>
    <w:rsid w:val="00A55FEE"/>
    <w:rsid w:val="00A62C1A"/>
    <w:rsid w:val="00A6426D"/>
    <w:rsid w:val="00A70622"/>
    <w:rsid w:val="00A70977"/>
    <w:rsid w:val="00A8390C"/>
    <w:rsid w:val="00A928BD"/>
    <w:rsid w:val="00AA4D1C"/>
    <w:rsid w:val="00AC5206"/>
    <w:rsid w:val="00AE11A5"/>
    <w:rsid w:val="00AE13E2"/>
    <w:rsid w:val="00AF68CC"/>
    <w:rsid w:val="00B055DF"/>
    <w:rsid w:val="00B205AA"/>
    <w:rsid w:val="00B22E84"/>
    <w:rsid w:val="00B25F75"/>
    <w:rsid w:val="00B43E90"/>
    <w:rsid w:val="00B50C00"/>
    <w:rsid w:val="00B51EAE"/>
    <w:rsid w:val="00B521BF"/>
    <w:rsid w:val="00B56118"/>
    <w:rsid w:val="00B5624D"/>
    <w:rsid w:val="00B6773F"/>
    <w:rsid w:val="00B801BA"/>
    <w:rsid w:val="00B87E88"/>
    <w:rsid w:val="00BA3F5C"/>
    <w:rsid w:val="00BB33A5"/>
    <w:rsid w:val="00BB69F5"/>
    <w:rsid w:val="00BB7EC3"/>
    <w:rsid w:val="00BC0B66"/>
    <w:rsid w:val="00BC4B9A"/>
    <w:rsid w:val="00BD784C"/>
    <w:rsid w:val="00BE3D59"/>
    <w:rsid w:val="00BE5C63"/>
    <w:rsid w:val="00BF068F"/>
    <w:rsid w:val="00BF4CB6"/>
    <w:rsid w:val="00C00DA7"/>
    <w:rsid w:val="00C02703"/>
    <w:rsid w:val="00C12768"/>
    <w:rsid w:val="00C12E3F"/>
    <w:rsid w:val="00C142AF"/>
    <w:rsid w:val="00C27B58"/>
    <w:rsid w:val="00C35996"/>
    <w:rsid w:val="00C5342C"/>
    <w:rsid w:val="00C6256A"/>
    <w:rsid w:val="00C67603"/>
    <w:rsid w:val="00C91449"/>
    <w:rsid w:val="00C92D10"/>
    <w:rsid w:val="00CA4E1A"/>
    <w:rsid w:val="00CB526D"/>
    <w:rsid w:val="00CC2D35"/>
    <w:rsid w:val="00CD0619"/>
    <w:rsid w:val="00CE10C4"/>
    <w:rsid w:val="00CE27B5"/>
    <w:rsid w:val="00CF03A1"/>
    <w:rsid w:val="00D0321E"/>
    <w:rsid w:val="00D1455A"/>
    <w:rsid w:val="00D3280C"/>
    <w:rsid w:val="00D3406A"/>
    <w:rsid w:val="00D4287A"/>
    <w:rsid w:val="00D459AF"/>
    <w:rsid w:val="00D469B2"/>
    <w:rsid w:val="00D741EB"/>
    <w:rsid w:val="00D807BE"/>
    <w:rsid w:val="00D811AD"/>
    <w:rsid w:val="00D84934"/>
    <w:rsid w:val="00D85E5D"/>
    <w:rsid w:val="00D91271"/>
    <w:rsid w:val="00DA2CB5"/>
    <w:rsid w:val="00DA4BAC"/>
    <w:rsid w:val="00DB153B"/>
    <w:rsid w:val="00DB1BBB"/>
    <w:rsid w:val="00DC3ED2"/>
    <w:rsid w:val="00DE6D27"/>
    <w:rsid w:val="00DF217D"/>
    <w:rsid w:val="00DF26A7"/>
    <w:rsid w:val="00E03B3D"/>
    <w:rsid w:val="00E164B3"/>
    <w:rsid w:val="00E16910"/>
    <w:rsid w:val="00E37B74"/>
    <w:rsid w:val="00E44521"/>
    <w:rsid w:val="00E5171A"/>
    <w:rsid w:val="00E65E54"/>
    <w:rsid w:val="00E80155"/>
    <w:rsid w:val="00E848C0"/>
    <w:rsid w:val="00E91B96"/>
    <w:rsid w:val="00E941A1"/>
    <w:rsid w:val="00E95CE3"/>
    <w:rsid w:val="00E974C0"/>
    <w:rsid w:val="00EA2825"/>
    <w:rsid w:val="00EA6C69"/>
    <w:rsid w:val="00EB5088"/>
    <w:rsid w:val="00EB6EED"/>
    <w:rsid w:val="00ED12BB"/>
    <w:rsid w:val="00ED1644"/>
    <w:rsid w:val="00EE552C"/>
    <w:rsid w:val="00EF44A0"/>
    <w:rsid w:val="00EF4FED"/>
    <w:rsid w:val="00F050BD"/>
    <w:rsid w:val="00F05657"/>
    <w:rsid w:val="00F12AD2"/>
    <w:rsid w:val="00F12EE7"/>
    <w:rsid w:val="00F1461F"/>
    <w:rsid w:val="00F16ADB"/>
    <w:rsid w:val="00F25578"/>
    <w:rsid w:val="00F258E5"/>
    <w:rsid w:val="00F300BC"/>
    <w:rsid w:val="00F3334E"/>
    <w:rsid w:val="00F37922"/>
    <w:rsid w:val="00F40A78"/>
    <w:rsid w:val="00F423FF"/>
    <w:rsid w:val="00F42665"/>
    <w:rsid w:val="00F42A53"/>
    <w:rsid w:val="00F50EC4"/>
    <w:rsid w:val="00F57A6D"/>
    <w:rsid w:val="00F6384C"/>
    <w:rsid w:val="00F638CC"/>
    <w:rsid w:val="00F64CC1"/>
    <w:rsid w:val="00F73FBE"/>
    <w:rsid w:val="00F8247A"/>
    <w:rsid w:val="00F91EC5"/>
    <w:rsid w:val="00F9629A"/>
    <w:rsid w:val="00FA3517"/>
    <w:rsid w:val="00FA5883"/>
    <w:rsid w:val="00FA6055"/>
    <w:rsid w:val="00FB322F"/>
    <w:rsid w:val="00FB442F"/>
    <w:rsid w:val="00FC1929"/>
    <w:rsid w:val="00FC2839"/>
    <w:rsid w:val="00FC5B46"/>
    <w:rsid w:val="00FF00BD"/>
    <w:rsid w:val="00FF1ED4"/>
    <w:rsid w:val="00FF2801"/>
    <w:rsid w:val="00FF70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FC2839"/>
    <w:pPr>
      <w:numPr>
        <w:numId w:val="25"/>
      </w:numPr>
      <w:jc w:val="both"/>
      <w:outlineLvl w:val="0"/>
    </w:pPr>
    <w:rPr>
      <w:rFonts w:ascii="Arial" w:hAnsi="Arial"/>
      <w:b/>
      <w:sz w:val="22"/>
      <w:szCs w:val="22"/>
    </w:rPr>
  </w:style>
  <w:style w:type="paragraph" w:styleId="Heading2">
    <w:name w:val="heading 2"/>
    <w:basedOn w:val="Normal"/>
    <w:next w:val="Normal"/>
    <w:qFormat/>
    <w:rsid w:val="00FC2839"/>
    <w:pPr>
      <w:jc w:val="both"/>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aliases w:val="Comment Text Char Char Char,Comment Text Char Char"/>
    <w:basedOn w:val="Normal"/>
    <w:link w:val="CommentTextChar"/>
    <w:rsid w:val="00BB7EC3"/>
    <w:rPr>
      <w:sz w:val="20"/>
      <w:szCs w:val="20"/>
    </w:rPr>
  </w:style>
  <w:style w:type="character" w:customStyle="1" w:styleId="CommentTextChar">
    <w:name w:val="Comment Text Char"/>
    <w:aliases w:val="Comment Text Char Char Char Char,Comment Text Char Char Char1"/>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table" w:customStyle="1" w:styleId="TableGrid1">
    <w:name w:val="Table Grid1"/>
    <w:basedOn w:val="TableNormal"/>
    <w:next w:val="TableGrid"/>
    <w:uiPriority w:val="59"/>
    <w:rsid w:val="00C142AF"/>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B87E88"/>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Footer">
    <w:name w:val="Table Footer"/>
    <w:basedOn w:val="Normal"/>
    <w:qFormat/>
    <w:rsid w:val="00036C85"/>
    <w:pPr>
      <w:widowControl w:val="0"/>
      <w:jc w:val="both"/>
    </w:pPr>
    <w:rPr>
      <w:rFonts w:ascii="Arial Narrow" w:hAnsi="Arial Narrow" w:cs="Arial"/>
      <w:snapToGrid w:val="0"/>
      <w:sz w:val="18"/>
      <w:szCs w:val="20"/>
      <w:lang w:eastAsia="en-US"/>
    </w:rPr>
  </w:style>
  <w:style w:type="paragraph" w:customStyle="1" w:styleId="PBACHeading1">
    <w:name w:val="PBAC Heading 1"/>
    <w:qFormat/>
    <w:rsid w:val="000B0937"/>
    <w:pPr>
      <w:ind w:left="720" w:hanging="720"/>
    </w:pPr>
    <w:rPr>
      <w:rFonts w:ascii="Arial" w:hAnsi="Arial" w:cs="Arial"/>
      <w:b/>
      <w:snapToGrid w:val="0"/>
      <w:sz w:val="22"/>
      <w:szCs w:val="22"/>
      <w:lang w:eastAsia="en-US"/>
    </w:rPr>
  </w:style>
  <w:style w:type="paragraph" w:styleId="Title">
    <w:name w:val="Title"/>
    <w:basedOn w:val="Heading1"/>
    <w:next w:val="Normal"/>
    <w:link w:val="TitleChar"/>
    <w:qFormat/>
    <w:rsid w:val="00FC2839"/>
    <w:pPr>
      <w:jc w:val="left"/>
    </w:pPr>
  </w:style>
  <w:style w:type="character" w:customStyle="1" w:styleId="TitleChar">
    <w:name w:val="Title Char"/>
    <w:basedOn w:val="DefaultParagraphFont"/>
    <w:link w:val="Title"/>
    <w:rsid w:val="00FC2839"/>
    <w:rPr>
      <w:rFonts w:ascii="Arial" w:hAnsi="Arial"/>
      <w:b/>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FC2839"/>
    <w:pPr>
      <w:numPr>
        <w:numId w:val="25"/>
      </w:numPr>
      <w:jc w:val="both"/>
      <w:outlineLvl w:val="0"/>
    </w:pPr>
    <w:rPr>
      <w:rFonts w:ascii="Arial" w:hAnsi="Arial"/>
      <w:b/>
      <w:sz w:val="22"/>
      <w:szCs w:val="22"/>
    </w:rPr>
  </w:style>
  <w:style w:type="paragraph" w:styleId="Heading2">
    <w:name w:val="heading 2"/>
    <w:basedOn w:val="Normal"/>
    <w:next w:val="Normal"/>
    <w:qFormat/>
    <w:rsid w:val="00FC2839"/>
    <w:pPr>
      <w:jc w:val="both"/>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aliases w:val="Comment Text Char Char Char,Comment Text Char Char"/>
    <w:basedOn w:val="Normal"/>
    <w:link w:val="CommentTextChar"/>
    <w:rsid w:val="00BB7EC3"/>
    <w:rPr>
      <w:sz w:val="20"/>
      <w:szCs w:val="20"/>
    </w:rPr>
  </w:style>
  <w:style w:type="character" w:customStyle="1" w:styleId="CommentTextChar">
    <w:name w:val="Comment Text Char"/>
    <w:aliases w:val="Comment Text Char Char Char Char,Comment Text Char Char Char1"/>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table" w:customStyle="1" w:styleId="TableGrid1">
    <w:name w:val="Table Grid1"/>
    <w:basedOn w:val="TableNormal"/>
    <w:next w:val="TableGrid"/>
    <w:uiPriority w:val="59"/>
    <w:rsid w:val="00C142AF"/>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B87E88"/>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Footer">
    <w:name w:val="Table Footer"/>
    <w:basedOn w:val="Normal"/>
    <w:qFormat/>
    <w:rsid w:val="00036C85"/>
    <w:pPr>
      <w:widowControl w:val="0"/>
      <w:jc w:val="both"/>
    </w:pPr>
    <w:rPr>
      <w:rFonts w:ascii="Arial Narrow" w:hAnsi="Arial Narrow" w:cs="Arial"/>
      <w:snapToGrid w:val="0"/>
      <w:sz w:val="18"/>
      <w:szCs w:val="20"/>
      <w:lang w:eastAsia="en-US"/>
    </w:rPr>
  </w:style>
  <w:style w:type="paragraph" w:customStyle="1" w:styleId="PBACHeading1">
    <w:name w:val="PBAC Heading 1"/>
    <w:qFormat/>
    <w:rsid w:val="000B0937"/>
    <w:pPr>
      <w:ind w:left="720" w:hanging="720"/>
    </w:pPr>
    <w:rPr>
      <w:rFonts w:ascii="Arial" w:hAnsi="Arial" w:cs="Arial"/>
      <w:b/>
      <w:snapToGrid w:val="0"/>
      <w:sz w:val="22"/>
      <w:szCs w:val="22"/>
      <w:lang w:eastAsia="en-US"/>
    </w:rPr>
  </w:style>
  <w:style w:type="paragraph" w:styleId="Title">
    <w:name w:val="Title"/>
    <w:basedOn w:val="Heading1"/>
    <w:next w:val="Normal"/>
    <w:link w:val="TitleChar"/>
    <w:qFormat/>
    <w:rsid w:val="00FC2839"/>
    <w:pPr>
      <w:jc w:val="left"/>
    </w:pPr>
  </w:style>
  <w:style w:type="character" w:customStyle="1" w:styleId="TitleChar">
    <w:name w:val="Title Char"/>
    <w:basedOn w:val="DefaultParagraphFont"/>
    <w:link w:val="Title"/>
    <w:rsid w:val="00FC2839"/>
    <w:rPr>
      <w:rFonts w:ascii="Arial" w:hAnsi="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26DAE-AC78-4CBB-ACB9-CE63D3E67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3264</Words>
  <Characters>18138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6.19 OMALIZUMAB</vt:lpstr>
    </vt:vector>
  </TitlesOfParts>
  <LinksUpToDate>false</LinksUpToDate>
  <CharactersWithSpaces>21360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6.19 OMALIZUMAB</dc:title>
  <dc:creator/>
  <cp:lastModifiedBy/>
  <cp:revision>1</cp:revision>
  <dcterms:created xsi:type="dcterms:W3CDTF">2016-03-28T23:58:00Z</dcterms:created>
  <dcterms:modified xsi:type="dcterms:W3CDTF">2016-03-29T00:15:00Z</dcterms:modified>
</cp:coreProperties>
</file>