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343" w:rsidRPr="006412CE" w:rsidRDefault="00A36D49" w:rsidP="006412CE">
      <w:pPr>
        <w:pStyle w:val="Title"/>
        <w:rPr>
          <w:sz w:val="28"/>
          <w:szCs w:val="28"/>
        </w:rPr>
      </w:pPr>
      <w:bookmarkStart w:id="0" w:name="_Toc430009523"/>
      <w:r w:rsidRPr="006412CE">
        <w:rPr>
          <w:sz w:val="28"/>
          <w:szCs w:val="28"/>
        </w:rPr>
        <w:t>7</w:t>
      </w:r>
      <w:r w:rsidR="00433044" w:rsidRPr="006412CE">
        <w:rPr>
          <w:sz w:val="28"/>
          <w:szCs w:val="28"/>
        </w:rPr>
        <w:t>.</w:t>
      </w:r>
      <w:r w:rsidRPr="006412CE">
        <w:rPr>
          <w:sz w:val="28"/>
          <w:szCs w:val="28"/>
        </w:rPr>
        <w:t>05</w:t>
      </w:r>
      <w:r w:rsidR="00B60939" w:rsidRPr="006412CE">
        <w:rPr>
          <w:sz w:val="28"/>
          <w:szCs w:val="28"/>
        </w:rPr>
        <w:tab/>
      </w:r>
      <w:r w:rsidR="008D1343" w:rsidRPr="006412CE">
        <w:rPr>
          <w:sz w:val="28"/>
          <w:szCs w:val="28"/>
        </w:rPr>
        <w:t>NINTEDANIB</w:t>
      </w:r>
    </w:p>
    <w:p w:rsidR="008D1343" w:rsidRPr="006412CE" w:rsidRDefault="008D1343" w:rsidP="006412CE">
      <w:pPr>
        <w:pStyle w:val="StyleTitle14ptFirstline0cm"/>
      </w:pPr>
      <w:r w:rsidRPr="006412CE">
        <w:t>100</w:t>
      </w:r>
      <w:r w:rsidR="008B79AA" w:rsidRPr="006412CE">
        <w:rPr>
          <w:rFonts w:hint="eastAsia"/>
        </w:rPr>
        <w:t> </w:t>
      </w:r>
      <w:r w:rsidR="000E3D3B" w:rsidRPr="006412CE">
        <w:t xml:space="preserve">MG </w:t>
      </w:r>
      <w:r w:rsidRPr="006412CE">
        <w:t>CAPSULE, 60, 150</w:t>
      </w:r>
      <w:r w:rsidR="008B79AA" w:rsidRPr="006412CE">
        <w:rPr>
          <w:rFonts w:hint="eastAsia"/>
        </w:rPr>
        <w:t> </w:t>
      </w:r>
      <w:r w:rsidRPr="006412CE">
        <w:t>MG CAPSULE, 60</w:t>
      </w:r>
      <w:r w:rsidR="000E3D3B" w:rsidRPr="006412CE">
        <w:t xml:space="preserve"> </w:t>
      </w:r>
    </w:p>
    <w:p w:rsidR="00B60939" w:rsidRPr="006412CE" w:rsidRDefault="008D1343" w:rsidP="006412CE">
      <w:pPr>
        <w:pStyle w:val="StyleTitle14ptFirstline0cm"/>
      </w:pPr>
      <w:r w:rsidRPr="006412CE">
        <w:t>OFEV®</w:t>
      </w:r>
      <w:r w:rsidR="00147F8F" w:rsidRPr="006412CE">
        <w:t xml:space="preserve">, </w:t>
      </w:r>
      <w:r w:rsidR="000E3D3B" w:rsidRPr="006412CE">
        <w:t>BOEHRINGER INGELHEIM PTY LTD.</w:t>
      </w:r>
      <w:bookmarkEnd w:id="0"/>
    </w:p>
    <w:p w:rsidR="00B60939" w:rsidRDefault="00B60939" w:rsidP="00207D00"/>
    <w:p w:rsidR="006B326B" w:rsidRDefault="006B326B" w:rsidP="00207D00"/>
    <w:p w:rsidR="00B50DB8" w:rsidRPr="006412CE" w:rsidRDefault="00B50DB8" w:rsidP="006412CE">
      <w:pPr>
        <w:pStyle w:val="Heading1"/>
      </w:pPr>
      <w:bookmarkStart w:id="1" w:name="_Toc430009525"/>
      <w:r w:rsidRPr="006412CE">
        <w:t>Purpose of Application</w:t>
      </w:r>
      <w:bookmarkEnd w:id="1"/>
    </w:p>
    <w:p w:rsidR="00B60939" w:rsidRPr="00882085" w:rsidRDefault="00B60939" w:rsidP="00B60939">
      <w:pPr>
        <w:rPr>
          <w:szCs w:val="22"/>
        </w:rPr>
      </w:pPr>
    </w:p>
    <w:p w:rsidR="002C2775" w:rsidRPr="00B50DB8" w:rsidRDefault="001E238E" w:rsidP="00321D09">
      <w:pPr>
        <w:pStyle w:val="ListParagraph"/>
        <w:widowControl/>
        <w:numPr>
          <w:ilvl w:val="1"/>
          <w:numId w:val="2"/>
        </w:numPr>
        <w:rPr>
          <w:szCs w:val="22"/>
        </w:rPr>
      </w:pPr>
      <w:r w:rsidRPr="004B3DDB">
        <w:t xml:space="preserve">Authority </w:t>
      </w:r>
      <w:r w:rsidR="00462C00">
        <w:t>r</w:t>
      </w:r>
      <w:r w:rsidRPr="004B3DDB">
        <w:t xml:space="preserve">equired listing for </w:t>
      </w:r>
      <w:r w:rsidR="00462C00">
        <w:t>nintedanib</w:t>
      </w:r>
      <w:r w:rsidRPr="004B3DDB">
        <w:t xml:space="preserve"> for treatment of </w:t>
      </w:r>
      <w:r w:rsidR="00462C00">
        <w:t>idiopathic pulmonary fibrosis (IPF)</w:t>
      </w:r>
      <w:r w:rsidRPr="004B3DDB">
        <w:t>.</w:t>
      </w:r>
    </w:p>
    <w:p w:rsidR="004E43B2" w:rsidRDefault="004E43B2" w:rsidP="004B1CB4"/>
    <w:p w:rsidR="00215586" w:rsidRPr="00882085" w:rsidRDefault="00215586" w:rsidP="004B1CB4"/>
    <w:p w:rsidR="00B50DB8" w:rsidRPr="00407F2D" w:rsidRDefault="00B50DB8" w:rsidP="006412CE">
      <w:pPr>
        <w:pStyle w:val="Heading1"/>
      </w:pPr>
      <w:bookmarkStart w:id="2" w:name="_Toc430009526"/>
      <w:r w:rsidRPr="00407F2D">
        <w:t>Requested listing</w:t>
      </w:r>
      <w:bookmarkEnd w:id="2"/>
    </w:p>
    <w:p w:rsidR="00B60939" w:rsidRDefault="00B60939" w:rsidP="004B1CB4"/>
    <w:p w:rsidR="00FF77E4" w:rsidRPr="00882085" w:rsidRDefault="00953F5B" w:rsidP="00953F5B">
      <w:pPr>
        <w:pStyle w:val="ListParagraph"/>
        <w:widowControl/>
        <w:numPr>
          <w:ilvl w:val="1"/>
          <w:numId w:val="2"/>
        </w:numPr>
      </w:pPr>
      <w:r w:rsidRPr="00953F5B">
        <w:t xml:space="preserve">Suggestions and additions proposed by the Secretariat to the requested listing are added in italics and suggested deletions are </w:t>
      </w:r>
      <w:r>
        <w:t>crossed out with strikethrough.</w:t>
      </w:r>
    </w:p>
    <w:p w:rsidR="00617E12" w:rsidRDefault="00617E12" w:rsidP="00617E12"/>
    <w:tbl>
      <w:tblPr>
        <w:tblW w:w="9214" w:type="dxa"/>
        <w:tblInd w:w="108" w:type="dxa"/>
        <w:tblLayout w:type="fixed"/>
        <w:tblLook w:val="0000" w:firstRow="0" w:lastRow="0" w:firstColumn="0" w:lastColumn="0" w:noHBand="0" w:noVBand="0"/>
        <w:tblCaption w:val="Requested listing - initial treatment"/>
      </w:tblPr>
      <w:tblGrid>
        <w:gridCol w:w="2835"/>
        <w:gridCol w:w="426"/>
        <w:gridCol w:w="567"/>
        <w:gridCol w:w="850"/>
        <w:gridCol w:w="1701"/>
        <w:gridCol w:w="1559"/>
        <w:gridCol w:w="1276"/>
      </w:tblGrid>
      <w:tr w:rsidR="00523B05" w:rsidRPr="000A609B" w:rsidTr="00A01F0F">
        <w:trPr>
          <w:cantSplit/>
          <w:trHeight w:val="471"/>
        </w:trPr>
        <w:tc>
          <w:tcPr>
            <w:tcW w:w="3261" w:type="dxa"/>
            <w:gridSpan w:val="2"/>
            <w:tcBorders>
              <w:bottom w:val="single" w:sz="4" w:space="0" w:color="auto"/>
            </w:tcBorders>
          </w:tcPr>
          <w:p w:rsidR="00523B05" w:rsidRPr="000A609B" w:rsidRDefault="00523B05" w:rsidP="00A01F0F">
            <w:pPr>
              <w:keepNext/>
              <w:widowControl/>
              <w:ind w:left="-108"/>
              <w:rPr>
                <w:rFonts w:ascii="Arial Narrow" w:hAnsi="Arial Narrow"/>
                <w:snapToGrid/>
                <w:sz w:val="20"/>
                <w:lang w:eastAsia="en-AU"/>
              </w:rPr>
            </w:pPr>
            <w:r w:rsidRPr="000A609B">
              <w:rPr>
                <w:rFonts w:ascii="Arial Narrow" w:hAnsi="Arial Narrow"/>
                <w:snapToGrid/>
                <w:sz w:val="20"/>
                <w:lang w:eastAsia="en-AU"/>
              </w:rPr>
              <w:t>Name, Restriction,</w:t>
            </w:r>
          </w:p>
          <w:p w:rsidR="00523B05" w:rsidRPr="000A609B" w:rsidRDefault="00523B05" w:rsidP="00A01F0F">
            <w:pPr>
              <w:keepNext/>
              <w:widowControl/>
              <w:ind w:left="-108"/>
              <w:rPr>
                <w:rFonts w:ascii="Arial Narrow" w:hAnsi="Arial Narrow"/>
                <w:snapToGrid/>
                <w:sz w:val="20"/>
                <w:lang w:eastAsia="en-AU"/>
              </w:rPr>
            </w:pPr>
            <w:r w:rsidRPr="000A609B">
              <w:rPr>
                <w:rFonts w:ascii="Arial Narrow" w:hAnsi="Arial Narrow"/>
                <w:snapToGrid/>
                <w:sz w:val="20"/>
                <w:lang w:eastAsia="en-AU"/>
              </w:rPr>
              <w:t>Manner of administration and form</w:t>
            </w:r>
          </w:p>
        </w:tc>
        <w:tc>
          <w:tcPr>
            <w:tcW w:w="567" w:type="dxa"/>
            <w:tcBorders>
              <w:bottom w:val="single" w:sz="4" w:space="0" w:color="auto"/>
            </w:tcBorders>
          </w:tcPr>
          <w:p w:rsidR="00523B05" w:rsidRPr="000A609B" w:rsidRDefault="00523B05" w:rsidP="00A01F0F">
            <w:pPr>
              <w:keepNext/>
              <w:widowControl/>
              <w:ind w:left="-108"/>
              <w:rPr>
                <w:rFonts w:ascii="Arial Narrow" w:hAnsi="Arial Narrow"/>
                <w:snapToGrid/>
                <w:sz w:val="20"/>
                <w:lang w:eastAsia="en-AU"/>
              </w:rPr>
            </w:pPr>
            <w:r w:rsidRPr="000A609B">
              <w:rPr>
                <w:rFonts w:ascii="Arial Narrow" w:hAnsi="Arial Narrow"/>
                <w:snapToGrid/>
                <w:sz w:val="20"/>
                <w:lang w:eastAsia="en-AU"/>
              </w:rPr>
              <w:t>Max.</w:t>
            </w:r>
          </w:p>
          <w:p w:rsidR="00523B05" w:rsidRPr="000A609B" w:rsidRDefault="00523B05" w:rsidP="00A01F0F">
            <w:pPr>
              <w:keepNext/>
              <w:widowControl/>
              <w:ind w:left="-108"/>
              <w:rPr>
                <w:rFonts w:ascii="Arial Narrow" w:hAnsi="Arial Narrow"/>
                <w:snapToGrid/>
                <w:sz w:val="20"/>
                <w:lang w:eastAsia="en-AU"/>
              </w:rPr>
            </w:pPr>
            <w:r w:rsidRPr="000A609B">
              <w:rPr>
                <w:rFonts w:ascii="Arial Narrow" w:hAnsi="Arial Narrow"/>
                <w:snapToGrid/>
                <w:sz w:val="20"/>
                <w:lang w:eastAsia="en-AU"/>
              </w:rPr>
              <w:t>Qty</w:t>
            </w:r>
          </w:p>
        </w:tc>
        <w:tc>
          <w:tcPr>
            <w:tcW w:w="850" w:type="dxa"/>
            <w:tcBorders>
              <w:bottom w:val="single" w:sz="4" w:space="0" w:color="auto"/>
            </w:tcBorders>
          </w:tcPr>
          <w:p w:rsidR="00523B05" w:rsidRPr="000A609B" w:rsidRDefault="00523B05" w:rsidP="00A01F0F">
            <w:pPr>
              <w:keepNext/>
              <w:widowControl/>
              <w:ind w:left="-108"/>
              <w:rPr>
                <w:rFonts w:ascii="Arial Narrow" w:hAnsi="Arial Narrow"/>
                <w:snapToGrid/>
                <w:sz w:val="20"/>
                <w:lang w:eastAsia="en-AU"/>
              </w:rPr>
            </w:pPr>
            <w:r w:rsidRPr="000A609B">
              <w:rPr>
                <w:rFonts w:ascii="Arial Narrow" w:hAnsi="Arial Narrow"/>
                <w:snapToGrid/>
                <w:sz w:val="20"/>
                <w:lang w:eastAsia="en-AU"/>
              </w:rPr>
              <w:t>№.of</w:t>
            </w:r>
          </w:p>
          <w:p w:rsidR="00523B05" w:rsidRPr="000A609B" w:rsidRDefault="00523B05" w:rsidP="00A01F0F">
            <w:pPr>
              <w:keepNext/>
              <w:widowControl/>
              <w:ind w:left="-108"/>
              <w:rPr>
                <w:rFonts w:ascii="Arial Narrow" w:hAnsi="Arial Narrow"/>
                <w:snapToGrid/>
                <w:sz w:val="20"/>
                <w:lang w:eastAsia="en-AU"/>
              </w:rPr>
            </w:pPr>
            <w:r w:rsidRPr="000A609B">
              <w:rPr>
                <w:rFonts w:ascii="Arial Narrow" w:hAnsi="Arial Narrow"/>
                <w:snapToGrid/>
                <w:sz w:val="20"/>
                <w:lang w:eastAsia="en-AU"/>
              </w:rPr>
              <w:t>Rpts</w:t>
            </w:r>
          </w:p>
        </w:tc>
        <w:tc>
          <w:tcPr>
            <w:tcW w:w="1701" w:type="dxa"/>
            <w:tcBorders>
              <w:bottom w:val="single" w:sz="4" w:space="0" w:color="auto"/>
            </w:tcBorders>
          </w:tcPr>
          <w:p w:rsidR="00523B05" w:rsidRPr="000A609B" w:rsidRDefault="00523B05" w:rsidP="00A01F0F">
            <w:pPr>
              <w:keepNext/>
              <w:widowControl/>
              <w:ind w:left="-108"/>
              <w:rPr>
                <w:rFonts w:ascii="Arial Narrow" w:hAnsi="Arial Narrow"/>
                <w:snapToGrid/>
                <w:sz w:val="20"/>
                <w:lang w:eastAsia="en-AU"/>
              </w:rPr>
            </w:pPr>
            <w:r w:rsidRPr="000A609B">
              <w:rPr>
                <w:rFonts w:ascii="Arial Narrow" w:hAnsi="Arial Narrow"/>
                <w:snapToGrid/>
                <w:sz w:val="20"/>
                <w:lang w:eastAsia="en-AU"/>
              </w:rPr>
              <w:t>Dispensed Price for Max. Qty</w:t>
            </w:r>
          </w:p>
        </w:tc>
        <w:tc>
          <w:tcPr>
            <w:tcW w:w="2835" w:type="dxa"/>
            <w:gridSpan w:val="2"/>
            <w:tcBorders>
              <w:bottom w:val="single" w:sz="4" w:space="0" w:color="auto"/>
            </w:tcBorders>
          </w:tcPr>
          <w:p w:rsidR="00523B05" w:rsidRPr="000A609B" w:rsidRDefault="00523B05" w:rsidP="00A01F0F">
            <w:pPr>
              <w:keepNext/>
              <w:widowControl/>
              <w:rPr>
                <w:rFonts w:ascii="Arial Narrow" w:hAnsi="Arial Narrow"/>
                <w:snapToGrid/>
                <w:sz w:val="20"/>
                <w:lang w:val="fr-FR" w:eastAsia="en-AU"/>
              </w:rPr>
            </w:pPr>
            <w:r w:rsidRPr="000A609B">
              <w:rPr>
                <w:rFonts w:ascii="Arial Narrow" w:hAnsi="Arial Narrow"/>
                <w:snapToGrid/>
                <w:sz w:val="20"/>
                <w:lang w:eastAsia="en-AU"/>
              </w:rPr>
              <w:t>Proprietary Name and Manufacturer</w:t>
            </w:r>
          </w:p>
        </w:tc>
      </w:tr>
      <w:tr w:rsidR="00523B05" w:rsidRPr="000A609B" w:rsidTr="00A01F0F">
        <w:trPr>
          <w:cantSplit/>
          <w:trHeight w:val="577"/>
        </w:trPr>
        <w:tc>
          <w:tcPr>
            <w:tcW w:w="3261" w:type="dxa"/>
            <w:gridSpan w:val="2"/>
          </w:tcPr>
          <w:p w:rsidR="00523B05" w:rsidRPr="000A609B" w:rsidRDefault="00523B05" w:rsidP="00A01F0F">
            <w:pPr>
              <w:keepNext/>
              <w:widowControl/>
              <w:ind w:left="-108"/>
              <w:rPr>
                <w:rFonts w:ascii="Arial Narrow" w:hAnsi="Arial Narrow"/>
                <w:snapToGrid/>
                <w:sz w:val="20"/>
                <w:lang w:eastAsia="en-AU"/>
              </w:rPr>
            </w:pPr>
            <w:r w:rsidRPr="000A609B">
              <w:rPr>
                <w:rFonts w:ascii="Arial Narrow" w:hAnsi="Arial Narrow"/>
                <w:smallCaps/>
                <w:snapToGrid/>
                <w:sz w:val="20"/>
                <w:lang w:eastAsia="en-AU"/>
              </w:rPr>
              <w:t xml:space="preserve">NINTEDANIB </w:t>
            </w:r>
          </w:p>
          <w:p w:rsidR="00523B05" w:rsidRPr="000A609B" w:rsidRDefault="00523B05" w:rsidP="00A01F0F">
            <w:pPr>
              <w:keepNext/>
              <w:widowControl/>
              <w:ind w:left="-108"/>
              <w:rPr>
                <w:rFonts w:ascii="Arial Narrow" w:hAnsi="Arial Narrow"/>
                <w:snapToGrid/>
                <w:sz w:val="20"/>
                <w:lang w:eastAsia="en-AU"/>
              </w:rPr>
            </w:pPr>
            <w:r w:rsidRPr="000A609B">
              <w:rPr>
                <w:rFonts w:ascii="Arial Narrow" w:hAnsi="Arial Narrow"/>
                <w:snapToGrid/>
                <w:sz w:val="20"/>
                <w:lang w:eastAsia="en-AU"/>
              </w:rPr>
              <w:t>Oral, Capsule 100</w:t>
            </w:r>
            <w:r w:rsidR="008B79AA">
              <w:rPr>
                <w:rFonts w:ascii="Arial Narrow" w:hAnsi="Arial Narrow"/>
                <w:snapToGrid/>
                <w:sz w:val="20"/>
                <w:lang w:eastAsia="en-AU"/>
              </w:rPr>
              <w:t> </w:t>
            </w:r>
            <w:r w:rsidRPr="000A609B">
              <w:rPr>
                <w:rFonts w:ascii="Arial Narrow" w:hAnsi="Arial Narrow"/>
                <w:snapToGrid/>
                <w:sz w:val="20"/>
                <w:lang w:eastAsia="en-AU"/>
              </w:rPr>
              <w:t>mg, 60</w:t>
            </w:r>
          </w:p>
          <w:p w:rsidR="00523B05" w:rsidRPr="000A609B" w:rsidRDefault="00523B05" w:rsidP="00A01F0F">
            <w:pPr>
              <w:keepNext/>
              <w:widowControl/>
              <w:ind w:left="-108"/>
              <w:rPr>
                <w:rFonts w:ascii="Arial Narrow" w:hAnsi="Arial Narrow"/>
                <w:snapToGrid/>
                <w:sz w:val="20"/>
                <w:lang w:eastAsia="en-AU"/>
              </w:rPr>
            </w:pPr>
            <w:r w:rsidRPr="000A609B">
              <w:rPr>
                <w:rFonts w:ascii="Arial Narrow" w:hAnsi="Arial Narrow"/>
                <w:snapToGrid/>
                <w:sz w:val="20"/>
                <w:lang w:eastAsia="en-AU"/>
              </w:rPr>
              <w:t>Oral, Capsule 150</w:t>
            </w:r>
            <w:r w:rsidR="008B79AA">
              <w:rPr>
                <w:rFonts w:ascii="Arial Narrow" w:hAnsi="Arial Narrow"/>
                <w:snapToGrid/>
                <w:sz w:val="20"/>
                <w:lang w:eastAsia="en-AU"/>
              </w:rPr>
              <w:t> </w:t>
            </w:r>
            <w:r w:rsidRPr="000A609B">
              <w:rPr>
                <w:rFonts w:ascii="Arial Narrow" w:hAnsi="Arial Narrow"/>
                <w:snapToGrid/>
                <w:sz w:val="20"/>
                <w:lang w:eastAsia="en-AU"/>
              </w:rPr>
              <w:t xml:space="preserve">mg, 60 </w:t>
            </w:r>
          </w:p>
        </w:tc>
        <w:tc>
          <w:tcPr>
            <w:tcW w:w="567" w:type="dxa"/>
          </w:tcPr>
          <w:p w:rsidR="00523B05" w:rsidRPr="000A609B" w:rsidRDefault="00523B05" w:rsidP="00A01F0F">
            <w:pPr>
              <w:keepNext/>
              <w:widowControl/>
              <w:ind w:left="-108"/>
              <w:rPr>
                <w:rFonts w:ascii="Arial Narrow" w:hAnsi="Arial Narrow"/>
                <w:snapToGrid/>
                <w:sz w:val="20"/>
                <w:lang w:eastAsia="en-AU"/>
              </w:rPr>
            </w:pPr>
          </w:p>
          <w:p w:rsidR="00523B05" w:rsidRPr="000A609B" w:rsidRDefault="00523B05" w:rsidP="00A01F0F">
            <w:pPr>
              <w:keepNext/>
              <w:widowControl/>
              <w:ind w:left="-108"/>
              <w:rPr>
                <w:rFonts w:ascii="Arial Narrow" w:hAnsi="Arial Narrow"/>
                <w:snapToGrid/>
                <w:sz w:val="20"/>
                <w:lang w:eastAsia="en-AU"/>
              </w:rPr>
            </w:pPr>
            <w:r w:rsidRPr="000A609B">
              <w:rPr>
                <w:rFonts w:ascii="Arial Narrow" w:hAnsi="Arial Narrow"/>
                <w:snapToGrid/>
                <w:sz w:val="20"/>
                <w:lang w:eastAsia="en-AU"/>
              </w:rPr>
              <w:t>1</w:t>
            </w:r>
          </w:p>
          <w:p w:rsidR="00523B05" w:rsidRPr="000A609B" w:rsidRDefault="00523B05" w:rsidP="00A01F0F">
            <w:pPr>
              <w:keepNext/>
              <w:widowControl/>
              <w:ind w:left="-108"/>
              <w:rPr>
                <w:rFonts w:ascii="Arial Narrow" w:hAnsi="Arial Narrow"/>
                <w:snapToGrid/>
                <w:sz w:val="20"/>
                <w:lang w:eastAsia="en-AU"/>
              </w:rPr>
            </w:pPr>
            <w:r w:rsidRPr="000A609B">
              <w:rPr>
                <w:rFonts w:ascii="Arial Narrow" w:hAnsi="Arial Narrow"/>
                <w:snapToGrid/>
                <w:sz w:val="20"/>
                <w:lang w:eastAsia="en-AU"/>
              </w:rPr>
              <w:t>1</w:t>
            </w:r>
          </w:p>
        </w:tc>
        <w:tc>
          <w:tcPr>
            <w:tcW w:w="850" w:type="dxa"/>
          </w:tcPr>
          <w:p w:rsidR="00523B05" w:rsidRPr="000A609B" w:rsidRDefault="00523B05" w:rsidP="00A01F0F">
            <w:pPr>
              <w:keepNext/>
              <w:widowControl/>
              <w:ind w:left="-108"/>
              <w:rPr>
                <w:rFonts w:ascii="Arial Narrow" w:hAnsi="Arial Narrow"/>
                <w:snapToGrid/>
                <w:sz w:val="20"/>
                <w:lang w:eastAsia="en-AU"/>
              </w:rPr>
            </w:pPr>
          </w:p>
          <w:p w:rsidR="00523B05" w:rsidRPr="000A609B" w:rsidRDefault="00523B05" w:rsidP="00A01F0F">
            <w:pPr>
              <w:keepNext/>
              <w:widowControl/>
              <w:ind w:left="-108"/>
              <w:rPr>
                <w:rFonts w:ascii="Arial Narrow" w:hAnsi="Arial Narrow"/>
                <w:snapToGrid/>
                <w:sz w:val="20"/>
                <w:lang w:eastAsia="en-AU"/>
              </w:rPr>
            </w:pPr>
            <w:r w:rsidRPr="000A609B">
              <w:rPr>
                <w:rFonts w:ascii="Arial Narrow" w:hAnsi="Arial Narrow"/>
                <w:snapToGrid/>
                <w:sz w:val="20"/>
                <w:lang w:eastAsia="en-AU"/>
              </w:rPr>
              <w:t>5</w:t>
            </w:r>
          </w:p>
          <w:p w:rsidR="00523B05" w:rsidRPr="000A609B" w:rsidRDefault="00523B05" w:rsidP="00A01F0F">
            <w:pPr>
              <w:keepNext/>
              <w:widowControl/>
              <w:ind w:left="-108"/>
              <w:rPr>
                <w:rFonts w:ascii="Arial Narrow" w:hAnsi="Arial Narrow"/>
                <w:snapToGrid/>
                <w:sz w:val="20"/>
                <w:lang w:eastAsia="en-AU"/>
              </w:rPr>
            </w:pPr>
            <w:r w:rsidRPr="000A609B">
              <w:rPr>
                <w:rFonts w:ascii="Arial Narrow" w:hAnsi="Arial Narrow"/>
                <w:snapToGrid/>
                <w:sz w:val="20"/>
                <w:lang w:eastAsia="en-AU"/>
              </w:rPr>
              <w:t>5</w:t>
            </w:r>
          </w:p>
        </w:tc>
        <w:tc>
          <w:tcPr>
            <w:tcW w:w="1701" w:type="dxa"/>
          </w:tcPr>
          <w:p w:rsidR="00523B05" w:rsidRPr="000A609B" w:rsidRDefault="00523B05" w:rsidP="00A01F0F">
            <w:pPr>
              <w:keepNext/>
              <w:widowControl/>
              <w:ind w:left="-108"/>
              <w:rPr>
                <w:snapToGrid/>
                <w:sz w:val="20"/>
                <w:lang w:eastAsia="en-AU"/>
              </w:rPr>
            </w:pPr>
          </w:p>
          <w:p w:rsidR="00523B05" w:rsidRPr="000A609B" w:rsidRDefault="00523B05" w:rsidP="008B79AA">
            <w:pPr>
              <w:keepNext/>
              <w:widowControl/>
              <w:ind w:left="-108"/>
              <w:rPr>
                <w:snapToGrid/>
                <w:sz w:val="20"/>
                <w:lang w:eastAsia="en-AU"/>
              </w:rPr>
            </w:pPr>
          </w:p>
        </w:tc>
        <w:tc>
          <w:tcPr>
            <w:tcW w:w="1559" w:type="dxa"/>
          </w:tcPr>
          <w:p w:rsidR="00523B05" w:rsidRPr="000A609B" w:rsidRDefault="00523B05" w:rsidP="00A01F0F">
            <w:pPr>
              <w:keepNext/>
              <w:widowControl/>
              <w:rPr>
                <w:rFonts w:ascii="Arial Narrow" w:hAnsi="Arial Narrow"/>
                <w:snapToGrid/>
                <w:sz w:val="20"/>
                <w:lang w:eastAsia="en-AU"/>
              </w:rPr>
            </w:pPr>
            <w:r w:rsidRPr="000A609B">
              <w:rPr>
                <w:rFonts w:ascii="Arial Narrow" w:hAnsi="Arial Narrow"/>
                <w:snapToGrid/>
                <w:sz w:val="20"/>
                <w:lang w:val="en-NZ" w:eastAsia="en-AU"/>
              </w:rPr>
              <w:t>Ofev</w:t>
            </w:r>
            <w:r w:rsidRPr="008B79AA">
              <w:rPr>
                <w:rFonts w:ascii="Arial Narrow" w:hAnsi="Arial Narrow"/>
                <w:snapToGrid/>
                <w:sz w:val="20"/>
                <w:vertAlign w:val="superscript"/>
                <w:lang w:val="en-NZ" w:eastAsia="en-AU"/>
              </w:rPr>
              <w:t>®</w:t>
            </w:r>
          </w:p>
        </w:tc>
        <w:tc>
          <w:tcPr>
            <w:tcW w:w="1276" w:type="dxa"/>
          </w:tcPr>
          <w:p w:rsidR="00523B05" w:rsidRPr="000A609B" w:rsidRDefault="00523B05" w:rsidP="00A01F0F">
            <w:pPr>
              <w:keepNext/>
              <w:widowControl/>
              <w:rPr>
                <w:rFonts w:ascii="Arial Narrow" w:hAnsi="Arial Narrow"/>
                <w:snapToGrid/>
                <w:sz w:val="20"/>
                <w:lang w:eastAsia="en-AU"/>
              </w:rPr>
            </w:pPr>
            <w:r w:rsidRPr="000A609B">
              <w:rPr>
                <w:rFonts w:ascii="Arial Narrow" w:hAnsi="Arial Narrow"/>
                <w:snapToGrid/>
                <w:sz w:val="20"/>
                <w:lang w:val="en-NZ" w:eastAsia="en-AU"/>
              </w:rPr>
              <w:t>BY</w:t>
            </w:r>
          </w:p>
        </w:tc>
      </w:tr>
      <w:tr w:rsidR="00523B05" w:rsidRPr="000A609B" w:rsidTr="00A01F0F">
        <w:trPr>
          <w:cantSplit/>
          <w:trHeight w:val="360"/>
        </w:trPr>
        <w:tc>
          <w:tcPr>
            <w:tcW w:w="9214" w:type="dxa"/>
            <w:gridSpan w:val="7"/>
            <w:tcBorders>
              <w:bottom w:val="single" w:sz="4" w:space="0" w:color="auto"/>
            </w:tcBorders>
          </w:tcPr>
          <w:p w:rsidR="00523B05" w:rsidRPr="000A609B" w:rsidRDefault="00523B05" w:rsidP="00A01F0F">
            <w:pPr>
              <w:widowControl/>
              <w:rPr>
                <w:rFonts w:ascii="Arial Narrow" w:hAnsi="Arial Narrow"/>
                <w:snapToGrid/>
                <w:sz w:val="20"/>
                <w:lang w:eastAsia="en-AU"/>
              </w:rPr>
            </w:pPr>
          </w:p>
        </w:tc>
      </w:tr>
      <w:tr w:rsidR="00523B05" w:rsidRPr="000A609B" w:rsidTr="00A01F0F">
        <w:trPr>
          <w:cantSplit/>
          <w:trHeight w:val="360"/>
        </w:trPr>
        <w:tc>
          <w:tcPr>
            <w:tcW w:w="2835" w:type="dxa"/>
            <w:tcBorders>
              <w:top w:val="single" w:sz="4" w:space="0" w:color="auto"/>
              <w:left w:val="single" w:sz="4" w:space="0" w:color="auto"/>
              <w:bottom w:val="single" w:sz="4" w:space="0" w:color="auto"/>
              <w:right w:val="single" w:sz="4" w:space="0" w:color="auto"/>
            </w:tcBorders>
          </w:tcPr>
          <w:p w:rsidR="00523B05" w:rsidRPr="000A609B" w:rsidRDefault="00523B05" w:rsidP="00E1056C">
            <w:pPr>
              <w:widowControl/>
              <w:rPr>
                <w:rFonts w:ascii="Arial Narrow" w:hAnsi="Arial Narrow"/>
                <w:b/>
                <w:snapToGrid/>
                <w:sz w:val="20"/>
                <w:lang w:eastAsia="en-AU"/>
              </w:rPr>
            </w:pPr>
            <w:r w:rsidRPr="000A609B">
              <w:rPr>
                <w:rFonts w:ascii="Arial Narrow" w:hAnsi="Arial Narrow"/>
                <w:b/>
                <w:snapToGrid/>
                <w:sz w:val="20"/>
                <w:lang w:eastAsia="en-AU"/>
              </w:rPr>
              <w:t>Category / Program</w:t>
            </w:r>
          </w:p>
        </w:tc>
        <w:tc>
          <w:tcPr>
            <w:tcW w:w="6379" w:type="dxa"/>
            <w:gridSpan w:val="6"/>
            <w:tcBorders>
              <w:top w:val="single" w:sz="4" w:space="0" w:color="auto"/>
              <w:left w:val="single" w:sz="4" w:space="0" w:color="auto"/>
              <w:bottom w:val="single" w:sz="4" w:space="0" w:color="auto"/>
              <w:right w:val="single" w:sz="4" w:space="0" w:color="auto"/>
            </w:tcBorders>
          </w:tcPr>
          <w:p w:rsidR="00523B05" w:rsidRPr="000A609B" w:rsidRDefault="00523B05" w:rsidP="00E1056C">
            <w:pPr>
              <w:widowControl/>
              <w:jc w:val="left"/>
              <w:rPr>
                <w:rFonts w:ascii="Arial Narrow" w:hAnsi="Arial Narrow"/>
                <w:snapToGrid/>
                <w:sz w:val="20"/>
                <w:lang w:eastAsia="en-AU"/>
              </w:rPr>
            </w:pPr>
            <w:r w:rsidRPr="000A609B">
              <w:rPr>
                <w:rFonts w:ascii="Arial Narrow" w:hAnsi="Arial Narrow"/>
                <w:snapToGrid/>
                <w:sz w:val="20"/>
                <w:lang w:eastAsia="en-AU"/>
              </w:rPr>
              <w:t>GENERAL – General Schedule (Code GE)</w:t>
            </w:r>
          </w:p>
        </w:tc>
      </w:tr>
      <w:tr w:rsidR="00523B05" w:rsidRPr="000A609B" w:rsidTr="00A01F0F">
        <w:trPr>
          <w:cantSplit/>
          <w:trHeight w:val="360"/>
        </w:trPr>
        <w:tc>
          <w:tcPr>
            <w:tcW w:w="2835" w:type="dxa"/>
            <w:tcBorders>
              <w:top w:val="single" w:sz="4" w:space="0" w:color="auto"/>
              <w:left w:val="single" w:sz="4" w:space="0" w:color="auto"/>
              <w:bottom w:val="single" w:sz="4" w:space="0" w:color="auto"/>
              <w:right w:val="single" w:sz="4" w:space="0" w:color="auto"/>
            </w:tcBorders>
          </w:tcPr>
          <w:p w:rsidR="00523B05" w:rsidRPr="000A609B" w:rsidRDefault="00523B05" w:rsidP="00E1056C">
            <w:pPr>
              <w:widowControl/>
              <w:rPr>
                <w:rFonts w:ascii="Arial Narrow" w:hAnsi="Arial Narrow"/>
                <w:b/>
                <w:snapToGrid/>
                <w:sz w:val="20"/>
                <w:lang w:eastAsia="en-AU"/>
              </w:rPr>
            </w:pPr>
            <w:r w:rsidRPr="000A609B">
              <w:rPr>
                <w:rFonts w:ascii="Arial Narrow" w:hAnsi="Arial Narrow"/>
                <w:b/>
                <w:snapToGrid/>
                <w:sz w:val="20"/>
                <w:lang w:eastAsia="en-AU"/>
              </w:rPr>
              <w:t>Prescriber type:</w:t>
            </w:r>
          </w:p>
        </w:tc>
        <w:tc>
          <w:tcPr>
            <w:tcW w:w="6379" w:type="dxa"/>
            <w:gridSpan w:val="6"/>
            <w:tcBorders>
              <w:top w:val="single" w:sz="4" w:space="0" w:color="auto"/>
              <w:left w:val="single" w:sz="4" w:space="0" w:color="auto"/>
              <w:bottom w:val="single" w:sz="4" w:space="0" w:color="auto"/>
              <w:right w:val="single" w:sz="4" w:space="0" w:color="auto"/>
            </w:tcBorders>
          </w:tcPr>
          <w:p w:rsidR="00523B05" w:rsidRPr="000A609B" w:rsidRDefault="00523B05" w:rsidP="00A01F0F">
            <w:pPr>
              <w:widowControl/>
              <w:jc w:val="left"/>
              <w:rPr>
                <w:rFonts w:ascii="Arial Narrow" w:hAnsi="Arial Narrow"/>
                <w:snapToGrid/>
                <w:sz w:val="20"/>
                <w:lang w:eastAsia="en-AU"/>
              </w:rPr>
            </w:pPr>
            <w:r w:rsidRPr="000A609B">
              <w:rPr>
                <w:rFonts w:ascii="Arial Narrow" w:hAnsi="Arial Narrow"/>
                <w:snapToGrid/>
                <w:sz w:val="20"/>
                <w:lang w:eastAsia="en-AU"/>
              </w:rPr>
              <w:fldChar w:fldCharType="begin">
                <w:ffData>
                  <w:name w:val="Check1"/>
                  <w:enabled/>
                  <w:calcOnExit w:val="0"/>
                  <w:checkBox>
                    <w:sizeAuto/>
                    <w:default w:val="0"/>
                  </w:checkBox>
                </w:ffData>
              </w:fldChar>
            </w:r>
            <w:r w:rsidRPr="000A609B">
              <w:rPr>
                <w:rFonts w:ascii="Arial Narrow" w:hAnsi="Arial Narrow"/>
                <w:snapToGrid/>
                <w:sz w:val="20"/>
                <w:lang w:eastAsia="en-AU"/>
              </w:rPr>
              <w:instrText xml:space="preserve"> FORMCHECKBOX </w:instrText>
            </w:r>
            <w:r w:rsidR="00F146E1">
              <w:rPr>
                <w:rFonts w:ascii="Arial Narrow" w:hAnsi="Arial Narrow"/>
                <w:snapToGrid/>
                <w:sz w:val="20"/>
                <w:lang w:eastAsia="en-AU"/>
              </w:rPr>
            </w:r>
            <w:r w:rsidR="00F146E1">
              <w:rPr>
                <w:rFonts w:ascii="Arial Narrow" w:hAnsi="Arial Narrow"/>
                <w:snapToGrid/>
                <w:sz w:val="20"/>
                <w:lang w:eastAsia="en-AU"/>
              </w:rPr>
              <w:fldChar w:fldCharType="separate"/>
            </w:r>
            <w:r w:rsidRPr="000A609B">
              <w:rPr>
                <w:rFonts w:ascii="Arial Narrow" w:hAnsi="Arial Narrow"/>
                <w:snapToGrid/>
                <w:sz w:val="20"/>
                <w:lang w:eastAsia="en-AU"/>
              </w:rPr>
              <w:fldChar w:fldCharType="end"/>
            </w:r>
            <w:r w:rsidRPr="000A609B">
              <w:rPr>
                <w:rFonts w:ascii="Arial Narrow" w:hAnsi="Arial Narrow"/>
                <w:snapToGrid/>
                <w:sz w:val="20"/>
                <w:lang w:eastAsia="en-AU"/>
              </w:rPr>
              <w:t xml:space="preserve">Dental  </w:t>
            </w:r>
            <w:r w:rsidRPr="000A609B">
              <w:rPr>
                <w:rFonts w:ascii="Arial Narrow" w:hAnsi="Arial Narrow"/>
                <w:snapToGrid/>
                <w:sz w:val="20"/>
                <w:lang w:eastAsia="en-AU"/>
              </w:rPr>
              <w:fldChar w:fldCharType="begin">
                <w:ffData>
                  <w:name w:val=""/>
                  <w:enabled/>
                  <w:calcOnExit w:val="0"/>
                  <w:checkBox>
                    <w:sizeAuto/>
                    <w:default w:val="1"/>
                  </w:checkBox>
                </w:ffData>
              </w:fldChar>
            </w:r>
            <w:r w:rsidRPr="000A609B">
              <w:rPr>
                <w:rFonts w:ascii="Arial Narrow" w:hAnsi="Arial Narrow"/>
                <w:snapToGrid/>
                <w:sz w:val="20"/>
                <w:lang w:eastAsia="en-AU"/>
              </w:rPr>
              <w:instrText xml:space="preserve"> FORMCHECKBOX </w:instrText>
            </w:r>
            <w:r w:rsidR="00F146E1">
              <w:rPr>
                <w:rFonts w:ascii="Arial Narrow" w:hAnsi="Arial Narrow"/>
                <w:snapToGrid/>
                <w:sz w:val="20"/>
                <w:lang w:eastAsia="en-AU"/>
              </w:rPr>
            </w:r>
            <w:r w:rsidR="00F146E1">
              <w:rPr>
                <w:rFonts w:ascii="Arial Narrow" w:hAnsi="Arial Narrow"/>
                <w:snapToGrid/>
                <w:sz w:val="20"/>
                <w:lang w:eastAsia="en-AU"/>
              </w:rPr>
              <w:fldChar w:fldCharType="separate"/>
            </w:r>
            <w:r w:rsidRPr="000A609B">
              <w:rPr>
                <w:rFonts w:ascii="Arial Narrow" w:hAnsi="Arial Narrow"/>
                <w:snapToGrid/>
                <w:sz w:val="20"/>
                <w:lang w:eastAsia="en-AU"/>
              </w:rPr>
              <w:fldChar w:fldCharType="end"/>
            </w:r>
            <w:r w:rsidRPr="000A609B">
              <w:rPr>
                <w:rFonts w:ascii="Arial Narrow" w:hAnsi="Arial Narrow"/>
                <w:snapToGrid/>
                <w:sz w:val="20"/>
                <w:lang w:eastAsia="en-AU"/>
              </w:rPr>
              <w:t xml:space="preserve">Medical Practitioners  </w:t>
            </w:r>
            <w:r w:rsidRPr="000A609B">
              <w:rPr>
                <w:rFonts w:ascii="Arial Narrow" w:hAnsi="Arial Narrow"/>
                <w:snapToGrid/>
                <w:sz w:val="20"/>
                <w:lang w:eastAsia="en-AU"/>
              </w:rPr>
              <w:fldChar w:fldCharType="begin">
                <w:ffData>
                  <w:name w:val="Check3"/>
                  <w:enabled/>
                  <w:calcOnExit w:val="0"/>
                  <w:checkBox>
                    <w:sizeAuto/>
                    <w:default w:val="0"/>
                  </w:checkBox>
                </w:ffData>
              </w:fldChar>
            </w:r>
            <w:r w:rsidRPr="000A609B">
              <w:rPr>
                <w:rFonts w:ascii="Arial Narrow" w:hAnsi="Arial Narrow"/>
                <w:snapToGrid/>
                <w:sz w:val="20"/>
                <w:lang w:eastAsia="en-AU"/>
              </w:rPr>
              <w:instrText xml:space="preserve"> FORMCHECKBOX </w:instrText>
            </w:r>
            <w:r w:rsidR="00F146E1">
              <w:rPr>
                <w:rFonts w:ascii="Arial Narrow" w:hAnsi="Arial Narrow"/>
                <w:snapToGrid/>
                <w:sz w:val="20"/>
                <w:lang w:eastAsia="en-AU"/>
              </w:rPr>
            </w:r>
            <w:r w:rsidR="00F146E1">
              <w:rPr>
                <w:rFonts w:ascii="Arial Narrow" w:hAnsi="Arial Narrow"/>
                <w:snapToGrid/>
                <w:sz w:val="20"/>
                <w:lang w:eastAsia="en-AU"/>
              </w:rPr>
              <w:fldChar w:fldCharType="separate"/>
            </w:r>
            <w:r w:rsidRPr="000A609B">
              <w:rPr>
                <w:rFonts w:ascii="Arial Narrow" w:hAnsi="Arial Narrow"/>
                <w:snapToGrid/>
                <w:sz w:val="20"/>
                <w:lang w:eastAsia="en-AU"/>
              </w:rPr>
              <w:fldChar w:fldCharType="end"/>
            </w:r>
            <w:r w:rsidRPr="000A609B">
              <w:rPr>
                <w:rFonts w:ascii="Arial Narrow" w:hAnsi="Arial Narrow"/>
                <w:snapToGrid/>
                <w:sz w:val="20"/>
                <w:lang w:eastAsia="en-AU"/>
              </w:rPr>
              <w:t xml:space="preserve">Nurse practitioners  </w:t>
            </w:r>
            <w:r w:rsidRPr="000A609B">
              <w:rPr>
                <w:rFonts w:ascii="Arial Narrow" w:hAnsi="Arial Narrow"/>
                <w:snapToGrid/>
                <w:sz w:val="20"/>
                <w:lang w:eastAsia="en-AU"/>
              </w:rPr>
              <w:fldChar w:fldCharType="begin">
                <w:ffData>
                  <w:name w:val=""/>
                  <w:enabled/>
                  <w:calcOnExit w:val="0"/>
                  <w:checkBox>
                    <w:sizeAuto/>
                    <w:default w:val="0"/>
                  </w:checkBox>
                </w:ffData>
              </w:fldChar>
            </w:r>
            <w:r w:rsidRPr="000A609B">
              <w:rPr>
                <w:rFonts w:ascii="Arial Narrow" w:hAnsi="Arial Narrow"/>
                <w:snapToGrid/>
                <w:sz w:val="20"/>
                <w:lang w:eastAsia="en-AU"/>
              </w:rPr>
              <w:instrText xml:space="preserve"> FORMCHECKBOX </w:instrText>
            </w:r>
            <w:r w:rsidR="00F146E1">
              <w:rPr>
                <w:rFonts w:ascii="Arial Narrow" w:hAnsi="Arial Narrow"/>
                <w:snapToGrid/>
                <w:sz w:val="20"/>
                <w:lang w:eastAsia="en-AU"/>
              </w:rPr>
            </w:r>
            <w:r w:rsidR="00F146E1">
              <w:rPr>
                <w:rFonts w:ascii="Arial Narrow" w:hAnsi="Arial Narrow"/>
                <w:snapToGrid/>
                <w:sz w:val="20"/>
                <w:lang w:eastAsia="en-AU"/>
              </w:rPr>
              <w:fldChar w:fldCharType="separate"/>
            </w:r>
            <w:r w:rsidRPr="000A609B">
              <w:rPr>
                <w:rFonts w:ascii="Arial Narrow" w:hAnsi="Arial Narrow"/>
                <w:snapToGrid/>
                <w:sz w:val="20"/>
                <w:lang w:eastAsia="en-AU"/>
              </w:rPr>
              <w:fldChar w:fldCharType="end"/>
            </w:r>
            <w:r w:rsidRPr="000A609B">
              <w:rPr>
                <w:rFonts w:ascii="Arial Narrow" w:hAnsi="Arial Narrow"/>
                <w:snapToGrid/>
                <w:sz w:val="20"/>
                <w:lang w:eastAsia="en-AU"/>
              </w:rPr>
              <w:t>Optometrists</w:t>
            </w:r>
          </w:p>
          <w:p w:rsidR="00523B05" w:rsidRPr="000A609B" w:rsidRDefault="00523B05" w:rsidP="00A01F0F">
            <w:pPr>
              <w:widowControl/>
              <w:jc w:val="left"/>
              <w:rPr>
                <w:rFonts w:ascii="Arial Narrow" w:hAnsi="Arial Narrow"/>
                <w:snapToGrid/>
                <w:sz w:val="20"/>
                <w:lang w:eastAsia="en-AU"/>
              </w:rPr>
            </w:pPr>
            <w:r w:rsidRPr="000A609B">
              <w:rPr>
                <w:rFonts w:ascii="Arial Narrow" w:hAnsi="Arial Narrow"/>
                <w:snapToGrid/>
                <w:sz w:val="20"/>
                <w:lang w:eastAsia="en-AU"/>
              </w:rPr>
              <w:fldChar w:fldCharType="begin">
                <w:ffData>
                  <w:name w:val="Check5"/>
                  <w:enabled/>
                  <w:calcOnExit w:val="0"/>
                  <w:checkBox>
                    <w:sizeAuto/>
                    <w:default w:val="0"/>
                  </w:checkBox>
                </w:ffData>
              </w:fldChar>
            </w:r>
            <w:r w:rsidRPr="000A609B">
              <w:rPr>
                <w:rFonts w:ascii="Arial Narrow" w:hAnsi="Arial Narrow"/>
                <w:snapToGrid/>
                <w:sz w:val="20"/>
                <w:lang w:eastAsia="en-AU"/>
              </w:rPr>
              <w:instrText xml:space="preserve"> FORMCHECKBOX </w:instrText>
            </w:r>
            <w:r w:rsidR="00F146E1">
              <w:rPr>
                <w:rFonts w:ascii="Arial Narrow" w:hAnsi="Arial Narrow"/>
                <w:snapToGrid/>
                <w:sz w:val="20"/>
                <w:lang w:eastAsia="en-AU"/>
              </w:rPr>
            </w:r>
            <w:r w:rsidR="00F146E1">
              <w:rPr>
                <w:rFonts w:ascii="Arial Narrow" w:hAnsi="Arial Narrow"/>
                <w:snapToGrid/>
                <w:sz w:val="20"/>
                <w:lang w:eastAsia="en-AU"/>
              </w:rPr>
              <w:fldChar w:fldCharType="separate"/>
            </w:r>
            <w:r w:rsidRPr="000A609B">
              <w:rPr>
                <w:rFonts w:ascii="Arial Narrow" w:hAnsi="Arial Narrow"/>
                <w:snapToGrid/>
                <w:sz w:val="20"/>
                <w:lang w:eastAsia="en-AU"/>
              </w:rPr>
              <w:fldChar w:fldCharType="end"/>
            </w:r>
            <w:r w:rsidRPr="000A609B">
              <w:rPr>
                <w:rFonts w:ascii="Arial Narrow" w:hAnsi="Arial Narrow"/>
                <w:snapToGrid/>
                <w:sz w:val="20"/>
                <w:lang w:eastAsia="en-AU"/>
              </w:rPr>
              <w:t>Midwives</w:t>
            </w:r>
          </w:p>
        </w:tc>
      </w:tr>
      <w:tr w:rsidR="00523B05" w:rsidRPr="000A609B" w:rsidTr="00A01F0F">
        <w:trPr>
          <w:cantSplit/>
          <w:trHeight w:val="360"/>
        </w:trPr>
        <w:tc>
          <w:tcPr>
            <w:tcW w:w="2835" w:type="dxa"/>
            <w:tcBorders>
              <w:top w:val="single" w:sz="4" w:space="0" w:color="auto"/>
              <w:left w:val="single" w:sz="4" w:space="0" w:color="auto"/>
              <w:bottom w:val="single" w:sz="4" w:space="0" w:color="auto"/>
              <w:right w:val="single" w:sz="4" w:space="0" w:color="auto"/>
            </w:tcBorders>
          </w:tcPr>
          <w:p w:rsidR="00523B05" w:rsidRPr="000A609B" w:rsidRDefault="00523B05" w:rsidP="00A01F0F">
            <w:pPr>
              <w:widowControl/>
              <w:rPr>
                <w:rFonts w:ascii="Arial Narrow" w:hAnsi="Arial Narrow"/>
                <w:b/>
                <w:snapToGrid/>
                <w:sz w:val="20"/>
                <w:lang w:eastAsia="en-AU"/>
              </w:rPr>
            </w:pPr>
            <w:r w:rsidRPr="000A609B">
              <w:rPr>
                <w:rFonts w:ascii="Arial Narrow" w:hAnsi="Arial Narrow"/>
                <w:b/>
                <w:snapToGrid/>
                <w:sz w:val="20"/>
                <w:lang w:eastAsia="en-AU"/>
              </w:rPr>
              <w:t>Episodicity:</w:t>
            </w:r>
          </w:p>
        </w:tc>
        <w:tc>
          <w:tcPr>
            <w:tcW w:w="6379" w:type="dxa"/>
            <w:gridSpan w:val="6"/>
            <w:tcBorders>
              <w:top w:val="single" w:sz="4" w:space="0" w:color="auto"/>
              <w:left w:val="single" w:sz="4" w:space="0" w:color="auto"/>
              <w:bottom w:val="single" w:sz="4" w:space="0" w:color="auto"/>
              <w:right w:val="single" w:sz="4" w:space="0" w:color="auto"/>
            </w:tcBorders>
          </w:tcPr>
          <w:p w:rsidR="00523B05" w:rsidRPr="000A609B" w:rsidRDefault="00523B05" w:rsidP="00A01F0F">
            <w:pPr>
              <w:widowControl/>
              <w:jc w:val="left"/>
              <w:rPr>
                <w:rFonts w:ascii="Arial Narrow" w:hAnsi="Arial Narrow"/>
                <w:snapToGrid/>
                <w:sz w:val="20"/>
                <w:lang w:eastAsia="en-AU"/>
              </w:rPr>
            </w:pPr>
            <w:r w:rsidRPr="000A609B">
              <w:rPr>
                <w:rFonts w:ascii="Arial Narrow" w:hAnsi="Arial Narrow"/>
                <w:snapToGrid/>
                <w:sz w:val="20"/>
                <w:lang w:eastAsia="en-AU"/>
              </w:rPr>
              <w:t>-</w:t>
            </w:r>
          </w:p>
        </w:tc>
      </w:tr>
      <w:tr w:rsidR="00523B05" w:rsidRPr="000A609B" w:rsidTr="00A01F0F">
        <w:trPr>
          <w:cantSplit/>
          <w:trHeight w:val="360"/>
        </w:trPr>
        <w:tc>
          <w:tcPr>
            <w:tcW w:w="2835" w:type="dxa"/>
            <w:tcBorders>
              <w:top w:val="single" w:sz="4" w:space="0" w:color="auto"/>
              <w:left w:val="single" w:sz="4" w:space="0" w:color="auto"/>
              <w:bottom w:val="single" w:sz="4" w:space="0" w:color="auto"/>
              <w:right w:val="single" w:sz="4" w:space="0" w:color="auto"/>
            </w:tcBorders>
          </w:tcPr>
          <w:p w:rsidR="00523B05" w:rsidRPr="000A609B" w:rsidRDefault="00523B05" w:rsidP="00A01F0F">
            <w:pPr>
              <w:widowControl/>
              <w:rPr>
                <w:rFonts w:ascii="Arial Narrow" w:hAnsi="Arial Narrow"/>
                <w:b/>
                <w:snapToGrid/>
                <w:sz w:val="20"/>
                <w:lang w:eastAsia="en-AU"/>
              </w:rPr>
            </w:pPr>
            <w:r w:rsidRPr="000A609B">
              <w:rPr>
                <w:rFonts w:ascii="Arial Narrow" w:hAnsi="Arial Narrow"/>
                <w:b/>
                <w:snapToGrid/>
                <w:sz w:val="20"/>
                <w:lang w:eastAsia="en-AU"/>
              </w:rPr>
              <w:t>Severity:</w:t>
            </w:r>
          </w:p>
        </w:tc>
        <w:tc>
          <w:tcPr>
            <w:tcW w:w="6379" w:type="dxa"/>
            <w:gridSpan w:val="6"/>
            <w:tcBorders>
              <w:top w:val="single" w:sz="4" w:space="0" w:color="auto"/>
              <w:left w:val="single" w:sz="4" w:space="0" w:color="auto"/>
              <w:bottom w:val="single" w:sz="4" w:space="0" w:color="auto"/>
              <w:right w:val="single" w:sz="4" w:space="0" w:color="auto"/>
            </w:tcBorders>
          </w:tcPr>
          <w:p w:rsidR="00523B05" w:rsidRPr="000A609B" w:rsidRDefault="00523B05" w:rsidP="00A01F0F">
            <w:pPr>
              <w:widowControl/>
              <w:jc w:val="left"/>
              <w:rPr>
                <w:rFonts w:ascii="Arial Narrow" w:hAnsi="Arial Narrow"/>
                <w:snapToGrid/>
                <w:sz w:val="20"/>
                <w:lang w:eastAsia="en-AU"/>
              </w:rPr>
            </w:pPr>
            <w:r w:rsidRPr="000A609B">
              <w:rPr>
                <w:rFonts w:ascii="Arial Narrow" w:hAnsi="Arial Narrow"/>
                <w:sz w:val="20"/>
                <w:lang w:eastAsia="en-AU"/>
              </w:rPr>
              <w:t>Mild to moderate</w:t>
            </w:r>
          </w:p>
        </w:tc>
      </w:tr>
      <w:tr w:rsidR="00523B05" w:rsidRPr="000A609B" w:rsidTr="00A01F0F">
        <w:trPr>
          <w:cantSplit/>
          <w:trHeight w:val="360"/>
        </w:trPr>
        <w:tc>
          <w:tcPr>
            <w:tcW w:w="2835" w:type="dxa"/>
            <w:tcBorders>
              <w:top w:val="single" w:sz="4" w:space="0" w:color="auto"/>
              <w:left w:val="single" w:sz="4" w:space="0" w:color="auto"/>
              <w:bottom w:val="single" w:sz="4" w:space="0" w:color="auto"/>
              <w:right w:val="single" w:sz="4" w:space="0" w:color="auto"/>
            </w:tcBorders>
          </w:tcPr>
          <w:p w:rsidR="00523B05" w:rsidRPr="000A609B" w:rsidRDefault="00523B05" w:rsidP="00A01F0F">
            <w:pPr>
              <w:widowControl/>
              <w:rPr>
                <w:rFonts w:ascii="Arial Narrow" w:hAnsi="Arial Narrow"/>
                <w:b/>
                <w:snapToGrid/>
                <w:sz w:val="20"/>
                <w:lang w:eastAsia="en-AU"/>
              </w:rPr>
            </w:pPr>
            <w:r w:rsidRPr="000A609B">
              <w:rPr>
                <w:rFonts w:ascii="Arial Narrow" w:hAnsi="Arial Narrow"/>
                <w:b/>
                <w:snapToGrid/>
                <w:sz w:val="20"/>
                <w:lang w:eastAsia="en-AU"/>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523B05" w:rsidRPr="000A609B" w:rsidRDefault="00523B05" w:rsidP="00A01F0F">
            <w:pPr>
              <w:widowControl/>
              <w:jc w:val="left"/>
              <w:rPr>
                <w:rFonts w:ascii="Arial Narrow" w:hAnsi="Arial Narrow"/>
                <w:snapToGrid/>
                <w:sz w:val="20"/>
                <w:lang w:eastAsia="en-AU"/>
              </w:rPr>
            </w:pPr>
            <w:r w:rsidRPr="000A609B">
              <w:rPr>
                <w:rFonts w:ascii="Arial Narrow" w:hAnsi="Arial Narrow"/>
                <w:sz w:val="20"/>
                <w:lang w:eastAsia="en-AU"/>
              </w:rPr>
              <w:t>Idiopathic pulmonary fibrosis</w:t>
            </w:r>
          </w:p>
        </w:tc>
      </w:tr>
      <w:tr w:rsidR="00523B05" w:rsidRPr="000A609B" w:rsidTr="00A01F0F">
        <w:trPr>
          <w:cantSplit/>
          <w:trHeight w:val="360"/>
        </w:trPr>
        <w:tc>
          <w:tcPr>
            <w:tcW w:w="2835" w:type="dxa"/>
            <w:tcBorders>
              <w:top w:val="single" w:sz="4" w:space="0" w:color="auto"/>
              <w:left w:val="single" w:sz="4" w:space="0" w:color="auto"/>
              <w:bottom w:val="single" w:sz="4" w:space="0" w:color="auto"/>
              <w:right w:val="single" w:sz="4" w:space="0" w:color="auto"/>
            </w:tcBorders>
          </w:tcPr>
          <w:p w:rsidR="00523B05" w:rsidRPr="000A609B" w:rsidRDefault="00523B05" w:rsidP="00A01F0F">
            <w:pPr>
              <w:widowControl/>
              <w:rPr>
                <w:rFonts w:ascii="Arial Narrow" w:hAnsi="Arial Narrow"/>
                <w:b/>
                <w:snapToGrid/>
                <w:sz w:val="20"/>
                <w:lang w:eastAsia="en-AU"/>
              </w:rPr>
            </w:pPr>
            <w:r w:rsidRPr="000A609B">
              <w:rPr>
                <w:rFonts w:ascii="Arial Narrow" w:hAnsi="Arial Narrow"/>
                <w:b/>
                <w:snapToGrid/>
                <w:sz w:val="20"/>
                <w:lang w:eastAsia="en-AU"/>
              </w:rPr>
              <w:t>PBS Indication:</w:t>
            </w:r>
          </w:p>
        </w:tc>
        <w:tc>
          <w:tcPr>
            <w:tcW w:w="6379" w:type="dxa"/>
            <w:gridSpan w:val="6"/>
            <w:tcBorders>
              <w:top w:val="single" w:sz="4" w:space="0" w:color="auto"/>
              <w:left w:val="single" w:sz="4" w:space="0" w:color="auto"/>
              <w:bottom w:val="single" w:sz="4" w:space="0" w:color="auto"/>
              <w:right w:val="single" w:sz="4" w:space="0" w:color="auto"/>
            </w:tcBorders>
          </w:tcPr>
          <w:p w:rsidR="00523B05" w:rsidRPr="000A609B" w:rsidRDefault="00523B05" w:rsidP="00A01F0F">
            <w:pPr>
              <w:widowControl/>
              <w:jc w:val="left"/>
              <w:rPr>
                <w:rFonts w:ascii="Arial Narrow" w:hAnsi="Arial Narrow"/>
                <w:sz w:val="20"/>
                <w:lang w:eastAsia="en-AU"/>
              </w:rPr>
            </w:pPr>
            <w:r w:rsidRPr="000A609B">
              <w:rPr>
                <w:rFonts w:ascii="Arial Narrow" w:hAnsi="Arial Narrow"/>
                <w:iCs/>
                <w:sz w:val="20"/>
                <w:lang w:eastAsia="en-AU"/>
              </w:rPr>
              <w:t>Mild to moderate</w:t>
            </w:r>
            <w:r w:rsidRPr="000A609B">
              <w:rPr>
                <w:rFonts w:ascii="Arial Narrow" w:hAnsi="Arial Narrow"/>
                <w:sz w:val="20"/>
                <w:lang w:eastAsia="en-AU"/>
              </w:rPr>
              <w:t xml:space="preserve"> idiopathic pulmonary fibrosis</w:t>
            </w:r>
          </w:p>
        </w:tc>
      </w:tr>
      <w:tr w:rsidR="00523B05" w:rsidRPr="000A609B" w:rsidTr="00A01F0F">
        <w:trPr>
          <w:cantSplit/>
          <w:trHeight w:val="360"/>
        </w:trPr>
        <w:tc>
          <w:tcPr>
            <w:tcW w:w="2835" w:type="dxa"/>
            <w:tcBorders>
              <w:top w:val="single" w:sz="4" w:space="0" w:color="auto"/>
              <w:left w:val="single" w:sz="4" w:space="0" w:color="auto"/>
              <w:bottom w:val="single" w:sz="4" w:space="0" w:color="auto"/>
              <w:right w:val="single" w:sz="4" w:space="0" w:color="auto"/>
            </w:tcBorders>
          </w:tcPr>
          <w:p w:rsidR="00523B05" w:rsidRPr="000A609B" w:rsidRDefault="00523B05" w:rsidP="008B79AA">
            <w:pPr>
              <w:widowControl/>
              <w:rPr>
                <w:rFonts w:ascii="Arial Narrow" w:hAnsi="Arial Narrow"/>
                <w:i/>
                <w:snapToGrid/>
                <w:sz w:val="20"/>
                <w:lang w:eastAsia="en-AU"/>
              </w:rPr>
            </w:pPr>
            <w:r w:rsidRPr="000A609B">
              <w:rPr>
                <w:rFonts w:ascii="Arial Narrow" w:hAnsi="Arial Narrow"/>
                <w:b/>
                <w:snapToGrid/>
                <w:sz w:val="20"/>
                <w:lang w:eastAsia="en-AU"/>
              </w:rPr>
              <w:t>Treatment phase:</w:t>
            </w:r>
          </w:p>
        </w:tc>
        <w:tc>
          <w:tcPr>
            <w:tcW w:w="6379" w:type="dxa"/>
            <w:gridSpan w:val="6"/>
            <w:tcBorders>
              <w:top w:val="single" w:sz="4" w:space="0" w:color="auto"/>
              <w:left w:val="single" w:sz="4" w:space="0" w:color="auto"/>
              <w:bottom w:val="single" w:sz="4" w:space="0" w:color="auto"/>
              <w:right w:val="single" w:sz="4" w:space="0" w:color="auto"/>
            </w:tcBorders>
          </w:tcPr>
          <w:p w:rsidR="00523B05" w:rsidRPr="000A609B" w:rsidRDefault="00523B05" w:rsidP="00A01F0F">
            <w:pPr>
              <w:widowControl/>
              <w:jc w:val="left"/>
              <w:rPr>
                <w:rFonts w:ascii="Arial Narrow" w:hAnsi="Arial Narrow"/>
                <w:snapToGrid/>
                <w:sz w:val="20"/>
                <w:lang w:eastAsia="en-AU"/>
              </w:rPr>
            </w:pPr>
            <w:r w:rsidRPr="000A609B">
              <w:rPr>
                <w:rFonts w:ascii="Arial Narrow" w:hAnsi="Arial Narrow"/>
                <w:sz w:val="20"/>
                <w:lang w:eastAsia="en-AU"/>
              </w:rPr>
              <w:t xml:space="preserve">Initial </w:t>
            </w:r>
            <w:r w:rsidRPr="000A609B">
              <w:rPr>
                <w:rFonts w:ascii="Arial Narrow" w:hAnsi="Arial Narrow"/>
                <w:iCs/>
                <w:sz w:val="20"/>
                <w:lang w:eastAsia="en-AU"/>
              </w:rPr>
              <w:t>treatment</w:t>
            </w:r>
          </w:p>
        </w:tc>
      </w:tr>
      <w:tr w:rsidR="00523B05" w:rsidRPr="000A609B" w:rsidTr="00A01F0F">
        <w:trPr>
          <w:cantSplit/>
          <w:trHeight w:val="360"/>
        </w:trPr>
        <w:tc>
          <w:tcPr>
            <w:tcW w:w="2835" w:type="dxa"/>
            <w:tcBorders>
              <w:top w:val="single" w:sz="4" w:space="0" w:color="auto"/>
              <w:left w:val="single" w:sz="4" w:space="0" w:color="auto"/>
              <w:bottom w:val="single" w:sz="4" w:space="0" w:color="auto"/>
              <w:right w:val="single" w:sz="4" w:space="0" w:color="auto"/>
            </w:tcBorders>
          </w:tcPr>
          <w:p w:rsidR="00523B05" w:rsidRPr="000A609B" w:rsidRDefault="00523B05" w:rsidP="008B79AA">
            <w:pPr>
              <w:widowControl/>
              <w:rPr>
                <w:rFonts w:ascii="Arial Narrow" w:hAnsi="Arial Narrow"/>
                <w:i/>
                <w:snapToGrid/>
                <w:sz w:val="20"/>
                <w:lang w:eastAsia="en-AU"/>
              </w:rPr>
            </w:pPr>
            <w:r w:rsidRPr="000A609B">
              <w:rPr>
                <w:rFonts w:ascii="Arial Narrow" w:hAnsi="Arial Narrow"/>
                <w:b/>
                <w:snapToGrid/>
                <w:sz w:val="20"/>
                <w:lang w:eastAsia="en-AU"/>
              </w:rPr>
              <w:t>Restriction Level / Method:</w:t>
            </w:r>
          </w:p>
        </w:tc>
        <w:tc>
          <w:tcPr>
            <w:tcW w:w="6379" w:type="dxa"/>
            <w:gridSpan w:val="6"/>
            <w:tcBorders>
              <w:top w:val="single" w:sz="4" w:space="0" w:color="auto"/>
              <w:left w:val="single" w:sz="4" w:space="0" w:color="auto"/>
              <w:bottom w:val="single" w:sz="4" w:space="0" w:color="auto"/>
              <w:right w:val="single" w:sz="4" w:space="0" w:color="auto"/>
            </w:tcBorders>
          </w:tcPr>
          <w:p w:rsidR="00523B05" w:rsidRPr="000A609B" w:rsidRDefault="00523B05" w:rsidP="00A01F0F">
            <w:pPr>
              <w:widowControl/>
              <w:jc w:val="left"/>
              <w:rPr>
                <w:rFonts w:ascii="Arial Narrow" w:hAnsi="Arial Narrow"/>
                <w:snapToGrid/>
                <w:sz w:val="20"/>
                <w:lang w:eastAsia="en-AU"/>
              </w:rPr>
            </w:pPr>
            <w:r w:rsidRPr="000A609B">
              <w:rPr>
                <w:rFonts w:ascii="Arial Narrow" w:hAnsi="Arial Narrow"/>
                <w:snapToGrid/>
                <w:sz w:val="20"/>
                <w:lang w:eastAsia="en-AU"/>
              </w:rPr>
              <w:fldChar w:fldCharType="begin">
                <w:ffData>
                  <w:name w:val="Check1"/>
                  <w:enabled/>
                  <w:calcOnExit w:val="0"/>
                  <w:checkBox>
                    <w:sizeAuto/>
                    <w:default w:val="0"/>
                  </w:checkBox>
                </w:ffData>
              </w:fldChar>
            </w:r>
            <w:r w:rsidRPr="000A609B">
              <w:rPr>
                <w:rFonts w:ascii="Arial Narrow" w:hAnsi="Arial Narrow"/>
                <w:snapToGrid/>
                <w:sz w:val="20"/>
                <w:lang w:eastAsia="en-AU"/>
              </w:rPr>
              <w:instrText xml:space="preserve"> FORMCHECKBOX </w:instrText>
            </w:r>
            <w:r w:rsidR="00F146E1">
              <w:rPr>
                <w:rFonts w:ascii="Arial Narrow" w:hAnsi="Arial Narrow"/>
                <w:snapToGrid/>
                <w:sz w:val="20"/>
                <w:lang w:eastAsia="en-AU"/>
              </w:rPr>
            </w:r>
            <w:r w:rsidR="00F146E1">
              <w:rPr>
                <w:rFonts w:ascii="Arial Narrow" w:hAnsi="Arial Narrow"/>
                <w:snapToGrid/>
                <w:sz w:val="20"/>
                <w:lang w:eastAsia="en-AU"/>
              </w:rPr>
              <w:fldChar w:fldCharType="separate"/>
            </w:r>
            <w:r w:rsidRPr="000A609B">
              <w:rPr>
                <w:rFonts w:ascii="Arial Narrow" w:hAnsi="Arial Narrow"/>
                <w:snapToGrid/>
                <w:sz w:val="20"/>
                <w:lang w:eastAsia="en-AU"/>
              </w:rPr>
              <w:fldChar w:fldCharType="end"/>
            </w:r>
            <w:r w:rsidRPr="000A609B">
              <w:rPr>
                <w:rFonts w:ascii="Arial Narrow" w:hAnsi="Arial Narrow"/>
                <w:snapToGrid/>
                <w:sz w:val="20"/>
                <w:lang w:eastAsia="en-AU"/>
              </w:rPr>
              <w:t>Restricted benefit</w:t>
            </w:r>
          </w:p>
          <w:p w:rsidR="00523B05" w:rsidRPr="000A609B" w:rsidRDefault="00523B05" w:rsidP="00A01F0F">
            <w:pPr>
              <w:widowControl/>
              <w:jc w:val="left"/>
              <w:rPr>
                <w:rFonts w:ascii="Arial Narrow" w:hAnsi="Arial Narrow"/>
                <w:snapToGrid/>
                <w:sz w:val="20"/>
                <w:lang w:eastAsia="en-AU"/>
              </w:rPr>
            </w:pPr>
            <w:r w:rsidRPr="000A609B">
              <w:rPr>
                <w:rFonts w:ascii="Arial Narrow" w:hAnsi="Arial Narrow"/>
                <w:snapToGrid/>
                <w:sz w:val="20"/>
                <w:lang w:eastAsia="en-AU"/>
              </w:rPr>
              <w:fldChar w:fldCharType="begin">
                <w:ffData>
                  <w:name w:val=""/>
                  <w:enabled/>
                  <w:calcOnExit w:val="0"/>
                  <w:checkBox>
                    <w:sizeAuto/>
                    <w:default w:val="1"/>
                  </w:checkBox>
                </w:ffData>
              </w:fldChar>
            </w:r>
            <w:r w:rsidRPr="000A609B">
              <w:rPr>
                <w:rFonts w:ascii="Arial Narrow" w:hAnsi="Arial Narrow"/>
                <w:snapToGrid/>
                <w:sz w:val="20"/>
                <w:lang w:eastAsia="en-AU"/>
              </w:rPr>
              <w:instrText xml:space="preserve"> FORMCHECKBOX </w:instrText>
            </w:r>
            <w:r w:rsidR="00F146E1">
              <w:rPr>
                <w:rFonts w:ascii="Arial Narrow" w:hAnsi="Arial Narrow"/>
                <w:snapToGrid/>
                <w:sz w:val="20"/>
                <w:lang w:eastAsia="en-AU"/>
              </w:rPr>
            </w:r>
            <w:r w:rsidR="00F146E1">
              <w:rPr>
                <w:rFonts w:ascii="Arial Narrow" w:hAnsi="Arial Narrow"/>
                <w:snapToGrid/>
                <w:sz w:val="20"/>
                <w:lang w:eastAsia="en-AU"/>
              </w:rPr>
              <w:fldChar w:fldCharType="separate"/>
            </w:r>
            <w:r w:rsidRPr="000A609B">
              <w:rPr>
                <w:rFonts w:ascii="Arial Narrow" w:hAnsi="Arial Narrow"/>
                <w:snapToGrid/>
                <w:sz w:val="20"/>
                <w:lang w:eastAsia="en-AU"/>
              </w:rPr>
              <w:fldChar w:fldCharType="end"/>
            </w:r>
            <w:r w:rsidRPr="000A609B">
              <w:rPr>
                <w:rFonts w:ascii="Arial Narrow" w:hAnsi="Arial Narrow"/>
                <w:snapToGrid/>
                <w:sz w:val="20"/>
                <w:lang w:eastAsia="en-AU"/>
              </w:rPr>
              <w:t>Authority Required - In Writing</w:t>
            </w:r>
          </w:p>
          <w:p w:rsidR="00523B05" w:rsidRPr="000A609B" w:rsidRDefault="00523B05" w:rsidP="00A01F0F">
            <w:pPr>
              <w:widowControl/>
              <w:jc w:val="left"/>
              <w:rPr>
                <w:rFonts w:ascii="Arial Narrow" w:hAnsi="Arial Narrow"/>
                <w:snapToGrid/>
                <w:sz w:val="20"/>
                <w:lang w:eastAsia="en-AU"/>
              </w:rPr>
            </w:pPr>
            <w:r w:rsidRPr="000A609B">
              <w:rPr>
                <w:rFonts w:ascii="Arial Narrow" w:hAnsi="Arial Narrow"/>
                <w:snapToGrid/>
                <w:sz w:val="20"/>
                <w:lang w:eastAsia="en-AU"/>
              </w:rPr>
              <w:fldChar w:fldCharType="begin">
                <w:ffData>
                  <w:name w:val=""/>
                  <w:enabled/>
                  <w:calcOnExit w:val="0"/>
                  <w:checkBox>
                    <w:sizeAuto/>
                    <w:default w:val="0"/>
                  </w:checkBox>
                </w:ffData>
              </w:fldChar>
            </w:r>
            <w:r w:rsidRPr="000A609B">
              <w:rPr>
                <w:rFonts w:ascii="Arial Narrow" w:hAnsi="Arial Narrow"/>
                <w:snapToGrid/>
                <w:sz w:val="20"/>
                <w:lang w:eastAsia="en-AU"/>
              </w:rPr>
              <w:instrText xml:space="preserve"> FORMCHECKBOX </w:instrText>
            </w:r>
            <w:r w:rsidR="00F146E1">
              <w:rPr>
                <w:rFonts w:ascii="Arial Narrow" w:hAnsi="Arial Narrow"/>
                <w:snapToGrid/>
                <w:sz w:val="20"/>
                <w:lang w:eastAsia="en-AU"/>
              </w:rPr>
            </w:r>
            <w:r w:rsidR="00F146E1">
              <w:rPr>
                <w:rFonts w:ascii="Arial Narrow" w:hAnsi="Arial Narrow"/>
                <w:snapToGrid/>
                <w:sz w:val="20"/>
                <w:lang w:eastAsia="en-AU"/>
              </w:rPr>
              <w:fldChar w:fldCharType="separate"/>
            </w:r>
            <w:r w:rsidRPr="000A609B">
              <w:rPr>
                <w:rFonts w:ascii="Arial Narrow" w:hAnsi="Arial Narrow"/>
                <w:snapToGrid/>
                <w:sz w:val="20"/>
                <w:lang w:eastAsia="en-AU"/>
              </w:rPr>
              <w:fldChar w:fldCharType="end"/>
            </w:r>
            <w:r w:rsidRPr="000A609B">
              <w:rPr>
                <w:rFonts w:ascii="Arial Narrow" w:hAnsi="Arial Narrow"/>
                <w:snapToGrid/>
                <w:sz w:val="20"/>
                <w:lang w:eastAsia="en-AU"/>
              </w:rPr>
              <w:t>Authority Required - Telephone</w:t>
            </w:r>
          </w:p>
          <w:p w:rsidR="00523B05" w:rsidRPr="000A609B" w:rsidRDefault="00523B05" w:rsidP="00A01F0F">
            <w:pPr>
              <w:widowControl/>
              <w:jc w:val="left"/>
              <w:rPr>
                <w:rFonts w:ascii="Arial Narrow" w:hAnsi="Arial Narrow"/>
                <w:snapToGrid/>
                <w:sz w:val="20"/>
                <w:lang w:eastAsia="en-AU"/>
              </w:rPr>
            </w:pPr>
            <w:r w:rsidRPr="000A609B">
              <w:rPr>
                <w:rFonts w:ascii="Arial Narrow" w:hAnsi="Arial Narrow"/>
                <w:snapToGrid/>
                <w:sz w:val="20"/>
                <w:lang w:eastAsia="en-AU"/>
              </w:rPr>
              <w:fldChar w:fldCharType="begin">
                <w:ffData>
                  <w:name w:val=""/>
                  <w:enabled/>
                  <w:calcOnExit w:val="0"/>
                  <w:checkBox>
                    <w:sizeAuto/>
                    <w:default w:val="0"/>
                  </w:checkBox>
                </w:ffData>
              </w:fldChar>
            </w:r>
            <w:r w:rsidRPr="000A609B">
              <w:rPr>
                <w:rFonts w:ascii="Arial Narrow" w:hAnsi="Arial Narrow"/>
                <w:snapToGrid/>
                <w:sz w:val="20"/>
                <w:lang w:eastAsia="en-AU"/>
              </w:rPr>
              <w:instrText xml:space="preserve"> FORMCHECKBOX </w:instrText>
            </w:r>
            <w:r w:rsidR="00F146E1">
              <w:rPr>
                <w:rFonts w:ascii="Arial Narrow" w:hAnsi="Arial Narrow"/>
                <w:snapToGrid/>
                <w:sz w:val="20"/>
                <w:lang w:eastAsia="en-AU"/>
              </w:rPr>
            </w:r>
            <w:r w:rsidR="00F146E1">
              <w:rPr>
                <w:rFonts w:ascii="Arial Narrow" w:hAnsi="Arial Narrow"/>
                <w:snapToGrid/>
                <w:sz w:val="20"/>
                <w:lang w:eastAsia="en-AU"/>
              </w:rPr>
              <w:fldChar w:fldCharType="separate"/>
            </w:r>
            <w:r w:rsidRPr="000A609B">
              <w:rPr>
                <w:rFonts w:ascii="Arial Narrow" w:hAnsi="Arial Narrow"/>
                <w:snapToGrid/>
                <w:sz w:val="20"/>
                <w:lang w:eastAsia="en-AU"/>
              </w:rPr>
              <w:fldChar w:fldCharType="end"/>
            </w:r>
            <w:r w:rsidRPr="000A609B">
              <w:rPr>
                <w:rFonts w:ascii="Arial Narrow" w:hAnsi="Arial Narrow"/>
                <w:snapToGrid/>
                <w:sz w:val="20"/>
                <w:lang w:eastAsia="en-AU"/>
              </w:rPr>
              <w:t>Authority Required – Emergency</w:t>
            </w:r>
          </w:p>
          <w:p w:rsidR="00523B05" w:rsidRPr="000A609B" w:rsidRDefault="00523B05" w:rsidP="00A01F0F">
            <w:pPr>
              <w:widowControl/>
              <w:jc w:val="left"/>
              <w:rPr>
                <w:rFonts w:ascii="Arial Narrow" w:hAnsi="Arial Narrow"/>
                <w:snapToGrid/>
                <w:sz w:val="20"/>
                <w:lang w:eastAsia="en-AU"/>
              </w:rPr>
            </w:pPr>
            <w:r w:rsidRPr="000A609B">
              <w:rPr>
                <w:rFonts w:ascii="Arial Narrow" w:hAnsi="Arial Narrow"/>
                <w:snapToGrid/>
                <w:sz w:val="20"/>
                <w:lang w:eastAsia="en-AU"/>
              </w:rPr>
              <w:fldChar w:fldCharType="begin">
                <w:ffData>
                  <w:name w:val="Check5"/>
                  <w:enabled/>
                  <w:calcOnExit w:val="0"/>
                  <w:checkBox>
                    <w:sizeAuto/>
                    <w:default w:val="0"/>
                  </w:checkBox>
                </w:ffData>
              </w:fldChar>
            </w:r>
            <w:r w:rsidRPr="000A609B">
              <w:rPr>
                <w:rFonts w:ascii="Arial Narrow" w:hAnsi="Arial Narrow"/>
                <w:snapToGrid/>
                <w:sz w:val="20"/>
                <w:lang w:eastAsia="en-AU"/>
              </w:rPr>
              <w:instrText xml:space="preserve"> FORMCHECKBOX </w:instrText>
            </w:r>
            <w:r w:rsidR="00F146E1">
              <w:rPr>
                <w:rFonts w:ascii="Arial Narrow" w:hAnsi="Arial Narrow"/>
                <w:snapToGrid/>
                <w:sz w:val="20"/>
                <w:lang w:eastAsia="en-AU"/>
              </w:rPr>
            </w:r>
            <w:r w:rsidR="00F146E1">
              <w:rPr>
                <w:rFonts w:ascii="Arial Narrow" w:hAnsi="Arial Narrow"/>
                <w:snapToGrid/>
                <w:sz w:val="20"/>
                <w:lang w:eastAsia="en-AU"/>
              </w:rPr>
              <w:fldChar w:fldCharType="separate"/>
            </w:r>
            <w:r w:rsidRPr="000A609B">
              <w:rPr>
                <w:rFonts w:ascii="Arial Narrow" w:hAnsi="Arial Narrow"/>
                <w:snapToGrid/>
                <w:sz w:val="20"/>
                <w:lang w:eastAsia="en-AU"/>
              </w:rPr>
              <w:fldChar w:fldCharType="end"/>
            </w:r>
            <w:r w:rsidRPr="000A609B">
              <w:rPr>
                <w:rFonts w:ascii="Arial Narrow" w:hAnsi="Arial Narrow"/>
                <w:snapToGrid/>
                <w:sz w:val="20"/>
                <w:lang w:eastAsia="en-AU"/>
              </w:rPr>
              <w:t>Authority Required - Electronic</w:t>
            </w:r>
          </w:p>
          <w:p w:rsidR="00523B05" w:rsidRPr="000A609B" w:rsidRDefault="00523B05" w:rsidP="00A01F0F">
            <w:pPr>
              <w:widowControl/>
              <w:jc w:val="left"/>
              <w:rPr>
                <w:rFonts w:ascii="Arial Narrow" w:hAnsi="Arial Narrow"/>
                <w:snapToGrid/>
                <w:sz w:val="20"/>
                <w:lang w:eastAsia="en-AU"/>
              </w:rPr>
            </w:pPr>
            <w:r w:rsidRPr="000A609B">
              <w:rPr>
                <w:rFonts w:ascii="Arial Narrow" w:hAnsi="Arial Narrow"/>
                <w:snapToGrid/>
                <w:sz w:val="20"/>
                <w:lang w:eastAsia="en-AU"/>
              </w:rPr>
              <w:fldChar w:fldCharType="begin">
                <w:ffData>
                  <w:name w:val="Check5"/>
                  <w:enabled/>
                  <w:calcOnExit w:val="0"/>
                  <w:checkBox>
                    <w:sizeAuto/>
                    <w:default w:val="0"/>
                  </w:checkBox>
                </w:ffData>
              </w:fldChar>
            </w:r>
            <w:r w:rsidRPr="000A609B">
              <w:rPr>
                <w:rFonts w:ascii="Arial Narrow" w:hAnsi="Arial Narrow"/>
                <w:snapToGrid/>
                <w:sz w:val="20"/>
                <w:lang w:eastAsia="en-AU"/>
              </w:rPr>
              <w:instrText xml:space="preserve"> FORMCHECKBOX </w:instrText>
            </w:r>
            <w:r w:rsidR="00F146E1">
              <w:rPr>
                <w:rFonts w:ascii="Arial Narrow" w:hAnsi="Arial Narrow"/>
                <w:snapToGrid/>
                <w:sz w:val="20"/>
                <w:lang w:eastAsia="en-AU"/>
              </w:rPr>
            </w:r>
            <w:r w:rsidR="00F146E1">
              <w:rPr>
                <w:rFonts w:ascii="Arial Narrow" w:hAnsi="Arial Narrow"/>
                <w:snapToGrid/>
                <w:sz w:val="20"/>
                <w:lang w:eastAsia="en-AU"/>
              </w:rPr>
              <w:fldChar w:fldCharType="separate"/>
            </w:r>
            <w:r w:rsidRPr="000A609B">
              <w:rPr>
                <w:rFonts w:ascii="Arial Narrow" w:hAnsi="Arial Narrow"/>
                <w:snapToGrid/>
                <w:sz w:val="20"/>
                <w:lang w:eastAsia="en-AU"/>
              </w:rPr>
              <w:fldChar w:fldCharType="end"/>
            </w:r>
            <w:r w:rsidRPr="000A609B">
              <w:rPr>
                <w:rFonts w:ascii="Arial Narrow" w:hAnsi="Arial Narrow"/>
                <w:snapToGrid/>
                <w:sz w:val="20"/>
                <w:lang w:eastAsia="en-AU"/>
              </w:rPr>
              <w:t>Streamlined</w:t>
            </w:r>
          </w:p>
        </w:tc>
      </w:tr>
      <w:tr w:rsidR="00523B05" w:rsidRPr="000A609B" w:rsidTr="00A01F0F">
        <w:trPr>
          <w:cantSplit/>
          <w:trHeight w:val="360"/>
        </w:trPr>
        <w:tc>
          <w:tcPr>
            <w:tcW w:w="2835" w:type="dxa"/>
            <w:tcBorders>
              <w:top w:val="single" w:sz="4" w:space="0" w:color="auto"/>
              <w:left w:val="single" w:sz="4" w:space="0" w:color="auto"/>
              <w:bottom w:val="single" w:sz="4" w:space="0" w:color="auto"/>
              <w:right w:val="single" w:sz="4" w:space="0" w:color="auto"/>
            </w:tcBorders>
          </w:tcPr>
          <w:p w:rsidR="00523B05" w:rsidRPr="000A609B" w:rsidRDefault="00523B05" w:rsidP="00E1056C">
            <w:pPr>
              <w:widowControl/>
              <w:jc w:val="left"/>
              <w:rPr>
                <w:rFonts w:ascii="Arial Narrow" w:hAnsi="Arial Narrow"/>
                <w:snapToGrid/>
                <w:sz w:val="20"/>
                <w:lang w:eastAsia="en-AU"/>
              </w:rPr>
            </w:pPr>
            <w:r w:rsidRPr="000A609B">
              <w:rPr>
                <w:rFonts w:ascii="Arial Narrow" w:hAnsi="Arial Narrow"/>
                <w:b/>
                <w:snapToGrid/>
                <w:sz w:val="20"/>
                <w:lang w:eastAsia="en-AU"/>
              </w:rPr>
              <w:t>Treatment criteria:</w:t>
            </w:r>
          </w:p>
        </w:tc>
        <w:tc>
          <w:tcPr>
            <w:tcW w:w="6379" w:type="dxa"/>
            <w:gridSpan w:val="6"/>
            <w:tcBorders>
              <w:top w:val="single" w:sz="4" w:space="0" w:color="auto"/>
              <w:left w:val="single" w:sz="4" w:space="0" w:color="auto"/>
              <w:bottom w:val="single" w:sz="4" w:space="0" w:color="auto"/>
              <w:right w:val="single" w:sz="4" w:space="0" w:color="auto"/>
            </w:tcBorders>
          </w:tcPr>
          <w:p w:rsidR="00523B05" w:rsidRPr="000A609B" w:rsidRDefault="00523B05" w:rsidP="00E1056C">
            <w:pPr>
              <w:widowControl/>
              <w:jc w:val="left"/>
              <w:rPr>
                <w:rFonts w:ascii="Arial Narrow" w:hAnsi="Arial Narrow"/>
                <w:snapToGrid/>
                <w:sz w:val="20"/>
                <w:lang w:eastAsia="en-AU"/>
              </w:rPr>
            </w:pPr>
            <w:r w:rsidRPr="000A609B">
              <w:rPr>
                <w:rFonts w:ascii="Arial Narrow" w:hAnsi="Arial Narrow"/>
                <w:snapToGrid/>
                <w:sz w:val="20"/>
                <w:lang w:eastAsia="en-AU"/>
              </w:rPr>
              <w:t xml:space="preserve">Patient must be </w:t>
            </w:r>
            <w:r w:rsidRPr="000A609B">
              <w:rPr>
                <w:rFonts w:ascii="Arial Narrow" w:hAnsi="Arial Narrow"/>
                <w:iCs/>
                <w:sz w:val="20"/>
                <w:lang w:eastAsia="en-AU"/>
              </w:rPr>
              <w:t>treated by a respiratory physician or specialist physician experienced in the management of patients with idiopathic pulmonary fibrosis.</w:t>
            </w:r>
          </w:p>
        </w:tc>
      </w:tr>
      <w:tr w:rsidR="00523B05" w:rsidRPr="000A609B" w:rsidTr="00A01F0F">
        <w:trPr>
          <w:cantSplit/>
          <w:trHeight w:val="360"/>
        </w:trPr>
        <w:tc>
          <w:tcPr>
            <w:tcW w:w="2835" w:type="dxa"/>
            <w:tcBorders>
              <w:top w:val="single" w:sz="4" w:space="0" w:color="auto"/>
              <w:left w:val="single" w:sz="4" w:space="0" w:color="auto"/>
              <w:bottom w:val="single" w:sz="4" w:space="0" w:color="auto"/>
              <w:right w:val="single" w:sz="4" w:space="0" w:color="auto"/>
            </w:tcBorders>
          </w:tcPr>
          <w:p w:rsidR="00523B05" w:rsidRPr="000A609B" w:rsidRDefault="00523B05" w:rsidP="00A01F0F">
            <w:pPr>
              <w:widowControl/>
              <w:rPr>
                <w:rFonts w:ascii="Arial Narrow" w:hAnsi="Arial Narrow"/>
                <w:b/>
                <w:snapToGrid/>
                <w:sz w:val="20"/>
                <w:lang w:eastAsia="en-AU"/>
              </w:rPr>
            </w:pPr>
            <w:r w:rsidRPr="000A609B">
              <w:rPr>
                <w:rFonts w:ascii="Arial Narrow" w:hAnsi="Arial Narrow"/>
                <w:b/>
                <w:snapToGrid/>
                <w:sz w:val="20"/>
                <w:lang w:eastAsia="en-AU"/>
              </w:rPr>
              <w:lastRenderedPageBreak/>
              <w:t>Clinical criteria:</w:t>
            </w:r>
          </w:p>
          <w:p w:rsidR="00523B05" w:rsidRPr="000A609B" w:rsidRDefault="00523B05" w:rsidP="00E1056C">
            <w:pPr>
              <w:widowControl/>
              <w:rPr>
                <w:rFonts w:ascii="Arial Narrow" w:hAnsi="Arial Narrow"/>
                <w:snapToGrid/>
                <w:sz w:val="20"/>
                <w:lang w:eastAsia="en-AU"/>
              </w:rPr>
            </w:pPr>
            <w:r w:rsidRPr="000A609B">
              <w:rPr>
                <w:rFonts w:ascii="Arial Narrow" w:hAnsi="Arial Narrow"/>
                <w:i/>
                <w:snapToGrid/>
                <w:sz w:val="20"/>
                <w:lang w:eastAsia="en-AU"/>
              </w:rPr>
              <w:t>(To be finalised)</w:t>
            </w:r>
          </w:p>
        </w:tc>
        <w:tc>
          <w:tcPr>
            <w:tcW w:w="6379" w:type="dxa"/>
            <w:gridSpan w:val="6"/>
            <w:tcBorders>
              <w:top w:val="single" w:sz="4" w:space="0" w:color="auto"/>
              <w:left w:val="single" w:sz="4" w:space="0" w:color="auto"/>
              <w:bottom w:val="single" w:sz="4" w:space="0" w:color="auto"/>
              <w:right w:val="single" w:sz="4" w:space="0" w:color="auto"/>
            </w:tcBorders>
          </w:tcPr>
          <w:p w:rsidR="00523B05" w:rsidRPr="000A609B" w:rsidRDefault="00523B05" w:rsidP="00523B05">
            <w:pPr>
              <w:widowControl/>
              <w:numPr>
                <w:ilvl w:val="0"/>
                <w:numId w:val="12"/>
              </w:numPr>
              <w:jc w:val="left"/>
              <w:rPr>
                <w:rFonts w:ascii="Arial Narrow" w:hAnsi="Arial Narrow"/>
                <w:b/>
                <w:iCs/>
                <w:sz w:val="20"/>
                <w:lang w:eastAsia="en-AU"/>
              </w:rPr>
            </w:pPr>
            <w:r w:rsidRPr="000A609B">
              <w:rPr>
                <w:rFonts w:ascii="Arial Narrow" w:hAnsi="Arial Narrow"/>
                <w:iCs/>
                <w:sz w:val="20"/>
                <w:lang w:eastAsia="en-AU"/>
              </w:rPr>
              <w:t>Patient must have a confirmed and documented diagnosis of idiopathic pulmonary fibrosis</w:t>
            </w:r>
            <w:r w:rsidRPr="000A609B">
              <w:rPr>
                <w:rFonts w:ascii="Arial Narrow" w:hAnsi="Arial Narrow"/>
                <w:iCs/>
                <w:strike/>
                <w:sz w:val="20"/>
                <w:lang w:eastAsia="en-AU"/>
              </w:rPr>
              <w:t>; through a multidisciplinary team (comprising at least respiratory, radiology and where required, pathology)</w:t>
            </w:r>
            <w:r w:rsidRPr="000A609B">
              <w:rPr>
                <w:rFonts w:ascii="Arial Narrow" w:hAnsi="Arial Narrow"/>
                <w:iCs/>
                <w:sz w:val="20"/>
                <w:lang w:eastAsia="en-AU"/>
              </w:rPr>
              <w:t xml:space="preserve">. </w:t>
            </w:r>
          </w:p>
          <w:p w:rsidR="00523B05" w:rsidRPr="000A609B" w:rsidRDefault="00523B05" w:rsidP="00A01F0F">
            <w:pPr>
              <w:widowControl/>
              <w:jc w:val="left"/>
              <w:rPr>
                <w:rFonts w:ascii="Arial Narrow" w:hAnsi="Arial Narrow"/>
                <w:b/>
                <w:iCs/>
                <w:sz w:val="20"/>
                <w:lang w:eastAsia="en-AU"/>
              </w:rPr>
            </w:pPr>
            <w:r w:rsidRPr="000A609B">
              <w:rPr>
                <w:rFonts w:ascii="Arial Narrow" w:hAnsi="Arial Narrow"/>
                <w:b/>
                <w:iCs/>
                <w:sz w:val="20"/>
                <w:lang w:eastAsia="en-AU"/>
              </w:rPr>
              <w:t>AND</w:t>
            </w:r>
          </w:p>
          <w:p w:rsidR="00523B05" w:rsidRPr="000A609B" w:rsidRDefault="00523B05" w:rsidP="00523B05">
            <w:pPr>
              <w:widowControl/>
              <w:numPr>
                <w:ilvl w:val="0"/>
                <w:numId w:val="12"/>
              </w:numPr>
              <w:jc w:val="left"/>
              <w:rPr>
                <w:rFonts w:ascii="Arial Narrow" w:hAnsi="Arial Narrow"/>
                <w:iCs/>
                <w:sz w:val="20"/>
                <w:lang w:eastAsia="en-AU"/>
              </w:rPr>
            </w:pPr>
            <w:r w:rsidRPr="000A609B">
              <w:rPr>
                <w:rFonts w:ascii="Arial Narrow" w:hAnsi="Arial Narrow"/>
                <w:iCs/>
                <w:sz w:val="20"/>
                <w:lang w:eastAsia="en-AU"/>
              </w:rPr>
              <w:t xml:space="preserve">Patient must have a confirmed and documented diagnosis of idiopathic pulmonary fibrosis that is less than 5 years old; </w:t>
            </w:r>
            <w:r w:rsidRPr="000A609B">
              <w:rPr>
                <w:rFonts w:ascii="Arial Narrow" w:hAnsi="Arial Narrow"/>
                <w:b/>
                <w:iCs/>
                <w:sz w:val="20"/>
                <w:lang w:eastAsia="en-AU"/>
              </w:rPr>
              <w:t>OR</w:t>
            </w:r>
          </w:p>
          <w:p w:rsidR="00523B05" w:rsidRPr="000A609B" w:rsidRDefault="00523B05" w:rsidP="00523B05">
            <w:pPr>
              <w:widowControl/>
              <w:numPr>
                <w:ilvl w:val="0"/>
                <w:numId w:val="12"/>
              </w:numPr>
              <w:jc w:val="left"/>
              <w:rPr>
                <w:rFonts w:ascii="Times New Roman" w:hAnsi="Times New Roman"/>
                <w:iCs/>
                <w:sz w:val="20"/>
                <w:lang w:eastAsia="en-AU"/>
              </w:rPr>
            </w:pPr>
            <w:r w:rsidRPr="000A609B">
              <w:rPr>
                <w:rFonts w:ascii="Arial Narrow" w:hAnsi="Arial Narrow"/>
                <w:iCs/>
                <w:sz w:val="20"/>
                <w:lang w:eastAsia="en-AU"/>
              </w:rPr>
              <w:t>Patient must have a confirmed and documented diagnosis of idiopathic pulmonary fibrosis that is greater than 5 years old where there is confirmed progressive disease</w:t>
            </w:r>
            <w:r w:rsidRPr="000A609B">
              <w:rPr>
                <w:rFonts w:ascii="Times New Roman" w:hAnsi="Times New Roman"/>
                <w:iCs/>
                <w:sz w:val="20"/>
                <w:lang w:eastAsia="en-AU"/>
              </w:rPr>
              <w:t>,</w:t>
            </w:r>
          </w:p>
          <w:p w:rsidR="00523B05" w:rsidRPr="000A609B" w:rsidRDefault="00523B05" w:rsidP="00A01F0F">
            <w:pPr>
              <w:widowControl/>
              <w:jc w:val="left"/>
              <w:rPr>
                <w:rFonts w:ascii="Arial Narrow" w:hAnsi="Arial Narrow"/>
                <w:b/>
                <w:iCs/>
                <w:sz w:val="20"/>
                <w:lang w:eastAsia="en-AU"/>
              </w:rPr>
            </w:pPr>
            <w:r w:rsidRPr="000A609B">
              <w:rPr>
                <w:rFonts w:ascii="Arial Narrow" w:hAnsi="Arial Narrow"/>
                <w:b/>
                <w:iCs/>
                <w:sz w:val="20"/>
                <w:lang w:eastAsia="en-AU"/>
              </w:rPr>
              <w:t>AND</w:t>
            </w:r>
          </w:p>
          <w:p w:rsidR="00523B05" w:rsidRPr="000A609B" w:rsidRDefault="00523B05" w:rsidP="00523B05">
            <w:pPr>
              <w:widowControl/>
              <w:numPr>
                <w:ilvl w:val="0"/>
                <w:numId w:val="13"/>
              </w:numPr>
              <w:jc w:val="left"/>
              <w:rPr>
                <w:rFonts w:ascii="Arial Narrow" w:hAnsi="Arial Narrow"/>
                <w:iCs/>
                <w:sz w:val="20"/>
                <w:lang w:eastAsia="en-AU"/>
              </w:rPr>
            </w:pPr>
            <w:r w:rsidRPr="000A609B">
              <w:rPr>
                <w:rFonts w:ascii="Arial Narrow" w:hAnsi="Arial Narrow"/>
                <w:iCs/>
                <w:sz w:val="20"/>
                <w:lang w:eastAsia="en-AU"/>
              </w:rPr>
              <w:t>Patient must have</w:t>
            </w:r>
            <w:r w:rsidRPr="000A609B">
              <w:rPr>
                <w:rFonts w:ascii="Arial Narrow" w:hAnsi="Arial Narrow"/>
                <w:sz w:val="20"/>
                <w:lang w:eastAsia="en-AU"/>
              </w:rPr>
              <w:t xml:space="preserve"> chest high resolution computed tomography (HRCT) consistent with the diagnosis of idiopathic pulmonary fibrosis within the previous 12 months,</w:t>
            </w:r>
          </w:p>
          <w:p w:rsidR="00523B05" w:rsidRPr="00E1056C" w:rsidRDefault="00523B05" w:rsidP="00A01F0F">
            <w:pPr>
              <w:widowControl/>
              <w:jc w:val="left"/>
              <w:rPr>
                <w:rFonts w:ascii="Arial Narrow" w:hAnsi="Arial Narrow"/>
                <w:b/>
                <w:sz w:val="20"/>
                <w:lang w:eastAsia="en-AU"/>
              </w:rPr>
            </w:pPr>
            <w:r w:rsidRPr="00E1056C">
              <w:rPr>
                <w:rFonts w:ascii="Arial Narrow" w:hAnsi="Arial Narrow"/>
                <w:b/>
                <w:sz w:val="20"/>
                <w:lang w:eastAsia="en-AU"/>
              </w:rPr>
              <w:t>AND</w:t>
            </w:r>
          </w:p>
          <w:p w:rsidR="00523B05" w:rsidRPr="000A609B" w:rsidRDefault="00523B05" w:rsidP="00523B05">
            <w:pPr>
              <w:widowControl/>
              <w:numPr>
                <w:ilvl w:val="0"/>
                <w:numId w:val="13"/>
              </w:numPr>
              <w:jc w:val="left"/>
              <w:rPr>
                <w:rFonts w:ascii="Arial Narrow" w:hAnsi="Arial Narrow"/>
                <w:sz w:val="20"/>
              </w:rPr>
            </w:pPr>
            <w:r w:rsidRPr="000A609B">
              <w:rPr>
                <w:rFonts w:ascii="Arial Narrow" w:hAnsi="Arial Narrow"/>
                <w:sz w:val="20"/>
              </w:rPr>
              <w:t>Patient must have forced vital capacity (FVC) equal to or greater than 50% predicted for age, gender and weight, and FEV1/FVC ratio greater than 0.7,</w:t>
            </w:r>
          </w:p>
          <w:p w:rsidR="00523B05" w:rsidRPr="000A609B" w:rsidRDefault="00523B05" w:rsidP="00A01F0F">
            <w:pPr>
              <w:widowControl/>
              <w:jc w:val="left"/>
              <w:rPr>
                <w:rFonts w:ascii="Arial Narrow" w:hAnsi="Arial Narrow"/>
                <w:b/>
                <w:iCs/>
                <w:sz w:val="20"/>
                <w:lang w:eastAsia="en-AU"/>
              </w:rPr>
            </w:pPr>
            <w:r w:rsidRPr="000A609B">
              <w:rPr>
                <w:rFonts w:ascii="Arial Narrow" w:hAnsi="Arial Narrow"/>
                <w:b/>
                <w:iCs/>
                <w:sz w:val="20"/>
                <w:lang w:eastAsia="en-AU"/>
              </w:rPr>
              <w:t>AND</w:t>
            </w:r>
          </w:p>
          <w:p w:rsidR="00523B05" w:rsidRPr="000A609B" w:rsidRDefault="00523B05" w:rsidP="00523B05">
            <w:pPr>
              <w:widowControl/>
              <w:numPr>
                <w:ilvl w:val="0"/>
                <w:numId w:val="13"/>
              </w:numPr>
              <w:jc w:val="left"/>
              <w:rPr>
                <w:rFonts w:ascii="Arial Narrow" w:hAnsi="Arial Narrow"/>
                <w:sz w:val="20"/>
                <w:lang w:eastAsia="en-AU"/>
              </w:rPr>
            </w:pPr>
            <w:r w:rsidRPr="000A609B">
              <w:rPr>
                <w:rFonts w:ascii="Arial Narrow" w:hAnsi="Arial Narrow"/>
                <w:iCs/>
                <w:sz w:val="20"/>
                <w:lang w:eastAsia="en-AU"/>
              </w:rPr>
              <w:t xml:space="preserve">Patient must have </w:t>
            </w:r>
            <w:r w:rsidRPr="000A609B">
              <w:rPr>
                <w:rFonts w:ascii="Arial Narrow" w:hAnsi="Arial Narrow"/>
                <w:sz w:val="20"/>
                <w:lang w:eastAsia="en-AU"/>
              </w:rPr>
              <w:t xml:space="preserve">diffusing capacity </w:t>
            </w:r>
            <w:r w:rsidRPr="000A609B">
              <w:rPr>
                <w:rFonts w:ascii="Arial Narrow" w:hAnsi="Arial Narrow"/>
                <w:i/>
                <w:sz w:val="20"/>
                <w:lang w:eastAsia="en-AU"/>
              </w:rPr>
              <w:t>of the lungs</w:t>
            </w:r>
            <w:r w:rsidRPr="000A609B">
              <w:rPr>
                <w:rFonts w:ascii="Arial Narrow" w:hAnsi="Arial Narrow"/>
                <w:sz w:val="20"/>
                <w:lang w:eastAsia="en-AU"/>
              </w:rPr>
              <w:t xml:space="preserve"> for carbon monoxide (DL</w:t>
            </w:r>
            <w:r w:rsidRPr="000A609B">
              <w:rPr>
                <w:rFonts w:ascii="Arial Narrow" w:hAnsi="Arial Narrow"/>
                <w:sz w:val="20"/>
                <w:vertAlign w:val="subscript"/>
                <w:lang w:eastAsia="en-AU"/>
              </w:rPr>
              <w:t>CO</w:t>
            </w:r>
            <w:r w:rsidRPr="000A609B">
              <w:rPr>
                <w:rFonts w:ascii="Arial Narrow" w:hAnsi="Arial Narrow"/>
                <w:sz w:val="20"/>
                <w:lang w:eastAsia="en-AU"/>
              </w:rPr>
              <w:t>) corrected for haemoglobin equal to or greater than 30%,</w:t>
            </w:r>
          </w:p>
          <w:p w:rsidR="00523B05" w:rsidRPr="000A609B" w:rsidRDefault="00523B05" w:rsidP="00A01F0F">
            <w:pPr>
              <w:widowControl/>
              <w:jc w:val="left"/>
              <w:rPr>
                <w:rFonts w:ascii="Arial Narrow" w:hAnsi="Arial Narrow"/>
                <w:b/>
                <w:iCs/>
                <w:sz w:val="20"/>
                <w:lang w:eastAsia="en-AU"/>
              </w:rPr>
            </w:pPr>
            <w:r w:rsidRPr="000A609B">
              <w:rPr>
                <w:rFonts w:ascii="Arial Narrow" w:hAnsi="Arial Narrow"/>
                <w:b/>
                <w:iCs/>
                <w:sz w:val="20"/>
                <w:lang w:eastAsia="en-AU"/>
              </w:rPr>
              <w:t>AND</w:t>
            </w:r>
          </w:p>
          <w:p w:rsidR="00523B05" w:rsidRPr="000A609B" w:rsidRDefault="00523B05" w:rsidP="00E1056C">
            <w:pPr>
              <w:widowControl/>
              <w:numPr>
                <w:ilvl w:val="0"/>
                <w:numId w:val="13"/>
              </w:numPr>
              <w:jc w:val="left"/>
              <w:rPr>
                <w:rFonts w:ascii="Arial Narrow" w:hAnsi="Arial Narrow"/>
                <w:snapToGrid/>
                <w:sz w:val="20"/>
                <w:lang w:eastAsia="en-AU"/>
              </w:rPr>
            </w:pPr>
            <w:r w:rsidRPr="000A609B">
              <w:rPr>
                <w:rFonts w:ascii="Arial Narrow" w:hAnsi="Arial Narrow"/>
                <w:iCs/>
                <w:sz w:val="20"/>
                <w:lang w:eastAsia="en-AU"/>
              </w:rPr>
              <w:t>Patient must not have interstitial lung disease due to other known causes including domestic and occupational environmental exposures, connective tissue disease, and drug toxicity</w:t>
            </w:r>
            <w:r w:rsidR="00E1056C">
              <w:rPr>
                <w:rFonts w:ascii="Arial Narrow" w:hAnsi="Arial Narrow"/>
                <w:iCs/>
                <w:sz w:val="20"/>
                <w:lang w:eastAsia="en-AU"/>
              </w:rPr>
              <w:t>.</w:t>
            </w:r>
          </w:p>
        </w:tc>
      </w:tr>
      <w:tr w:rsidR="00523B05" w:rsidRPr="000A609B" w:rsidTr="00A01F0F">
        <w:trPr>
          <w:cantSplit/>
          <w:trHeight w:val="360"/>
        </w:trPr>
        <w:tc>
          <w:tcPr>
            <w:tcW w:w="2835" w:type="dxa"/>
            <w:tcBorders>
              <w:top w:val="single" w:sz="4" w:space="0" w:color="auto"/>
              <w:left w:val="single" w:sz="4" w:space="0" w:color="auto"/>
              <w:bottom w:val="single" w:sz="4" w:space="0" w:color="auto"/>
              <w:right w:val="single" w:sz="4" w:space="0" w:color="auto"/>
            </w:tcBorders>
          </w:tcPr>
          <w:p w:rsidR="00523B05" w:rsidRPr="000A609B" w:rsidRDefault="00523B05" w:rsidP="00E1056C">
            <w:pPr>
              <w:widowControl/>
              <w:rPr>
                <w:rFonts w:ascii="Arial Narrow" w:hAnsi="Arial Narrow"/>
                <w:snapToGrid/>
                <w:sz w:val="20"/>
                <w:lang w:eastAsia="en-AU"/>
              </w:rPr>
            </w:pPr>
            <w:r w:rsidRPr="000A609B">
              <w:rPr>
                <w:rFonts w:ascii="Arial Narrow" w:hAnsi="Arial Narrow"/>
                <w:b/>
                <w:snapToGrid/>
                <w:sz w:val="20"/>
                <w:lang w:eastAsia="en-AU"/>
              </w:rPr>
              <w:t>Population criteria:</w:t>
            </w:r>
          </w:p>
        </w:tc>
        <w:tc>
          <w:tcPr>
            <w:tcW w:w="6379" w:type="dxa"/>
            <w:gridSpan w:val="6"/>
            <w:tcBorders>
              <w:top w:val="single" w:sz="4" w:space="0" w:color="auto"/>
              <w:left w:val="single" w:sz="4" w:space="0" w:color="auto"/>
              <w:bottom w:val="single" w:sz="4" w:space="0" w:color="auto"/>
              <w:right w:val="single" w:sz="4" w:space="0" w:color="auto"/>
            </w:tcBorders>
          </w:tcPr>
          <w:p w:rsidR="00523B05" w:rsidRPr="000A609B" w:rsidRDefault="00523B05" w:rsidP="00A01F0F">
            <w:pPr>
              <w:widowControl/>
              <w:rPr>
                <w:rFonts w:ascii="Arial Narrow" w:hAnsi="Arial Narrow"/>
                <w:snapToGrid/>
                <w:sz w:val="20"/>
                <w:lang w:eastAsia="en-AU"/>
              </w:rPr>
            </w:pPr>
            <w:r w:rsidRPr="000A609B">
              <w:rPr>
                <w:rFonts w:ascii="Arial Narrow" w:hAnsi="Arial Narrow"/>
                <w:iCs/>
                <w:sz w:val="20"/>
                <w:lang w:eastAsia="en-AU"/>
              </w:rPr>
              <w:t>Patient must be aged 40 years or older.</w:t>
            </w:r>
          </w:p>
        </w:tc>
      </w:tr>
      <w:tr w:rsidR="00523B05" w:rsidRPr="000A609B" w:rsidTr="00A01F0F">
        <w:trPr>
          <w:cantSplit/>
          <w:trHeight w:val="360"/>
        </w:trPr>
        <w:tc>
          <w:tcPr>
            <w:tcW w:w="2835" w:type="dxa"/>
            <w:tcBorders>
              <w:top w:val="single" w:sz="4" w:space="0" w:color="auto"/>
              <w:left w:val="single" w:sz="4" w:space="0" w:color="auto"/>
              <w:bottom w:val="single" w:sz="4" w:space="0" w:color="auto"/>
              <w:right w:val="single" w:sz="4" w:space="0" w:color="auto"/>
            </w:tcBorders>
          </w:tcPr>
          <w:p w:rsidR="00523B05" w:rsidRPr="000A609B" w:rsidRDefault="00523B05" w:rsidP="00A01F0F">
            <w:pPr>
              <w:widowControl/>
              <w:rPr>
                <w:rFonts w:ascii="Arial Narrow" w:hAnsi="Arial Narrow"/>
                <w:b/>
                <w:snapToGrid/>
                <w:sz w:val="20"/>
                <w:lang w:eastAsia="en-AU"/>
              </w:rPr>
            </w:pPr>
            <w:r w:rsidRPr="000A609B">
              <w:rPr>
                <w:rFonts w:ascii="Arial Narrow" w:hAnsi="Arial Narrow"/>
                <w:b/>
                <w:snapToGrid/>
                <w:sz w:val="20"/>
                <w:lang w:eastAsia="en-AU"/>
              </w:rPr>
              <w:t>Prescriber Instruction 1</w:t>
            </w:r>
          </w:p>
          <w:p w:rsidR="00523B05" w:rsidRPr="000A609B" w:rsidRDefault="00523B05" w:rsidP="00E1056C">
            <w:pPr>
              <w:widowControl/>
              <w:rPr>
                <w:rFonts w:ascii="Arial Narrow" w:hAnsi="Arial Narrow"/>
                <w:snapToGrid/>
                <w:sz w:val="20"/>
                <w:lang w:eastAsia="en-AU"/>
              </w:rPr>
            </w:pPr>
            <w:r w:rsidRPr="000A609B">
              <w:rPr>
                <w:rFonts w:ascii="Arial Narrow" w:hAnsi="Arial Narrow"/>
                <w:i/>
                <w:snapToGrid/>
                <w:sz w:val="20"/>
                <w:lang w:eastAsia="en-AU"/>
              </w:rPr>
              <w:t>(To be finalised)</w:t>
            </w:r>
          </w:p>
        </w:tc>
        <w:tc>
          <w:tcPr>
            <w:tcW w:w="6379" w:type="dxa"/>
            <w:gridSpan w:val="6"/>
            <w:tcBorders>
              <w:top w:val="single" w:sz="4" w:space="0" w:color="auto"/>
              <w:left w:val="single" w:sz="4" w:space="0" w:color="auto"/>
              <w:bottom w:val="single" w:sz="4" w:space="0" w:color="auto"/>
              <w:right w:val="single" w:sz="4" w:space="0" w:color="auto"/>
            </w:tcBorders>
          </w:tcPr>
          <w:p w:rsidR="00523B05" w:rsidRPr="000A609B" w:rsidRDefault="00523B05" w:rsidP="00E1056C">
            <w:pPr>
              <w:widowControl/>
              <w:jc w:val="left"/>
              <w:rPr>
                <w:rFonts w:ascii="Arial Narrow" w:hAnsi="Arial Narrow"/>
                <w:snapToGrid/>
                <w:sz w:val="20"/>
                <w:lang w:eastAsia="en-AU"/>
              </w:rPr>
            </w:pPr>
            <w:r w:rsidRPr="000A609B">
              <w:rPr>
                <w:rFonts w:ascii="Arial Narrow" w:hAnsi="Arial Narrow"/>
                <w:i/>
                <w:iCs/>
                <w:sz w:val="20"/>
                <w:lang w:eastAsia="en-AU"/>
              </w:rPr>
              <w:t>If attendance is not possible, because of geographical isolation, consultation with a multidisciplinary team may be necessary in the diagnosis of idiopathic pulmonary fibrosis (IPF). The multidisciplinary team may comprise of at least a pulmonologist, radiologist and where required, pathologist.</w:t>
            </w:r>
          </w:p>
        </w:tc>
      </w:tr>
      <w:tr w:rsidR="00523B05" w:rsidRPr="000A609B" w:rsidTr="00A01F0F">
        <w:trPr>
          <w:cantSplit/>
          <w:trHeight w:val="360"/>
        </w:trPr>
        <w:tc>
          <w:tcPr>
            <w:tcW w:w="2835" w:type="dxa"/>
            <w:tcBorders>
              <w:top w:val="single" w:sz="4" w:space="0" w:color="auto"/>
              <w:left w:val="single" w:sz="4" w:space="0" w:color="auto"/>
              <w:bottom w:val="single" w:sz="4" w:space="0" w:color="auto"/>
              <w:right w:val="single" w:sz="4" w:space="0" w:color="auto"/>
            </w:tcBorders>
          </w:tcPr>
          <w:p w:rsidR="00523B05" w:rsidRPr="000A609B" w:rsidRDefault="00523B05" w:rsidP="00A01F0F">
            <w:pPr>
              <w:widowControl/>
              <w:rPr>
                <w:rFonts w:ascii="Arial Narrow" w:hAnsi="Arial Narrow"/>
                <w:b/>
                <w:snapToGrid/>
                <w:sz w:val="20"/>
                <w:lang w:eastAsia="en-AU"/>
              </w:rPr>
            </w:pPr>
            <w:r w:rsidRPr="000A609B">
              <w:rPr>
                <w:rFonts w:ascii="Arial Narrow" w:hAnsi="Arial Narrow"/>
                <w:b/>
                <w:snapToGrid/>
                <w:sz w:val="20"/>
                <w:lang w:eastAsia="en-AU"/>
              </w:rPr>
              <w:t>Administrative Advice 1</w:t>
            </w:r>
          </w:p>
          <w:p w:rsidR="00523B05" w:rsidRPr="000A609B" w:rsidRDefault="00523B05" w:rsidP="00A01F0F">
            <w:pPr>
              <w:widowControl/>
              <w:rPr>
                <w:rFonts w:ascii="Arial Narrow" w:hAnsi="Arial Narrow"/>
                <w:b/>
                <w:snapToGrid/>
                <w:sz w:val="20"/>
                <w:lang w:eastAsia="en-AU"/>
              </w:rPr>
            </w:pPr>
          </w:p>
          <w:p w:rsidR="00523B05" w:rsidRPr="000A609B" w:rsidRDefault="00523B05" w:rsidP="00A01F0F">
            <w:pPr>
              <w:widowControl/>
              <w:rPr>
                <w:rFonts w:ascii="Arial Narrow" w:hAnsi="Arial Narrow"/>
                <w:b/>
                <w:snapToGrid/>
                <w:sz w:val="20"/>
                <w:lang w:eastAsia="en-AU"/>
              </w:rPr>
            </w:pPr>
          </w:p>
          <w:p w:rsidR="00523B05" w:rsidRPr="000A609B" w:rsidRDefault="00523B05" w:rsidP="00A01F0F">
            <w:pPr>
              <w:widowControl/>
              <w:rPr>
                <w:rFonts w:ascii="Arial Narrow" w:hAnsi="Arial Narrow"/>
                <w:b/>
                <w:snapToGrid/>
                <w:sz w:val="20"/>
                <w:lang w:eastAsia="en-AU"/>
              </w:rPr>
            </w:pPr>
            <w:r w:rsidRPr="000A609B">
              <w:rPr>
                <w:rFonts w:ascii="Arial Narrow" w:hAnsi="Arial Narrow"/>
                <w:b/>
                <w:snapToGrid/>
                <w:sz w:val="20"/>
                <w:lang w:eastAsia="en-AU"/>
              </w:rPr>
              <w:t>Administrative Advice 2</w:t>
            </w:r>
          </w:p>
          <w:p w:rsidR="00523B05" w:rsidRPr="000A609B" w:rsidRDefault="00523B05" w:rsidP="00A01F0F">
            <w:pPr>
              <w:widowControl/>
              <w:rPr>
                <w:rFonts w:ascii="Arial Narrow" w:hAnsi="Arial Narrow"/>
                <w:b/>
                <w:snapToGrid/>
                <w:sz w:val="20"/>
                <w:lang w:eastAsia="en-AU"/>
              </w:rPr>
            </w:pPr>
          </w:p>
          <w:p w:rsidR="00523B05" w:rsidRPr="000A609B" w:rsidRDefault="00523B05" w:rsidP="00A01F0F">
            <w:pPr>
              <w:widowControl/>
              <w:rPr>
                <w:rFonts w:ascii="Arial Narrow" w:hAnsi="Arial Narrow"/>
                <w:b/>
                <w:snapToGrid/>
                <w:sz w:val="20"/>
                <w:lang w:eastAsia="en-AU"/>
              </w:rPr>
            </w:pPr>
          </w:p>
          <w:p w:rsidR="00523B05" w:rsidRPr="000A609B" w:rsidRDefault="00523B05" w:rsidP="00A01F0F">
            <w:pPr>
              <w:widowControl/>
              <w:rPr>
                <w:rFonts w:ascii="Arial Narrow" w:hAnsi="Arial Narrow"/>
                <w:b/>
                <w:snapToGrid/>
                <w:sz w:val="20"/>
                <w:lang w:eastAsia="en-AU"/>
              </w:rPr>
            </w:pPr>
          </w:p>
          <w:p w:rsidR="00523B05" w:rsidRPr="000A609B" w:rsidRDefault="00523B05" w:rsidP="00A01F0F">
            <w:pPr>
              <w:widowControl/>
              <w:rPr>
                <w:rFonts w:ascii="Arial Narrow" w:hAnsi="Arial Narrow"/>
                <w:b/>
                <w:snapToGrid/>
                <w:sz w:val="20"/>
                <w:lang w:eastAsia="en-AU"/>
              </w:rPr>
            </w:pPr>
          </w:p>
          <w:p w:rsidR="00523B05" w:rsidRPr="000A609B" w:rsidRDefault="00523B05" w:rsidP="00A01F0F">
            <w:pPr>
              <w:widowControl/>
              <w:rPr>
                <w:rFonts w:ascii="Arial Narrow" w:hAnsi="Arial Narrow"/>
                <w:b/>
                <w:snapToGrid/>
                <w:sz w:val="20"/>
                <w:lang w:eastAsia="en-AU"/>
              </w:rPr>
            </w:pPr>
          </w:p>
          <w:p w:rsidR="00523B05" w:rsidRPr="000A609B" w:rsidRDefault="00523B05" w:rsidP="00A01F0F">
            <w:pPr>
              <w:widowControl/>
              <w:rPr>
                <w:rFonts w:ascii="Arial Narrow" w:hAnsi="Arial Narrow"/>
                <w:b/>
                <w:snapToGrid/>
                <w:sz w:val="20"/>
                <w:lang w:eastAsia="en-AU"/>
              </w:rPr>
            </w:pPr>
          </w:p>
          <w:p w:rsidR="00523B05" w:rsidRPr="000A609B" w:rsidRDefault="00523B05" w:rsidP="00A01F0F">
            <w:pPr>
              <w:widowControl/>
              <w:rPr>
                <w:rFonts w:ascii="Arial Narrow" w:hAnsi="Arial Narrow"/>
                <w:b/>
                <w:snapToGrid/>
                <w:sz w:val="20"/>
                <w:lang w:eastAsia="en-AU"/>
              </w:rPr>
            </w:pPr>
          </w:p>
          <w:p w:rsidR="00523B05" w:rsidRPr="000A609B" w:rsidRDefault="00523B05" w:rsidP="00A01F0F">
            <w:pPr>
              <w:widowControl/>
              <w:rPr>
                <w:rFonts w:ascii="Arial Narrow" w:hAnsi="Arial Narrow"/>
                <w:b/>
                <w:snapToGrid/>
                <w:sz w:val="20"/>
                <w:lang w:eastAsia="en-AU"/>
              </w:rPr>
            </w:pPr>
          </w:p>
          <w:p w:rsidR="00523B05" w:rsidRPr="000A609B" w:rsidRDefault="00523B05" w:rsidP="00A01F0F">
            <w:pPr>
              <w:widowControl/>
              <w:rPr>
                <w:rFonts w:ascii="Arial Narrow" w:hAnsi="Arial Narrow"/>
                <w:b/>
                <w:snapToGrid/>
                <w:sz w:val="20"/>
                <w:lang w:eastAsia="en-AU"/>
              </w:rPr>
            </w:pPr>
          </w:p>
          <w:p w:rsidR="00523B05" w:rsidRPr="000A609B" w:rsidRDefault="00523B05" w:rsidP="00A01F0F">
            <w:pPr>
              <w:widowControl/>
              <w:rPr>
                <w:rFonts w:ascii="Arial Narrow" w:hAnsi="Arial Narrow"/>
                <w:b/>
                <w:snapToGrid/>
                <w:sz w:val="20"/>
                <w:lang w:eastAsia="en-AU"/>
              </w:rPr>
            </w:pPr>
          </w:p>
          <w:p w:rsidR="00523B05" w:rsidRPr="000A609B" w:rsidRDefault="00523B05" w:rsidP="00A01F0F">
            <w:pPr>
              <w:widowControl/>
              <w:rPr>
                <w:rFonts w:ascii="Arial Narrow" w:hAnsi="Arial Narrow"/>
                <w:b/>
                <w:snapToGrid/>
                <w:sz w:val="20"/>
                <w:lang w:eastAsia="en-AU"/>
              </w:rPr>
            </w:pPr>
          </w:p>
          <w:p w:rsidR="00523B05" w:rsidRPr="000A609B" w:rsidRDefault="00523B05" w:rsidP="00A01F0F">
            <w:pPr>
              <w:widowControl/>
              <w:rPr>
                <w:rFonts w:ascii="Arial Narrow" w:hAnsi="Arial Narrow"/>
                <w:b/>
                <w:snapToGrid/>
                <w:sz w:val="20"/>
                <w:lang w:eastAsia="en-AU"/>
              </w:rPr>
            </w:pPr>
            <w:r w:rsidRPr="000A609B">
              <w:rPr>
                <w:rFonts w:ascii="Arial Narrow" w:hAnsi="Arial Narrow"/>
                <w:b/>
                <w:snapToGrid/>
                <w:sz w:val="20"/>
                <w:lang w:eastAsia="en-AU"/>
              </w:rPr>
              <w:t>Administrative Advice 3</w:t>
            </w:r>
          </w:p>
        </w:tc>
        <w:tc>
          <w:tcPr>
            <w:tcW w:w="6379" w:type="dxa"/>
            <w:gridSpan w:val="6"/>
            <w:tcBorders>
              <w:top w:val="single" w:sz="4" w:space="0" w:color="auto"/>
              <w:left w:val="single" w:sz="4" w:space="0" w:color="auto"/>
              <w:bottom w:val="single" w:sz="4" w:space="0" w:color="auto"/>
              <w:right w:val="single" w:sz="4" w:space="0" w:color="auto"/>
            </w:tcBorders>
          </w:tcPr>
          <w:p w:rsidR="00523B05" w:rsidRPr="000A609B" w:rsidRDefault="00523B05" w:rsidP="00E1056C">
            <w:pPr>
              <w:widowControl/>
              <w:jc w:val="left"/>
              <w:rPr>
                <w:rFonts w:ascii="Arial Narrow" w:hAnsi="Arial Narrow"/>
                <w:i/>
                <w:iCs/>
                <w:sz w:val="20"/>
                <w:lang w:eastAsia="en-AU"/>
              </w:rPr>
            </w:pPr>
            <w:r w:rsidRPr="000A609B">
              <w:rPr>
                <w:rFonts w:ascii="Arial Narrow" w:hAnsi="Arial Narrow"/>
                <w:i/>
                <w:snapToGrid/>
                <w:sz w:val="20"/>
                <w:lang w:eastAsia="en-AU"/>
              </w:rPr>
              <w:t>No applications for increase in the maximum quantities will be authorised.</w:t>
            </w:r>
          </w:p>
          <w:p w:rsidR="00523B05" w:rsidRPr="005B5A70" w:rsidRDefault="00523B05" w:rsidP="00E1056C">
            <w:pPr>
              <w:widowControl/>
              <w:jc w:val="left"/>
              <w:rPr>
                <w:rFonts w:ascii="Arial Narrow" w:hAnsi="Arial Narrow" w:cs="Calibri"/>
                <w:bCs/>
                <w:i/>
                <w:snapToGrid/>
                <w:sz w:val="20"/>
              </w:rPr>
            </w:pPr>
            <w:r w:rsidRPr="005B5A70">
              <w:rPr>
                <w:rFonts w:ascii="Arial Narrow" w:hAnsi="Arial Narrow" w:cs="Calibri"/>
                <w:bCs/>
                <w:i/>
                <w:snapToGrid/>
                <w:sz w:val="20"/>
              </w:rPr>
              <w:t>No applications for increased repeats will be authorised.</w:t>
            </w:r>
          </w:p>
          <w:p w:rsidR="00523B05" w:rsidRPr="000A609B" w:rsidRDefault="00523B05" w:rsidP="00E1056C">
            <w:pPr>
              <w:widowControl/>
              <w:jc w:val="left"/>
              <w:rPr>
                <w:rFonts w:ascii="Arial Narrow" w:hAnsi="Arial Narrow"/>
                <w:iCs/>
                <w:sz w:val="20"/>
                <w:lang w:eastAsia="en-AU"/>
              </w:rPr>
            </w:pPr>
          </w:p>
          <w:p w:rsidR="00523B05" w:rsidRPr="000A609B" w:rsidRDefault="00523B05" w:rsidP="00A01F0F">
            <w:pPr>
              <w:widowControl/>
              <w:jc w:val="left"/>
              <w:rPr>
                <w:rFonts w:ascii="Arial Narrow" w:hAnsi="Arial Narrow"/>
                <w:iCs/>
                <w:sz w:val="20"/>
                <w:lang w:eastAsia="en-AU"/>
              </w:rPr>
            </w:pPr>
            <w:r w:rsidRPr="000A609B">
              <w:rPr>
                <w:rFonts w:ascii="Arial Narrow" w:hAnsi="Arial Narrow"/>
                <w:iCs/>
                <w:sz w:val="20"/>
                <w:lang w:eastAsia="en-AU"/>
              </w:rPr>
              <w:t xml:space="preserve">Any queries concerning the arrangements to prescribe may be directed to the Department of Human Services on 1800 700 270 (hours of operation 8 a.m. to 5 p.m. EST Monday to Friday). </w:t>
            </w:r>
          </w:p>
          <w:p w:rsidR="00523B05" w:rsidRPr="000A609B" w:rsidRDefault="00523B05" w:rsidP="00A01F0F">
            <w:pPr>
              <w:widowControl/>
              <w:jc w:val="left"/>
              <w:rPr>
                <w:rFonts w:ascii="Arial Narrow" w:hAnsi="Arial Narrow"/>
                <w:iCs/>
                <w:sz w:val="20"/>
                <w:lang w:eastAsia="en-AU"/>
              </w:rPr>
            </w:pPr>
            <w:r w:rsidRPr="000A609B">
              <w:rPr>
                <w:rFonts w:ascii="Arial Narrow" w:hAnsi="Arial Narrow"/>
                <w:iCs/>
                <w:sz w:val="20"/>
                <w:lang w:eastAsia="en-AU"/>
              </w:rPr>
              <w:t>Prescribing information (including Authority Application forms and other relevant documentation as applicable) is available on the Department of Human Services website at www.humanservices.gov.au</w:t>
            </w:r>
          </w:p>
          <w:p w:rsidR="00523B05" w:rsidRPr="000A609B" w:rsidRDefault="00523B05" w:rsidP="00A01F0F">
            <w:pPr>
              <w:widowControl/>
              <w:jc w:val="left"/>
              <w:rPr>
                <w:rFonts w:ascii="Arial Narrow" w:hAnsi="Arial Narrow"/>
                <w:iCs/>
                <w:sz w:val="20"/>
                <w:lang w:eastAsia="en-AU"/>
              </w:rPr>
            </w:pPr>
            <w:r w:rsidRPr="000A609B">
              <w:rPr>
                <w:rFonts w:ascii="Arial Narrow" w:hAnsi="Arial Narrow"/>
                <w:iCs/>
                <w:sz w:val="20"/>
                <w:lang w:eastAsia="en-AU"/>
              </w:rPr>
              <w:t xml:space="preserve">Applications for authority to prescribe should be forwarded to: </w:t>
            </w:r>
          </w:p>
          <w:p w:rsidR="00523B05" w:rsidRPr="000A609B" w:rsidRDefault="00523B05" w:rsidP="00A01F0F">
            <w:pPr>
              <w:widowControl/>
              <w:jc w:val="left"/>
              <w:rPr>
                <w:rFonts w:ascii="Arial Narrow" w:hAnsi="Arial Narrow"/>
                <w:iCs/>
                <w:sz w:val="20"/>
                <w:lang w:eastAsia="en-AU"/>
              </w:rPr>
            </w:pPr>
            <w:r w:rsidRPr="000A609B">
              <w:rPr>
                <w:rFonts w:ascii="Arial Narrow" w:hAnsi="Arial Narrow"/>
                <w:iCs/>
                <w:sz w:val="20"/>
                <w:lang w:eastAsia="en-AU"/>
              </w:rPr>
              <w:t>Department of Human Services</w:t>
            </w:r>
          </w:p>
          <w:p w:rsidR="00523B05" w:rsidRPr="000A609B" w:rsidRDefault="00523B05" w:rsidP="00A01F0F">
            <w:pPr>
              <w:widowControl/>
              <w:jc w:val="left"/>
              <w:rPr>
                <w:rFonts w:ascii="Arial Narrow" w:hAnsi="Arial Narrow"/>
                <w:iCs/>
                <w:sz w:val="20"/>
                <w:lang w:eastAsia="en-AU"/>
              </w:rPr>
            </w:pPr>
            <w:r w:rsidRPr="000A609B">
              <w:rPr>
                <w:rFonts w:ascii="Arial Narrow" w:hAnsi="Arial Narrow"/>
                <w:iCs/>
                <w:sz w:val="20"/>
                <w:lang w:eastAsia="en-AU"/>
              </w:rPr>
              <w:t xml:space="preserve">Prior Written Approval of Complex Drugs </w:t>
            </w:r>
          </w:p>
          <w:p w:rsidR="00523B05" w:rsidRPr="000A609B" w:rsidRDefault="00523B05" w:rsidP="00A01F0F">
            <w:pPr>
              <w:widowControl/>
              <w:jc w:val="left"/>
              <w:rPr>
                <w:rFonts w:ascii="Arial Narrow" w:hAnsi="Arial Narrow"/>
                <w:iCs/>
                <w:sz w:val="20"/>
                <w:lang w:eastAsia="en-AU"/>
              </w:rPr>
            </w:pPr>
            <w:r w:rsidRPr="000A609B">
              <w:rPr>
                <w:rFonts w:ascii="Arial Narrow" w:hAnsi="Arial Narrow"/>
                <w:iCs/>
                <w:sz w:val="20"/>
                <w:lang w:eastAsia="en-AU"/>
              </w:rPr>
              <w:t xml:space="preserve">Reply Paid 9826 </w:t>
            </w:r>
          </w:p>
          <w:p w:rsidR="00523B05" w:rsidRPr="000A609B" w:rsidRDefault="00523B05" w:rsidP="00A01F0F">
            <w:pPr>
              <w:widowControl/>
              <w:jc w:val="left"/>
              <w:rPr>
                <w:rFonts w:ascii="Arial Narrow" w:hAnsi="Arial Narrow"/>
                <w:iCs/>
                <w:sz w:val="20"/>
                <w:lang w:eastAsia="en-AU"/>
              </w:rPr>
            </w:pPr>
            <w:r w:rsidRPr="000A609B">
              <w:rPr>
                <w:rFonts w:ascii="Arial Narrow" w:hAnsi="Arial Narrow"/>
                <w:iCs/>
                <w:sz w:val="20"/>
                <w:lang w:eastAsia="en-AU"/>
              </w:rPr>
              <w:t>HOBART TAS 7001</w:t>
            </w:r>
          </w:p>
          <w:p w:rsidR="00523B05" w:rsidRPr="000A609B" w:rsidRDefault="00523B05" w:rsidP="00A01F0F">
            <w:pPr>
              <w:widowControl/>
              <w:jc w:val="left"/>
              <w:rPr>
                <w:rFonts w:ascii="Arial Narrow" w:hAnsi="Arial Narrow"/>
                <w:iCs/>
                <w:sz w:val="20"/>
                <w:lang w:eastAsia="en-AU"/>
              </w:rPr>
            </w:pPr>
          </w:p>
          <w:p w:rsidR="00523B05" w:rsidRPr="000A609B" w:rsidRDefault="00523B05" w:rsidP="00A01F0F">
            <w:pPr>
              <w:widowControl/>
              <w:jc w:val="left"/>
              <w:rPr>
                <w:rFonts w:ascii="Times New Roman" w:hAnsi="Times New Roman"/>
                <w:i/>
                <w:sz w:val="20"/>
                <w:lang w:eastAsia="en-AU"/>
              </w:rPr>
            </w:pPr>
            <w:r w:rsidRPr="000A609B">
              <w:rPr>
                <w:rFonts w:ascii="Arial Narrow" w:hAnsi="Arial Narrow"/>
                <w:iCs/>
                <w:sz w:val="20"/>
                <w:lang w:eastAsia="en-AU"/>
              </w:rPr>
              <w:t>Special Pricing Arrangements apply</w:t>
            </w:r>
            <w:r w:rsidRPr="000A609B">
              <w:rPr>
                <w:rFonts w:ascii="Arial Narrow" w:hAnsi="Arial Narrow"/>
                <w:i/>
                <w:sz w:val="20"/>
                <w:lang w:eastAsia="en-AU"/>
              </w:rPr>
              <w:t>.</w:t>
            </w:r>
          </w:p>
        </w:tc>
      </w:tr>
    </w:tbl>
    <w:p w:rsidR="00523B05" w:rsidRPr="00B15D73" w:rsidRDefault="00523B05" w:rsidP="00B15D73">
      <w:pPr>
        <w:widowControl/>
        <w:rPr>
          <w:szCs w:val="22"/>
        </w:rPr>
      </w:pPr>
    </w:p>
    <w:p w:rsidR="00523B05" w:rsidRPr="00B15D73" w:rsidRDefault="00523B05" w:rsidP="00B15D73">
      <w:pPr>
        <w:widowControl/>
        <w:rPr>
          <w:szCs w:val="22"/>
        </w:rPr>
      </w:pPr>
    </w:p>
    <w:tbl>
      <w:tblPr>
        <w:tblW w:w="9214" w:type="dxa"/>
        <w:tblInd w:w="108" w:type="dxa"/>
        <w:tblLayout w:type="fixed"/>
        <w:tblLook w:val="0000" w:firstRow="0" w:lastRow="0" w:firstColumn="0" w:lastColumn="0" w:noHBand="0" w:noVBand="0"/>
        <w:tblCaption w:val="Requested listing - continuing treatment"/>
      </w:tblPr>
      <w:tblGrid>
        <w:gridCol w:w="2835"/>
        <w:gridCol w:w="6379"/>
      </w:tblGrid>
      <w:tr w:rsidR="00523B05" w:rsidRPr="000A609B" w:rsidTr="00A01F0F">
        <w:trPr>
          <w:cantSplit/>
          <w:trHeight w:val="360"/>
        </w:trPr>
        <w:tc>
          <w:tcPr>
            <w:tcW w:w="2835" w:type="dxa"/>
            <w:tcBorders>
              <w:top w:val="single" w:sz="4" w:space="0" w:color="auto"/>
              <w:left w:val="single" w:sz="4" w:space="0" w:color="auto"/>
              <w:bottom w:val="single" w:sz="4" w:space="0" w:color="auto"/>
              <w:right w:val="single" w:sz="4" w:space="0" w:color="auto"/>
            </w:tcBorders>
          </w:tcPr>
          <w:p w:rsidR="00523B05" w:rsidRPr="000A609B" w:rsidRDefault="00523B05" w:rsidP="00E1056C">
            <w:pPr>
              <w:widowControl/>
              <w:rPr>
                <w:rFonts w:ascii="Arial Narrow" w:hAnsi="Arial Narrow"/>
                <w:b/>
                <w:snapToGrid/>
                <w:sz w:val="20"/>
                <w:lang w:eastAsia="en-AU"/>
              </w:rPr>
            </w:pPr>
            <w:r w:rsidRPr="000A609B">
              <w:rPr>
                <w:rFonts w:ascii="Arial Narrow" w:hAnsi="Arial Narrow"/>
                <w:b/>
                <w:snapToGrid/>
                <w:sz w:val="20"/>
                <w:lang w:eastAsia="en-AU"/>
              </w:rPr>
              <w:t>Category / Program</w:t>
            </w:r>
          </w:p>
        </w:tc>
        <w:tc>
          <w:tcPr>
            <w:tcW w:w="6379" w:type="dxa"/>
            <w:tcBorders>
              <w:top w:val="single" w:sz="4" w:space="0" w:color="auto"/>
              <w:left w:val="single" w:sz="4" w:space="0" w:color="auto"/>
              <w:bottom w:val="single" w:sz="4" w:space="0" w:color="auto"/>
              <w:right w:val="single" w:sz="4" w:space="0" w:color="auto"/>
            </w:tcBorders>
          </w:tcPr>
          <w:p w:rsidR="00523B05" w:rsidRPr="000A609B" w:rsidRDefault="00523B05" w:rsidP="00E1056C">
            <w:pPr>
              <w:widowControl/>
              <w:jc w:val="left"/>
              <w:rPr>
                <w:rFonts w:ascii="Arial Narrow" w:hAnsi="Arial Narrow"/>
                <w:snapToGrid/>
                <w:sz w:val="20"/>
                <w:lang w:eastAsia="en-AU"/>
              </w:rPr>
            </w:pPr>
            <w:r w:rsidRPr="000A609B">
              <w:rPr>
                <w:rFonts w:ascii="Arial Narrow" w:hAnsi="Arial Narrow"/>
                <w:snapToGrid/>
                <w:sz w:val="20"/>
                <w:lang w:eastAsia="en-AU"/>
              </w:rPr>
              <w:t>GENERAL – General Schedule (Code GE)</w:t>
            </w:r>
          </w:p>
        </w:tc>
      </w:tr>
      <w:tr w:rsidR="00523B05" w:rsidRPr="000A609B" w:rsidTr="00A01F0F">
        <w:trPr>
          <w:cantSplit/>
          <w:trHeight w:val="360"/>
        </w:trPr>
        <w:tc>
          <w:tcPr>
            <w:tcW w:w="2835" w:type="dxa"/>
            <w:tcBorders>
              <w:top w:val="single" w:sz="4" w:space="0" w:color="auto"/>
              <w:left w:val="single" w:sz="4" w:space="0" w:color="auto"/>
              <w:bottom w:val="single" w:sz="4" w:space="0" w:color="auto"/>
              <w:right w:val="single" w:sz="4" w:space="0" w:color="auto"/>
            </w:tcBorders>
          </w:tcPr>
          <w:p w:rsidR="00523B05" w:rsidRPr="000A609B" w:rsidRDefault="00523B05" w:rsidP="00E1056C">
            <w:pPr>
              <w:widowControl/>
              <w:rPr>
                <w:rFonts w:ascii="Arial Narrow" w:hAnsi="Arial Narrow"/>
                <w:b/>
                <w:snapToGrid/>
                <w:sz w:val="20"/>
                <w:lang w:eastAsia="en-AU"/>
              </w:rPr>
            </w:pPr>
            <w:r w:rsidRPr="000A609B">
              <w:rPr>
                <w:rFonts w:ascii="Arial Narrow" w:hAnsi="Arial Narrow"/>
                <w:b/>
                <w:snapToGrid/>
                <w:sz w:val="20"/>
                <w:lang w:eastAsia="en-AU"/>
              </w:rPr>
              <w:t>Prescriber type:</w:t>
            </w:r>
          </w:p>
        </w:tc>
        <w:tc>
          <w:tcPr>
            <w:tcW w:w="6379" w:type="dxa"/>
            <w:tcBorders>
              <w:top w:val="single" w:sz="4" w:space="0" w:color="auto"/>
              <w:left w:val="single" w:sz="4" w:space="0" w:color="auto"/>
              <w:bottom w:val="single" w:sz="4" w:space="0" w:color="auto"/>
              <w:right w:val="single" w:sz="4" w:space="0" w:color="auto"/>
            </w:tcBorders>
          </w:tcPr>
          <w:p w:rsidR="00523B05" w:rsidRPr="000A609B" w:rsidRDefault="00523B05" w:rsidP="00A01F0F">
            <w:pPr>
              <w:widowControl/>
              <w:jc w:val="left"/>
              <w:rPr>
                <w:rFonts w:ascii="Arial Narrow" w:hAnsi="Arial Narrow"/>
                <w:snapToGrid/>
                <w:sz w:val="20"/>
                <w:lang w:eastAsia="en-AU"/>
              </w:rPr>
            </w:pPr>
            <w:r w:rsidRPr="000A609B">
              <w:rPr>
                <w:rFonts w:ascii="Arial Narrow" w:hAnsi="Arial Narrow"/>
                <w:snapToGrid/>
                <w:sz w:val="20"/>
                <w:lang w:eastAsia="en-AU"/>
              </w:rPr>
              <w:fldChar w:fldCharType="begin">
                <w:ffData>
                  <w:name w:val="Check1"/>
                  <w:enabled/>
                  <w:calcOnExit w:val="0"/>
                  <w:checkBox>
                    <w:sizeAuto/>
                    <w:default w:val="0"/>
                  </w:checkBox>
                </w:ffData>
              </w:fldChar>
            </w:r>
            <w:r w:rsidRPr="000A609B">
              <w:rPr>
                <w:rFonts w:ascii="Arial Narrow" w:hAnsi="Arial Narrow"/>
                <w:snapToGrid/>
                <w:sz w:val="20"/>
                <w:lang w:eastAsia="en-AU"/>
              </w:rPr>
              <w:instrText xml:space="preserve"> FORMCHECKBOX </w:instrText>
            </w:r>
            <w:r w:rsidR="00F146E1">
              <w:rPr>
                <w:rFonts w:ascii="Arial Narrow" w:hAnsi="Arial Narrow"/>
                <w:snapToGrid/>
                <w:sz w:val="20"/>
                <w:lang w:eastAsia="en-AU"/>
              </w:rPr>
            </w:r>
            <w:r w:rsidR="00F146E1">
              <w:rPr>
                <w:rFonts w:ascii="Arial Narrow" w:hAnsi="Arial Narrow"/>
                <w:snapToGrid/>
                <w:sz w:val="20"/>
                <w:lang w:eastAsia="en-AU"/>
              </w:rPr>
              <w:fldChar w:fldCharType="separate"/>
            </w:r>
            <w:r w:rsidRPr="000A609B">
              <w:rPr>
                <w:rFonts w:ascii="Arial Narrow" w:hAnsi="Arial Narrow"/>
                <w:snapToGrid/>
                <w:sz w:val="20"/>
                <w:lang w:eastAsia="en-AU"/>
              </w:rPr>
              <w:fldChar w:fldCharType="end"/>
            </w:r>
            <w:r w:rsidRPr="000A609B">
              <w:rPr>
                <w:rFonts w:ascii="Arial Narrow" w:hAnsi="Arial Narrow"/>
                <w:snapToGrid/>
                <w:sz w:val="20"/>
                <w:lang w:eastAsia="en-AU"/>
              </w:rPr>
              <w:t xml:space="preserve">Dental  </w:t>
            </w:r>
            <w:r w:rsidRPr="000A609B">
              <w:rPr>
                <w:rFonts w:ascii="Arial Narrow" w:hAnsi="Arial Narrow"/>
                <w:snapToGrid/>
                <w:sz w:val="20"/>
                <w:lang w:eastAsia="en-AU"/>
              </w:rPr>
              <w:fldChar w:fldCharType="begin">
                <w:ffData>
                  <w:name w:val=""/>
                  <w:enabled/>
                  <w:calcOnExit w:val="0"/>
                  <w:checkBox>
                    <w:sizeAuto/>
                    <w:default w:val="1"/>
                  </w:checkBox>
                </w:ffData>
              </w:fldChar>
            </w:r>
            <w:r w:rsidRPr="000A609B">
              <w:rPr>
                <w:rFonts w:ascii="Arial Narrow" w:hAnsi="Arial Narrow"/>
                <w:snapToGrid/>
                <w:sz w:val="20"/>
                <w:lang w:eastAsia="en-AU"/>
              </w:rPr>
              <w:instrText xml:space="preserve"> FORMCHECKBOX </w:instrText>
            </w:r>
            <w:r w:rsidR="00F146E1">
              <w:rPr>
                <w:rFonts w:ascii="Arial Narrow" w:hAnsi="Arial Narrow"/>
                <w:snapToGrid/>
                <w:sz w:val="20"/>
                <w:lang w:eastAsia="en-AU"/>
              </w:rPr>
            </w:r>
            <w:r w:rsidR="00F146E1">
              <w:rPr>
                <w:rFonts w:ascii="Arial Narrow" w:hAnsi="Arial Narrow"/>
                <w:snapToGrid/>
                <w:sz w:val="20"/>
                <w:lang w:eastAsia="en-AU"/>
              </w:rPr>
              <w:fldChar w:fldCharType="separate"/>
            </w:r>
            <w:r w:rsidRPr="000A609B">
              <w:rPr>
                <w:rFonts w:ascii="Arial Narrow" w:hAnsi="Arial Narrow"/>
                <w:snapToGrid/>
                <w:sz w:val="20"/>
                <w:lang w:eastAsia="en-AU"/>
              </w:rPr>
              <w:fldChar w:fldCharType="end"/>
            </w:r>
            <w:r w:rsidRPr="000A609B">
              <w:rPr>
                <w:rFonts w:ascii="Arial Narrow" w:hAnsi="Arial Narrow"/>
                <w:snapToGrid/>
                <w:sz w:val="20"/>
                <w:lang w:eastAsia="en-AU"/>
              </w:rPr>
              <w:t xml:space="preserve">Medical Practitioners  </w:t>
            </w:r>
            <w:r w:rsidRPr="000A609B">
              <w:rPr>
                <w:rFonts w:ascii="Arial Narrow" w:hAnsi="Arial Narrow"/>
                <w:snapToGrid/>
                <w:sz w:val="20"/>
                <w:lang w:eastAsia="en-AU"/>
              </w:rPr>
              <w:fldChar w:fldCharType="begin">
                <w:ffData>
                  <w:name w:val="Check3"/>
                  <w:enabled/>
                  <w:calcOnExit w:val="0"/>
                  <w:checkBox>
                    <w:sizeAuto/>
                    <w:default w:val="0"/>
                  </w:checkBox>
                </w:ffData>
              </w:fldChar>
            </w:r>
            <w:r w:rsidRPr="000A609B">
              <w:rPr>
                <w:rFonts w:ascii="Arial Narrow" w:hAnsi="Arial Narrow"/>
                <w:snapToGrid/>
                <w:sz w:val="20"/>
                <w:lang w:eastAsia="en-AU"/>
              </w:rPr>
              <w:instrText xml:space="preserve"> FORMCHECKBOX </w:instrText>
            </w:r>
            <w:r w:rsidR="00F146E1">
              <w:rPr>
                <w:rFonts w:ascii="Arial Narrow" w:hAnsi="Arial Narrow"/>
                <w:snapToGrid/>
                <w:sz w:val="20"/>
                <w:lang w:eastAsia="en-AU"/>
              </w:rPr>
            </w:r>
            <w:r w:rsidR="00F146E1">
              <w:rPr>
                <w:rFonts w:ascii="Arial Narrow" w:hAnsi="Arial Narrow"/>
                <w:snapToGrid/>
                <w:sz w:val="20"/>
                <w:lang w:eastAsia="en-AU"/>
              </w:rPr>
              <w:fldChar w:fldCharType="separate"/>
            </w:r>
            <w:r w:rsidRPr="000A609B">
              <w:rPr>
                <w:rFonts w:ascii="Arial Narrow" w:hAnsi="Arial Narrow"/>
                <w:snapToGrid/>
                <w:sz w:val="20"/>
                <w:lang w:eastAsia="en-AU"/>
              </w:rPr>
              <w:fldChar w:fldCharType="end"/>
            </w:r>
            <w:r w:rsidRPr="000A609B">
              <w:rPr>
                <w:rFonts w:ascii="Arial Narrow" w:hAnsi="Arial Narrow"/>
                <w:snapToGrid/>
                <w:sz w:val="20"/>
                <w:lang w:eastAsia="en-AU"/>
              </w:rPr>
              <w:t xml:space="preserve">Nurse practitioners  </w:t>
            </w:r>
            <w:r w:rsidRPr="000A609B">
              <w:rPr>
                <w:rFonts w:ascii="Arial Narrow" w:hAnsi="Arial Narrow"/>
                <w:snapToGrid/>
                <w:sz w:val="20"/>
                <w:lang w:eastAsia="en-AU"/>
              </w:rPr>
              <w:fldChar w:fldCharType="begin">
                <w:ffData>
                  <w:name w:val=""/>
                  <w:enabled/>
                  <w:calcOnExit w:val="0"/>
                  <w:checkBox>
                    <w:sizeAuto/>
                    <w:default w:val="0"/>
                  </w:checkBox>
                </w:ffData>
              </w:fldChar>
            </w:r>
            <w:r w:rsidRPr="000A609B">
              <w:rPr>
                <w:rFonts w:ascii="Arial Narrow" w:hAnsi="Arial Narrow"/>
                <w:snapToGrid/>
                <w:sz w:val="20"/>
                <w:lang w:eastAsia="en-AU"/>
              </w:rPr>
              <w:instrText xml:space="preserve"> FORMCHECKBOX </w:instrText>
            </w:r>
            <w:r w:rsidR="00F146E1">
              <w:rPr>
                <w:rFonts w:ascii="Arial Narrow" w:hAnsi="Arial Narrow"/>
                <w:snapToGrid/>
                <w:sz w:val="20"/>
                <w:lang w:eastAsia="en-AU"/>
              </w:rPr>
            </w:r>
            <w:r w:rsidR="00F146E1">
              <w:rPr>
                <w:rFonts w:ascii="Arial Narrow" w:hAnsi="Arial Narrow"/>
                <w:snapToGrid/>
                <w:sz w:val="20"/>
                <w:lang w:eastAsia="en-AU"/>
              </w:rPr>
              <w:fldChar w:fldCharType="separate"/>
            </w:r>
            <w:r w:rsidRPr="000A609B">
              <w:rPr>
                <w:rFonts w:ascii="Arial Narrow" w:hAnsi="Arial Narrow"/>
                <w:snapToGrid/>
                <w:sz w:val="20"/>
                <w:lang w:eastAsia="en-AU"/>
              </w:rPr>
              <w:fldChar w:fldCharType="end"/>
            </w:r>
            <w:r w:rsidRPr="000A609B">
              <w:rPr>
                <w:rFonts w:ascii="Arial Narrow" w:hAnsi="Arial Narrow"/>
                <w:snapToGrid/>
                <w:sz w:val="20"/>
                <w:lang w:eastAsia="en-AU"/>
              </w:rPr>
              <w:t>Optometrists</w:t>
            </w:r>
          </w:p>
          <w:p w:rsidR="00523B05" w:rsidRPr="000A609B" w:rsidRDefault="00523B05" w:rsidP="00A01F0F">
            <w:pPr>
              <w:widowControl/>
              <w:jc w:val="left"/>
              <w:rPr>
                <w:rFonts w:ascii="Arial Narrow" w:hAnsi="Arial Narrow"/>
                <w:snapToGrid/>
                <w:sz w:val="20"/>
                <w:lang w:eastAsia="en-AU"/>
              </w:rPr>
            </w:pPr>
            <w:r w:rsidRPr="000A609B">
              <w:rPr>
                <w:rFonts w:ascii="Arial Narrow" w:hAnsi="Arial Narrow"/>
                <w:snapToGrid/>
                <w:sz w:val="20"/>
                <w:lang w:eastAsia="en-AU"/>
              </w:rPr>
              <w:fldChar w:fldCharType="begin">
                <w:ffData>
                  <w:name w:val="Check5"/>
                  <w:enabled/>
                  <w:calcOnExit w:val="0"/>
                  <w:checkBox>
                    <w:sizeAuto/>
                    <w:default w:val="0"/>
                  </w:checkBox>
                </w:ffData>
              </w:fldChar>
            </w:r>
            <w:r w:rsidRPr="000A609B">
              <w:rPr>
                <w:rFonts w:ascii="Arial Narrow" w:hAnsi="Arial Narrow"/>
                <w:snapToGrid/>
                <w:sz w:val="20"/>
                <w:lang w:eastAsia="en-AU"/>
              </w:rPr>
              <w:instrText xml:space="preserve"> FORMCHECKBOX </w:instrText>
            </w:r>
            <w:r w:rsidR="00F146E1">
              <w:rPr>
                <w:rFonts w:ascii="Arial Narrow" w:hAnsi="Arial Narrow"/>
                <w:snapToGrid/>
                <w:sz w:val="20"/>
                <w:lang w:eastAsia="en-AU"/>
              </w:rPr>
            </w:r>
            <w:r w:rsidR="00F146E1">
              <w:rPr>
                <w:rFonts w:ascii="Arial Narrow" w:hAnsi="Arial Narrow"/>
                <w:snapToGrid/>
                <w:sz w:val="20"/>
                <w:lang w:eastAsia="en-AU"/>
              </w:rPr>
              <w:fldChar w:fldCharType="separate"/>
            </w:r>
            <w:r w:rsidRPr="000A609B">
              <w:rPr>
                <w:rFonts w:ascii="Arial Narrow" w:hAnsi="Arial Narrow"/>
                <w:snapToGrid/>
                <w:sz w:val="20"/>
                <w:lang w:eastAsia="en-AU"/>
              </w:rPr>
              <w:fldChar w:fldCharType="end"/>
            </w:r>
            <w:r w:rsidRPr="000A609B">
              <w:rPr>
                <w:rFonts w:ascii="Arial Narrow" w:hAnsi="Arial Narrow"/>
                <w:snapToGrid/>
                <w:sz w:val="20"/>
                <w:lang w:eastAsia="en-AU"/>
              </w:rPr>
              <w:t>Midwives</w:t>
            </w:r>
          </w:p>
        </w:tc>
      </w:tr>
      <w:tr w:rsidR="00523B05" w:rsidRPr="000A609B" w:rsidTr="00A01F0F">
        <w:trPr>
          <w:cantSplit/>
          <w:trHeight w:val="360"/>
        </w:trPr>
        <w:tc>
          <w:tcPr>
            <w:tcW w:w="2835" w:type="dxa"/>
            <w:tcBorders>
              <w:top w:val="single" w:sz="4" w:space="0" w:color="auto"/>
              <w:left w:val="single" w:sz="4" w:space="0" w:color="auto"/>
              <w:bottom w:val="single" w:sz="4" w:space="0" w:color="auto"/>
              <w:right w:val="single" w:sz="4" w:space="0" w:color="auto"/>
            </w:tcBorders>
          </w:tcPr>
          <w:p w:rsidR="00523B05" w:rsidRPr="000A609B" w:rsidRDefault="00523B05" w:rsidP="00A01F0F">
            <w:pPr>
              <w:widowControl/>
              <w:rPr>
                <w:rFonts w:ascii="Arial Narrow" w:hAnsi="Arial Narrow"/>
                <w:b/>
                <w:snapToGrid/>
                <w:sz w:val="20"/>
                <w:lang w:eastAsia="en-AU"/>
              </w:rPr>
            </w:pPr>
            <w:r w:rsidRPr="000A609B">
              <w:rPr>
                <w:rFonts w:ascii="Arial Narrow" w:hAnsi="Arial Narrow"/>
                <w:b/>
                <w:snapToGrid/>
                <w:sz w:val="20"/>
                <w:lang w:eastAsia="en-AU"/>
              </w:rPr>
              <w:t>Episodicity:</w:t>
            </w:r>
          </w:p>
        </w:tc>
        <w:tc>
          <w:tcPr>
            <w:tcW w:w="6379" w:type="dxa"/>
            <w:tcBorders>
              <w:top w:val="single" w:sz="4" w:space="0" w:color="auto"/>
              <w:left w:val="single" w:sz="4" w:space="0" w:color="auto"/>
              <w:bottom w:val="single" w:sz="4" w:space="0" w:color="auto"/>
              <w:right w:val="single" w:sz="4" w:space="0" w:color="auto"/>
            </w:tcBorders>
          </w:tcPr>
          <w:p w:rsidR="00523B05" w:rsidRPr="000A609B" w:rsidRDefault="00523B05" w:rsidP="00A01F0F">
            <w:pPr>
              <w:widowControl/>
              <w:jc w:val="left"/>
              <w:rPr>
                <w:rFonts w:ascii="Arial Narrow" w:hAnsi="Arial Narrow"/>
                <w:snapToGrid/>
                <w:sz w:val="20"/>
                <w:lang w:eastAsia="en-AU"/>
              </w:rPr>
            </w:pPr>
            <w:r w:rsidRPr="000A609B">
              <w:rPr>
                <w:rFonts w:ascii="Arial Narrow" w:hAnsi="Arial Narrow"/>
                <w:snapToGrid/>
                <w:sz w:val="20"/>
                <w:lang w:eastAsia="en-AU"/>
              </w:rPr>
              <w:t>-</w:t>
            </w:r>
          </w:p>
        </w:tc>
      </w:tr>
      <w:tr w:rsidR="00523B05" w:rsidRPr="000A609B" w:rsidTr="00A01F0F">
        <w:trPr>
          <w:cantSplit/>
          <w:trHeight w:val="360"/>
        </w:trPr>
        <w:tc>
          <w:tcPr>
            <w:tcW w:w="2835" w:type="dxa"/>
            <w:tcBorders>
              <w:top w:val="single" w:sz="4" w:space="0" w:color="auto"/>
              <w:left w:val="single" w:sz="4" w:space="0" w:color="auto"/>
              <w:bottom w:val="single" w:sz="4" w:space="0" w:color="auto"/>
              <w:right w:val="single" w:sz="4" w:space="0" w:color="auto"/>
            </w:tcBorders>
          </w:tcPr>
          <w:p w:rsidR="00523B05" w:rsidRPr="000A609B" w:rsidRDefault="00523B05" w:rsidP="00A01F0F">
            <w:pPr>
              <w:widowControl/>
              <w:rPr>
                <w:rFonts w:ascii="Arial Narrow" w:hAnsi="Arial Narrow"/>
                <w:b/>
                <w:snapToGrid/>
                <w:sz w:val="20"/>
                <w:lang w:eastAsia="en-AU"/>
              </w:rPr>
            </w:pPr>
            <w:r w:rsidRPr="000A609B">
              <w:rPr>
                <w:rFonts w:ascii="Arial Narrow" w:hAnsi="Arial Narrow"/>
                <w:b/>
                <w:snapToGrid/>
                <w:sz w:val="20"/>
                <w:lang w:eastAsia="en-AU"/>
              </w:rPr>
              <w:t>Severity:</w:t>
            </w:r>
          </w:p>
        </w:tc>
        <w:tc>
          <w:tcPr>
            <w:tcW w:w="6379" w:type="dxa"/>
            <w:tcBorders>
              <w:top w:val="single" w:sz="4" w:space="0" w:color="auto"/>
              <w:left w:val="single" w:sz="4" w:space="0" w:color="auto"/>
              <w:bottom w:val="single" w:sz="4" w:space="0" w:color="auto"/>
              <w:right w:val="single" w:sz="4" w:space="0" w:color="auto"/>
            </w:tcBorders>
          </w:tcPr>
          <w:p w:rsidR="00523B05" w:rsidRPr="000A609B" w:rsidRDefault="00523B05" w:rsidP="00A01F0F">
            <w:pPr>
              <w:widowControl/>
              <w:jc w:val="left"/>
              <w:rPr>
                <w:rFonts w:ascii="Arial Narrow" w:hAnsi="Arial Narrow"/>
                <w:snapToGrid/>
                <w:sz w:val="20"/>
                <w:lang w:eastAsia="en-AU"/>
              </w:rPr>
            </w:pPr>
            <w:r w:rsidRPr="000A609B">
              <w:rPr>
                <w:rFonts w:ascii="Arial Narrow" w:hAnsi="Arial Narrow"/>
                <w:sz w:val="20"/>
                <w:lang w:eastAsia="en-AU"/>
              </w:rPr>
              <w:t>Mild to moderate</w:t>
            </w:r>
          </w:p>
        </w:tc>
      </w:tr>
      <w:tr w:rsidR="00523B05" w:rsidRPr="000A609B" w:rsidTr="00A01F0F">
        <w:trPr>
          <w:cantSplit/>
          <w:trHeight w:val="360"/>
        </w:trPr>
        <w:tc>
          <w:tcPr>
            <w:tcW w:w="2835" w:type="dxa"/>
            <w:tcBorders>
              <w:top w:val="single" w:sz="4" w:space="0" w:color="auto"/>
              <w:left w:val="single" w:sz="4" w:space="0" w:color="auto"/>
              <w:bottom w:val="single" w:sz="4" w:space="0" w:color="auto"/>
              <w:right w:val="single" w:sz="4" w:space="0" w:color="auto"/>
            </w:tcBorders>
          </w:tcPr>
          <w:p w:rsidR="00523B05" w:rsidRPr="000A609B" w:rsidRDefault="00523B05" w:rsidP="00A01F0F">
            <w:pPr>
              <w:widowControl/>
              <w:rPr>
                <w:rFonts w:ascii="Arial Narrow" w:hAnsi="Arial Narrow"/>
                <w:b/>
                <w:snapToGrid/>
                <w:sz w:val="20"/>
                <w:lang w:eastAsia="en-AU"/>
              </w:rPr>
            </w:pPr>
            <w:r w:rsidRPr="000A609B">
              <w:rPr>
                <w:rFonts w:ascii="Arial Narrow" w:hAnsi="Arial Narrow"/>
                <w:b/>
                <w:snapToGrid/>
                <w:sz w:val="20"/>
                <w:lang w:eastAsia="en-AU"/>
              </w:rPr>
              <w:lastRenderedPageBreak/>
              <w:t>Condition:</w:t>
            </w:r>
          </w:p>
        </w:tc>
        <w:tc>
          <w:tcPr>
            <w:tcW w:w="6379" w:type="dxa"/>
            <w:tcBorders>
              <w:top w:val="single" w:sz="4" w:space="0" w:color="auto"/>
              <w:left w:val="single" w:sz="4" w:space="0" w:color="auto"/>
              <w:bottom w:val="single" w:sz="4" w:space="0" w:color="auto"/>
              <w:right w:val="single" w:sz="4" w:space="0" w:color="auto"/>
            </w:tcBorders>
          </w:tcPr>
          <w:p w:rsidR="00523B05" w:rsidRPr="000A609B" w:rsidRDefault="00523B05" w:rsidP="00A01F0F">
            <w:pPr>
              <w:widowControl/>
              <w:jc w:val="left"/>
              <w:rPr>
                <w:rFonts w:ascii="Arial Narrow" w:hAnsi="Arial Narrow"/>
                <w:snapToGrid/>
                <w:sz w:val="20"/>
                <w:lang w:eastAsia="en-AU"/>
              </w:rPr>
            </w:pPr>
            <w:r w:rsidRPr="000A609B">
              <w:rPr>
                <w:rFonts w:ascii="Arial Narrow" w:hAnsi="Arial Narrow"/>
                <w:sz w:val="20"/>
                <w:lang w:eastAsia="en-AU"/>
              </w:rPr>
              <w:t>Idiopathic pulmonary fibrosis</w:t>
            </w:r>
          </w:p>
        </w:tc>
      </w:tr>
      <w:tr w:rsidR="00523B05" w:rsidRPr="000A609B" w:rsidTr="00A01F0F">
        <w:trPr>
          <w:cantSplit/>
          <w:trHeight w:val="360"/>
        </w:trPr>
        <w:tc>
          <w:tcPr>
            <w:tcW w:w="2835" w:type="dxa"/>
            <w:tcBorders>
              <w:top w:val="single" w:sz="4" w:space="0" w:color="auto"/>
              <w:left w:val="single" w:sz="4" w:space="0" w:color="auto"/>
              <w:bottom w:val="single" w:sz="4" w:space="0" w:color="auto"/>
              <w:right w:val="single" w:sz="4" w:space="0" w:color="auto"/>
            </w:tcBorders>
          </w:tcPr>
          <w:p w:rsidR="00523B05" w:rsidRPr="000A609B" w:rsidRDefault="00523B05" w:rsidP="00A01F0F">
            <w:pPr>
              <w:widowControl/>
              <w:rPr>
                <w:rFonts w:ascii="Arial Narrow" w:hAnsi="Arial Narrow"/>
                <w:b/>
                <w:snapToGrid/>
                <w:sz w:val="20"/>
                <w:lang w:eastAsia="en-AU"/>
              </w:rPr>
            </w:pPr>
            <w:r w:rsidRPr="000A609B">
              <w:rPr>
                <w:rFonts w:ascii="Arial Narrow" w:hAnsi="Arial Narrow"/>
                <w:b/>
                <w:snapToGrid/>
                <w:sz w:val="20"/>
                <w:lang w:eastAsia="en-AU"/>
              </w:rPr>
              <w:t>PBS Indication:</w:t>
            </w:r>
          </w:p>
        </w:tc>
        <w:tc>
          <w:tcPr>
            <w:tcW w:w="6379" w:type="dxa"/>
            <w:tcBorders>
              <w:top w:val="single" w:sz="4" w:space="0" w:color="auto"/>
              <w:left w:val="single" w:sz="4" w:space="0" w:color="auto"/>
              <w:bottom w:val="single" w:sz="4" w:space="0" w:color="auto"/>
              <w:right w:val="single" w:sz="4" w:space="0" w:color="auto"/>
            </w:tcBorders>
          </w:tcPr>
          <w:p w:rsidR="00523B05" w:rsidRPr="000A609B" w:rsidRDefault="00523B05" w:rsidP="00A01F0F">
            <w:pPr>
              <w:widowControl/>
              <w:jc w:val="left"/>
              <w:rPr>
                <w:rFonts w:ascii="Arial Narrow" w:hAnsi="Arial Narrow"/>
                <w:sz w:val="20"/>
                <w:lang w:eastAsia="en-AU"/>
              </w:rPr>
            </w:pPr>
            <w:r w:rsidRPr="000A609B">
              <w:rPr>
                <w:rFonts w:ascii="Arial Narrow" w:hAnsi="Arial Narrow"/>
                <w:iCs/>
                <w:sz w:val="20"/>
                <w:lang w:eastAsia="en-AU"/>
              </w:rPr>
              <w:t>Mild to moderate</w:t>
            </w:r>
            <w:r w:rsidRPr="000A609B">
              <w:rPr>
                <w:rFonts w:ascii="Arial Narrow" w:hAnsi="Arial Narrow"/>
                <w:sz w:val="20"/>
                <w:lang w:eastAsia="en-AU"/>
              </w:rPr>
              <w:t xml:space="preserve"> idiopathic pulmonary fibrosis</w:t>
            </w:r>
          </w:p>
        </w:tc>
      </w:tr>
      <w:tr w:rsidR="00523B05" w:rsidRPr="000A609B" w:rsidTr="00A01F0F">
        <w:trPr>
          <w:cantSplit/>
          <w:trHeight w:val="360"/>
        </w:trPr>
        <w:tc>
          <w:tcPr>
            <w:tcW w:w="2835" w:type="dxa"/>
            <w:tcBorders>
              <w:top w:val="single" w:sz="4" w:space="0" w:color="auto"/>
              <w:left w:val="single" w:sz="4" w:space="0" w:color="auto"/>
              <w:bottom w:val="single" w:sz="4" w:space="0" w:color="auto"/>
              <w:right w:val="single" w:sz="4" w:space="0" w:color="auto"/>
            </w:tcBorders>
          </w:tcPr>
          <w:p w:rsidR="00523B05" w:rsidRPr="000A609B" w:rsidRDefault="00523B05" w:rsidP="00E1056C">
            <w:pPr>
              <w:widowControl/>
              <w:rPr>
                <w:rFonts w:ascii="Arial Narrow" w:hAnsi="Arial Narrow"/>
                <w:i/>
                <w:snapToGrid/>
                <w:sz w:val="20"/>
                <w:lang w:eastAsia="en-AU"/>
              </w:rPr>
            </w:pPr>
            <w:r w:rsidRPr="000A609B">
              <w:rPr>
                <w:rFonts w:ascii="Arial Narrow" w:hAnsi="Arial Narrow"/>
                <w:b/>
                <w:snapToGrid/>
                <w:sz w:val="20"/>
                <w:lang w:eastAsia="en-AU"/>
              </w:rPr>
              <w:t>Treatment phase:</w:t>
            </w:r>
          </w:p>
        </w:tc>
        <w:tc>
          <w:tcPr>
            <w:tcW w:w="6379" w:type="dxa"/>
            <w:tcBorders>
              <w:top w:val="single" w:sz="4" w:space="0" w:color="auto"/>
              <w:left w:val="single" w:sz="4" w:space="0" w:color="auto"/>
              <w:bottom w:val="single" w:sz="4" w:space="0" w:color="auto"/>
              <w:right w:val="single" w:sz="4" w:space="0" w:color="auto"/>
            </w:tcBorders>
          </w:tcPr>
          <w:p w:rsidR="00523B05" w:rsidRPr="000A609B" w:rsidRDefault="00523B05" w:rsidP="00A01F0F">
            <w:pPr>
              <w:widowControl/>
              <w:jc w:val="left"/>
              <w:rPr>
                <w:rFonts w:ascii="Arial Narrow" w:hAnsi="Arial Narrow"/>
                <w:snapToGrid/>
                <w:sz w:val="20"/>
                <w:lang w:eastAsia="en-AU"/>
              </w:rPr>
            </w:pPr>
            <w:r w:rsidRPr="000A609B">
              <w:rPr>
                <w:rFonts w:ascii="Arial Narrow" w:hAnsi="Arial Narrow"/>
                <w:sz w:val="20"/>
                <w:lang w:eastAsia="en-AU"/>
              </w:rPr>
              <w:t xml:space="preserve">Continuing </w:t>
            </w:r>
            <w:r w:rsidRPr="000A609B">
              <w:rPr>
                <w:rFonts w:ascii="Arial Narrow" w:hAnsi="Arial Narrow"/>
                <w:iCs/>
                <w:sz w:val="20"/>
                <w:lang w:eastAsia="en-AU"/>
              </w:rPr>
              <w:t>treatment</w:t>
            </w:r>
          </w:p>
        </w:tc>
      </w:tr>
      <w:tr w:rsidR="00523B05" w:rsidRPr="000A609B" w:rsidTr="00A01F0F">
        <w:trPr>
          <w:cantSplit/>
          <w:trHeight w:val="360"/>
        </w:trPr>
        <w:tc>
          <w:tcPr>
            <w:tcW w:w="2835" w:type="dxa"/>
            <w:tcBorders>
              <w:top w:val="single" w:sz="4" w:space="0" w:color="auto"/>
              <w:left w:val="single" w:sz="4" w:space="0" w:color="auto"/>
              <w:bottom w:val="single" w:sz="4" w:space="0" w:color="auto"/>
              <w:right w:val="single" w:sz="4" w:space="0" w:color="auto"/>
            </w:tcBorders>
          </w:tcPr>
          <w:p w:rsidR="00523B05" w:rsidRPr="000A609B" w:rsidRDefault="00523B05" w:rsidP="00E1056C">
            <w:pPr>
              <w:widowControl/>
              <w:rPr>
                <w:rFonts w:ascii="Arial Narrow" w:hAnsi="Arial Narrow"/>
                <w:i/>
                <w:snapToGrid/>
                <w:sz w:val="20"/>
                <w:lang w:eastAsia="en-AU"/>
              </w:rPr>
            </w:pPr>
            <w:r w:rsidRPr="000A609B">
              <w:rPr>
                <w:rFonts w:ascii="Arial Narrow" w:hAnsi="Arial Narrow"/>
                <w:b/>
                <w:snapToGrid/>
                <w:sz w:val="20"/>
                <w:lang w:eastAsia="en-AU"/>
              </w:rPr>
              <w:t>Restriction Level / Method:</w:t>
            </w:r>
          </w:p>
        </w:tc>
        <w:tc>
          <w:tcPr>
            <w:tcW w:w="6379" w:type="dxa"/>
            <w:tcBorders>
              <w:top w:val="single" w:sz="4" w:space="0" w:color="auto"/>
              <w:left w:val="single" w:sz="4" w:space="0" w:color="auto"/>
              <w:bottom w:val="single" w:sz="4" w:space="0" w:color="auto"/>
              <w:right w:val="single" w:sz="4" w:space="0" w:color="auto"/>
            </w:tcBorders>
          </w:tcPr>
          <w:p w:rsidR="00523B05" w:rsidRPr="000A609B" w:rsidRDefault="00523B05" w:rsidP="00A01F0F">
            <w:pPr>
              <w:widowControl/>
              <w:jc w:val="left"/>
              <w:rPr>
                <w:rFonts w:ascii="Arial Narrow" w:hAnsi="Arial Narrow"/>
                <w:snapToGrid/>
                <w:sz w:val="20"/>
                <w:lang w:eastAsia="en-AU"/>
              </w:rPr>
            </w:pPr>
            <w:r w:rsidRPr="000A609B">
              <w:rPr>
                <w:rFonts w:ascii="Arial Narrow" w:hAnsi="Arial Narrow"/>
                <w:snapToGrid/>
                <w:sz w:val="20"/>
                <w:lang w:eastAsia="en-AU"/>
              </w:rPr>
              <w:fldChar w:fldCharType="begin">
                <w:ffData>
                  <w:name w:val="Check1"/>
                  <w:enabled/>
                  <w:calcOnExit w:val="0"/>
                  <w:checkBox>
                    <w:sizeAuto/>
                    <w:default w:val="0"/>
                  </w:checkBox>
                </w:ffData>
              </w:fldChar>
            </w:r>
            <w:r w:rsidRPr="000A609B">
              <w:rPr>
                <w:rFonts w:ascii="Arial Narrow" w:hAnsi="Arial Narrow"/>
                <w:snapToGrid/>
                <w:sz w:val="20"/>
                <w:lang w:eastAsia="en-AU"/>
              </w:rPr>
              <w:instrText xml:space="preserve"> FORMCHECKBOX </w:instrText>
            </w:r>
            <w:r w:rsidR="00F146E1">
              <w:rPr>
                <w:rFonts w:ascii="Arial Narrow" w:hAnsi="Arial Narrow"/>
                <w:snapToGrid/>
                <w:sz w:val="20"/>
                <w:lang w:eastAsia="en-AU"/>
              </w:rPr>
            </w:r>
            <w:r w:rsidR="00F146E1">
              <w:rPr>
                <w:rFonts w:ascii="Arial Narrow" w:hAnsi="Arial Narrow"/>
                <w:snapToGrid/>
                <w:sz w:val="20"/>
                <w:lang w:eastAsia="en-AU"/>
              </w:rPr>
              <w:fldChar w:fldCharType="separate"/>
            </w:r>
            <w:r w:rsidRPr="000A609B">
              <w:rPr>
                <w:rFonts w:ascii="Arial Narrow" w:hAnsi="Arial Narrow"/>
                <w:snapToGrid/>
                <w:sz w:val="20"/>
                <w:lang w:eastAsia="en-AU"/>
              </w:rPr>
              <w:fldChar w:fldCharType="end"/>
            </w:r>
            <w:r w:rsidRPr="000A609B">
              <w:rPr>
                <w:rFonts w:ascii="Arial Narrow" w:hAnsi="Arial Narrow"/>
                <w:snapToGrid/>
                <w:sz w:val="20"/>
                <w:lang w:eastAsia="en-AU"/>
              </w:rPr>
              <w:t>Restricted benefit</w:t>
            </w:r>
          </w:p>
          <w:p w:rsidR="00523B05" w:rsidRPr="000A609B" w:rsidRDefault="00523B05" w:rsidP="00A01F0F">
            <w:pPr>
              <w:widowControl/>
              <w:jc w:val="left"/>
              <w:rPr>
                <w:rFonts w:ascii="Arial Narrow" w:hAnsi="Arial Narrow"/>
                <w:snapToGrid/>
                <w:sz w:val="20"/>
                <w:lang w:eastAsia="en-AU"/>
              </w:rPr>
            </w:pPr>
            <w:r w:rsidRPr="000A609B">
              <w:rPr>
                <w:rFonts w:ascii="Arial Narrow" w:hAnsi="Arial Narrow"/>
                <w:snapToGrid/>
                <w:sz w:val="20"/>
                <w:lang w:eastAsia="en-AU"/>
              </w:rPr>
              <w:fldChar w:fldCharType="begin">
                <w:ffData>
                  <w:name w:val=""/>
                  <w:enabled/>
                  <w:calcOnExit w:val="0"/>
                  <w:checkBox>
                    <w:sizeAuto/>
                    <w:default w:val="1"/>
                  </w:checkBox>
                </w:ffData>
              </w:fldChar>
            </w:r>
            <w:r w:rsidRPr="000A609B">
              <w:rPr>
                <w:rFonts w:ascii="Arial Narrow" w:hAnsi="Arial Narrow"/>
                <w:snapToGrid/>
                <w:sz w:val="20"/>
                <w:lang w:eastAsia="en-AU"/>
              </w:rPr>
              <w:instrText xml:space="preserve"> FORMCHECKBOX </w:instrText>
            </w:r>
            <w:r w:rsidR="00F146E1">
              <w:rPr>
                <w:rFonts w:ascii="Arial Narrow" w:hAnsi="Arial Narrow"/>
                <w:snapToGrid/>
                <w:sz w:val="20"/>
                <w:lang w:eastAsia="en-AU"/>
              </w:rPr>
            </w:r>
            <w:r w:rsidR="00F146E1">
              <w:rPr>
                <w:rFonts w:ascii="Arial Narrow" w:hAnsi="Arial Narrow"/>
                <w:snapToGrid/>
                <w:sz w:val="20"/>
                <w:lang w:eastAsia="en-AU"/>
              </w:rPr>
              <w:fldChar w:fldCharType="separate"/>
            </w:r>
            <w:r w:rsidRPr="000A609B">
              <w:rPr>
                <w:rFonts w:ascii="Arial Narrow" w:hAnsi="Arial Narrow"/>
                <w:snapToGrid/>
                <w:sz w:val="20"/>
                <w:lang w:eastAsia="en-AU"/>
              </w:rPr>
              <w:fldChar w:fldCharType="end"/>
            </w:r>
            <w:r w:rsidRPr="000A609B">
              <w:rPr>
                <w:rFonts w:ascii="Arial Narrow" w:hAnsi="Arial Narrow"/>
                <w:snapToGrid/>
                <w:sz w:val="20"/>
                <w:lang w:eastAsia="en-AU"/>
              </w:rPr>
              <w:t>Authority Required - In Writing</w:t>
            </w:r>
          </w:p>
          <w:p w:rsidR="00523B05" w:rsidRPr="000A609B" w:rsidRDefault="00523B05" w:rsidP="00A01F0F">
            <w:pPr>
              <w:widowControl/>
              <w:jc w:val="left"/>
              <w:rPr>
                <w:rFonts w:ascii="Arial Narrow" w:hAnsi="Arial Narrow"/>
                <w:snapToGrid/>
                <w:sz w:val="20"/>
                <w:lang w:eastAsia="en-AU"/>
              </w:rPr>
            </w:pPr>
            <w:r w:rsidRPr="000A609B">
              <w:rPr>
                <w:rFonts w:ascii="Arial Narrow" w:hAnsi="Arial Narrow"/>
                <w:snapToGrid/>
                <w:sz w:val="20"/>
                <w:lang w:eastAsia="en-AU"/>
              </w:rPr>
              <w:fldChar w:fldCharType="begin">
                <w:ffData>
                  <w:name w:val="Check3"/>
                  <w:enabled/>
                  <w:calcOnExit w:val="0"/>
                  <w:checkBox>
                    <w:sizeAuto/>
                    <w:default w:val="1"/>
                  </w:checkBox>
                </w:ffData>
              </w:fldChar>
            </w:r>
            <w:bookmarkStart w:id="3" w:name="Check3"/>
            <w:r w:rsidRPr="000A609B">
              <w:rPr>
                <w:rFonts w:ascii="Arial Narrow" w:hAnsi="Arial Narrow"/>
                <w:snapToGrid/>
                <w:sz w:val="20"/>
                <w:lang w:eastAsia="en-AU"/>
              </w:rPr>
              <w:instrText xml:space="preserve"> FORMCHECKBOX </w:instrText>
            </w:r>
            <w:r w:rsidR="00F146E1">
              <w:rPr>
                <w:rFonts w:ascii="Arial Narrow" w:hAnsi="Arial Narrow"/>
                <w:snapToGrid/>
                <w:sz w:val="20"/>
                <w:lang w:eastAsia="en-AU"/>
              </w:rPr>
            </w:r>
            <w:r w:rsidR="00F146E1">
              <w:rPr>
                <w:rFonts w:ascii="Arial Narrow" w:hAnsi="Arial Narrow"/>
                <w:snapToGrid/>
                <w:sz w:val="20"/>
                <w:lang w:eastAsia="en-AU"/>
              </w:rPr>
              <w:fldChar w:fldCharType="separate"/>
            </w:r>
            <w:r w:rsidRPr="000A609B">
              <w:rPr>
                <w:rFonts w:ascii="Arial Narrow" w:hAnsi="Arial Narrow"/>
                <w:snapToGrid/>
                <w:sz w:val="20"/>
                <w:lang w:eastAsia="en-AU"/>
              </w:rPr>
              <w:fldChar w:fldCharType="end"/>
            </w:r>
            <w:bookmarkEnd w:id="3"/>
            <w:r w:rsidRPr="000A609B">
              <w:rPr>
                <w:rFonts w:ascii="Arial Narrow" w:hAnsi="Arial Narrow"/>
                <w:snapToGrid/>
                <w:sz w:val="20"/>
                <w:lang w:eastAsia="en-AU"/>
              </w:rPr>
              <w:t>Authority Required - Telephone</w:t>
            </w:r>
          </w:p>
          <w:p w:rsidR="00523B05" w:rsidRPr="000A609B" w:rsidRDefault="00523B05" w:rsidP="00A01F0F">
            <w:pPr>
              <w:widowControl/>
              <w:jc w:val="left"/>
              <w:rPr>
                <w:rFonts w:ascii="Arial Narrow" w:hAnsi="Arial Narrow"/>
                <w:snapToGrid/>
                <w:sz w:val="20"/>
                <w:lang w:eastAsia="en-AU"/>
              </w:rPr>
            </w:pPr>
            <w:r w:rsidRPr="000A609B">
              <w:rPr>
                <w:rFonts w:ascii="Arial Narrow" w:hAnsi="Arial Narrow"/>
                <w:snapToGrid/>
                <w:sz w:val="20"/>
                <w:lang w:eastAsia="en-AU"/>
              </w:rPr>
              <w:fldChar w:fldCharType="begin">
                <w:ffData>
                  <w:name w:val=""/>
                  <w:enabled/>
                  <w:calcOnExit w:val="0"/>
                  <w:checkBox>
                    <w:sizeAuto/>
                    <w:default w:val="1"/>
                  </w:checkBox>
                </w:ffData>
              </w:fldChar>
            </w:r>
            <w:r w:rsidRPr="000A609B">
              <w:rPr>
                <w:rFonts w:ascii="Arial Narrow" w:hAnsi="Arial Narrow"/>
                <w:snapToGrid/>
                <w:sz w:val="20"/>
                <w:lang w:eastAsia="en-AU"/>
              </w:rPr>
              <w:instrText xml:space="preserve"> FORMCHECKBOX </w:instrText>
            </w:r>
            <w:r w:rsidR="00F146E1">
              <w:rPr>
                <w:rFonts w:ascii="Arial Narrow" w:hAnsi="Arial Narrow"/>
                <w:snapToGrid/>
                <w:sz w:val="20"/>
                <w:lang w:eastAsia="en-AU"/>
              </w:rPr>
            </w:r>
            <w:r w:rsidR="00F146E1">
              <w:rPr>
                <w:rFonts w:ascii="Arial Narrow" w:hAnsi="Arial Narrow"/>
                <w:snapToGrid/>
                <w:sz w:val="20"/>
                <w:lang w:eastAsia="en-AU"/>
              </w:rPr>
              <w:fldChar w:fldCharType="separate"/>
            </w:r>
            <w:r w:rsidRPr="000A609B">
              <w:rPr>
                <w:rFonts w:ascii="Arial Narrow" w:hAnsi="Arial Narrow"/>
                <w:snapToGrid/>
                <w:sz w:val="20"/>
                <w:lang w:eastAsia="en-AU"/>
              </w:rPr>
              <w:fldChar w:fldCharType="end"/>
            </w:r>
            <w:r w:rsidRPr="000A609B">
              <w:rPr>
                <w:rFonts w:ascii="Arial Narrow" w:hAnsi="Arial Narrow"/>
                <w:snapToGrid/>
                <w:sz w:val="20"/>
                <w:lang w:eastAsia="en-AU"/>
              </w:rPr>
              <w:t>Authority Required – Emergency</w:t>
            </w:r>
          </w:p>
          <w:p w:rsidR="00523B05" w:rsidRPr="000A609B" w:rsidRDefault="00523B05" w:rsidP="00A01F0F">
            <w:pPr>
              <w:widowControl/>
              <w:jc w:val="left"/>
              <w:rPr>
                <w:rFonts w:ascii="Arial Narrow" w:hAnsi="Arial Narrow"/>
                <w:snapToGrid/>
                <w:sz w:val="20"/>
                <w:lang w:eastAsia="en-AU"/>
              </w:rPr>
            </w:pPr>
            <w:r w:rsidRPr="000A609B">
              <w:rPr>
                <w:rFonts w:ascii="Arial Narrow" w:hAnsi="Arial Narrow"/>
                <w:snapToGrid/>
                <w:sz w:val="20"/>
                <w:lang w:eastAsia="en-AU"/>
              </w:rPr>
              <w:fldChar w:fldCharType="begin">
                <w:ffData>
                  <w:name w:val="Check5"/>
                  <w:enabled/>
                  <w:calcOnExit w:val="0"/>
                  <w:checkBox>
                    <w:sizeAuto/>
                    <w:default w:val="1"/>
                  </w:checkBox>
                </w:ffData>
              </w:fldChar>
            </w:r>
            <w:bookmarkStart w:id="4" w:name="Check5"/>
            <w:r w:rsidRPr="000A609B">
              <w:rPr>
                <w:rFonts w:ascii="Arial Narrow" w:hAnsi="Arial Narrow"/>
                <w:snapToGrid/>
                <w:sz w:val="20"/>
                <w:lang w:eastAsia="en-AU"/>
              </w:rPr>
              <w:instrText xml:space="preserve"> FORMCHECKBOX </w:instrText>
            </w:r>
            <w:r w:rsidR="00F146E1">
              <w:rPr>
                <w:rFonts w:ascii="Arial Narrow" w:hAnsi="Arial Narrow"/>
                <w:snapToGrid/>
                <w:sz w:val="20"/>
                <w:lang w:eastAsia="en-AU"/>
              </w:rPr>
            </w:r>
            <w:r w:rsidR="00F146E1">
              <w:rPr>
                <w:rFonts w:ascii="Arial Narrow" w:hAnsi="Arial Narrow"/>
                <w:snapToGrid/>
                <w:sz w:val="20"/>
                <w:lang w:eastAsia="en-AU"/>
              </w:rPr>
              <w:fldChar w:fldCharType="separate"/>
            </w:r>
            <w:r w:rsidRPr="000A609B">
              <w:rPr>
                <w:rFonts w:ascii="Arial Narrow" w:hAnsi="Arial Narrow"/>
                <w:snapToGrid/>
                <w:sz w:val="20"/>
                <w:lang w:eastAsia="en-AU"/>
              </w:rPr>
              <w:fldChar w:fldCharType="end"/>
            </w:r>
            <w:bookmarkEnd w:id="4"/>
            <w:r w:rsidRPr="000A609B">
              <w:rPr>
                <w:rFonts w:ascii="Arial Narrow" w:hAnsi="Arial Narrow"/>
                <w:snapToGrid/>
                <w:sz w:val="20"/>
                <w:lang w:eastAsia="en-AU"/>
              </w:rPr>
              <w:t>Authority Required - Electronic</w:t>
            </w:r>
          </w:p>
          <w:p w:rsidR="00523B05" w:rsidRPr="000A609B" w:rsidRDefault="00523B05" w:rsidP="00A01F0F">
            <w:pPr>
              <w:widowControl/>
              <w:jc w:val="left"/>
              <w:rPr>
                <w:rFonts w:ascii="Arial Narrow" w:hAnsi="Arial Narrow"/>
                <w:snapToGrid/>
                <w:sz w:val="20"/>
                <w:lang w:eastAsia="en-AU"/>
              </w:rPr>
            </w:pPr>
            <w:r w:rsidRPr="000A609B">
              <w:rPr>
                <w:rFonts w:ascii="Arial Narrow" w:hAnsi="Arial Narrow"/>
                <w:snapToGrid/>
                <w:sz w:val="20"/>
                <w:lang w:eastAsia="en-AU"/>
              </w:rPr>
              <w:fldChar w:fldCharType="begin">
                <w:ffData>
                  <w:name w:val="Check5"/>
                  <w:enabled/>
                  <w:calcOnExit w:val="0"/>
                  <w:checkBox>
                    <w:sizeAuto/>
                    <w:default w:val="0"/>
                  </w:checkBox>
                </w:ffData>
              </w:fldChar>
            </w:r>
            <w:r w:rsidRPr="000A609B">
              <w:rPr>
                <w:rFonts w:ascii="Arial Narrow" w:hAnsi="Arial Narrow"/>
                <w:snapToGrid/>
                <w:sz w:val="20"/>
                <w:lang w:eastAsia="en-AU"/>
              </w:rPr>
              <w:instrText xml:space="preserve"> FORMCHECKBOX </w:instrText>
            </w:r>
            <w:r w:rsidR="00F146E1">
              <w:rPr>
                <w:rFonts w:ascii="Arial Narrow" w:hAnsi="Arial Narrow"/>
                <w:snapToGrid/>
                <w:sz w:val="20"/>
                <w:lang w:eastAsia="en-AU"/>
              </w:rPr>
            </w:r>
            <w:r w:rsidR="00F146E1">
              <w:rPr>
                <w:rFonts w:ascii="Arial Narrow" w:hAnsi="Arial Narrow"/>
                <w:snapToGrid/>
                <w:sz w:val="20"/>
                <w:lang w:eastAsia="en-AU"/>
              </w:rPr>
              <w:fldChar w:fldCharType="separate"/>
            </w:r>
            <w:r w:rsidRPr="000A609B">
              <w:rPr>
                <w:rFonts w:ascii="Arial Narrow" w:hAnsi="Arial Narrow"/>
                <w:snapToGrid/>
                <w:sz w:val="20"/>
                <w:lang w:eastAsia="en-AU"/>
              </w:rPr>
              <w:fldChar w:fldCharType="end"/>
            </w:r>
            <w:r w:rsidRPr="000A609B">
              <w:rPr>
                <w:rFonts w:ascii="Arial Narrow" w:hAnsi="Arial Narrow"/>
                <w:snapToGrid/>
                <w:sz w:val="20"/>
                <w:lang w:eastAsia="en-AU"/>
              </w:rPr>
              <w:t>Streamlined</w:t>
            </w:r>
          </w:p>
        </w:tc>
      </w:tr>
      <w:tr w:rsidR="00523B05" w:rsidRPr="000A609B" w:rsidTr="00A01F0F">
        <w:trPr>
          <w:cantSplit/>
          <w:trHeight w:val="360"/>
        </w:trPr>
        <w:tc>
          <w:tcPr>
            <w:tcW w:w="2835" w:type="dxa"/>
            <w:tcBorders>
              <w:top w:val="single" w:sz="4" w:space="0" w:color="auto"/>
              <w:left w:val="single" w:sz="4" w:space="0" w:color="auto"/>
              <w:bottom w:val="single" w:sz="4" w:space="0" w:color="auto"/>
              <w:right w:val="single" w:sz="4" w:space="0" w:color="auto"/>
            </w:tcBorders>
          </w:tcPr>
          <w:p w:rsidR="00523B05" w:rsidRPr="000A609B" w:rsidRDefault="00523B05" w:rsidP="00E1056C">
            <w:pPr>
              <w:widowControl/>
              <w:jc w:val="left"/>
              <w:rPr>
                <w:rFonts w:ascii="Arial Narrow" w:hAnsi="Arial Narrow"/>
                <w:snapToGrid/>
                <w:sz w:val="20"/>
                <w:lang w:eastAsia="en-AU"/>
              </w:rPr>
            </w:pPr>
            <w:r w:rsidRPr="000A609B">
              <w:rPr>
                <w:rFonts w:ascii="Arial Narrow" w:hAnsi="Arial Narrow"/>
                <w:b/>
                <w:snapToGrid/>
                <w:sz w:val="20"/>
                <w:lang w:eastAsia="en-AU"/>
              </w:rPr>
              <w:t>Treatment criteria:</w:t>
            </w:r>
          </w:p>
        </w:tc>
        <w:tc>
          <w:tcPr>
            <w:tcW w:w="6379" w:type="dxa"/>
            <w:tcBorders>
              <w:top w:val="single" w:sz="4" w:space="0" w:color="auto"/>
              <w:left w:val="single" w:sz="4" w:space="0" w:color="auto"/>
              <w:bottom w:val="single" w:sz="4" w:space="0" w:color="auto"/>
              <w:right w:val="single" w:sz="4" w:space="0" w:color="auto"/>
            </w:tcBorders>
          </w:tcPr>
          <w:p w:rsidR="00523B05" w:rsidRPr="000A609B" w:rsidRDefault="00523B05" w:rsidP="00E1056C">
            <w:pPr>
              <w:widowControl/>
              <w:jc w:val="left"/>
              <w:rPr>
                <w:rFonts w:ascii="Arial Narrow" w:hAnsi="Arial Narrow"/>
                <w:snapToGrid/>
                <w:sz w:val="20"/>
                <w:lang w:eastAsia="en-AU"/>
              </w:rPr>
            </w:pPr>
            <w:r w:rsidRPr="000A609B">
              <w:rPr>
                <w:rFonts w:ascii="Arial Narrow" w:hAnsi="Arial Narrow" w:cs="Times New Roman"/>
                <w:i/>
                <w:snapToGrid/>
                <w:sz w:val="20"/>
                <w:szCs w:val="24"/>
                <w:lang w:eastAsia="en-AU"/>
              </w:rPr>
              <w:t>Must be treated by a respiratory physician or specialist physician experienced in the management of patients with idiopathic pulmonary fibrosis.</w:t>
            </w:r>
          </w:p>
        </w:tc>
      </w:tr>
      <w:tr w:rsidR="00523B05" w:rsidRPr="000A609B" w:rsidTr="00A01F0F">
        <w:trPr>
          <w:cantSplit/>
          <w:trHeight w:val="360"/>
        </w:trPr>
        <w:tc>
          <w:tcPr>
            <w:tcW w:w="2835" w:type="dxa"/>
            <w:tcBorders>
              <w:top w:val="single" w:sz="4" w:space="0" w:color="auto"/>
              <w:left w:val="single" w:sz="4" w:space="0" w:color="auto"/>
              <w:bottom w:val="single" w:sz="4" w:space="0" w:color="auto"/>
              <w:right w:val="single" w:sz="4" w:space="0" w:color="auto"/>
            </w:tcBorders>
          </w:tcPr>
          <w:p w:rsidR="00523B05" w:rsidRPr="000A609B" w:rsidRDefault="00523B05" w:rsidP="00A01F0F">
            <w:pPr>
              <w:widowControl/>
              <w:rPr>
                <w:rFonts w:ascii="Arial Narrow" w:hAnsi="Arial Narrow"/>
                <w:b/>
                <w:snapToGrid/>
                <w:sz w:val="20"/>
                <w:lang w:eastAsia="en-AU"/>
              </w:rPr>
            </w:pPr>
            <w:r w:rsidRPr="000A609B">
              <w:rPr>
                <w:rFonts w:ascii="Arial Narrow" w:hAnsi="Arial Narrow"/>
                <w:b/>
                <w:snapToGrid/>
                <w:sz w:val="20"/>
                <w:lang w:eastAsia="en-AU"/>
              </w:rPr>
              <w:t>Clinical criteria:</w:t>
            </w:r>
          </w:p>
          <w:p w:rsidR="00523B05" w:rsidRPr="000A609B" w:rsidRDefault="00523B05" w:rsidP="00E1056C">
            <w:pPr>
              <w:widowControl/>
              <w:rPr>
                <w:rFonts w:ascii="Arial Narrow" w:hAnsi="Arial Narrow"/>
                <w:snapToGrid/>
                <w:sz w:val="20"/>
                <w:lang w:eastAsia="en-AU"/>
              </w:rPr>
            </w:pPr>
            <w:r w:rsidRPr="000A609B">
              <w:rPr>
                <w:rFonts w:ascii="Arial Narrow" w:hAnsi="Arial Narrow"/>
                <w:i/>
                <w:snapToGrid/>
                <w:sz w:val="20"/>
                <w:lang w:eastAsia="en-AU"/>
              </w:rPr>
              <w:t>(To be finalised)</w:t>
            </w:r>
          </w:p>
        </w:tc>
        <w:tc>
          <w:tcPr>
            <w:tcW w:w="6379" w:type="dxa"/>
            <w:tcBorders>
              <w:top w:val="single" w:sz="4" w:space="0" w:color="auto"/>
              <w:left w:val="single" w:sz="4" w:space="0" w:color="auto"/>
              <w:bottom w:val="single" w:sz="4" w:space="0" w:color="auto"/>
              <w:right w:val="single" w:sz="4" w:space="0" w:color="auto"/>
            </w:tcBorders>
          </w:tcPr>
          <w:p w:rsidR="00523B05" w:rsidRPr="000A609B" w:rsidRDefault="00523B05" w:rsidP="00A01F0F">
            <w:pPr>
              <w:widowControl/>
              <w:numPr>
                <w:ilvl w:val="0"/>
                <w:numId w:val="13"/>
              </w:numPr>
              <w:jc w:val="left"/>
              <w:rPr>
                <w:rFonts w:ascii="Arial Narrow" w:hAnsi="Arial Narrow"/>
                <w:iCs/>
                <w:sz w:val="20"/>
                <w:lang w:eastAsia="en-AU"/>
              </w:rPr>
            </w:pPr>
            <w:r w:rsidRPr="000A609B">
              <w:rPr>
                <w:rFonts w:ascii="Arial Narrow" w:hAnsi="Arial Narrow"/>
                <w:iCs/>
                <w:sz w:val="20"/>
                <w:lang w:eastAsia="en-AU"/>
              </w:rPr>
              <w:t>Patient must have previously received PBS-subsidised treatment with this drug for this condition.</w:t>
            </w:r>
          </w:p>
          <w:p w:rsidR="00523B05" w:rsidRPr="000A609B" w:rsidRDefault="00523B05" w:rsidP="00A01F0F">
            <w:pPr>
              <w:widowControl/>
              <w:jc w:val="left"/>
              <w:rPr>
                <w:rFonts w:ascii="Arial Narrow" w:hAnsi="Arial Narrow"/>
                <w:b/>
                <w:iCs/>
                <w:sz w:val="20"/>
                <w:lang w:eastAsia="en-AU"/>
              </w:rPr>
            </w:pPr>
            <w:r w:rsidRPr="000A609B">
              <w:rPr>
                <w:rFonts w:ascii="Arial Narrow" w:hAnsi="Arial Narrow"/>
                <w:b/>
                <w:iCs/>
                <w:sz w:val="20"/>
                <w:lang w:eastAsia="en-AU"/>
              </w:rPr>
              <w:t>AND</w:t>
            </w:r>
          </w:p>
          <w:p w:rsidR="00523B05" w:rsidRPr="000A609B" w:rsidRDefault="00523B05" w:rsidP="00A01F0F">
            <w:pPr>
              <w:widowControl/>
              <w:numPr>
                <w:ilvl w:val="0"/>
                <w:numId w:val="13"/>
              </w:numPr>
              <w:jc w:val="left"/>
              <w:rPr>
                <w:rFonts w:ascii="Arial Narrow" w:hAnsi="Arial Narrow"/>
                <w:iCs/>
                <w:sz w:val="20"/>
                <w:lang w:eastAsia="en-AU"/>
              </w:rPr>
            </w:pPr>
            <w:r w:rsidRPr="000A609B">
              <w:rPr>
                <w:rFonts w:ascii="Arial Narrow" w:hAnsi="Arial Narrow"/>
                <w:iCs/>
                <w:sz w:val="20"/>
                <w:lang w:eastAsia="en-AU"/>
              </w:rPr>
              <w:t xml:space="preserve">Patient must have a confirmed and documented diagnosis of idiopathic pulmonary fibrosis that is less than 5 years old; </w:t>
            </w:r>
            <w:r w:rsidRPr="000A609B">
              <w:rPr>
                <w:rFonts w:ascii="Arial Narrow" w:hAnsi="Arial Narrow"/>
                <w:b/>
                <w:iCs/>
                <w:sz w:val="20"/>
                <w:lang w:eastAsia="en-AU"/>
              </w:rPr>
              <w:t>OR</w:t>
            </w:r>
          </w:p>
          <w:p w:rsidR="00523B05" w:rsidRPr="000A609B" w:rsidRDefault="00523B05" w:rsidP="00E1056C">
            <w:pPr>
              <w:widowControl/>
              <w:numPr>
                <w:ilvl w:val="0"/>
                <w:numId w:val="13"/>
              </w:numPr>
              <w:jc w:val="left"/>
              <w:rPr>
                <w:rFonts w:ascii="Arial Narrow" w:hAnsi="Arial Narrow"/>
                <w:snapToGrid/>
                <w:sz w:val="20"/>
                <w:lang w:eastAsia="en-AU"/>
              </w:rPr>
            </w:pPr>
            <w:r w:rsidRPr="000A609B">
              <w:rPr>
                <w:rFonts w:ascii="Arial Narrow" w:hAnsi="Arial Narrow"/>
                <w:iCs/>
                <w:sz w:val="20"/>
                <w:lang w:eastAsia="en-AU"/>
              </w:rPr>
              <w:t>Patient must have a confirmed and documented diagnosis of idiopathic pulmonary fibrosis that is greater than 5 years old where there is confirmed progressive disease</w:t>
            </w:r>
            <w:r w:rsidRPr="000A609B">
              <w:rPr>
                <w:rFonts w:ascii="Times New Roman" w:hAnsi="Times New Roman"/>
                <w:iCs/>
                <w:sz w:val="20"/>
                <w:lang w:eastAsia="en-AU"/>
              </w:rPr>
              <w:t>.</w:t>
            </w:r>
          </w:p>
        </w:tc>
      </w:tr>
      <w:tr w:rsidR="00523B05" w:rsidRPr="000A609B" w:rsidTr="00A01F0F">
        <w:trPr>
          <w:cantSplit/>
          <w:trHeight w:val="360"/>
        </w:trPr>
        <w:tc>
          <w:tcPr>
            <w:tcW w:w="2835" w:type="dxa"/>
            <w:tcBorders>
              <w:top w:val="single" w:sz="4" w:space="0" w:color="auto"/>
              <w:left w:val="single" w:sz="4" w:space="0" w:color="auto"/>
              <w:bottom w:val="single" w:sz="4" w:space="0" w:color="auto"/>
              <w:right w:val="single" w:sz="4" w:space="0" w:color="auto"/>
            </w:tcBorders>
          </w:tcPr>
          <w:p w:rsidR="00523B05" w:rsidRPr="000A609B" w:rsidRDefault="00523B05" w:rsidP="00A01F0F">
            <w:pPr>
              <w:widowControl/>
              <w:rPr>
                <w:rFonts w:ascii="Arial Narrow" w:hAnsi="Arial Narrow"/>
                <w:b/>
                <w:snapToGrid/>
                <w:sz w:val="20"/>
                <w:lang w:eastAsia="en-AU"/>
              </w:rPr>
            </w:pPr>
            <w:r w:rsidRPr="000A609B">
              <w:rPr>
                <w:rFonts w:ascii="Arial Narrow" w:hAnsi="Arial Narrow"/>
                <w:b/>
                <w:snapToGrid/>
                <w:sz w:val="20"/>
                <w:lang w:eastAsia="en-AU"/>
              </w:rPr>
              <w:t>Population criteria:</w:t>
            </w:r>
          </w:p>
        </w:tc>
        <w:tc>
          <w:tcPr>
            <w:tcW w:w="6379" w:type="dxa"/>
            <w:tcBorders>
              <w:top w:val="single" w:sz="4" w:space="0" w:color="auto"/>
              <w:left w:val="single" w:sz="4" w:space="0" w:color="auto"/>
              <w:bottom w:val="single" w:sz="4" w:space="0" w:color="auto"/>
              <w:right w:val="single" w:sz="4" w:space="0" w:color="auto"/>
            </w:tcBorders>
          </w:tcPr>
          <w:p w:rsidR="00523B05" w:rsidRPr="000A609B" w:rsidRDefault="00523B05" w:rsidP="00A01F0F">
            <w:pPr>
              <w:widowControl/>
              <w:rPr>
                <w:rFonts w:ascii="Arial Narrow" w:hAnsi="Arial Narrow"/>
                <w:snapToGrid/>
                <w:sz w:val="20"/>
                <w:lang w:eastAsia="en-AU"/>
              </w:rPr>
            </w:pPr>
            <w:r w:rsidRPr="000A609B">
              <w:rPr>
                <w:rFonts w:ascii="Arial Narrow" w:hAnsi="Arial Narrow"/>
                <w:iCs/>
                <w:sz w:val="20"/>
                <w:lang w:eastAsia="en-AU"/>
              </w:rPr>
              <w:t>Patient must be aged 40 years or older.</w:t>
            </w:r>
          </w:p>
        </w:tc>
      </w:tr>
      <w:tr w:rsidR="00523B05" w:rsidRPr="000A609B" w:rsidTr="00A01F0F">
        <w:trPr>
          <w:cantSplit/>
          <w:trHeight w:val="360"/>
        </w:trPr>
        <w:tc>
          <w:tcPr>
            <w:tcW w:w="2835" w:type="dxa"/>
            <w:tcBorders>
              <w:top w:val="single" w:sz="4" w:space="0" w:color="auto"/>
              <w:left w:val="single" w:sz="4" w:space="0" w:color="auto"/>
              <w:bottom w:val="single" w:sz="4" w:space="0" w:color="auto"/>
              <w:right w:val="single" w:sz="4" w:space="0" w:color="auto"/>
            </w:tcBorders>
          </w:tcPr>
          <w:p w:rsidR="00523B05" w:rsidRPr="000A609B" w:rsidRDefault="00523B05" w:rsidP="00E1056C">
            <w:pPr>
              <w:widowControl/>
              <w:rPr>
                <w:rFonts w:ascii="Arial Narrow" w:hAnsi="Arial Narrow"/>
                <w:snapToGrid/>
                <w:sz w:val="20"/>
                <w:lang w:eastAsia="en-AU"/>
              </w:rPr>
            </w:pPr>
            <w:r w:rsidRPr="000A609B">
              <w:rPr>
                <w:rFonts w:ascii="Arial Narrow" w:hAnsi="Arial Narrow"/>
                <w:b/>
                <w:snapToGrid/>
                <w:sz w:val="20"/>
                <w:lang w:eastAsia="en-AU"/>
              </w:rPr>
              <w:t>Prescriber Instructions</w:t>
            </w:r>
          </w:p>
        </w:tc>
        <w:tc>
          <w:tcPr>
            <w:tcW w:w="6379" w:type="dxa"/>
            <w:tcBorders>
              <w:top w:val="single" w:sz="4" w:space="0" w:color="auto"/>
              <w:left w:val="single" w:sz="4" w:space="0" w:color="auto"/>
              <w:bottom w:val="single" w:sz="4" w:space="0" w:color="auto"/>
              <w:right w:val="single" w:sz="4" w:space="0" w:color="auto"/>
            </w:tcBorders>
          </w:tcPr>
          <w:p w:rsidR="00523B05" w:rsidRPr="000A609B" w:rsidRDefault="00523B05" w:rsidP="00A01F0F">
            <w:pPr>
              <w:widowControl/>
              <w:jc w:val="left"/>
              <w:rPr>
                <w:rFonts w:ascii="Arial Narrow" w:hAnsi="Arial Narrow"/>
                <w:snapToGrid/>
                <w:sz w:val="20"/>
                <w:lang w:eastAsia="en-AU"/>
              </w:rPr>
            </w:pPr>
            <w:r w:rsidRPr="000A609B">
              <w:rPr>
                <w:rFonts w:ascii="Arial Narrow" w:hAnsi="Arial Narrow"/>
                <w:snapToGrid/>
                <w:sz w:val="20"/>
                <w:lang w:eastAsia="en-AU"/>
              </w:rPr>
              <w:t>-</w:t>
            </w:r>
          </w:p>
        </w:tc>
      </w:tr>
      <w:tr w:rsidR="00523B05" w:rsidRPr="000A609B" w:rsidTr="00A01F0F">
        <w:trPr>
          <w:cantSplit/>
          <w:trHeight w:val="360"/>
        </w:trPr>
        <w:tc>
          <w:tcPr>
            <w:tcW w:w="2835" w:type="dxa"/>
            <w:tcBorders>
              <w:top w:val="single" w:sz="4" w:space="0" w:color="auto"/>
              <w:left w:val="single" w:sz="4" w:space="0" w:color="auto"/>
              <w:bottom w:val="single" w:sz="4" w:space="0" w:color="auto"/>
              <w:right w:val="single" w:sz="4" w:space="0" w:color="auto"/>
            </w:tcBorders>
          </w:tcPr>
          <w:p w:rsidR="00523B05" w:rsidRPr="000A609B" w:rsidRDefault="00523B05" w:rsidP="00A01F0F">
            <w:pPr>
              <w:widowControl/>
              <w:rPr>
                <w:rFonts w:ascii="Arial Narrow" w:hAnsi="Arial Narrow"/>
                <w:b/>
                <w:snapToGrid/>
                <w:sz w:val="20"/>
                <w:lang w:eastAsia="en-AU"/>
              </w:rPr>
            </w:pPr>
            <w:r w:rsidRPr="000A609B">
              <w:rPr>
                <w:rFonts w:ascii="Arial Narrow" w:hAnsi="Arial Narrow"/>
                <w:b/>
                <w:snapToGrid/>
                <w:sz w:val="20"/>
                <w:lang w:eastAsia="en-AU"/>
              </w:rPr>
              <w:t>Administrative Advice 1</w:t>
            </w:r>
          </w:p>
          <w:p w:rsidR="00523B05" w:rsidRPr="000A609B" w:rsidRDefault="00523B05" w:rsidP="00A01F0F">
            <w:pPr>
              <w:widowControl/>
              <w:rPr>
                <w:rFonts w:ascii="Arial Narrow" w:hAnsi="Arial Narrow"/>
                <w:i/>
                <w:snapToGrid/>
                <w:sz w:val="20"/>
                <w:lang w:eastAsia="en-AU"/>
              </w:rPr>
            </w:pPr>
          </w:p>
          <w:p w:rsidR="00523B05" w:rsidRPr="000A609B" w:rsidRDefault="00523B05" w:rsidP="00A01F0F">
            <w:pPr>
              <w:widowControl/>
              <w:rPr>
                <w:rFonts w:ascii="Arial Narrow" w:hAnsi="Arial Narrow"/>
                <w:i/>
                <w:snapToGrid/>
                <w:sz w:val="20"/>
                <w:lang w:eastAsia="en-AU"/>
              </w:rPr>
            </w:pPr>
          </w:p>
          <w:p w:rsidR="00523B05" w:rsidRPr="000A609B" w:rsidRDefault="00523B05" w:rsidP="00A01F0F">
            <w:pPr>
              <w:widowControl/>
              <w:rPr>
                <w:rFonts w:ascii="Arial Narrow" w:hAnsi="Arial Narrow"/>
                <w:b/>
                <w:snapToGrid/>
                <w:sz w:val="20"/>
                <w:lang w:eastAsia="en-AU"/>
              </w:rPr>
            </w:pPr>
            <w:r w:rsidRPr="000A609B">
              <w:rPr>
                <w:rFonts w:ascii="Arial Narrow" w:hAnsi="Arial Narrow"/>
                <w:b/>
                <w:snapToGrid/>
                <w:sz w:val="20"/>
                <w:lang w:eastAsia="en-AU"/>
              </w:rPr>
              <w:t>Administrative Advice 2</w:t>
            </w:r>
          </w:p>
          <w:p w:rsidR="00523B05" w:rsidRPr="000A609B" w:rsidRDefault="00523B05" w:rsidP="00A01F0F">
            <w:pPr>
              <w:widowControl/>
              <w:rPr>
                <w:rFonts w:ascii="Arial Narrow" w:hAnsi="Arial Narrow"/>
                <w:snapToGrid/>
                <w:sz w:val="20"/>
                <w:lang w:eastAsia="en-AU"/>
              </w:rPr>
            </w:pPr>
          </w:p>
          <w:p w:rsidR="00523B05" w:rsidRPr="000A609B" w:rsidRDefault="00523B05" w:rsidP="00A01F0F">
            <w:pPr>
              <w:widowControl/>
              <w:rPr>
                <w:rFonts w:ascii="Arial Narrow" w:hAnsi="Arial Narrow"/>
                <w:snapToGrid/>
                <w:sz w:val="20"/>
                <w:lang w:eastAsia="en-AU"/>
              </w:rPr>
            </w:pPr>
          </w:p>
          <w:p w:rsidR="00523B05" w:rsidRPr="000A609B" w:rsidRDefault="00523B05" w:rsidP="00A01F0F">
            <w:pPr>
              <w:widowControl/>
              <w:rPr>
                <w:rFonts w:ascii="Arial Narrow" w:hAnsi="Arial Narrow"/>
                <w:snapToGrid/>
                <w:sz w:val="20"/>
                <w:lang w:eastAsia="en-AU"/>
              </w:rPr>
            </w:pPr>
          </w:p>
          <w:p w:rsidR="00523B05" w:rsidRPr="000A609B" w:rsidRDefault="00523B05" w:rsidP="00E1056C">
            <w:pPr>
              <w:widowControl/>
              <w:rPr>
                <w:rFonts w:ascii="Arial Narrow" w:hAnsi="Arial Narrow"/>
                <w:snapToGrid/>
                <w:sz w:val="20"/>
                <w:lang w:eastAsia="en-AU"/>
              </w:rPr>
            </w:pPr>
            <w:r w:rsidRPr="000A609B">
              <w:rPr>
                <w:rFonts w:ascii="Arial Narrow" w:hAnsi="Arial Narrow"/>
                <w:b/>
                <w:snapToGrid/>
                <w:sz w:val="20"/>
                <w:lang w:eastAsia="en-AU"/>
              </w:rPr>
              <w:t>Administrative Advice 3</w:t>
            </w:r>
          </w:p>
        </w:tc>
        <w:tc>
          <w:tcPr>
            <w:tcW w:w="6379" w:type="dxa"/>
            <w:tcBorders>
              <w:top w:val="single" w:sz="4" w:space="0" w:color="auto"/>
              <w:left w:val="single" w:sz="4" w:space="0" w:color="auto"/>
              <w:bottom w:val="single" w:sz="4" w:space="0" w:color="auto"/>
              <w:right w:val="single" w:sz="4" w:space="0" w:color="auto"/>
            </w:tcBorders>
          </w:tcPr>
          <w:p w:rsidR="00523B05" w:rsidRPr="000A609B" w:rsidRDefault="00523B05" w:rsidP="00E1056C">
            <w:pPr>
              <w:widowControl/>
              <w:jc w:val="left"/>
              <w:rPr>
                <w:rFonts w:ascii="Arial Narrow" w:hAnsi="Arial Narrow"/>
                <w:i/>
                <w:iCs/>
                <w:sz w:val="20"/>
                <w:lang w:eastAsia="en-AU"/>
              </w:rPr>
            </w:pPr>
            <w:r w:rsidRPr="000A609B">
              <w:rPr>
                <w:rFonts w:ascii="Arial Narrow" w:hAnsi="Arial Narrow"/>
                <w:i/>
                <w:snapToGrid/>
                <w:sz w:val="20"/>
                <w:lang w:eastAsia="en-AU"/>
              </w:rPr>
              <w:t>No increase in the maximum quantity will be authorised.</w:t>
            </w:r>
          </w:p>
          <w:p w:rsidR="00523B05" w:rsidRPr="005B5A70" w:rsidRDefault="00523B05" w:rsidP="00E1056C">
            <w:pPr>
              <w:widowControl/>
              <w:jc w:val="left"/>
              <w:rPr>
                <w:rFonts w:ascii="Arial Narrow" w:hAnsi="Arial Narrow" w:cs="Calibri"/>
                <w:bCs/>
                <w:i/>
                <w:snapToGrid/>
                <w:sz w:val="20"/>
              </w:rPr>
            </w:pPr>
            <w:r w:rsidRPr="005B5A70">
              <w:rPr>
                <w:rFonts w:ascii="Arial Narrow" w:hAnsi="Arial Narrow" w:cs="Calibri"/>
                <w:bCs/>
                <w:i/>
                <w:snapToGrid/>
                <w:sz w:val="20"/>
              </w:rPr>
              <w:t>No applications for increased repeats will be authorised.</w:t>
            </w:r>
          </w:p>
          <w:p w:rsidR="00523B05" w:rsidRPr="000A609B" w:rsidRDefault="00523B05" w:rsidP="00A01F0F">
            <w:pPr>
              <w:widowControl/>
              <w:jc w:val="left"/>
              <w:rPr>
                <w:rFonts w:ascii="Arial Narrow" w:hAnsi="Arial Narrow"/>
                <w:iCs/>
                <w:sz w:val="20"/>
                <w:lang w:eastAsia="en-AU"/>
              </w:rPr>
            </w:pPr>
          </w:p>
          <w:p w:rsidR="00523B05" w:rsidRPr="000A609B" w:rsidRDefault="00523B05" w:rsidP="00A01F0F">
            <w:pPr>
              <w:widowControl/>
              <w:jc w:val="left"/>
              <w:rPr>
                <w:rFonts w:ascii="Arial Narrow" w:hAnsi="Arial Narrow"/>
                <w:iCs/>
                <w:sz w:val="20"/>
                <w:lang w:eastAsia="en-AU"/>
              </w:rPr>
            </w:pPr>
            <w:r w:rsidRPr="000A609B">
              <w:rPr>
                <w:rFonts w:ascii="Arial Narrow" w:hAnsi="Arial Narrow"/>
                <w:iCs/>
                <w:sz w:val="20"/>
                <w:lang w:eastAsia="en-AU"/>
              </w:rPr>
              <w:t>Authority applications for continuing treatment may be made by telephone to the Department of Human Services on 1800 700 270 (hours of operation 8 a.m. to 5 p.m. EST Monday to Friday).</w:t>
            </w:r>
          </w:p>
          <w:p w:rsidR="00523B05" w:rsidRPr="000A609B" w:rsidRDefault="00523B05" w:rsidP="00A01F0F">
            <w:pPr>
              <w:widowControl/>
              <w:jc w:val="left"/>
              <w:rPr>
                <w:rFonts w:ascii="Arial Narrow" w:hAnsi="Arial Narrow"/>
                <w:iCs/>
                <w:sz w:val="20"/>
                <w:lang w:eastAsia="en-AU"/>
              </w:rPr>
            </w:pPr>
          </w:p>
          <w:p w:rsidR="00523B05" w:rsidRPr="000A609B" w:rsidRDefault="00523B05" w:rsidP="00A01F0F">
            <w:pPr>
              <w:widowControl/>
              <w:jc w:val="left"/>
              <w:rPr>
                <w:rFonts w:ascii="Times New Roman" w:hAnsi="Times New Roman"/>
                <w:i/>
                <w:sz w:val="20"/>
                <w:lang w:eastAsia="en-AU"/>
              </w:rPr>
            </w:pPr>
            <w:r w:rsidRPr="000A609B">
              <w:rPr>
                <w:rFonts w:ascii="Arial Narrow" w:hAnsi="Arial Narrow"/>
                <w:i/>
                <w:iCs/>
                <w:sz w:val="20"/>
                <w:lang w:eastAsia="en-AU"/>
              </w:rPr>
              <w:t>Special Pricing Arrangements apply</w:t>
            </w:r>
            <w:r w:rsidRPr="000A609B">
              <w:rPr>
                <w:rFonts w:ascii="Arial Narrow" w:hAnsi="Arial Narrow"/>
                <w:i/>
                <w:sz w:val="20"/>
                <w:lang w:eastAsia="en-AU"/>
              </w:rPr>
              <w:t>.</w:t>
            </w:r>
          </w:p>
        </w:tc>
      </w:tr>
      <w:tr w:rsidR="00523B05" w:rsidRPr="000A609B" w:rsidTr="00A01F0F">
        <w:trPr>
          <w:cantSplit/>
          <w:trHeight w:val="360"/>
        </w:trPr>
        <w:tc>
          <w:tcPr>
            <w:tcW w:w="2835" w:type="dxa"/>
            <w:tcBorders>
              <w:top w:val="single" w:sz="4" w:space="0" w:color="auto"/>
              <w:left w:val="single" w:sz="4" w:space="0" w:color="auto"/>
              <w:bottom w:val="single" w:sz="4" w:space="0" w:color="auto"/>
              <w:right w:val="single" w:sz="4" w:space="0" w:color="auto"/>
            </w:tcBorders>
          </w:tcPr>
          <w:p w:rsidR="00523B05" w:rsidRPr="000A609B" w:rsidRDefault="00523B05" w:rsidP="00E1056C">
            <w:pPr>
              <w:widowControl/>
              <w:rPr>
                <w:rFonts w:ascii="Arial Narrow" w:hAnsi="Arial Narrow"/>
                <w:i/>
                <w:snapToGrid/>
                <w:sz w:val="20"/>
                <w:lang w:eastAsia="en-AU"/>
              </w:rPr>
            </w:pPr>
            <w:r w:rsidRPr="000A609B">
              <w:rPr>
                <w:rFonts w:ascii="Arial Narrow" w:hAnsi="Arial Narrow"/>
                <w:b/>
                <w:snapToGrid/>
                <w:sz w:val="20"/>
                <w:lang w:eastAsia="en-AU"/>
              </w:rPr>
              <w:t>Cautions</w:t>
            </w:r>
          </w:p>
        </w:tc>
        <w:tc>
          <w:tcPr>
            <w:tcW w:w="6379" w:type="dxa"/>
            <w:tcBorders>
              <w:top w:val="single" w:sz="4" w:space="0" w:color="auto"/>
              <w:left w:val="single" w:sz="4" w:space="0" w:color="auto"/>
              <w:bottom w:val="single" w:sz="4" w:space="0" w:color="auto"/>
              <w:right w:val="single" w:sz="4" w:space="0" w:color="auto"/>
            </w:tcBorders>
          </w:tcPr>
          <w:p w:rsidR="00523B05" w:rsidRPr="000A609B" w:rsidRDefault="00523B05" w:rsidP="00A01F0F">
            <w:pPr>
              <w:widowControl/>
              <w:jc w:val="left"/>
              <w:rPr>
                <w:rFonts w:ascii="Arial Narrow" w:hAnsi="Arial Narrow"/>
                <w:snapToGrid/>
                <w:sz w:val="20"/>
                <w:lang w:eastAsia="en-AU"/>
              </w:rPr>
            </w:pPr>
            <w:r w:rsidRPr="000A609B">
              <w:rPr>
                <w:rFonts w:ascii="Arial Narrow" w:hAnsi="Arial Narrow"/>
                <w:snapToGrid/>
                <w:sz w:val="20"/>
                <w:lang w:eastAsia="en-AU"/>
              </w:rPr>
              <w:t>-</w:t>
            </w:r>
          </w:p>
        </w:tc>
      </w:tr>
    </w:tbl>
    <w:p w:rsidR="00523B05" w:rsidRPr="00E1056C" w:rsidRDefault="00523B05" w:rsidP="00E1056C">
      <w:pPr>
        <w:widowControl/>
        <w:rPr>
          <w:szCs w:val="22"/>
        </w:rPr>
      </w:pPr>
    </w:p>
    <w:p w:rsidR="00F97A78" w:rsidRDefault="00462C00" w:rsidP="00321D09">
      <w:pPr>
        <w:pStyle w:val="ListParagraph"/>
        <w:widowControl/>
        <w:numPr>
          <w:ilvl w:val="1"/>
          <w:numId w:val="2"/>
        </w:numPr>
        <w:rPr>
          <w:szCs w:val="22"/>
        </w:rPr>
      </w:pPr>
      <w:r w:rsidRPr="00462C00">
        <w:rPr>
          <w:szCs w:val="22"/>
        </w:rPr>
        <w:t>The re-submission sought listing on the basis of a cost utility analysis</w:t>
      </w:r>
      <w:r w:rsidR="00BC3C83">
        <w:rPr>
          <w:szCs w:val="22"/>
        </w:rPr>
        <w:t xml:space="preserve"> (CUA)</w:t>
      </w:r>
      <w:r w:rsidRPr="00462C00">
        <w:rPr>
          <w:szCs w:val="22"/>
        </w:rPr>
        <w:t xml:space="preserve"> comparing nintedanib </w:t>
      </w:r>
      <w:r w:rsidR="00E1056C">
        <w:rPr>
          <w:szCs w:val="22"/>
        </w:rPr>
        <w:t>to best supportive care (BSC).</w:t>
      </w:r>
    </w:p>
    <w:p w:rsidR="00462C00" w:rsidRPr="005021C2" w:rsidRDefault="00462C00" w:rsidP="00462C00">
      <w:pPr>
        <w:widowControl/>
        <w:rPr>
          <w:szCs w:val="22"/>
        </w:rPr>
      </w:pPr>
    </w:p>
    <w:p w:rsidR="00462C00" w:rsidRDefault="00462C00" w:rsidP="00321D09">
      <w:pPr>
        <w:pStyle w:val="ListParagraph"/>
        <w:widowControl/>
        <w:numPr>
          <w:ilvl w:val="1"/>
          <w:numId w:val="2"/>
        </w:numPr>
        <w:rPr>
          <w:szCs w:val="22"/>
        </w:rPr>
      </w:pPr>
      <w:r>
        <w:rPr>
          <w:szCs w:val="22"/>
        </w:rPr>
        <w:t xml:space="preserve">The re-submission revised the following </w:t>
      </w:r>
      <w:r w:rsidR="00AC15B9">
        <w:rPr>
          <w:szCs w:val="22"/>
        </w:rPr>
        <w:t xml:space="preserve">key </w:t>
      </w:r>
      <w:r>
        <w:rPr>
          <w:szCs w:val="22"/>
        </w:rPr>
        <w:t>aspects of the requested restriction:</w:t>
      </w:r>
    </w:p>
    <w:p w:rsidR="003066F6" w:rsidRPr="003066F6" w:rsidRDefault="00462C00" w:rsidP="00321D09">
      <w:pPr>
        <w:pStyle w:val="ListParagraph"/>
        <w:widowControl/>
        <w:numPr>
          <w:ilvl w:val="0"/>
          <w:numId w:val="10"/>
        </w:numPr>
        <w:rPr>
          <w:i/>
          <w:szCs w:val="22"/>
        </w:rPr>
      </w:pPr>
      <w:r w:rsidRPr="00EC13CF">
        <w:rPr>
          <w:szCs w:val="22"/>
          <w:u w:val="single"/>
        </w:rPr>
        <w:t>Effective price</w:t>
      </w:r>
      <w:r w:rsidRPr="00E1056C">
        <w:rPr>
          <w:szCs w:val="22"/>
        </w:rPr>
        <w:t>:</w:t>
      </w:r>
      <w:r w:rsidRPr="003066F6">
        <w:rPr>
          <w:szCs w:val="22"/>
        </w:rPr>
        <w:t xml:space="preserve"> the re-submission proposed an effective price of $</w:t>
      </w:r>
      <w:r w:rsidR="00F146E1">
        <w:rPr>
          <w:noProof/>
          <w:color w:val="000000"/>
          <w:szCs w:val="22"/>
          <w:highlight w:val="black"/>
        </w:rPr>
        <w:t>'''''''''''''''</w:t>
      </w:r>
      <w:r w:rsidRPr="003066F6">
        <w:rPr>
          <w:szCs w:val="22"/>
        </w:rPr>
        <w:t xml:space="preserve"> and $</w:t>
      </w:r>
      <w:r w:rsidR="00F146E1">
        <w:rPr>
          <w:noProof/>
          <w:color w:val="000000"/>
          <w:szCs w:val="22"/>
          <w:highlight w:val="black"/>
        </w:rPr>
        <w:t>'''''''''''''''</w:t>
      </w:r>
      <w:r w:rsidRPr="003066F6">
        <w:rPr>
          <w:szCs w:val="22"/>
        </w:rPr>
        <w:t xml:space="preserve"> for nintedanib 100mg and 150mg, respectively.  This represented an </w:t>
      </w:r>
      <w:r w:rsidR="00F146E1">
        <w:rPr>
          <w:noProof/>
          <w:color w:val="000000"/>
          <w:szCs w:val="22"/>
          <w:highlight w:val="black"/>
        </w:rPr>
        <w:t>'''''''''''</w:t>
      </w:r>
      <w:r w:rsidRPr="003066F6">
        <w:rPr>
          <w:szCs w:val="22"/>
        </w:rPr>
        <w:t>% decrease from the effective price included in the March 2015 submission ($</w:t>
      </w:r>
      <w:r w:rsidR="00F146E1">
        <w:rPr>
          <w:noProof/>
          <w:color w:val="000000"/>
          <w:szCs w:val="22"/>
          <w:highlight w:val="black"/>
        </w:rPr>
        <w:t>'''''''''''''''</w:t>
      </w:r>
      <w:r w:rsidR="00E1056C">
        <w:rPr>
          <w:szCs w:val="22"/>
        </w:rPr>
        <w:t>: 100mg; $</w:t>
      </w:r>
      <w:r w:rsidR="00F146E1">
        <w:rPr>
          <w:noProof/>
          <w:color w:val="000000"/>
          <w:szCs w:val="22"/>
          <w:highlight w:val="black"/>
        </w:rPr>
        <w:t>'''''''''''''''''</w:t>
      </w:r>
      <w:r w:rsidR="00E1056C">
        <w:rPr>
          <w:szCs w:val="22"/>
        </w:rPr>
        <w:t>: 150mg).</w:t>
      </w:r>
    </w:p>
    <w:p w:rsidR="001F20FE" w:rsidRPr="00A01F0F" w:rsidRDefault="00462C00" w:rsidP="00321D09">
      <w:pPr>
        <w:pStyle w:val="ListParagraph"/>
        <w:widowControl/>
        <w:numPr>
          <w:ilvl w:val="0"/>
          <w:numId w:val="10"/>
        </w:numPr>
        <w:rPr>
          <w:szCs w:val="22"/>
        </w:rPr>
      </w:pPr>
      <w:r w:rsidRPr="00A01F0F">
        <w:rPr>
          <w:szCs w:val="22"/>
          <w:u w:val="single"/>
        </w:rPr>
        <w:t>Clinical criteria</w:t>
      </w:r>
      <w:r w:rsidR="001F20FE" w:rsidRPr="00A01F0F">
        <w:rPr>
          <w:szCs w:val="22"/>
          <w:u w:val="single"/>
        </w:rPr>
        <w:t xml:space="preserve"> (initial treatment)</w:t>
      </w:r>
      <w:r w:rsidRPr="00E1056C">
        <w:rPr>
          <w:szCs w:val="22"/>
        </w:rPr>
        <w:t>:</w:t>
      </w:r>
      <w:r w:rsidRPr="00A01F0F">
        <w:rPr>
          <w:szCs w:val="22"/>
        </w:rPr>
        <w:t xml:space="preserve"> </w:t>
      </w:r>
      <w:r w:rsidR="00EC13CF" w:rsidRPr="00A01F0F">
        <w:rPr>
          <w:szCs w:val="22"/>
        </w:rPr>
        <w:t>at the March 2015 meeting, the PBAC indicated that the restriction should include the role of a multidisciplinary team in diagnosing IPF (paragraph 7.3</w:t>
      </w:r>
      <w:r w:rsidR="009714BF">
        <w:rPr>
          <w:szCs w:val="22"/>
        </w:rPr>
        <w:t xml:space="preserve">, </w:t>
      </w:r>
      <w:r w:rsidR="009714BF">
        <w:t xml:space="preserve">Nintedanib for IPF PSD, </w:t>
      </w:r>
      <w:r w:rsidR="009714BF" w:rsidRPr="008D1343">
        <w:t>March 2015</w:t>
      </w:r>
      <w:r w:rsidR="00EC13CF" w:rsidRPr="00A01F0F">
        <w:rPr>
          <w:szCs w:val="22"/>
        </w:rPr>
        <w:t>).  T</w:t>
      </w:r>
      <w:r w:rsidR="005021C2" w:rsidRPr="00A01F0F">
        <w:rPr>
          <w:szCs w:val="22"/>
        </w:rPr>
        <w:t xml:space="preserve">he re-submission </w:t>
      </w:r>
      <w:r w:rsidR="00EC13CF" w:rsidRPr="00A01F0F">
        <w:rPr>
          <w:szCs w:val="22"/>
        </w:rPr>
        <w:t>provided</w:t>
      </w:r>
      <w:r w:rsidR="005021C2" w:rsidRPr="00A01F0F">
        <w:rPr>
          <w:szCs w:val="22"/>
        </w:rPr>
        <w:t xml:space="preserve"> further</w:t>
      </w:r>
      <w:r w:rsidR="00AC15B9" w:rsidRPr="00A01F0F">
        <w:rPr>
          <w:szCs w:val="22"/>
        </w:rPr>
        <w:t xml:space="preserve"> details </w:t>
      </w:r>
      <w:r w:rsidR="00EC13CF" w:rsidRPr="00A01F0F">
        <w:rPr>
          <w:szCs w:val="22"/>
        </w:rPr>
        <w:t>of</w:t>
      </w:r>
      <w:r w:rsidR="005021C2" w:rsidRPr="00A01F0F">
        <w:rPr>
          <w:szCs w:val="22"/>
        </w:rPr>
        <w:t xml:space="preserve"> </w:t>
      </w:r>
      <w:r w:rsidR="00AC15B9" w:rsidRPr="00A01F0F">
        <w:rPr>
          <w:szCs w:val="22"/>
        </w:rPr>
        <w:t xml:space="preserve">the multidisciplinary team (comprising at least respiratory, radiology and where required, pathology) and extenuating </w:t>
      </w:r>
      <w:r w:rsidR="00AC15B9" w:rsidRPr="00B6317B">
        <w:rPr>
          <w:szCs w:val="22"/>
        </w:rPr>
        <w:t xml:space="preserve">circumstances where consultation may be necessary (geographical isolation).  </w:t>
      </w:r>
      <w:r w:rsidR="00A01F0F" w:rsidRPr="00B6317B">
        <w:rPr>
          <w:szCs w:val="22"/>
        </w:rPr>
        <w:t xml:space="preserve">Accurate diagnosis of IPF is important as some treatments (eg corticosteroids) can be harmful. The multidisciplinary team described in the Prescriber instruction in the restriction needs careful consideration as to whether it is sufficiently detailed to prevent misdiagnosis. </w:t>
      </w:r>
      <w:r w:rsidR="00053F4E" w:rsidRPr="00B6317B">
        <w:rPr>
          <w:szCs w:val="22"/>
        </w:rPr>
        <w:t>An additional</w:t>
      </w:r>
      <w:r w:rsidR="00EC13CF" w:rsidRPr="00B6317B">
        <w:rPr>
          <w:szCs w:val="22"/>
        </w:rPr>
        <w:t xml:space="preserve"> clinical criteria </w:t>
      </w:r>
      <w:r w:rsidR="00053F4E" w:rsidRPr="00B6317B">
        <w:rPr>
          <w:szCs w:val="22"/>
        </w:rPr>
        <w:t>required</w:t>
      </w:r>
      <w:r w:rsidR="00EC13CF" w:rsidRPr="00B6317B">
        <w:rPr>
          <w:szCs w:val="22"/>
        </w:rPr>
        <w:t xml:space="preserve"> </w:t>
      </w:r>
      <w:r w:rsidR="00053F4E" w:rsidRPr="00B6317B">
        <w:rPr>
          <w:szCs w:val="22"/>
        </w:rPr>
        <w:t>eligible</w:t>
      </w:r>
      <w:r w:rsidR="00EC13CF" w:rsidRPr="00B6317B">
        <w:rPr>
          <w:szCs w:val="22"/>
        </w:rPr>
        <w:t xml:space="preserve"> patients to</w:t>
      </w:r>
      <w:r w:rsidR="00AC15B9" w:rsidRPr="00B6317B">
        <w:rPr>
          <w:szCs w:val="22"/>
        </w:rPr>
        <w:t xml:space="preserve"> have a FEV1/FVC&gt;0.7.  Th</w:t>
      </w:r>
      <w:r w:rsidR="00053F4E" w:rsidRPr="00B6317B">
        <w:rPr>
          <w:szCs w:val="22"/>
        </w:rPr>
        <w:t>e</w:t>
      </w:r>
      <w:r w:rsidR="00AC15B9" w:rsidRPr="00B6317B">
        <w:rPr>
          <w:szCs w:val="22"/>
        </w:rPr>
        <w:t xml:space="preserve"> amendment </w:t>
      </w:r>
      <w:r w:rsidR="00053F4E" w:rsidRPr="00B6317B">
        <w:rPr>
          <w:szCs w:val="22"/>
        </w:rPr>
        <w:t>wa</w:t>
      </w:r>
      <w:r w:rsidR="00AC15B9" w:rsidRPr="00B6317B">
        <w:rPr>
          <w:szCs w:val="22"/>
        </w:rPr>
        <w:t>s consistent with the inclusion/exclusion criteria used in the pivotal trials (Trial</w:t>
      </w:r>
      <w:r w:rsidR="00E1056C">
        <w:rPr>
          <w:szCs w:val="22"/>
        </w:rPr>
        <w:t>s</w:t>
      </w:r>
      <w:r w:rsidR="00AC15B9" w:rsidRPr="00B6317B">
        <w:rPr>
          <w:szCs w:val="22"/>
        </w:rPr>
        <w:t xml:space="preserve"> 30, 32 and 34).</w:t>
      </w:r>
    </w:p>
    <w:p w:rsidR="001F20FE" w:rsidRPr="004E3B49" w:rsidRDefault="001F20FE" w:rsidP="00127BC0">
      <w:pPr>
        <w:pStyle w:val="ListParagraph"/>
        <w:widowControl/>
        <w:numPr>
          <w:ilvl w:val="0"/>
          <w:numId w:val="10"/>
        </w:numPr>
        <w:rPr>
          <w:szCs w:val="22"/>
        </w:rPr>
      </w:pPr>
      <w:r w:rsidRPr="0060206A">
        <w:rPr>
          <w:szCs w:val="22"/>
          <w:u w:val="single"/>
        </w:rPr>
        <w:t>Clinical criteria (continuing treatment):</w:t>
      </w:r>
      <w:r w:rsidRPr="0060206A">
        <w:rPr>
          <w:szCs w:val="22"/>
        </w:rPr>
        <w:t xml:space="preserve"> the re-submission simplified to the clinical criteria for continuing treatment, limiting requirements to prior PBS subsidised treatment and documentation of an IPF diagnosis less than 5 years or greater than 5 years where progression has been confirmed. </w:t>
      </w:r>
      <w:r w:rsidR="00A01F0F" w:rsidRPr="004E3B49">
        <w:t>The ESC discussed the difficulty of having a continuation rule for IPF treatment based on response. The purpose of treatment is to prevent progression of the disease, as once patients progress there can be no further gains in lung function. There is no way to know if patients are responding to treatment, only that they are not getting worse</w:t>
      </w:r>
      <w:r w:rsidR="00127BC0" w:rsidRPr="004E3B49">
        <w:t>. The PSCR (p.1) suggested the patient’s treating specialist may be best placed to determine whether continuing treatment with nintedanib is appropriate, considering factors such as quality of life and daily activities (e.g. walking) in addition to lung function.</w:t>
      </w:r>
    </w:p>
    <w:p w:rsidR="00EC13CF" w:rsidRPr="0060206A" w:rsidRDefault="00EC13CF" w:rsidP="00321D09">
      <w:pPr>
        <w:pStyle w:val="ListParagraph"/>
        <w:widowControl/>
        <w:numPr>
          <w:ilvl w:val="0"/>
          <w:numId w:val="10"/>
        </w:numPr>
        <w:rPr>
          <w:szCs w:val="22"/>
          <w:u w:val="single"/>
        </w:rPr>
      </w:pPr>
      <w:r w:rsidRPr="0060206A">
        <w:rPr>
          <w:szCs w:val="22"/>
          <w:u w:val="single"/>
        </w:rPr>
        <w:t>Administrative advice:</w:t>
      </w:r>
      <w:r w:rsidRPr="0060206A">
        <w:rPr>
          <w:szCs w:val="22"/>
        </w:rPr>
        <w:t xml:space="preserve"> given the complexity associated with the diagnosis of IPF and the potential for misclassification of other fibrotic lung conditions, the PBAC considered that strategies for managing risk of leakage to other indications through the wording for the requested write in initial authority be considered (paragraph 7.3</w:t>
      </w:r>
      <w:r w:rsidR="009714BF">
        <w:rPr>
          <w:szCs w:val="22"/>
        </w:rPr>
        <w:t xml:space="preserve">, </w:t>
      </w:r>
      <w:r w:rsidR="009714BF">
        <w:t xml:space="preserve">Nintedanib for IPF PSD, </w:t>
      </w:r>
      <w:r w:rsidR="009714BF" w:rsidRPr="008D1343">
        <w:t>March 2015</w:t>
      </w:r>
      <w:r w:rsidRPr="0060206A">
        <w:rPr>
          <w:szCs w:val="22"/>
        </w:rPr>
        <w:t xml:space="preserve">).  While the requested restriction indicated the use of an authority application form no further details </w:t>
      </w:r>
      <w:r w:rsidR="00215586" w:rsidRPr="0060206A">
        <w:rPr>
          <w:szCs w:val="22"/>
        </w:rPr>
        <w:t xml:space="preserve">were </w:t>
      </w:r>
      <w:r w:rsidRPr="0060206A">
        <w:rPr>
          <w:szCs w:val="22"/>
        </w:rPr>
        <w:t>provided in the re-submission.</w:t>
      </w:r>
    </w:p>
    <w:p w:rsidR="00462C00" w:rsidRPr="0060206A" w:rsidRDefault="00462C00" w:rsidP="00BC3C83">
      <w:pPr>
        <w:rPr>
          <w:szCs w:val="22"/>
        </w:rPr>
      </w:pPr>
    </w:p>
    <w:p w:rsidR="005E6569" w:rsidRPr="004E3B49" w:rsidRDefault="00AC15B9" w:rsidP="005E6569">
      <w:pPr>
        <w:pStyle w:val="ListParagraph"/>
        <w:widowControl/>
        <w:numPr>
          <w:ilvl w:val="1"/>
          <w:numId w:val="2"/>
        </w:numPr>
        <w:rPr>
          <w:szCs w:val="22"/>
        </w:rPr>
      </w:pPr>
      <w:r w:rsidRPr="007E330D">
        <w:rPr>
          <w:szCs w:val="22"/>
        </w:rPr>
        <w:t xml:space="preserve">The requested restriction </w:t>
      </w:r>
      <w:r w:rsidR="00215586" w:rsidRPr="007E330D">
        <w:rPr>
          <w:szCs w:val="22"/>
        </w:rPr>
        <w:t xml:space="preserve">did </w:t>
      </w:r>
      <w:r w:rsidRPr="007E330D">
        <w:rPr>
          <w:szCs w:val="22"/>
        </w:rPr>
        <w:t xml:space="preserve">not </w:t>
      </w:r>
      <w:r w:rsidR="00215586" w:rsidRPr="007E330D">
        <w:rPr>
          <w:szCs w:val="22"/>
        </w:rPr>
        <w:t xml:space="preserve">specify </w:t>
      </w:r>
      <w:r w:rsidRPr="007E330D">
        <w:rPr>
          <w:szCs w:val="22"/>
        </w:rPr>
        <w:t>whether nintedanib should be used as sole therapy for the treatment of IPF.  Combination treatment was not permitted in the pivotal trials.  Given the complex pathology of IPF, combination treatment with nintedanib and pirfenidone has been suggested in the literature as a possibl</w:t>
      </w:r>
      <w:r w:rsidR="001F20FE" w:rsidRPr="007E330D">
        <w:rPr>
          <w:szCs w:val="22"/>
        </w:rPr>
        <w:t>e</w:t>
      </w:r>
      <w:r w:rsidRPr="007E330D">
        <w:rPr>
          <w:szCs w:val="22"/>
        </w:rPr>
        <w:t xml:space="preserve"> future regimen for patients with definite or probable IPF (Wuyts 2014, Wells 2015). </w:t>
      </w:r>
      <w:r w:rsidR="007E330D" w:rsidRPr="004E3B49">
        <w:rPr>
          <w:szCs w:val="22"/>
        </w:rPr>
        <w:t xml:space="preserve">The ESC agreed with </w:t>
      </w:r>
      <w:r w:rsidR="00686C23" w:rsidRPr="004E3B49">
        <w:rPr>
          <w:szCs w:val="22"/>
        </w:rPr>
        <w:t>the PSCR (p</w:t>
      </w:r>
      <w:r w:rsidR="007E330D" w:rsidRPr="004E3B49">
        <w:rPr>
          <w:szCs w:val="22"/>
        </w:rPr>
        <w:t xml:space="preserve">. </w:t>
      </w:r>
      <w:r w:rsidR="00686C23" w:rsidRPr="004E3B49">
        <w:rPr>
          <w:szCs w:val="22"/>
        </w:rPr>
        <w:t xml:space="preserve">1) </w:t>
      </w:r>
      <w:r w:rsidR="007E330D" w:rsidRPr="004E3B49">
        <w:rPr>
          <w:szCs w:val="22"/>
        </w:rPr>
        <w:t>that the combination of nintedanib and p</w:t>
      </w:r>
      <w:r w:rsidR="005E6569" w:rsidRPr="004E3B49">
        <w:rPr>
          <w:szCs w:val="22"/>
        </w:rPr>
        <w:t xml:space="preserve">irfenidone </w:t>
      </w:r>
      <w:r w:rsidR="007E330D" w:rsidRPr="004E3B49">
        <w:rPr>
          <w:szCs w:val="22"/>
        </w:rPr>
        <w:t>is not supported by clinical evidence and a note should be added to the Cautions in the PBS listing to advise prescribers that the combination should not be used.</w:t>
      </w:r>
    </w:p>
    <w:p w:rsidR="007E330D" w:rsidRPr="00E1056C" w:rsidRDefault="007E330D" w:rsidP="007E330D">
      <w:pPr>
        <w:widowControl/>
        <w:rPr>
          <w:szCs w:val="22"/>
        </w:rPr>
      </w:pPr>
    </w:p>
    <w:p w:rsidR="005E6569" w:rsidRDefault="001F20FE" w:rsidP="00321D09">
      <w:pPr>
        <w:pStyle w:val="ListParagraph"/>
        <w:numPr>
          <w:ilvl w:val="1"/>
          <w:numId w:val="2"/>
        </w:numPr>
        <w:rPr>
          <w:szCs w:val="22"/>
        </w:rPr>
      </w:pPr>
      <w:r w:rsidRPr="0060206A">
        <w:rPr>
          <w:szCs w:val="22"/>
        </w:rPr>
        <w:t>No discontinuation criterion was included in the requested restriction.  The recent ATS clinical practice guideline for IPF (Raghu 2015) states that the current available evidence for nintedanib does not allow suggestions about the optimal duration of therapy, and it is unknown how long treatment effect endures with ongoing therapies.</w:t>
      </w:r>
    </w:p>
    <w:p w:rsidR="00127509" w:rsidRPr="00E1056C" w:rsidRDefault="00127509" w:rsidP="00127509">
      <w:pPr>
        <w:rPr>
          <w:szCs w:val="22"/>
        </w:rPr>
      </w:pPr>
    </w:p>
    <w:p w:rsidR="004E43B2" w:rsidRPr="004E3B49" w:rsidRDefault="004E3B49" w:rsidP="003757FB">
      <w:pPr>
        <w:ind w:left="709"/>
        <w:rPr>
          <w:i/>
        </w:rPr>
      </w:pPr>
      <w:r w:rsidRPr="004E3B49">
        <w:rPr>
          <w:i/>
        </w:rPr>
        <w:t>For more detail on PBAC’s view, see section 7 “PBAC outcome”</w:t>
      </w:r>
      <w:r w:rsidR="00E1056C">
        <w:rPr>
          <w:i/>
        </w:rPr>
        <w:t>.</w:t>
      </w:r>
    </w:p>
    <w:p w:rsidR="00215586" w:rsidRDefault="00215586" w:rsidP="004B1CB4"/>
    <w:p w:rsidR="00E1056C" w:rsidRPr="00882085" w:rsidRDefault="00E1056C" w:rsidP="004B1CB4"/>
    <w:p w:rsidR="00B50DB8" w:rsidRPr="00407F2D" w:rsidRDefault="00B50DB8" w:rsidP="006412CE">
      <w:pPr>
        <w:pStyle w:val="Heading1"/>
      </w:pPr>
      <w:bookmarkStart w:id="5" w:name="_Toc430009527"/>
      <w:r w:rsidRPr="00407F2D">
        <w:t>Background</w:t>
      </w:r>
      <w:bookmarkEnd w:id="5"/>
    </w:p>
    <w:p w:rsidR="00B60939" w:rsidRPr="00882085" w:rsidRDefault="00B60939" w:rsidP="00B60939">
      <w:pPr>
        <w:rPr>
          <w:szCs w:val="22"/>
        </w:rPr>
      </w:pPr>
    </w:p>
    <w:p w:rsidR="005021C2" w:rsidRDefault="005021C2" w:rsidP="00321D09">
      <w:pPr>
        <w:pStyle w:val="ListParagraph"/>
        <w:widowControl/>
        <w:numPr>
          <w:ilvl w:val="1"/>
          <w:numId w:val="2"/>
        </w:numPr>
        <w:rPr>
          <w:szCs w:val="22"/>
        </w:rPr>
      </w:pPr>
      <w:r>
        <w:rPr>
          <w:szCs w:val="22"/>
        </w:rPr>
        <w:t xml:space="preserve">Nintedanib for the treatment of IPF was previously considered by the PBAC in March 2015.  </w:t>
      </w:r>
      <w:r w:rsidR="005F7133">
        <w:rPr>
          <w:szCs w:val="22"/>
        </w:rPr>
        <w:t>TGA approval for the indication of IPF and advanced, metastatic or recurrent non-small cell lung cancer (NSCLC) of adenoncarcinoma tumour histology after failure of first line chemotherapy was received on 27</w:t>
      </w:r>
      <w:r w:rsidR="005F7133" w:rsidRPr="005F7133">
        <w:rPr>
          <w:szCs w:val="22"/>
          <w:vertAlign w:val="superscript"/>
        </w:rPr>
        <w:t>th</w:t>
      </w:r>
      <w:r w:rsidR="005F7133">
        <w:rPr>
          <w:szCs w:val="22"/>
        </w:rPr>
        <w:t xml:space="preserve"> August 2015</w:t>
      </w:r>
      <w:r w:rsidR="00E1056C">
        <w:rPr>
          <w:szCs w:val="22"/>
        </w:rPr>
        <w:t>.</w:t>
      </w:r>
    </w:p>
    <w:p w:rsidR="005021C2" w:rsidRPr="005021C2" w:rsidRDefault="005021C2" w:rsidP="005021C2">
      <w:pPr>
        <w:widowControl/>
        <w:rPr>
          <w:szCs w:val="22"/>
        </w:rPr>
      </w:pPr>
    </w:p>
    <w:p w:rsidR="002C660C" w:rsidRDefault="005021C2" w:rsidP="00321D09">
      <w:pPr>
        <w:pStyle w:val="ListParagraph"/>
        <w:widowControl/>
        <w:numPr>
          <w:ilvl w:val="1"/>
          <w:numId w:val="2"/>
        </w:numPr>
        <w:rPr>
          <w:szCs w:val="22"/>
        </w:rPr>
      </w:pPr>
      <w:r w:rsidRPr="00BC3C83">
        <w:rPr>
          <w:szCs w:val="22"/>
        </w:rPr>
        <w:t>At the March 2015 meeting, the PBAC rejected the submission</w:t>
      </w:r>
      <w:r w:rsidR="002B1DFC" w:rsidRPr="00BC3C83">
        <w:rPr>
          <w:szCs w:val="22"/>
        </w:rPr>
        <w:t xml:space="preserve"> on the basis of an uncertain estimate of comparative effectiveness, as measured by the effect on clinically relevant outcomes, including acute IPF exacerbations and overall survival, and a resulting very high and uncertain estimate of cost-effectiveness (paragraph 7.1</w:t>
      </w:r>
      <w:r w:rsidR="009714BF">
        <w:rPr>
          <w:szCs w:val="22"/>
        </w:rPr>
        <w:t xml:space="preserve">, </w:t>
      </w:r>
      <w:r w:rsidR="009714BF">
        <w:t xml:space="preserve">Nintedanib for IPF PSD, </w:t>
      </w:r>
      <w:r w:rsidR="009714BF" w:rsidRPr="008D1343">
        <w:t>March 2015</w:t>
      </w:r>
      <w:r w:rsidR="002B1DFC" w:rsidRPr="00BC3C83">
        <w:rPr>
          <w:szCs w:val="22"/>
        </w:rPr>
        <w:t xml:space="preserve">).  </w:t>
      </w:r>
      <w:r w:rsidR="002C660C" w:rsidRPr="00BC3C83">
        <w:rPr>
          <w:szCs w:val="22"/>
        </w:rPr>
        <w:t xml:space="preserve">The </w:t>
      </w:r>
      <w:r w:rsidR="00BC3C83" w:rsidRPr="00BC3C83">
        <w:rPr>
          <w:szCs w:val="22"/>
        </w:rPr>
        <w:t xml:space="preserve">PBAC identified the </w:t>
      </w:r>
      <w:r w:rsidR="002C660C" w:rsidRPr="00BC3C83">
        <w:rPr>
          <w:szCs w:val="22"/>
        </w:rPr>
        <w:t>following key clinical</w:t>
      </w:r>
      <w:r w:rsidR="009F168A" w:rsidRPr="00BC3C83">
        <w:rPr>
          <w:szCs w:val="22"/>
        </w:rPr>
        <w:t xml:space="preserve"> and economic issues</w:t>
      </w:r>
      <w:r w:rsidR="00823385">
        <w:rPr>
          <w:szCs w:val="22"/>
        </w:rPr>
        <w:t>:</w:t>
      </w:r>
    </w:p>
    <w:p w:rsidR="001C0250" w:rsidRPr="004E3B49" w:rsidRDefault="00BC3C83" w:rsidP="001C0250">
      <w:pPr>
        <w:pStyle w:val="ListParagraph"/>
        <w:widowControl/>
        <w:numPr>
          <w:ilvl w:val="0"/>
          <w:numId w:val="10"/>
        </w:numPr>
      </w:pPr>
      <w:r w:rsidRPr="0060206A">
        <w:rPr>
          <w:szCs w:val="22"/>
          <w:u w:val="single"/>
        </w:rPr>
        <w:t>Clinical evaluation – r</w:t>
      </w:r>
      <w:r w:rsidR="002C660C" w:rsidRPr="0060206A">
        <w:rPr>
          <w:szCs w:val="22"/>
          <w:u w:val="single"/>
        </w:rPr>
        <w:t xml:space="preserve">elationship between </w:t>
      </w:r>
      <w:r w:rsidR="00CD0C24" w:rsidRPr="0060206A">
        <w:rPr>
          <w:szCs w:val="22"/>
          <w:u w:val="single"/>
        </w:rPr>
        <w:t>forced vital capacity (FVC)</w:t>
      </w:r>
      <w:r w:rsidR="002C660C" w:rsidRPr="0060206A">
        <w:rPr>
          <w:szCs w:val="22"/>
          <w:u w:val="single"/>
        </w:rPr>
        <w:t xml:space="preserve"> and survival</w:t>
      </w:r>
      <w:r w:rsidR="002C660C" w:rsidRPr="00E1056C">
        <w:rPr>
          <w:szCs w:val="22"/>
        </w:rPr>
        <w:t>:</w:t>
      </w:r>
      <w:r w:rsidR="002C660C" w:rsidRPr="0060206A">
        <w:rPr>
          <w:szCs w:val="22"/>
        </w:rPr>
        <w:t xml:space="preserve"> </w:t>
      </w:r>
      <w:r w:rsidR="009F168A" w:rsidRPr="0060206A">
        <w:rPr>
          <w:szCs w:val="22"/>
        </w:rPr>
        <w:t>t</w:t>
      </w:r>
      <w:r w:rsidR="002C660C" w:rsidRPr="0060206A">
        <w:rPr>
          <w:szCs w:val="22"/>
        </w:rPr>
        <w:t>he PBAC considered that while it was clear that lower FVC was associated with a higher risk of mortality, quantifying the relationship between change in FVC from nintedanib and change in mortality (and resulting survival gain) was challenging</w:t>
      </w:r>
      <w:r w:rsidR="009F168A" w:rsidRPr="0060206A">
        <w:rPr>
          <w:szCs w:val="22"/>
        </w:rPr>
        <w:t xml:space="preserve"> (paragraph 7.7, </w:t>
      </w:r>
      <w:r w:rsidR="009714BF">
        <w:t xml:space="preserve">Nintedanib for IPF PSD, </w:t>
      </w:r>
      <w:r w:rsidR="009714BF" w:rsidRPr="008D1343">
        <w:t>March 2015</w:t>
      </w:r>
      <w:r w:rsidR="009F168A" w:rsidRPr="0060206A">
        <w:rPr>
          <w:szCs w:val="22"/>
        </w:rPr>
        <w:t>)</w:t>
      </w:r>
      <w:r w:rsidR="002C660C" w:rsidRPr="0060206A">
        <w:rPr>
          <w:szCs w:val="22"/>
        </w:rPr>
        <w:t xml:space="preserve">.  The re-submission presented additional evidence indicating a </w:t>
      </w:r>
      <w:r w:rsidR="001C35FA" w:rsidRPr="0060206A">
        <w:rPr>
          <w:szCs w:val="22"/>
        </w:rPr>
        <w:t>linear trend</w:t>
      </w:r>
      <w:r w:rsidR="001C35FA" w:rsidRPr="0060206A">
        <w:t xml:space="preserve"> </w:t>
      </w:r>
      <w:r w:rsidR="002C660C" w:rsidRPr="0060206A">
        <w:rPr>
          <w:szCs w:val="22"/>
        </w:rPr>
        <w:t xml:space="preserve">between FVC and survival benefit across the nintedanib (Trial 30, 32 and 34) and pirfenidone trials (ASCEND, CAPACITY-1, CAPACITY-2).  </w:t>
      </w:r>
      <w:r w:rsidR="001C35FA" w:rsidRPr="0060206A">
        <w:rPr>
          <w:szCs w:val="22"/>
        </w:rPr>
        <w:t xml:space="preserve">While there was a high degree of correlation </w:t>
      </w:r>
      <w:r w:rsidRPr="0060206A">
        <w:rPr>
          <w:szCs w:val="22"/>
        </w:rPr>
        <w:t>was observed</w:t>
      </w:r>
      <w:r w:rsidR="001C35FA" w:rsidRPr="0060206A">
        <w:rPr>
          <w:szCs w:val="22"/>
        </w:rPr>
        <w:t xml:space="preserve"> in the analysis (</w:t>
      </w:r>
      <w:r w:rsidR="001C35FA" w:rsidRPr="0060206A">
        <w:t>R</w:t>
      </w:r>
      <w:r w:rsidR="001C35FA" w:rsidRPr="0060206A">
        <w:rPr>
          <w:vertAlign w:val="superscript"/>
        </w:rPr>
        <w:t>2</w:t>
      </w:r>
      <w:r w:rsidR="001C35FA" w:rsidRPr="0060206A">
        <w:t xml:space="preserve"> = </w:t>
      </w:r>
      <w:r w:rsidR="00F146E1">
        <w:rPr>
          <w:noProof/>
          <w:color w:val="000000"/>
          <w:highlight w:val="black"/>
        </w:rPr>
        <w:t>''''''''''''''''''</w:t>
      </w:r>
      <w:r w:rsidR="001C35FA" w:rsidRPr="0060206A">
        <w:t xml:space="preserve">), the hazard ratios for time to death across the trials were not statistically significant.  </w:t>
      </w:r>
      <w:r w:rsidR="009F10B7">
        <w:t>In October 2015, t</w:t>
      </w:r>
      <w:r w:rsidR="001C0250" w:rsidRPr="004E3B49">
        <w:t xml:space="preserve">he ESC noted that the </w:t>
      </w:r>
      <w:r w:rsidR="009E6AC7" w:rsidRPr="004E3B49">
        <w:t>PSCR (p. 2)</w:t>
      </w:r>
      <w:r w:rsidR="001C0250" w:rsidRPr="004E3B49">
        <w:t xml:space="preserve"> presented </w:t>
      </w:r>
      <w:r w:rsidR="009E6AC7" w:rsidRPr="004E3B49">
        <w:t>the</w:t>
      </w:r>
      <w:r w:rsidR="001C0250" w:rsidRPr="004E3B49">
        <w:t xml:space="preserve"> analysis of the relationship between treatment difference in FVC and hazard ratio for time to death across the pirfenidone and nintedanib trials (Figure 1 </w:t>
      </w:r>
      <w:r w:rsidR="00DD5D0A" w:rsidRPr="004E3B49">
        <w:t>PSCR</w:t>
      </w:r>
      <w:r w:rsidR="001C0250" w:rsidRPr="004E3B49">
        <w:t>).</w:t>
      </w:r>
      <w:r w:rsidR="00E1056C">
        <w:t xml:space="preserve"> </w:t>
      </w:r>
      <w:r w:rsidR="001C0250" w:rsidRPr="004E3B49">
        <w:t xml:space="preserve"> The confidence intervals on the hazard ratios for time to death are very wide across all trial observations.</w:t>
      </w:r>
    </w:p>
    <w:p w:rsidR="002C660C" w:rsidRPr="0060206A" w:rsidRDefault="001C35FA" w:rsidP="00321D09">
      <w:pPr>
        <w:pStyle w:val="ListParagraph"/>
        <w:widowControl/>
        <w:numPr>
          <w:ilvl w:val="0"/>
          <w:numId w:val="10"/>
        </w:numPr>
        <w:rPr>
          <w:szCs w:val="22"/>
          <w:u w:val="single"/>
        </w:rPr>
      </w:pPr>
      <w:r w:rsidRPr="0060206A">
        <w:rPr>
          <w:szCs w:val="22"/>
          <w:u w:val="single"/>
        </w:rPr>
        <w:t xml:space="preserve">Modelled evaluation – </w:t>
      </w:r>
      <w:r w:rsidR="009F168A" w:rsidRPr="0060206A">
        <w:rPr>
          <w:szCs w:val="22"/>
          <w:u w:val="single"/>
        </w:rPr>
        <w:t>rationale</w:t>
      </w:r>
      <w:r w:rsidRPr="00E1056C">
        <w:rPr>
          <w:szCs w:val="22"/>
        </w:rPr>
        <w:t>:</w:t>
      </w:r>
      <w:r w:rsidRPr="0060206A">
        <w:rPr>
          <w:szCs w:val="22"/>
        </w:rPr>
        <w:t xml:space="preserve"> the PBAC considered that the CUA presented in the submission was inappropriate </w:t>
      </w:r>
      <w:r w:rsidR="009F168A" w:rsidRPr="0060206A">
        <w:rPr>
          <w:szCs w:val="22"/>
        </w:rPr>
        <w:t xml:space="preserve">given the non-statistically significant point estimates for </w:t>
      </w:r>
      <w:r w:rsidR="00053F4E" w:rsidRPr="0060206A">
        <w:rPr>
          <w:szCs w:val="22"/>
        </w:rPr>
        <w:t>overall survival (OS)</w:t>
      </w:r>
      <w:r w:rsidR="009F168A" w:rsidRPr="0060206A">
        <w:rPr>
          <w:szCs w:val="22"/>
        </w:rPr>
        <w:t xml:space="preserve"> and no significant difference in quality of life (paragraph 7.10, </w:t>
      </w:r>
      <w:r w:rsidR="009714BF">
        <w:t xml:space="preserve">Nintedanib for IPF PSD, </w:t>
      </w:r>
      <w:r w:rsidR="009714BF" w:rsidRPr="008D1343">
        <w:t>March 2015</w:t>
      </w:r>
      <w:r w:rsidR="009F168A" w:rsidRPr="0060206A">
        <w:rPr>
          <w:szCs w:val="22"/>
        </w:rPr>
        <w:t>).  The</w:t>
      </w:r>
      <w:r w:rsidR="003066F6" w:rsidRPr="0060206A">
        <w:rPr>
          <w:szCs w:val="22"/>
        </w:rPr>
        <w:t xml:space="preserve">re </w:t>
      </w:r>
      <w:r w:rsidR="00823385" w:rsidRPr="0060206A">
        <w:rPr>
          <w:szCs w:val="22"/>
        </w:rPr>
        <w:t xml:space="preserve">were </w:t>
      </w:r>
      <w:r w:rsidR="003066F6" w:rsidRPr="0060206A">
        <w:rPr>
          <w:szCs w:val="22"/>
        </w:rPr>
        <w:t>no substantive changes to the</w:t>
      </w:r>
      <w:r w:rsidR="009F168A" w:rsidRPr="0060206A">
        <w:rPr>
          <w:szCs w:val="22"/>
        </w:rPr>
        <w:t xml:space="preserve"> design and structure of the economic </w:t>
      </w:r>
      <w:r w:rsidR="003066F6" w:rsidRPr="0060206A">
        <w:rPr>
          <w:szCs w:val="22"/>
        </w:rPr>
        <w:t>model</w:t>
      </w:r>
      <w:r w:rsidR="009F168A" w:rsidRPr="0060206A">
        <w:rPr>
          <w:szCs w:val="22"/>
        </w:rPr>
        <w:t xml:space="preserve"> in the re-submission (</w:t>
      </w:r>
      <w:r w:rsidR="003066F6" w:rsidRPr="0060206A">
        <w:rPr>
          <w:szCs w:val="22"/>
        </w:rPr>
        <w:t xml:space="preserve">refer to </w:t>
      </w:r>
      <w:r w:rsidR="00053F4E" w:rsidRPr="0060206A">
        <w:rPr>
          <w:szCs w:val="22"/>
        </w:rPr>
        <w:t xml:space="preserve">Economic analysis </w:t>
      </w:r>
      <w:r w:rsidR="00E1056C">
        <w:rPr>
          <w:szCs w:val="22"/>
        </w:rPr>
        <w:t xml:space="preserve">below </w:t>
      </w:r>
      <w:r w:rsidR="00053F4E" w:rsidRPr="0060206A">
        <w:rPr>
          <w:szCs w:val="22"/>
        </w:rPr>
        <w:t>for comments</w:t>
      </w:r>
      <w:r w:rsidR="009F168A" w:rsidRPr="0060206A">
        <w:rPr>
          <w:szCs w:val="22"/>
        </w:rPr>
        <w:t>)</w:t>
      </w:r>
      <w:r w:rsidR="00E1056C">
        <w:rPr>
          <w:szCs w:val="22"/>
        </w:rPr>
        <w:t>.</w:t>
      </w:r>
    </w:p>
    <w:p w:rsidR="00DA2050" w:rsidRPr="00DA2050" w:rsidRDefault="009F168A" w:rsidP="00311818">
      <w:pPr>
        <w:pStyle w:val="ListParagraph"/>
        <w:widowControl/>
        <w:numPr>
          <w:ilvl w:val="0"/>
          <w:numId w:val="10"/>
        </w:numPr>
        <w:rPr>
          <w:szCs w:val="22"/>
          <w:u w:val="single"/>
        </w:rPr>
      </w:pPr>
      <w:r w:rsidRPr="0060206A">
        <w:rPr>
          <w:szCs w:val="22"/>
          <w:u w:val="single"/>
        </w:rPr>
        <w:t>Modelled evaluation – extrapolation of survival benefit</w:t>
      </w:r>
      <w:r w:rsidRPr="00E1056C">
        <w:rPr>
          <w:szCs w:val="22"/>
        </w:rPr>
        <w:t>:</w:t>
      </w:r>
      <w:r w:rsidRPr="0060206A">
        <w:rPr>
          <w:szCs w:val="22"/>
        </w:rPr>
        <w:t xml:space="preserve"> the PBAC considered that the base case ICER </w:t>
      </w:r>
      <w:r w:rsidR="00230B12">
        <w:rPr>
          <w:szCs w:val="22"/>
        </w:rPr>
        <w:t>(</w:t>
      </w:r>
      <w:r w:rsidR="00311818" w:rsidRPr="00311818">
        <w:rPr>
          <w:szCs w:val="22"/>
        </w:rPr>
        <w:t>$105,000-$200,000</w:t>
      </w:r>
      <w:r w:rsidRPr="0060206A">
        <w:rPr>
          <w:szCs w:val="22"/>
        </w:rPr>
        <w:t xml:space="preserve">/QALY) was unacceptably high and likely to be optimistic as it used non-significant survival and quality of life benefits extrapolated from 12 months to 10 years to estimate life years and QALYs gained (paragraph 7.10, </w:t>
      </w:r>
      <w:r w:rsidR="009714BF">
        <w:t xml:space="preserve">Nintedanib for IPF PSD, </w:t>
      </w:r>
      <w:r w:rsidR="009714BF" w:rsidRPr="008D1343">
        <w:t>March 2015</w:t>
      </w:r>
      <w:r w:rsidRPr="0060206A">
        <w:rPr>
          <w:szCs w:val="22"/>
        </w:rPr>
        <w:t xml:space="preserve">).  The PBAC </w:t>
      </w:r>
      <w:r w:rsidR="00715522" w:rsidRPr="0060206A">
        <w:rPr>
          <w:szCs w:val="22"/>
        </w:rPr>
        <w:t>concluded</w:t>
      </w:r>
      <w:r w:rsidRPr="0060206A">
        <w:rPr>
          <w:szCs w:val="22"/>
        </w:rPr>
        <w:t xml:space="preserve"> that a re-submission should present a revised model including the more conservative methodology for extrapolation of survival benefit recommended by the evaluation (paragraph 7.12, </w:t>
      </w:r>
      <w:r w:rsidR="009714BF">
        <w:t xml:space="preserve">Nintedanib for IPF PSD, </w:t>
      </w:r>
      <w:r w:rsidR="009714BF" w:rsidRPr="008D1343">
        <w:t>March 2015</w:t>
      </w:r>
      <w:r w:rsidRPr="0060206A">
        <w:rPr>
          <w:szCs w:val="22"/>
        </w:rPr>
        <w:t>)</w:t>
      </w:r>
      <w:r w:rsidR="00E4203D" w:rsidRPr="0060206A">
        <w:rPr>
          <w:szCs w:val="22"/>
        </w:rPr>
        <w:t xml:space="preserve">.  This involved the use of Kaplan Meier survival estimates to 21 months, followed by adjustment of the nintedanib survival curve for the gradient of the best supportive care curve (paragraph 6.28, </w:t>
      </w:r>
      <w:r w:rsidR="009714BF">
        <w:t xml:space="preserve">Nintedanib for IPF PSD, </w:t>
      </w:r>
      <w:r w:rsidR="009714BF" w:rsidRPr="008D1343">
        <w:t>March 2015</w:t>
      </w:r>
      <w:r w:rsidR="00E4203D" w:rsidRPr="0060206A">
        <w:rPr>
          <w:szCs w:val="22"/>
        </w:rPr>
        <w:t>)</w:t>
      </w:r>
      <w:r w:rsidRPr="0060206A">
        <w:rPr>
          <w:szCs w:val="22"/>
        </w:rPr>
        <w:t xml:space="preserve">.  The re-submission only partially adopted this advice.  Mortality risk from Weibull extrapolations </w:t>
      </w:r>
      <w:r w:rsidR="00754BFD" w:rsidRPr="0060206A">
        <w:rPr>
          <w:szCs w:val="22"/>
        </w:rPr>
        <w:t xml:space="preserve">were </w:t>
      </w:r>
      <w:r w:rsidRPr="0060206A">
        <w:rPr>
          <w:szCs w:val="22"/>
        </w:rPr>
        <w:t xml:space="preserve">applied beyond the trial based period (21 months to 10 years) and </w:t>
      </w:r>
      <w:r w:rsidR="00754BFD" w:rsidRPr="0060206A">
        <w:rPr>
          <w:szCs w:val="22"/>
        </w:rPr>
        <w:t xml:space="preserve">were </w:t>
      </w:r>
      <w:r w:rsidRPr="0060206A">
        <w:rPr>
          <w:szCs w:val="22"/>
        </w:rPr>
        <w:t xml:space="preserve">responsible for the majority of survival gains estimated in the economic model (refer to Economic analysis </w:t>
      </w:r>
      <w:r w:rsidR="00E1056C">
        <w:rPr>
          <w:szCs w:val="22"/>
        </w:rPr>
        <w:t xml:space="preserve">below </w:t>
      </w:r>
      <w:r w:rsidRPr="0060206A">
        <w:rPr>
          <w:szCs w:val="22"/>
        </w:rPr>
        <w:t xml:space="preserve">for </w:t>
      </w:r>
      <w:r w:rsidR="00475807" w:rsidRPr="0060206A">
        <w:rPr>
          <w:szCs w:val="22"/>
        </w:rPr>
        <w:t>comments</w:t>
      </w:r>
      <w:r w:rsidR="00E1056C">
        <w:rPr>
          <w:szCs w:val="22"/>
        </w:rPr>
        <w:t>).</w:t>
      </w:r>
    </w:p>
    <w:p w:rsidR="00B60939" w:rsidRPr="0060206A" w:rsidRDefault="009F168A" w:rsidP="009714BF">
      <w:pPr>
        <w:pStyle w:val="ListParagraph"/>
        <w:widowControl/>
        <w:numPr>
          <w:ilvl w:val="0"/>
          <w:numId w:val="10"/>
        </w:numPr>
        <w:rPr>
          <w:u w:val="single"/>
        </w:rPr>
      </w:pPr>
      <w:r w:rsidRPr="0060206A">
        <w:rPr>
          <w:u w:val="single"/>
        </w:rPr>
        <w:t>Modelled evaluation – time horizon</w:t>
      </w:r>
      <w:r w:rsidRPr="00E1056C">
        <w:t>:</w:t>
      </w:r>
      <w:r w:rsidRPr="0060206A">
        <w:t xml:space="preserve"> </w:t>
      </w:r>
      <w:r w:rsidR="00475807" w:rsidRPr="0060206A">
        <w:t>the PBA</w:t>
      </w:r>
      <w:r w:rsidR="00715522" w:rsidRPr="0060206A">
        <w:t>C</w:t>
      </w:r>
      <w:r w:rsidR="00475807" w:rsidRPr="0060206A">
        <w:t xml:space="preserve"> considered that the modelled time horizon was inappropriate given the uncertainty regarding extrapolation of non-significant survival over 10 years (paragraph 7.10, </w:t>
      </w:r>
      <w:r w:rsidR="009714BF">
        <w:t xml:space="preserve">Nintedanib for IPF PSD, </w:t>
      </w:r>
      <w:r w:rsidR="009714BF" w:rsidRPr="008D1343">
        <w:t>March 2015</w:t>
      </w:r>
      <w:r w:rsidR="00475807" w:rsidRPr="0060206A">
        <w:t xml:space="preserve">).  The re-submission’s model </w:t>
      </w:r>
      <w:r w:rsidR="00754BFD" w:rsidRPr="0060206A">
        <w:t xml:space="preserve">continued </w:t>
      </w:r>
      <w:r w:rsidR="00475807" w:rsidRPr="0060206A">
        <w:t xml:space="preserve">to use a 10 year time horizon (refer to Economic analysis </w:t>
      </w:r>
      <w:r w:rsidR="00E1056C">
        <w:t xml:space="preserve">below </w:t>
      </w:r>
      <w:r w:rsidR="00475807" w:rsidRPr="0060206A">
        <w:t>for com</w:t>
      </w:r>
      <w:r w:rsidR="00E1056C">
        <w:t>ments).</w:t>
      </w:r>
    </w:p>
    <w:p w:rsidR="00E55BB5" w:rsidRDefault="00E55BB5" w:rsidP="004B1CB4"/>
    <w:p w:rsidR="00356427" w:rsidRPr="00882085" w:rsidRDefault="00356427" w:rsidP="004B1CB4"/>
    <w:p w:rsidR="00B50DB8" w:rsidRPr="00407F2D" w:rsidRDefault="00B50DB8" w:rsidP="006412CE">
      <w:pPr>
        <w:pStyle w:val="Heading1"/>
      </w:pPr>
      <w:bookmarkStart w:id="6" w:name="_Toc430009528"/>
      <w:r w:rsidRPr="00407F2D">
        <w:t>Clinical place for the proposed therapy</w:t>
      </w:r>
      <w:bookmarkEnd w:id="6"/>
    </w:p>
    <w:p w:rsidR="00B60939" w:rsidRPr="00882085" w:rsidRDefault="00B60939" w:rsidP="00B60939">
      <w:pPr>
        <w:rPr>
          <w:szCs w:val="22"/>
        </w:rPr>
      </w:pPr>
    </w:p>
    <w:p w:rsidR="00B60939" w:rsidRPr="00B50DB8" w:rsidRDefault="00475807" w:rsidP="00321D09">
      <w:pPr>
        <w:pStyle w:val="ListParagraph"/>
        <w:widowControl/>
        <w:numPr>
          <w:ilvl w:val="1"/>
          <w:numId w:val="2"/>
        </w:numPr>
        <w:rPr>
          <w:szCs w:val="22"/>
        </w:rPr>
      </w:pPr>
      <w:r w:rsidRPr="00475807">
        <w:rPr>
          <w:szCs w:val="22"/>
        </w:rPr>
        <w:t>IPF is a non-neoplastic irreversible fatal lung disease resulting from abnormal remodelling of lung tissue leading to fibrosis and a progressive de</w:t>
      </w:r>
      <w:r w:rsidR="00BC3C83">
        <w:rPr>
          <w:szCs w:val="22"/>
        </w:rPr>
        <w:t xml:space="preserve">gradation of lung function.  There is </w:t>
      </w:r>
      <w:r w:rsidRPr="00475807">
        <w:rPr>
          <w:szCs w:val="22"/>
        </w:rPr>
        <w:t xml:space="preserve">a high degree of variability in IPF disease progression (median survival: 3.5 years). </w:t>
      </w:r>
      <w:r w:rsidR="00BC3C83">
        <w:rPr>
          <w:szCs w:val="22"/>
        </w:rPr>
        <w:t xml:space="preserve"> </w:t>
      </w:r>
      <w:r w:rsidRPr="00475807">
        <w:rPr>
          <w:szCs w:val="22"/>
        </w:rPr>
        <w:t xml:space="preserve">Lung transplant is the only potentially curative intervention for IPF. </w:t>
      </w:r>
      <w:r w:rsidR="00BC3C83">
        <w:rPr>
          <w:szCs w:val="22"/>
        </w:rPr>
        <w:t xml:space="preserve"> </w:t>
      </w:r>
      <w:r w:rsidRPr="00475807">
        <w:rPr>
          <w:szCs w:val="22"/>
        </w:rPr>
        <w:t>No other medications are listed on the PBS specifically for the treatment of IPF.</w:t>
      </w:r>
    </w:p>
    <w:p w:rsidR="00894489" w:rsidRPr="002C2775" w:rsidRDefault="00894489" w:rsidP="00894489">
      <w:pPr>
        <w:widowControl/>
        <w:rPr>
          <w:szCs w:val="22"/>
        </w:rPr>
      </w:pPr>
    </w:p>
    <w:p w:rsidR="00B60939" w:rsidRPr="00B50DB8" w:rsidRDefault="00475807" w:rsidP="00321D09">
      <w:pPr>
        <w:pStyle w:val="ListParagraph"/>
        <w:widowControl/>
        <w:numPr>
          <w:ilvl w:val="1"/>
          <w:numId w:val="2"/>
        </w:numPr>
        <w:rPr>
          <w:szCs w:val="22"/>
        </w:rPr>
      </w:pPr>
      <w:r>
        <w:rPr>
          <w:szCs w:val="22"/>
        </w:rPr>
        <w:t>As in the March 2015 submission, t</w:t>
      </w:r>
      <w:r w:rsidRPr="00475807">
        <w:rPr>
          <w:szCs w:val="22"/>
        </w:rPr>
        <w:t xml:space="preserve">he </w:t>
      </w:r>
      <w:r>
        <w:rPr>
          <w:szCs w:val="22"/>
        </w:rPr>
        <w:t>re-</w:t>
      </w:r>
      <w:r w:rsidRPr="00475807">
        <w:rPr>
          <w:szCs w:val="22"/>
        </w:rPr>
        <w:t xml:space="preserve">submission proposed nintedanib </w:t>
      </w:r>
      <w:r w:rsidR="00972505" w:rsidRPr="00475807">
        <w:rPr>
          <w:szCs w:val="22"/>
        </w:rPr>
        <w:t>is</w:t>
      </w:r>
      <w:r w:rsidRPr="00475807">
        <w:rPr>
          <w:szCs w:val="22"/>
        </w:rPr>
        <w:t xml:space="preserve"> used in combination with BSC to slow disease progression associated with IPF.</w:t>
      </w:r>
    </w:p>
    <w:p w:rsidR="00E55BB5" w:rsidRDefault="00E55BB5" w:rsidP="00B60939">
      <w:pPr>
        <w:pStyle w:val="Header"/>
        <w:rPr>
          <w:szCs w:val="22"/>
        </w:rPr>
      </w:pPr>
    </w:p>
    <w:p w:rsidR="00356427" w:rsidRPr="00882085" w:rsidRDefault="00356427" w:rsidP="00B60939">
      <w:pPr>
        <w:pStyle w:val="Header"/>
        <w:rPr>
          <w:szCs w:val="22"/>
        </w:rPr>
      </w:pPr>
    </w:p>
    <w:p w:rsidR="00B50DB8" w:rsidRPr="00407F2D" w:rsidRDefault="00B50DB8" w:rsidP="006412CE">
      <w:pPr>
        <w:pStyle w:val="Heading1"/>
      </w:pPr>
      <w:bookmarkStart w:id="7" w:name="_Toc430009529"/>
      <w:r w:rsidRPr="00407F2D">
        <w:t>Comparator</w:t>
      </w:r>
      <w:bookmarkEnd w:id="7"/>
    </w:p>
    <w:p w:rsidR="00B60939" w:rsidRPr="00882085" w:rsidRDefault="00B60939" w:rsidP="004B1CB4"/>
    <w:p w:rsidR="002C2775" w:rsidRPr="004E3B49" w:rsidRDefault="00475807" w:rsidP="00321D09">
      <w:pPr>
        <w:pStyle w:val="ListParagraph"/>
        <w:widowControl/>
        <w:numPr>
          <w:ilvl w:val="1"/>
          <w:numId w:val="2"/>
        </w:numPr>
        <w:rPr>
          <w:szCs w:val="22"/>
        </w:rPr>
      </w:pPr>
      <w:r w:rsidRPr="0082480A">
        <w:rPr>
          <w:szCs w:val="22"/>
        </w:rPr>
        <w:t xml:space="preserve">As in the March 2015 submission, the re-submission nominated BSC as the main comparator.  The PBAC previously accepted BSC as the appropriate comparator and also noted another novel agent, pirfenidone, for the treatment of IPF (paragraph 7.5, March 2015).  </w:t>
      </w:r>
      <w:r w:rsidR="005F7133">
        <w:rPr>
          <w:szCs w:val="22"/>
        </w:rPr>
        <w:t xml:space="preserve">Pirfenidone for the treatment of IPF is being considered by the PBAC in the November 2015 meeting. </w:t>
      </w:r>
      <w:r w:rsidR="004530A7" w:rsidRPr="004E3B49">
        <w:t>The re-submission presented the same indirect comparison of nintedanib and pirfenidone as was presented in the March 2015 submission.</w:t>
      </w:r>
    </w:p>
    <w:p w:rsidR="00CB498B" w:rsidRDefault="00CB498B">
      <w:pPr>
        <w:widowControl/>
        <w:jc w:val="left"/>
        <w:rPr>
          <w:szCs w:val="22"/>
        </w:rPr>
      </w:pPr>
    </w:p>
    <w:p w:rsidR="000E1226" w:rsidRDefault="004E3B49" w:rsidP="003757FB">
      <w:pPr>
        <w:widowControl/>
        <w:ind w:left="709"/>
        <w:jc w:val="left"/>
        <w:rPr>
          <w:i/>
        </w:rPr>
      </w:pPr>
      <w:bookmarkStart w:id="8" w:name="_Toc430009530"/>
      <w:r w:rsidRPr="004E3B49">
        <w:rPr>
          <w:i/>
        </w:rPr>
        <w:t>For more detail on PBAC’s view, see section 7 “PBAC outcome”</w:t>
      </w:r>
      <w:r w:rsidR="00B15D73">
        <w:rPr>
          <w:i/>
        </w:rPr>
        <w:t>.</w:t>
      </w:r>
    </w:p>
    <w:p w:rsidR="00493D5D" w:rsidRDefault="00493D5D">
      <w:pPr>
        <w:widowControl/>
        <w:jc w:val="left"/>
        <w:rPr>
          <w:szCs w:val="22"/>
        </w:rPr>
      </w:pPr>
    </w:p>
    <w:p w:rsidR="00B15D73" w:rsidRPr="00B15D73" w:rsidRDefault="00B15D73">
      <w:pPr>
        <w:widowControl/>
        <w:jc w:val="left"/>
        <w:rPr>
          <w:szCs w:val="22"/>
        </w:rPr>
      </w:pPr>
    </w:p>
    <w:p w:rsidR="00B50DB8" w:rsidRPr="00407F2D" w:rsidRDefault="00BD6CF3" w:rsidP="006412CE">
      <w:pPr>
        <w:pStyle w:val="Heading1"/>
      </w:pPr>
      <w:r>
        <w:t>C</w:t>
      </w:r>
      <w:r w:rsidR="00B50DB8" w:rsidRPr="00407F2D">
        <w:t>onsideration of the evidence</w:t>
      </w:r>
      <w:bookmarkEnd w:id="8"/>
    </w:p>
    <w:p w:rsidR="00B60939" w:rsidRDefault="00B60939" w:rsidP="004B1CB4"/>
    <w:p w:rsidR="00493D5D" w:rsidRPr="006412CE" w:rsidRDefault="00493D5D" w:rsidP="006412CE">
      <w:pPr>
        <w:pStyle w:val="Heading2"/>
      </w:pPr>
      <w:r w:rsidRPr="006412CE">
        <w:t>Sponsor hearing</w:t>
      </w:r>
    </w:p>
    <w:p w:rsidR="00493D5D" w:rsidRDefault="00493D5D" w:rsidP="00493D5D"/>
    <w:p w:rsidR="00493D5D" w:rsidRDefault="00493D5D" w:rsidP="000A543F">
      <w:pPr>
        <w:pStyle w:val="ListParagraph"/>
        <w:widowControl/>
        <w:numPr>
          <w:ilvl w:val="1"/>
          <w:numId w:val="2"/>
        </w:numPr>
      </w:pPr>
      <w:r>
        <w:t>There was no hearing for this item.</w:t>
      </w:r>
    </w:p>
    <w:p w:rsidR="00493D5D" w:rsidRDefault="00493D5D" w:rsidP="00493D5D"/>
    <w:p w:rsidR="00493D5D" w:rsidRDefault="00493D5D" w:rsidP="006412CE">
      <w:pPr>
        <w:pStyle w:val="Heading2"/>
      </w:pPr>
      <w:r w:rsidRPr="00493D5D">
        <w:t>Consumer comments</w:t>
      </w:r>
    </w:p>
    <w:p w:rsidR="00B15D73" w:rsidRPr="00B15D73" w:rsidRDefault="00B15D73" w:rsidP="00493D5D"/>
    <w:p w:rsidR="00493D5D" w:rsidRDefault="00493D5D" w:rsidP="000A543F">
      <w:pPr>
        <w:pStyle w:val="ListParagraph"/>
        <w:widowControl/>
        <w:numPr>
          <w:ilvl w:val="1"/>
          <w:numId w:val="2"/>
        </w:numPr>
      </w:pPr>
      <w:r>
        <w:t xml:space="preserve">The PBAC noted and welcomed the input from individuals (50), health care professionals (5) and organisations (3) via the Consumer Comments facility on the PBS website.  The comments described the benefits of treatment with nintedanib in patients with IPF in slowing down the progression of IPF and improving the quality of life. </w:t>
      </w:r>
      <w:r w:rsidR="00F402D4">
        <w:t xml:space="preserve"> </w:t>
      </w:r>
      <w:r>
        <w:t xml:space="preserve">The comments also requested the PBAC </w:t>
      </w:r>
      <w:r w:rsidR="00023F17">
        <w:t xml:space="preserve">eligibility for the drug </w:t>
      </w:r>
      <w:r>
        <w:t xml:space="preserve">include patients with FVC &lt;50% because the patients with FVC 40-50% may still be functional, </w:t>
      </w:r>
      <w:r w:rsidR="00023F17">
        <w:t>though</w:t>
      </w:r>
      <w:r>
        <w:t xml:space="preserve"> they were excluded from clinical trial</w:t>
      </w:r>
      <w:r w:rsidR="008D32FB">
        <w:t>s</w:t>
      </w:r>
      <w:r>
        <w:t>.</w:t>
      </w:r>
      <w:r w:rsidR="000A543F">
        <w:t xml:space="preserve"> </w:t>
      </w:r>
      <w:r w:rsidR="00F402D4">
        <w:t xml:space="preserve"> </w:t>
      </w:r>
      <w:r w:rsidR="000A543F">
        <w:t>It was further commented that c</w:t>
      </w:r>
      <w:r w:rsidR="000A543F" w:rsidRPr="000A543F">
        <w:t>onfirmation of diagnosis via a designated tertiary hospital w</w:t>
      </w:r>
      <w:r w:rsidR="00F402D4">
        <w:t>ould</w:t>
      </w:r>
      <w:r w:rsidR="000A543F" w:rsidRPr="000A543F">
        <w:t xml:space="preserve"> make it difficult to access the drug for respiratory physicians working outside the metropolitan areas</w:t>
      </w:r>
      <w:r w:rsidR="000D7539">
        <w:t>.</w:t>
      </w:r>
    </w:p>
    <w:p w:rsidR="00493D5D" w:rsidRDefault="00493D5D" w:rsidP="00493D5D"/>
    <w:p w:rsidR="00493D5D" w:rsidRDefault="00493D5D" w:rsidP="000A543F">
      <w:pPr>
        <w:pStyle w:val="ListParagraph"/>
        <w:widowControl/>
        <w:numPr>
          <w:ilvl w:val="1"/>
          <w:numId w:val="2"/>
        </w:numPr>
      </w:pPr>
      <w:r>
        <w:t>The PBAC noted the advice received from Lung Foundation Australia, Department of Respiratory and Sleep Medicine, RPA hospital NSW, and Department of Respiratory Medicine, Eastern Health Victori</w:t>
      </w:r>
      <w:r w:rsidR="00023F17">
        <w:t>a clarifying the likely use of n</w:t>
      </w:r>
      <w:r>
        <w:t xml:space="preserve">intedanib in clinical practice.  </w:t>
      </w:r>
      <w:r w:rsidR="00DC4B0F">
        <w:t>The organisations provided advice in support of PBS listing</w:t>
      </w:r>
      <w:r w:rsidR="00DC4B0F" w:rsidRPr="008F259B">
        <w:t xml:space="preserve"> </w:t>
      </w:r>
      <w:r w:rsidR="00DC4B0F">
        <w:t xml:space="preserve">given the anti-fibrotic treatments improve the prognosis for patients, with The Lung Foundation noting these drugs been shown to alter the natural history of IPF. </w:t>
      </w:r>
      <w:r w:rsidR="00F402D4">
        <w:t xml:space="preserve"> </w:t>
      </w:r>
      <w:r>
        <w:t xml:space="preserve">However, Department of Respiratory and Sleep Medicine, RPA hospital NSW stated that 20% of patients referred to the Australian IPF Registry were over-diagnosed with IPF. </w:t>
      </w:r>
      <w:r w:rsidR="00F402D4">
        <w:t xml:space="preserve"> </w:t>
      </w:r>
      <w:r>
        <w:t>Thus</w:t>
      </w:r>
      <w:r w:rsidR="00023F17">
        <w:t>, it was</w:t>
      </w:r>
      <w:r>
        <w:t xml:space="preserve"> strongly recommended t</w:t>
      </w:r>
      <w:r w:rsidR="00F402D4">
        <w:t>o restrict</w:t>
      </w:r>
      <w:r>
        <w:t xml:space="preserve"> this medication to specialist centres only, where an accurate IPF diagnosis could be made via specialist </w:t>
      </w:r>
      <w:r w:rsidR="000A543F">
        <w:t>interstitial lung disease (</w:t>
      </w:r>
      <w:r>
        <w:t>ILD</w:t>
      </w:r>
      <w:r w:rsidR="000A543F">
        <w:t>)</w:t>
      </w:r>
      <w:r>
        <w:t xml:space="preserve"> multidisciplinary team.  This w</w:t>
      </w:r>
      <w:r w:rsidR="00F402D4">
        <w:t>ould</w:t>
      </w:r>
      <w:r>
        <w:t xml:space="preserve"> enable controlled prescription to patients with accurate IPF diagnosis and prevent over-prescription by non-ILD specialists.</w:t>
      </w:r>
    </w:p>
    <w:p w:rsidR="00493D5D" w:rsidRDefault="00493D5D" w:rsidP="000A543F">
      <w:pPr>
        <w:widowControl/>
      </w:pPr>
    </w:p>
    <w:p w:rsidR="00127509" w:rsidRPr="00882085" w:rsidRDefault="00493D5D" w:rsidP="000A543F">
      <w:pPr>
        <w:pStyle w:val="ListParagraph"/>
        <w:widowControl/>
        <w:numPr>
          <w:ilvl w:val="1"/>
          <w:numId w:val="2"/>
        </w:numPr>
      </w:pPr>
      <w:r>
        <w:t xml:space="preserve">The </w:t>
      </w:r>
      <w:r w:rsidR="00006434">
        <w:t>PBAC noted that this advice was</w:t>
      </w:r>
      <w:r>
        <w:t xml:space="preserve"> supportive of the evide</w:t>
      </w:r>
      <w:r w:rsidR="000A543F">
        <w:t>nce provided in the submission.</w:t>
      </w:r>
    </w:p>
    <w:p w:rsidR="00127509" w:rsidRPr="00F402D4" w:rsidRDefault="00127509" w:rsidP="006412CE">
      <w:pPr>
        <w:pStyle w:val="Heading2"/>
      </w:pPr>
      <w:bookmarkStart w:id="9" w:name="_Toc430009531"/>
    </w:p>
    <w:p w:rsidR="00B60939" w:rsidRPr="00F402D4" w:rsidRDefault="00B60939" w:rsidP="006412CE">
      <w:pPr>
        <w:pStyle w:val="Heading2"/>
      </w:pPr>
      <w:r w:rsidRPr="00F402D4">
        <w:t>Clinical trials</w:t>
      </w:r>
      <w:bookmarkEnd w:id="9"/>
    </w:p>
    <w:p w:rsidR="00B60939" w:rsidRPr="00882085" w:rsidRDefault="00B60939" w:rsidP="00B60939">
      <w:pPr>
        <w:rPr>
          <w:szCs w:val="22"/>
        </w:rPr>
      </w:pPr>
    </w:p>
    <w:p w:rsidR="00DA2050" w:rsidRDefault="00F333D9" w:rsidP="00321D09">
      <w:pPr>
        <w:pStyle w:val="ListParagraph"/>
        <w:widowControl/>
        <w:numPr>
          <w:ilvl w:val="1"/>
          <w:numId w:val="2"/>
        </w:numPr>
      </w:pPr>
      <w:r>
        <w:t>As with the March 2015 submission, t</w:t>
      </w:r>
      <w:r w:rsidR="00862502" w:rsidRPr="00862502">
        <w:t xml:space="preserve">he </w:t>
      </w:r>
      <w:r>
        <w:t>re-</w:t>
      </w:r>
      <w:r w:rsidR="00862502" w:rsidRPr="00862502">
        <w:t xml:space="preserve">submission </w:t>
      </w:r>
      <w:r>
        <w:t>wa</w:t>
      </w:r>
      <w:r w:rsidR="00862502" w:rsidRPr="00862502">
        <w:t xml:space="preserve">s based on </w:t>
      </w:r>
      <w:r>
        <w:t>three</w:t>
      </w:r>
      <w:r w:rsidR="00862502" w:rsidRPr="00862502">
        <w:t xml:space="preserve"> head-to-head </w:t>
      </w:r>
      <w:r>
        <w:t xml:space="preserve">randomised trials </w:t>
      </w:r>
      <w:r w:rsidR="00862502" w:rsidRPr="00862502">
        <w:t xml:space="preserve">comparing </w:t>
      </w:r>
      <w:r>
        <w:t>nintedanib</w:t>
      </w:r>
      <w:r w:rsidR="00862502" w:rsidRPr="00862502">
        <w:t xml:space="preserve"> to </w:t>
      </w:r>
      <w:r>
        <w:t xml:space="preserve">placebo: </w:t>
      </w:r>
      <w:r w:rsidRPr="00F333D9">
        <w:t>Trial 30 (n=432), Trial 32 (n=515) and Trial 34 (n=551</w:t>
      </w:r>
      <w:r w:rsidRPr="00394948">
        <w:t>)</w:t>
      </w:r>
      <w:r w:rsidR="00862502" w:rsidRPr="00394948">
        <w:t>.</w:t>
      </w:r>
      <w:r w:rsidR="00702F8F" w:rsidRPr="00394948">
        <w:t xml:space="preserve">  </w:t>
      </w:r>
      <w:r w:rsidR="00715522">
        <w:t>A</w:t>
      </w:r>
      <w:r w:rsidR="00394948" w:rsidRPr="00394948">
        <w:t>n indirect comparison of nintedanib and pirfenidone</w:t>
      </w:r>
      <w:r w:rsidR="00F402D4">
        <w:t>,</w:t>
      </w:r>
      <w:r w:rsidR="00394948" w:rsidRPr="00394948">
        <w:t xml:space="preserve"> </w:t>
      </w:r>
      <w:r w:rsidR="00754BFD">
        <w:t xml:space="preserve">the same as that presented in the March 2015 </w:t>
      </w:r>
      <w:r w:rsidR="00F527ED">
        <w:t>submission</w:t>
      </w:r>
      <w:r w:rsidR="00F402D4">
        <w:t>,</w:t>
      </w:r>
      <w:r w:rsidR="00754BFD">
        <w:t xml:space="preserve"> </w:t>
      </w:r>
      <w:r w:rsidR="00394948" w:rsidRPr="00394948">
        <w:t xml:space="preserve">was presented in an attachment to the re-submission. </w:t>
      </w:r>
      <w:r w:rsidR="00F402D4">
        <w:t xml:space="preserve"> </w:t>
      </w:r>
      <w:r>
        <w:t>Additional evidence presented by the re-submission included: (1) further discussion of the handling of missing data in Trial 30; (2) consideration of methods used to derive the minimally clinically important difference (MCID) and a trial based analysis of MCID for FVC%Pred; (3) long term efficacy data from Trial 30 for up to 80 weeks of treatment with nintedanib; (4) the developmen</w:t>
      </w:r>
      <w:r w:rsidR="00F402D4">
        <w:t>t safety uptake report (DSUR).</w:t>
      </w:r>
    </w:p>
    <w:p w:rsidR="005E6569" w:rsidRDefault="005E6569" w:rsidP="005E6569">
      <w:pPr>
        <w:widowControl/>
      </w:pPr>
    </w:p>
    <w:p w:rsidR="00862502" w:rsidRDefault="00862502" w:rsidP="00321D09">
      <w:pPr>
        <w:pStyle w:val="ListParagraph"/>
        <w:widowControl/>
        <w:numPr>
          <w:ilvl w:val="1"/>
          <w:numId w:val="2"/>
        </w:numPr>
        <w:rPr>
          <w:szCs w:val="22"/>
        </w:rPr>
      </w:pPr>
      <w:r w:rsidRPr="00B50DB8">
        <w:rPr>
          <w:szCs w:val="22"/>
        </w:rPr>
        <w:t xml:space="preserve">Details of the trials presented in the </w:t>
      </w:r>
      <w:r w:rsidR="00F333D9">
        <w:rPr>
          <w:szCs w:val="22"/>
        </w:rPr>
        <w:t>re-</w:t>
      </w:r>
      <w:r w:rsidRPr="00B50DB8">
        <w:rPr>
          <w:szCs w:val="22"/>
        </w:rPr>
        <w:t>submission ar</w:t>
      </w:r>
      <w:r w:rsidR="00F402D4">
        <w:rPr>
          <w:szCs w:val="22"/>
        </w:rPr>
        <w:t>e provided in the table below.</w:t>
      </w:r>
    </w:p>
    <w:p w:rsidR="00F402D4" w:rsidRPr="00F402D4" w:rsidRDefault="00F402D4" w:rsidP="00F402D4">
      <w:pPr>
        <w:widowControl/>
        <w:rPr>
          <w:szCs w:val="22"/>
        </w:rPr>
      </w:pPr>
    </w:p>
    <w:p w:rsidR="008F120A" w:rsidRDefault="008F120A" w:rsidP="00972505">
      <w:pPr>
        <w:widowControl/>
        <w:ind w:firstLine="720"/>
        <w:jc w:val="left"/>
        <w:rPr>
          <w:rStyle w:val="CommentReference"/>
        </w:rPr>
      </w:pPr>
      <w:r w:rsidRPr="000812CA">
        <w:rPr>
          <w:rStyle w:val="CommentReference"/>
        </w:rPr>
        <w:t xml:space="preserve">Table </w:t>
      </w:r>
      <w:r w:rsidR="00F333D9">
        <w:rPr>
          <w:rStyle w:val="CommentReference"/>
        </w:rPr>
        <w:t>1</w:t>
      </w:r>
      <w:r w:rsidRPr="000812CA">
        <w:rPr>
          <w:rStyle w:val="CommentReference"/>
        </w:rPr>
        <w:t xml:space="preserve">: Trials and associated reports presented in the </w:t>
      </w:r>
      <w:r w:rsidR="00F333D9">
        <w:rPr>
          <w:rStyle w:val="CommentReference"/>
        </w:rPr>
        <w:t>re-</w:t>
      </w:r>
      <w:r w:rsidRPr="000812CA">
        <w:rPr>
          <w:rStyle w:val="CommentReference"/>
        </w:rPr>
        <w:t>submission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 Trials and associated reports presented in the re-submission"/>
      </w:tblPr>
      <w:tblGrid>
        <w:gridCol w:w="710"/>
        <w:gridCol w:w="5811"/>
        <w:gridCol w:w="1824"/>
      </w:tblGrid>
      <w:tr w:rsidR="00F333D9" w:rsidRPr="004E2ADC" w:rsidTr="0082480A">
        <w:tc>
          <w:tcPr>
            <w:tcW w:w="425" w:type="pct"/>
          </w:tcPr>
          <w:p w:rsidR="00F333D9" w:rsidRPr="004E2ADC" w:rsidRDefault="00F333D9" w:rsidP="00715522">
            <w:pPr>
              <w:jc w:val="left"/>
              <w:rPr>
                <w:rFonts w:ascii="Arial Narrow" w:hAnsi="Arial Narrow"/>
                <w:b/>
                <w:sz w:val="20"/>
              </w:rPr>
            </w:pPr>
            <w:r w:rsidRPr="004E2ADC">
              <w:rPr>
                <w:rFonts w:ascii="Arial Narrow" w:hAnsi="Arial Narrow"/>
                <w:b/>
                <w:sz w:val="20"/>
              </w:rPr>
              <w:t>Trial ID</w:t>
            </w:r>
          </w:p>
        </w:tc>
        <w:tc>
          <w:tcPr>
            <w:tcW w:w="3482" w:type="pct"/>
          </w:tcPr>
          <w:p w:rsidR="00F333D9" w:rsidRPr="004E2ADC" w:rsidRDefault="00F333D9" w:rsidP="00715522">
            <w:pPr>
              <w:jc w:val="center"/>
              <w:rPr>
                <w:rFonts w:ascii="Arial Narrow" w:hAnsi="Arial Narrow"/>
                <w:b/>
                <w:sz w:val="20"/>
              </w:rPr>
            </w:pPr>
            <w:r w:rsidRPr="004E2ADC">
              <w:rPr>
                <w:rFonts w:ascii="Arial Narrow" w:hAnsi="Arial Narrow"/>
                <w:b/>
                <w:sz w:val="20"/>
              </w:rPr>
              <w:t>Protocol title/ Publication title</w:t>
            </w:r>
          </w:p>
        </w:tc>
        <w:tc>
          <w:tcPr>
            <w:tcW w:w="1093" w:type="pct"/>
          </w:tcPr>
          <w:p w:rsidR="00F333D9" w:rsidRPr="004E2ADC" w:rsidRDefault="00F333D9" w:rsidP="00715522">
            <w:pPr>
              <w:jc w:val="center"/>
              <w:rPr>
                <w:rFonts w:ascii="Arial Narrow" w:hAnsi="Arial Narrow"/>
                <w:b/>
                <w:sz w:val="20"/>
              </w:rPr>
            </w:pPr>
            <w:r w:rsidRPr="004E2ADC">
              <w:rPr>
                <w:rFonts w:ascii="Arial Narrow" w:hAnsi="Arial Narrow"/>
                <w:b/>
                <w:sz w:val="20"/>
              </w:rPr>
              <w:t>Publication citation</w:t>
            </w:r>
          </w:p>
        </w:tc>
      </w:tr>
      <w:tr w:rsidR="00F333D9" w:rsidRPr="004E2ADC" w:rsidTr="00F333D9">
        <w:tc>
          <w:tcPr>
            <w:tcW w:w="5000" w:type="pct"/>
            <w:gridSpan w:val="3"/>
          </w:tcPr>
          <w:p w:rsidR="00F333D9" w:rsidRPr="004E2ADC" w:rsidRDefault="00F333D9" w:rsidP="00715522">
            <w:pPr>
              <w:jc w:val="left"/>
              <w:rPr>
                <w:rFonts w:ascii="Arial Narrow" w:hAnsi="Arial Narrow"/>
                <w:b/>
                <w:sz w:val="20"/>
              </w:rPr>
            </w:pPr>
            <w:r>
              <w:rPr>
                <w:rFonts w:ascii="Arial Narrow" w:hAnsi="Arial Narrow"/>
                <w:b/>
                <w:sz w:val="20"/>
              </w:rPr>
              <w:t>Nintedanib trials</w:t>
            </w:r>
          </w:p>
        </w:tc>
      </w:tr>
      <w:tr w:rsidR="00F333D9" w:rsidRPr="004E2ADC" w:rsidTr="0082480A">
        <w:trPr>
          <w:trHeight w:val="167"/>
        </w:trPr>
        <w:tc>
          <w:tcPr>
            <w:tcW w:w="425" w:type="pct"/>
            <w:vMerge w:val="restart"/>
          </w:tcPr>
          <w:p w:rsidR="00F333D9" w:rsidRPr="004E2ADC" w:rsidRDefault="00F333D9" w:rsidP="00715522">
            <w:pPr>
              <w:jc w:val="left"/>
              <w:rPr>
                <w:rFonts w:ascii="Arial Narrow" w:hAnsi="Arial Narrow"/>
                <w:sz w:val="20"/>
              </w:rPr>
            </w:pPr>
            <w:r>
              <w:rPr>
                <w:rFonts w:ascii="Arial Narrow" w:hAnsi="Arial Narrow"/>
                <w:sz w:val="20"/>
              </w:rPr>
              <w:t>Trial 30</w:t>
            </w:r>
          </w:p>
        </w:tc>
        <w:tc>
          <w:tcPr>
            <w:tcW w:w="3482" w:type="pct"/>
            <w:tcBorders>
              <w:bottom w:val="nil"/>
            </w:tcBorders>
          </w:tcPr>
          <w:p w:rsidR="00F333D9" w:rsidRDefault="00F333D9" w:rsidP="00715522">
            <w:pPr>
              <w:jc w:val="left"/>
              <w:rPr>
                <w:rFonts w:ascii="Arial Narrow" w:hAnsi="Arial Narrow"/>
                <w:sz w:val="20"/>
              </w:rPr>
            </w:pPr>
            <w:r>
              <w:rPr>
                <w:rFonts w:ascii="Arial Narrow" w:hAnsi="Arial Narrow"/>
                <w:sz w:val="20"/>
              </w:rPr>
              <w:t xml:space="preserve">A 52 week, double blind, randomized, placebo-controlled trial evaluating the effect of BIBF 1120 administered at oral doses of 50mg qd, 50mg bid, 100mg bid and 150mg bid on Forced Vital Capacity decline during one year, in patients with Idiopathic Pulmonary Fibrosis, with optional active treatment extension until last patient out.  </w:t>
            </w:r>
          </w:p>
          <w:p w:rsidR="00F333D9" w:rsidRPr="00804B4A" w:rsidRDefault="00F333D9" w:rsidP="00715522">
            <w:pPr>
              <w:jc w:val="left"/>
              <w:rPr>
                <w:rFonts w:ascii="Arial Narrow" w:hAnsi="Arial Narrow"/>
                <w:sz w:val="20"/>
              </w:rPr>
            </w:pPr>
          </w:p>
        </w:tc>
        <w:tc>
          <w:tcPr>
            <w:tcW w:w="1093" w:type="pct"/>
            <w:tcBorders>
              <w:bottom w:val="nil"/>
            </w:tcBorders>
          </w:tcPr>
          <w:p w:rsidR="00F333D9" w:rsidRPr="00804B4A" w:rsidRDefault="00F333D9" w:rsidP="00715522">
            <w:pPr>
              <w:jc w:val="left"/>
              <w:rPr>
                <w:rFonts w:ascii="Arial Narrow" w:hAnsi="Arial Narrow"/>
                <w:sz w:val="20"/>
              </w:rPr>
            </w:pPr>
            <w:r>
              <w:rPr>
                <w:rFonts w:ascii="Arial Narrow" w:hAnsi="Arial Narrow"/>
                <w:sz w:val="20"/>
              </w:rPr>
              <w:t>25 February 2011</w:t>
            </w:r>
          </w:p>
        </w:tc>
      </w:tr>
      <w:tr w:rsidR="00F333D9" w:rsidRPr="004E2ADC" w:rsidTr="0082480A">
        <w:trPr>
          <w:trHeight w:val="450"/>
        </w:trPr>
        <w:tc>
          <w:tcPr>
            <w:tcW w:w="425" w:type="pct"/>
            <w:vMerge/>
          </w:tcPr>
          <w:p w:rsidR="00F333D9" w:rsidRDefault="00F333D9" w:rsidP="00715522">
            <w:pPr>
              <w:jc w:val="left"/>
              <w:rPr>
                <w:rFonts w:ascii="Arial Narrow" w:hAnsi="Arial Narrow"/>
                <w:sz w:val="20"/>
              </w:rPr>
            </w:pPr>
          </w:p>
        </w:tc>
        <w:tc>
          <w:tcPr>
            <w:tcW w:w="3482" w:type="pct"/>
            <w:tcBorders>
              <w:top w:val="nil"/>
            </w:tcBorders>
          </w:tcPr>
          <w:p w:rsidR="00F333D9" w:rsidRDefault="00F333D9" w:rsidP="00715522">
            <w:pPr>
              <w:jc w:val="left"/>
              <w:rPr>
                <w:rFonts w:ascii="Arial Narrow" w:hAnsi="Arial Narrow"/>
                <w:sz w:val="20"/>
              </w:rPr>
            </w:pPr>
            <w:r w:rsidRPr="00804B4A">
              <w:rPr>
                <w:rFonts w:ascii="Arial Narrow" w:hAnsi="Arial Narrow"/>
                <w:sz w:val="20"/>
              </w:rPr>
              <w:t>Richeldi L, Costabel U, Selman M, Kim DS, Hansell DM, Nicholson AG, Brown KK, Flaherty KR, Noble PW, Raghu G, Brun M, Gupta A, Juhel N, Klüglich M, du Bois RM.</w:t>
            </w:r>
            <w:r>
              <w:rPr>
                <w:rFonts w:ascii="Arial Narrow" w:hAnsi="Arial Narrow"/>
                <w:sz w:val="20"/>
              </w:rPr>
              <w:t xml:space="preserve">  Efficacy of a tyrosine Kinase Inhibitor in Idiopathic Pulmonary Fibrosis</w:t>
            </w:r>
          </w:p>
        </w:tc>
        <w:tc>
          <w:tcPr>
            <w:tcW w:w="1093" w:type="pct"/>
            <w:tcBorders>
              <w:top w:val="nil"/>
            </w:tcBorders>
          </w:tcPr>
          <w:p w:rsidR="00F333D9" w:rsidRPr="00804B4A" w:rsidRDefault="00F333D9" w:rsidP="00715522">
            <w:pPr>
              <w:jc w:val="left"/>
              <w:rPr>
                <w:rFonts w:ascii="Arial Narrow" w:hAnsi="Arial Narrow"/>
                <w:sz w:val="20"/>
              </w:rPr>
            </w:pPr>
            <w:r>
              <w:rPr>
                <w:rFonts w:ascii="Arial Narrow" w:hAnsi="Arial Narrow"/>
                <w:i/>
                <w:sz w:val="20"/>
              </w:rPr>
              <w:t xml:space="preserve">The New England Journal of Medicine. </w:t>
            </w:r>
            <w:r>
              <w:rPr>
                <w:rFonts w:ascii="Arial Narrow" w:hAnsi="Arial Narrow"/>
                <w:sz w:val="20"/>
              </w:rPr>
              <w:t>2011; 365 (12): 1079-1087</w:t>
            </w:r>
          </w:p>
        </w:tc>
      </w:tr>
      <w:tr w:rsidR="00F333D9" w:rsidRPr="004E2ADC" w:rsidTr="0082480A">
        <w:trPr>
          <w:trHeight w:val="70"/>
        </w:trPr>
        <w:tc>
          <w:tcPr>
            <w:tcW w:w="425" w:type="pct"/>
            <w:vMerge w:val="restart"/>
          </w:tcPr>
          <w:p w:rsidR="00F333D9" w:rsidRPr="004E2ADC" w:rsidRDefault="00F333D9" w:rsidP="00715522">
            <w:pPr>
              <w:jc w:val="left"/>
              <w:rPr>
                <w:rFonts w:ascii="Arial Narrow" w:hAnsi="Arial Narrow"/>
                <w:sz w:val="20"/>
              </w:rPr>
            </w:pPr>
            <w:r>
              <w:rPr>
                <w:rFonts w:ascii="Arial Narrow" w:hAnsi="Arial Narrow"/>
                <w:sz w:val="20"/>
              </w:rPr>
              <w:t>Trial 32</w:t>
            </w:r>
          </w:p>
        </w:tc>
        <w:tc>
          <w:tcPr>
            <w:tcW w:w="3482" w:type="pct"/>
            <w:tcBorders>
              <w:bottom w:val="nil"/>
            </w:tcBorders>
          </w:tcPr>
          <w:p w:rsidR="00F333D9" w:rsidRPr="00481193" w:rsidRDefault="00F333D9" w:rsidP="00715522">
            <w:pPr>
              <w:jc w:val="left"/>
              <w:rPr>
                <w:rFonts w:ascii="Arial Narrow" w:hAnsi="Arial Narrow"/>
                <w:sz w:val="20"/>
              </w:rPr>
            </w:pPr>
            <w:r w:rsidRPr="00481193">
              <w:rPr>
                <w:rFonts w:ascii="Arial Narrow" w:hAnsi="Arial Narrow"/>
                <w:sz w:val="20"/>
              </w:rPr>
              <w:t xml:space="preserve">A 52 </w:t>
            </w:r>
            <w:r>
              <w:rPr>
                <w:rFonts w:ascii="Arial Narrow" w:hAnsi="Arial Narrow"/>
                <w:sz w:val="20"/>
              </w:rPr>
              <w:t>weeks, double blind, randomized, placebo-controlled trial evaluating the effect of oral BIBF 1120, 150mg twice daily, on annual Forced Vital Capacity decline, in patients with Idiopathic Pulmonary Fibrosis (IPF)</w:t>
            </w:r>
          </w:p>
          <w:p w:rsidR="00F333D9" w:rsidRPr="00481193" w:rsidRDefault="00F333D9" w:rsidP="00715522">
            <w:pPr>
              <w:jc w:val="left"/>
              <w:rPr>
                <w:rFonts w:ascii="Arial Narrow" w:hAnsi="Arial Narrow"/>
                <w:sz w:val="20"/>
              </w:rPr>
            </w:pPr>
          </w:p>
        </w:tc>
        <w:tc>
          <w:tcPr>
            <w:tcW w:w="1093" w:type="pct"/>
            <w:tcBorders>
              <w:bottom w:val="nil"/>
            </w:tcBorders>
          </w:tcPr>
          <w:p w:rsidR="00F333D9" w:rsidRPr="00481193" w:rsidRDefault="00F333D9" w:rsidP="00715522">
            <w:pPr>
              <w:jc w:val="left"/>
              <w:rPr>
                <w:rFonts w:ascii="Arial Narrow" w:hAnsi="Arial Narrow"/>
                <w:sz w:val="20"/>
              </w:rPr>
            </w:pPr>
            <w:r>
              <w:rPr>
                <w:rFonts w:ascii="Arial Narrow" w:hAnsi="Arial Narrow"/>
                <w:sz w:val="20"/>
              </w:rPr>
              <w:t xml:space="preserve">08 April </w:t>
            </w:r>
            <w:r w:rsidRPr="00481193">
              <w:rPr>
                <w:rFonts w:ascii="Arial Narrow" w:hAnsi="Arial Narrow"/>
                <w:sz w:val="20"/>
              </w:rPr>
              <w:t>2014</w:t>
            </w:r>
          </w:p>
        </w:tc>
      </w:tr>
      <w:tr w:rsidR="00F333D9" w:rsidRPr="004E2ADC" w:rsidTr="0082480A">
        <w:trPr>
          <w:trHeight w:val="349"/>
        </w:trPr>
        <w:tc>
          <w:tcPr>
            <w:tcW w:w="425" w:type="pct"/>
            <w:vMerge/>
          </w:tcPr>
          <w:p w:rsidR="00F333D9" w:rsidRPr="004E2ADC" w:rsidRDefault="00F333D9" w:rsidP="00715522">
            <w:pPr>
              <w:jc w:val="left"/>
              <w:rPr>
                <w:rFonts w:ascii="Arial Narrow" w:hAnsi="Arial Narrow"/>
                <w:sz w:val="20"/>
              </w:rPr>
            </w:pPr>
          </w:p>
        </w:tc>
        <w:tc>
          <w:tcPr>
            <w:tcW w:w="3482" w:type="pct"/>
            <w:tcBorders>
              <w:top w:val="nil"/>
              <w:bottom w:val="nil"/>
            </w:tcBorders>
          </w:tcPr>
          <w:p w:rsidR="00F333D9" w:rsidRDefault="00F333D9" w:rsidP="00715522">
            <w:pPr>
              <w:jc w:val="left"/>
              <w:rPr>
                <w:rFonts w:ascii="Arial Narrow" w:hAnsi="Arial Narrow"/>
                <w:sz w:val="20"/>
              </w:rPr>
            </w:pPr>
            <w:r w:rsidRPr="00481193">
              <w:rPr>
                <w:rFonts w:ascii="Arial Narrow" w:hAnsi="Arial Narrow"/>
                <w:sz w:val="20"/>
              </w:rPr>
              <w:t>Richeldi L, Cottin V, Flaherty KR, Kolb M, Inoue Y, Raghu G, Taniguchi H, Hansell DM, Nicholson AG, Le Maulf F, Stowasser S, Collard HR.</w:t>
            </w:r>
            <w:r>
              <w:rPr>
                <w:rFonts w:ascii="Arial Narrow" w:hAnsi="Arial Narrow"/>
                <w:sz w:val="20"/>
              </w:rPr>
              <w:t xml:space="preserve">  </w:t>
            </w:r>
            <w:r w:rsidRPr="00A677DC">
              <w:rPr>
                <w:rFonts w:ascii="Arial Narrow" w:hAnsi="Arial Narrow"/>
                <w:sz w:val="20"/>
              </w:rPr>
              <w:t>Design of the INPULSIS™ trials: two phase 3 trials of nintedanib in patients with idiopathic pulmonary fibrosis.</w:t>
            </w:r>
          </w:p>
          <w:p w:rsidR="00F333D9" w:rsidRPr="004E2ADC" w:rsidRDefault="00F333D9" w:rsidP="00715522">
            <w:pPr>
              <w:jc w:val="left"/>
              <w:rPr>
                <w:rFonts w:ascii="Arial Narrow" w:hAnsi="Arial Narrow"/>
                <w:sz w:val="20"/>
              </w:rPr>
            </w:pPr>
          </w:p>
        </w:tc>
        <w:tc>
          <w:tcPr>
            <w:tcW w:w="1093" w:type="pct"/>
            <w:tcBorders>
              <w:top w:val="nil"/>
              <w:bottom w:val="nil"/>
            </w:tcBorders>
          </w:tcPr>
          <w:p w:rsidR="00F333D9" w:rsidRPr="00A677DC" w:rsidRDefault="00F333D9" w:rsidP="00715522">
            <w:pPr>
              <w:jc w:val="left"/>
              <w:rPr>
                <w:rFonts w:ascii="Arial Narrow" w:hAnsi="Arial Narrow"/>
                <w:sz w:val="20"/>
              </w:rPr>
            </w:pPr>
            <w:r>
              <w:rPr>
                <w:rFonts w:ascii="Arial Narrow" w:hAnsi="Arial Narrow"/>
                <w:i/>
                <w:sz w:val="20"/>
              </w:rPr>
              <w:t>Respiratory Medicine</w:t>
            </w:r>
            <w:r>
              <w:rPr>
                <w:rFonts w:ascii="Arial Narrow" w:hAnsi="Arial Narrow"/>
                <w:sz w:val="20"/>
              </w:rPr>
              <w:t>. 2014; 108(7): 1023-1030</w:t>
            </w:r>
          </w:p>
        </w:tc>
      </w:tr>
      <w:tr w:rsidR="00F333D9" w:rsidRPr="004E2ADC" w:rsidTr="0082480A">
        <w:tc>
          <w:tcPr>
            <w:tcW w:w="425" w:type="pct"/>
            <w:vMerge/>
          </w:tcPr>
          <w:p w:rsidR="00F333D9" w:rsidRPr="004E2ADC" w:rsidRDefault="00F333D9" w:rsidP="00715522">
            <w:pPr>
              <w:jc w:val="left"/>
              <w:rPr>
                <w:rFonts w:ascii="Arial Narrow" w:hAnsi="Arial Narrow"/>
                <w:sz w:val="20"/>
              </w:rPr>
            </w:pPr>
          </w:p>
        </w:tc>
        <w:tc>
          <w:tcPr>
            <w:tcW w:w="3482" w:type="pct"/>
            <w:tcBorders>
              <w:top w:val="nil"/>
              <w:bottom w:val="single" w:sz="4" w:space="0" w:color="auto"/>
            </w:tcBorders>
          </w:tcPr>
          <w:p w:rsidR="00F333D9" w:rsidRPr="004E2ADC" w:rsidRDefault="00F333D9" w:rsidP="00715522">
            <w:pPr>
              <w:jc w:val="left"/>
              <w:rPr>
                <w:rFonts w:ascii="Arial Narrow" w:hAnsi="Arial Narrow"/>
                <w:sz w:val="20"/>
              </w:rPr>
            </w:pPr>
            <w:r w:rsidRPr="00A677DC">
              <w:rPr>
                <w:rFonts w:ascii="Arial Narrow" w:hAnsi="Arial Narrow"/>
                <w:sz w:val="20"/>
              </w:rPr>
              <w:t>Richeldi L, du Bois RM, Raghu G, Azuma A, Brown KK, Costabel U, Cottin V, Flaherty KR, Hansell DM, Inoue Y, Kim DS, Kolb M, Nicholson AG, Noble PW, Selman M, Taniguchi H, Brun M, Le Maulf F, Girard M, Stowasser S, Schlenker-Herceg R, Disse B, Collard HR; INPULSIS Trial Investigators.</w:t>
            </w:r>
            <w:r>
              <w:rPr>
                <w:rFonts w:ascii="Arial Narrow" w:hAnsi="Arial Narrow"/>
                <w:sz w:val="20"/>
              </w:rPr>
              <w:t xml:space="preserve">  Efficacy and safety of nintedanib in idiopathic pulmonary fibrosis</w:t>
            </w:r>
          </w:p>
        </w:tc>
        <w:tc>
          <w:tcPr>
            <w:tcW w:w="1093" w:type="pct"/>
            <w:tcBorders>
              <w:top w:val="nil"/>
              <w:bottom w:val="single" w:sz="4" w:space="0" w:color="auto"/>
            </w:tcBorders>
          </w:tcPr>
          <w:p w:rsidR="00F333D9" w:rsidRPr="00A677DC" w:rsidRDefault="00F333D9" w:rsidP="00715522">
            <w:pPr>
              <w:jc w:val="left"/>
              <w:rPr>
                <w:rFonts w:ascii="Arial Narrow" w:hAnsi="Arial Narrow"/>
                <w:sz w:val="20"/>
              </w:rPr>
            </w:pPr>
            <w:r>
              <w:rPr>
                <w:rFonts w:ascii="Arial Narrow" w:hAnsi="Arial Narrow"/>
                <w:i/>
                <w:sz w:val="20"/>
              </w:rPr>
              <w:t xml:space="preserve">The New England Journal of Medicine. </w:t>
            </w:r>
            <w:r>
              <w:rPr>
                <w:rFonts w:ascii="Arial Narrow" w:hAnsi="Arial Narrow"/>
                <w:sz w:val="20"/>
              </w:rPr>
              <w:t>2014; 370(22): 2071-2082</w:t>
            </w:r>
          </w:p>
        </w:tc>
      </w:tr>
      <w:tr w:rsidR="00F333D9" w:rsidRPr="004E2ADC" w:rsidTr="0082480A">
        <w:tc>
          <w:tcPr>
            <w:tcW w:w="425" w:type="pct"/>
            <w:vMerge w:val="restart"/>
          </w:tcPr>
          <w:p w:rsidR="00F333D9" w:rsidRPr="004E2ADC" w:rsidRDefault="00F333D9" w:rsidP="00715522">
            <w:pPr>
              <w:jc w:val="left"/>
              <w:rPr>
                <w:rFonts w:ascii="Arial Narrow" w:hAnsi="Arial Narrow"/>
                <w:sz w:val="20"/>
              </w:rPr>
            </w:pPr>
            <w:r>
              <w:rPr>
                <w:rFonts w:ascii="Arial Narrow" w:hAnsi="Arial Narrow"/>
                <w:sz w:val="20"/>
              </w:rPr>
              <w:t>Trial 34</w:t>
            </w:r>
          </w:p>
        </w:tc>
        <w:tc>
          <w:tcPr>
            <w:tcW w:w="3482" w:type="pct"/>
            <w:tcBorders>
              <w:bottom w:val="nil"/>
            </w:tcBorders>
          </w:tcPr>
          <w:p w:rsidR="00F333D9" w:rsidRDefault="00F333D9" w:rsidP="00715522">
            <w:pPr>
              <w:jc w:val="left"/>
              <w:rPr>
                <w:rFonts w:ascii="Arial Narrow" w:hAnsi="Arial Narrow"/>
                <w:sz w:val="20"/>
              </w:rPr>
            </w:pPr>
            <w:r>
              <w:rPr>
                <w:rFonts w:ascii="Arial Narrow" w:hAnsi="Arial Narrow"/>
                <w:sz w:val="20"/>
              </w:rPr>
              <w:t>A 52 weeks, double blind, randomized, placebo-controlled trial evaluating the effect of oral BIBF 1120, 150mg twice daily, on annual Forced Vital Capacity decline, in patients with Idiopathic Pulmonary Fibrosis (IPF)</w:t>
            </w:r>
          </w:p>
          <w:p w:rsidR="00F333D9" w:rsidRPr="004E2ADC" w:rsidRDefault="00F333D9" w:rsidP="00715522">
            <w:pPr>
              <w:jc w:val="left"/>
              <w:rPr>
                <w:rFonts w:ascii="Arial Narrow" w:hAnsi="Arial Narrow"/>
                <w:sz w:val="20"/>
              </w:rPr>
            </w:pPr>
          </w:p>
        </w:tc>
        <w:tc>
          <w:tcPr>
            <w:tcW w:w="1093" w:type="pct"/>
            <w:tcBorders>
              <w:bottom w:val="nil"/>
            </w:tcBorders>
          </w:tcPr>
          <w:p w:rsidR="00F333D9" w:rsidRPr="004E2ADC" w:rsidRDefault="00F333D9" w:rsidP="00715522">
            <w:pPr>
              <w:jc w:val="left"/>
              <w:rPr>
                <w:rFonts w:ascii="Arial Narrow" w:hAnsi="Arial Narrow"/>
                <w:sz w:val="20"/>
              </w:rPr>
            </w:pPr>
            <w:r>
              <w:rPr>
                <w:rFonts w:ascii="Arial Narrow" w:hAnsi="Arial Narrow"/>
                <w:sz w:val="20"/>
              </w:rPr>
              <w:t>08 April 2014</w:t>
            </w:r>
          </w:p>
        </w:tc>
      </w:tr>
      <w:tr w:rsidR="00F333D9" w:rsidRPr="004E2ADC" w:rsidTr="0082480A">
        <w:tc>
          <w:tcPr>
            <w:tcW w:w="425" w:type="pct"/>
            <w:vMerge/>
          </w:tcPr>
          <w:p w:rsidR="00F333D9" w:rsidRPr="004E2ADC" w:rsidRDefault="00F333D9" w:rsidP="00715522">
            <w:pPr>
              <w:jc w:val="left"/>
              <w:rPr>
                <w:rFonts w:ascii="Arial Narrow" w:hAnsi="Arial Narrow"/>
                <w:sz w:val="20"/>
              </w:rPr>
            </w:pPr>
          </w:p>
        </w:tc>
        <w:tc>
          <w:tcPr>
            <w:tcW w:w="3482" w:type="pct"/>
            <w:tcBorders>
              <w:top w:val="nil"/>
              <w:bottom w:val="nil"/>
            </w:tcBorders>
          </w:tcPr>
          <w:p w:rsidR="00F333D9" w:rsidRDefault="00F333D9" w:rsidP="00715522">
            <w:pPr>
              <w:jc w:val="left"/>
              <w:rPr>
                <w:rFonts w:ascii="Arial Narrow" w:hAnsi="Arial Narrow"/>
                <w:sz w:val="20"/>
              </w:rPr>
            </w:pPr>
            <w:r w:rsidRPr="00481193">
              <w:rPr>
                <w:rFonts w:ascii="Arial Narrow" w:hAnsi="Arial Narrow"/>
                <w:sz w:val="20"/>
              </w:rPr>
              <w:t>Richeldi L, Cottin V, Flaherty KR, Kolb M, Inoue Y, Raghu G, Taniguchi H, Hansell DM, Nicholson AG, Le Maulf F, Stowasser S, Collard HR.</w:t>
            </w:r>
            <w:r>
              <w:rPr>
                <w:rFonts w:ascii="Arial Narrow" w:hAnsi="Arial Narrow"/>
                <w:sz w:val="20"/>
              </w:rPr>
              <w:t xml:space="preserve">  </w:t>
            </w:r>
            <w:r w:rsidRPr="00A677DC">
              <w:rPr>
                <w:rFonts w:ascii="Arial Narrow" w:hAnsi="Arial Narrow"/>
                <w:sz w:val="20"/>
              </w:rPr>
              <w:t>Design of the INPULSIS™ trials: two phase 3 trials of nintedanib in patients with idiopathic pulmonary fibrosis.</w:t>
            </w:r>
          </w:p>
          <w:p w:rsidR="00F333D9" w:rsidRPr="004E2ADC" w:rsidRDefault="00F333D9" w:rsidP="00715522">
            <w:pPr>
              <w:jc w:val="left"/>
              <w:rPr>
                <w:rFonts w:ascii="Arial Narrow" w:hAnsi="Arial Narrow"/>
                <w:sz w:val="20"/>
              </w:rPr>
            </w:pPr>
          </w:p>
        </w:tc>
        <w:tc>
          <w:tcPr>
            <w:tcW w:w="1093" w:type="pct"/>
            <w:tcBorders>
              <w:top w:val="nil"/>
              <w:bottom w:val="nil"/>
            </w:tcBorders>
          </w:tcPr>
          <w:p w:rsidR="00F333D9" w:rsidRPr="00A677DC" w:rsidRDefault="00F333D9" w:rsidP="00715522">
            <w:pPr>
              <w:jc w:val="left"/>
              <w:rPr>
                <w:rFonts w:ascii="Arial Narrow" w:hAnsi="Arial Narrow"/>
                <w:sz w:val="20"/>
              </w:rPr>
            </w:pPr>
            <w:r>
              <w:rPr>
                <w:rFonts w:ascii="Arial Narrow" w:hAnsi="Arial Narrow"/>
                <w:i/>
                <w:sz w:val="20"/>
              </w:rPr>
              <w:t>Respiratory Medicine</w:t>
            </w:r>
            <w:r>
              <w:rPr>
                <w:rFonts w:ascii="Arial Narrow" w:hAnsi="Arial Narrow"/>
                <w:sz w:val="20"/>
              </w:rPr>
              <w:t>. 2014; 108(7): 1023-1030</w:t>
            </w:r>
          </w:p>
        </w:tc>
      </w:tr>
      <w:tr w:rsidR="00F333D9" w:rsidRPr="004E2ADC" w:rsidTr="0082480A">
        <w:tc>
          <w:tcPr>
            <w:tcW w:w="425" w:type="pct"/>
            <w:vMerge/>
          </w:tcPr>
          <w:p w:rsidR="00F333D9" w:rsidRPr="004E2ADC" w:rsidRDefault="00F333D9" w:rsidP="00715522">
            <w:pPr>
              <w:jc w:val="left"/>
              <w:rPr>
                <w:rFonts w:ascii="Arial Narrow" w:hAnsi="Arial Narrow"/>
                <w:sz w:val="20"/>
              </w:rPr>
            </w:pPr>
          </w:p>
        </w:tc>
        <w:tc>
          <w:tcPr>
            <w:tcW w:w="3482" w:type="pct"/>
            <w:tcBorders>
              <w:top w:val="nil"/>
            </w:tcBorders>
          </w:tcPr>
          <w:p w:rsidR="00F333D9" w:rsidRPr="004E2ADC" w:rsidRDefault="00F333D9" w:rsidP="00715522">
            <w:pPr>
              <w:jc w:val="left"/>
              <w:rPr>
                <w:rFonts w:ascii="Arial Narrow" w:hAnsi="Arial Narrow"/>
                <w:sz w:val="20"/>
              </w:rPr>
            </w:pPr>
            <w:r w:rsidRPr="00A677DC">
              <w:rPr>
                <w:rFonts w:ascii="Arial Narrow" w:hAnsi="Arial Narrow"/>
                <w:sz w:val="20"/>
              </w:rPr>
              <w:t>Richeldi L, du Bois RM, Raghu G, Azuma A, Brown KK, Costabel U, Cottin V, Flaherty KR, Hansell DM, Inoue Y, Kim DS, Kolb M, Nicholson AG, Noble PW, Selman M, Taniguchi H, Brun M, Le Maulf F, Girard M, Stowasser S, Schlenker-Herceg R, Disse B, Collard HR; INPULSIS Trial Investigators.</w:t>
            </w:r>
            <w:r>
              <w:rPr>
                <w:rFonts w:ascii="Arial Narrow" w:hAnsi="Arial Narrow"/>
                <w:sz w:val="20"/>
              </w:rPr>
              <w:t xml:space="preserve">  Efficacy and safety of nintedanib in idiopathic pulmonary fibrosis</w:t>
            </w:r>
          </w:p>
        </w:tc>
        <w:tc>
          <w:tcPr>
            <w:tcW w:w="1093" w:type="pct"/>
            <w:tcBorders>
              <w:top w:val="nil"/>
            </w:tcBorders>
          </w:tcPr>
          <w:p w:rsidR="00F333D9" w:rsidRPr="00A677DC" w:rsidRDefault="00F333D9" w:rsidP="00715522">
            <w:pPr>
              <w:jc w:val="left"/>
              <w:rPr>
                <w:rFonts w:ascii="Arial Narrow" w:hAnsi="Arial Narrow"/>
                <w:sz w:val="20"/>
              </w:rPr>
            </w:pPr>
            <w:r>
              <w:rPr>
                <w:rFonts w:ascii="Arial Narrow" w:hAnsi="Arial Narrow"/>
                <w:i/>
                <w:sz w:val="20"/>
              </w:rPr>
              <w:t xml:space="preserve">The New England Journal of Medicine. </w:t>
            </w:r>
            <w:r>
              <w:rPr>
                <w:rFonts w:ascii="Arial Narrow" w:hAnsi="Arial Narrow"/>
                <w:sz w:val="20"/>
              </w:rPr>
              <w:t>2014; 370(22): 2071-2082</w:t>
            </w:r>
          </w:p>
        </w:tc>
      </w:tr>
    </w:tbl>
    <w:p w:rsidR="00972505" w:rsidRDefault="00F333D9" w:rsidP="00F333D9">
      <w:pPr>
        <w:pStyle w:val="TableFooter"/>
        <w:ind w:firstLine="720"/>
      </w:pPr>
      <w:r w:rsidRPr="00D13A3E">
        <w:t xml:space="preserve">Source: </w:t>
      </w:r>
      <w:r>
        <w:t>Table B.2-2, p31-32 of the re-submission</w:t>
      </w:r>
    </w:p>
    <w:p w:rsidR="00972505" w:rsidRDefault="00972505" w:rsidP="00881B2D">
      <w:pPr>
        <w:widowControl/>
        <w:jc w:val="left"/>
      </w:pPr>
    </w:p>
    <w:p w:rsidR="00F146E1" w:rsidRDefault="008F120A" w:rsidP="00321D09">
      <w:pPr>
        <w:pStyle w:val="ListParagraph"/>
        <w:widowControl/>
        <w:numPr>
          <w:ilvl w:val="1"/>
          <w:numId w:val="2"/>
        </w:numPr>
        <w:rPr>
          <w:szCs w:val="22"/>
        </w:rPr>
      </w:pPr>
      <w:r w:rsidRPr="00F333D9">
        <w:rPr>
          <w:szCs w:val="22"/>
        </w:rPr>
        <w:t>The key features of the direct randomised trials are summarised in the table below.</w:t>
      </w:r>
    </w:p>
    <w:p w:rsidR="007F1017" w:rsidRDefault="008F120A" w:rsidP="00F146E1">
      <w:pPr>
        <w:pStyle w:val="ListParagraph"/>
        <w:widowControl/>
        <w:rPr>
          <w:szCs w:val="22"/>
        </w:rPr>
      </w:pPr>
      <w:r w:rsidRPr="00F333D9">
        <w:rPr>
          <w:szCs w:val="22"/>
        </w:rPr>
        <w:t xml:space="preserve">  </w:t>
      </w:r>
    </w:p>
    <w:p w:rsidR="00F333D9" w:rsidRDefault="00392A22" w:rsidP="00392A22">
      <w:pPr>
        <w:keepNext/>
        <w:ind w:firstLine="720"/>
        <w:rPr>
          <w:rStyle w:val="CommentReference"/>
        </w:rPr>
      </w:pPr>
      <w:r>
        <w:rPr>
          <w:rStyle w:val="CommentReference"/>
        </w:rPr>
        <w:t xml:space="preserve">Table </w:t>
      </w:r>
      <w:r w:rsidR="00CB498B">
        <w:rPr>
          <w:rStyle w:val="CommentReference"/>
        </w:rPr>
        <w:t>2</w:t>
      </w:r>
      <w:r w:rsidR="00F333D9">
        <w:rPr>
          <w:rStyle w:val="CommentReference"/>
        </w:rPr>
        <w:t>: Key features of the included evidence</w:t>
      </w:r>
    </w:p>
    <w:tbl>
      <w:tblPr>
        <w:tblW w:w="4600"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2: Key features of the included evidence"/>
      </w:tblPr>
      <w:tblGrid>
        <w:gridCol w:w="711"/>
        <w:gridCol w:w="428"/>
        <w:gridCol w:w="1695"/>
        <w:gridCol w:w="707"/>
        <w:gridCol w:w="991"/>
        <w:gridCol w:w="1275"/>
        <w:gridCol w:w="2549"/>
      </w:tblGrid>
      <w:tr w:rsidR="00F333D9" w:rsidTr="00F333D9">
        <w:trPr>
          <w:tblHeader/>
        </w:trPr>
        <w:tc>
          <w:tcPr>
            <w:tcW w:w="426" w:type="pct"/>
            <w:tcBorders>
              <w:top w:val="single" w:sz="4" w:space="0" w:color="auto"/>
              <w:left w:val="single" w:sz="4" w:space="0" w:color="auto"/>
              <w:bottom w:val="single" w:sz="4" w:space="0" w:color="auto"/>
              <w:right w:val="single" w:sz="4" w:space="0" w:color="auto"/>
            </w:tcBorders>
            <w:vAlign w:val="center"/>
            <w:hideMark/>
          </w:tcPr>
          <w:p w:rsidR="00F333D9" w:rsidRDefault="00F333D9">
            <w:pPr>
              <w:keepNext/>
              <w:jc w:val="left"/>
              <w:rPr>
                <w:lang w:val="en-US"/>
              </w:rPr>
            </w:pPr>
            <w:r>
              <w:rPr>
                <w:rFonts w:ascii="Arial Narrow" w:hAnsi="Arial Narrow"/>
                <w:b/>
                <w:sz w:val="20"/>
                <w:lang w:val="en-US"/>
              </w:rPr>
              <w:t>Trial</w:t>
            </w:r>
          </w:p>
        </w:tc>
        <w:tc>
          <w:tcPr>
            <w:tcW w:w="256" w:type="pct"/>
            <w:tcBorders>
              <w:top w:val="single" w:sz="4" w:space="0" w:color="auto"/>
              <w:left w:val="single" w:sz="4" w:space="0" w:color="auto"/>
              <w:bottom w:val="single" w:sz="4" w:space="0" w:color="auto"/>
              <w:right w:val="single" w:sz="4" w:space="0" w:color="auto"/>
            </w:tcBorders>
            <w:vAlign w:val="center"/>
            <w:hideMark/>
          </w:tcPr>
          <w:p w:rsidR="00F333D9" w:rsidRDefault="00F333D9">
            <w:pPr>
              <w:keepNext/>
              <w:jc w:val="center"/>
              <w:rPr>
                <w:rFonts w:ascii="Arial Narrow" w:hAnsi="Arial Narrow"/>
                <w:b/>
                <w:sz w:val="20"/>
                <w:lang w:val="en-US"/>
              </w:rPr>
            </w:pPr>
            <w:r>
              <w:rPr>
                <w:rFonts w:ascii="Arial Narrow" w:hAnsi="Arial Narrow"/>
                <w:b/>
                <w:sz w:val="20"/>
                <w:lang w:val="en-US"/>
              </w:rPr>
              <w:t>N</w:t>
            </w:r>
          </w:p>
        </w:tc>
        <w:tc>
          <w:tcPr>
            <w:tcW w:w="1014" w:type="pct"/>
            <w:tcBorders>
              <w:top w:val="single" w:sz="4" w:space="0" w:color="auto"/>
              <w:left w:val="single" w:sz="4" w:space="0" w:color="auto"/>
              <w:bottom w:val="single" w:sz="4" w:space="0" w:color="auto"/>
              <w:right w:val="single" w:sz="4" w:space="0" w:color="auto"/>
            </w:tcBorders>
            <w:vAlign w:val="center"/>
            <w:hideMark/>
          </w:tcPr>
          <w:p w:rsidR="00F333D9" w:rsidRDefault="00F333D9">
            <w:pPr>
              <w:keepNext/>
              <w:jc w:val="center"/>
              <w:rPr>
                <w:rFonts w:ascii="Arial Narrow" w:hAnsi="Arial Narrow"/>
                <w:b/>
                <w:sz w:val="20"/>
                <w:lang w:val="en-US"/>
              </w:rPr>
            </w:pPr>
            <w:r>
              <w:rPr>
                <w:rFonts w:ascii="Arial Narrow" w:hAnsi="Arial Narrow"/>
                <w:b/>
                <w:sz w:val="20"/>
                <w:lang w:val="en-US"/>
              </w:rPr>
              <w:t>Design/ duration</w:t>
            </w:r>
          </w:p>
        </w:tc>
        <w:tc>
          <w:tcPr>
            <w:tcW w:w="423" w:type="pct"/>
            <w:tcBorders>
              <w:top w:val="single" w:sz="4" w:space="0" w:color="auto"/>
              <w:left w:val="single" w:sz="4" w:space="0" w:color="auto"/>
              <w:bottom w:val="single" w:sz="4" w:space="0" w:color="auto"/>
              <w:right w:val="single" w:sz="4" w:space="0" w:color="auto"/>
            </w:tcBorders>
            <w:vAlign w:val="center"/>
            <w:hideMark/>
          </w:tcPr>
          <w:p w:rsidR="00F333D9" w:rsidRDefault="00F333D9">
            <w:pPr>
              <w:keepNext/>
              <w:jc w:val="center"/>
              <w:rPr>
                <w:rFonts w:ascii="Arial Narrow" w:hAnsi="Arial Narrow"/>
                <w:b/>
                <w:sz w:val="20"/>
                <w:lang w:val="en-US"/>
              </w:rPr>
            </w:pPr>
            <w:r>
              <w:rPr>
                <w:rFonts w:ascii="Arial Narrow" w:hAnsi="Arial Narrow"/>
                <w:b/>
                <w:sz w:val="20"/>
                <w:lang w:val="en-US"/>
              </w:rPr>
              <w:t>Risk of bias</w:t>
            </w:r>
          </w:p>
        </w:tc>
        <w:tc>
          <w:tcPr>
            <w:tcW w:w="593" w:type="pct"/>
            <w:tcBorders>
              <w:top w:val="single" w:sz="4" w:space="0" w:color="auto"/>
              <w:left w:val="single" w:sz="4" w:space="0" w:color="auto"/>
              <w:bottom w:val="single" w:sz="4" w:space="0" w:color="auto"/>
              <w:right w:val="single" w:sz="4" w:space="0" w:color="auto"/>
            </w:tcBorders>
            <w:vAlign w:val="center"/>
            <w:hideMark/>
          </w:tcPr>
          <w:p w:rsidR="00F333D9" w:rsidRDefault="00F333D9">
            <w:pPr>
              <w:keepNext/>
              <w:jc w:val="center"/>
              <w:rPr>
                <w:rFonts w:ascii="Arial Narrow" w:hAnsi="Arial Narrow"/>
                <w:b/>
                <w:sz w:val="20"/>
                <w:lang w:val="en-US"/>
              </w:rPr>
            </w:pPr>
            <w:r>
              <w:rPr>
                <w:rFonts w:ascii="Arial Narrow" w:hAnsi="Arial Narrow"/>
                <w:b/>
                <w:sz w:val="20"/>
                <w:lang w:val="en-US"/>
              </w:rPr>
              <w:t>Patient population</w:t>
            </w:r>
          </w:p>
        </w:tc>
        <w:tc>
          <w:tcPr>
            <w:tcW w:w="763" w:type="pct"/>
            <w:tcBorders>
              <w:top w:val="single" w:sz="4" w:space="0" w:color="auto"/>
              <w:left w:val="single" w:sz="4" w:space="0" w:color="auto"/>
              <w:bottom w:val="single" w:sz="4" w:space="0" w:color="auto"/>
              <w:right w:val="single" w:sz="4" w:space="0" w:color="auto"/>
            </w:tcBorders>
            <w:vAlign w:val="center"/>
            <w:hideMark/>
          </w:tcPr>
          <w:p w:rsidR="00F333D9" w:rsidRDefault="00F333D9">
            <w:pPr>
              <w:keepNext/>
              <w:jc w:val="center"/>
              <w:rPr>
                <w:rFonts w:ascii="Arial Narrow" w:hAnsi="Arial Narrow"/>
                <w:b/>
                <w:sz w:val="20"/>
                <w:lang w:val="en-US"/>
              </w:rPr>
            </w:pPr>
            <w:r>
              <w:rPr>
                <w:rFonts w:ascii="Arial Narrow" w:hAnsi="Arial Narrow"/>
                <w:b/>
                <w:sz w:val="20"/>
                <w:lang w:val="en-US"/>
              </w:rPr>
              <w:t>Outcomes</w:t>
            </w:r>
          </w:p>
        </w:tc>
        <w:tc>
          <w:tcPr>
            <w:tcW w:w="1525" w:type="pct"/>
            <w:tcBorders>
              <w:top w:val="single" w:sz="4" w:space="0" w:color="auto"/>
              <w:left w:val="single" w:sz="4" w:space="0" w:color="auto"/>
              <w:bottom w:val="single" w:sz="4" w:space="0" w:color="auto"/>
              <w:right w:val="single" w:sz="4" w:space="0" w:color="auto"/>
            </w:tcBorders>
            <w:vAlign w:val="center"/>
            <w:hideMark/>
          </w:tcPr>
          <w:p w:rsidR="00F333D9" w:rsidRDefault="00F333D9">
            <w:pPr>
              <w:keepNext/>
              <w:jc w:val="center"/>
              <w:rPr>
                <w:rFonts w:ascii="Arial Narrow" w:hAnsi="Arial Narrow"/>
                <w:b/>
                <w:sz w:val="20"/>
                <w:lang w:val="en-US"/>
              </w:rPr>
            </w:pPr>
            <w:r>
              <w:rPr>
                <w:rFonts w:ascii="Arial Narrow" w:hAnsi="Arial Narrow"/>
                <w:b/>
                <w:sz w:val="20"/>
                <w:lang w:val="en-US"/>
              </w:rPr>
              <w:t>Use in modelled evaluation</w:t>
            </w:r>
          </w:p>
        </w:tc>
      </w:tr>
      <w:tr w:rsidR="00F333D9" w:rsidTr="00F333D9">
        <w:tc>
          <w:tcPr>
            <w:tcW w:w="426" w:type="pct"/>
            <w:tcBorders>
              <w:top w:val="single" w:sz="4" w:space="0" w:color="auto"/>
              <w:left w:val="single" w:sz="4" w:space="0" w:color="auto"/>
              <w:bottom w:val="single" w:sz="4" w:space="0" w:color="auto"/>
              <w:right w:val="single" w:sz="4" w:space="0" w:color="auto"/>
            </w:tcBorders>
            <w:vAlign w:val="center"/>
            <w:hideMark/>
          </w:tcPr>
          <w:p w:rsidR="00F333D9" w:rsidRDefault="00F333D9">
            <w:pPr>
              <w:keepNext/>
              <w:jc w:val="left"/>
              <w:rPr>
                <w:rFonts w:ascii="Arial Narrow" w:hAnsi="Arial Narrow"/>
                <w:sz w:val="20"/>
                <w:lang w:val="en-US"/>
              </w:rPr>
            </w:pPr>
            <w:r>
              <w:rPr>
                <w:rFonts w:ascii="Arial Narrow" w:hAnsi="Arial Narrow"/>
                <w:sz w:val="20"/>
                <w:lang w:val="en-US"/>
              </w:rPr>
              <w:t>Trial 30</w:t>
            </w:r>
          </w:p>
        </w:tc>
        <w:tc>
          <w:tcPr>
            <w:tcW w:w="256" w:type="pct"/>
            <w:tcBorders>
              <w:top w:val="single" w:sz="4" w:space="0" w:color="auto"/>
              <w:left w:val="single" w:sz="4" w:space="0" w:color="auto"/>
              <w:bottom w:val="single" w:sz="4" w:space="0" w:color="auto"/>
              <w:right w:val="single" w:sz="4" w:space="0" w:color="auto"/>
            </w:tcBorders>
            <w:vAlign w:val="center"/>
            <w:hideMark/>
          </w:tcPr>
          <w:p w:rsidR="00F333D9" w:rsidRDefault="00F333D9">
            <w:pPr>
              <w:keepNext/>
              <w:jc w:val="center"/>
              <w:rPr>
                <w:rFonts w:ascii="Arial Narrow" w:hAnsi="Arial Narrow"/>
                <w:sz w:val="20"/>
                <w:lang w:val="en-US"/>
              </w:rPr>
            </w:pPr>
            <w:r>
              <w:rPr>
                <w:rFonts w:ascii="Arial Narrow" w:hAnsi="Arial Narrow"/>
                <w:sz w:val="20"/>
                <w:lang w:val="en-US"/>
              </w:rPr>
              <w:t>432</w:t>
            </w:r>
          </w:p>
        </w:tc>
        <w:tc>
          <w:tcPr>
            <w:tcW w:w="1014" w:type="pct"/>
            <w:tcBorders>
              <w:top w:val="single" w:sz="4" w:space="0" w:color="auto"/>
              <w:left w:val="single" w:sz="4" w:space="0" w:color="auto"/>
              <w:bottom w:val="single" w:sz="4" w:space="0" w:color="auto"/>
              <w:right w:val="single" w:sz="4" w:space="0" w:color="auto"/>
            </w:tcBorders>
            <w:vAlign w:val="center"/>
            <w:hideMark/>
          </w:tcPr>
          <w:p w:rsidR="00F333D9" w:rsidRDefault="00F333D9">
            <w:pPr>
              <w:keepNext/>
              <w:jc w:val="center"/>
              <w:rPr>
                <w:rFonts w:ascii="Arial Narrow" w:hAnsi="Arial Narrow"/>
                <w:sz w:val="20"/>
                <w:lang w:val="en-US"/>
              </w:rPr>
            </w:pPr>
            <w:r>
              <w:rPr>
                <w:rFonts w:ascii="Arial Narrow" w:hAnsi="Arial Narrow"/>
                <w:sz w:val="20"/>
                <w:lang w:val="en-US"/>
              </w:rPr>
              <w:t>R, DB, MC, MN, phase 2 dose finding trial; 52 weeks</w:t>
            </w:r>
          </w:p>
        </w:tc>
        <w:tc>
          <w:tcPr>
            <w:tcW w:w="423" w:type="pct"/>
            <w:tcBorders>
              <w:top w:val="single" w:sz="4" w:space="0" w:color="auto"/>
              <w:left w:val="single" w:sz="4" w:space="0" w:color="auto"/>
              <w:bottom w:val="single" w:sz="4" w:space="0" w:color="auto"/>
              <w:right w:val="single" w:sz="4" w:space="0" w:color="auto"/>
            </w:tcBorders>
            <w:vAlign w:val="center"/>
            <w:hideMark/>
          </w:tcPr>
          <w:p w:rsidR="00F333D9" w:rsidRPr="00DD5D0A" w:rsidRDefault="00F333D9">
            <w:pPr>
              <w:keepNext/>
              <w:jc w:val="center"/>
              <w:rPr>
                <w:rFonts w:ascii="Arial Narrow" w:hAnsi="Arial Narrow"/>
                <w:sz w:val="20"/>
                <w:lang w:val="en-US"/>
              </w:rPr>
            </w:pPr>
            <w:r w:rsidRPr="00DD5D0A">
              <w:rPr>
                <w:rFonts w:ascii="Arial Narrow" w:hAnsi="Arial Narrow"/>
                <w:sz w:val="20"/>
                <w:lang w:val="en-US"/>
              </w:rPr>
              <w:t>High^</w:t>
            </w:r>
          </w:p>
        </w:tc>
        <w:tc>
          <w:tcPr>
            <w:tcW w:w="593" w:type="pct"/>
            <w:tcBorders>
              <w:top w:val="single" w:sz="4" w:space="0" w:color="auto"/>
              <w:left w:val="single" w:sz="4" w:space="0" w:color="auto"/>
              <w:bottom w:val="single" w:sz="4" w:space="0" w:color="auto"/>
              <w:right w:val="single" w:sz="4" w:space="0" w:color="auto"/>
            </w:tcBorders>
            <w:vAlign w:val="center"/>
            <w:hideMark/>
          </w:tcPr>
          <w:p w:rsidR="00F333D9" w:rsidRPr="00DD5D0A" w:rsidRDefault="00F333D9">
            <w:pPr>
              <w:keepNext/>
              <w:jc w:val="center"/>
              <w:rPr>
                <w:rFonts w:ascii="Arial Narrow" w:hAnsi="Arial Narrow"/>
                <w:sz w:val="20"/>
                <w:lang w:val="en-US"/>
              </w:rPr>
            </w:pPr>
            <w:r w:rsidRPr="00DD5D0A">
              <w:rPr>
                <w:rFonts w:ascii="Arial Narrow" w:hAnsi="Arial Narrow"/>
                <w:sz w:val="20"/>
                <w:lang w:val="en-US"/>
              </w:rPr>
              <w:t>IPF</w:t>
            </w:r>
          </w:p>
        </w:tc>
        <w:tc>
          <w:tcPr>
            <w:tcW w:w="763" w:type="pct"/>
            <w:vMerge w:val="restart"/>
            <w:tcBorders>
              <w:top w:val="single" w:sz="4" w:space="0" w:color="auto"/>
              <w:left w:val="single" w:sz="4" w:space="0" w:color="auto"/>
              <w:bottom w:val="single" w:sz="4" w:space="0" w:color="auto"/>
              <w:right w:val="single" w:sz="4" w:space="0" w:color="auto"/>
            </w:tcBorders>
            <w:vAlign w:val="center"/>
            <w:hideMark/>
          </w:tcPr>
          <w:p w:rsidR="00F333D9" w:rsidRDefault="00F333D9">
            <w:pPr>
              <w:keepNext/>
              <w:jc w:val="center"/>
              <w:rPr>
                <w:rFonts w:ascii="Arial Narrow" w:hAnsi="Arial Narrow"/>
                <w:sz w:val="20"/>
                <w:lang w:val="en-US"/>
              </w:rPr>
            </w:pPr>
            <w:r>
              <w:rPr>
                <w:rFonts w:ascii="Arial Narrow" w:hAnsi="Arial Narrow"/>
                <w:sz w:val="20"/>
                <w:lang w:val="en-US"/>
              </w:rPr>
              <w:t xml:space="preserve">FVC: annual rate of decline, absolute change from baseline; FVC responder; Acute IPF exacerbation; Survival; SGRQ </w:t>
            </w:r>
          </w:p>
        </w:tc>
        <w:tc>
          <w:tcPr>
            <w:tcW w:w="1525" w:type="pct"/>
            <w:tcBorders>
              <w:top w:val="single" w:sz="4" w:space="0" w:color="auto"/>
              <w:left w:val="single" w:sz="4" w:space="0" w:color="auto"/>
              <w:bottom w:val="single" w:sz="4" w:space="0" w:color="auto"/>
              <w:right w:val="single" w:sz="4" w:space="0" w:color="auto"/>
            </w:tcBorders>
            <w:vAlign w:val="center"/>
            <w:hideMark/>
          </w:tcPr>
          <w:p w:rsidR="00F333D9" w:rsidRDefault="00F333D9">
            <w:pPr>
              <w:keepNext/>
              <w:jc w:val="center"/>
              <w:rPr>
                <w:rFonts w:ascii="Arial Narrow" w:hAnsi="Arial Narrow"/>
                <w:sz w:val="20"/>
                <w:lang w:val="en-US"/>
              </w:rPr>
            </w:pPr>
            <w:r>
              <w:rPr>
                <w:rFonts w:ascii="Arial Narrow" w:hAnsi="Arial Narrow"/>
                <w:sz w:val="20"/>
              </w:rPr>
              <w:t>Kaplan Meier survival analysis: parametric extrapolation</w:t>
            </w:r>
          </w:p>
        </w:tc>
      </w:tr>
      <w:tr w:rsidR="00F333D9" w:rsidTr="00F333D9">
        <w:trPr>
          <w:trHeight w:val="562"/>
        </w:trPr>
        <w:tc>
          <w:tcPr>
            <w:tcW w:w="426" w:type="pct"/>
            <w:tcBorders>
              <w:top w:val="single" w:sz="4" w:space="0" w:color="auto"/>
              <w:left w:val="single" w:sz="4" w:space="0" w:color="auto"/>
              <w:bottom w:val="single" w:sz="4" w:space="0" w:color="auto"/>
              <w:right w:val="single" w:sz="4" w:space="0" w:color="auto"/>
            </w:tcBorders>
            <w:vAlign w:val="center"/>
            <w:hideMark/>
          </w:tcPr>
          <w:p w:rsidR="00F333D9" w:rsidRDefault="00F333D9">
            <w:pPr>
              <w:keepNext/>
              <w:jc w:val="left"/>
              <w:rPr>
                <w:rFonts w:ascii="Arial Narrow" w:hAnsi="Arial Narrow"/>
                <w:sz w:val="20"/>
                <w:lang w:val="en-US"/>
              </w:rPr>
            </w:pPr>
            <w:r>
              <w:rPr>
                <w:rFonts w:ascii="Arial Narrow" w:hAnsi="Arial Narrow"/>
                <w:sz w:val="20"/>
                <w:lang w:val="en-US"/>
              </w:rPr>
              <w:t>Trial 32</w:t>
            </w:r>
          </w:p>
        </w:tc>
        <w:tc>
          <w:tcPr>
            <w:tcW w:w="256" w:type="pct"/>
            <w:tcBorders>
              <w:top w:val="single" w:sz="4" w:space="0" w:color="auto"/>
              <w:left w:val="single" w:sz="4" w:space="0" w:color="auto"/>
              <w:bottom w:val="single" w:sz="4" w:space="0" w:color="auto"/>
              <w:right w:val="single" w:sz="4" w:space="0" w:color="auto"/>
            </w:tcBorders>
            <w:vAlign w:val="center"/>
            <w:hideMark/>
          </w:tcPr>
          <w:p w:rsidR="00F333D9" w:rsidRDefault="00F333D9">
            <w:pPr>
              <w:keepNext/>
              <w:jc w:val="center"/>
              <w:rPr>
                <w:rFonts w:ascii="Arial Narrow" w:hAnsi="Arial Narrow"/>
                <w:sz w:val="20"/>
                <w:lang w:val="en-US"/>
              </w:rPr>
            </w:pPr>
            <w:r>
              <w:rPr>
                <w:rFonts w:ascii="Arial Narrow" w:hAnsi="Arial Narrow"/>
                <w:sz w:val="20"/>
                <w:lang w:val="en-US"/>
              </w:rPr>
              <w:t>515</w:t>
            </w:r>
          </w:p>
        </w:tc>
        <w:tc>
          <w:tcPr>
            <w:tcW w:w="1014" w:type="pct"/>
            <w:vMerge w:val="restart"/>
            <w:tcBorders>
              <w:top w:val="single" w:sz="4" w:space="0" w:color="auto"/>
              <w:left w:val="single" w:sz="4" w:space="0" w:color="auto"/>
              <w:bottom w:val="single" w:sz="4" w:space="0" w:color="auto"/>
              <w:right w:val="single" w:sz="4" w:space="0" w:color="auto"/>
            </w:tcBorders>
            <w:vAlign w:val="center"/>
            <w:hideMark/>
          </w:tcPr>
          <w:p w:rsidR="00F333D9" w:rsidRDefault="00F333D9">
            <w:pPr>
              <w:keepNext/>
              <w:jc w:val="center"/>
              <w:rPr>
                <w:rFonts w:ascii="Arial Narrow" w:hAnsi="Arial Narrow"/>
                <w:sz w:val="20"/>
                <w:lang w:val="en-US"/>
              </w:rPr>
            </w:pPr>
            <w:r>
              <w:rPr>
                <w:rFonts w:ascii="Arial Narrow" w:hAnsi="Arial Narrow"/>
                <w:sz w:val="20"/>
              </w:rPr>
              <w:t>R, DB, MC, MN, phase 3</w:t>
            </w:r>
          </w:p>
        </w:tc>
        <w:tc>
          <w:tcPr>
            <w:tcW w:w="423" w:type="pct"/>
            <w:vMerge w:val="restart"/>
            <w:tcBorders>
              <w:top w:val="single" w:sz="4" w:space="0" w:color="auto"/>
              <w:left w:val="single" w:sz="4" w:space="0" w:color="auto"/>
              <w:bottom w:val="single" w:sz="4" w:space="0" w:color="auto"/>
              <w:right w:val="single" w:sz="4" w:space="0" w:color="auto"/>
            </w:tcBorders>
            <w:vAlign w:val="center"/>
            <w:hideMark/>
          </w:tcPr>
          <w:p w:rsidR="00F333D9" w:rsidRDefault="00F333D9">
            <w:pPr>
              <w:keepNext/>
              <w:jc w:val="center"/>
              <w:rPr>
                <w:rFonts w:ascii="Arial Narrow" w:hAnsi="Arial Narrow"/>
                <w:sz w:val="20"/>
                <w:lang w:val="en-US"/>
              </w:rPr>
            </w:pPr>
            <w:r>
              <w:rPr>
                <w:rFonts w:ascii="Arial Narrow" w:hAnsi="Arial Narrow"/>
                <w:sz w:val="20"/>
                <w:lang w:val="en-US"/>
              </w:rPr>
              <w:t>Low</w:t>
            </w:r>
          </w:p>
        </w:tc>
        <w:tc>
          <w:tcPr>
            <w:tcW w:w="593" w:type="pct"/>
            <w:vMerge w:val="restart"/>
            <w:tcBorders>
              <w:top w:val="single" w:sz="4" w:space="0" w:color="auto"/>
              <w:left w:val="single" w:sz="4" w:space="0" w:color="auto"/>
              <w:bottom w:val="single" w:sz="4" w:space="0" w:color="auto"/>
              <w:right w:val="single" w:sz="4" w:space="0" w:color="auto"/>
            </w:tcBorders>
            <w:vAlign w:val="center"/>
            <w:hideMark/>
          </w:tcPr>
          <w:p w:rsidR="00F333D9" w:rsidRDefault="00F333D9">
            <w:pPr>
              <w:keepNext/>
              <w:jc w:val="center"/>
              <w:rPr>
                <w:rFonts w:ascii="Arial Narrow" w:hAnsi="Arial Narrow"/>
                <w:sz w:val="20"/>
                <w:lang w:val="en-US"/>
              </w:rPr>
            </w:pPr>
            <w:r>
              <w:rPr>
                <w:rFonts w:ascii="Arial Narrow" w:hAnsi="Arial Narrow"/>
                <w:sz w:val="20"/>
                <w:lang w:val="en-US"/>
              </w:rPr>
              <w:t>IPF</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333D9" w:rsidRDefault="00F333D9">
            <w:pPr>
              <w:widowControl/>
              <w:jc w:val="left"/>
              <w:rPr>
                <w:rFonts w:ascii="Arial Narrow" w:hAnsi="Arial Narrow"/>
                <w:sz w:val="20"/>
                <w:lang w:val="en-US"/>
              </w:rPr>
            </w:pPr>
          </w:p>
        </w:tc>
        <w:tc>
          <w:tcPr>
            <w:tcW w:w="1525" w:type="pct"/>
            <w:vMerge w:val="restart"/>
            <w:tcBorders>
              <w:top w:val="single" w:sz="4" w:space="0" w:color="auto"/>
              <w:left w:val="single" w:sz="4" w:space="0" w:color="auto"/>
              <w:bottom w:val="single" w:sz="4" w:space="0" w:color="auto"/>
              <w:right w:val="single" w:sz="4" w:space="0" w:color="auto"/>
            </w:tcBorders>
            <w:vAlign w:val="center"/>
            <w:hideMark/>
          </w:tcPr>
          <w:p w:rsidR="00F333D9" w:rsidRDefault="00F333D9">
            <w:pPr>
              <w:keepNext/>
              <w:jc w:val="center"/>
              <w:rPr>
                <w:rFonts w:ascii="Arial Narrow" w:hAnsi="Arial Narrow"/>
                <w:sz w:val="20"/>
                <w:lang w:val="en-US"/>
              </w:rPr>
            </w:pPr>
            <w:r>
              <w:rPr>
                <w:rFonts w:ascii="Arial Narrow" w:hAnsi="Arial Narrow"/>
                <w:sz w:val="20"/>
              </w:rPr>
              <w:t>Kaplan Meier survival analysis: parametric extrapolation; transition probabilities, cycle probabilities of adverse events; utilities: EQ-5D</w:t>
            </w:r>
          </w:p>
        </w:tc>
      </w:tr>
      <w:tr w:rsidR="00F333D9" w:rsidTr="00F333D9">
        <w:tc>
          <w:tcPr>
            <w:tcW w:w="426" w:type="pct"/>
            <w:tcBorders>
              <w:top w:val="single" w:sz="4" w:space="0" w:color="auto"/>
              <w:left w:val="single" w:sz="4" w:space="0" w:color="auto"/>
              <w:bottom w:val="single" w:sz="4" w:space="0" w:color="auto"/>
              <w:right w:val="single" w:sz="4" w:space="0" w:color="auto"/>
            </w:tcBorders>
            <w:vAlign w:val="center"/>
            <w:hideMark/>
          </w:tcPr>
          <w:p w:rsidR="00F333D9" w:rsidRDefault="00F333D9">
            <w:pPr>
              <w:keepNext/>
              <w:jc w:val="left"/>
              <w:rPr>
                <w:rFonts w:ascii="Arial Narrow" w:hAnsi="Arial Narrow"/>
                <w:sz w:val="20"/>
                <w:lang w:val="en-US"/>
              </w:rPr>
            </w:pPr>
            <w:r>
              <w:rPr>
                <w:rFonts w:ascii="Arial Narrow" w:hAnsi="Arial Narrow"/>
                <w:sz w:val="20"/>
                <w:lang w:val="en-US"/>
              </w:rPr>
              <w:t>Trial 34</w:t>
            </w:r>
          </w:p>
        </w:tc>
        <w:tc>
          <w:tcPr>
            <w:tcW w:w="256" w:type="pct"/>
            <w:tcBorders>
              <w:top w:val="single" w:sz="4" w:space="0" w:color="auto"/>
              <w:left w:val="single" w:sz="4" w:space="0" w:color="auto"/>
              <w:bottom w:val="single" w:sz="4" w:space="0" w:color="auto"/>
              <w:right w:val="single" w:sz="4" w:space="0" w:color="auto"/>
            </w:tcBorders>
            <w:vAlign w:val="center"/>
            <w:hideMark/>
          </w:tcPr>
          <w:p w:rsidR="00F333D9" w:rsidRDefault="00F333D9">
            <w:pPr>
              <w:keepNext/>
              <w:jc w:val="center"/>
              <w:rPr>
                <w:rFonts w:ascii="Arial Narrow" w:hAnsi="Arial Narrow"/>
                <w:sz w:val="20"/>
                <w:lang w:val="en-US"/>
              </w:rPr>
            </w:pPr>
            <w:r>
              <w:rPr>
                <w:rFonts w:ascii="Arial Narrow" w:hAnsi="Arial Narrow"/>
                <w:sz w:val="20"/>
                <w:lang w:val="en-US"/>
              </w:rPr>
              <w:t>551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333D9" w:rsidRDefault="00F333D9">
            <w:pPr>
              <w:widowControl/>
              <w:jc w:val="left"/>
              <w:rPr>
                <w:rFonts w:ascii="Arial Narrow" w:hAnsi="Arial Narrow"/>
                <w:sz w:val="20"/>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333D9" w:rsidRDefault="00F333D9">
            <w:pPr>
              <w:widowControl/>
              <w:jc w:val="left"/>
              <w:rPr>
                <w:rFonts w:ascii="Arial Narrow" w:hAnsi="Arial Narrow"/>
                <w:sz w:val="20"/>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333D9" w:rsidRDefault="00F333D9">
            <w:pPr>
              <w:widowControl/>
              <w:jc w:val="left"/>
              <w:rPr>
                <w:rFonts w:ascii="Arial Narrow" w:hAnsi="Arial Narrow"/>
                <w:sz w:val="20"/>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333D9" w:rsidRDefault="00F333D9">
            <w:pPr>
              <w:widowControl/>
              <w:jc w:val="left"/>
              <w:rPr>
                <w:rFonts w:ascii="Arial Narrow" w:hAnsi="Arial Narrow"/>
                <w:sz w:val="20"/>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333D9" w:rsidRDefault="00F333D9">
            <w:pPr>
              <w:widowControl/>
              <w:jc w:val="left"/>
              <w:rPr>
                <w:rFonts w:ascii="Arial Narrow" w:hAnsi="Arial Narrow"/>
                <w:sz w:val="20"/>
                <w:lang w:val="en-US"/>
              </w:rPr>
            </w:pPr>
          </w:p>
        </w:tc>
      </w:tr>
    </w:tbl>
    <w:p w:rsidR="00F333D9" w:rsidRDefault="00F333D9" w:rsidP="00F333D9">
      <w:pPr>
        <w:pStyle w:val="TableFooter"/>
        <w:ind w:left="720"/>
      </w:pPr>
      <w:r w:rsidRPr="00DD5D0A">
        <w:t>^ High risk of bias associated with the analyses of FVC change from baseline.</w:t>
      </w:r>
      <w:r>
        <w:rPr>
          <w:i/>
        </w:rPr>
        <w:t xml:space="preserve">  </w:t>
      </w:r>
      <w:r>
        <w:t>Abbreviations: DB=double blind; FVC=forced vital capacity; IPF=idiopathic pulmonary fibrosis.  MC=multi-centre; MN=multinational; R=randomised; SGRQ=St George’s Respiratory Questionnaire. Source: compiled during the evaluation</w:t>
      </w:r>
    </w:p>
    <w:p w:rsidR="007F1017" w:rsidRDefault="007F1017" w:rsidP="007F1017"/>
    <w:p w:rsidR="00525FA4" w:rsidRDefault="00525FA4" w:rsidP="00321D09">
      <w:pPr>
        <w:pStyle w:val="ListParagraph"/>
        <w:widowControl/>
        <w:numPr>
          <w:ilvl w:val="1"/>
          <w:numId w:val="2"/>
        </w:numPr>
      </w:pPr>
      <w:r>
        <w:t xml:space="preserve">Meta-analyses of results from Trial 30, 32 and 34 are presented by the re-submission.  The PBAC has previously questioned the appropriateness of including Trial 30 in the meta-analyses due to differences in the handling of missing data </w:t>
      </w:r>
      <w:r w:rsidR="00BC3C83">
        <w:t xml:space="preserve">(last observation carried forward; LOCF) </w:t>
      </w:r>
      <w:r>
        <w:t>and comparability of the trial population</w:t>
      </w:r>
      <w:r w:rsidR="00F402D4">
        <w:t>s (March 2015, paragraph 7.6).</w:t>
      </w:r>
    </w:p>
    <w:p w:rsidR="00525FA4" w:rsidRDefault="00525FA4" w:rsidP="00525FA4">
      <w:pPr>
        <w:widowControl/>
      </w:pPr>
    </w:p>
    <w:p w:rsidR="00525FA4" w:rsidRDefault="00863CBB" w:rsidP="00321D09">
      <w:pPr>
        <w:pStyle w:val="ListParagraph"/>
        <w:widowControl/>
        <w:numPr>
          <w:ilvl w:val="1"/>
          <w:numId w:val="2"/>
        </w:numPr>
      </w:pPr>
      <w:r w:rsidRPr="0060206A">
        <w:t>T</w:t>
      </w:r>
      <w:r w:rsidR="00525FA4" w:rsidRPr="0060206A">
        <w:t xml:space="preserve">he </w:t>
      </w:r>
      <w:r w:rsidRPr="0060206A">
        <w:t xml:space="preserve">re-submission justified the </w:t>
      </w:r>
      <w:r w:rsidR="00525FA4" w:rsidRPr="0060206A">
        <w:t>robustness of th</w:t>
      </w:r>
      <w:r w:rsidRPr="0060206A">
        <w:t>e LOCF</w:t>
      </w:r>
      <w:r w:rsidR="00525FA4" w:rsidRPr="0060206A">
        <w:t xml:space="preserve"> approach on the basis of sensitivity analyses conducted in </w:t>
      </w:r>
      <w:r w:rsidRPr="0060206A">
        <w:t xml:space="preserve">IPF </w:t>
      </w:r>
      <w:r w:rsidR="00525FA4" w:rsidRPr="0060206A">
        <w:t xml:space="preserve">clinical trials investigating high dose acetylcysteine (Demedts 2005) and pirfenidone (Lederer 2015).  </w:t>
      </w:r>
      <w:r w:rsidR="0082480A" w:rsidRPr="0060206A">
        <w:t>Although</w:t>
      </w:r>
      <w:r w:rsidR="00525FA4" w:rsidRPr="0060206A">
        <w:t xml:space="preserve"> the comparison of LOCF to alternative </w:t>
      </w:r>
      <w:r w:rsidR="00BC3C83" w:rsidRPr="0060206A">
        <w:t>statistical methods</w:t>
      </w:r>
      <w:r w:rsidR="00525FA4" w:rsidRPr="0060206A">
        <w:t xml:space="preserve"> </w:t>
      </w:r>
      <w:r w:rsidRPr="0060206A">
        <w:t>i</w:t>
      </w:r>
      <w:r w:rsidR="00525FA4" w:rsidRPr="0060206A">
        <w:t xml:space="preserve">ndicated similarities in </w:t>
      </w:r>
      <w:r w:rsidR="00293A7C" w:rsidRPr="0060206A">
        <w:t xml:space="preserve">relative </w:t>
      </w:r>
      <w:r w:rsidR="00525FA4" w:rsidRPr="0060206A">
        <w:t xml:space="preserve">FVC outcomes, these observations were in </w:t>
      </w:r>
      <w:r w:rsidRPr="0060206A">
        <w:t>scenarios</w:t>
      </w:r>
      <w:r w:rsidR="00525FA4" w:rsidRPr="0060206A">
        <w:t xml:space="preserve"> where treatment discontinuations were comparable across treatment and placebo arms.  Given that discontinuation rates from Trial 30 were considerably higher in nintedanib treated patients (38%) in comparison to placebo (28%), this is of greater consequence to the appropriateness of the LOCF method.  Consequently, </w:t>
      </w:r>
      <w:r w:rsidR="006D0895">
        <w:t>the evaluation considered the</w:t>
      </w:r>
      <w:r w:rsidR="00525FA4" w:rsidRPr="0060206A">
        <w:t xml:space="preserve"> re-submission ha</w:t>
      </w:r>
      <w:r w:rsidR="006D0895">
        <w:t>d</w:t>
      </w:r>
      <w:r w:rsidR="00525FA4" w:rsidRPr="0060206A">
        <w:t xml:space="preserve"> not adequately demonstrated the robustness of the LOCF method in situations where there are notable difference</w:t>
      </w:r>
      <w:r w:rsidR="00F402D4">
        <w:t>s in patient discontinuations.</w:t>
      </w:r>
    </w:p>
    <w:p w:rsidR="004530A7" w:rsidRPr="00F402D4" w:rsidRDefault="004530A7">
      <w:pPr>
        <w:widowControl/>
        <w:jc w:val="left"/>
      </w:pPr>
      <w:bookmarkStart w:id="10" w:name="_Toc430009532"/>
    </w:p>
    <w:p w:rsidR="00B60939" w:rsidRPr="00F402D4" w:rsidRDefault="00B60939" w:rsidP="006412CE">
      <w:pPr>
        <w:pStyle w:val="Heading2"/>
      </w:pPr>
      <w:r w:rsidRPr="00F402D4">
        <w:t>Comparative effectiveness</w:t>
      </w:r>
      <w:bookmarkEnd w:id="10"/>
    </w:p>
    <w:p w:rsidR="009E6AC7" w:rsidRPr="00F402D4" w:rsidRDefault="009E6AC7" w:rsidP="00F402D4">
      <w:pPr>
        <w:pStyle w:val="PBACHeading1"/>
        <w:numPr>
          <w:ilvl w:val="0"/>
          <w:numId w:val="0"/>
        </w:numPr>
        <w:ind w:left="720" w:hanging="720"/>
        <w:rPr>
          <w:rStyle w:val="CommentReference"/>
          <w:rFonts w:ascii="Arial" w:hAnsi="Arial"/>
          <w:sz w:val="22"/>
          <w:szCs w:val="22"/>
        </w:rPr>
      </w:pPr>
    </w:p>
    <w:p w:rsidR="006D0895" w:rsidRDefault="00220C8D" w:rsidP="00321D09">
      <w:pPr>
        <w:pStyle w:val="ListParagraph"/>
        <w:widowControl/>
        <w:numPr>
          <w:ilvl w:val="1"/>
          <w:numId w:val="2"/>
        </w:numPr>
        <w:rPr>
          <w:szCs w:val="22"/>
        </w:rPr>
      </w:pPr>
      <w:r>
        <w:rPr>
          <w:szCs w:val="22"/>
        </w:rPr>
        <w:t>Key results from the meta-analyses are presented in the table below.</w:t>
      </w:r>
    </w:p>
    <w:p w:rsidR="002C2775" w:rsidRPr="00F402D4" w:rsidRDefault="002C2775" w:rsidP="006D0895">
      <w:pPr>
        <w:widowControl/>
        <w:rPr>
          <w:szCs w:val="22"/>
        </w:rPr>
      </w:pPr>
    </w:p>
    <w:p w:rsidR="00220C8D" w:rsidRPr="00220C8D" w:rsidRDefault="00220C8D" w:rsidP="00F402D4">
      <w:pPr>
        <w:tabs>
          <w:tab w:val="right" w:pos="9027"/>
        </w:tabs>
        <w:snapToGrid w:val="0"/>
        <w:ind w:firstLine="720"/>
        <w:rPr>
          <w:rFonts w:ascii="Arial Narrow" w:hAnsi="Arial Narrow"/>
          <w:b/>
          <w:snapToGrid/>
          <w:sz w:val="20"/>
          <w:szCs w:val="16"/>
        </w:rPr>
      </w:pPr>
      <w:r w:rsidRPr="00220C8D">
        <w:rPr>
          <w:rFonts w:ascii="Arial Narrow" w:hAnsi="Arial Narrow"/>
          <w:b/>
          <w:snapToGrid/>
          <w:sz w:val="20"/>
          <w:szCs w:val="16"/>
        </w:rPr>
        <w:t xml:space="preserve">Table </w:t>
      </w:r>
      <w:r w:rsidR="00CB498B">
        <w:rPr>
          <w:rFonts w:ascii="Arial Narrow" w:hAnsi="Arial Narrow"/>
          <w:b/>
          <w:snapToGrid/>
          <w:sz w:val="20"/>
          <w:szCs w:val="16"/>
        </w:rPr>
        <w:t>3</w:t>
      </w:r>
      <w:r w:rsidRPr="00220C8D">
        <w:rPr>
          <w:rFonts w:ascii="Arial Narrow" w:hAnsi="Arial Narrow"/>
          <w:b/>
          <w:snapToGrid/>
          <w:sz w:val="20"/>
          <w:szCs w:val="16"/>
        </w:rPr>
        <w:t>: Summary of the meta-analyses of key efficacy outco</w:t>
      </w:r>
      <w:r w:rsidR="00F402D4">
        <w:rPr>
          <w:rFonts w:ascii="Arial Narrow" w:hAnsi="Arial Narrow"/>
          <w:b/>
          <w:snapToGrid/>
          <w:sz w:val="20"/>
          <w:szCs w:val="16"/>
        </w:rPr>
        <w:t>mes from the nintedanib trials</w:t>
      </w:r>
    </w:p>
    <w:tbl>
      <w:tblPr>
        <w:tblStyle w:val="TableGrid"/>
        <w:tblW w:w="8363" w:type="dxa"/>
        <w:tblInd w:w="737" w:type="dxa"/>
        <w:tblCellMar>
          <w:left w:w="28" w:type="dxa"/>
          <w:right w:w="28" w:type="dxa"/>
        </w:tblCellMar>
        <w:tblLook w:val="04A0" w:firstRow="1" w:lastRow="0" w:firstColumn="1" w:lastColumn="0" w:noHBand="0" w:noVBand="1"/>
        <w:tblCaption w:val="Table 3: Summary of the meta-analyses of key efficacy outcomes from the nintedanib trials"/>
      </w:tblPr>
      <w:tblGrid>
        <w:gridCol w:w="1418"/>
        <w:gridCol w:w="3827"/>
        <w:gridCol w:w="3118"/>
      </w:tblGrid>
      <w:tr w:rsidR="00220C8D" w:rsidRPr="00220C8D" w:rsidTr="005D439E">
        <w:trPr>
          <w:tblHeader/>
        </w:trPr>
        <w:tc>
          <w:tcPr>
            <w:tcW w:w="5245" w:type="dxa"/>
            <w:gridSpan w:val="2"/>
            <w:tcBorders>
              <w:top w:val="single" w:sz="4" w:space="0" w:color="auto"/>
              <w:left w:val="single" w:sz="4" w:space="0" w:color="auto"/>
              <w:bottom w:val="single" w:sz="4" w:space="0" w:color="auto"/>
              <w:right w:val="single" w:sz="4" w:space="0" w:color="auto"/>
            </w:tcBorders>
            <w:vAlign w:val="center"/>
            <w:hideMark/>
          </w:tcPr>
          <w:p w:rsidR="00220C8D" w:rsidRPr="00220C8D" w:rsidRDefault="00220C8D" w:rsidP="00220C8D">
            <w:pPr>
              <w:snapToGrid w:val="0"/>
              <w:jc w:val="left"/>
              <w:rPr>
                <w:rFonts w:ascii="Arial Narrow" w:hAnsi="Arial Narrow"/>
                <w:b/>
                <w:snapToGrid/>
                <w:sz w:val="20"/>
                <w:szCs w:val="16"/>
              </w:rPr>
            </w:pPr>
            <w:r w:rsidRPr="00220C8D">
              <w:rPr>
                <w:rFonts w:ascii="Arial Narrow" w:hAnsi="Arial Narrow"/>
                <w:b/>
                <w:snapToGrid/>
                <w:sz w:val="20"/>
                <w:szCs w:val="16"/>
              </w:rPr>
              <w:t>Outcome</w:t>
            </w:r>
          </w:p>
        </w:tc>
        <w:tc>
          <w:tcPr>
            <w:tcW w:w="3118" w:type="dxa"/>
            <w:tcBorders>
              <w:top w:val="single" w:sz="4" w:space="0" w:color="auto"/>
              <w:left w:val="single" w:sz="4" w:space="0" w:color="auto"/>
              <w:bottom w:val="single" w:sz="4" w:space="0" w:color="auto"/>
              <w:right w:val="single" w:sz="4" w:space="0" w:color="auto"/>
            </w:tcBorders>
            <w:vAlign w:val="center"/>
            <w:hideMark/>
          </w:tcPr>
          <w:p w:rsidR="00220C8D" w:rsidRPr="00220C8D" w:rsidRDefault="00220C8D" w:rsidP="00220C8D">
            <w:pPr>
              <w:snapToGrid w:val="0"/>
              <w:jc w:val="center"/>
              <w:rPr>
                <w:rFonts w:ascii="Arial Narrow" w:hAnsi="Arial Narrow"/>
                <w:b/>
                <w:snapToGrid/>
                <w:sz w:val="20"/>
                <w:szCs w:val="16"/>
              </w:rPr>
            </w:pPr>
            <w:r w:rsidRPr="00220C8D">
              <w:rPr>
                <w:rFonts w:ascii="Arial Narrow" w:hAnsi="Arial Narrow"/>
                <w:b/>
                <w:snapToGrid/>
                <w:sz w:val="20"/>
                <w:szCs w:val="16"/>
              </w:rPr>
              <w:t>Meta analyses (Trial 30, 32 &amp; 34)</w:t>
            </w:r>
          </w:p>
        </w:tc>
      </w:tr>
      <w:tr w:rsidR="00220C8D" w:rsidRPr="00220C8D" w:rsidTr="00220C8D">
        <w:tc>
          <w:tcPr>
            <w:tcW w:w="5245" w:type="dxa"/>
            <w:gridSpan w:val="2"/>
            <w:tcBorders>
              <w:top w:val="single" w:sz="4" w:space="0" w:color="auto"/>
              <w:left w:val="single" w:sz="4" w:space="0" w:color="auto"/>
              <w:bottom w:val="single" w:sz="4" w:space="0" w:color="auto"/>
              <w:right w:val="single" w:sz="4" w:space="0" w:color="auto"/>
            </w:tcBorders>
            <w:vAlign w:val="center"/>
            <w:hideMark/>
          </w:tcPr>
          <w:p w:rsidR="00220C8D" w:rsidRPr="00220C8D" w:rsidRDefault="00220C8D" w:rsidP="00220C8D">
            <w:pPr>
              <w:snapToGrid w:val="0"/>
              <w:jc w:val="left"/>
              <w:rPr>
                <w:rFonts w:ascii="Arial Narrow" w:hAnsi="Arial Narrow"/>
                <w:snapToGrid/>
                <w:sz w:val="20"/>
                <w:szCs w:val="16"/>
              </w:rPr>
            </w:pPr>
            <w:r w:rsidRPr="00220C8D">
              <w:rPr>
                <w:rFonts w:ascii="Arial Narrow" w:hAnsi="Arial Narrow"/>
                <w:snapToGrid/>
                <w:sz w:val="20"/>
                <w:szCs w:val="16"/>
              </w:rPr>
              <w:t>Annual rate of decline in FVC (ml/year)</w:t>
            </w:r>
          </w:p>
        </w:tc>
        <w:tc>
          <w:tcPr>
            <w:tcW w:w="3118" w:type="dxa"/>
            <w:tcBorders>
              <w:top w:val="single" w:sz="4" w:space="0" w:color="auto"/>
              <w:left w:val="single" w:sz="4" w:space="0" w:color="auto"/>
              <w:bottom w:val="single" w:sz="4" w:space="0" w:color="auto"/>
              <w:right w:val="single" w:sz="4" w:space="0" w:color="auto"/>
            </w:tcBorders>
            <w:vAlign w:val="center"/>
            <w:hideMark/>
          </w:tcPr>
          <w:p w:rsidR="00220C8D" w:rsidRPr="00220C8D" w:rsidRDefault="00220C8D" w:rsidP="00220C8D">
            <w:pPr>
              <w:snapToGrid w:val="0"/>
              <w:jc w:val="center"/>
              <w:rPr>
                <w:rFonts w:ascii="Arial Narrow" w:hAnsi="Arial Narrow"/>
                <w:snapToGrid/>
                <w:sz w:val="20"/>
                <w:szCs w:val="16"/>
              </w:rPr>
            </w:pPr>
            <w:r w:rsidRPr="00220C8D">
              <w:rPr>
                <w:rFonts w:ascii="Arial Narrow" w:hAnsi="Arial Narrow"/>
                <w:snapToGrid/>
                <w:sz w:val="20"/>
                <w:szCs w:val="16"/>
              </w:rPr>
              <w:t xml:space="preserve">MD (95% CI) = </w:t>
            </w:r>
            <w:r w:rsidRPr="00311818">
              <w:rPr>
                <w:rFonts w:ascii="Arial Narrow" w:hAnsi="Arial Narrow"/>
                <w:snapToGrid/>
                <w:sz w:val="20"/>
                <w:szCs w:val="16"/>
              </w:rPr>
              <w:t>118.89 (79.57, 144.21)</w:t>
            </w:r>
          </w:p>
        </w:tc>
      </w:tr>
      <w:tr w:rsidR="00220C8D" w:rsidRPr="00220C8D" w:rsidTr="00220C8D">
        <w:tc>
          <w:tcPr>
            <w:tcW w:w="5245" w:type="dxa"/>
            <w:gridSpan w:val="2"/>
            <w:tcBorders>
              <w:top w:val="single" w:sz="4" w:space="0" w:color="auto"/>
              <w:left w:val="single" w:sz="4" w:space="0" w:color="auto"/>
              <w:bottom w:val="single" w:sz="4" w:space="0" w:color="auto"/>
              <w:right w:val="single" w:sz="4" w:space="0" w:color="auto"/>
            </w:tcBorders>
            <w:vAlign w:val="center"/>
            <w:hideMark/>
          </w:tcPr>
          <w:p w:rsidR="00220C8D" w:rsidRPr="00220C8D" w:rsidRDefault="00220C8D" w:rsidP="00220C8D">
            <w:pPr>
              <w:snapToGrid w:val="0"/>
              <w:jc w:val="left"/>
              <w:rPr>
                <w:rFonts w:ascii="Arial Narrow" w:hAnsi="Arial Narrow"/>
                <w:snapToGrid/>
                <w:sz w:val="20"/>
                <w:szCs w:val="16"/>
              </w:rPr>
            </w:pPr>
            <w:r w:rsidRPr="00220C8D">
              <w:rPr>
                <w:rFonts w:ascii="Arial Narrow" w:hAnsi="Arial Narrow"/>
                <w:snapToGrid/>
                <w:sz w:val="20"/>
                <w:szCs w:val="16"/>
              </w:rPr>
              <w:t>Absolute change in FVC%Pred from baseline to week 52</w:t>
            </w:r>
          </w:p>
        </w:tc>
        <w:tc>
          <w:tcPr>
            <w:tcW w:w="3118" w:type="dxa"/>
            <w:tcBorders>
              <w:top w:val="single" w:sz="4" w:space="0" w:color="auto"/>
              <w:left w:val="single" w:sz="4" w:space="0" w:color="auto"/>
              <w:bottom w:val="single" w:sz="4" w:space="0" w:color="auto"/>
              <w:right w:val="single" w:sz="4" w:space="0" w:color="auto"/>
            </w:tcBorders>
            <w:vAlign w:val="center"/>
            <w:hideMark/>
          </w:tcPr>
          <w:p w:rsidR="00220C8D" w:rsidRPr="00220C8D" w:rsidRDefault="00220C8D" w:rsidP="00220C8D">
            <w:pPr>
              <w:snapToGrid w:val="0"/>
              <w:jc w:val="center"/>
              <w:rPr>
                <w:rFonts w:ascii="Arial Narrow" w:hAnsi="Arial Narrow"/>
                <w:snapToGrid/>
                <w:sz w:val="20"/>
                <w:szCs w:val="16"/>
              </w:rPr>
            </w:pPr>
            <w:r w:rsidRPr="00220C8D">
              <w:rPr>
                <w:rFonts w:ascii="Arial Narrow" w:hAnsi="Arial Narrow"/>
                <w:snapToGrid/>
                <w:sz w:val="20"/>
                <w:szCs w:val="16"/>
              </w:rPr>
              <w:t xml:space="preserve">MD (95% CI) = </w:t>
            </w:r>
            <w:r w:rsidRPr="00311818">
              <w:rPr>
                <w:rFonts w:ascii="Arial Narrow" w:hAnsi="Arial Narrow"/>
                <w:snapToGrid/>
                <w:sz w:val="20"/>
                <w:szCs w:val="16"/>
              </w:rPr>
              <w:t>3.31 (2.46, 4.16)</w:t>
            </w:r>
          </w:p>
        </w:tc>
      </w:tr>
      <w:tr w:rsidR="00220C8D" w:rsidRPr="00220C8D" w:rsidTr="00220C8D">
        <w:tc>
          <w:tcPr>
            <w:tcW w:w="5245" w:type="dxa"/>
            <w:gridSpan w:val="2"/>
            <w:tcBorders>
              <w:top w:val="single" w:sz="4" w:space="0" w:color="auto"/>
              <w:left w:val="single" w:sz="4" w:space="0" w:color="auto"/>
              <w:bottom w:val="single" w:sz="4" w:space="0" w:color="auto"/>
              <w:right w:val="single" w:sz="4" w:space="0" w:color="auto"/>
            </w:tcBorders>
            <w:vAlign w:val="center"/>
            <w:hideMark/>
          </w:tcPr>
          <w:p w:rsidR="00220C8D" w:rsidRPr="00220C8D" w:rsidRDefault="00220C8D" w:rsidP="00220C8D">
            <w:pPr>
              <w:snapToGrid w:val="0"/>
              <w:jc w:val="left"/>
              <w:rPr>
                <w:rFonts w:ascii="Arial Narrow" w:hAnsi="Arial Narrow"/>
                <w:snapToGrid/>
                <w:sz w:val="20"/>
                <w:szCs w:val="16"/>
              </w:rPr>
            </w:pPr>
            <w:r w:rsidRPr="00220C8D">
              <w:rPr>
                <w:rFonts w:ascii="Arial Narrow" w:hAnsi="Arial Narrow"/>
                <w:snapToGrid/>
                <w:sz w:val="20"/>
                <w:szCs w:val="16"/>
              </w:rPr>
              <w:t>Proportion of patients with a decline in FVC%pred &lt;5% over 52 weeks</w:t>
            </w:r>
          </w:p>
        </w:tc>
        <w:tc>
          <w:tcPr>
            <w:tcW w:w="3118" w:type="dxa"/>
            <w:tcBorders>
              <w:top w:val="single" w:sz="4" w:space="0" w:color="auto"/>
              <w:left w:val="single" w:sz="4" w:space="0" w:color="auto"/>
              <w:bottom w:val="single" w:sz="4" w:space="0" w:color="auto"/>
              <w:right w:val="single" w:sz="4" w:space="0" w:color="auto"/>
            </w:tcBorders>
            <w:vAlign w:val="center"/>
            <w:hideMark/>
          </w:tcPr>
          <w:p w:rsidR="00220C8D" w:rsidRPr="00220C8D" w:rsidRDefault="00220C8D" w:rsidP="00220C8D">
            <w:pPr>
              <w:snapToGrid w:val="0"/>
              <w:jc w:val="center"/>
              <w:rPr>
                <w:rFonts w:ascii="Arial Narrow" w:hAnsi="Arial Narrow"/>
                <w:snapToGrid/>
                <w:sz w:val="20"/>
                <w:szCs w:val="16"/>
              </w:rPr>
            </w:pPr>
            <w:r w:rsidRPr="00220C8D">
              <w:rPr>
                <w:rFonts w:ascii="Arial Narrow" w:hAnsi="Arial Narrow"/>
                <w:snapToGrid/>
                <w:sz w:val="20"/>
                <w:szCs w:val="16"/>
              </w:rPr>
              <w:t xml:space="preserve">RR (95% CI) = </w:t>
            </w:r>
            <w:r w:rsidRPr="00311818">
              <w:rPr>
                <w:rFonts w:ascii="Arial Narrow" w:hAnsi="Arial Narrow"/>
                <w:snapToGrid/>
                <w:sz w:val="20"/>
                <w:szCs w:val="16"/>
              </w:rPr>
              <w:t>1.39 (1.23, 1.57</w:t>
            </w:r>
            <w:r w:rsidRPr="002F53A9">
              <w:rPr>
                <w:rFonts w:ascii="Arial Narrow" w:hAnsi="Arial Narrow"/>
                <w:snapToGrid/>
                <w:sz w:val="20"/>
                <w:szCs w:val="16"/>
              </w:rPr>
              <w:t>)</w:t>
            </w:r>
          </w:p>
        </w:tc>
      </w:tr>
      <w:tr w:rsidR="00220C8D" w:rsidRPr="00220C8D" w:rsidTr="00220C8D">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220C8D" w:rsidRPr="00220C8D" w:rsidRDefault="00220C8D" w:rsidP="00220C8D">
            <w:pPr>
              <w:snapToGrid w:val="0"/>
              <w:jc w:val="left"/>
              <w:rPr>
                <w:rFonts w:ascii="Arial Narrow" w:hAnsi="Arial Narrow"/>
                <w:snapToGrid/>
                <w:sz w:val="20"/>
                <w:szCs w:val="16"/>
              </w:rPr>
            </w:pPr>
            <w:r w:rsidRPr="00220C8D">
              <w:rPr>
                <w:rFonts w:ascii="Arial Narrow" w:hAnsi="Arial Narrow"/>
                <w:snapToGrid/>
                <w:sz w:val="20"/>
                <w:szCs w:val="16"/>
              </w:rPr>
              <w:t>Incidence of acute IPF exacerbation</w:t>
            </w:r>
          </w:p>
        </w:tc>
        <w:tc>
          <w:tcPr>
            <w:tcW w:w="3827" w:type="dxa"/>
            <w:tcBorders>
              <w:top w:val="single" w:sz="4" w:space="0" w:color="auto"/>
              <w:left w:val="single" w:sz="4" w:space="0" w:color="auto"/>
              <w:bottom w:val="single" w:sz="4" w:space="0" w:color="auto"/>
              <w:right w:val="single" w:sz="4" w:space="0" w:color="auto"/>
            </w:tcBorders>
            <w:vAlign w:val="center"/>
            <w:hideMark/>
          </w:tcPr>
          <w:p w:rsidR="00220C8D" w:rsidRPr="00220C8D" w:rsidRDefault="00220C8D" w:rsidP="00220C8D">
            <w:pPr>
              <w:snapToGrid w:val="0"/>
              <w:jc w:val="left"/>
              <w:rPr>
                <w:rFonts w:ascii="Arial Narrow" w:hAnsi="Arial Narrow"/>
                <w:snapToGrid/>
                <w:sz w:val="20"/>
                <w:szCs w:val="16"/>
              </w:rPr>
            </w:pPr>
            <w:r w:rsidRPr="00220C8D">
              <w:rPr>
                <w:rFonts w:ascii="Arial Narrow" w:hAnsi="Arial Narrow"/>
                <w:snapToGrid/>
                <w:sz w:val="20"/>
                <w:szCs w:val="16"/>
              </w:rPr>
              <w:t>Investigator reported</w:t>
            </w:r>
          </w:p>
        </w:tc>
        <w:tc>
          <w:tcPr>
            <w:tcW w:w="3118" w:type="dxa"/>
            <w:tcBorders>
              <w:top w:val="single" w:sz="4" w:space="0" w:color="auto"/>
              <w:left w:val="single" w:sz="4" w:space="0" w:color="auto"/>
              <w:bottom w:val="single" w:sz="4" w:space="0" w:color="auto"/>
              <w:right w:val="single" w:sz="4" w:space="0" w:color="auto"/>
            </w:tcBorders>
            <w:vAlign w:val="center"/>
            <w:hideMark/>
          </w:tcPr>
          <w:p w:rsidR="00220C8D" w:rsidRPr="00220C8D" w:rsidRDefault="00220C8D" w:rsidP="00220C8D">
            <w:pPr>
              <w:snapToGrid w:val="0"/>
              <w:jc w:val="center"/>
              <w:rPr>
                <w:rFonts w:ascii="Arial Narrow" w:hAnsi="Arial Narrow"/>
                <w:snapToGrid/>
                <w:sz w:val="20"/>
                <w:szCs w:val="16"/>
              </w:rPr>
            </w:pPr>
            <w:r w:rsidRPr="00220C8D">
              <w:rPr>
                <w:rFonts w:ascii="Arial Narrow" w:hAnsi="Arial Narrow"/>
                <w:snapToGrid/>
                <w:sz w:val="20"/>
                <w:szCs w:val="16"/>
              </w:rPr>
              <w:t xml:space="preserve">RR (95% CI) = </w:t>
            </w:r>
            <w:r w:rsidRPr="00311818">
              <w:rPr>
                <w:rFonts w:ascii="Arial Narrow" w:hAnsi="Arial Narrow"/>
                <w:snapToGrid/>
                <w:sz w:val="20"/>
                <w:szCs w:val="16"/>
              </w:rPr>
              <w:t>0.48 (0.18, 1.30)</w:t>
            </w:r>
          </w:p>
        </w:tc>
      </w:tr>
      <w:tr w:rsidR="00220C8D" w:rsidRPr="00220C8D" w:rsidTr="00220C8D">
        <w:tc>
          <w:tcPr>
            <w:tcW w:w="0" w:type="auto"/>
            <w:vMerge/>
            <w:tcBorders>
              <w:top w:val="single" w:sz="4" w:space="0" w:color="auto"/>
              <w:left w:val="single" w:sz="4" w:space="0" w:color="auto"/>
              <w:bottom w:val="single" w:sz="4" w:space="0" w:color="auto"/>
              <w:right w:val="single" w:sz="4" w:space="0" w:color="auto"/>
            </w:tcBorders>
            <w:vAlign w:val="center"/>
            <w:hideMark/>
          </w:tcPr>
          <w:p w:rsidR="00220C8D" w:rsidRPr="00220C8D" w:rsidRDefault="00220C8D" w:rsidP="00220C8D">
            <w:pPr>
              <w:widowControl/>
              <w:jc w:val="left"/>
              <w:rPr>
                <w:rFonts w:ascii="Arial Narrow" w:hAnsi="Arial Narrow"/>
                <w:snapToGrid/>
                <w:sz w:val="20"/>
                <w:szCs w:val="16"/>
              </w:rPr>
            </w:pPr>
          </w:p>
        </w:tc>
        <w:tc>
          <w:tcPr>
            <w:tcW w:w="3827" w:type="dxa"/>
            <w:tcBorders>
              <w:top w:val="single" w:sz="4" w:space="0" w:color="auto"/>
              <w:left w:val="single" w:sz="4" w:space="0" w:color="auto"/>
              <w:bottom w:val="single" w:sz="4" w:space="0" w:color="auto"/>
              <w:right w:val="single" w:sz="4" w:space="0" w:color="auto"/>
            </w:tcBorders>
            <w:vAlign w:val="center"/>
            <w:hideMark/>
          </w:tcPr>
          <w:p w:rsidR="00220C8D" w:rsidRPr="00220C8D" w:rsidRDefault="00220C8D" w:rsidP="00220C8D">
            <w:pPr>
              <w:snapToGrid w:val="0"/>
              <w:jc w:val="left"/>
              <w:rPr>
                <w:rFonts w:ascii="Arial Narrow" w:hAnsi="Arial Narrow"/>
                <w:snapToGrid/>
                <w:sz w:val="20"/>
                <w:szCs w:val="16"/>
              </w:rPr>
            </w:pPr>
            <w:r w:rsidRPr="00220C8D">
              <w:rPr>
                <w:rFonts w:ascii="Arial Narrow" w:hAnsi="Arial Narrow"/>
                <w:snapToGrid/>
                <w:sz w:val="20"/>
                <w:szCs w:val="16"/>
              </w:rPr>
              <w:t>Independent adjudication (Trial 32 &amp; 34)</w:t>
            </w:r>
          </w:p>
        </w:tc>
        <w:tc>
          <w:tcPr>
            <w:tcW w:w="3118" w:type="dxa"/>
            <w:tcBorders>
              <w:top w:val="single" w:sz="4" w:space="0" w:color="auto"/>
              <w:left w:val="single" w:sz="4" w:space="0" w:color="auto"/>
              <w:bottom w:val="single" w:sz="4" w:space="0" w:color="auto"/>
              <w:right w:val="single" w:sz="4" w:space="0" w:color="auto"/>
            </w:tcBorders>
            <w:vAlign w:val="center"/>
            <w:hideMark/>
          </w:tcPr>
          <w:p w:rsidR="00220C8D" w:rsidRPr="00220C8D" w:rsidRDefault="00220C8D" w:rsidP="00220C8D">
            <w:pPr>
              <w:snapToGrid w:val="0"/>
              <w:jc w:val="center"/>
              <w:rPr>
                <w:rFonts w:ascii="Arial Narrow" w:hAnsi="Arial Narrow"/>
                <w:snapToGrid/>
                <w:sz w:val="20"/>
                <w:szCs w:val="16"/>
              </w:rPr>
            </w:pPr>
            <w:r w:rsidRPr="00220C8D">
              <w:rPr>
                <w:rFonts w:ascii="Arial Narrow" w:hAnsi="Arial Narrow"/>
                <w:snapToGrid/>
                <w:sz w:val="20"/>
                <w:szCs w:val="16"/>
              </w:rPr>
              <w:t xml:space="preserve">RR (95% CI) = </w:t>
            </w:r>
            <w:r w:rsidRPr="00311818">
              <w:rPr>
                <w:rFonts w:ascii="Arial Narrow" w:hAnsi="Arial Narrow"/>
                <w:snapToGrid/>
                <w:sz w:val="20"/>
                <w:szCs w:val="16"/>
              </w:rPr>
              <w:t>0.35 (0.13, 0.94)</w:t>
            </w:r>
          </w:p>
        </w:tc>
      </w:tr>
      <w:tr w:rsidR="00220C8D" w:rsidRPr="00220C8D" w:rsidTr="00220C8D">
        <w:tc>
          <w:tcPr>
            <w:tcW w:w="5245" w:type="dxa"/>
            <w:gridSpan w:val="2"/>
            <w:tcBorders>
              <w:top w:val="single" w:sz="4" w:space="0" w:color="auto"/>
              <w:left w:val="single" w:sz="4" w:space="0" w:color="auto"/>
              <w:bottom w:val="single" w:sz="4" w:space="0" w:color="auto"/>
              <w:right w:val="single" w:sz="4" w:space="0" w:color="auto"/>
            </w:tcBorders>
            <w:vAlign w:val="center"/>
            <w:hideMark/>
          </w:tcPr>
          <w:p w:rsidR="00220C8D" w:rsidRPr="00220C8D" w:rsidRDefault="00220C8D" w:rsidP="00220C8D">
            <w:pPr>
              <w:snapToGrid w:val="0"/>
              <w:jc w:val="left"/>
              <w:rPr>
                <w:rFonts w:ascii="Arial Narrow" w:hAnsi="Arial Narrow"/>
                <w:snapToGrid/>
                <w:sz w:val="20"/>
                <w:szCs w:val="16"/>
              </w:rPr>
            </w:pPr>
            <w:r w:rsidRPr="00220C8D">
              <w:rPr>
                <w:rFonts w:ascii="Arial Narrow" w:hAnsi="Arial Narrow"/>
                <w:snapToGrid/>
                <w:sz w:val="20"/>
                <w:szCs w:val="16"/>
              </w:rPr>
              <w:t>Survival: all-cause mortality over 52 weeks</w:t>
            </w:r>
          </w:p>
        </w:tc>
        <w:tc>
          <w:tcPr>
            <w:tcW w:w="3118" w:type="dxa"/>
            <w:tcBorders>
              <w:top w:val="single" w:sz="4" w:space="0" w:color="auto"/>
              <w:left w:val="single" w:sz="4" w:space="0" w:color="auto"/>
              <w:bottom w:val="single" w:sz="4" w:space="0" w:color="auto"/>
              <w:right w:val="single" w:sz="4" w:space="0" w:color="auto"/>
            </w:tcBorders>
            <w:vAlign w:val="center"/>
            <w:hideMark/>
          </w:tcPr>
          <w:p w:rsidR="00220C8D" w:rsidRPr="00220C8D" w:rsidRDefault="00220C8D" w:rsidP="00220C8D">
            <w:pPr>
              <w:snapToGrid w:val="0"/>
              <w:jc w:val="center"/>
              <w:rPr>
                <w:rFonts w:ascii="Arial Narrow" w:hAnsi="Arial Narrow"/>
                <w:snapToGrid/>
                <w:sz w:val="20"/>
                <w:szCs w:val="16"/>
              </w:rPr>
            </w:pPr>
            <w:r w:rsidRPr="00220C8D">
              <w:rPr>
                <w:rFonts w:ascii="Arial Narrow" w:hAnsi="Arial Narrow"/>
                <w:snapToGrid/>
                <w:sz w:val="20"/>
                <w:szCs w:val="16"/>
              </w:rPr>
              <w:t>RR (95% CI) = 0.72 (0.48, 1.09)</w:t>
            </w:r>
          </w:p>
        </w:tc>
      </w:tr>
      <w:tr w:rsidR="00220C8D" w:rsidRPr="00220C8D" w:rsidTr="00220C8D">
        <w:tc>
          <w:tcPr>
            <w:tcW w:w="5245" w:type="dxa"/>
            <w:gridSpan w:val="2"/>
            <w:tcBorders>
              <w:top w:val="single" w:sz="4" w:space="0" w:color="auto"/>
              <w:left w:val="single" w:sz="4" w:space="0" w:color="auto"/>
              <w:bottom w:val="single" w:sz="4" w:space="0" w:color="auto"/>
              <w:right w:val="single" w:sz="4" w:space="0" w:color="auto"/>
            </w:tcBorders>
            <w:vAlign w:val="center"/>
            <w:hideMark/>
          </w:tcPr>
          <w:p w:rsidR="00220C8D" w:rsidRPr="00220C8D" w:rsidRDefault="00220C8D" w:rsidP="00220C8D">
            <w:pPr>
              <w:snapToGrid w:val="0"/>
              <w:jc w:val="left"/>
              <w:rPr>
                <w:rFonts w:ascii="Arial Narrow" w:hAnsi="Arial Narrow"/>
                <w:snapToGrid/>
                <w:sz w:val="20"/>
                <w:szCs w:val="16"/>
              </w:rPr>
            </w:pPr>
            <w:r w:rsidRPr="00220C8D">
              <w:rPr>
                <w:rFonts w:ascii="Arial Narrow" w:hAnsi="Arial Narrow"/>
                <w:snapToGrid/>
                <w:sz w:val="20"/>
                <w:szCs w:val="16"/>
              </w:rPr>
              <w:t>SGRQ: change from baseline over 52 weeks</w:t>
            </w:r>
          </w:p>
        </w:tc>
        <w:tc>
          <w:tcPr>
            <w:tcW w:w="3118" w:type="dxa"/>
            <w:tcBorders>
              <w:top w:val="single" w:sz="4" w:space="0" w:color="auto"/>
              <w:left w:val="single" w:sz="4" w:space="0" w:color="auto"/>
              <w:bottom w:val="single" w:sz="4" w:space="0" w:color="auto"/>
              <w:right w:val="single" w:sz="4" w:space="0" w:color="auto"/>
            </w:tcBorders>
            <w:vAlign w:val="center"/>
            <w:hideMark/>
          </w:tcPr>
          <w:p w:rsidR="00220C8D" w:rsidRPr="00220C8D" w:rsidRDefault="00220C8D" w:rsidP="00220C8D">
            <w:pPr>
              <w:snapToGrid w:val="0"/>
              <w:jc w:val="center"/>
              <w:rPr>
                <w:rFonts w:ascii="Arial Narrow" w:hAnsi="Arial Narrow"/>
                <w:snapToGrid/>
                <w:sz w:val="20"/>
                <w:szCs w:val="16"/>
              </w:rPr>
            </w:pPr>
            <w:r w:rsidRPr="00220C8D">
              <w:rPr>
                <w:rFonts w:ascii="Arial Narrow" w:hAnsi="Arial Narrow"/>
                <w:snapToGrid/>
                <w:sz w:val="20"/>
                <w:szCs w:val="16"/>
              </w:rPr>
              <w:t>MD (95% CI) = -2.41 (-5.26, 0.45)</w:t>
            </w:r>
          </w:p>
        </w:tc>
      </w:tr>
    </w:tbl>
    <w:p w:rsidR="00B60939" w:rsidRPr="00220C8D" w:rsidRDefault="00220C8D" w:rsidP="00220C8D">
      <w:pPr>
        <w:ind w:left="720"/>
        <w:rPr>
          <w:rFonts w:ascii="Arial Narrow" w:hAnsi="Arial Narrow"/>
          <w:sz w:val="18"/>
          <w:szCs w:val="22"/>
        </w:rPr>
      </w:pPr>
      <w:r w:rsidRPr="00220C8D">
        <w:rPr>
          <w:rFonts w:ascii="Arial Narrow" w:hAnsi="Arial Narrow"/>
          <w:sz w:val="18"/>
        </w:rPr>
        <w:t>Abbreviations: FVC = forced vital capacity; IPF = idiopathic pulmonary fibrosis; MD = mean difference; RR = relative risk; SGRQ = St George’s Respiratory Questionnaire.  Source: Table B.8-1, pp123-124 of the re-submission</w:t>
      </w:r>
    </w:p>
    <w:p w:rsidR="00220C8D" w:rsidRDefault="00220C8D" w:rsidP="00B60939">
      <w:pPr>
        <w:rPr>
          <w:szCs w:val="22"/>
        </w:rPr>
      </w:pPr>
    </w:p>
    <w:p w:rsidR="00220C8D" w:rsidRPr="009E6AC7" w:rsidRDefault="00220C8D" w:rsidP="00321D09">
      <w:pPr>
        <w:pStyle w:val="ListParagraph"/>
        <w:widowControl/>
        <w:numPr>
          <w:ilvl w:val="1"/>
          <w:numId w:val="2"/>
        </w:numPr>
        <w:rPr>
          <w:szCs w:val="22"/>
        </w:rPr>
      </w:pPr>
      <w:r>
        <w:rPr>
          <w:szCs w:val="22"/>
        </w:rPr>
        <w:t>At the March 2015 meeting, the PBAC noted that a statistically significant difference was observed in terms of change in FVC over 52 weeks and proportion of FVC responders.  There were no statistically significant d</w:t>
      </w:r>
      <w:r w:rsidR="00F527ED">
        <w:rPr>
          <w:szCs w:val="22"/>
        </w:rPr>
        <w:t>ifferences in overall survival, acute</w:t>
      </w:r>
      <w:r>
        <w:rPr>
          <w:szCs w:val="22"/>
        </w:rPr>
        <w:t xml:space="preserve"> investigator reported IPF exacerbations or disease specific quality of life measures.  The PBAC </w:t>
      </w:r>
      <w:r w:rsidR="006D0895">
        <w:rPr>
          <w:szCs w:val="22"/>
        </w:rPr>
        <w:t xml:space="preserve">previously </w:t>
      </w:r>
      <w:r>
        <w:rPr>
          <w:szCs w:val="22"/>
        </w:rPr>
        <w:t xml:space="preserve">acknowledged the challenge in demonstrating survival gain in </w:t>
      </w:r>
      <w:r w:rsidRPr="009E6AC7">
        <w:rPr>
          <w:szCs w:val="22"/>
        </w:rPr>
        <w:t>this population (Mar</w:t>
      </w:r>
      <w:r w:rsidR="00F402D4">
        <w:rPr>
          <w:szCs w:val="22"/>
        </w:rPr>
        <w:t>ch 2015, paragraph 7.7).</w:t>
      </w:r>
    </w:p>
    <w:p w:rsidR="009E6AC7" w:rsidRPr="00F402D4" w:rsidRDefault="009E6AC7" w:rsidP="009E6AC7">
      <w:pPr>
        <w:widowControl/>
        <w:rPr>
          <w:szCs w:val="22"/>
        </w:rPr>
      </w:pPr>
    </w:p>
    <w:p w:rsidR="009E6AC7" w:rsidRPr="00B6317B" w:rsidRDefault="009E6AC7" w:rsidP="009E6AC7">
      <w:pPr>
        <w:pStyle w:val="ListParagraph"/>
        <w:widowControl/>
        <w:numPr>
          <w:ilvl w:val="1"/>
          <w:numId w:val="2"/>
        </w:numPr>
        <w:rPr>
          <w:szCs w:val="22"/>
        </w:rPr>
      </w:pPr>
      <w:r w:rsidRPr="00B6317B">
        <w:rPr>
          <w:szCs w:val="22"/>
        </w:rPr>
        <w:t xml:space="preserve">The ESC noted the reduction in FVC%Pred is close to the </w:t>
      </w:r>
      <w:r w:rsidRPr="00B6317B">
        <w:t>minimally clinically important differen</w:t>
      </w:r>
      <w:r w:rsidR="00FB1003">
        <w:t>ce (MCID) as calculated by the a</w:t>
      </w:r>
      <w:r w:rsidRPr="00B6317B">
        <w:t xml:space="preserve">nchor based </w:t>
      </w:r>
      <w:r w:rsidR="00FB1003">
        <w:t xml:space="preserve">method </w:t>
      </w:r>
      <w:r w:rsidRPr="00B6317B">
        <w:t>an</w:t>
      </w:r>
      <w:r w:rsidR="00FB1003">
        <w:t>d the distribution based method</w:t>
      </w:r>
      <w:r w:rsidRPr="00B6317B">
        <w:t xml:space="preserve"> (see table below)</w:t>
      </w:r>
      <w:r w:rsidR="006D0895">
        <w:t>.</w:t>
      </w:r>
    </w:p>
    <w:p w:rsidR="009E6AC7" w:rsidRPr="00B6317B" w:rsidRDefault="009E6AC7" w:rsidP="009E6AC7">
      <w:pPr>
        <w:widowControl/>
        <w:rPr>
          <w:szCs w:val="22"/>
        </w:rPr>
      </w:pPr>
    </w:p>
    <w:p w:rsidR="009E6AC7" w:rsidRPr="00B6317B" w:rsidRDefault="009E6AC7" w:rsidP="009E6AC7">
      <w:pPr>
        <w:widowControl/>
        <w:ind w:left="709"/>
        <w:jc w:val="left"/>
        <w:rPr>
          <w:szCs w:val="22"/>
        </w:rPr>
      </w:pPr>
      <w:r w:rsidRPr="00B6317B">
        <w:rPr>
          <w:rStyle w:val="CommentReference"/>
        </w:rPr>
        <w:t xml:space="preserve">Table </w:t>
      </w:r>
      <w:r w:rsidR="00CB498B" w:rsidRPr="00B6317B">
        <w:rPr>
          <w:rStyle w:val="CommentReference"/>
        </w:rPr>
        <w:t>4</w:t>
      </w:r>
      <w:r w:rsidRPr="00B6317B">
        <w:rPr>
          <w:rStyle w:val="CommentReference"/>
        </w:rPr>
        <w:t>: Trial based derivation of MCID for FVC%Pred</w:t>
      </w:r>
    </w:p>
    <w:tbl>
      <w:tblPr>
        <w:tblStyle w:val="TableGrid"/>
        <w:tblW w:w="8363" w:type="dxa"/>
        <w:tblInd w:w="737" w:type="dxa"/>
        <w:tblCellMar>
          <w:left w:w="28" w:type="dxa"/>
          <w:right w:w="28" w:type="dxa"/>
        </w:tblCellMar>
        <w:tblLook w:val="04A0" w:firstRow="1" w:lastRow="0" w:firstColumn="1" w:lastColumn="0" w:noHBand="0" w:noVBand="1"/>
        <w:tblCaption w:val="Table 4: Trial based derivation of MCID for FVC%Pred"/>
      </w:tblPr>
      <w:tblGrid>
        <w:gridCol w:w="2126"/>
        <w:gridCol w:w="4155"/>
        <w:gridCol w:w="2082"/>
      </w:tblGrid>
      <w:tr w:rsidR="009E6AC7" w:rsidRPr="00B6317B" w:rsidTr="005D439E">
        <w:trPr>
          <w:tblHeader/>
        </w:trPr>
        <w:tc>
          <w:tcPr>
            <w:tcW w:w="6281" w:type="dxa"/>
            <w:gridSpan w:val="2"/>
            <w:vAlign w:val="center"/>
          </w:tcPr>
          <w:p w:rsidR="009E6AC7" w:rsidRPr="00B6317B" w:rsidRDefault="009E6AC7" w:rsidP="007A65A1">
            <w:pPr>
              <w:jc w:val="left"/>
              <w:rPr>
                <w:rFonts w:ascii="Arial Narrow" w:hAnsi="Arial Narrow"/>
                <w:b/>
                <w:sz w:val="20"/>
              </w:rPr>
            </w:pPr>
            <w:r w:rsidRPr="00B6317B">
              <w:rPr>
                <w:rFonts w:ascii="Arial Narrow" w:hAnsi="Arial Narrow"/>
                <w:b/>
                <w:sz w:val="20"/>
              </w:rPr>
              <w:t>MCID method</w:t>
            </w:r>
          </w:p>
        </w:tc>
        <w:tc>
          <w:tcPr>
            <w:tcW w:w="2082" w:type="dxa"/>
            <w:vAlign w:val="center"/>
          </w:tcPr>
          <w:p w:rsidR="009E6AC7" w:rsidRPr="00B6317B" w:rsidRDefault="009E6AC7" w:rsidP="007A65A1">
            <w:pPr>
              <w:jc w:val="center"/>
              <w:rPr>
                <w:rFonts w:ascii="Arial Narrow" w:hAnsi="Arial Narrow"/>
                <w:b/>
                <w:sz w:val="20"/>
              </w:rPr>
            </w:pPr>
            <w:r w:rsidRPr="00B6317B">
              <w:rPr>
                <w:rFonts w:ascii="Arial Narrow" w:hAnsi="Arial Narrow"/>
                <w:b/>
                <w:sz w:val="20"/>
              </w:rPr>
              <w:t>FVC%Pred</w:t>
            </w:r>
          </w:p>
        </w:tc>
      </w:tr>
      <w:tr w:rsidR="009E6AC7" w:rsidRPr="00B6317B" w:rsidTr="003757FB">
        <w:tc>
          <w:tcPr>
            <w:tcW w:w="2126" w:type="dxa"/>
            <w:vMerge w:val="restart"/>
            <w:vAlign w:val="center"/>
          </w:tcPr>
          <w:p w:rsidR="009E6AC7" w:rsidRPr="00B6317B" w:rsidRDefault="009E6AC7" w:rsidP="009E6AC7">
            <w:pPr>
              <w:jc w:val="left"/>
              <w:rPr>
                <w:rFonts w:ascii="Arial Narrow" w:hAnsi="Arial Narrow"/>
                <w:sz w:val="20"/>
              </w:rPr>
            </w:pPr>
            <w:r w:rsidRPr="00B6317B">
              <w:rPr>
                <w:rFonts w:ascii="Arial Narrow" w:hAnsi="Arial Narrow"/>
                <w:sz w:val="20"/>
              </w:rPr>
              <w:t>Anchor based: SGRQ subgroups, mean (95% CI)</w:t>
            </w:r>
          </w:p>
        </w:tc>
        <w:tc>
          <w:tcPr>
            <w:tcW w:w="4155" w:type="dxa"/>
            <w:vAlign w:val="center"/>
          </w:tcPr>
          <w:p w:rsidR="009E6AC7" w:rsidRPr="00B6317B" w:rsidRDefault="009E6AC7" w:rsidP="007A65A1">
            <w:pPr>
              <w:jc w:val="left"/>
              <w:rPr>
                <w:rFonts w:ascii="Arial Narrow" w:hAnsi="Arial Narrow"/>
                <w:sz w:val="20"/>
              </w:rPr>
            </w:pPr>
            <w:r w:rsidRPr="00B6317B">
              <w:rPr>
                <w:rFonts w:ascii="Arial Narrow" w:hAnsi="Arial Narrow"/>
                <w:sz w:val="20"/>
              </w:rPr>
              <w:t>Deterioration (≥4 points) vs Stable (+/- &lt;4 points)</w:t>
            </w:r>
          </w:p>
        </w:tc>
        <w:tc>
          <w:tcPr>
            <w:tcW w:w="2082" w:type="dxa"/>
            <w:vAlign w:val="center"/>
          </w:tcPr>
          <w:p w:rsidR="009E6AC7" w:rsidRPr="00B6317B" w:rsidRDefault="009E6AC7" w:rsidP="007A65A1">
            <w:pPr>
              <w:jc w:val="center"/>
              <w:rPr>
                <w:rFonts w:ascii="Arial Narrow" w:hAnsi="Arial Narrow"/>
                <w:sz w:val="20"/>
              </w:rPr>
            </w:pPr>
            <w:r w:rsidRPr="00B6317B">
              <w:rPr>
                <w:rFonts w:ascii="Arial Narrow" w:hAnsi="Arial Narrow"/>
                <w:sz w:val="20"/>
              </w:rPr>
              <w:t>-3.00 (-4.31, -1.69)</w:t>
            </w:r>
          </w:p>
        </w:tc>
      </w:tr>
      <w:tr w:rsidR="009E6AC7" w:rsidRPr="00B6317B" w:rsidTr="003757FB">
        <w:tc>
          <w:tcPr>
            <w:tcW w:w="2126" w:type="dxa"/>
            <w:vMerge/>
            <w:vAlign w:val="center"/>
          </w:tcPr>
          <w:p w:rsidR="009E6AC7" w:rsidRPr="00B6317B" w:rsidRDefault="009E6AC7" w:rsidP="007A65A1">
            <w:pPr>
              <w:jc w:val="left"/>
              <w:rPr>
                <w:rFonts w:ascii="Arial Narrow" w:hAnsi="Arial Narrow"/>
                <w:sz w:val="20"/>
              </w:rPr>
            </w:pPr>
          </w:p>
        </w:tc>
        <w:tc>
          <w:tcPr>
            <w:tcW w:w="4155" w:type="dxa"/>
            <w:vAlign w:val="center"/>
          </w:tcPr>
          <w:p w:rsidR="009E6AC7" w:rsidRPr="00BD1932" w:rsidRDefault="009E6AC7" w:rsidP="007A65A1">
            <w:pPr>
              <w:jc w:val="left"/>
              <w:rPr>
                <w:rFonts w:ascii="Arial Narrow" w:hAnsi="Arial Narrow"/>
                <w:sz w:val="20"/>
                <w:lang w:val="fr-FR"/>
              </w:rPr>
            </w:pPr>
            <w:r w:rsidRPr="00BD1932">
              <w:rPr>
                <w:rFonts w:ascii="Arial Narrow" w:hAnsi="Arial Narrow"/>
                <w:sz w:val="20"/>
                <w:lang w:val="fr-FR"/>
              </w:rPr>
              <w:t>Improvement (≤ -4 points) vs Stable (+/- &lt;4 points)</w:t>
            </w:r>
          </w:p>
        </w:tc>
        <w:tc>
          <w:tcPr>
            <w:tcW w:w="2082" w:type="dxa"/>
            <w:vAlign w:val="center"/>
          </w:tcPr>
          <w:p w:rsidR="009E6AC7" w:rsidRPr="00B6317B" w:rsidRDefault="009E6AC7" w:rsidP="007A65A1">
            <w:pPr>
              <w:jc w:val="center"/>
              <w:rPr>
                <w:rFonts w:ascii="Arial Narrow" w:hAnsi="Arial Narrow"/>
                <w:sz w:val="20"/>
              </w:rPr>
            </w:pPr>
            <w:r w:rsidRPr="00B6317B">
              <w:rPr>
                <w:rFonts w:ascii="Arial Narrow" w:hAnsi="Arial Narrow"/>
                <w:sz w:val="20"/>
              </w:rPr>
              <w:t>2.41 (0.97, 3.86)</w:t>
            </w:r>
          </w:p>
        </w:tc>
      </w:tr>
      <w:tr w:rsidR="009E6AC7" w:rsidRPr="00B6317B" w:rsidTr="003757FB">
        <w:tc>
          <w:tcPr>
            <w:tcW w:w="2126" w:type="dxa"/>
            <w:vMerge w:val="restart"/>
            <w:vAlign w:val="center"/>
          </w:tcPr>
          <w:p w:rsidR="009E6AC7" w:rsidRPr="00B6317B" w:rsidRDefault="009E6AC7" w:rsidP="007A65A1">
            <w:pPr>
              <w:jc w:val="left"/>
              <w:rPr>
                <w:rFonts w:ascii="Arial Narrow" w:hAnsi="Arial Narrow"/>
                <w:sz w:val="20"/>
              </w:rPr>
            </w:pPr>
            <w:r w:rsidRPr="00B6317B">
              <w:rPr>
                <w:rFonts w:ascii="Arial Narrow" w:hAnsi="Arial Narrow"/>
                <w:sz w:val="20"/>
              </w:rPr>
              <w:t xml:space="preserve">Distribution based: </w:t>
            </w:r>
          </w:p>
          <w:p w:rsidR="009E6AC7" w:rsidRPr="00B6317B" w:rsidRDefault="009E6AC7" w:rsidP="007A65A1">
            <w:pPr>
              <w:jc w:val="left"/>
              <w:rPr>
                <w:rFonts w:ascii="Arial Narrow" w:hAnsi="Arial Narrow"/>
                <w:sz w:val="20"/>
              </w:rPr>
            </w:pPr>
            <w:r w:rsidRPr="00B6317B">
              <w:rPr>
                <w:rFonts w:ascii="Arial Narrow" w:hAnsi="Arial Narrow"/>
                <w:sz w:val="20"/>
              </w:rPr>
              <w:t>Effect size = 0.2</w:t>
            </w:r>
          </w:p>
        </w:tc>
        <w:tc>
          <w:tcPr>
            <w:tcW w:w="4155" w:type="dxa"/>
            <w:vAlign w:val="center"/>
          </w:tcPr>
          <w:p w:rsidR="009E6AC7" w:rsidRPr="00B6317B" w:rsidRDefault="009E6AC7" w:rsidP="007A65A1">
            <w:pPr>
              <w:jc w:val="left"/>
              <w:rPr>
                <w:rFonts w:ascii="Arial Narrow" w:hAnsi="Arial Narrow"/>
                <w:sz w:val="20"/>
              </w:rPr>
            </w:pPr>
            <w:r w:rsidRPr="00B6317B">
              <w:rPr>
                <w:rFonts w:ascii="Arial Narrow" w:hAnsi="Arial Narrow"/>
                <w:sz w:val="20"/>
              </w:rPr>
              <w:t>Trial 30 (SD = 17.9)</w:t>
            </w:r>
          </w:p>
        </w:tc>
        <w:tc>
          <w:tcPr>
            <w:tcW w:w="2082" w:type="dxa"/>
            <w:vAlign w:val="center"/>
          </w:tcPr>
          <w:p w:rsidR="009E6AC7" w:rsidRPr="00B6317B" w:rsidRDefault="009E6AC7" w:rsidP="007A65A1">
            <w:pPr>
              <w:jc w:val="center"/>
              <w:rPr>
                <w:rFonts w:ascii="Arial Narrow" w:hAnsi="Arial Narrow"/>
                <w:sz w:val="20"/>
              </w:rPr>
            </w:pPr>
            <w:r w:rsidRPr="00B6317B">
              <w:rPr>
                <w:rFonts w:ascii="Arial Narrow" w:hAnsi="Arial Narrow"/>
                <w:sz w:val="20"/>
              </w:rPr>
              <w:t>3.58</w:t>
            </w:r>
          </w:p>
        </w:tc>
      </w:tr>
      <w:tr w:rsidR="009E6AC7" w:rsidRPr="00B6317B" w:rsidTr="003757FB">
        <w:tc>
          <w:tcPr>
            <w:tcW w:w="2126" w:type="dxa"/>
            <w:vMerge/>
            <w:vAlign w:val="center"/>
          </w:tcPr>
          <w:p w:rsidR="009E6AC7" w:rsidRPr="00B6317B" w:rsidRDefault="009E6AC7" w:rsidP="007A65A1">
            <w:pPr>
              <w:jc w:val="left"/>
              <w:rPr>
                <w:rFonts w:ascii="Arial Narrow" w:hAnsi="Arial Narrow"/>
                <w:sz w:val="20"/>
              </w:rPr>
            </w:pPr>
          </w:p>
        </w:tc>
        <w:tc>
          <w:tcPr>
            <w:tcW w:w="4155" w:type="dxa"/>
            <w:vAlign w:val="center"/>
          </w:tcPr>
          <w:p w:rsidR="009E6AC7" w:rsidRPr="00B6317B" w:rsidRDefault="009E6AC7" w:rsidP="007A65A1">
            <w:pPr>
              <w:jc w:val="left"/>
              <w:rPr>
                <w:rFonts w:ascii="Arial Narrow" w:hAnsi="Arial Narrow"/>
                <w:sz w:val="20"/>
              </w:rPr>
            </w:pPr>
            <w:r w:rsidRPr="00B6317B">
              <w:rPr>
                <w:rFonts w:ascii="Arial Narrow" w:hAnsi="Arial Narrow"/>
                <w:sz w:val="20"/>
              </w:rPr>
              <w:t>Trial 32 and 34 (SD = 17.82)</w:t>
            </w:r>
          </w:p>
        </w:tc>
        <w:tc>
          <w:tcPr>
            <w:tcW w:w="2082" w:type="dxa"/>
            <w:vAlign w:val="center"/>
          </w:tcPr>
          <w:p w:rsidR="009E6AC7" w:rsidRPr="00B6317B" w:rsidRDefault="009E6AC7" w:rsidP="007A65A1">
            <w:pPr>
              <w:jc w:val="center"/>
              <w:rPr>
                <w:rFonts w:ascii="Arial Narrow" w:hAnsi="Arial Narrow"/>
                <w:sz w:val="20"/>
              </w:rPr>
            </w:pPr>
            <w:r w:rsidRPr="00B6317B">
              <w:rPr>
                <w:rFonts w:ascii="Arial Narrow" w:hAnsi="Arial Narrow"/>
                <w:sz w:val="20"/>
              </w:rPr>
              <w:t>3.56</w:t>
            </w:r>
          </w:p>
        </w:tc>
      </w:tr>
    </w:tbl>
    <w:p w:rsidR="009E6AC7" w:rsidRPr="00B6317B" w:rsidRDefault="009E6AC7" w:rsidP="009E6AC7">
      <w:pPr>
        <w:ind w:left="709"/>
        <w:rPr>
          <w:rFonts w:ascii="Arial Narrow" w:hAnsi="Arial Narrow"/>
          <w:sz w:val="18"/>
        </w:rPr>
      </w:pPr>
      <w:r w:rsidRPr="00B6317B">
        <w:rPr>
          <w:rFonts w:ascii="Arial Narrow" w:hAnsi="Arial Narrow"/>
          <w:sz w:val="18"/>
        </w:rPr>
        <w:t>Abbreviations: FVC%Pred = forced vital capacity % predicted; MCID = minimally clinically important difference; SD = standard deviation; SGRQ = Saint George’s Respiratory Questionn</w:t>
      </w:r>
      <w:r w:rsidR="003757FB">
        <w:rPr>
          <w:rFonts w:ascii="Arial Narrow" w:hAnsi="Arial Narrow"/>
          <w:sz w:val="18"/>
        </w:rPr>
        <w:t>aire.</w:t>
      </w:r>
    </w:p>
    <w:p w:rsidR="009E6AC7" w:rsidRPr="00B6317B" w:rsidRDefault="009E6AC7" w:rsidP="009E6AC7">
      <w:pPr>
        <w:ind w:firstLine="709"/>
        <w:rPr>
          <w:rFonts w:ascii="Arial Narrow" w:hAnsi="Arial Narrow"/>
          <w:sz w:val="18"/>
        </w:rPr>
      </w:pPr>
      <w:r w:rsidRPr="00B6317B">
        <w:rPr>
          <w:rFonts w:ascii="Arial Narrow" w:hAnsi="Arial Narrow"/>
          <w:sz w:val="18"/>
        </w:rPr>
        <w:t>Source: Table B.5-4, Table B.5-5, pp80-81 of the re-submission</w:t>
      </w:r>
    </w:p>
    <w:p w:rsidR="009E0297" w:rsidRPr="00B6317B" w:rsidRDefault="009E0297" w:rsidP="009E0297">
      <w:pPr>
        <w:widowControl/>
        <w:rPr>
          <w:szCs w:val="22"/>
        </w:rPr>
      </w:pPr>
    </w:p>
    <w:p w:rsidR="009E0297" w:rsidRPr="00B6317B" w:rsidRDefault="009E0297" w:rsidP="00321D09">
      <w:pPr>
        <w:pStyle w:val="ListParagraph"/>
        <w:widowControl/>
        <w:numPr>
          <w:ilvl w:val="1"/>
          <w:numId w:val="2"/>
        </w:numPr>
        <w:rPr>
          <w:szCs w:val="22"/>
        </w:rPr>
      </w:pPr>
      <w:r w:rsidRPr="00B6317B">
        <w:rPr>
          <w:szCs w:val="22"/>
        </w:rPr>
        <w:t>A brief summary of results from the indirect comparison</w:t>
      </w:r>
      <w:r w:rsidR="00877238" w:rsidRPr="00B6317B">
        <w:rPr>
          <w:szCs w:val="22"/>
        </w:rPr>
        <w:t xml:space="preserve"> with pirfenidone</w:t>
      </w:r>
      <w:r w:rsidRPr="00B6317B">
        <w:rPr>
          <w:szCs w:val="22"/>
        </w:rPr>
        <w:t xml:space="preserve"> is </w:t>
      </w:r>
      <w:r w:rsidR="00877238" w:rsidRPr="00B6317B">
        <w:rPr>
          <w:szCs w:val="22"/>
        </w:rPr>
        <w:t xml:space="preserve">provided </w:t>
      </w:r>
      <w:r w:rsidR="00A33B08" w:rsidRPr="00B6317B">
        <w:rPr>
          <w:szCs w:val="22"/>
        </w:rPr>
        <w:t xml:space="preserve">in the table </w:t>
      </w:r>
      <w:r w:rsidR="00877238" w:rsidRPr="00B6317B">
        <w:rPr>
          <w:szCs w:val="22"/>
        </w:rPr>
        <w:t>below</w:t>
      </w:r>
      <w:r w:rsidR="00FF77E4" w:rsidRPr="00B6317B">
        <w:rPr>
          <w:szCs w:val="22"/>
        </w:rPr>
        <w:t>.</w:t>
      </w:r>
      <w:r w:rsidR="009F1C95" w:rsidRPr="00B6317B">
        <w:rPr>
          <w:szCs w:val="22"/>
        </w:rPr>
        <w:t xml:space="preserve"> The ESC </w:t>
      </w:r>
      <w:r w:rsidR="009E6AC7" w:rsidRPr="00B6317B">
        <w:rPr>
          <w:szCs w:val="22"/>
        </w:rPr>
        <w:t>not</w:t>
      </w:r>
      <w:r w:rsidR="009F1C95" w:rsidRPr="00B6317B">
        <w:rPr>
          <w:szCs w:val="22"/>
        </w:rPr>
        <w:t xml:space="preserve">ed that the </w:t>
      </w:r>
      <w:r w:rsidR="003214FC" w:rsidRPr="00B6317B">
        <w:rPr>
          <w:szCs w:val="22"/>
        </w:rPr>
        <w:t>point estimate</w:t>
      </w:r>
      <w:r w:rsidR="009E6AC7" w:rsidRPr="00B6317B">
        <w:rPr>
          <w:szCs w:val="22"/>
        </w:rPr>
        <w:t>s</w:t>
      </w:r>
      <w:r w:rsidR="003214FC" w:rsidRPr="00B6317B">
        <w:rPr>
          <w:szCs w:val="22"/>
        </w:rPr>
        <w:t xml:space="preserve"> favour </w:t>
      </w:r>
      <w:r w:rsidR="009F1C95" w:rsidRPr="00B6317B">
        <w:rPr>
          <w:szCs w:val="22"/>
        </w:rPr>
        <w:t>n</w:t>
      </w:r>
      <w:r w:rsidR="003214FC" w:rsidRPr="00B6317B">
        <w:rPr>
          <w:szCs w:val="22"/>
        </w:rPr>
        <w:t>in</w:t>
      </w:r>
      <w:r w:rsidR="009F1C95" w:rsidRPr="00B6317B">
        <w:rPr>
          <w:szCs w:val="22"/>
        </w:rPr>
        <w:t>tedanib.</w:t>
      </w:r>
    </w:p>
    <w:p w:rsidR="00220C8D" w:rsidRPr="003214FC" w:rsidRDefault="00220C8D" w:rsidP="00B60939">
      <w:pPr>
        <w:rPr>
          <w:szCs w:val="22"/>
        </w:rPr>
      </w:pPr>
    </w:p>
    <w:p w:rsidR="003278AF" w:rsidRDefault="003278AF" w:rsidP="003278AF">
      <w:pPr>
        <w:ind w:firstLine="720"/>
        <w:rPr>
          <w:rStyle w:val="CommentReference"/>
        </w:rPr>
      </w:pPr>
      <w:r w:rsidRPr="00E72709">
        <w:rPr>
          <w:rStyle w:val="CommentReference"/>
        </w:rPr>
        <w:t xml:space="preserve">Table </w:t>
      </w:r>
      <w:r w:rsidR="00392A22">
        <w:rPr>
          <w:rStyle w:val="CommentReference"/>
        </w:rPr>
        <w:t>5</w:t>
      </w:r>
      <w:r w:rsidRPr="00E72709">
        <w:rPr>
          <w:rStyle w:val="CommentReference"/>
        </w:rPr>
        <w:t>: Summary of results for the indirect comparison of nintedanib and pirfenidone</w:t>
      </w:r>
    </w:p>
    <w:tbl>
      <w:tblPr>
        <w:tblStyle w:val="TableGrid"/>
        <w:tblW w:w="4594" w:type="pct"/>
        <w:tblInd w:w="737" w:type="dxa"/>
        <w:tblCellMar>
          <w:left w:w="28" w:type="dxa"/>
          <w:right w:w="28" w:type="dxa"/>
        </w:tblCellMar>
        <w:tblLook w:val="04A0" w:firstRow="1" w:lastRow="0" w:firstColumn="1" w:lastColumn="0" w:noHBand="0" w:noVBand="1"/>
        <w:tblCaption w:val="Table 5: Summary of results for the indirect comparison of nintedanib and pirfenidone"/>
      </w:tblPr>
      <w:tblGrid>
        <w:gridCol w:w="3687"/>
        <w:gridCol w:w="991"/>
        <w:gridCol w:w="1701"/>
        <w:gridCol w:w="1966"/>
      </w:tblGrid>
      <w:tr w:rsidR="003278AF" w:rsidTr="005D439E">
        <w:trPr>
          <w:trHeight w:val="20"/>
          <w:tblHeader/>
        </w:trPr>
        <w:tc>
          <w:tcPr>
            <w:tcW w:w="2803" w:type="pct"/>
            <w:gridSpan w:val="2"/>
            <w:vMerge w:val="restart"/>
            <w:vAlign w:val="center"/>
          </w:tcPr>
          <w:p w:rsidR="003278AF" w:rsidRDefault="003278AF" w:rsidP="006F37CF">
            <w:pPr>
              <w:jc w:val="left"/>
              <w:rPr>
                <w:rStyle w:val="CommentReference"/>
              </w:rPr>
            </w:pPr>
            <w:r>
              <w:rPr>
                <w:rStyle w:val="CommentReference"/>
              </w:rPr>
              <w:t>Outcome</w:t>
            </w:r>
          </w:p>
        </w:tc>
        <w:tc>
          <w:tcPr>
            <w:tcW w:w="2197" w:type="pct"/>
            <w:gridSpan w:val="2"/>
            <w:vAlign w:val="center"/>
          </w:tcPr>
          <w:p w:rsidR="003278AF" w:rsidRDefault="003278AF" w:rsidP="003278AF">
            <w:pPr>
              <w:jc w:val="center"/>
              <w:rPr>
                <w:rStyle w:val="CommentReference"/>
              </w:rPr>
            </w:pPr>
            <w:r>
              <w:rPr>
                <w:rStyle w:val="CommentReference"/>
              </w:rPr>
              <w:t>Indirect Comparison: NTB vs Pirfenidone</w:t>
            </w:r>
          </w:p>
        </w:tc>
      </w:tr>
      <w:tr w:rsidR="003278AF" w:rsidTr="005D439E">
        <w:trPr>
          <w:trHeight w:val="20"/>
          <w:tblHeader/>
        </w:trPr>
        <w:tc>
          <w:tcPr>
            <w:tcW w:w="2803" w:type="pct"/>
            <w:gridSpan w:val="2"/>
            <w:vMerge/>
            <w:vAlign w:val="center"/>
          </w:tcPr>
          <w:p w:rsidR="003278AF" w:rsidRDefault="003278AF" w:rsidP="006F37CF">
            <w:pPr>
              <w:jc w:val="left"/>
              <w:rPr>
                <w:rStyle w:val="CommentReference"/>
              </w:rPr>
            </w:pPr>
          </w:p>
        </w:tc>
        <w:tc>
          <w:tcPr>
            <w:tcW w:w="1019" w:type="pct"/>
            <w:vAlign w:val="center"/>
          </w:tcPr>
          <w:p w:rsidR="003278AF" w:rsidRDefault="003278AF" w:rsidP="006F37CF">
            <w:pPr>
              <w:jc w:val="center"/>
              <w:rPr>
                <w:rStyle w:val="CommentReference"/>
              </w:rPr>
            </w:pPr>
            <w:r>
              <w:rPr>
                <w:rStyle w:val="CommentReference"/>
              </w:rPr>
              <w:t>NTB ITT population</w:t>
            </w:r>
          </w:p>
          <w:p w:rsidR="003278AF" w:rsidRDefault="003278AF" w:rsidP="006F37CF">
            <w:pPr>
              <w:jc w:val="center"/>
              <w:rPr>
                <w:rStyle w:val="CommentReference"/>
              </w:rPr>
            </w:pPr>
            <w:r>
              <w:rPr>
                <w:rStyle w:val="CommentReference"/>
              </w:rPr>
              <w:t>vs CAPACITY</w:t>
            </w:r>
          </w:p>
        </w:tc>
        <w:tc>
          <w:tcPr>
            <w:tcW w:w="1178" w:type="pct"/>
            <w:vAlign w:val="center"/>
          </w:tcPr>
          <w:p w:rsidR="003278AF" w:rsidRDefault="003278AF" w:rsidP="006F37CF">
            <w:pPr>
              <w:jc w:val="center"/>
              <w:rPr>
                <w:rStyle w:val="CommentReference"/>
              </w:rPr>
            </w:pPr>
            <w:r>
              <w:rPr>
                <w:rStyle w:val="CommentReference"/>
              </w:rPr>
              <w:t>NTB matched patient population^ vs ASCEND</w:t>
            </w:r>
          </w:p>
        </w:tc>
      </w:tr>
      <w:tr w:rsidR="003278AF" w:rsidRPr="002D013E" w:rsidTr="003278AF">
        <w:trPr>
          <w:trHeight w:val="20"/>
        </w:trPr>
        <w:tc>
          <w:tcPr>
            <w:tcW w:w="2209" w:type="pct"/>
            <w:vAlign w:val="center"/>
          </w:tcPr>
          <w:p w:rsidR="003278AF" w:rsidRPr="002D013E" w:rsidRDefault="003278AF" w:rsidP="006F37CF">
            <w:pPr>
              <w:jc w:val="left"/>
              <w:rPr>
                <w:rStyle w:val="CommentReference"/>
                <w:b w:val="0"/>
              </w:rPr>
            </w:pPr>
            <w:r>
              <w:rPr>
                <w:rStyle w:val="CommentReference"/>
                <w:b w:val="0"/>
              </w:rPr>
              <w:t>Overall survival</w:t>
            </w:r>
          </w:p>
        </w:tc>
        <w:tc>
          <w:tcPr>
            <w:tcW w:w="594" w:type="pct"/>
            <w:vAlign w:val="center"/>
          </w:tcPr>
          <w:p w:rsidR="003278AF" w:rsidRPr="002D013E" w:rsidRDefault="003278AF" w:rsidP="006F37CF">
            <w:pPr>
              <w:jc w:val="center"/>
              <w:rPr>
                <w:rStyle w:val="CommentReference"/>
                <w:b w:val="0"/>
              </w:rPr>
            </w:pPr>
            <w:r>
              <w:rPr>
                <w:rStyle w:val="CommentReference"/>
                <w:b w:val="0"/>
              </w:rPr>
              <w:t>HR (95% CI)</w:t>
            </w:r>
          </w:p>
        </w:tc>
        <w:tc>
          <w:tcPr>
            <w:tcW w:w="1019" w:type="pct"/>
            <w:vAlign w:val="center"/>
          </w:tcPr>
          <w:p w:rsidR="003278AF" w:rsidRPr="002D013E" w:rsidRDefault="003278AF" w:rsidP="006F37CF">
            <w:pPr>
              <w:jc w:val="center"/>
              <w:rPr>
                <w:rStyle w:val="CommentReference"/>
                <w:b w:val="0"/>
              </w:rPr>
            </w:pPr>
            <w:r w:rsidRPr="00C63A53">
              <w:rPr>
                <w:rStyle w:val="CommentReference"/>
                <w:b w:val="0"/>
              </w:rPr>
              <w:t>1.03 (0.53, 1.97)</w:t>
            </w:r>
          </w:p>
        </w:tc>
        <w:tc>
          <w:tcPr>
            <w:tcW w:w="1178" w:type="pct"/>
            <w:vAlign w:val="center"/>
          </w:tcPr>
          <w:p w:rsidR="003278AF" w:rsidRPr="00F146E1" w:rsidRDefault="00F146E1" w:rsidP="006F37CF">
            <w:pPr>
              <w:jc w:val="center"/>
              <w:rPr>
                <w:rStyle w:val="CommentReference"/>
                <w:b w:val="0"/>
                <w:highlight w:val="black"/>
              </w:rPr>
            </w:pPr>
            <w:r>
              <w:rPr>
                <w:rStyle w:val="CommentReference"/>
                <w:b w:val="0"/>
                <w:noProof/>
                <w:color w:val="000000"/>
                <w:highlight w:val="black"/>
              </w:rPr>
              <w:t>'''''''''' '''''''''''''''' ''''''''''''''</w:t>
            </w:r>
          </w:p>
        </w:tc>
      </w:tr>
      <w:tr w:rsidR="003278AF" w:rsidRPr="002D013E" w:rsidTr="003278AF">
        <w:trPr>
          <w:trHeight w:val="20"/>
        </w:trPr>
        <w:tc>
          <w:tcPr>
            <w:tcW w:w="2209" w:type="pct"/>
            <w:vAlign w:val="center"/>
          </w:tcPr>
          <w:p w:rsidR="003278AF" w:rsidRPr="002D013E" w:rsidRDefault="003278AF" w:rsidP="006F37CF">
            <w:pPr>
              <w:jc w:val="left"/>
              <w:rPr>
                <w:rStyle w:val="CommentReference"/>
                <w:b w:val="0"/>
              </w:rPr>
            </w:pPr>
            <w:r>
              <w:rPr>
                <w:rStyle w:val="CommentReference"/>
                <w:b w:val="0"/>
              </w:rPr>
              <w:t>Exacerbations – Investigator reported</w:t>
            </w:r>
          </w:p>
        </w:tc>
        <w:tc>
          <w:tcPr>
            <w:tcW w:w="594" w:type="pct"/>
            <w:vAlign w:val="center"/>
          </w:tcPr>
          <w:p w:rsidR="003278AF" w:rsidRPr="002D013E" w:rsidRDefault="003278AF" w:rsidP="006F37CF">
            <w:pPr>
              <w:jc w:val="center"/>
              <w:rPr>
                <w:rStyle w:val="CommentReference"/>
                <w:b w:val="0"/>
              </w:rPr>
            </w:pPr>
            <w:r>
              <w:rPr>
                <w:rStyle w:val="CommentReference"/>
                <w:b w:val="0"/>
              </w:rPr>
              <w:t>RR (95% CI)</w:t>
            </w:r>
          </w:p>
        </w:tc>
        <w:tc>
          <w:tcPr>
            <w:tcW w:w="1019" w:type="pct"/>
            <w:vAlign w:val="center"/>
          </w:tcPr>
          <w:p w:rsidR="003278AF" w:rsidRPr="002D013E" w:rsidRDefault="003278AF" w:rsidP="006F37CF">
            <w:pPr>
              <w:jc w:val="center"/>
              <w:rPr>
                <w:rStyle w:val="CommentReference"/>
                <w:b w:val="0"/>
              </w:rPr>
            </w:pPr>
            <w:r w:rsidRPr="00C63A53">
              <w:rPr>
                <w:rStyle w:val="CommentReference"/>
                <w:b w:val="0"/>
              </w:rPr>
              <w:t>0.64 (0.15, 2.76)</w:t>
            </w:r>
          </w:p>
        </w:tc>
        <w:tc>
          <w:tcPr>
            <w:tcW w:w="1178" w:type="pct"/>
            <w:vMerge w:val="restart"/>
            <w:vAlign w:val="center"/>
          </w:tcPr>
          <w:p w:rsidR="003278AF" w:rsidRPr="002D013E" w:rsidRDefault="003278AF" w:rsidP="006F37CF">
            <w:pPr>
              <w:jc w:val="center"/>
              <w:rPr>
                <w:rStyle w:val="CommentReference"/>
                <w:b w:val="0"/>
              </w:rPr>
            </w:pPr>
            <w:r>
              <w:rPr>
                <w:rStyle w:val="CommentReference"/>
                <w:b w:val="0"/>
              </w:rPr>
              <w:t>NR</w:t>
            </w:r>
          </w:p>
        </w:tc>
      </w:tr>
      <w:tr w:rsidR="003278AF" w:rsidRPr="002D013E" w:rsidTr="003278AF">
        <w:trPr>
          <w:trHeight w:val="20"/>
        </w:trPr>
        <w:tc>
          <w:tcPr>
            <w:tcW w:w="2209" w:type="pct"/>
            <w:vAlign w:val="center"/>
          </w:tcPr>
          <w:p w:rsidR="003278AF" w:rsidRPr="002D013E" w:rsidRDefault="003278AF" w:rsidP="006F37CF">
            <w:pPr>
              <w:jc w:val="left"/>
              <w:rPr>
                <w:rStyle w:val="CommentReference"/>
                <w:b w:val="0"/>
              </w:rPr>
            </w:pPr>
            <w:r>
              <w:rPr>
                <w:rStyle w:val="CommentReference"/>
                <w:b w:val="0"/>
              </w:rPr>
              <w:t>Progression free survival</w:t>
            </w:r>
          </w:p>
        </w:tc>
        <w:tc>
          <w:tcPr>
            <w:tcW w:w="594" w:type="pct"/>
            <w:vAlign w:val="center"/>
          </w:tcPr>
          <w:p w:rsidR="003278AF" w:rsidRPr="002D013E" w:rsidRDefault="003278AF" w:rsidP="006F37CF">
            <w:pPr>
              <w:jc w:val="center"/>
              <w:rPr>
                <w:rStyle w:val="CommentReference"/>
                <w:b w:val="0"/>
              </w:rPr>
            </w:pPr>
            <w:r>
              <w:rPr>
                <w:rStyle w:val="CommentReference"/>
                <w:b w:val="0"/>
              </w:rPr>
              <w:t>HR (95% CI)</w:t>
            </w:r>
          </w:p>
        </w:tc>
        <w:tc>
          <w:tcPr>
            <w:tcW w:w="1019" w:type="pct"/>
            <w:vAlign w:val="center"/>
          </w:tcPr>
          <w:p w:rsidR="003278AF" w:rsidRPr="002D013E" w:rsidRDefault="003278AF" w:rsidP="006F37CF">
            <w:pPr>
              <w:jc w:val="center"/>
              <w:rPr>
                <w:rStyle w:val="CommentReference"/>
                <w:b w:val="0"/>
              </w:rPr>
            </w:pPr>
            <w:r w:rsidRPr="00C63A53">
              <w:rPr>
                <w:rStyle w:val="CommentReference"/>
                <w:b w:val="0"/>
              </w:rPr>
              <w:t>1.00 (0.71, 1.39)</w:t>
            </w:r>
          </w:p>
        </w:tc>
        <w:tc>
          <w:tcPr>
            <w:tcW w:w="1178" w:type="pct"/>
            <w:vMerge/>
            <w:vAlign w:val="center"/>
          </w:tcPr>
          <w:p w:rsidR="003278AF" w:rsidRPr="002D013E" w:rsidRDefault="003278AF" w:rsidP="006F37CF">
            <w:pPr>
              <w:jc w:val="center"/>
              <w:rPr>
                <w:rStyle w:val="CommentReference"/>
                <w:b w:val="0"/>
              </w:rPr>
            </w:pPr>
          </w:p>
        </w:tc>
      </w:tr>
      <w:tr w:rsidR="003278AF" w:rsidRPr="002D013E" w:rsidTr="003278AF">
        <w:trPr>
          <w:trHeight w:val="20"/>
        </w:trPr>
        <w:tc>
          <w:tcPr>
            <w:tcW w:w="2209" w:type="pct"/>
            <w:vAlign w:val="center"/>
          </w:tcPr>
          <w:p w:rsidR="003278AF" w:rsidRPr="002D013E" w:rsidRDefault="003278AF" w:rsidP="006F37CF">
            <w:pPr>
              <w:jc w:val="left"/>
              <w:rPr>
                <w:rStyle w:val="CommentReference"/>
                <w:b w:val="0"/>
              </w:rPr>
            </w:pPr>
            <w:r>
              <w:rPr>
                <w:rStyle w:val="CommentReference"/>
                <w:b w:val="0"/>
              </w:rPr>
              <w:t>FVC%pred: 10 point decline</w:t>
            </w:r>
          </w:p>
        </w:tc>
        <w:tc>
          <w:tcPr>
            <w:tcW w:w="594" w:type="pct"/>
            <w:vAlign w:val="center"/>
          </w:tcPr>
          <w:p w:rsidR="003278AF" w:rsidRPr="002D013E" w:rsidRDefault="003278AF" w:rsidP="006F37CF">
            <w:pPr>
              <w:jc w:val="center"/>
              <w:rPr>
                <w:rStyle w:val="CommentReference"/>
                <w:b w:val="0"/>
              </w:rPr>
            </w:pPr>
            <w:r>
              <w:rPr>
                <w:rStyle w:val="CommentReference"/>
                <w:b w:val="0"/>
              </w:rPr>
              <w:t>RR (95% CI)</w:t>
            </w:r>
          </w:p>
        </w:tc>
        <w:tc>
          <w:tcPr>
            <w:tcW w:w="1019" w:type="pct"/>
            <w:vAlign w:val="center"/>
          </w:tcPr>
          <w:p w:rsidR="003278AF" w:rsidRPr="002D013E" w:rsidRDefault="003278AF" w:rsidP="006F37CF">
            <w:pPr>
              <w:jc w:val="center"/>
              <w:rPr>
                <w:rStyle w:val="CommentReference"/>
                <w:b w:val="0"/>
              </w:rPr>
            </w:pPr>
            <w:r w:rsidRPr="00C63A53">
              <w:rPr>
                <w:rStyle w:val="CommentReference"/>
                <w:b w:val="0"/>
              </w:rPr>
              <w:t>0.86 (0.61, 1.23)</w:t>
            </w:r>
          </w:p>
        </w:tc>
        <w:tc>
          <w:tcPr>
            <w:tcW w:w="1178" w:type="pct"/>
            <w:vMerge/>
            <w:vAlign w:val="center"/>
          </w:tcPr>
          <w:p w:rsidR="003278AF" w:rsidRPr="002D013E" w:rsidRDefault="003278AF" w:rsidP="006F37CF">
            <w:pPr>
              <w:jc w:val="center"/>
              <w:rPr>
                <w:rStyle w:val="CommentReference"/>
                <w:b w:val="0"/>
              </w:rPr>
            </w:pPr>
          </w:p>
        </w:tc>
      </w:tr>
      <w:tr w:rsidR="003278AF" w:rsidRPr="002D013E" w:rsidTr="003278AF">
        <w:trPr>
          <w:trHeight w:val="20"/>
        </w:trPr>
        <w:tc>
          <w:tcPr>
            <w:tcW w:w="2209" w:type="pct"/>
            <w:vAlign w:val="center"/>
          </w:tcPr>
          <w:p w:rsidR="003278AF" w:rsidRPr="002D013E" w:rsidRDefault="003278AF" w:rsidP="003278AF">
            <w:pPr>
              <w:jc w:val="left"/>
              <w:rPr>
                <w:rStyle w:val="CommentReference"/>
                <w:b w:val="0"/>
              </w:rPr>
            </w:pPr>
            <w:r>
              <w:rPr>
                <w:rStyle w:val="CommentReference"/>
                <w:b w:val="0"/>
              </w:rPr>
              <w:t>FVC%pred: 10 point decline or death (52 weeks)</w:t>
            </w:r>
          </w:p>
        </w:tc>
        <w:tc>
          <w:tcPr>
            <w:tcW w:w="594" w:type="pct"/>
            <w:vAlign w:val="center"/>
          </w:tcPr>
          <w:p w:rsidR="003278AF" w:rsidRPr="002D013E" w:rsidRDefault="003278AF" w:rsidP="006F37CF">
            <w:pPr>
              <w:jc w:val="center"/>
              <w:rPr>
                <w:rStyle w:val="CommentReference"/>
                <w:b w:val="0"/>
              </w:rPr>
            </w:pPr>
            <w:r>
              <w:rPr>
                <w:rStyle w:val="CommentReference"/>
                <w:b w:val="0"/>
              </w:rPr>
              <w:t>RR (95% CI)</w:t>
            </w:r>
          </w:p>
        </w:tc>
        <w:tc>
          <w:tcPr>
            <w:tcW w:w="1019" w:type="pct"/>
            <w:vAlign w:val="center"/>
          </w:tcPr>
          <w:p w:rsidR="003278AF" w:rsidRPr="002D013E" w:rsidRDefault="003278AF" w:rsidP="006F37CF">
            <w:pPr>
              <w:jc w:val="center"/>
              <w:rPr>
                <w:rStyle w:val="CommentReference"/>
                <w:b w:val="0"/>
              </w:rPr>
            </w:pPr>
            <w:r>
              <w:rPr>
                <w:rStyle w:val="CommentReference"/>
                <w:b w:val="0"/>
              </w:rPr>
              <w:t>NR</w:t>
            </w:r>
          </w:p>
        </w:tc>
        <w:tc>
          <w:tcPr>
            <w:tcW w:w="1178" w:type="pct"/>
            <w:vAlign w:val="center"/>
          </w:tcPr>
          <w:p w:rsidR="003278AF" w:rsidRPr="00F146E1" w:rsidRDefault="00F146E1" w:rsidP="006F37CF">
            <w:pPr>
              <w:jc w:val="center"/>
              <w:rPr>
                <w:rStyle w:val="CommentReference"/>
                <w:b w:val="0"/>
                <w:highlight w:val="black"/>
              </w:rPr>
            </w:pPr>
            <w:r>
              <w:rPr>
                <w:rStyle w:val="CommentReference"/>
                <w:b w:val="0"/>
                <w:noProof/>
                <w:color w:val="000000"/>
                <w:highlight w:val="black"/>
              </w:rPr>
              <w:t>'''''''''''' '''''''''''''' '''''''''''</w:t>
            </w:r>
          </w:p>
        </w:tc>
      </w:tr>
    </w:tbl>
    <w:p w:rsidR="003278AF" w:rsidRDefault="003278AF" w:rsidP="003278AF">
      <w:pPr>
        <w:ind w:left="720"/>
        <w:rPr>
          <w:rFonts w:ascii="Arial Narrow" w:hAnsi="Arial Narrow"/>
          <w:sz w:val="18"/>
        </w:rPr>
      </w:pPr>
      <w:r>
        <w:rPr>
          <w:rFonts w:ascii="Arial Narrow" w:hAnsi="Arial Narrow"/>
          <w:sz w:val="18"/>
        </w:rPr>
        <w:t xml:space="preserve">^ </w:t>
      </w:r>
      <w:r w:rsidRPr="0039548A">
        <w:rPr>
          <w:rFonts w:ascii="Arial Narrow" w:hAnsi="Arial Narrow"/>
          <w:sz w:val="18"/>
        </w:rPr>
        <w:t xml:space="preserve">The </w:t>
      </w:r>
      <w:r>
        <w:rPr>
          <w:rFonts w:ascii="Arial Narrow" w:hAnsi="Arial Narrow"/>
          <w:sz w:val="18"/>
        </w:rPr>
        <w:t>re-</w:t>
      </w:r>
      <w:r w:rsidRPr="0039548A">
        <w:rPr>
          <w:rFonts w:ascii="Arial Narrow" w:hAnsi="Arial Narrow"/>
          <w:sz w:val="18"/>
        </w:rPr>
        <w:t xml:space="preserve">submission applies a post hoc adjustment to the nintedanib results via a matched patient cohort based on the ASCEND inclusion criteria.  The </w:t>
      </w:r>
      <w:r>
        <w:rPr>
          <w:rFonts w:ascii="Arial Narrow" w:hAnsi="Arial Narrow"/>
          <w:sz w:val="18"/>
        </w:rPr>
        <w:t>re-</w:t>
      </w:r>
      <w:r w:rsidRPr="0039548A">
        <w:rPr>
          <w:rFonts w:ascii="Arial Narrow" w:hAnsi="Arial Narrow"/>
          <w:sz w:val="18"/>
        </w:rPr>
        <w:t>submission states (Attachment 1, p1</w:t>
      </w:r>
      <w:r>
        <w:rPr>
          <w:rFonts w:ascii="Arial Narrow" w:hAnsi="Arial Narrow"/>
          <w:sz w:val="18"/>
        </w:rPr>
        <w:t>-</w:t>
      </w:r>
      <w:r w:rsidRPr="0039548A">
        <w:rPr>
          <w:rFonts w:ascii="Arial Narrow" w:hAnsi="Arial Narrow"/>
          <w:sz w:val="18"/>
        </w:rPr>
        <w:t xml:space="preserve">) that there was a lack of comparability between the baseline characteristics of the trial populations.  This was attributed to the ASCEND trial recruiting patients with an increased risk of disease progression.  In comparison to the inclusion criteria applied in the nintedanib phase 3 trials, the ASCEND trial required patients to have: (1) Clinical symptoms consistent with IPF of ≥ 12 months and diagnosis of IPF at least 6 months and no more than 48 months before randomisation; (2) Increased hurdle requirements for the diagnosis of IPF: patients with possible </w:t>
      </w:r>
      <w:r>
        <w:rPr>
          <w:rFonts w:ascii="Arial Narrow" w:hAnsi="Arial Narrow"/>
          <w:sz w:val="18"/>
        </w:rPr>
        <w:t>usual interstitial pneumonia</w:t>
      </w:r>
      <w:r w:rsidRPr="0039548A">
        <w:rPr>
          <w:rFonts w:ascii="Arial Narrow" w:hAnsi="Arial Narrow"/>
          <w:sz w:val="18"/>
        </w:rPr>
        <w:t xml:space="preserve"> without surgi</w:t>
      </w:r>
      <w:r w:rsidR="003757FB">
        <w:rPr>
          <w:rFonts w:ascii="Arial Narrow" w:hAnsi="Arial Narrow"/>
          <w:sz w:val="18"/>
        </w:rPr>
        <w:t>cal lung biopsy were excluded.</w:t>
      </w:r>
    </w:p>
    <w:p w:rsidR="003278AF" w:rsidRPr="0039548A" w:rsidRDefault="003278AF" w:rsidP="00D11347">
      <w:pPr>
        <w:ind w:left="720"/>
        <w:rPr>
          <w:rFonts w:ascii="Arial Narrow" w:hAnsi="Arial Narrow"/>
          <w:sz w:val="18"/>
        </w:rPr>
      </w:pPr>
      <w:r>
        <w:rPr>
          <w:rStyle w:val="CommentReference"/>
          <w:b w:val="0"/>
          <w:sz w:val="18"/>
        </w:rPr>
        <w:t xml:space="preserve">Abbreviations: FVC = forced vital capacity; </w:t>
      </w:r>
      <w:r w:rsidR="00D11347">
        <w:rPr>
          <w:rStyle w:val="CommentReference"/>
          <w:b w:val="0"/>
          <w:sz w:val="18"/>
        </w:rPr>
        <w:t xml:space="preserve">HR = hazard ratio; </w:t>
      </w:r>
      <w:r>
        <w:rPr>
          <w:rStyle w:val="CommentReference"/>
          <w:b w:val="0"/>
          <w:sz w:val="18"/>
        </w:rPr>
        <w:t>ITT = intention to treat; NR = not reported; NTB = nintedanib</w:t>
      </w:r>
      <w:r w:rsidR="00D11347">
        <w:rPr>
          <w:rStyle w:val="CommentReference"/>
          <w:b w:val="0"/>
          <w:sz w:val="18"/>
        </w:rPr>
        <w:t xml:space="preserve">; RR = relative risk.  </w:t>
      </w:r>
      <w:r>
        <w:rPr>
          <w:rFonts w:ascii="Arial Narrow" w:hAnsi="Arial Narrow"/>
          <w:sz w:val="18"/>
        </w:rPr>
        <w:t>Source: Attachment 1 of the re-submission</w:t>
      </w:r>
    </w:p>
    <w:p w:rsidR="003278AF" w:rsidRDefault="003278AF" w:rsidP="00B60939">
      <w:pPr>
        <w:rPr>
          <w:szCs w:val="22"/>
        </w:rPr>
      </w:pPr>
    </w:p>
    <w:p w:rsidR="00127BC0" w:rsidRPr="00B6317B" w:rsidRDefault="00127BC0" w:rsidP="00127BC0">
      <w:pPr>
        <w:pStyle w:val="ListParagraph"/>
        <w:widowControl/>
        <w:numPr>
          <w:ilvl w:val="1"/>
          <w:numId w:val="2"/>
        </w:numPr>
      </w:pPr>
      <w:r w:rsidRPr="00B6317B">
        <w:t>Although the reduction in FVC in the placebo groups of the pirfenidone studies are similar, as noted in the FDA report in the NEJM (see figure below), it is important to note that the CAPACITY studies were over 72 weeks and the ASCEND over 52 weeks, the same as nintedanib. The ESC considered it clear that the pirfenidone studies recruited patients with more accelerated decline in FVC than the nintedanib studies, especially the ASCEND study.</w:t>
      </w:r>
    </w:p>
    <w:p w:rsidR="00127BC0" w:rsidRPr="00B6317B" w:rsidRDefault="00127BC0" w:rsidP="00127BC0">
      <w:pPr>
        <w:widowControl/>
      </w:pPr>
    </w:p>
    <w:p w:rsidR="00127BC0" w:rsidRPr="006A3BDE" w:rsidRDefault="00127BC0" w:rsidP="00127BC0">
      <w:pPr>
        <w:pStyle w:val="ListParagraph"/>
        <w:widowControl/>
        <w:rPr>
          <w:i/>
        </w:rPr>
      </w:pPr>
      <w:r>
        <w:rPr>
          <w:noProof/>
          <w:snapToGrid/>
          <w:lang w:eastAsia="en-AU"/>
        </w:rPr>
        <w:drawing>
          <wp:inline distT="0" distB="0" distL="0" distR="0" wp14:anchorId="00752EE1" wp14:editId="2A942D21">
            <wp:extent cx="5372100" cy="2600325"/>
            <wp:effectExtent l="0" t="0" r="0" b="9525"/>
            <wp:docPr id="20" name="Picture 20" title="Table listing pirfenidone and nintendanib stud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372021" cy="2600287"/>
                    </a:xfrm>
                    <a:prstGeom prst="rect">
                      <a:avLst/>
                    </a:prstGeom>
                  </pic:spPr>
                </pic:pic>
              </a:graphicData>
            </a:graphic>
          </wp:inline>
        </w:drawing>
      </w:r>
    </w:p>
    <w:p w:rsidR="00127BC0" w:rsidRPr="001D13BB" w:rsidRDefault="00127BC0" w:rsidP="00127BC0">
      <w:pPr>
        <w:ind w:left="720"/>
        <w:rPr>
          <w:rFonts w:ascii="Arial Narrow" w:hAnsi="Arial Narrow"/>
          <w:sz w:val="18"/>
          <w:szCs w:val="18"/>
        </w:rPr>
      </w:pPr>
      <w:r w:rsidRPr="001D13BB">
        <w:rPr>
          <w:rFonts w:ascii="Arial Narrow" w:hAnsi="Arial Narrow"/>
          <w:sz w:val="18"/>
          <w:szCs w:val="18"/>
        </w:rPr>
        <w:t>* The studies are listed in chronologic order by drug, with study numbers as referenced in the product labels and the months in which enrolment ended. Data for forced vital capacity are the absolute values for the change from baseline to week 52 for pirfenidone study 1, to week 72 for pirfenidone studies 2 and 3, and to week 52 for all nintedanib studies; the change from baseline for pirfenidone studies was based on descriptive statistics, and the change from baseline for nintedanib studies was based on regression analysis. Mortality data are from the vital status analysis (from randomization to the time of death) and include all deaths irrespective of the cause and of whether the patient had continued treatment. Hazard ratios for time to death are based on Cox proportional-hazards regression analysis. CI denotes confidence interval.</w:t>
      </w:r>
    </w:p>
    <w:p w:rsidR="00127BC0" w:rsidRDefault="00127BC0" w:rsidP="00127BC0">
      <w:pPr>
        <w:ind w:left="720"/>
        <w:rPr>
          <w:rFonts w:ascii="Arial Narrow" w:hAnsi="Arial Narrow"/>
          <w:i/>
          <w:sz w:val="20"/>
        </w:rPr>
      </w:pPr>
      <w:r w:rsidRPr="00486AC3">
        <w:rPr>
          <w:rFonts w:ascii="Arial Narrow" w:hAnsi="Arial Narrow"/>
          <w:i/>
          <w:sz w:val="20"/>
          <w:lang w:val="pl-PL"/>
        </w:rPr>
        <w:t xml:space="preserve">Source: Karimi-Shah BA, Chowdhury BA. </w:t>
      </w:r>
      <w:r w:rsidRPr="001D13BB">
        <w:rPr>
          <w:rFonts w:ascii="Arial Narrow" w:hAnsi="Arial Narrow"/>
          <w:i/>
          <w:sz w:val="20"/>
        </w:rPr>
        <w:t>Forced vital capacity in idiopathic pulmonary fibrosis--FDA review of pirfenidone and nintedanib. The New England Journal of Medicine. 2015;372(13):</w:t>
      </w:r>
      <w:r>
        <w:rPr>
          <w:rFonts w:ascii="Arial Narrow" w:hAnsi="Arial Narrow"/>
          <w:i/>
          <w:sz w:val="20"/>
        </w:rPr>
        <w:t>p 1190.</w:t>
      </w:r>
    </w:p>
    <w:p w:rsidR="00127BC0" w:rsidRPr="003757FB" w:rsidRDefault="00127BC0" w:rsidP="003757FB">
      <w:pPr>
        <w:widowControl/>
        <w:rPr>
          <w:szCs w:val="22"/>
        </w:rPr>
      </w:pPr>
    </w:p>
    <w:p w:rsidR="00DB79D7" w:rsidRPr="00B6317B" w:rsidRDefault="00DB79D7" w:rsidP="00321D09">
      <w:pPr>
        <w:pStyle w:val="ListParagraph"/>
        <w:widowControl/>
        <w:numPr>
          <w:ilvl w:val="1"/>
          <w:numId w:val="2"/>
        </w:numPr>
        <w:rPr>
          <w:szCs w:val="22"/>
        </w:rPr>
      </w:pPr>
      <w:r w:rsidRPr="0060206A">
        <w:rPr>
          <w:szCs w:val="22"/>
        </w:rPr>
        <w:t>During the evaluation, results from a network meta-analyses published by Loveman et al 2015 were located</w:t>
      </w:r>
      <w:r w:rsidR="00531845">
        <w:rPr>
          <w:rStyle w:val="FootnoteReference"/>
          <w:szCs w:val="22"/>
        </w:rPr>
        <w:footnoteReference w:id="1"/>
      </w:r>
      <w:r w:rsidRPr="0060206A">
        <w:rPr>
          <w:szCs w:val="22"/>
        </w:rPr>
        <w:t xml:space="preserve">.  While pirfenidone and nitendanib </w:t>
      </w:r>
      <w:r w:rsidR="006D0895">
        <w:rPr>
          <w:szCs w:val="22"/>
        </w:rPr>
        <w:t xml:space="preserve">both </w:t>
      </w:r>
      <w:r w:rsidRPr="0060206A">
        <w:rPr>
          <w:szCs w:val="22"/>
        </w:rPr>
        <w:t xml:space="preserve">demonstrated beneficial effects, the authors concluded that nintedanib appeared to have a superior benefit for </w:t>
      </w:r>
      <w:r w:rsidRPr="00B6317B">
        <w:rPr>
          <w:szCs w:val="22"/>
        </w:rPr>
        <w:t>slowing decline in FVC (OR = 0.67,</w:t>
      </w:r>
      <w:r w:rsidR="003757FB">
        <w:rPr>
          <w:szCs w:val="22"/>
        </w:rPr>
        <w:t xml:space="preserve"> 95% CI: 0.51, 0.88).</w:t>
      </w:r>
    </w:p>
    <w:p w:rsidR="00A01F0F" w:rsidRPr="003757FB" w:rsidRDefault="00A01F0F" w:rsidP="00A01F0F">
      <w:pPr>
        <w:rPr>
          <w:szCs w:val="22"/>
        </w:rPr>
      </w:pPr>
    </w:p>
    <w:p w:rsidR="00A01F0F" w:rsidRPr="00B6317B" w:rsidRDefault="00A01F0F" w:rsidP="00A01F0F">
      <w:pPr>
        <w:pStyle w:val="ListParagraph"/>
        <w:numPr>
          <w:ilvl w:val="1"/>
          <w:numId w:val="2"/>
        </w:numPr>
        <w:rPr>
          <w:szCs w:val="22"/>
        </w:rPr>
      </w:pPr>
      <w:r w:rsidRPr="00B6317B">
        <w:rPr>
          <w:szCs w:val="22"/>
        </w:rPr>
        <w:t>The ESC considered that the data from the meta-analysis, by Loveman 2015, is valuable in not only providing another approach to the meta-analysis of the data and reassurance that the trials had similar patients but suggesting that pirfenidone is inferior to nintedanib, with respect to slowing the decline in FVC. The ESC noted in the review by Loveman 2015, there is conflicting data where pirfenidone has a trend to better overall survival but nintedanib has a trend to better prevention of exacerbations.</w:t>
      </w:r>
    </w:p>
    <w:p w:rsidR="00DA2050" w:rsidRPr="003757FB" w:rsidRDefault="00DA2050">
      <w:pPr>
        <w:widowControl/>
        <w:jc w:val="left"/>
      </w:pPr>
      <w:bookmarkStart w:id="11" w:name="_Toc430009533"/>
    </w:p>
    <w:p w:rsidR="00B60939" w:rsidRPr="003757FB" w:rsidRDefault="00B60939" w:rsidP="006412CE">
      <w:pPr>
        <w:pStyle w:val="Heading2"/>
      </w:pPr>
      <w:r w:rsidRPr="003757FB">
        <w:t>Comparative harms</w:t>
      </w:r>
      <w:bookmarkEnd w:id="11"/>
    </w:p>
    <w:p w:rsidR="00B60939" w:rsidRPr="00882085" w:rsidRDefault="00B60939" w:rsidP="00B60939">
      <w:pPr>
        <w:ind w:left="720" w:hanging="720"/>
        <w:rPr>
          <w:szCs w:val="22"/>
        </w:rPr>
      </w:pPr>
    </w:p>
    <w:p w:rsidR="00B60939" w:rsidRDefault="00715522" w:rsidP="00321D09">
      <w:pPr>
        <w:pStyle w:val="ListParagraph"/>
        <w:widowControl/>
        <w:numPr>
          <w:ilvl w:val="1"/>
          <w:numId w:val="2"/>
        </w:numPr>
        <w:rPr>
          <w:szCs w:val="22"/>
        </w:rPr>
      </w:pPr>
      <w:r>
        <w:rPr>
          <w:szCs w:val="22"/>
        </w:rPr>
        <w:t xml:space="preserve">Key results from the meta-analyses of safety outcomes are presented in </w:t>
      </w:r>
      <w:r w:rsidR="00CD0C24">
        <w:rPr>
          <w:szCs w:val="22"/>
        </w:rPr>
        <w:t>T</w:t>
      </w:r>
      <w:r>
        <w:rPr>
          <w:szCs w:val="22"/>
        </w:rPr>
        <w:t>able</w:t>
      </w:r>
      <w:r w:rsidR="00CD0C24">
        <w:rPr>
          <w:szCs w:val="22"/>
        </w:rPr>
        <w:t xml:space="preserve"> </w:t>
      </w:r>
      <w:r w:rsidR="007A65A1">
        <w:rPr>
          <w:szCs w:val="22"/>
        </w:rPr>
        <w:t>6</w:t>
      </w:r>
      <w:r w:rsidR="003757FB">
        <w:rPr>
          <w:szCs w:val="22"/>
        </w:rPr>
        <w:t>.</w:t>
      </w:r>
    </w:p>
    <w:p w:rsidR="00715522" w:rsidRPr="00CD0C24" w:rsidRDefault="00715522" w:rsidP="00715522">
      <w:pPr>
        <w:widowControl/>
        <w:rPr>
          <w:szCs w:val="22"/>
        </w:rPr>
      </w:pPr>
    </w:p>
    <w:p w:rsidR="00715522" w:rsidRPr="00413325" w:rsidRDefault="00715522" w:rsidP="00715522">
      <w:pPr>
        <w:keepNext/>
        <w:widowControl/>
        <w:ind w:firstLine="720"/>
        <w:rPr>
          <w:rStyle w:val="CommentReference"/>
        </w:rPr>
      </w:pPr>
      <w:r>
        <w:rPr>
          <w:rStyle w:val="CommentReference"/>
        </w:rPr>
        <w:t xml:space="preserve">Table </w:t>
      </w:r>
      <w:r w:rsidR="00392A22">
        <w:rPr>
          <w:rStyle w:val="CommentReference"/>
        </w:rPr>
        <w:t>6</w:t>
      </w:r>
      <w:r>
        <w:rPr>
          <w:rStyle w:val="CommentReference"/>
        </w:rPr>
        <w:t>: Summary of the meta-analyses of key safety outcomes from the nintedanib trials</w:t>
      </w:r>
    </w:p>
    <w:tbl>
      <w:tblPr>
        <w:tblStyle w:val="TableGrid"/>
        <w:tblW w:w="4594" w:type="pct"/>
        <w:tblInd w:w="737" w:type="dxa"/>
        <w:tblCellMar>
          <w:left w:w="28" w:type="dxa"/>
          <w:right w:w="28" w:type="dxa"/>
        </w:tblCellMar>
        <w:tblLook w:val="04A0" w:firstRow="1" w:lastRow="0" w:firstColumn="1" w:lastColumn="0" w:noHBand="0" w:noVBand="1"/>
        <w:tblCaption w:val="Table 6: Summary of the meta-analyses of key safety outcomes from the nintedanib trials"/>
      </w:tblPr>
      <w:tblGrid>
        <w:gridCol w:w="4172"/>
        <w:gridCol w:w="4173"/>
      </w:tblGrid>
      <w:tr w:rsidR="00715522" w:rsidTr="00715522">
        <w:trPr>
          <w:tblHeader/>
        </w:trPr>
        <w:tc>
          <w:tcPr>
            <w:tcW w:w="2500" w:type="pct"/>
            <w:vAlign w:val="center"/>
          </w:tcPr>
          <w:p w:rsidR="00715522" w:rsidRDefault="00715522" w:rsidP="00CD0C24">
            <w:pPr>
              <w:jc w:val="left"/>
              <w:rPr>
                <w:rStyle w:val="CommentReference"/>
                <w:b w:val="0"/>
              </w:rPr>
            </w:pPr>
          </w:p>
        </w:tc>
        <w:tc>
          <w:tcPr>
            <w:tcW w:w="2500" w:type="pct"/>
            <w:vAlign w:val="center"/>
          </w:tcPr>
          <w:p w:rsidR="00715522" w:rsidRPr="00DB3DE1" w:rsidRDefault="00715522" w:rsidP="00CD0C24">
            <w:pPr>
              <w:jc w:val="center"/>
              <w:rPr>
                <w:rStyle w:val="CommentReference"/>
              </w:rPr>
            </w:pPr>
            <w:r w:rsidRPr="00DB3DE1">
              <w:rPr>
                <w:rStyle w:val="CommentReference"/>
              </w:rPr>
              <w:t>Meta</w:t>
            </w:r>
            <w:r>
              <w:rPr>
                <w:rStyle w:val="CommentReference"/>
              </w:rPr>
              <w:t>-</w:t>
            </w:r>
            <w:r w:rsidRPr="00DB3DE1">
              <w:rPr>
                <w:rStyle w:val="CommentReference"/>
              </w:rPr>
              <w:t>analysis (Trial 30</w:t>
            </w:r>
            <w:r>
              <w:rPr>
                <w:rStyle w:val="CommentReference"/>
              </w:rPr>
              <w:t>, 32 &amp;</w:t>
            </w:r>
            <w:r w:rsidRPr="00DB3DE1">
              <w:rPr>
                <w:rStyle w:val="CommentReference"/>
              </w:rPr>
              <w:t xml:space="preserve"> 34): RR (95% CI)</w:t>
            </w:r>
          </w:p>
        </w:tc>
      </w:tr>
      <w:tr w:rsidR="00715522" w:rsidTr="00715522">
        <w:tc>
          <w:tcPr>
            <w:tcW w:w="5000" w:type="pct"/>
            <w:gridSpan w:val="2"/>
            <w:vAlign w:val="center"/>
          </w:tcPr>
          <w:p w:rsidR="00715522" w:rsidRPr="00DB3DE1" w:rsidRDefault="00715522" w:rsidP="00CD0C24">
            <w:pPr>
              <w:jc w:val="left"/>
              <w:rPr>
                <w:rStyle w:val="CommentReference"/>
              </w:rPr>
            </w:pPr>
            <w:r>
              <w:rPr>
                <w:rStyle w:val="CommentReference"/>
              </w:rPr>
              <w:t>Overall safety outcomes</w:t>
            </w:r>
          </w:p>
        </w:tc>
      </w:tr>
      <w:tr w:rsidR="00715522" w:rsidTr="00715522">
        <w:tc>
          <w:tcPr>
            <w:tcW w:w="2500" w:type="pct"/>
            <w:vAlign w:val="center"/>
          </w:tcPr>
          <w:p w:rsidR="00715522" w:rsidRDefault="00715522" w:rsidP="00CD0C24">
            <w:pPr>
              <w:jc w:val="left"/>
              <w:rPr>
                <w:rStyle w:val="CommentReference"/>
                <w:b w:val="0"/>
              </w:rPr>
            </w:pPr>
            <w:r>
              <w:rPr>
                <w:rStyle w:val="CommentReference"/>
                <w:b w:val="0"/>
              </w:rPr>
              <w:t>Number of patients with any AEs</w:t>
            </w:r>
          </w:p>
        </w:tc>
        <w:tc>
          <w:tcPr>
            <w:tcW w:w="2500" w:type="pct"/>
            <w:vAlign w:val="center"/>
          </w:tcPr>
          <w:p w:rsidR="00715522" w:rsidRPr="00612414" w:rsidRDefault="00715522" w:rsidP="00CD0C24">
            <w:pPr>
              <w:jc w:val="center"/>
              <w:rPr>
                <w:rStyle w:val="CommentReference"/>
                <w:b w:val="0"/>
              </w:rPr>
            </w:pPr>
            <w:r w:rsidRPr="005C5596">
              <w:rPr>
                <w:rStyle w:val="CommentReference"/>
                <w:b w:val="0"/>
              </w:rPr>
              <w:t>1.06 (1.03, 1.10)</w:t>
            </w:r>
          </w:p>
        </w:tc>
      </w:tr>
      <w:tr w:rsidR="00715522" w:rsidTr="00715522">
        <w:tc>
          <w:tcPr>
            <w:tcW w:w="2500" w:type="pct"/>
            <w:vAlign w:val="center"/>
          </w:tcPr>
          <w:p w:rsidR="00715522" w:rsidRDefault="00715522" w:rsidP="00CD0C24">
            <w:pPr>
              <w:jc w:val="left"/>
              <w:rPr>
                <w:rStyle w:val="CommentReference"/>
                <w:b w:val="0"/>
              </w:rPr>
            </w:pPr>
            <w:r>
              <w:rPr>
                <w:rStyle w:val="CommentReference"/>
                <w:b w:val="0"/>
              </w:rPr>
              <w:t>Drug related AEs</w:t>
            </w:r>
          </w:p>
        </w:tc>
        <w:tc>
          <w:tcPr>
            <w:tcW w:w="2500" w:type="pct"/>
            <w:vAlign w:val="center"/>
          </w:tcPr>
          <w:p w:rsidR="00715522" w:rsidRPr="00612414" w:rsidRDefault="00715522" w:rsidP="00CD0C24">
            <w:pPr>
              <w:jc w:val="center"/>
              <w:rPr>
                <w:rStyle w:val="CommentReference"/>
                <w:b w:val="0"/>
              </w:rPr>
            </w:pPr>
            <w:r w:rsidRPr="005C5596">
              <w:rPr>
                <w:rStyle w:val="CommentReference"/>
                <w:b w:val="0"/>
              </w:rPr>
              <w:t>2.45 (2.12, 2.83)</w:t>
            </w:r>
          </w:p>
        </w:tc>
      </w:tr>
      <w:tr w:rsidR="00715522" w:rsidTr="00715522">
        <w:tc>
          <w:tcPr>
            <w:tcW w:w="5000" w:type="pct"/>
            <w:gridSpan w:val="2"/>
            <w:vAlign w:val="center"/>
          </w:tcPr>
          <w:p w:rsidR="00715522" w:rsidRPr="00612414" w:rsidRDefault="00715522" w:rsidP="00CD0C24">
            <w:pPr>
              <w:jc w:val="left"/>
              <w:rPr>
                <w:rStyle w:val="CommentReference"/>
                <w:b w:val="0"/>
              </w:rPr>
            </w:pPr>
            <w:r>
              <w:rPr>
                <w:rStyle w:val="CommentReference"/>
              </w:rPr>
              <w:t>Common adverse events (&gt;5%)</w:t>
            </w:r>
          </w:p>
        </w:tc>
      </w:tr>
      <w:tr w:rsidR="00715522" w:rsidTr="00715522">
        <w:tc>
          <w:tcPr>
            <w:tcW w:w="2500" w:type="pct"/>
            <w:vAlign w:val="center"/>
          </w:tcPr>
          <w:p w:rsidR="00715522" w:rsidRDefault="00715522" w:rsidP="00CD0C24">
            <w:pPr>
              <w:jc w:val="left"/>
              <w:rPr>
                <w:rStyle w:val="CommentReference"/>
                <w:b w:val="0"/>
              </w:rPr>
            </w:pPr>
            <w:r>
              <w:rPr>
                <w:rStyle w:val="CommentReference"/>
                <w:b w:val="0"/>
              </w:rPr>
              <w:t>Diarrhoea</w:t>
            </w:r>
          </w:p>
        </w:tc>
        <w:tc>
          <w:tcPr>
            <w:tcW w:w="2500" w:type="pct"/>
            <w:vAlign w:val="center"/>
          </w:tcPr>
          <w:p w:rsidR="00715522" w:rsidRPr="00413325" w:rsidRDefault="00715522" w:rsidP="00CD0C24">
            <w:pPr>
              <w:jc w:val="center"/>
              <w:rPr>
                <w:rStyle w:val="CommentReference"/>
                <w:b w:val="0"/>
              </w:rPr>
            </w:pPr>
            <w:r w:rsidRPr="005C5596">
              <w:rPr>
                <w:rStyle w:val="CommentReference"/>
                <w:b w:val="0"/>
              </w:rPr>
              <w:t>3.41 (2.81, 4.15)</w:t>
            </w:r>
          </w:p>
        </w:tc>
      </w:tr>
      <w:tr w:rsidR="00715522" w:rsidTr="00715522">
        <w:tc>
          <w:tcPr>
            <w:tcW w:w="2500" w:type="pct"/>
            <w:vAlign w:val="center"/>
          </w:tcPr>
          <w:p w:rsidR="00715522" w:rsidRDefault="00715522" w:rsidP="00CD0C24">
            <w:pPr>
              <w:jc w:val="left"/>
              <w:rPr>
                <w:rStyle w:val="CommentReference"/>
                <w:b w:val="0"/>
              </w:rPr>
            </w:pPr>
            <w:r>
              <w:rPr>
                <w:rStyle w:val="CommentReference"/>
                <w:b w:val="0"/>
              </w:rPr>
              <w:t>Nausea</w:t>
            </w:r>
          </w:p>
        </w:tc>
        <w:tc>
          <w:tcPr>
            <w:tcW w:w="2500" w:type="pct"/>
            <w:vAlign w:val="center"/>
          </w:tcPr>
          <w:p w:rsidR="00715522" w:rsidRPr="00413325" w:rsidRDefault="00715522" w:rsidP="00CD0C24">
            <w:pPr>
              <w:jc w:val="center"/>
              <w:rPr>
                <w:rStyle w:val="CommentReference"/>
                <w:b w:val="0"/>
              </w:rPr>
            </w:pPr>
            <w:r w:rsidRPr="005C5596">
              <w:rPr>
                <w:rStyle w:val="CommentReference"/>
                <w:b w:val="0"/>
              </w:rPr>
              <w:t>3.41 (2.42, 4.81)</w:t>
            </w:r>
          </w:p>
        </w:tc>
      </w:tr>
      <w:tr w:rsidR="00715522" w:rsidTr="00715522">
        <w:tc>
          <w:tcPr>
            <w:tcW w:w="2500" w:type="pct"/>
            <w:vAlign w:val="center"/>
          </w:tcPr>
          <w:p w:rsidR="00715522" w:rsidRDefault="00715522" w:rsidP="00CD0C24">
            <w:pPr>
              <w:jc w:val="left"/>
              <w:rPr>
                <w:rStyle w:val="CommentReference"/>
                <w:b w:val="0"/>
              </w:rPr>
            </w:pPr>
            <w:r>
              <w:rPr>
                <w:rStyle w:val="CommentReference"/>
                <w:b w:val="0"/>
              </w:rPr>
              <w:t>Vomiting</w:t>
            </w:r>
          </w:p>
        </w:tc>
        <w:tc>
          <w:tcPr>
            <w:tcW w:w="2500" w:type="pct"/>
            <w:vAlign w:val="center"/>
          </w:tcPr>
          <w:p w:rsidR="00715522" w:rsidRPr="00413325" w:rsidRDefault="00715522" w:rsidP="00CD0C24">
            <w:pPr>
              <w:jc w:val="center"/>
              <w:rPr>
                <w:rStyle w:val="CommentReference"/>
                <w:b w:val="0"/>
              </w:rPr>
            </w:pPr>
            <w:r w:rsidRPr="005C5596">
              <w:rPr>
                <w:rStyle w:val="CommentReference"/>
                <w:b w:val="0"/>
              </w:rPr>
              <w:t>3.82 (2.22, 6.58)</w:t>
            </w:r>
          </w:p>
        </w:tc>
      </w:tr>
      <w:tr w:rsidR="00715522" w:rsidTr="00715522">
        <w:tc>
          <w:tcPr>
            <w:tcW w:w="2500" w:type="pct"/>
            <w:vAlign w:val="center"/>
          </w:tcPr>
          <w:p w:rsidR="00715522" w:rsidRDefault="00715522" w:rsidP="00CD0C24">
            <w:pPr>
              <w:jc w:val="left"/>
              <w:rPr>
                <w:rStyle w:val="CommentReference"/>
                <w:b w:val="0"/>
              </w:rPr>
            </w:pPr>
            <w:r>
              <w:rPr>
                <w:rStyle w:val="CommentReference"/>
                <w:b w:val="0"/>
              </w:rPr>
              <w:t>Dyspnoea</w:t>
            </w:r>
          </w:p>
        </w:tc>
        <w:tc>
          <w:tcPr>
            <w:tcW w:w="2500" w:type="pct"/>
            <w:vAlign w:val="center"/>
          </w:tcPr>
          <w:p w:rsidR="00715522" w:rsidRPr="00413325" w:rsidRDefault="00715522" w:rsidP="00CD0C24">
            <w:pPr>
              <w:jc w:val="center"/>
              <w:rPr>
                <w:rStyle w:val="CommentReference"/>
                <w:b w:val="0"/>
              </w:rPr>
            </w:pPr>
            <w:r w:rsidRPr="005C5596">
              <w:rPr>
                <w:rStyle w:val="CommentReference"/>
                <w:b w:val="0"/>
              </w:rPr>
              <w:t>0.66 (0.46, 0.93)</w:t>
            </w:r>
          </w:p>
        </w:tc>
      </w:tr>
    </w:tbl>
    <w:p w:rsidR="00715522" w:rsidRDefault="00715522" w:rsidP="00715522">
      <w:pPr>
        <w:pStyle w:val="TableFooter"/>
        <w:keepNext/>
        <w:ind w:firstLine="720"/>
      </w:pPr>
      <w:r>
        <w:t xml:space="preserve">Abbreviations: AE = adverse event; SAE = serious adverse event.  </w:t>
      </w:r>
    </w:p>
    <w:p w:rsidR="00715522" w:rsidRPr="00612414" w:rsidRDefault="00715522" w:rsidP="00715522">
      <w:pPr>
        <w:pStyle w:val="TableFooter"/>
        <w:ind w:firstLine="720"/>
      </w:pPr>
      <w:r>
        <w:t>Source: Table B.6-15, pp109-110 and Table B.8-1, pp123-124 of the re-submission</w:t>
      </w:r>
    </w:p>
    <w:p w:rsidR="00715522" w:rsidRPr="00715522" w:rsidRDefault="00715522" w:rsidP="00715522">
      <w:pPr>
        <w:widowControl/>
        <w:rPr>
          <w:szCs w:val="22"/>
        </w:rPr>
      </w:pPr>
    </w:p>
    <w:p w:rsidR="00715522" w:rsidRDefault="00715522" w:rsidP="00321D09">
      <w:pPr>
        <w:pStyle w:val="ListParagraph"/>
        <w:widowControl/>
        <w:numPr>
          <w:ilvl w:val="1"/>
          <w:numId w:val="2"/>
        </w:numPr>
        <w:rPr>
          <w:szCs w:val="22"/>
        </w:rPr>
      </w:pPr>
      <w:r>
        <w:rPr>
          <w:szCs w:val="22"/>
        </w:rPr>
        <w:t>At the March 2015 meeting, the PBAC noted that nintedanib was associated with statistically significantly higher instances of drug related adverse events and gastrointestinal adverse events including diarrhoea, nausea and vomiting (March 2015, paragraph 7.9)</w:t>
      </w:r>
      <w:r w:rsidR="007F30CE">
        <w:rPr>
          <w:szCs w:val="22"/>
        </w:rPr>
        <w:t xml:space="preserve">.  A statistically significant difference was also observed for arterial thromboembolic events (RR = </w:t>
      </w:r>
      <w:r w:rsidR="00F146E1">
        <w:rPr>
          <w:noProof/>
          <w:color w:val="000000"/>
          <w:szCs w:val="22"/>
          <w:highlight w:val="black"/>
        </w:rPr>
        <w:t>''''''''''</w:t>
      </w:r>
      <w:r w:rsidR="007F30CE">
        <w:rPr>
          <w:szCs w:val="22"/>
        </w:rPr>
        <w:t xml:space="preserve">, 95% CI: </w:t>
      </w:r>
      <w:r w:rsidR="00F146E1">
        <w:rPr>
          <w:noProof/>
          <w:color w:val="000000"/>
          <w:szCs w:val="22"/>
          <w:highlight w:val="black"/>
        </w:rPr>
        <w:t>''''''''''''' ''''''''''''''</w:t>
      </w:r>
      <w:r w:rsidR="007F30CE">
        <w:rPr>
          <w:szCs w:val="22"/>
        </w:rPr>
        <w:t>) in the pooled a</w:t>
      </w:r>
      <w:r w:rsidR="003757FB">
        <w:rPr>
          <w:szCs w:val="22"/>
        </w:rPr>
        <w:t>nalysis of the phase 3 trials.</w:t>
      </w:r>
    </w:p>
    <w:p w:rsidR="00B60939" w:rsidRDefault="00B60939" w:rsidP="007F1017">
      <w:pPr>
        <w:pStyle w:val="ListParagraph"/>
        <w:ind w:left="0"/>
        <w:rPr>
          <w:szCs w:val="22"/>
        </w:rPr>
      </w:pPr>
    </w:p>
    <w:p w:rsidR="007F1017" w:rsidRPr="003757FB" w:rsidRDefault="007F1017" w:rsidP="006412CE">
      <w:pPr>
        <w:pStyle w:val="Heading2"/>
        <w:rPr>
          <w:szCs w:val="22"/>
        </w:rPr>
      </w:pPr>
      <w:bookmarkStart w:id="12" w:name="_Toc430009534"/>
      <w:r w:rsidRPr="003757FB">
        <w:t>Benefits/harms</w:t>
      </w:r>
      <w:bookmarkEnd w:id="12"/>
    </w:p>
    <w:p w:rsidR="007F1017" w:rsidRPr="007F1017" w:rsidRDefault="007F1017" w:rsidP="007F1017">
      <w:pPr>
        <w:pStyle w:val="ListParagraph"/>
        <w:ind w:left="0"/>
        <w:rPr>
          <w:szCs w:val="22"/>
        </w:rPr>
      </w:pPr>
    </w:p>
    <w:p w:rsidR="00EC00C9" w:rsidRPr="00B50DB8" w:rsidRDefault="00EC00C9" w:rsidP="00321D09">
      <w:pPr>
        <w:pStyle w:val="ListParagraph"/>
        <w:widowControl/>
        <w:numPr>
          <w:ilvl w:val="1"/>
          <w:numId w:val="2"/>
        </w:numPr>
        <w:rPr>
          <w:szCs w:val="22"/>
        </w:rPr>
      </w:pPr>
      <w:r w:rsidRPr="00B50DB8">
        <w:rPr>
          <w:szCs w:val="22"/>
        </w:rPr>
        <w:t xml:space="preserve">A summary of the comparative benefits and harms for </w:t>
      </w:r>
      <w:r w:rsidR="007F30CE">
        <w:rPr>
          <w:szCs w:val="22"/>
        </w:rPr>
        <w:t>nintedanib and placebo</w:t>
      </w:r>
      <w:r w:rsidRPr="00B50DB8">
        <w:rPr>
          <w:szCs w:val="22"/>
        </w:rPr>
        <w:t xml:space="preserve"> is presented in the </w:t>
      </w:r>
      <w:r w:rsidR="007F30CE">
        <w:rPr>
          <w:szCs w:val="22"/>
        </w:rPr>
        <w:t>following table</w:t>
      </w:r>
      <w:r w:rsidRPr="00B50DB8">
        <w:rPr>
          <w:szCs w:val="22"/>
        </w:rPr>
        <w:t>.</w:t>
      </w:r>
      <w:r w:rsidR="00410708" w:rsidRPr="00B50DB8">
        <w:rPr>
          <w:szCs w:val="22"/>
        </w:rPr>
        <w:t xml:space="preserve"> </w:t>
      </w:r>
    </w:p>
    <w:p w:rsidR="00162913" w:rsidRDefault="00162913" w:rsidP="004B1CB4"/>
    <w:p w:rsidR="007F30CE" w:rsidRPr="00A578DC" w:rsidRDefault="007F30CE" w:rsidP="007F30CE">
      <w:pPr>
        <w:keepNext/>
        <w:ind w:firstLine="720"/>
        <w:rPr>
          <w:rStyle w:val="CommentReference"/>
        </w:rPr>
      </w:pPr>
      <w:r w:rsidRPr="00A578DC">
        <w:rPr>
          <w:rStyle w:val="CommentReference"/>
        </w:rPr>
        <w:t xml:space="preserve">Table </w:t>
      </w:r>
      <w:r w:rsidR="00392A22">
        <w:rPr>
          <w:rStyle w:val="CommentReference"/>
        </w:rPr>
        <w:t>7</w:t>
      </w:r>
      <w:r w:rsidRPr="00A578DC">
        <w:rPr>
          <w:rStyle w:val="CommentReference"/>
        </w:rPr>
        <w:t xml:space="preserve">: Summary of comparative benefits and harms for </w:t>
      </w:r>
      <w:r>
        <w:rPr>
          <w:rStyle w:val="CommentReference"/>
        </w:rPr>
        <w:t>nintedanib and placebo</w:t>
      </w:r>
    </w:p>
    <w:tbl>
      <w:tblPr>
        <w:tblStyle w:val="TableGrid"/>
        <w:tblW w:w="4625" w:type="pct"/>
        <w:tblInd w:w="698" w:type="dxa"/>
        <w:tblLayout w:type="fixed"/>
        <w:tblCellMar>
          <w:left w:w="28" w:type="dxa"/>
          <w:right w:w="28" w:type="dxa"/>
        </w:tblCellMar>
        <w:tblLook w:val="04A0" w:firstRow="1" w:lastRow="0" w:firstColumn="1" w:lastColumn="0" w:noHBand="0" w:noVBand="1"/>
        <w:tblCaption w:val="Table 7: Summary of comparative benefits and harms for nintedanib and placebo"/>
      </w:tblPr>
      <w:tblGrid>
        <w:gridCol w:w="1323"/>
        <w:gridCol w:w="997"/>
        <w:gridCol w:w="1201"/>
        <w:gridCol w:w="1286"/>
        <w:gridCol w:w="1292"/>
        <w:gridCol w:w="776"/>
        <w:gridCol w:w="1527"/>
      </w:tblGrid>
      <w:tr w:rsidR="007F30CE" w:rsidRPr="00E2771E" w:rsidTr="005D439E">
        <w:trPr>
          <w:cantSplit/>
          <w:trHeight w:val="150"/>
          <w:tblHeader/>
        </w:trPr>
        <w:tc>
          <w:tcPr>
            <w:tcW w:w="787" w:type="pct"/>
            <w:vMerge w:val="restart"/>
            <w:shd w:val="clear" w:color="auto" w:fill="auto"/>
            <w:vAlign w:val="center"/>
          </w:tcPr>
          <w:p w:rsidR="007F30CE" w:rsidRPr="00E2771E" w:rsidRDefault="007F30CE" w:rsidP="00825310">
            <w:pPr>
              <w:rPr>
                <w:rFonts w:ascii="Arial Narrow" w:hAnsi="Arial Narrow"/>
                <w:b/>
                <w:color w:val="000000"/>
                <w:sz w:val="20"/>
                <w:szCs w:val="18"/>
              </w:rPr>
            </w:pPr>
            <w:r w:rsidRPr="00E2771E">
              <w:rPr>
                <w:rFonts w:ascii="Arial Narrow" w:hAnsi="Arial Narrow"/>
                <w:b/>
                <w:color w:val="000000"/>
                <w:sz w:val="20"/>
                <w:szCs w:val="18"/>
              </w:rPr>
              <w:t>Trial</w:t>
            </w:r>
          </w:p>
        </w:tc>
        <w:tc>
          <w:tcPr>
            <w:tcW w:w="593" w:type="pct"/>
            <w:vMerge w:val="restart"/>
            <w:vAlign w:val="center"/>
          </w:tcPr>
          <w:p w:rsidR="007F30CE" w:rsidRPr="00E2771E" w:rsidRDefault="007F30CE" w:rsidP="00825310">
            <w:pPr>
              <w:jc w:val="center"/>
              <w:rPr>
                <w:rFonts w:ascii="Arial Narrow" w:hAnsi="Arial Narrow"/>
                <w:b/>
                <w:color w:val="000000"/>
                <w:sz w:val="20"/>
                <w:szCs w:val="18"/>
              </w:rPr>
            </w:pPr>
            <w:r>
              <w:rPr>
                <w:rFonts w:ascii="Arial Narrow" w:hAnsi="Arial Narrow"/>
                <w:b/>
                <w:color w:val="000000"/>
                <w:sz w:val="20"/>
                <w:szCs w:val="18"/>
              </w:rPr>
              <w:t>Nintedanib</w:t>
            </w:r>
          </w:p>
        </w:tc>
        <w:tc>
          <w:tcPr>
            <w:tcW w:w="715" w:type="pct"/>
            <w:vMerge w:val="restart"/>
            <w:vAlign w:val="center"/>
          </w:tcPr>
          <w:p w:rsidR="007F30CE" w:rsidRPr="00E2771E" w:rsidRDefault="007F30CE" w:rsidP="00825310">
            <w:pPr>
              <w:jc w:val="center"/>
              <w:rPr>
                <w:rFonts w:ascii="Arial Narrow" w:hAnsi="Arial Narrow"/>
                <w:b/>
                <w:color w:val="000000"/>
                <w:sz w:val="20"/>
                <w:szCs w:val="18"/>
              </w:rPr>
            </w:pPr>
            <w:r>
              <w:rPr>
                <w:rFonts w:ascii="Arial Narrow" w:hAnsi="Arial Narrow"/>
                <w:b/>
                <w:color w:val="000000"/>
                <w:sz w:val="20"/>
                <w:szCs w:val="18"/>
              </w:rPr>
              <w:t>Placebo</w:t>
            </w:r>
          </w:p>
        </w:tc>
        <w:tc>
          <w:tcPr>
            <w:tcW w:w="765" w:type="pct"/>
            <w:vMerge w:val="restart"/>
            <w:vAlign w:val="center"/>
          </w:tcPr>
          <w:p w:rsidR="007F30CE" w:rsidRPr="00E2771E" w:rsidRDefault="007F30CE" w:rsidP="00825310">
            <w:pPr>
              <w:jc w:val="center"/>
              <w:rPr>
                <w:rFonts w:ascii="Arial Narrow" w:hAnsi="Arial Narrow"/>
                <w:b/>
                <w:color w:val="000000"/>
                <w:sz w:val="20"/>
                <w:szCs w:val="18"/>
              </w:rPr>
            </w:pPr>
            <w:r w:rsidRPr="00E2771E">
              <w:rPr>
                <w:rFonts w:ascii="Arial Narrow" w:hAnsi="Arial Narrow"/>
                <w:b/>
                <w:color w:val="000000"/>
                <w:sz w:val="20"/>
                <w:szCs w:val="18"/>
              </w:rPr>
              <w:t>RR</w:t>
            </w:r>
            <w:r>
              <w:rPr>
                <w:rFonts w:ascii="Arial Narrow" w:hAnsi="Arial Narrow"/>
                <w:b/>
                <w:color w:val="000000"/>
                <w:sz w:val="20"/>
                <w:szCs w:val="18"/>
              </w:rPr>
              <w:t xml:space="preserve"> </w:t>
            </w:r>
            <w:r w:rsidRPr="00E2771E">
              <w:rPr>
                <w:rFonts w:ascii="Arial Narrow" w:hAnsi="Arial Narrow"/>
                <w:b/>
                <w:color w:val="000000"/>
                <w:sz w:val="20"/>
                <w:szCs w:val="18"/>
              </w:rPr>
              <w:t>(95% CI)</w:t>
            </w:r>
          </w:p>
        </w:tc>
        <w:tc>
          <w:tcPr>
            <w:tcW w:w="1231" w:type="pct"/>
            <w:gridSpan w:val="2"/>
            <w:vAlign w:val="center"/>
          </w:tcPr>
          <w:p w:rsidR="007F30CE" w:rsidRPr="00E2771E" w:rsidRDefault="007F30CE" w:rsidP="00825310">
            <w:pPr>
              <w:jc w:val="center"/>
              <w:rPr>
                <w:rFonts w:ascii="Arial Narrow" w:hAnsi="Arial Narrow"/>
                <w:b/>
                <w:color w:val="000000"/>
                <w:sz w:val="20"/>
                <w:szCs w:val="18"/>
              </w:rPr>
            </w:pPr>
            <w:r>
              <w:rPr>
                <w:rFonts w:ascii="Arial Narrow" w:hAnsi="Arial Narrow"/>
                <w:b/>
                <w:color w:val="000000"/>
                <w:sz w:val="20"/>
                <w:szCs w:val="18"/>
              </w:rPr>
              <w:t>Event rate/100 patients*</w:t>
            </w:r>
            <w:r w:rsidRPr="00E2771E">
              <w:rPr>
                <w:rFonts w:ascii="Arial Narrow" w:hAnsi="Arial Narrow"/>
                <w:b/>
                <w:color w:val="000000"/>
                <w:sz w:val="20"/>
                <w:szCs w:val="18"/>
              </w:rPr>
              <w:t xml:space="preserve"> </w:t>
            </w:r>
          </w:p>
        </w:tc>
        <w:tc>
          <w:tcPr>
            <w:tcW w:w="909" w:type="pct"/>
            <w:vMerge w:val="restart"/>
            <w:vAlign w:val="center"/>
          </w:tcPr>
          <w:p w:rsidR="007F30CE" w:rsidRPr="00E2771E" w:rsidRDefault="007F30CE" w:rsidP="00825310">
            <w:pPr>
              <w:jc w:val="center"/>
              <w:rPr>
                <w:rFonts w:ascii="Arial Narrow" w:hAnsi="Arial Narrow"/>
                <w:b/>
                <w:color w:val="000000"/>
                <w:sz w:val="20"/>
                <w:szCs w:val="18"/>
              </w:rPr>
            </w:pPr>
            <w:r w:rsidRPr="00E2771E">
              <w:rPr>
                <w:rFonts w:ascii="Arial Narrow" w:hAnsi="Arial Narrow"/>
                <w:b/>
                <w:color w:val="000000"/>
                <w:sz w:val="20"/>
                <w:szCs w:val="18"/>
              </w:rPr>
              <w:t>RD</w:t>
            </w:r>
            <w:r>
              <w:rPr>
                <w:rFonts w:ascii="Arial Narrow" w:hAnsi="Arial Narrow"/>
                <w:b/>
                <w:color w:val="000000"/>
                <w:sz w:val="20"/>
                <w:szCs w:val="18"/>
              </w:rPr>
              <w:t xml:space="preserve"> </w:t>
            </w:r>
            <w:r w:rsidRPr="00E2771E">
              <w:rPr>
                <w:rFonts w:ascii="Arial Narrow" w:hAnsi="Arial Narrow"/>
                <w:b/>
                <w:color w:val="000000"/>
                <w:sz w:val="20"/>
                <w:szCs w:val="18"/>
              </w:rPr>
              <w:t>(95% CI)</w:t>
            </w:r>
          </w:p>
        </w:tc>
      </w:tr>
      <w:tr w:rsidR="007F30CE" w:rsidRPr="00E2771E" w:rsidTr="005D439E">
        <w:trPr>
          <w:cantSplit/>
          <w:trHeight w:val="70"/>
          <w:tblHeader/>
        </w:trPr>
        <w:tc>
          <w:tcPr>
            <w:tcW w:w="787" w:type="pct"/>
            <w:vMerge/>
            <w:shd w:val="clear" w:color="auto" w:fill="auto"/>
            <w:vAlign w:val="center"/>
          </w:tcPr>
          <w:p w:rsidR="007F30CE" w:rsidRPr="00E2771E" w:rsidRDefault="007F30CE" w:rsidP="00825310">
            <w:pPr>
              <w:rPr>
                <w:rFonts w:ascii="Arial Narrow" w:hAnsi="Arial Narrow"/>
                <w:b/>
                <w:color w:val="000000"/>
                <w:sz w:val="20"/>
                <w:szCs w:val="18"/>
              </w:rPr>
            </w:pPr>
          </w:p>
        </w:tc>
        <w:tc>
          <w:tcPr>
            <w:tcW w:w="593" w:type="pct"/>
            <w:vMerge/>
            <w:vAlign w:val="center"/>
          </w:tcPr>
          <w:p w:rsidR="007F30CE" w:rsidRPr="00E2771E" w:rsidRDefault="007F30CE" w:rsidP="00825310">
            <w:pPr>
              <w:jc w:val="center"/>
              <w:rPr>
                <w:rFonts w:ascii="Arial Narrow" w:hAnsi="Arial Narrow"/>
                <w:b/>
                <w:color w:val="000000"/>
                <w:sz w:val="20"/>
                <w:szCs w:val="18"/>
              </w:rPr>
            </w:pPr>
          </w:p>
        </w:tc>
        <w:tc>
          <w:tcPr>
            <w:tcW w:w="715" w:type="pct"/>
            <w:vMerge/>
            <w:vAlign w:val="center"/>
          </w:tcPr>
          <w:p w:rsidR="007F30CE" w:rsidRPr="00E2771E" w:rsidRDefault="007F30CE" w:rsidP="00825310">
            <w:pPr>
              <w:jc w:val="center"/>
              <w:rPr>
                <w:rFonts w:ascii="Arial Narrow" w:hAnsi="Arial Narrow"/>
                <w:b/>
                <w:color w:val="000000"/>
                <w:sz w:val="20"/>
                <w:szCs w:val="18"/>
              </w:rPr>
            </w:pPr>
          </w:p>
        </w:tc>
        <w:tc>
          <w:tcPr>
            <w:tcW w:w="765" w:type="pct"/>
            <w:vMerge/>
            <w:vAlign w:val="center"/>
          </w:tcPr>
          <w:p w:rsidR="007F30CE" w:rsidRPr="00E2771E" w:rsidRDefault="007F30CE" w:rsidP="00825310">
            <w:pPr>
              <w:jc w:val="center"/>
              <w:rPr>
                <w:rFonts w:ascii="Arial Narrow" w:hAnsi="Arial Narrow"/>
                <w:b/>
                <w:color w:val="000000"/>
                <w:sz w:val="20"/>
                <w:szCs w:val="18"/>
              </w:rPr>
            </w:pPr>
          </w:p>
        </w:tc>
        <w:tc>
          <w:tcPr>
            <w:tcW w:w="769" w:type="pct"/>
            <w:vAlign w:val="center"/>
          </w:tcPr>
          <w:p w:rsidR="007F30CE" w:rsidRPr="00E2771E" w:rsidRDefault="007F30CE" w:rsidP="00825310">
            <w:pPr>
              <w:jc w:val="center"/>
              <w:rPr>
                <w:rFonts w:ascii="Arial Narrow" w:hAnsi="Arial Narrow"/>
                <w:b/>
                <w:color w:val="000000"/>
                <w:sz w:val="20"/>
                <w:szCs w:val="18"/>
              </w:rPr>
            </w:pPr>
            <w:r>
              <w:rPr>
                <w:rFonts w:ascii="Arial Narrow" w:hAnsi="Arial Narrow"/>
                <w:b/>
                <w:color w:val="000000"/>
                <w:sz w:val="20"/>
                <w:szCs w:val="18"/>
              </w:rPr>
              <w:t>Nintedanib</w:t>
            </w:r>
          </w:p>
        </w:tc>
        <w:tc>
          <w:tcPr>
            <w:tcW w:w="462" w:type="pct"/>
            <w:vAlign w:val="center"/>
          </w:tcPr>
          <w:p w:rsidR="007F30CE" w:rsidRPr="00E2771E" w:rsidRDefault="007F30CE" w:rsidP="00825310">
            <w:pPr>
              <w:jc w:val="center"/>
              <w:rPr>
                <w:rFonts w:ascii="Arial Narrow" w:hAnsi="Arial Narrow"/>
                <w:b/>
                <w:color w:val="000000"/>
                <w:sz w:val="20"/>
                <w:szCs w:val="18"/>
              </w:rPr>
            </w:pPr>
            <w:r>
              <w:rPr>
                <w:rFonts w:ascii="Arial Narrow" w:hAnsi="Arial Narrow"/>
                <w:b/>
                <w:color w:val="000000"/>
                <w:sz w:val="20"/>
                <w:szCs w:val="18"/>
              </w:rPr>
              <w:t>Placebo</w:t>
            </w:r>
          </w:p>
        </w:tc>
        <w:tc>
          <w:tcPr>
            <w:tcW w:w="909" w:type="pct"/>
            <w:vMerge/>
            <w:vAlign w:val="center"/>
          </w:tcPr>
          <w:p w:rsidR="007F30CE" w:rsidRPr="00E2771E" w:rsidRDefault="007F30CE" w:rsidP="00825310">
            <w:pPr>
              <w:jc w:val="center"/>
              <w:rPr>
                <w:rFonts w:ascii="Arial Narrow" w:hAnsi="Arial Narrow"/>
                <w:b/>
                <w:color w:val="000000"/>
                <w:sz w:val="20"/>
                <w:szCs w:val="18"/>
              </w:rPr>
            </w:pPr>
          </w:p>
        </w:tc>
      </w:tr>
      <w:tr w:rsidR="007F30CE" w:rsidRPr="007B4FF2" w:rsidTr="00825310">
        <w:trPr>
          <w:cantSplit/>
        </w:trPr>
        <w:tc>
          <w:tcPr>
            <w:tcW w:w="5000" w:type="pct"/>
            <w:gridSpan w:val="7"/>
            <w:shd w:val="clear" w:color="auto" w:fill="auto"/>
            <w:vAlign w:val="center"/>
          </w:tcPr>
          <w:p w:rsidR="007F30CE" w:rsidRPr="007B4FF2" w:rsidRDefault="007F30CE" w:rsidP="00825310">
            <w:pPr>
              <w:rPr>
                <w:rFonts w:ascii="Arial Narrow" w:hAnsi="Arial Narrow"/>
                <w:b/>
                <w:color w:val="000000"/>
                <w:sz w:val="20"/>
                <w:szCs w:val="18"/>
              </w:rPr>
            </w:pPr>
            <w:r w:rsidRPr="007B4FF2">
              <w:rPr>
                <w:rFonts w:ascii="Arial Narrow" w:hAnsi="Arial Narrow"/>
                <w:b/>
                <w:color w:val="000000"/>
                <w:sz w:val="20"/>
                <w:szCs w:val="18"/>
              </w:rPr>
              <w:t>Benefits</w:t>
            </w:r>
          </w:p>
        </w:tc>
      </w:tr>
      <w:tr w:rsidR="007F30CE" w:rsidRPr="007B4FF2" w:rsidTr="00825310">
        <w:trPr>
          <w:cantSplit/>
        </w:trPr>
        <w:tc>
          <w:tcPr>
            <w:tcW w:w="5000" w:type="pct"/>
            <w:gridSpan w:val="7"/>
            <w:shd w:val="clear" w:color="auto" w:fill="auto"/>
            <w:vAlign w:val="center"/>
          </w:tcPr>
          <w:p w:rsidR="007F30CE" w:rsidRPr="007B4FF2" w:rsidRDefault="007F30CE" w:rsidP="00825310">
            <w:pPr>
              <w:rPr>
                <w:rFonts w:ascii="Arial Narrow" w:hAnsi="Arial Narrow"/>
                <w:b/>
                <w:color w:val="000000"/>
                <w:sz w:val="20"/>
                <w:szCs w:val="18"/>
              </w:rPr>
            </w:pPr>
            <w:r>
              <w:rPr>
                <w:rFonts w:ascii="Arial Narrow" w:hAnsi="Arial Narrow"/>
                <w:b/>
                <w:color w:val="000000"/>
                <w:sz w:val="20"/>
                <w:szCs w:val="18"/>
              </w:rPr>
              <w:t>A</w:t>
            </w:r>
            <w:r w:rsidRPr="007B4FF2">
              <w:rPr>
                <w:rFonts w:ascii="Arial Narrow" w:hAnsi="Arial Narrow"/>
                <w:b/>
                <w:color w:val="000000"/>
                <w:sz w:val="20"/>
                <w:szCs w:val="18"/>
              </w:rPr>
              <w:t>ll-cause mortality over 52 weeks</w:t>
            </w:r>
          </w:p>
        </w:tc>
      </w:tr>
      <w:tr w:rsidR="007F30CE" w:rsidRPr="00E2771E" w:rsidTr="00825310">
        <w:trPr>
          <w:cantSplit/>
        </w:trPr>
        <w:tc>
          <w:tcPr>
            <w:tcW w:w="787" w:type="pct"/>
            <w:shd w:val="clear" w:color="auto" w:fill="auto"/>
            <w:vAlign w:val="center"/>
          </w:tcPr>
          <w:p w:rsidR="007F30CE" w:rsidRPr="00E2771E" w:rsidRDefault="007F30CE" w:rsidP="00825310">
            <w:pPr>
              <w:rPr>
                <w:rFonts w:ascii="Arial Narrow" w:hAnsi="Arial Narrow"/>
                <w:color w:val="000000"/>
                <w:sz w:val="20"/>
                <w:szCs w:val="18"/>
              </w:rPr>
            </w:pPr>
            <w:r w:rsidRPr="00E2771E">
              <w:rPr>
                <w:rFonts w:ascii="Arial Narrow" w:hAnsi="Arial Narrow"/>
                <w:color w:val="000000"/>
                <w:sz w:val="20"/>
                <w:szCs w:val="18"/>
              </w:rPr>
              <w:t>Trial</w:t>
            </w:r>
            <w:r>
              <w:rPr>
                <w:rFonts w:ascii="Arial Narrow" w:hAnsi="Arial Narrow"/>
                <w:color w:val="000000"/>
                <w:sz w:val="20"/>
                <w:szCs w:val="18"/>
              </w:rPr>
              <w:t xml:space="preserve"> 30, 32 &amp; 34</w:t>
            </w:r>
          </w:p>
        </w:tc>
        <w:tc>
          <w:tcPr>
            <w:tcW w:w="593" w:type="pct"/>
            <w:vAlign w:val="center"/>
          </w:tcPr>
          <w:p w:rsidR="007F30CE" w:rsidRPr="00E2771E" w:rsidRDefault="007F30CE" w:rsidP="00825310">
            <w:pPr>
              <w:jc w:val="center"/>
              <w:rPr>
                <w:rFonts w:ascii="Arial Narrow" w:hAnsi="Arial Narrow"/>
                <w:color w:val="000000"/>
                <w:sz w:val="20"/>
                <w:szCs w:val="18"/>
              </w:rPr>
            </w:pPr>
            <w:r>
              <w:rPr>
                <w:rFonts w:ascii="Arial Narrow" w:hAnsi="Arial Narrow"/>
                <w:color w:val="000000"/>
                <w:sz w:val="20"/>
                <w:szCs w:val="18"/>
              </w:rPr>
              <w:t>42/724</w:t>
            </w:r>
          </w:p>
        </w:tc>
        <w:tc>
          <w:tcPr>
            <w:tcW w:w="715" w:type="pct"/>
            <w:vAlign w:val="center"/>
          </w:tcPr>
          <w:p w:rsidR="007F30CE" w:rsidRPr="00E2771E" w:rsidRDefault="007F30CE" w:rsidP="00825310">
            <w:pPr>
              <w:jc w:val="center"/>
              <w:rPr>
                <w:rFonts w:ascii="Arial Narrow" w:hAnsi="Arial Narrow"/>
                <w:color w:val="000000"/>
                <w:sz w:val="20"/>
                <w:szCs w:val="18"/>
              </w:rPr>
            </w:pPr>
            <w:r>
              <w:rPr>
                <w:rFonts w:ascii="Arial Narrow" w:hAnsi="Arial Narrow"/>
                <w:color w:val="000000"/>
                <w:sz w:val="20"/>
                <w:szCs w:val="18"/>
              </w:rPr>
              <w:t>42/510</w:t>
            </w:r>
          </w:p>
        </w:tc>
        <w:tc>
          <w:tcPr>
            <w:tcW w:w="765" w:type="pct"/>
            <w:vAlign w:val="center"/>
          </w:tcPr>
          <w:p w:rsidR="007F30CE" w:rsidRPr="00E2771E" w:rsidRDefault="007F30CE" w:rsidP="00825310">
            <w:pPr>
              <w:jc w:val="center"/>
              <w:rPr>
                <w:rFonts w:ascii="Arial Narrow" w:hAnsi="Arial Narrow"/>
                <w:color w:val="000000"/>
                <w:sz w:val="20"/>
                <w:szCs w:val="18"/>
              </w:rPr>
            </w:pPr>
            <w:r w:rsidRPr="005C5596">
              <w:rPr>
                <w:rStyle w:val="CommentReference"/>
                <w:b w:val="0"/>
              </w:rPr>
              <w:t>0.72 (0.48, 1.09</w:t>
            </w:r>
            <w:r w:rsidRPr="002F53A9">
              <w:rPr>
                <w:rStyle w:val="CommentReference"/>
                <w:b w:val="0"/>
              </w:rPr>
              <w:t>)</w:t>
            </w:r>
          </w:p>
        </w:tc>
        <w:tc>
          <w:tcPr>
            <w:tcW w:w="769" w:type="pct"/>
            <w:vAlign w:val="center"/>
          </w:tcPr>
          <w:p w:rsidR="007F30CE" w:rsidRPr="00E2771E" w:rsidRDefault="007F30CE" w:rsidP="00825310">
            <w:pPr>
              <w:jc w:val="center"/>
              <w:rPr>
                <w:rFonts w:ascii="Arial Narrow" w:hAnsi="Arial Narrow"/>
                <w:color w:val="000000"/>
                <w:sz w:val="20"/>
                <w:szCs w:val="18"/>
              </w:rPr>
            </w:pPr>
            <w:r>
              <w:rPr>
                <w:rFonts w:ascii="Arial Narrow" w:hAnsi="Arial Narrow"/>
                <w:color w:val="000000"/>
                <w:sz w:val="20"/>
                <w:szCs w:val="18"/>
              </w:rPr>
              <w:t>5.8</w:t>
            </w:r>
          </w:p>
        </w:tc>
        <w:tc>
          <w:tcPr>
            <w:tcW w:w="462" w:type="pct"/>
            <w:vAlign w:val="center"/>
          </w:tcPr>
          <w:p w:rsidR="007F30CE" w:rsidRPr="00E2771E" w:rsidRDefault="007F30CE" w:rsidP="00825310">
            <w:pPr>
              <w:jc w:val="center"/>
              <w:rPr>
                <w:rFonts w:ascii="Arial Narrow" w:hAnsi="Arial Narrow"/>
                <w:color w:val="000000"/>
                <w:sz w:val="20"/>
                <w:szCs w:val="18"/>
              </w:rPr>
            </w:pPr>
            <w:r>
              <w:rPr>
                <w:rFonts w:ascii="Arial Narrow" w:hAnsi="Arial Narrow"/>
                <w:color w:val="000000"/>
                <w:sz w:val="20"/>
                <w:szCs w:val="18"/>
              </w:rPr>
              <w:t>8.2</w:t>
            </w:r>
          </w:p>
        </w:tc>
        <w:tc>
          <w:tcPr>
            <w:tcW w:w="909" w:type="pct"/>
            <w:vAlign w:val="center"/>
          </w:tcPr>
          <w:p w:rsidR="007F30CE" w:rsidRPr="00E2771E" w:rsidRDefault="007F30CE" w:rsidP="00825310">
            <w:pPr>
              <w:jc w:val="center"/>
              <w:rPr>
                <w:rFonts w:ascii="Arial Narrow" w:hAnsi="Arial Narrow"/>
                <w:color w:val="000000"/>
                <w:sz w:val="20"/>
                <w:szCs w:val="18"/>
              </w:rPr>
            </w:pPr>
            <w:r w:rsidRPr="005C5596">
              <w:rPr>
                <w:rStyle w:val="CommentReference"/>
                <w:b w:val="0"/>
              </w:rPr>
              <w:t>-0.02 (-0.05, 0.01)</w:t>
            </w:r>
          </w:p>
        </w:tc>
      </w:tr>
      <w:tr w:rsidR="007F30CE" w:rsidRPr="007B4FF2" w:rsidTr="00825310">
        <w:trPr>
          <w:cantSplit/>
        </w:trPr>
        <w:tc>
          <w:tcPr>
            <w:tcW w:w="5000" w:type="pct"/>
            <w:gridSpan w:val="7"/>
            <w:shd w:val="clear" w:color="auto" w:fill="auto"/>
            <w:vAlign w:val="center"/>
          </w:tcPr>
          <w:p w:rsidR="007F30CE" w:rsidRPr="007B4FF2" w:rsidRDefault="007F30CE" w:rsidP="00825310">
            <w:pPr>
              <w:jc w:val="left"/>
              <w:rPr>
                <w:rFonts w:ascii="Arial Narrow" w:hAnsi="Arial Narrow"/>
                <w:b/>
                <w:color w:val="000000"/>
                <w:sz w:val="20"/>
                <w:szCs w:val="18"/>
              </w:rPr>
            </w:pPr>
            <w:r w:rsidRPr="007B4FF2">
              <w:rPr>
                <w:rFonts w:ascii="Arial Narrow" w:hAnsi="Arial Narrow"/>
                <w:b/>
                <w:color w:val="000000"/>
                <w:sz w:val="20"/>
                <w:szCs w:val="18"/>
              </w:rPr>
              <w:t xml:space="preserve">Acute IPF exacerbation: </w:t>
            </w:r>
            <w:r w:rsidR="003C0DCC">
              <w:rPr>
                <w:rFonts w:ascii="Arial Narrow" w:hAnsi="Arial Narrow"/>
                <w:b/>
                <w:color w:val="000000"/>
                <w:sz w:val="20"/>
                <w:szCs w:val="18"/>
              </w:rPr>
              <w:t>adjudicated acute IPF exacerbation</w:t>
            </w:r>
          </w:p>
        </w:tc>
      </w:tr>
      <w:tr w:rsidR="003C0DCC" w:rsidRPr="00E2771E" w:rsidTr="00825310">
        <w:trPr>
          <w:cantSplit/>
        </w:trPr>
        <w:tc>
          <w:tcPr>
            <w:tcW w:w="787" w:type="pct"/>
            <w:tcBorders>
              <w:bottom w:val="double" w:sz="4" w:space="0" w:color="auto"/>
            </w:tcBorders>
            <w:shd w:val="clear" w:color="auto" w:fill="auto"/>
            <w:vAlign w:val="center"/>
          </w:tcPr>
          <w:p w:rsidR="003C0DCC" w:rsidRPr="00E2771E" w:rsidRDefault="003C0DCC" w:rsidP="00825310">
            <w:pPr>
              <w:rPr>
                <w:rFonts w:ascii="Arial Narrow" w:hAnsi="Arial Narrow"/>
                <w:color w:val="000000"/>
                <w:sz w:val="20"/>
                <w:szCs w:val="18"/>
              </w:rPr>
            </w:pPr>
            <w:r w:rsidRPr="00E2771E">
              <w:rPr>
                <w:rFonts w:ascii="Arial Narrow" w:hAnsi="Arial Narrow"/>
                <w:color w:val="000000"/>
                <w:sz w:val="20"/>
                <w:szCs w:val="18"/>
              </w:rPr>
              <w:t>Trial</w:t>
            </w:r>
            <w:r>
              <w:rPr>
                <w:rFonts w:ascii="Arial Narrow" w:hAnsi="Arial Narrow"/>
                <w:color w:val="000000"/>
                <w:sz w:val="20"/>
                <w:szCs w:val="18"/>
              </w:rPr>
              <w:t xml:space="preserve"> 32 &amp; 34</w:t>
            </w:r>
          </w:p>
        </w:tc>
        <w:tc>
          <w:tcPr>
            <w:tcW w:w="593" w:type="pct"/>
            <w:tcBorders>
              <w:bottom w:val="double" w:sz="4" w:space="0" w:color="auto"/>
            </w:tcBorders>
            <w:vAlign w:val="center"/>
          </w:tcPr>
          <w:p w:rsidR="003C0DCC" w:rsidRPr="00E2771E" w:rsidRDefault="003C0DCC" w:rsidP="00825310">
            <w:pPr>
              <w:jc w:val="center"/>
              <w:rPr>
                <w:rFonts w:ascii="Arial Narrow" w:hAnsi="Arial Narrow"/>
                <w:color w:val="000000"/>
                <w:sz w:val="20"/>
                <w:szCs w:val="18"/>
              </w:rPr>
            </w:pPr>
            <w:r>
              <w:rPr>
                <w:rFonts w:ascii="Arial Narrow" w:hAnsi="Arial Narrow"/>
                <w:color w:val="000000"/>
                <w:sz w:val="20"/>
                <w:szCs w:val="18"/>
              </w:rPr>
              <w:t>12/638</w:t>
            </w:r>
          </w:p>
        </w:tc>
        <w:tc>
          <w:tcPr>
            <w:tcW w:w="715" w:type="pct"/>
            <w:tcBorders>
              <w:bottom w:val="double" w:sz="4" w:space="0" w:color="auto"/>
            </w:tcBorders>
            <w:vAlign w:val="center"/>
          </w:tcPr>
          <w:p w:rsidR="003C0DCC" w:rsidRPr="00E2771E" w:rsidRDefault="003C0DCC" w:rsidP="00825310">
            <w:pPr>
              <w:jc w:val="center"/>
              <w:rPr>
                <w:rFonts w:ascii="Arial Narrow" w:hAnsi="Arial Narrow"/>
                <w:color w:val="000000"/>
                <w:sz w:val="20"/>
                <w:szCs w:val="18"/>
              </w:rPr>
            </w:pPr>
            <w:r>
              <w:rPr>
                <w:rFonts w:ascii="Arial Narrow" w:hAnsi="Arial Narrow"/>
                <w:color w:val="000000"/>
                <w:sz w:val="20"/>
                <w:szCs w:val="18"/>
              </w:rPr>
              <w:t>24/423</w:t>
            </w:r>
          </w:p>
        </w:tc>
        <w:tc>
          <w:tcPr>
            <w:tcW w:w="765" w:type="pct"/>
            <w:tcBorders>
              <w:bottom w:val="double" w:sz="4" w:space="0" w:color="auto"/>
            </w:tcBorders>
            <w:vAlign w:val="center"/>
          </w:tcPr>
          <w:p w:rsidR="003C0DCC" w:rsidRPr="003C0DCC" w:rsidRDefault="003C0DCC" w:rsidP="00825310">
            <w:pPr>
              <w:jc w:val="center"/>
              <w:rPr>
                <w:rFonts w:ascii="Arial Narrow" w:hAnsi="Arial Narrow"/>
                <w:b/>
                <w:color w:val="000000"/>
                <w:sz w:val="20"/>
                <w:szCs w:val="18"/>
              </w:rPr>
            </w:pPr>
            <w:r w:rsidRPr="005C5596">
              <w:rPr>
                <w:rStyle w:val="CommentReference"/>
                <w:b w:val="0"/>
              </w:rPr>
              <w:t>0.35 (0.13, 0.94)</w:t>
            </w:r>
          </w:p>
        </w:tc>
        <w:tc>
          <w:tcPr>
            <w:tcW w:w="769" w:type="pct"/>
            <w:tcBorders>
              <w:bottom w:val="double" w:sz="4" w:space="0" w:color="auto"/>
            </w:tcBorders>
            <w:vAlign w:val="center"/>
          </w:tcPr>
          <w:p w:rsidR="003C0DCC" w:rsidRPr="00E2771E" w:rsidRDefault="003C0DCC" w:rsidP="00825310">
            <w:pPr>
              <w:jc w:val="center"/>
              <w:rPr>
                <w:rFonts w:ascii="Arial Narrow" w:hAnsi="Arial Narrow"/>
                <w:color w:val="000000"/>
                <w:sz w:val="20"/>
                <w:szCs w:val="18"/>
              </w:rPr>
            </w:pPr>
            <w:r>
              <w:rPr>
                <w:rFonts w:ascii="Arial Narrow" w:hAnsi="Arial Narrow"/>
                <w:color w:val="000000"/>
                <w:sz w:val="20"/>
                <w:szCs w:val="18"/>
              </w:rPr>
              <w:t>1.9</w:t>
            </w:r>
          </w:p>
        </w:tc>
        <w:tc>
          <w:tcPr>
            <w:tcW w:w="462" w:type="pct"/>
            <w:tcBorders>
              <w:bottom w:val="double" w:sz="4" w:space="0" w:color="auto"/>
            </w:tcBorders>
            <w:vAlign w:val="center"/>
          </w:tcPr>
          <w:p w:rsidR="003C0DCC" w:rsidRPr="00E2771E" w:rsidRDefault="003C0DCC" w:rsidP="00825310">
            <w:pPr>
              <w:jc w:val="center"/>
              <w:rPr>
                <w:rFonts w:ascii="Arial Narrow" w:hAnsi="Arial Narrow"/>
                <w:color w:val="000000"/>
                <w:sz w:val="20"/>
                <w:szCs w:val="18"/>
              </w:rPr>
            </w:pPr>
            <w:r>
              <w:rPr>
                <w:rFonts w:ascii="Arial Narrow" w:hAnsi="Arial Narrow"/>
                <w:color w:val="000000"/>
                <w:sz w:val="20"/>
                <w:szCs w:val="18"/>
              </w:rPr>
              <w:t>5.7</w:t>
            </w:r>
          </w:p>
        </w:tc>
        <w:tc>
          <w:tcPr>
            <w:tcW w:w="909" w:type="pct"/>
            <w:tcBorders>
              <w:bottom w:val="double" w:sz="4" w:space="0" w:color="auto"/>
            </w:tcBorders>
            <w:vAlign w:val="center"/>
          </w:tcPr>
          <w:p w:rsidR="003C0DCC" w:rsidRPr="00E2771E" w:rsidRDefault="003C0DCC" w:rsidP="00825310">
            <w:pPr>
              <w:jc w:val="center"/>
              <w:rPr>
                <w:rFonts w:ascii="Arial Narrow" w:hAnsi="Arial Narrow"/>
                <w:color w:val="000000"/>
                <w:sz w:val="20"/>
                <w:szCs w:val="18"/>
              </w:rPr>
            </w:pPr>
            <w:r w:rsidRPr="005C5596">
              <w:rPr>
                <w:rStyle w:val="CommentReference"/>
                <w:b w:val="0"/>
              </w:rPr>
              <w:t>-0.04 (-0.08, 0.01)</w:t>
            </w:r>
          </w:p>
        </w:tc>
      </w:tr>
      <w:tr w:rsidR="003C0DCC" w:rsidRPr="00E2771E" w:rsidTr="00825310">
        <w:trPr>
          <w:cantSplit/>
          <w:trHeight w:val="225"/>
        </w:trPr>
        <w:tc>
          <w:tcPr>
            <w:tcW w:w="787" w:type="pct"/>
            <w:vMerge w:val="restart"/>
            <w:tcBorders>
              <w:top w:val="double" w:sz="4" w:space="0" w:color="auto"/>
            </w:tcBorders>
            <w:shd w:val="clear" w:color="auto" w:fill="auto"/>
            <w:vAlign w:val="center"/>
          </w:tcPr>
          <w:p w:rsidR="003C0DCC" w:rsidRPr="00E2771E" w:rsidRDefault="003C0DCC" w:rsidP="00825310">
            <w:pPr>
              <w:rPr>
                <w:rFonts w:ascii="Arial Narrow" w:hAnsi="Arial Narrow"/>
                <w:color w:val="000000"/>
                <w:sz w:val="20"/>
                <w:szCs w:val="18"/>
              </w:rPr>
            </w:pPr>
          </w:p>
        </w:tc>
        <w:tc>
          <w:tcPr>
            <w:tcW w:w="1308" w:type="pct"/>
            <w:gridSpan w:val="2"/>
            <w:tcBorders>
              <w:top w:val="double" w:sz="4" w:space="0" w:color="auto"/>
            </w:tcBorders>
            <w:vAlign w:val="center"/>
          </w:tcPr>
          <w:p w:rsidR="003C0DCC" w:rsidRPr="00E2771E" w:rsidRDefault="003C0DCC" w:rsidP="00825310">
            <w:pPr>
              <w:jc w:val="center"/>
              <w:rPr>
                <w:rFonts w:ascii="Arial Narrow" w:hAnsi="Arial Narrow"/>
                <w:color w:val="000000"/>
                <w:sz w:val="20"/>
                <w:szCs w:val="18"/>
              </w:rPr>
            </w:pPr>
            <w:r>
              <w:rPr>
                <w:rFonts w:ascii="Arial Narrow" w:hAnsi="Arial Narrow"/>
                <w:b/>
                <w:color w:val="000000"/>
                <w:sz w:val="20"/>
                <w:szCs w:val="18"/>
              </w:rPr>
              <w:t>Nintedanib</w:t>
            </w:r>
          </w:p>
        </w:tc>
        <w:tc>
          <w:tcPr>
            <w:tcW w:w="1534" w:type="pct"/>
            <w:gridSpan w:val="2"/>
            <w:tcBorders>
              <w:top w:val="double" w:sz="4" w:space="0" w:color="auto"/>
            </w:tcBorders>
            <w:vAlign w:val="center"/>
          </w:tcPr>
          <w:p w:rsidR="003C0DCC" w:rsidRPr="00E2771E" w:rsidRDefault="003C0DCC" w:rsidP="00825310">
            <w:pPr>
              <w:jc w:val="center"/>
              <w:rPr>
                <w:rFonts w:ascii="Arial Narrow" w:hAnsi="Arial Narrow"/>
                <w:color w:val="000000"/>
                <w:sz w:val="20"/>
                <w:szCs w:val="18"/>
              </w:rPr>
            </w:pPr>
            <w:r>
              <w:rPr>
                <w:rFonts w:ascii="Arial Narrow" w:hAnsi="Arial Narrow"/>
                <w:b/>
                <w:color w:val="000000"/>
                <w:sz w:val="20"/>
                <w:szCs w:val="18"/>
              </w:rPr>
              <w:t>Placebo</w:t>
            </w:r>
          </w:p>
        </w:tc>
        <w:tc>
          <w:tcPr>
            <w:tcW w:w="1371" w:type="pct"/>
            <w:gridSpan w:val="2"/>
            <w:vMerge w:val="restart"/>
            <w:tcBorders>
              <w:top w:val="double" w:sz="4" w:space="0" w:color="auto"/>
            </w:tcBorders>
            <w:vAlign w:val="center"/>
          </w:tcPr>
          <w:p w:rsidR="003C0DCC" w:rsidRPr="00E2771E" w:rsidRDefault="003C0DCC" w:rsidP="00825310">
            <w:pPr>
              <w:jc w:val="center"/>
              <w:rPr>
                <w:rFonts w:ascii="Arial Narrow" w:hAnsi="Arial Narrow"/>
                <w:b/>
                <w:sz w:val="20"/>
                <w:szCs w:val="18"/>
              </w:rPr>
            </w:pPr>
            <w:r>
              <w:rPr>
                <w:rFonts w:ascii="Arial Narrow" w:hAnsi="Arial Narrow"/>
                <w:b/>
                <w:sz w:val="20"/>
                <w:szCs w:val="18"/>
              </w:rPr>
              <w:t>Mean difference</w:t>
            </w:r>
          </w:p>
          <w:p w:rsidR="003C0DCC" w:rsidRPr="00E2771E" w:rsidRDefault="003C0DCC" w:rsidP="00825310">
            <w:pPr>
              <w:jc w:val="center"/>
              <w:rPr>
                <w:rFonts w:ascii="Arial Narrow" w:hAnsi="Arial Narrow"/>
                <w:b/>
                <w:sz w:val="20"/>
                <w:szCs w:val="18"/>
              </w:rPr>
            </w:pPr>
            <w:r w:rsidRPr="00E2771E">
              <w:rPr>
                <w:rFonts w:ascii="Arial Narrow" w:hAnsi="Arial Narrow"/>
                <w:b/>
                <w:sz w:val="20"/>
                <w:szCs w:val="18"/>
              </w:rPr>
              <w:t>(95% CI)</w:t>
            </w:r>
          </w:p>
        </w:tc>
      </w:tr>
      <w:tr w:rsidR="003C0DCC" w:rsidRPr="00E2771E" w:rsidTr="00825310">
        <w:trPr>
          <w:cantSplit/>
          <w:trHeight w:val="70"/>
        </w:trPr>
        <w:tc>
          <w:tcPr>
            <w:tcW w:w="787" w:type="pct"/>
            <w:vMerge/>
            <w:shd w:val="clear" w:color="auto" w:fill="auto"/>
            <w:vAlign w:val="center"/>
          </w:tcPr>
          <w:p w:rsidR="003C0DCC" w:rsidRPr="00E2771E" w:rsidRDefault="003C0DCC" w:rsidP="00825310">
            <w:pPr>
              <w:rPr>
                <w:rFonts w:ascii="Arial Narrow" w:hAnsi="Arial Narrow"/>
                <w:color w:val="000000"/>
                <w:sz w:val="20"/>
                <w:szCs w:val="18"/>
              </w:rPr>
            </w:pPr>
          </w:p>
        </w:tc>
        <w:tc>
          <w:tcPr>
            <w:tcW w:w="593" w:type="pct"/>
            <w:vAlign w:val="center"/>
          </w:tcPr>
          <w:p w:rsidR="003C0DCC" w:rsidRPr="00E2771E" w:rsidRDefault="003C0DCC" w:rsidP="00825310">
            <w:pPr>
              <w:jc w:val="center"/>
              <w:rPr>
                <w:rFonts w:ascii="Arial Narrow" w:hAnsi="Arial Narrow"/>
                <w:b/>
                <w:color w:val="000000"/>
                <w:sz w:val="20"/>
                <w:szCs w:val="18"/>
              </w:rPr>
            </w:pPr>
            <w:r w:rsidRPr="00E2771E">
              <w:rPr>
                <w:rFonts w:ascii="Arial Narrow" w:hAnsi="Arial Narrow"/>
                <w:b/>
                <w:color w:val="000000"/>
                <w:sz w:val="20"/>
                <w:szCs w:val="18"/>
              </w:rPr>
              <w:t>n</w:t>
            </w:r>
          </w:p>
        </w:tc>
        <w:tc>
          <w:tcPr>
            <w:tcW w:w="715" w:type="pct"/>
            <w:vAlign w:val="center"/>
          </w:tcPr>
          <w:p w:rsidR="003C0DCC" w:rsidRPr="00E2771E" w:rsidRDefault="003C0DCC" w:rsidP="00825310">
            <w:pPr>
              <w:jc w:val="center"/>
              <w:rPr>
                <w:rFonts w:ascii="Arial Narrow" w:hAnsi="Arial Narrow"/>
                <w:b/>
                <w:sz w:val="20"/>
                <w:szCs w:val="18"/>
              </w:rPr>
            </w:pPr>
            <w:r w:rsidRPr="00E2771E">
              <w:rPr>
                <w:rFonts w:ascii="Arial Narrow" w:hAnsi="Arial Narrow"/>
                <w:b/>
                <w:sz w:val="20"/>
                <w:szCs w:val="18"/>
              </w:rPr>
              <w:t xml:space="preserve">Mean ∆ baseline </w:t>
            </w:r>
            <w:r>
              <w:rPr>
                <w:rFonts w:ascii="Arial Narrow" w:hAnsi="Arial Narrow"/>
                <w:b/>
                <w:sz w:val="20"/>
                <w:szCs w:val="18"/>
              </w:rPr>
              <w:t>(SE)</w:t>
            </w:r>
          </w:p>
        </w:tc>
        <w:tc>
          <w:tcPr>
            <w:tcW w:w="765" w:type="pct"/>
            <w:vAlign w:val="center"/>
          </w:tcPr>
          <w:p w:rsidR="003C0DCC" w:rsidRPr="00E2771E" w:rsidRDefault="003C0DCC" w:rsidP="00825310">
            <w:pPr>
              <w:jc w:val="center"/>
              <w:rPr>
                <w:rFonts w:ascii="Arial Narrow" w:hAnsi="Arial Narrow"/>
                <w:b/>
                <w:color w:val="000000"/>
                <w:sz w:val="20"/>
                <w:szCs w:val="18"/>
              </w:rPr>
            </w:pPr>
            <w:r w:rsidRPr="00E2771E">
              <w:rPr>
                <w:rFonts w:ascii="Arial Narrow" w:hAnsi="Arial Narrow"/>
                <w:b/>
                <w:color w:val="000000"/>
                <w:sz w:val="20"/>
                <w:szCs w:val="18"/>
              </w:rPr>
              <w:t>n</w:t>
            </w:r>
          </w:p>
        </w:tc>
        <w:tc>
          <w:tcPr>
            <w:tcW w:w="769" w:type="pct"/>
            <w:vAlign w:val="center"/>
          </w:tcPr>
          <w:p w:rsidR="003C0DCC" w:rsidRPr="00E2771E" w:rsidRDefault="003C0DCC" w:rsidP="00825310">
            <w:pPr>
              <w:jc w:val="center"/>
              <w:rPr>
                <w:rFonts w:ascii="Arial Narrow" w:hAnsi="Arial Narrow"/>
                <w:b/>
                <w:sz w:val="20"/>
                <w:szCs w:val="18"/>
              </w:rPr>
            </w:pPr>
            <w:r w:rsidRPr="00E2771E">
              <w:rPr>
                <w:rFonts w:ascii="Arial Narrow" w:hAnsi="Arial Narrow"/>
                <w:b/>
                <w:sz w:val="20"/>
                <w:szCs w:val="18"/>
              </w:rPr>
              <w:t xml:space="preserve">Mean ∆ baseline </w:t>
            </w:r>
            <w:r>
              <w:rPr>
                <w:rFonts w:ascii="Arial Narrow" w:hAnsi="Arial Narrow"/>
                <w:b/>
                <w:sz w:val="20"/>
                <w:szCs w:val="18"/>
              </w:rPr>
              <w:t>(SE)</w:t>
            </w:r>
          </w:p>
        </w:tc>
        <w:tc>
          <w:tcPr>
            <w:tcW w:w="1371" w:type="pct"/>
            <w:gridSpan w:val="2"/>
            <w:vMerge/>
            <w:vAlign w:val="center"/>
          </w:tcPr>
          <w:p w:rsidR="003C0DCC" w:rsidRPr="00E2771E" w:rsidRDefault="003C0DCC" w:rsidP="00825310">
            <w:pPr>
              <w:jc w:val="center"/>
              <w:rPr>
                <w:rFonts w:ascii="Arial Narrow" w:hAnsi="Arial Narrow"/>
                <w:b/>
                <w:sz w:val="20"/>
                <w:szCs w:val="18"/>
              </w:rPr>
            </w:pPr>
          </w:p>
        </w:tc>
      </w:tr>
      <w:tr w:rsidR="003C0DCC" w:rsidRPr="007B4FF2" w:rsidTr="00825310">
        <w:trPr>
          <w:cantSplit/>
        </w:trPr>
        <w:tc>
          <w:tcPr>
            <w:tcW w:w="5000" w:type="pct"/>
            <w:gridSpan w:val="7"/>
            <w:tcBorders>
              <w:bottom w:val="single" w:sz="4" w:space="0" w:color="auto"/>
            </w:tcBorders>
            <w:shd w:val="clear" w:color="auto" w:fill="auto"/>
            <w:vAlign w:val="center"/>
          </w:tcPr>
          <w:p w:rsidR="003C0DCC" w:rsidRPr="007B4FF2" w:rsidRDefault="003C0DCC" w:rsidP="00825310">
            <w:pPr>
              <w:jc w:val="left"/>
              <w:rPr>
                <w:rFonts w:ascii="Arial Narrow" w:hAnsi="Arial Narrow"/>
                <w:b/>
                <w:sz w:val="20"/>
                <w:szCs w:val="18"/>
              </w:rPr>
            </w:pPr>
            <w:r w:rsidRPr="007B4FF2">
              <w:rPr>
                <w:rStyle w:val="CommentReference"/>
              </w:rPr>
              <w:t>Absolute change in FVC%Pred from baseline to week 52</w:t>
            </w:r>
          </w:p>
        </w:tc>
      </w:tr>
      <w:tr w:rsidR="003C0DCC" w:rsidRPr="00E2771E" w:rsidTr="00825310">
        <w:trPr>
          <w:cantSplit/>
        </w:trPr>
        <w:tc>
          <w:tcPr>
            <w:tcW w:w="787" w:type="pct"/>
            <w:tcBorders>
              <w:bottom w:val="single" w:sz="4" w:space="0" w:color="auto"/>
            </w:tcBorders>
            <w:shd w:val="clear" w:color="auto" w:fill="auto"/>
            <w:vAlign w:val="center"/>
          </w:tcPr>
          <w:p w:rsidR="003C0DCC" w:rsidRPr="00E2771E" w:rsidRDefault="003C0DCC" w:rsidP="00825310">
            <w:pPr>
              <w:rPr>
                <w:rFonts w:ascii="Arial Narrow" w:hAnsi="Arial Narrow"/>
                <w:color w:val="000000"/>
                <w:sz w:val="20"/>
                <w:szCs w:val="18"/>
              </w:rPr>
            </w:pPr>
            <w:r w:rsidRPr="00E2771E">
              <w:rPr>
                <w:rFonts w:ascii="Arial Narrow" w:hAnsi="Arial Narrow"/>
                <w:color w:val="000000"/>
                <w:sz w:val="20"/>
                <w:szCs w:val="18"/>
              </w:rPr>
              <w:t>Trial</w:t>
            </w:r>
            <w:r>
              <w:rPr>
                <w:rFonts w:ascii="Arial Narrow" w:hAnsi="Arial Narrow"/>
                <w:color w:val="000000"/>
                <w:sz w:val="20"/>
                <w:szCs w:val="18"/>
              </w:rPr>
              <w:t xml:space="preserve"> 30</w:t>
            </w:r>
          </w:p>
        </w:tc>
        <w:tc>
          <w:tcPr>
            <w:tcW w:w="593" w:type="pct"/>
            <w:tcBorders>
              <w:bottom w:val="single" w:sz="4" w:space="0" w:color="auto"/>
            </w:tcBorders>
            <w:vAlign w:val="center"/>
          </w:tcPr>
          <w:p w:rsidR="003C0DCC" w:rsidRPr="00E2771E" w:rsidRDefault="003C0DCC" w:rsidP="00825310">
            <w:pPr>
              <w:jc w:val="center"/>
              <w:rPr>
                <w:rFonts w:ascii="Arial Narrow" w:hAnsi="Arial Narrow"/>
                <w:color w:val="000000"/>
                <w:sz w:val="20"/>
                <w:szCs w:val="18"/>
              </w:rPr>
            </w:pPr>
            <w:r>
              <w:rPr>
                <w:rFonts w:ascii="Arial Narrow" w:hAnsi="Arial Narrow"/>
                <w:color w:val="000000"/>
                <w:sz w:val="20"/>
                <w:szCs w:val="18"/>
              </w:rPr>
              <w:t>84</w:t>
            </w:r>
          </w:p>
        </w:tc>
        <w:tc>
          <w:tcPr>
            <w:tcW w:w="715" w:type="pct"/>
            <w:tcBorders>
              <w:bottom w:val="single" w:sz="4" w:space="0" w:color="auto"/>
            </w:tcBorders>
            <w:vAlign w:val="center"/>
          </w:tcPr>
          <w:p w:rsidR="003C0DCC" w:rsidRPr="00E2771E" w:rsidRDefault="003C0DCC" w:rsidP="00825310">
            <w:pPr>
              <w:jc w:val="center"/>
              <w:rPr>
                <w:rFonts w:ascii="Arial Narrow" w:hAnsi="Arial Narrow"/>
                <w:color w:val="000000"/>
                <w:sz w:val="20"/>
                <w:szCs w:val="18"/>
              </w:rPr>
            </w:pPr>
            <w:r>
              <w:rPr>
                <w:rStyle w:val="CommentReference"/>
                <w:b w:val="0"/>
              </w:rPr>
              <w:t>-1.04 (0.99)</w:t>
            </w:r>
          </w:p>
        </w:tc>
        <w:tc>
          <w:tcPr>
            <w:tcW w:w="765" w:type="pct"/>
            <w:tcBorders>
              <w:bottom w:val="single" w:sz="4" w:space="0" w:color="auto"/>
            </w:tcBorders>
            <w:vAlign w:val="center"/>
          </w:tcPr>
          <w:p w:rsidR="003C0DCC" w:rsidRPr="00E2771E" w:rsidRDefault="003C0DCC" w:rsidP="00825310">
            <w:pPr>
              <w:jc w:val="center"/>
              <w:rPr>
                <w:rFonts w:ascii="Arial Narrow" w:hAnsi="Arial Narrow"/>
                <w:color w:val="000000"/>
                <w:sz w:val="20"/>
                <w:szCs w:val="18"/>
              </w:rPr>
            </w:pPr>
            <w:r>
              <w:rPr>
                <w:rStyle w:val="CommentReference"/>
                <w:b w:val="0"/>
              </w:rPr>
              <w:t>84</w:t>
            </w:r>
          </w:p>
        </w:tc>
        <w:tc>
          <w:tcPr>
            <w:tcW w:w="769" w:type="pct"/>
            <w:tcBorders>
              <w:bottom w:val="single" w:sz="4" w:space="0" w:color="auto"/>
            </w:tcBorders>
            <w:vAlign w:val="center"/>
          </w:tcPr>
          <w:p w:rsidR="003C0DCC" w:rsidRPr="00E2771E" w:rsidRDefault="003C0DCC" w:rsidP="00825310">
            <w:pPr>
              <w:jc w:val="center"/>
              <w:rPr>
                <w:rFonts w:ascii="Arial Narrow" w:hAnsi="Arial Narrow"/>
                <w:color w:val="000000"/>
                <w:sz w:val="20"/>
                <w:szCs w:val="18"/>
              </w:rPr>
            </w:pPr>
            <w:r>
              <w:rPr>
                <w:rStyle w:val="CommentReference"/>
                <w:b w:val="0"/>
              </w:rPr>
              <w:t>-6.00 (1.02)</w:t>
            </w:r>
          </w:p>
        </w:tc>
        <w:tc>
          <w:tcPr>
            <w:tcW w:w="1371" w:type="pct"/>
            <w:gridSpan w:val="2"/>
            <w:vMerge w:val="restart"/>
            <w:vAlign w:val="center"/>
          </w:tcPr>
          <w:p w:rsidR="003C0DCC" w:rsidRPr="00655048" w:rsidRDefault="003C0DCC" w:rsidP="00825310">
            <w:pPr>
              <w:jc w:val="center"/>
              <w:rPr>
                <w:rFonts w:ascii="Arial Narrow" w:hAnsi="Arial Narrow"/>
                <w:b/>
                <w:sz w:val="20"/>
                <w:szCs w:val="18"/>
              </w:rPr>
            </w:pPr>
            <w:r w:rsidRPr="005C5596">
              <w:rPr>
                <w:rStyle w:val="CommentReference"/>
                <w:b w:val="0"/>
              </w:rPr>
              <w:t>3.31 (2.46, 4.16)</w:t>
            </w:r>
          </w:p>
        </w:tc>
      </w:tr>
      <w:tr w:rsidR="003C0DCC" w:rsidRPr="00E2771E" w:rsidTr="00825310">
        <w:trPr>
          <w:cantSplit/>
        </w:trPr>
        <w:tc>
          <w:tcPr>
            <w:tcW w:w="787" w:type="pct"/>
            <w:tcBorders>
              <w:bottom w:val="single" w:sz="4" w:space="0" w:color="auto"/>
            </w:tcBorders>
            <w:shd w:val="clear" w:color="auto" w:fill="auto"/>
            <w:vAlign w:val="center"/>
          </w:tcPr>
          <w:p w:rsidR="003C0DCC" w:rsidRPr="00E2771E" w:rsidRDefault="003C0DCC" w:rsidP="00825310">
            <w:pPr>
              <w:rPr>
                <w:rFonts w:ascii="Arial Narrow" w:hAnsi="Arial Narrow"/>
                <w:color w:val="000000"/>
                <w:sz w:val="20"/>
                <w:szCs w:val="18"/>
              </w:rPr>
            </w:pPr>
            <w:r>
              <w:rPr>
                <w:rFonts w:ascii="Arial Narrow" w:hAnsi="Arial Narrow"/>
                <w:color w:val="000000"/>
                <w:sz w:val="20"/>
                <w:szCs w:val="18"/>
              </w:rPr>
              <w:t>Trial 32</w:t>
            </w:r>
          </w:p>
        </w:tc>
        <w:tc>
          <w:tcPr>
            <w:tcW w:w="593" w:type="pct"/>
            <w:tcBorders>
              <w:bottom w:val="single" w:sz="4" w:space="0" w:color="auto"/>
            </w:tcBorders>
            <w:vAlign w:val="center"/>
          </w:tcPr>
          <w:p w:rsidR="003C0DCC" w:rsidRPr="00E2771E" w:rsidRDefault="003C0DCC" w:rsidP="00825310">
            <w:pPr>
              <w:jc w:val="center"/>
              <w:rPr>
                <w:rFonts w:ascii="Arial Narrow" w:hAnsi="Arial Narrow"/>
                <w:color w:val="000000"/>
                <w:sz w:val="20"/>
                <w:szCs w:val="18"/>
              </w:rPr>
            </w:pPr>
            <w:r>
              <w:rPr>
                <w:rFonts w:ascii="Arial Narrow" w:hAnsi="Arial Narrow"/>
                <w:color w:val="000000"/>
                <w:sz w:val="20"/>
                <w:szCs w:val="18"/>
              </w:rPr>
              <w:t>250</w:t>
            </w:r>
          </w:p>
        </w:tc>
        <w:tc>
          <w:tcPr>
            <w:tcW w:w="715" w:type="pct"/>
            <w:tcBorders>
              <w:bottom w:val="single" w:sz="4" w:space="0" w:color="auto"/>
            </w:tcBorders>
            <w:vAlign w:val="center"/>
          </w:tcPr>
          <w:p w:rsidR="003C0DCC" w:rsidRPr="00E2771E" w:rsidRDefault="003C0DCC" w:rsidP="00825310">
            <w:pPr>
              <w:jc w:val="center"/>
              <w:rPr>
                <w:rFonts w:ascii="Arial Narrow" w:hAnsi="Arial Narrow"/>
                <w:color w:val="000000"/>
                <w:sz w:val="20"/>
                <w:szCs w:val="18"/>
              </w:rPr>
            </w:pPr>
            <w:r>
              <w:rPr>
                <w:rStyle w:val="CommentReference"/>
                <w:b w:val="0"/>
              </w:rPr>
              <w:t>-2.76 (0.41)</w:t>
            </w:r>
          </w:p>
        </w:tc>
        <w:tc>
          <w:tcPr>
            <w:tcW w:w="765" w:type="pct"/>
            <w:tcBorders>
              <w:bottom w:val="single" w:sz="4" w:space="0" w:color="auto"/>
            </w:tcBorders>
            <w:vAlign w:val="center"/>
          </w:tcPr>
          <w:p w:rsidR="003C0DCC" w:rsidRPr="00E2771E" w:rsidRDefault="003C0DCC" w:rsidP="00825310">
            <w:pPr>
              <w:jc w:val="center"/>
              <w:rPr>
                <w:rFonts w:ascii="Arial Narrow" w:hAnsi="Arial Narrow"/>
                <w:color w:val="000000"/>
                <w:sz w:val="20"/>
                <w:szCs w:val="18"/>
              </w:rPr>
            </w:pPr>
            <w:r>
              <w:rPr>
                <w:rStyle w:val="CommentReference"/>
                <w:b w:val="0"/>
              </w:rPr>
              <w:t>165</w:t>
            </w:r>
          </w:p>
        </w:tc>
        <w:tc>
          <w:tcPr>
            <w:tcW w:w="769" w:type="pct"/>
            <w:tcBorders>
              <w:bottom w:val="single" w:sz="4" w:space="0" w:color="auto"/>
            </w:tcBorders>
            <w:vAlign w:val="center"/>
          </w:tcPr>
          <w:p w:rsidR="003C0DCC" w:rsidRPr="00E2771E" w:rsidRDefault="003C0DCC" w:rsidP="00825310">
            <w:pPr>
              <w:jc w:val="center"/>
              <w:rPr>
                <w:rFonts w:ascii="Arial Narrow" w:hAnsi="Arial Narrow"/>
                <w:color w:val="000000"/>
                <w:sz w:val="20"/>
                <w:szCs w:val="18"/>
              </w:rPr>
            </w:pPr>
            <w:r>
              <w:rPr>
                <w:rStyle w:val="CommentReference"/>
                <w:b w:val="0"/>
              </w:rPr>
              <w:t>-5.98 (0.47)</w:t>
            </w:r>
          </w:p>
        </w:tc>
        <w:tc>
          <w:tcPr>
            <w:tcW w:w="1371" w:type="pct"/>
            <w:gridSpan w:val="2"/>
            <w:vMerge/>
            <w:vAlign w:val="center"/>
          </w:tcPr>
          <w:p w:rsidR="003C0DCC" w:rsidRPr="00E2771E" w:rsidRDefault="003C0DCC" w:rsidP="00825310">
            <w:pPr>
              <w:jc w:val="center"/>
              <w:rPr>
                <w:rFonts w:ascii="Arial Narrow" w:hAnsi="Arial Narrow"/>
                <w:sz w:val="20"/>
                <w:szCs w:val="18"/>
              </w:rPr>
            </w:pPr>
          </w:p>
        </w:tc>
      </w:tr>
      <w:tr w:rsidR="003C0DCC" w:rsidRPr="00E2771E" w:rsidTr="00825310">
        <w:trPr>
          <w:cantSplit/>
        </w:trPr>
        <w:tc>
          <w:tcPr>
            <w:tcW w:w="787" w:type="pct"/>
            <w:tcBorders>
              <w:top w:val="single" w:sz="4" w:space="0" w:color="auto"/>
              <w:bottom w:val="double" w:sz="4" w:space="0" w:color="auto"/>
            </w:tcBorders>
            <w:shd w:val="clear" w:color="auto" w:fill="auto"/>
            <w:vAlign w:val="center"/>
          </w:tcPr>
          <w:p w:rsidR="003C0DCC" w:rsidRPr="00E2771E" w:rsidRDefault="003C0DCC" w:rsidP="00825310">
            <w:pPr>
              <w:rPr>
                <w:rFonts w:ascii="Arial Narrow" w:hAnsi="Arial Narrow"/>
                <w:color w:val="000000"/>
                <w:sz w:val="20"/>
                <w:szCs w:val="18"/>
              </w:rPr>
            </w:pPr>
            <w:r>
              <w:rPr>
                <w:rFonts w:ascii="Arial Narrow" w:hAnsi="Arial Narrow"/>
                <w:color w:val="000000"/>
                <w:sz w:val="20"/>
                <w:szCs w:val="18"/>
              </w:rPr>
              <w:t>Trial 34</w:t>
            </w:r>
          </w:p>
        </w:tc>
        <w:tc>
          <w:tcPr>
            <w:tcW w:w="593" w:type="pct"/>
            <w:tcBorders>
              <w:top w:val="single" w:sz="4" w:space="0" w:color="auto"/>
              <w:bottom w:val="double" w:sz="4" w:space="0" w:color="auto"/>
            </w:tcBorders>
            <w:vAlign w:val="center"/>
          </w:tcPr>
          <w:p w:rsidR="003C0DCC" w:rsidRPr="00E2771E" w:rsidRDefault="003C0DCC" w:rsidP="00825310">
            <w:pPr>
              <w:jc w:val="center"/>
              <w:rPr>
                <w:rFonts w:ascii="Arial Narrow" w:hAnsi="Arial Narrow"/>
                <w:color w:val="000000"/>
                <w:sz w:val="20"/>
                <w:szCs w:val="18"/>
              </w:rPr>
            </w:pPr>
            <w:r>
              <w:rPr>
                <w:rFonts w:ascii="Arial Narrow" w:hAnsi="Arial Narrow"/>
                <w:color w:val="000000"/>
                <w:sz w:val="20"/>
                <w:szCs w:val="18"/>
              </w:rPr>
              <w:t>269</w:t>
            </w:r>
          </w:p>
        </w:tc>
        <w:tc>
          <w:tcPr>
            <w:tcW w:w="715" w:type="pct"/>
            <w:tcBorders>
              <w:top w:val="single" w:sz="4" w:space="0" w:color="auto"/>
              <w:bottom w:val="double" w:sz="4" w:space="0" w:color="auto"/>
            </w:tcBorders>
            <w:vAlign w:val="center"/>
          </w:tcPr>
          <w:p w:rsidR="003C0DCC" w:rsidRPr="00E2771E" w:rsidRDefault="003C0DCC" w:rsidP="00825310">
            <w:pPr>
              <w:jc w:val="center"/>
              <w:rPr>
                <w:rFonts w:ascii="Arial Narrow" w:hAnsi="Arial Narrow"/>
                <w:color w:val="000000"/>
                <w:sz w:val="20"/>
                <w:szCs w:val="18"/>
              </w:rPr>
            </w:pPr>
            <w:r>
              <w:rPr>
                <w:rStyle w:val="CommentReference"/>
                <w:b w:val="0"/>
              </w:rPr>
              <w:t>-3.09 (0.43)</w:t>
            </w:r>
          </w:p>
        </w:tc>
        <w:tc>
          <w:tcPr>
            <w:tcW w:w="765" w:type="pct"/>
            <w:tcBorders>
              <w:top w:val="single" w:sz="4" w:space="0" w:color="auto"/>
              <w:bottom w:val="double" w:sz="4" w:space="0" w:color="auto"/>
            </w:tcBorders>
            <w:vAlign w:val="center"/>
          </w:tcPr>
          <w:p w:rsidR="003C0DCC" w:rsidRPr="00E2771E" w:rsidRDefault="003C0DCC" w:rsidP="00825310">
            <w:pPr>
              <w:jc w:val="center"/>
              <w:rPr>
                <w:rFonts w:ascii="Arial Narrow" w:hAnsi="Arial Narrow"/>
                <w:color w:val="000000"/>
                <w:sz w:val="20"/>
                <w:szCs w:val="18"/>
              </w:rPr>
            </w:pPr>
            <w:r>
              <w:rPr>
                <w:rStyle w:val="CommentReference"/>
                <w:b w:val="0"/>
              </w:rPr>
              <w:t>180</w:t>
            </w:r>
          </w:p>
        </w:tc>
        <w:tc>
          <w:tcPr>
            <w:tcW w:w="769" w:type="pct"/>
            <w:tcBorders>
              <w:top w:val="single" w:sz="4" w:space="0" w:color="auto"/>
              <w:bottom w:val="double" w:sz="4" w:space="0" w:color="auto"/>
            </w:tcBorders>
            <w:vAlign w:val="center"/>
          </w:tcPr>
          <w:p w:rsidR="003C0DCC" w:rsidRPr="00E2771E" w:rsidRDefault="003C0DCC" w:rsidP="00825310">
            <w:pPr>
              <w:jc w:val="center"/>
              <w:rPr>
                <w:rFonts w:ascii="Arial Narrow" w:hAnsi="Arial Narrow"/>
                <w:color w:val="000000"/>
                <w:sz w:val="20"/>
                <w:szCs w:val="18"/>
              </w:rPr>
            </w:pPr>
            <w:r>
              <w:rPr>
                <w:rStyle w:val="CommentReference"/>
                <w:b w:val="0"/>
              </w:rPr>
              <w:t>-6.15 (0.51)</w:t>
            </w:r>
          </w:p>
        </w:tc>
        <w:tc>
          <w:tcPr>
            <w:tcW w:w="1371" w:type="pct"/>
            <w:gridSpan w:val="2"/>
            <w:vMerge/>
            <w:tcBorders>
              <w:bottom w:val="double" w:sz="4" w:space="0" w:color="auto"/>
            </w:tcBorders>
            <w:vAlign w:val="center"/>
          </w:tcPr>
          <w:p w:rsidR="003C0DCC" w:rsidRPr="00E2771E" w:rsidRDefault="003C0DCC" w:rsidP="00825310">
            <w:pPr>
              <w:jc w:val="center"/>
              <w:rPr>
                <w:rFonts w:ascii="Arial Narrow" w:hAnsi="Arial Narrow"/>
                <w:sz w:val="20"/>
                <w:szCs w:val="18"/>
              </w:rPr>
            </w:pPr>
          </w:p>
        </w:tc>
      </w:tr>
      <w:tr w:rsidR="003C0DCC" w:rsidRPr="00E2771E" w:rsidTr="00825310">
        <w:trPr>
          <w:cantSplit/>
        </w:trPr>
        <w:tc>
          <w:tcPr>
            <w:tcW w:w="5000" w:type="pct"/>
            <w:gridSpan w:val="7"/>
            <w:tcBorders>
              <w:top w:val="double" w:sz="4" w:space="0" w:color="auto"/>
            </w:tcBorders>
            <w:shd w:val="clear" w:color="auto" w:fill="auto"/>
            <w:vAlign w:val="center"/>
          </w:tcPr>
          <w:p w:rsidR="003C0DCC" w:rsidRPr="00E2771E" w:rsidRDefault="003C0DCC" w:rsidP="00825310">
            <w:pPr>
              <w:rPr>
                <w:rFonts w:ascii="Arial Narrow" w:hAnsi="Arial Narrow"/>
                <w:b/>
                <w:color w:val="000000"/>
                <w:sz w:val="20"/>
                <w:szCs w:val="18"/>
              </w:rPr>
            </w:pPr>
            <w:r w:rsidRPr="00E2771E">
              <w:rPr>
                <w:rFonts w:ascii="Arial Narrow" w:hAnsi="Arial Narrow"/>
                <w:b/>
                <w:color w:val="000000"/>
                <w:sz w:val="20"/>
                <w:szCs w:val="18"/>
              </w:rPr>
              <w:t xml:space="preserve">Harms </w:t>
            </w:r>
          </w:p>
        </w:tc>
      </w:tr>
      <w:tr w:rsidR="003C0DCC" w:rsidRPr="00E2771E" w:rsidTr="00825310">
        <w:trPr>
          <w:cantSplit/>
          <w:trHeight w:val="70"/>
        </w:trPr>
        <w:tc>
          <w:tcPr>
            <w:tcW w:w="787" w:type="pct"/>
            <w:vMerge w:val="restart"/>
            <w:shd w:val="clear" w:color="auto" w:fill="auto"/>
            <w:vAlign w:val="center"/>
          </w:tcPr>
          <w:p w:rsidR="003C0DCC" w:rsidRPr="00E2771E" w:rsidRDefault="003C0DCC" w:rsidP="00825310">
            <w:pPr>
              <w:rPr>
                <w:rFonts w:ascii="Arial Narrow" w:hAnsi="Arial Narrow"/>
                <w:b/>
                <w:color w:val="000000"/>
                <w:sz w:val="20"/>
                <w:szCs w:val="18"/>
              </w:rPr>
            </w:pPr>
          </w:p>
        </w:tc>
        <w:tc>
          <w:tcPr>
            <w:tcW w:w="593" w:type="pct"/>
            <w:vMerge w:val="restart"/>
            <w:vAlign w:val="center"/>
          </w:tcPr>
          <w:p w:rsidR="003C0DCC" w:rsidRPr="00E2771E" w:rsidRDefault="003C0DCC" w:rsidP="00825310">
            <w:pPr>
              <w:jc w:val="center"/>
              <w:rPr>
                <w:rFonts w:ascii="Arial Narrow" w:hAnsi="Arial Narrow"/>
                <w:b/>
                <w:color w:val="000000"/>
                <w:sz w:val="20"/>
                <w:szCs w:val="18"/>
              </w:rPr>
            </w:pPr>
            <w:r>
              <w:rPr>
                <w:rFonts w:ascii="Arial Narrow" w:hAnsi="Arial Narrow"/>
                <w:b/>
                <w:color w:val="000000"/>
                <w:sz w:val="20"/>
                <w:szCs w:val="18"/>
              </w:rPr>
              <w:t>Nintedanib</w:t>
            </w:r>
          </w:p>
        </w:tc>
        <w:tc>
          <w:tcPr>
            <w:tcW w:w="715" w:type="pct"/>
            <w:vMerge w:val="restart"/>
            <w:vAlign w:val="center"/>
          </w:tcPr>
          <w:p w:rsidR="003C0DCC" w:rsidRPr="00E2771E" w:rsidRDefault="003C0DCC" w:rsidP="00825310">
            <w:pPr>
              <w:jc w:val="center"/>
              <w:rPr>
                <w:rFonts w:ascii="Arial Narrow" w:hAnsi="Arial Narrow"/>
                <w:b/>
                <w:color w:val="000000"/>
                <w:sz w:val="20"/>
                <w:szCs w:val="18"/>
              </w:rPr>
            </w:pPr>
            <w:r>
              <w:rPr>
                <w:rFonts w:ascii="Arial Narrow" w:hAnsi="Arial Narrow"/>
                <w:b/>
                <w:color w:val="000000"/>
                <w:sz w:val="20"/>
                <w:szCs w:val="18"/>
              </w:rPr>
              <w:t>Placebo</w:t>
            </w:r>
          </w:p>
        </w:tc>
        <w:tc>
          <w:tcPr>
            <w:tcW w:w="765" w:type="pct"/>
            <w:vMerge w:val="restart"/>
            <w:vAlign w:val="center"/>
          </w:tcPr>
          <w:p w:rsidR="003C0DCC" w:rsidRPr="00E2771E" w:rsidRDefault="003C0DCC" w:rsidP="00825310">
            <w:pPr>
              <w:jc w:val="center"/>
              <w:rPr>
                <w:rFonts w:ascii="Arial Narrow" w:hAnsi="Arial Narrow"/>
                <w:b/>
                <w:color w:val="000000"/>
                <w:sz w:val="20"/>
                <w:szCs w:val="18"/>
              </w:rPr>
            </w:pPr>
            <w:r w:rsidRPr="00E2771E">
              <w:rPr>
                <w:rFonts w:ascii="Arial Narrow" w:hAnsi="Arial Narrow"/>
                <w:b/>
                <w:color w:val="000000"/>
                <w:sz w:val="20"/>
                <w:szCs w:val="18"/>
              </w:rPr>
              <w:t>RR</w:t>
            </w:r>
            <w:r>
              <w:rPr>
                <w:rFonts w:ascii="Arial Narrow" w:hAnsi="Arial Narrow"/>
                <w:b/>
                <w:color w:val="000000"/>
                <w:sz w:val="20"/>
                <w:szCs w:val="18"/>
              </w:rPr>
              <w:t xml:space="preserve"> </w:t>
            </w:r>
            <w:r w:rsidRPr="00E2771E">
              <w:rPr>
                <w:rFonts w:ascii="Arial Narrow" w:hAnsi="Arial Narrow"/>
                <w:b/>
                <w:color w:val="000000"/>
                <w:sz w:val="20"/>
                <w:szCs w:val="18"/>
              </w:rPr>
              <w:t>(95% CI)</w:t>
            </w:r>
          </w:p>
        </w:tc>
        <w:tc>
          <w:tcPr>
            <w:tcW w:w="1231" w:type="pct"/>
            <w:gridSpan w:val="2"/>
            <w:vAlign w:val="center"/>
          </w:tcPr>
          <w:p w:rsidR="003C0DCC" w:rsidRPr="00E2771E" w:rsidRDefault="003C0DCC" w:rsidP="00825310">
            <w:pPr>
              <w:jc w:val="center"/>
              <w:rPr>
                <w:rFonts w:ascii="Arial Narrow" w:hAnsi="Arial Narrow"/>
                <w:b/>
                <w:color w:val="000000"/>
                <w:sz w:val="20"/>
                <w:szCs w:val="18"/>
              </w:rPr>
            </w:pPr>
            <w:r w:rsidRPr="00E2771E">
              <w:rPr>
                <w:rFonts w:ascii="Arial Narrow" w:hAnsi="Arial Narrow"/>
                <w:b/>
                <w:color w:val="000000"/>
                <w:sz w:val="20"/>
                <w:szCs w:val="18"/>
              </w:rPr>
              <w:t>Event rate/100 patients</w:t>
            </w:r>
            <w:r>
              <w:rPr>
                <w:rFonts w:ascii="Arial Narrow" w:hAnsi="Arial Narrow"/>
                <w:b/>
                <w:color w:val="000000"/>
                <w:sz w:val="20"/>
                <w:szCs w:val="18"/>
              </w:rPr>
              <w:t>*</w:t>
            </w:r>
          </w:p>
        </w:tc>
        <w:tc>
          <w:tcPr>
            <w:tcW w:w="909" w:type="pct"/>
            <w:vMerge w:val="restart"/>
            <w:vAlign w:val="center"/>
          </w:tcPr>
          <w:p w:rsidR="003C0DCC" w:rsidRPr="00E2771E" w:rsidRDefault="003C0DCC" w:rsidP="00825310">
            <w:pPr>
              <w:jc w:val="center"/>
              <w:rPr>
                <w:rFonts w:ascii="Arial Narrow" w:hAnsi="Arial Narrow"/>
                <w:b/>
                <w:color w:val="000000"/>
                <w:sz w:val="20"/>
                <w:szCs w:val="18"/>
              </w:rPr>
            </w:pPr>
            <w:r w:rsidRPr="00E2771E">
              <w:rPr>
                <w:rFonts w:ascii="Arial Narrow" w:hAnsi="Arial Narrow"/>
                <w:b/>
                <w:color w:val="000000"/>
                <w:sz w:val="20"/>
                <w:szCs w:val="18"/>
              </w:rPr>
              <w:t>RD</w:t>
            </w:r>
            <w:r>
              <w:rPr>
                <w:rFonts w:ascii="Arial Narrow" w:hAnsi="Arial Narrow"/>
                <w:b/>
                <w:color w:val="000000"/>
                <w:sz w:val="20"/>
                <w:szCs w:val="18"/>
              </w:rPr>
              <w:t xml:space="preserve"> </w:t>
            </w:r>
            <w:r w:rsidRPr="00E2771E">
              <w:rPr>
                <w:rFonts w:ascii="Arial Narrow" w:hAnsi="Arial Narrow"/>
                <w:b/>
                <w:color w:val="000000"/>
                <w:sz w:val="20"/>
                <w:szCs w:val="18"/>
              </w:rPr>
              <w:t>(95% CI)</w:t>
            </w:r>
          </w:p>
        </w:tc>
      </w:tr>
      <w:tr w:rsidR="003C0DCC" w:rsidRPr="00E2771E" w:rsidTr="00825310">
        <w:trPr>
          <w:cantSplit/>
          <w:trHeight w:val="70"/>
        </w:trPr>
        <w:tc>
          <w:tcPr>
            <w:tcW w:w="787" w:type="pct"/>
            <w:vMerge/>
            <w:shd w:val="clear" w:color="auto" w:fill="auto"/>
            <w:vAlign w:val="center"/>
          </w:tcPr>
          <w:p w:rsidR="003C0DCC" w:rsidRPr="00E2771E" w:rsidRDefault="003C0DCC" w:rsidP="00825310">
            <w:pPr>
              <w:rPr>
                <w:rFonts w:ascii="Arial Narrow" w:hAnsi="Arial Narrow"/>
                <w:b/>
                <w:color w:val="000000"/>
                <w:sz w:val="20"/>
                <w:szCs w:val="18"/>
              </w:rPr>
            </w:pPr>
          </w:p>
        </w:tc>
        <w:tc>
          <w:tcPr>
            <w:tcW w:w="593" w:type="pct"/>
            <w:vMerge/>
            <w:vAlign w:val="center"/>
          </w:tcPr>
          <w:p w:rsidR="003C0DCC" w:rsidRPr="00E2771E" w:rsidRDefault="003C0DCC" w:rsidP="00825310">
            <w:pPr>
              <w:jc w:val="center"/>
              <w:rPr>
                <w:rFonts w:ascii="Arial Narrow" w:hAnsi="Arial Narrow"/>
                <w:b/>
                <w:color w:val="000000"/>
                <w:sz w:val="20"/>
                <w:szCs w:val="18"/>
              </w:rPr>
            </w:pPr>
          </w:p>
        </w:tc>
        <w:tc>
          <w:tcPr>
            <w:tcW w:w="715" w:type="pct"/>
            <w:vMerge/>
            <w:vAlign w:val="center"/>
          </w:tcPr>
          <w:p w:rsidR="003C0DCC" w:rsidRPr="00E2771E" w:rsidRDefault="003C0DCC" w:rsidP="00825310">
            <w:pPr>
              <w:jc w:val="center"/>
              <w:rPr>
                <w:rFonts w:ascii="Arial Narrow" w:hAnsi="Arial Narrow"/>
                <w:b/>
                <w:color w:val="000000"/>
                <w:sz w:val="20"/>
                <w:szCs w:val="18"/>
              </w:rPr>
            </w:pPr>
          </w:p>
        </w:tc>
        <w:tc>
          <w:tcPr>
            <w:tcW w:w="765" w:type="pct"/>
            <w:vMerge/>
            <w:vAlign w:val="center"/>
          </w:tcPr>
          <w:p w:rsidR="003C0DCC" w:rsidRPr="00E2771E" w:rsidRDefault="003C0DCC" w:rsidP="00825310">
            <w:pPr>
              <w:jc w:val="center"/>
              <w:rPr>
                <w:rFonts w:ascii="Arial Narrow" w:hAnsi="Arial Narrow"/>
                <w:b/>
                <w:color w:val="000000"/>
                <w:sz w:val="20"/>
                <w:szCs w:val="18"/>
              </w:rPr>
            </w:pPr>
          </w:p>
        </w:tc>
        <w:tc>
          <w:tcPr>
            <w:tcW w:w="769" w:type="pct"/>
            <w:vAlign w:val="center"/>
          </w:tcPr>
          <w:p w:rsidR="003C0DCC" w:rsidRPr="00E2771E" w:rsidRDefault="003C0DCC" w:rsidP="00825310">
            <w:pPr>
              <w:jc w:val="center"/>
              <w:rPr>
                <w:rFonts w:ascii="Arial Narrow" w:hAnsi="Arial Narrow"/>
                <w:b/>
                <w:color w:val="000000"/>
                <w:sz w:val="20"/>
                <w:szCs w:val="18"/>
              </w:rPr>
            </w:pPr>
            <w:r>
              <w:rPr>
                <w:rFonts w:ascii="Arial Narrow" w:hAnsi="Arial Narrow"/>
                <w:b/>
                <w:color w:val="000000"/>
                <w:sz w:val="20"/>
                <w:szCs w:val="18"/>
              </w:rPr>
              <w:t>Nintedanib</w:t>
            </w:r>
          </w:p>
        </w:tc>
        <w:tc>
          <w:tcPr>
            <w:tcW w:w="462" w:type="pct"/>
            <w:vAlign w:val="center"/>
          </w:tcPr>
          <w:p w:rsidR="003C0DCC" w:rsidRPr="00E2771E" w:rsidRDefault="003C0DCC" w:rsidP="00825310">
            <w:pPr>
              <w:jc w:val="center"/>
              <w:rPr>
                <w:rFonts w:ascii="Arial Narrow" w:hAnsi="Arial Narrow"/>
                <w:b/>
                <w:color w:val="000000"/>
                <w:sz w:val="20"/>
                <w:szCs w:val="18"/>
              </w:rPr>
            </w:pPr>
            <w:r>
              <w:rPr>
                <w:rFonts w:ascii="Arial Narrow" w:hAnsi="Arial Narrow"/>
                <w:b/>
                <w:color w:val="000000"/>
                <w:sz w:val="20"/>
                <w:szCs w:val="18"/>
              </w:rPr>
              <w:t>Placebo</w:t>
            </w:r>
          </w:p>
        </w:tc>
        <w:tc>
          <w:tcPr>
            <w:tcW w:w="909" w:type="pct"/>
            <w:vMerge/>
            <w:vAlign w:val="center"/>
          </w:tcPr>
          <w:p w:rsidR="003C0DCC" w:rsidRPr="00E2771E" w:rsidRDefault="003C0DCC" w:rsidP="00825310">
            <w:pPr>
              <w:jc w:val="center"/>
              <w:rPr>
                <w:rFonts w:ascii="Arial Narrow" w:hAnsi="Arial Narrow"/>
                <w:b/>
                <w:color w:val="000000"/>
                <w:sz w:val="20"/>
                <w:szCs w:val="18"/>
              </w:rPr>
            </w:pPr>
          </w:p>
        </w:tc>
      </w:tr>
      <w:tr w:rsidR="003C0DCC" w:rsidRPr="00E2771E" w:rsidTr="00825310">
        <w:trPr>
          <w:cantSplit/>
        </w:trPr>
        <w:tc>
          <w:tcPr>
            <w:tcW w:w="5000" w:type="pct"/>
            <w:gridSpan w:val="7"/>
            <w:shd w:val="clear" w:color="auto" w:fill="auto"/>
            <w:vAlign w:val="center"/>
          </w:tcPr>
          <w:p w:rsidR="003C0DCC" w:rsidRPr="00E2771E" w:rsidRDefault="003C0DCC" w:rsidP="00825310">
            <w:pPr>
              <w:rPr>
                <w:rFonts w:ascii="Arial Narrow" w:hAnsi="Arial Narrow"/>
                <w:b/>
                <w:color w:val="000000"/>
                <w:sz w:val="20"/>
                <w:szCs w:val="18"/>
              </w:rPr>
            </w:pPr>
            <w:r>
              <w:rPr>
                <w:rFonts w:ascii="Arial Narrow" w:hAnsi="Arial Narrow"/>
                <w:b/>
                <w:color w:val="000000"/>
                <w:sz w:val="20"/>
                <w:szCs w:val="18"/>
              </w:rPr>
              <w:t>Diarrhoea</w:t>
            </w:r>
          </w:p>
        </w:tc>
      </w:tr>
      <w:tr w:rsidR="003C0DCC" w:rsidRPr="00E2771E" w:rsidTr="00825310">
        <w:trPr>
          <w:cantSplit/>
        </w:trPr>
        <w:tc>
          <w:tcPr>
            <w:tcW w:w="787" w:type="pct"/>
            <w:shd w:val="clear" w:color="auto" w:fill="auto"/>
            <w:vAlign w:val="center"/>
          </w:tcPr>
          <w:p w:rsidR="003C0DCC" w:rsidRPr="00E2771E" w:rsidRDefault="003C0DCC" w:rsidP="00825310">
            <w:pPr>
              <w:rPr>
                <w:rFonts w:ascii="Arial Narrow" w:hAnsi="Arial Narrow"/>
                <w:color w:val="000000"/>
                <w:sz w:val="20"/>
                <w:szCs w:val="18"/>
              </w:rPr>
            </w:pPr>
            <w:r w:rsidRPr="00E2771E">
              <w:rPr>
                <w:rFonts w:ascii="Arial Narrow" w:hAnsi="Arial Narrow"/>
                <w:color w:val="000000"/>
                <w:sz w:val="20"/>
                <w:szCs w:val="18"/>
              </w:rPr>
              <w:t>Trial</w:t>
            </w:r>
            <w:r>
              <w:rPr>
                <w:rFonts w:ascii="Arial Narrow" w:hAnsi="Arial Narrow"/>
                <w:color w:val="000000"/>
                <w:sz w:val="20"/>
                <w:szCs w:val="18"/>
              </w:rPr>
              <w:t xml:space="preserve"> 30, 32 &amp; 34</w:t>
            </w:r>
          </w:p>
        </w:tc>
        <w:tc>
          <w:tcPr>
            <w:tcW w:w="593" w:type="pct"/>
            <w:vAlign w:val="center"/>
          </w:tcPr>
          <w:p w:rsidR="003C0DCC" w:rsidRPr="00E2771E" w:rsidRDefault="003C0DCC" w:rsidP="00825310">
            <w:pPr>
              <w:jc w:val="center"/>
              <w:rPr>
                <w:rFonts w:ascii="Arial Narrow" w:hAnsi="Arial Narrow"/>
                <w:color w:val="000000"/>
                <w:sz w:val="20"/>
                <w:szCs w:val="18"/>
              </w:rPr>
            </w:pPr>
            <w:r>
              <w:rPr>
                <w:rFonts w:ascii="Arial Narrow" w:hAnsi="Arial Narrow"/>
                <w:color w:val="000000"/>
                <w:sz w:val="20"/>
                <w:szCs w:val="18"/>
              </w:rPr>
              <w:t>445/723</w:t>
            </w:r>
          </w:p>
        </w:tc>
        <w:tc>
          <w:tcPr>
            <w:tcW w:w="715" w:type="pct"/>
            <w:vAlign w:val="center"/>
          </w:tcPr>
          <w:p w:rsidR="003C0DCC" w:rsidRPr="00E2771E" w:rsidRDefault="003C0DCC" w:rsidP="00825310">
            <w:pPr>
              <w:jc w:val="center"/>
              <w:rPr>
                <w:rFonts w:ascii="Arial Narrow" w:hAnsi="Arial Narrow"/>
                <w:color w:val="000000"/>
                <w:sz w:val="20"/>
                <w:szCs w:val="18"/>
              </w:rPr>
            </w:pPr>
            <w:r>
              <w:rPr>
                <w:rFonts w:ascii="Arial Narrow" w:hAnsi="Arial Narrow"/>
                <w:color w:val="000000"/>
                <w:sz w:val="20"/>
                <w:szCs w:val="18"/>
              </w:rPr>
              <w:t>91/508</w:t>
            </w:r>
          </w:p>
        </w:tc>
        <w:tc>
          <w:tcPr>
            <w:tcW w:w="765" w:type="pct"/>
            <w:vAlign w:val="center"/>
          </w:tcPr>
          <w:p w:rsidR="003C0DCC" w:rsidRPr="00655048" w:rsidRDefault="003C0DCC" w:rsidP="00825310">
            <w:pPr>
              <w:jc w:val="center"/>
              <w:rPr>
                <w:rFonts w:ascii="Arial Narrow" w:hAnsi="Arial Narrow"/>
                <w:b/>
                <w:color w:val="000000"/>
                <w:sz w:val="20"/>
                <w:szCs w:val="18"/>
              </w:rPr>
            </w:pPr>
            <w:r w:rsidRPr="00655048">
              <w:rPr>
                <w:rStyle w:val="CommentReference"/>
                <w:b w:val="0"/>
              </w:rPr>
              <w:t>3.41</w:t>
            </w:r>
            <w:r>
              <w:rPr>
                <w:rStyle w:val="CommentReference"/>
                <w:b w:val="0"/>
              </w:rPr>
              <w:t xml:space="preserve"> </w:t>
            </w:r>
            <w:r w:rsidRPr="00655048">
              <w:rPr>
                <w:rStyle w:val="CommentReference"/>
                <w:b w:val="0"/>
              </w:rPr>
              <w:t>(2.81, 4.15)</w:t>
            </w:r>
          </w:p>
        </w:tc>
        <w:tc>
          <w:tcPr>
            <w:tcW w:w="769" w:type="pct"/>
            <w:vAlign w:val="center"/>
          </w:tcPr>
          <w:p w:rsidR="003C0DCC" w:rsidRPr="00E2771E" w:rsidRDefault="003C0DCC" w:rsidP="00825310">
            <w:pPr>
              <w:jc w:val="center"/>
              <w:rPr>
                <w:rFonts w:ascii="Arial Narrow" w:hAnsi="Arial Narrow"/>
                <w:color w:val="000000"/>
                <w:sz w:val="20"/>
                <w:szCs w:val="18"/>
              </w:rPr>
            </w:pPr>
            <w:r>
              <w:rPr>
                <w:rFonts w:ascii="Arial Narrow" w:hAnsi="Arial Narrow"/>
                <w:color w:val="000000"/>
                <w:sz w:val="20"/>
                <w:szCs w:val="18"/>
              </w:rPr>
              <w:t>61.5</w:t>
            </w:r>
          </w:p>
        </w:tc>
        <w:tc>
          <w:tcPr>
            <w:tcW w:w="462" w:type="pct"/>
            <w:vAlign w:val="center"/>
          </w:tcPr>
          <w:p w:rsidR="003C0DCC" w:rsidRPr="00E2771E" w:rsidRDefault="003C0DCC" w:rsidP="00825310">
            <w:pPr>
              <w:jc w:val="center"/>
              <w:rPr>
                <w:rFonts w:ascii="Arial Narrow" w:hAnsi="Arial Narrow"/>
                <w:color w:val="000000"/>
                <w:sz w:val="20"/>
                <w:szCs w:val="18"/>
              </w:rPr>
            </w:pPr>
            <w:r>
              <w:rPr>
                <w:rFonts w:ascii="Arial Narrow" w:hAnsi="Arial Narrow"/>
                <w:color w:val="000000"/>
                <w:sz w:val="20"/>
                <w:szCs w:val="18"/>
              </w:rPr>
              <w:t>17.9</w:t>
            </w:r>
          </w:p>
        </w:tc>
        <w:tc>
          <w:tcPr>
            <w:tcW w:w="909" w:type="pct"/>
            <w:vAlign w:val="center"/>
          </w:tcPr>
          <w:p w:rsidR="003C0DCC" w:rsidRPr="00E2771E" w:rsidRDefault="003C0DCC" w:rsidP="00825310">
            <w:pPr>
              <w:jc w:val="center"/>
              <w:rPr>
                <w:rFonts w:ascii="Arial Narrow" w:hAnsi="Arial Narrow"/>
                <w:color w:val="000000"/>
                <w:sz w:val="20"/>
                <w:szCs w:val="18"/>
              </w:rPr>
            </w:pPr>
            <w:r w:rsidRPr="005C5596">
              <w:rPr>
                <w:rFonts w:ascii="Arial Narrow" w:hAnsi="Arial Narrow"/>
                <w:color w:val="000000"/>
                <w:sz w:val="20"/>
                <w:szCs w:val="18"/>
              </w:rPr>
              <w:t>0.43 (0.39, 0.48)</w:t>
            </w:r>
          </w:p>
        </w:tc>
      </w:tr>
      <w:tr w:rsidR="003C0DCC" w:rsidRPr="00E2771E" w:rsidTr="00825310">
        <w:trPr>
          <w:cantSplit/>
        </w:trPr>
        <w:tc>
          <w:tcPr>
            <w:tcW w:w="5000" w:type="pct"/>
            <w:gridSpan w:val="7"/>
            <w:shd w:val="clear" w:color="auto" w:fill="auto"/>
            <w:vAlign w:val="center"/>
          </w:tcPr>
          <w:p w:rsidR="003C0DCC" w:rsidRPr="00E2771E" w:rsidRDefault="003C0DCC" w:rsidP="00825310">
            <w:pPr>
              <w:rPr>
                <w:rFonts w:ascii="Arial Narrow" w:hAnsi="Arial Narrow"/>
                <w:color w:val="000000"/>
                <w:sz w:val="20"/>
                <w:szCs w:val="18"/>
              </w:rPr>
            </w:pPr>
            <w:r>
              <w:rPr>
                <w:rFonts w:ascii="Arial Narrow" w:hAnsi="Arial Narrow"/>
                <w:b/>
                <w:color w:val="000000"/>
                <w:sz w:val="20"/>
                <w:szCs w:val="18"/>
              </w:rPr>
              <w:t>Vomiting</w:t>
            </w:r>
          </w:p>
        </w:tc>
      </w:tr>
      <w:tr w:rsidR="003C0DCC" w:rsidRPr="00E2771E" w:rsidTr="00825310">
        <w:trPr>
          <w:cantSplit/>
        </w:trPr>
        <w:tc>
          <w:tcPr>
            <w:tcW w:w="787" w:type="pct"/>
            <w:shd w:val="clear" w:color="auto" w:fill="auto"/>
            <w:vAlign w:val="center"/>
          </w:tcPr>
          <w:p w:rsidR="003C0DCC" w:rsidRPr="00E2771E" w:rsidRDefault="003C0DCC" w:rsidP="00825310">
            <w:pPr>
              <w:rPr>
                <w:rFonts w:ascii="Arial Narrow" w:hAnsi="Arial Narrow"/>
                <w:color w:val="000000"/>
                <w:sz w:val="20"/>
                <w:szCs w:val="18"/>
              </w:rPr>
            </w:pPr>
            <w:r w:rsidRPr="00E2771E">
              <w:rPr>
                <w:rFonts w:ascii="Arial Narrow" w:hAnsi="Arial Narrow"/>
                <w:color w:val="000000"/>
                <w:sz w:val="20"/>
                <w:szCs w:val="18"/>
              </w:rPr>
              <w:t>Trial</w:t>
            </w:r>
            <w:r>
              <w:rPr>
                <w:rFonts w:ascii="Arial Narrow" w:hAnsi="Arial Narrow"/>
                <w:color w:val="000000"/>
                <w:sz w:val="20"/>
                <w:szCs w:val="18"/>
              </w:rPr>
              <w:t xml:space="preserve"> 30, 32 &amp; 34</w:t>
            </w:r>
          </w:p>
        </w:tc>
        <w:tc>
          <w:tcPr>
            <w:tcW w:w="593" w:type="pct"/>
            <w:vAlign w:val="center"/>
          </w:tcPr>
          <w:p w:rsidR="003C0DCC" w:rsidRPr="00E2771E" w:rsidRDefault="003C0DCC" w:rsidP="00825310">
            <w:pPr>
              <w:jc w:val="center"/>
              <w:rPr>
                <w:rFonts w:ascii="Arial Narrow" w:hAnsi="Arial Narrow"/>
                <w:color w:val="000000"/>
                <w:sz w:val="20"/>
                <w:szCs w:val="18"/>
              </w:rPr>
            </w:pPr>
            <w:r>
              <w:rPr>
                <w:rFonts w:ascii="Arial Narrow" w:hAnsi="Arial Narrow"/>
                <w:color w:val="000000"/>
                <w:sz w:val="20"/>
                <w:szCs w:val="18"/>
              </w:rPr>
              <w:t>85/723</w:t>
            </w:r>
          </w:p>
        </w:tc>
        <w:tc>
          <w:tcPr>
            <w:tcW w:w="715" w:type="pct"/>
            <w:vAlign w:val="center"/>
          </w:tcPr>
          <w:p w:rsidR="003C0DCC" w:rsidRPr="00E2771E" w:rsidRDefault="003C0DCC" w:rsidP="00825310">
            <w:pPr>
              <w:jc w:val="center"/>
              <w:rPr>
                <w:rFonts w:ascii="Arial Narrow" w:hAnsi="Arial Narrow"/>
                <w:color w:val="000000"/>
                <w:sz w:val="20"/>
                <w:szCs w:val="18"/>
              </w:rPr>
            </w:pPr>
            <w:r>
              <w:rPr>
                <w:rFonts w:ascii="Arial Narrow" w:hAnsi="Arial Narrow"/>
                <w:color w:val="000000"/>
                <w:sz w:val="20"/>
                <w:szCs w:val="18"/>
              </w:rPr>
              <w:t>15/508</w:t>
            </w:r>
          </w:p>
        </w:tc>
        <w:tc>
          <w:tcPr>
            <w:tcW w:w="765" w:type="pct"/>
            <w:vAlign w:val="center"/>
          </w:tcPr>
          <w:p w:rsidR="003C0DCC" w:rsidRPr="00655048" w:rsidRDefault="003C0DCC" w:rsidP="00825310">
            <w:pPr>
              <w:jc w:val="center"/>
              <w:rPr>
                <w:rFonts w:ascii="Arial Narrow" w:hAnsi="Arial Narrow"/>
                <w:b/>
                <w:color w:val="000000"/>
                <w:sz w:val="20"/>
                <w:szCs w:val="18"/>
              </w:rPr>
            </w:pPr>
            <w:r w:rsidRPr="00655048">
              <w:rPr>
                <w:rStyle w:val="CommentReference"/>
                <w:b w:val="0"/>
              </w:rPr>
              <w:t>3.82</w:t>
            </w:r>
            <w:r>
              <w:rPr>
                <w:rStyle w:val="CommentReference"/>
                <w:b w:val="0"/>
              </w:rPr>
              <w:t xml:space="preserve"> </w:t>
            </w:r>
            <w:r w:rsidRPr="00655048">
              <w:rPr>
                <w:rStyle w:val="CommentReference"/>
                <w:b w:val="0"/>
              </w:rPr>
              <w:t>(2.22, 6.58)</w:t>
            </w:r>
          </w:p>
        </w:tc>
        <w:tc>
          <w:tcPr>
            <w:tcW w:w="769" w:type="pct"/>
            <w:vAlign w:val="center"/>
          </w:tcPr>
          <w:p w:rsidR="003C0DCC" w:rsidRPr="00E2771E" w:rsidRDefault="003C0DCC" w:rsidP="00825310">
            <w:pPr>
              <w:jc w:val="center"/>
              <w:rPr>
                <w:rFonts w:ascii="Arial Narrow" w:hAnsi="Arial Narrow"/>
                <w:color w:val="000000"/>
                <w:sz w:val="20"/>
                <w:szCs w:val="18"/>
              </w:rPr>
            </w:pPr>
            <w:r>
              <w:rPr>
                <w:rFonts w:ascii="Arial Narrow" w:hAnsi="Arial Narrow"/>
                <w:color w:val="000000"/>
                <w:sz w:val="20"/>
                <w:szCs w:val="18"/>
              </w:rPr>
              <w:t>11.8</w:t>
            </w:r>
          </w:p>
        </w:tc>
        <w:tc>
          <w:tcPr>
            <w:tcW w:w="462" w:type="pct"/>
            <w:vAlign w:val="center"/>
          </w:tcPr>
          <w:p w:rsidR="003C0DCC" w:rsidRPr="00E2771E" w:rsidRDefault="003C0DCC" w:rsidP="00825310">
            <w:pPr>
              <w:jc w:val="center"/>
              <w:rPr>
                <w:rFonts w:ascii="Arial Narrow" w:hAnsi="Arial Narrow"/>
                <w:color w:val="000000"/>
                <w:sz w:val="20"/>
                <w:szCs w:val="18"/>
              </w:rPr>
            </w:pPr>
            <w:r>
              <w:rPr>
                <w:rFonts w:ascii="Arial Narrow" w:hAnsi="Arial Narrow"/>
                <w:color w:val="000000"/>
                <w:sz w:val="20"/>
                <w:szCs w:val="18"/>
              </w:rPr>
              <w:t>3.0</w:t>
            </w:r>
          </w:p>
        </w:tc>
        <w:tc>
          <w:tcPr>
            <w:tcW w:w="909" w:type="pct"/>
            <w:vAlign w:val="center"/>
          </w:tcPr>
          <w:p w:rsidR="003C0DCC" w:rsidRPr="00E2771E" w:rsidRDefault="003C0DCC" w:rsidP="00825310">
            <w:pPr>
              <w:jc w:val="center"/>
              <w:rPr>
                <w:rFonts w:ascii="Arial Narrow" w:hAnsi="Arial Narrow"/>
                <w:color w:val="000000"/>
                <w:sz w:val="20"/>
                <w:szCs w:val="18"/>
              </w:rPr>
            </w:pPr>
            <w:r w:rsidRPr="005C5596">
              <w:rPr>
                <w:rFonts w:ascii="Arial Narrow" w:hAnsi="Arial Narrow"/>
                <w:color w:val="000000"/>
                <w:sz w:val="20"/>
                <w:szCs w:val="18"/>
              </w:rPr>
              <w:t>0.09 (0.06, 0.12)</w:t>
            </w:r>
          </w:p>
        </w:tc>
      </w:tr>
      <w:tr w:rsidR="003C0DCC" w:rsidRPr="004E08A8" w:rsidTr="00825310">
        <w:trPr>
          <w:cantSplit/>
        </w:trPr>
        <w:tc>
          <w:tcPr>
            <w:tcW w:w="5000" w:type="pct"/>
            <w:gridSpan w:val="7"/>
            <w:shd w:val="clear" w:color="auto" w:fill="auto"/>
            <w:vAlign w:val="center"/>
          </w:tcPr>
          <w:p w:rsidR="003C0DCC" w:rsidRPr="004E08A8" w:rsidRDefault="003C0DCC" w:rsidP="00825310">
            <w:pPr>
              <w:jc w:val="left"/>
              <w:rPr>
                <w:rFonts w:ascii="Arial Narrow" w:hAnsi="Arial Narrow"/>
                <w:b/>
                <w:color w:val="000000"/>
                <w:sz w:val="20"/>
                <w:szCs w:val="18"/>
              </w:rPr>
            </w:pPr>
            <w:r w:rsidRPr="004E08A8">
              <w:rPr>
                <w:rFonts w:ascii="Arial Narrow" w:hAnsi="Arial Narrow"/>
                <w:b/>
                <w:color w:val="000000"/>
                <w:sz w:val="20"/>
                <w:szCs w:val="18"/>
              </w:rPr>
              <w:t>Dyspnoea</w:t>
            </w:r>
          </w:p>
        </w:tc>
      </w:tr>
      <w:tr w:rsidR="003C0DCC" w:rsidRPr="00E2771E" w:rsidTr="00825310">
        <w:trPr>
          <w:cantSplit/>
        </w:trPr>
        <w:tc>
          <w:tcPr>
            <w:tcW w:w="787" w:type="pct"/>
            <w:shd w:val="clear" w:color="auto" w:fill="auto"/>
            <w:vAlign w:val="center"/>
          </w:tcPr>
          <w:p w:rsidR="003C0DCC" w:rsidRPr="00E2771E" w:rsidRDefault="003C0DCC" w:rsidP="00825310">
            <w:pPr>
              <w:rPr>
                <w:rFonts w:ascii="Arial Narrow" w:hAnsi="Arial Narrow"/>
                <w:color w:val="000000"/>
                <w:sz w:val="20"/>
                <w:szCs w:val="18"/>
              </w:rPr>
            </w:pPr>
            <w:r w:rsidRPr="00E2771E">
              <w:rPr>
                <w:rFonts w:ascii="Arial Narrow" w:hAnsi="Arial Narrow"/>
                <w:color w:val="000000"/>
                <w:sz w:val="20"/>
                <w:szCs w:val="18"/>
              </w:rPr>
              <w:t>Trial</w:t>
            </w:r>
            <w:r>
              <w:rPr>
                <w:rFonts w:ascii="Arial Narrow" w:hAnsi="Arial Narrow"/>
                <w:color w:val="000000"/>
                <w:sz w:val="20"/>
                <w:szCs w:val="18"/>
              </w:rPr>
              <w:t xml:space="preserve"> 30, 32 &amp; 34</w:t>
            </w:r>
          </w:p>
        </w:tc>
        <w:tc>
          <w:tcPr>
            <w:tcW w:w="593" w:type="pct"/>
            <w:vAlign w:val="center"/>
          </w:tcPr>
          <w:p w:rsidR="003C0DCC" w:rsidRDefault="003C0DCC" w:rsidP="00825310">
            <w:pPr>
              <w:jc w:val="center"/>
              <w:rPr>
                <w:rFonts w:ascii="Arial Narrow" w:hAnsi="Arial Narrow"/>
                <w:color w:val="000000"/>
                <w:sz w:val="20"/>
                <w:szCs w:val="18"/>
              </w:rPr>
            </w:pPr>
            <w:r>
              <w:rPr>
                <w:rFonts w:ascii="Arial Narrow" w:hAnsi="Arial Narrow"/>
                <w:color w:val="000000"/>
                <w:sz w:val="20"/>
                <w:szCs w:val="18"/>
              </w:rPr>
              <w:t>55/723</w:t>
            </w:r>
          </w:p>
        </w:tc>
        <w:tc>
          <w:tcPr>
            <w:tcW w:w="715" w:type="pct"/>
            <w:vAlign w:val="center"/>
          </w:tcPr>
          <w:p w:rsidR="003C0DCC" w:rsidRDefault="003C0DCC" w:rsidP="00825310">
            <w:pPr>
              <w:jc w:val="center"/>
              <w:rPr>
                <w:rFonts w:ascii="Arial Narrow" w:hAnsi="Arial Narrow"/>
                <w:color w:val="000000"/>
                <w:sz w:val="20"/>
                <w:szCs w:val="18"/>
              </w:rPr>
            </w:pPr>
            <w:r>
              <w:rPr>
                <w:rFonts w:ascii="Arial Narrow" w:hAnsi="Arial Narrow"/>
                <w:color w:val="000000"/>
                <w:sz w:val="20"/>
                <w:szCs w:val="18"/>
              </w:rPr>
              <w:t>59/508</w:t>
            </w:r>
          </w:p>
        </w:tc>
        <w:tc>
          <w:tcPr>
            <w:tcW w:w="765" w:type="pct"/>
            <w:vAlign w:val="center"/>
          </w:tcPr>
          <w:p w:rsidR="003C0DCC" w:rsidRPr="00655048" w:rsidRDefault="003C0DCC" w:rsidP="00825310">
            <w:pPr>
              <w:jc w:val="center"/>
              <w:rPr>
                <w:rStyle w:val="CommentReference"/>
                <w:b w:val="0"/>
              </w:rPr>
            </w:pPr>
            <w:r>
              <w:rPr>
                <w:rStyle w:val="CommentReference"/>
                <w:b w:val="0"/>
              </w:rPr>
              <w:t>0.66 (0.46, 0.93)</w:t>
            </w:r>
          </w:p>
        </w:tc>
        <w:tc>
          <w:tcPr>
            <w:tcW w:w="769" w:type="pct"/>
            <w:vAlign w:val="center"/>
          </w:tcPr>
          <w:p w:rsidR="003C0DCC" w:rsidRDefault="003C0DCC" w:rsidP="00825310">
            <w:pPr>
              <w:jc w:val="center"/>
              <w:rPr>
                <w:rFonts w:ascii="Arial Narrow" w:hAnsi="Arial Narrow"/>
                <w:color w:val="000000"/>
                <w:sz w:val="20"/>
                <w:szCs w:val="18"/>
              </w:rPr>
            </w:pPr>
            <w:r>
              <w:rPr>
                <w:rFonts w:ascii="Arial Narrow" w:hAnsi="Arial Narrow"/>
                <w:color w:val="000000"/>
                <w:sz w:val="20"/>
                <w:szCs w:val="18"/>
              </w:rPr>
              <w:t>7.6</w:t>
            </w:r>
          </w:p>
        </w:tc>
        <w:tc>
          <w:tcPr>
            <w:tcW w:w="462" w:type="pct"/>
            <w:vAlign w:val="center"/>
          </w:tcPr>
          <w:p w:rsidR="003C0DCC" w:rsidRDefault="003C0DCC" w:rsidP="00825310">
            <w:pPr>
              <w:jc w:val="center"/>
              <w:rPr>
                <w:rFonts w:ascii="Arial Narrow" w:hAnsi="Arial Narrow"/>
                <w:color w:val="000000"/>
                <w:sz w:val="20"/>
                <w:szCs w:val="18"/>
              </w:rPr>
            </w:pPr>
            <w:r>
              <w:rPr>
                <w:rFonts w:ascii="Arial Narrow" w:hAnsi="Arial Narrow"/>
                <w:color w:val="000000"/>
                <w:sz w:val="20"/>
                <w:szCs w:val="18"/>
              </w:rPr>
              <w:t>11.6</w:t>
            </w:r>
          </w:p>
        </w:tc>
        <w:tc>
          <w:tcPr>
            <w:tcW w:w="909" w:type="pct"/>
            <w:vAlign w:val="center"/>
          </w:tcPr>
          <w:p w:rsidR="003C0DCC" w:rsidRDefault="003C0DCC" w:rsidP="00825310">
            <w:pPr>
              <w:jc w:val="center"/>
              <w:rPr>
                <w:rFonts w:ascii="Arial Narrow" w:hAnsi="Arial Narrow"/>
                <w:color w:val="000000"/>
                <w:sz w:val="20"/>
                <w:szCs w:val="18"/>
              </w:rPr>
            </w:pPr>
            <w:r w:rsidRPr="005C5596">
              <w:rPr>
                <w:rFonts w:ascii="Arial Narrow" w:hAnsi="Arial Narrow"/>
                <w:color w:val="000000"/>
                <w:sz w:val="20"/>
                <w:szCs w:val="18"/>
              </w:rPr>
              <w:t>-0.04 (-0.07, -0.01)</w:t>
            </w:r>
          </w:p>
        </w:tc>
      </w:tr>
    </w:tbl>
    <w:p w:rsidR="007F30CE" w:rsidRPr="0072416F" w:rsidRDefault="007F30CE" w:rsidP="007F30CE">
      <w:pPr>
        <w:pStyle w:val="TableFooter"/>
        <w:keepNext/>
        <w:ind w:left="720"/>
      </w:pPr>
      <w:r w:rsidRPr="007B4FF2">
        <w:t>*</w:t>
      </w:r>
      <w:r>
        <w:t xml:space="preserve"> Duration of follow-up: Trial 30, 32 &amp; 34 – 52 weeks.  </w:t>
      </w:r>
      <w:r w:rsidRPr="0072416F">
        <w:t>Abbreviations:</w:t>
      </w:r>
      <w:r>
        <w:t xml:space="preserve"> FVC = forced vital capacity;</w:t>
      </w:r>
      <w:r w:rsidRPr="0072416F">
        <w:t xml:space="preserve"> </w:t>
      </w:r>
      <w:r>
        <w:t xml:space="preserve">IPF = idiopathic pulmonary fibrosis; </w:t>
      </w:r>
      <w:r w:rsidRPr="0072416F">
        <w:t>RD = risk difference; RR = risk ratio</w:t>
      </w:r>
      <w:r>
        <w:t xml:space="preserve">, SE = standard error.  </w:t>
      </w:r>
      <w:r w:rsidRPr="0072416F">
        <w:t>Source: Compiled during the evaluation</w:t>
      </w:r>
    </w:p>
    <w:p w:rsidR="007F30CE" w:rsidRPr="00882085" w:rsidRDefault="007F30CE" w:rsidP="0086254B">
      <w:pPr>
        <w:widowControl/>
        <w:jc w:val="left"/>
      </w:pPr>
    </w:p>
    <w:p w:rsidR="007F30CE" w:rsidRDefault="007F30CE" w:rsidP="00321D09">
      <w:pPr>
        <w:pStyle w:val="ListParagraph"/>
        <w:widowControl/>
        <w:numPr>
          <w:ilvl w:val="1"/>
          <w:numId w:val="2"/>
        </w:numPr>
        <w:rPr>
          <w:szCs w:val="22"/>
        </w:rPr>
      </w:pPr>
      <w:r w:rsidRPr="002546B0">
        <w:rPr>
          <w:szCs w:val="22"/>
        </w:rPr>
        <w:t xml:space="preserve">On the basis of </w:t>
      </w:r>
      <w:r>
        <w:rPr>
          <w:szCs w:val="22"/>
        </w:rPr>
        <w:t>direct</w:t>
      </w:r>
      <w:r w:rsidRPr="002546B0">
        <w:rPr>
          <w:szCs w:val="22"/>
        </w:rPr>
        <w:t xml:space="preserve"> evidence presented by the submission, </w:t>
      </w:r>
      <w:r>
        <w:rPr>
          <w:szCs w:val="22"/>
        </w:rPr>
        <w:t>in comparison to placebo, nintedanib was associated with</w:t>
      </w:r>
      <w:r w:rsidRPr="002546B0">
        <w:rPr>
          <w:szCs w:val="22"/>
        </w:rPr>
        <w:t>:</w:t>
      </w:r>
    </w:p>
    <w:p w:rsidR="00771F6A" w:rsidRPr="003757FB" w:rsidRDefault="007F30CE" w:rsidP="009E6AC7">
      <w:pPr>
        <w:pStyle w:val="ListParagraph"/>
        <w:widowControl/>
        <w:numPr>
          <w:ilvl w:val="0"/>
          <w:numId w:val="9"/>
        </w:numPr>
        <w:ind w:left="993" w:hanging="219"/>
        <w:rPr>
          <w:szCs w:val="22"/>
        </w:rPr>
      </w:pPr>
      <w:r>
        <w:rPr>
          <w:szCs w:val="22"/>
        </w:rPr>
        <w:t xml:space="preserve">Approximately a 3.31% reduction in absolute change in </w:t>
      </w:r>
      <w:r w:rsidR="00CA7613">
        <w:t>forced vital capacity percent predicted</w:t>
      </w:r>
      <w:r w:rsidR="00CA7613">
        <w:rPr>
          <w:szCs w:val="22"/>
        </w:rPr>
        <w:t xml:space="preserve"> (</w:t>
      </w:r>
      <w:r>
        <w:rPr>
          <w:szCs w:val="22"/>
        </w:rPr>
        <w:t>FVC%Pred</w:t>
      </w:r>
      <w:r w:rsidR="00CA7613">
        <w:rPr>
          <w:szCs w:val="22"/>
        </w:rPr>
        <w:t>)</w:t>
      </w:r>
      <w:r>
        <w:rPr>
          <w:szCs w:val="22"/>
        </w:rPr>
        <w:t xml:space="preserve"> from baseline to week 52.</w:t>
      </w:r>
    </w:p>
    <w:p w:rsidR="003C0DCC" w:rsidRPr="00B6317B" w:rsidRDefault="003C0DCC" w:rsidP="00321D09">
      <w:pPr>
        <w:pStyle w:val="ListParagraph"/>
        <w:widowControl/>
        <w:numPr>
          <w:ilvl w:val="0"/>
          <w:numId w:val="9"/>
        </w:numPr>
        <w:ind w:left="993" w:hanging="219"/>
        <w:rPr>
          <w:szCs w:val="22"/>
        </w:rPr>
      </w:pPr>
      <w:r>
        <w:rPr>
          <w:szCs w:val="22"/>
        </w:rPr>
        <w:t xml:space="preserve">Approximately a 65% reduction in the risk of independently adjudicated acute IPF </w:t>
      </w:r>
      <w:r w:rsidRPr="00B6317B">
        <w:rPr>
          <w:szCs w:val="22"/>
        </w:rPr>
        <w:t>exacerbations</w:t>
      </w:r>
      <w:r w:rsidR="003066F6" w:rsidRPr="00B6317B">
        <w:rPr>
          <w:szCs w:val="22"/>
        </w:rPr>
        <w:t xml:space="preserve"> over 52 weeks</w:t>
      </w:r>
      <w:r w:rsidR="00337A37">
        <w:rPr>
          <w:szCs w:val="22"/>
        </w:rPr>
        <w:t>.</w:t>
      </w:r>
    </w:p>
    <w:p w:rsidR="007F30CE" w:rsidRPr="00B6317B" w:rsidRDefault="00CA7613" w:rsidP="00CA7613">
      <w:pPr>
        <w:pStyle w:val="ListParagraph"/>
        <w:widowControl/>
        <w:numPr>
          <w:ilvl w:val="0"/>
          <w:numId w:val="9"/>
        </w:numPr>
        <w:ind w:left="993" w:hanging="219"/>
        <w:rPr>
          <w:szCs w:val="22"/>
        </w:rPr>
      </w:pPr>
      <w:r w:rsidRPr="00B6317B">
        <w:rPr>
          <w:szCs w:val="22"/>
        </w:rPr>
        <w:t>Insufficient evidence to support a significant difference in OS.</w:t>
      </w:r>
    </w:p>
    <w:p w:rsidR="007F30CE" w:rsidRPr="004E08A8" w:rsidRDefault="007F30CE" w:rsidP="007F30CE">
      <w:pPr>
        <w:widowControl/>
        <w:rPr>
          <w:szCs w:val="22"/>
        </w:rPr>
      </w:pPr>
    </w:p>
    <w:p w:rsidR="007F30CE" w:rsidRPr="00B50DB8" w:rsidRDefault="007F30CE" w:rsidP="00321D09">
      <w:pPr>
        <w:pStyle w:val="ListParagraph"/>
        <w:widowControl/>
        <w:numPr>
          <w:ilvl w:val="1"/>
          <w:numId w:val="2"/>
        </w:numPr>
        <w:rPr>
          <w:szCs w:val="22"/>
        </w:rPr>
      </w:pPr>
      <w:r w:rsidRPr="00CF6EE4">
        <w:t xml:space="preserve">On the basis of direct evidence presented by the submission, for every 100 patients treated with </w:t>
      </w:r>
      <w:r>
        <w:t>nintedanib</w:t>
      </w:r>
      <w:r w:rsidRPr="00CF6EE4">
        <w:t xml:space="preserve"> in comparison to </w:t>
      </w:r>
      <w:r>
        <w:t>placebo:</w:t>
      </w:r>
    </w:p>
    <w:p w:rsidR="007F30CE" w:rsidRPr="00CC6AF8" w:rsidRDefault="007F30CE" w:rsidP="00321D09">
      <w:pPr>
        <w:pStyle w:val="ListParagraph"/>
        <w:widowControl/>
        <w:numPr>
          <w:ilvl w:val="0"/>
          <w:numId w:val="9"/>
        </w:numPr>
        <w:ind w:left="993" w:hanging="219"/>
        <w:rPr>
          <w:szCs w:val="22"/>
        </w:rPr>
      </w:pPr>
      <w:r w:rsidRPr="00CC6AF8">
        <w:rPr>
          <w:szCs w:val="22"/>
        </w:rPr>
        <w:t xml:space="preserve">Approximately 43 additional patients would have diarrhoea over </w:t>
      </w:r>
      <w:r w:rsidR="00F527ED" w:rsidRPr="00CC6AF8">
        <w:rPr>
          <w:szCs w:val="22"/>
        </w:rPr>
        <w:t>52</w:t>
      </w:r>
      <w:r w:rsidRPr="00CC6AF8">
        <w:rPr>
          <w:szCs w:val="22"/>
        </w:rPr>
        <w:t xml:space="preserve"> week duration of follow-up.</w:t>
      </w:r>
    </w:p>
    <w:p w:rsidR="007F30CE" w:rsidRPr="00CC6AF8" w:rsidRDefault="007F30CE" w:rsidP="00321D09">
      <w:pPr>
        <w:pStyle w:val="ListParagraph"/>
        <w:widowControl/>
        <w:numPr>
          <w:ilvl w:val="0"/>
          <w:numId w:val="9"/>
        </w:numPr>
        <w:ind w:left="993" w:hanging="219"/>
        <w:rPr>
          <w:szCs w:val="22"/>
        </w:rPr>
      </w:pPr>
      <w:r w:rsidRPr="00CC6AF8">
        <w:rPr>
          <w:szCs w:val="22"/>
        </w:rPr>
        <w:t xml:space="preserve">Approximately 9 additional patients would have vomiting over </w:t>
      </w:r>
      <w:r w:rsidR="00F527ED" w:rsidRPr="00CC6AF8">
        <w:rPr>
          <w:szCs w:val="22"/>
        </w:rPr>
        <w:t>52</w:t>
      </w:r>
      <w:r w:rsidRPr="00CC6AF8">
        <w:rPr>
          <w:szCs w:val="22"/>
        </w:rPr>
        <w:t xml:space="preserve"> week duration of follow-up.</w:t>
      </w:r>
    </w:p>
    <w:p w:rsidR="007F30CE" w:rsidRPr="00CC6AF8" w:rsidRDefault="007F30CE" w:rsidP="00321D09">
      <w:pPr>
        <w:pStyle w:val="ListParagraph"/>
        <w:widowControl/>
        <w:numPr>
          <w:ilvl w:val="0"/>
          <w:numId w:val="9"/>
        </w:numPr>
        <w:ind w:left="993" w:hanging="219"/>
        <w:rPr>
          <w:szCs w:val="22"/>
        </w:rPr>
      </w:pPr>
      <w:r w:rsidRPr="00CC6AF8">
        <w:rPr>
          <w:szCs w:val="22"/>
        </w:rPr>
        <w:t xml:space="preserve">Approximately 4 fewer patients would have dyspnoea over </w:t>
      </w:r>
      <w:r w:rsidR="00F527ED" w:rsidRPr="00CC6AF8">
        <w:rPr>
          <w:szCs w:val="22"/>
        </w:rPr>
        <w:t>52</w:t>
      </w:r>
      <w:r w:rsidRPr="00CC6AF8">
        <w:rPr>
          <w:szCs w:val="22"/>
        </w:rPr>
        <w:t xml:space="preserve"> week duration of follow-up.</w:t>
      </w:r>
    </w:p>
    <w:p w:rsidR="00CA7613" w:rsidRPr="00CA7613" w:rsidRDefault="00CA7613" w:rsidP="00CA7613">
      <w:bookmarkStart w:id="13" w:name="_Toc430009535"/>
    </w:p>
    <w:p w:rsidR="00B60939" w:rsidRPr="003757FB" w:rsidRDefault="00B60939" w:rsidP="006412CE">
      <w:pPr>
        <w:pStyle w:val="Heading2"/>
      </w:pPr>
      <w:r w:rsidRPr="003757FB">
        <w:t>Clinical claim</w:t>
      </w:r>
      <w:bookmarkEnd w:id="13"/>
    </w:p>
    <w:p w:rsidR="00B60939" w:rsidRPr="00882085" w:rsidRDefault="00B60939" w:rsidP="00B60939">
      <w:pPr>
        <w:ind w:left="720" w:hanging="720"/>
        <w:rPr>
          <w:szCs w:val="22"/>
        </w:rPr>
      </w:pPr>
    </w:p>
    <w:p w:rsidR="00B60939" w:rsidRPr="00E4203D" w:rsidRDefault="00E4203D" w:rsidP="00321D09">
      <w:pPr>
        <w:pStyle w:val="ListParagraph"/>
        <w:widowControl/>
        <w:numPr>
          <w:ilvl w:val="1"/>
          <w:numId w:val="2"/>
        </w:numPr>
        <w:rPr>
          <w:szCs w:val="22"/>
        </w:rPr>
      </w:pPr>
      <w:r w:rsidRPr="00E4203D">
        <w:t xml:space="preserve">The re-submission described </w:t>
      </w:r>
      <w:r>
        <w:t xml:space="preserve">nintedanib as superior to placebo for the treatment of patients with IPF but associated with a slightly higher incidence </w:t>
      </w:r>
      <w:r w:rsidR="003757FB">
        <w:t>of drug related adverse events.</w:t>
      </w:r>
    </w:p>
    <w:p w:rsidR="00E4203D" w:rsidRPr="003757FB" w:rsidRDefault="00E4203D" w:rsidP="00E4203D">
      <w:pPr>
        <w:widowControl/>
        <w:rPr>
          <w:szCs w:val="22"/>
        </w:rPr>
      </w:pPr>
    </w:p>
    <w:p w:rsidR="00E4203D" w:rsidRPr="00E4203D" w:rsidRDefault="00E4203D" w:rsidP="00321D09">
      <w:pPr>
        <w:pStyle w:val="ListParagraph"/>
        <w:widowControl/>
        <w:numPr>
          <w:ilvl w:val="1"/>
          <w:numId w:val="2"/>
        </w:numPr>
        <w:rPr>
          <w:szCs w:val="22"/>
        </w:rPr>
      </w:pPr>
      <w:r>
        <w:rPr>
          <w:szCs w:val="22"/>
        </w:rPr>
        <w:t>The eff</w:t>
      </w:r>
      <w:r w:rsidR="0058621F">
        <w:rPr>
          <w:szCs w:val="22"/>
        </w:rPr>
        <w:t>ectiveness</w:t>
      </w:r>
      <w:r>
        <w:rPr>
          <w:szCs w:val="22"/>
        </w:rPr>
        <w:t xml:space="preserve"> claim is identical to that presented in the March 2015 submission.  </w:t>
      </w:r>
      <w:r w:rsidR="00B6317B">
        <w:rPr>
          <w:szCs w:val="22"/>
        </w:rPr>
        <w:t>At that meeting, t</w:t>
      </w:r>
      <w:r w:rsidRPr="00E4203D">
        <w:t xml:space="preserve">he PBAC considered that the claim of superior comparative effectiveness was adequately supported in terms of measures of change in FVC over 52 weeks, proportion of FVC responders and independent adjudicated acute IPF exacerbations.  While it was noted that lower FVC was associated with a higher risk of mortality, the PBAC concluded that quantification of the relationship was challenging given the lack of demonstration of a statistically significant impact on survival or quality of life in the trial (March 2015, paragraph </w:t>
      </w:r>
      <w:r>
        <w:t>6.22</w:t>
      </w:r>
      <w:r w:rsidR="003757FB">
        <w:t>).</w:t>
      </w:r>
    </w:p>
    <w:p w:rsidR="00E4203D" w:rsidRPr="003757FB" w:rsidRDefault="00E4203D" w:rsidP="00E4203D">
      <w:pPr>
        <w:rPr>
          <w:szCs w:val="22"/>
        </w:rPr>
      </w:pPr>
    </w:p>
    <w:p w:rsidR="009532CF" w:rsidRDefault="00E4203D" w:rsidP="00321D09">
      <w:pPr>
        <w:pStyle w:val="ListParagraph"/>
        <w:widowControl/>
        <w:numPr>
          <w:ilvl w:val="1"/>
          <w:numId w:val="2"/>
        </w:numPr>
        <w:rPr>
          <w:szCs w:val="22"/>
        </w:rPr>
      </w:pPr>
      <w:r w:rsidRPr="0060206A">
        <w:rPr>
          <w:szCs w:val="22"/>
        </w:rPr>
        <w:t>In comparison to the March 2015 submission, the re-submission altered the context surrounding the claim of a higher</w:t>
      </w:r>
      <w:r w:rsidR="00541CEA" w:rsidRPr="0060206A">
        <w:rPr>
          <w:szCs w:val="22"/>
        </w:rPr>
        <w:t xml:space="preserve"> occurrence of</w:t>
      </w:r>
      <w:r w:rsidRPr="0060206A">
        <w:rPr>
          <w:szCs w:val="22"/>
        </w:rPr>
        <w:t xml:space="preserve"> drug-related adverse events, emphasising ‘slightly higher’ incidence as opposed to ‘insignificance in discontinuations and adequacy of the management of adverse events’.  The </w:t>
      </w:r>
      <w:r w:rsidR="00A9726C" w:rsidRPr="0060206A">
        <w:rPr>
          <w:szCs w:val="22"/>
        </w:rPr>
        <w:t>description</w:t>
      </w:r>
      <w:r w:rsidRPr="0060206A">
        <w:rPr>
          <w:szCs w:val="22"/>
        </w:rPr>
        <w:t xml:space="preserve"> of ‘slightly higher’ incidence is questionable considering that nintedanib treated patients had over double the frequency of drug related adverse events in comparison to placebo (RR = </w:t>
      </w:r>
      <w:r w:rsidRPr="005C5596">
        <w:rPr>
          <w:szCs w:val="22"/>
        </w:rPr>
        <w:t>2.45</w:t>
      </w:r>
      <w:r w:rsidRPr="0060206A">
        <w:rPr>
          <w:szCs w:val="22"/>
        </w:rPr>
        <w:t>, 95% CI:</w:t>
      </w:r>
      <w:r w:rsidRPr="005C5596">
        <w:rPr>
          <w:szCs w:val="22"/>
        </w:rPr>
        <w:t xml:space="preserve"> 2.12, 2.83</w:t>
      </w:r>
      <w:r w:rsidRPr="0060206A">
        <w:rPr>
          <w:szCs w:val="22"/>
        </w:rPr>
        <w:t xml:space="preserve">), with an absolute difference of 42% (RD% = </w:t>
      </w:r>
      <w:r w:rsidRPr="005C5596">
        <w:rPr>
          <w:szCs w:val="22"/>
        </w:rPr>
        <w:t>41.9</w:t>
      </w:r>
      <w:r w:rsidRPr="0060206A">
        <w:rPr>
          <w:szCs w:val="22"/>
        </w:rPr>
        <w:t xml:space="preserve">, 95%CI: </w:t>
      </w:r>
      <w:r w:rsidRPr="005C5596">
        <w:rPr>
          <w:szCs w:val="22"/>
        </w:rPr>
        <w:t>36.8, 47.1</w:t>
      </w:r>
      <w:r w:rsidRPr="0060206A">
        <w:rPr>
          <w:szCs w:val="22"/>
        </w:rPr>
        <w:t>).  The PBAC considered that a claim of inferior comparative safety was reasonabl</w:t>
      </w:r>
      <w:r w:rsidR="003757FB">
        <w:rPr>
          <w:szCs w:val="22"/>
        </w:rPr>
        <w:t>e (March 2015, paragraph 6.23).</w:t>
      </w:r>
    </w:p>
    <w:p w:rsidR="009532CF" w:rsidRPr="003757FB" w:rsidRDefault="009532CF" w:rsidP="009532CF">
      <w:pPr>
        <w:rPr>
          <w:szCs w:val="22"/>
        </w:rPr>
      </w:pPr>
    </w:p>
    <w:p w:rsidR="00E4203D" w:rsidRPr="0060206A" w:rsidRDefault="006D0895" w:rsidP="00321D09">
      <w:pPr>
        <w:pStyle w:val="ListParagraph"/>
        <w:widowControl/>
        <w:numPr>
          <w:ilvl w:val="1"/>
          <w:numId w:val="2"/>
        </w:numPr>
        <w:rPr>
          <w:szCs w:val="22"/>
        </w:rPr>
      </w:pPr>
      <w:r>
        <w:rPr>
          <w:szCs w:val="22"/>
        </w:rPr>
        <w:t>In Novem</w:t>
      </w:r>
      <w:r w:rsidR="00217DD8">
        <w:rPr>
          <w:szCs w:val="22"/>
        </w:rPr>
        <w:t>b</w:t>
      </w:r>
      <w:r>
        <w:rPr>
          <w:szCs w:val="22"/>
        </w:rPr>
        <w:t>er 2015, t</w:t>
      </w:r>
      <w:r w:rsidR="0058621F">
        <w:rPr>
          <w:szCs w:val="22"/>
        </w:rPr>
        <w:t>he PBAC agreed with the clinical claim of effectiveness and safety, noting</w:t>
      </w:r>
      <w:r w:rsidR="009532CF">
        <w:rPr>
          <w:szCs w:val="22"/>
        </w:rPr>
        <w:t xml:space="preserve"> the</w:t>
      </w:r>
      <w:r w:rsidR="009532CF" w:rsidRPr="00B86D7D">
        <w:rPr>
          <w:szCs w:val="22"/>
        </w:rPr>
        <w:t xml:space="preserve"> FDA review</w:t>
      </w:r>
      <w:r w:rsidR="009532CF" w:rsidRPr="00B86D7D">
        <w:rPr>
          <w:rStyle w:val="FootnoteReference"/>
        </w:rPr>
        <w:footnoteReference w:id="2"/>
      </w:r>
      <w:r w:rsidR="009532CF" w:rsidRPr="00B86D7D">
        <w:rPr>
          <w:szCs w:val="22"/>
        </w:rPr>
        <w:t xml:space="preserve"> of perfinidone and nintedinab studies suggests that FVC is a valid surrogate</w:t>
      </w:r>
      <w:r w:rsidR="009532CF" w:rsidRPr="00B86D7D">
        <w:t xml:space="preserve"> for mortality in IPF.</w:t>
      </w:r>
    </w:p>
    <w:p w:rsidR="00B60939" w:rsidRDefault="00B60939" w:rsidP="00B60939">
      <w:pPr>
        <w:ind w:left="720" w:hanging="720"/>
        <w:rPr>
          <w:szCs w:val="22"/>
        </w:rPr>
      </w:pPr>
    </w:p>
    <w:p w:rsidR="0058621F" w:rsidRPr="00586105" w:rsidRDefault="0058621F" w:rsidP="003757FB">
      <w:pPr>
        <w:widowControl/>
        <w:ind w:left="709"/>
        <w:rPr>
          <w:i/>
          <w:szCs w:val="22"/>
        </w:rPr>
      </w:pPr>
      <w:r w:rsidRPr="00586105">
        <w:rPr>
          <w:i/>
          <w:szCs w:val="22"/>
        </w:rPr>
        <w:t>For more detail on PBAC’s view, see section 7 “PBAC outcome”</w:t>
      </w:r>
      <w:r w:rsidR="003757FB">
        <w:rPr>
          <w:i/>
          <w:szCs w:val="22"/>
        </w:rPr>
        <w:t>.</w:t>
      </w:r>
    </w:p>
    <w:p w:rsidR="009532CF" w:rsidRPr="00882085" w:rsidRDefault="009532CF" w:rsidP="0026108E">
      <w:pPr>
        <w:spacing w:line="960" w:lineRule="auto"/>
        <w:ind w:left="720" w:hanging="720"/>
        <w:rPr>
          <w:szCs w:val="22"/>
        </w:rPr>
      </w:pPr>
    </w:p>
    <w:p w:rsidR="00B60939" w:rsidRPr="00217DD8" w:rsidRDefault="00B60939" w:rsidP="006412CE">
      <w:pPr>
        <w:pStyle w:val="Heading2"/>
      </w:pPr>
      <w:bookmarkStart w:id="14" w:name="_Toc430009536"/>
      <w:r w:rsidRPr="00217DD8">
        <w:t>Economic analysis</w:t>
      </w:r>
      <w:bookmarkEnd w:id="14"/>
    </w:p>
    <w:p w:rsidR="00B60939" w:rsidRPr="00882085" w:rsidRDefault="00B60939" w:rsidP="00B60939">
      <w:pPr>
        <w:ind w:left="720" w:hanging="720"/>
        <w:rPr>
          <w:szCs w:val="22"/>
        </w:rPr>
      </w:pPr>
    </w:p>
    <w:p w:rsidR="006F49F8" w:rsidRPr="0060206A" w:rsidRDefault="00A9726C" w:rsidP="00321D09">
      <w:pPr>
        <w:pStyle w:val="ListParagraph"/>
        <w:widowControl/>
        <w:numPr>
          <w:ilvl w:val="1"/>
          <w:numId w:val="2"/>
        </w:numPr>
        <w:rPr>
          <w:szCs w:val="22"/>
        </w:rPr>
      </w:pPr>
      <w:r w:rsidRPr="0060206A">
        <w:t xml:space="preserve">The re-submission presents an updated economic model to evaluate the cost-effectiveness of nintedanib versus BSC.  </w:t>
      </w:r>
      <w:r w:rsidR="005871C9" w:rsidRPr="0060206A">
        <w:t>In comparison to the March 2015 submission</w:t>
      </w:r>
      <w:r w:rsidR="008F1EC2" w:rsidRPr="0060206A">
        <w:t xml:space="preserve">, </w:t>
      </w:r>
      <w:r w:rsidR="005871C9" w:rsidRPr="0060206A">
        <w:t xml:space="preserve">no substantive changes have </w:t>
      </w:r>
      <w:r w:rsidR="00E72709" w:rsidRPr="0060206A">
        <w:t>been made</w:t>
      </w:r>
      <w:r w:rsidR="005871C9" w:rsidRPr="0060206A">
        <w:t xml:space="preserve"> to the </w:t>
      </w:r>
      <w:r w:rsidR="008F1EC2" w:rsidRPr="0060206A">
        <w:t xml:space="preserve">structure </w:t>
      </w:r>
      <w:r w:rsidR="005871C9" w:rsidRPr="0060206A">
        <w:t>or</w:t>
      </w:r>
      <w:r w:rsidR="008F1EC2" w:rsidRPr="0060206A">
        <w:t xml:space="preserve"> rationale of the economic model </w:t>
      </w:r>
      <w:r w:rsidR="008F1EC2" w:rsidRPr="00272D10">
        <w:t xml:space="preserve">(refer to Table </w:t>
      </w:r>
      <w:r w:rsidR="00BE105A" w:rsidRPr="00272D10">
        <w:t>9</w:t>
      </w:r>
      <w:r w:rsidR="008F1EC2" w:rsidRPr="00272D10">
        <w:t xml:space="preserve">, </w:t>
      </w:r>
      <w:r w:rsidR="006F49F8" w:rsidRPr="00272D10">
        <w:t>below</w:t>
      </w:r>
      <w:r w:rsidR="008F1EC2" w:rsidRPr="00272D10">
        <w:t>).</w:t>
      </w:r>
      <w:r w:rsidR="008F1EC2" w:rsidRPr="0060206A">
        <w:t xml:space="preserve">  </w:t>
      </w:r>
      <w:r w:rsidR="0082480A" w:rsidRPr="0060206A">
        <w:t>Given that the economic model continues to rely on non-statistically significant extrapolations of s</w:t>
      </w:r>
      <w:r w:rsidR="00DD68D3">
        <w:t xml:space="preserve">urvival </w:t>
      </w:r>
      <w:r w:rsidR="00272D10" w:rsidRPr="00272D10">
        <w:t>(refer to paragraph 6.24</w:t>
      </w:r>
      <w:r w:rsidR="0082480A" w:rsidRPr="00272D10">
        <w:t xml:space="preserve"> for further details)</w:t>
      </w:r>
      <w:r w:rsidR="0082480A" w:rsidRPr="0060206A">
        <w:t>, it is unlikely that the PBAC’s concerns regarding the appropriateness of the CUA (paragraph 7.10</w:t>
      </w:r>
      <w:r w:rsidR="00CA7613">
        <w:t xml:space="preserve">, Nintedanib for IPF PSD, </w:t>
      </w:r>
      <w:r w:rsidR="00CA7613" w:rsidRPr="008D1343">
        <w:t>March 2015</w:t>
      </w:r>
      <w:r w:rsidR="0082480A" w:rsidRPr="0060206A">
        <w:t xml:space="preserve">) have been adequately </w:t>
      </w:r>
      <w:r w:rsidR="00217DD8">
        <w:t>resolved by the re-submission.</w:t>
      </w:r>
    </w:p>
    <w:p w:rsidR="006F49F8" w:rsidRPr="00217DD8" w:rsidRDefault="006F49F8" w:rsidP="006F49F8">
      <w:pPr>
        <w:widowControl/>
        <w:rPr>
          <w:szCs w:val="22"/>
        </w:rPr>
      </w:pPr>
    </w:p>
    <w:p w:rsidR="006F49F8" w:rsidRDefault="006F49F8" w:rsidP="006F49F8">
      <w:pPr>
        <w:keepNext/>
        <w:ind w:firstLine="720"/>
        <w:rPr>
          <w:rStyle w:val="CommentReference"/>
        </w:rPr>
      </w:pPr>
      <w:r w:rsidRPr="00A56B6A">
        <w:rPr>
          <w:rStyle w:val="CommentReference"/>
        </w:rPr>
        <w:t>Table</w:t>
      </w:r>
      <w:r w:rsidR="00CB498B">
        <w:rPr>
          <w:rStyle w:val="CommentReference"/>
        </w:rPr>
        <w:t xml:space="preserve"> 8</w:t>
      </w:r>
      <w:r w:rsidRPr="00A56B6A">
        <w:rPr>
          <w:rStyle w:val="CommentReference"/>
        </w:rPr>
        <w:t>: Summary of model structure and rationale</w:t>
      </w:r>
    </w:p>
    <w:tbl>
      <w:tblPr>
        <w:tblW w:w="4556"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8: Summary of model structure and rationale"/>
      </w:tblPr>
      <w:tblGrid>
        <w:gridCol w:w="1020"/>
        <w:gridCol w:w="7256"/>
      </w:tblGrid>
      <w:tr w:rsidR="006F49F8" w:rsidRPr="00E2771E" w:rsidTr="006F49F8">
        <w:trPr>
          <w:tblHeader/>
        </w:trPr>
        <w:tc>
          <w:tcPr>
            <w:tcW w:w="616" w:type="pct"/>
            <w:shd w:val="clear" w:color="auto" w:fill="auto"/>
            <w:vAlign w:val="center"/>
          </w:tcPr>
          <w:p w:rsidR="006F49F8" w:rsidRPr="00E2771E" w:rsidRDefault="006F49F8" w:rsidP="006F49F8">
            <w:pPr>
              <w:jc w:val="left"/>
              <w:rPr>
                <w:rFonts w:ascii="Arial Narrow" w:hAnsi="Arial Narrow"/>
                <w:b/>
                <w:sz w:val="20"/>
              </w:rPr>
            </w:pPr>
            <w:r w:rsidRPr="00E2771E">
              <w:rPr>
                <w:rFonts w:ascii="Arial Narrow" w:hAnsi="Arial Narrow"/>
                <w:b/>
                <w:sz w:val="20"/>
              </w:rPr>
              <w:t>Component</w:t>
            </w:r>
          </w:p>
        </w:tc>
        <w:tc>
          <w:tcPr>
            <w:tcW w:w="4384" w:type="pct"/>
            <w:shd w:val="clear" w:color="auto" w:fill="auto"/>
            <w:vAlign w:val="center"/>
          </w:tcPr>
          <w:p w:rsidR="006F49F8" w:rsidRPr="00E2771E" w:rsidRDefault="006F49F8" w:rsidP="006F49F8">
            <w:pPr>
              <w:jc w:val="center"/>
              <w:rPr>
                <w:rFonts w:ascii="Arial Narrow" w:hAnsi="Arial Narrow"/>
                <w:b/>
                <w:sz w:val="20"/>
              </w:rPr>
            </w:pPr>
            <w:r w:rsidRPr="00E2771E">
              <w:rPr>
                <w:rFonts w:ascii="Arial Narrow" w:hAnsi="Arial Narrow"/>
                <w:b/>
                <w:sz w:val="20"/>
              </w:rPr>
              <w:t>Summary</w:t>
            </w:r>
          </w:p>
        </w:tc>
      </w:tr>
      <w:tr w:rsidR="006F49F8" w:rsidRPr="00E2771E" w:rsidTr="006F49F8">
        <w:tc>
          <w:tcPr>
            <w:tcW w:w="616" w:type="pct"/>
            <w:shd w:val="clear" w:color="auto" w:fill="auto"/>
            <w:vAlign w:val="center"/>
          </w:tcPr>
          <w:p w:rsidR="006F49F8" w:rsidRPr="00E2771E" w:rsidRDefault="006F49F8" w:rsidP="006F49F8">
            <w:pPr>
              <w:jc w:val="left"/>
              <w:rPr>
                <w:rFonts w:ascii="Arial Narrow" w:hAnsi="Arial Narrow"/>
                <w:sz w:val="20"/>
              </w:rPr>
            </w:pPr>
            <w:r w:rsidRPr="00E2771E">
              <w:rPr>
                <w:rFonts w:ascii="Arial Narrow" w:hAnsi="Arial Narrow"/>
                <w:sz w:val="20"/>
              </w:rPr>
              <w:t>Time horizon</w:t>
            </w:r>
          </w:p>
        </w:tc>
        <w:tc>
          <w:tcPr>
            <w:tcW w:w="4384" w:type="pct"/>
            <w:shd w:val="clear" w:color="auto" w:fill="auto"/>
          </w:tcPr>
          <w:p w:rsidR="006F49F8" w:rsidRPr="00E2771E" w:rsidRDefault="006F49F8" w:rsidP="006F49F8">
            <w:pPr>
              <w:jc w:val="left"/>
              <w:rPr>
                <w:rFonts w:ascii="Arial Narrow" w:hAnsi="Arial Narrow"/>
                <w:sz w:val="20"/>
              </w:rPr>
            </w:pPr>
            <w:r w:rsidRPr="00536468">
              <w:rPr>
                <w:rFonts w:ascii="Arial Narrow" w:hAnsi="Arial Narrow"/>
                <w:sz w:val="20"/>
              </w:rPr>
              <w:t xml:space="preserve">10 years in the model base case versus </w:t>
            </w:r>
            <w:r>
              <w:rPr>
                <w:rFonts w:ascii="Arial Narrow" w:hAnsi="Arial Narrow"/>
                <w:sz w:val="20"/>
              </w:rPr>
              <w:t>21</w:t>
            </w:r>
            <w:r w:rsidRPr="00536468">
              <w:rPr>
                <w:rFonts w:ascii="Arial Narrow" w:hAnsi="Arial Narrow"/>
                <w:sz w:val="20"/>
              </w:rPr>
              <w:t xml:space="preserve"> months </w:t>
            </w:r>
            <w:r>
              <w:rPr>
                <w:rFonts w:ascii="Arial Narrow" w:hAnsi="Arial Narrow"/>
                <w:sz w:val="20"/>
              </w:rPr>
              <w:t>maximum follow-up in the nintedanib trials</w:t>
            </w:r>
          </w:p>
        </w:tc>
      </w:tr>
      <w:tr w:rsidR="006F49F8" w:rsidRPr="00E2771E" w:rsidTr="006F49F8">
        <w:tc>
          <w:tcPr>
            <w:tcW w:w="616" w:type="pct"/>
            <w:shd w:val="clear" w:color="auto" w:fill="auto"/>
            <w:vAlign w:val="center"/>
          </w:tcPr>
          <w:p w:rsidR="006F49F8" w:rsidRPr="00E2771E" w:rsidRDefault="006F49F8" w:rsidP="006F49F8">
            <w:pPr>
              <w:jc w:val="left"/>
              <w:rPr>
                <w:rFonts w:ascii="Arial Narrow" w:hAnsi="Arial Narrow"/>
                <w:sz w:val="20"/>
              </w:rPr>
            </w:pPr>
            <w:r w:rsidRPr="00E2771E">
              <w:rPr>
                <w:rFonts w:ascii="Arial Narrow" w:hAnsi="Arial Narrow"/>
                <w:sz w:val="20"/>
              </w:rPr>
              <w:t>Outcomes</w:t>
            </w:r>
          </w:p>
        </w:tc>
        <w:tc>
          <w:tcPr>
            <w:tcW w:w="4384" w:type="pct"/>
            <w:shd w:val="clear" w:color="auto" w:fill="auto"/>
          </w:tcPr>
          <w:p w:rsidR="006F49F8" w:rsidRPr="00E2771E" w:rsidRDefault="006F49F8" w:rsidP="006F49F8">
            <w:pPr>
              <w:jc w:val="left"/>
              <w:rPr>
                <w:rFonts w:ascii="Arial Narrow" w:hAnsi="Arial Narrow"/>
                <w:sz w:val="20"/>
              </w:rPr>
            </w:pPr>
            <w:r w:rsidRPr="00536468">
              <w:rPr>
                <w:rFonts w:ascii="Arial Narrow" w:hAnsi="Arial Narrow"/>
                <w:sz w:val="20"/>
              </w:rPr>
              <w:t>Cost/LYG</w:t>
            </w:r>
            <w:r>
              <w:rPr>
                <w:rFonts w:ascii="Arial Narrow" w:hAnsi="Arial Narrow"/>
                <w:sz w:val="20"/>
              </w:rPr>
              <w:t>;</w:t>
            </w:r>
            <w:r w:rsidRPr="00536468">
              <w:rPr>
                <w:rFonts w:ascii="Arial Narrow" w:hAnsi="Arial Narrow"/>
                <w:sz w:val="20"/>
              </w:rPr>
              <w:t xml:space="preserve"> Cost/QALY</w:t>
            </w:r>
            <w:r>
              <w:rPr>
                <w:rFonts w:ascii="Arial Narrow" w:hAnsi="Arial Narrow"/>
                <w:sz w:val="20"/>
              </w:rPr>
              <w:t xml:space="preserve"> (trial based EQ-5D utilities) </w:t>
            </w:r>
          </w:p>
        </w:tc>
      </w:tr>
      <w:tr w:rsidR="006F49F8" w:rsidRPr="00E2771E" w:rsidTr="006F49F8">
        <w:tc>
          <w:tcPr>
            <w:tcW w:w="616" w:type="pct"/>
            <w:shd w:val="clear" w:color="auto" w:fill="auto"/>
            <w:vAlign w:val="center"/>
          </w:tcPr>
          <w:p w:rsidR="006F49F8" w:rsidRPr="00E2771E" w:rsidRDefault="006F49F8" w:rsidP="006F49F8">
            <w:pPr>
              <w:jc w:val="left"/>
              <w:rPr>
                <w:rFonts w:ascii="Arial Narrow" w:hAnsi="Arial Narrow"/>
                <w:sz w:val="20"/>
              </w:rPr>
            </w:pPr>
            <w:r w:rsidRPr="00E2771E">
              <w:rPr>
                <w:rFonts w:ascii="Arial Narrow" w:hAnsi="Arial Narrow"/>
                <w:sz w:val="20"/>
              </w:rPr>
              <w:t>Methods used to generate results</w:t>
            </w:r>
          </w:p>
        </w:tc>
        <w:tc>
          <w:tcPr>
            <w:tcW w:w="4384" w:type="pct"/>
            <w:shd w:val="clear" w:color="auto" w:fill="auto"/>
            <w:vAlign w:val="center"/>
          </w:tcPr>
          <w:p w:rsidR="006F49F8" w:rsidRPr="00E2771E" w:rsidRDefault="006F49F8" w:rsidP="006F49F8">
            <w:pPr>
              <w:jc w:val="left"/>
              <w:rPr>
                <w:rFonts w:ascii="Arial Narrow" w:hAnsi="Arial Narrow"/>
                <w:sz w:val="20"/>
              </w:rPr>
            </w:pPr>
            <w:r>
              <w:rPr>
                <w:rFonts w:ascii="Arial Narrow" w:hAnsi="Arial Narrow"/>
                <w:sz w:val="20"/>
              </w:rPr>
              <w:t>Markov state transition model separated into two parts: ‘no exacerbation’ and ‘exacerbations’.  P</w:t>
            </w:r>
            <w:r w:rsidRPr="006F05DD">
              <w:rPr>
                <w:rFonts w:ascii="Arial Narrow" w:hAnsi="Arial Narrow"/>
                <w:sz w:val="20"/>
              </w:rPr>
              <w:t>atients may either remain stable or transition via a one-step decline in FVC%Pred health state according to ‘no exacerbation’ or ‘exacerbation’ status</w:t>
            </w:r>
            <w:r>
              <w:rPr>
                <w:rFonts w:ascii="Arial Narrow" w:hAnsi="Arial Narrow"/>
                <w:sz w:val="20"/>
              </w:rPr>
              <w:t xml:space="preserve">.  </w:t>
            </w:r>
            <w:r w:rsidRPr="006F05DD">
              <w:rPr>
                <w:rFonts w:ascii="Arial Narrow" w:hAnsi="Arial Narrow"/>
                <w:sz w:val="20"/>
              </w:rPr>
              <w:t xml:space="preserve">Discontinuation probabilities </w:t>
            </w:r>
            <w:r>
              <w:rPr>
                <w:rFonts w:ascii="Arial Narrow" w:hAnsi="Arial Narrow"/>
                <w:sz w:val="20"/>
              </w:rPr>
              <w:t>are</w:t>
            </w:r>
            <w:r w:rsidRPr="006F05DD">
              <w:rPr>
                <w:rFonts w:ascii="Arial Narrow" w:hAnsi="Arial Narrow"/>
                <w:sz w:val="20"/>
              </w:rPr>
              <w:t xml:space="preserve"> also applied to the nintedanib arm of the model.  Upon discontinuation of treatment, the economic model applie</w:t>
            </w:r>
            <w:r>
              <w:rPr>
                <w:rFonts w:ascii="Arial Narrow" w:hAnsi="Arial Narrow"/>
                <w:sz w:val="20"/>
              </w:rPr>
              <w:t>d</w:t>
            </w:r>
            <w:r w:rsidRPr="006F05DD">
              <w:rPr>
                <w:rFonts w:ascii="Arial Narrow" w:hAnsi="Arial Narrow"/>
                <w:sz w:val="20"/>
              </w:rPr>
              <w:t xml:space="preserve"> relevant transition probabilities associated with BSC.  Patients </w:t>
            </w:r>
            <w:r>
              <w:rPr>
                <w:rFonts w:ascii="Arial Narrow" w:hAnsi="Arial Narrow"/>
                <w:sz w:val="20"/>
              </w:rPr>
              <w:t>could</w:t>
            </w:r>
            <w:r w:rsidRPr="006F05DD">
              <w:rPr>
                <w:rFonts w:ascii="Arial Narrow" w:hAnsi="Arial Narrow"/>
                <w:sz w:val="20"/>
              </w:rPr>
              <w:t xml:space="preserve"> transition to the self-absorbing death health state at any time, as determined by the Kaplan Meier estimates </w:t>
            </w:r>
            <w:r>
              <w:rPr>
                <w:rFonts w:ascii="Arial Narrow" w:hAnsi="Arial Narrow"/>
                <w:sz w:val="20"/>
              </w:rPr>
              <w:t xml:space="preserve">from month 0-21, followed by </w:t>
            </w:r>
            <w:r w:rsidRPr="006F05DD">
              <w:rPr>
                <w:rFonts w:ascii="Arial Narrow" w:hAnsi="Arial Narrow"/>
                <w:sz w:val="20"/>
              </w:rPr>
              <w:t xml:space="preserve">Weibull extrapolations to 10 years.  </w:t>
            </w:r>
          </w:p>
        </w:tc>
      </w:tr>
      <w:tr w:rsidR="006F49F8" w:rsidRPr="00E2771E" w:rsidTr="006F49F8">
        <w:tc>
          <w:tcPr>
            <w:tcW w:w="616" w:type="pct"/>
            <w:shd w:val="clear" w:color="auto" w:fill="auto"/>
            <w:vAlign w:val="center"/>
          </w:tcPr>
          <w:p w:rsidR="006F49F8" w:rsidRPr="00E2771E" w:rsidRDefault="006F49F8" w:rsidP="006F49F8">
            <w:pPr>
              <w:jc w:val="left"/>
              <w:rPr>
                <w:rFonts w:ascii="Arial Narrow" w:hAnsi="Arial Narrow"/>
                <w:sz w:val="20"/>
              </w:rPr>
            </w:pPr>
            <w:r w:rsidRPr="00E2771E">
              <w:rPr>
                <w:rFonts w:ascii="Arial Narrow" w:hAnsi="Arial Narrow"/>
                <w:sz w:val="20"/>
              </w:rPr>
              <w:t>Health states</w:t>
            </w:r>
          </w:p>
        </w:tc>
        <w:tc>
          <w:tcPr>
            <w:tcW w:w="4384" w:type="pct"/>
            <w:shd w:val="clear" w:color="auto" w:fill="auto"/>
            <w:vAlign w:val="center"/>
          </w:tcPr>
          <w:p w:rsidR="006F49F8" w:rsidRPr="00E2771E" w:rsidRDefault="006F49F8" w:rsidP="006F49F8">
            <w:pPr>
              <w:jc w:val="left"/>
              <w:rPr>
                <w:rFonts w:ascii="Arial Narrow" w:hAnsi="Arial Narrow"/>
                <w:sz w:val="20"/>
              </w:rPr>
            </w:pPr>
            <w:r>
              <w:rPr>
                <w:rFonts w:ascii="Arial Narrow" w:hAnsi="Arial Narrow"/>
                <w:sz w:val="20"/>
              </w:rPr>
              <w:t>8 FVC%Pred health states and death</w:t>
            </w:r>
          </w:p>
        </w:tc>
      </w:tr>
      <w:tr w:rsidR="006F49F8" w:rsidRPr="00E2771E" w:rsidTr="006F49F8">
        <w:tc>
          <w:tcPr>
            <w:tcW w:w="616" w:type="pct"/>
            <w:shd w:val="clear" w:color="auto" w:fill="auto"/>
            <w:vAlign w:val="center"/>
          </w:tcPr>
          <w:p w:rsidR="006F49F8" w:rsidRPr="00E2771E" w:rsidRDefault="006F49F8" w:rsidP="006F49F8">
            <w:pPr>
              <w:jc w:val="left"/>
              <w:rPr>
                <w:rFonts w:ascii="Arial Narrow" w:hAnsi="Arial Narrow"/>
                <w:sz w:val="20"/>
              </w:rPr>
            </w:pPr>
            <w:r w:rsidRPr="00E2771E">
              <w:rPr>
                <w:rFonts w:ascii="Arial Narrow" w:hAnsi="Arial Narrow"/>
                <w:sz w:val="20"/>
              </w:rPr>
              <w:t>Cycle length</w:t>
            </w:r>
          </w:p>
        </w:tc>
        <w:tc>
          <w:tcPr>
            <w:tcW w:w="4384" w:type="pct"/>
            <w:shd w:val="clear" w:color="auto" w:fill="auto"/>
          </w:tcPr>
          <w:p w:rsidR="006F49F8" w:rsidRPr="00E2771E" w:rsidRDefault="006F49F8" w:rsidP="006F49F8">
            <w:pPr>
              <w:jc w:val="left"/>
              <w:rPr>
                <w:rFonts w:ascii="Arial Narrow" w:hAnsi="Arial Narrow"/>
                <w:sz w:val="20"/>
              </w:rPr>
            </w:pPr>
            <w:r w:rsidRPr="00536468">
              <w:rPr>
                <w:rFonts w:ascii="Arial Narrow" w:hAnsi="Arial Narrow"/>
                <w:sz w:val="20"/>
              </w:rPr>
              <w:t>0.25 years</w:t>
            </w:r>
            <w:r>
              <w:rPr>
                <w:rFonts w:ascii="Arial Narrow" w:hAnsi="Arial Narrow"/>
                <w:sz w:val="20"/>
              </w:rPr>
              <w:t>; half cycle correction applied</w:t>
            </w:r>
          </w:p>
        </w:tc>
      </w:tr>
      <w:tr w:rsidR="006F49F8" w:rsidRPr="00E2771E" w:rsidTr="006F49F8">
        <w:tc>
          <w:tcPr>
            <w:tcW w:w="616" w:type="pct"/>
            <w:shd w:val="clear" w:color="auto" w:fill="auto"/>
            <w:vAlign w:val="center"/>
          </w:tcPr>
          <w:p w:rsidR="006F49F8" w:rsidRPr="00E2771E" w:rsidRDefault="006F49F8" w:rsidP="006F49F8">
            <w:pPr>
              <w:jc w:val="left"/>
              <w:rPr>
                <w:rFonts w:ascii="Arial Narrow" w:hAnsi="Arial Narrow"/>
                <w:sz w:val="20"/>
              </w:rPr>
            </w:pPr>
            <w:r w:rsidRPr="00E2771E">
              <w:rPr>
                <w:rFonts w:ascii="Arial Narrow" w:hAnsi="Arial Narrow"/>
                <w:sz w:val="20"/>
              </w:rPr>
              <w:t>Transition probabilities</w:t>
            </w:r>
          </w:p>
        </w:tc>
        <w:tc>
          <w:tcPr>
            <w:tcW w:w="4384" w:type="pct"/>
            <w:shd w:val="clear" w:color="auto" w:fill="auto"/>
            <w:vAlign w:val="center"/>
          </w:tcPr>
          <w:p w:rsidR="006F49F8" w:rsidRPr="00E2771E" w:rsidRDefault="006F49F8" w:rsidP="006F49F8">
            <w:pPr>
              <w:jc w:val="left"/>
              <w:rPr>
                <w:rFonts w:ascii="Arial Narrow" w:hAnsi="Arial Narrow"/>
                <w:sz w:val="20"/>
              </w:rPr>
            </w:pPr>
            <w:r w:rsidRPr="00536468">
              <w:rPr>
                <w:rFonts w:ascii="Arial Narrow" w:hAnsi="Arial Narrow" w:cs="Times New Roman"/>
                <w:sz w:val="20"/>
              </w:rPr>
              <w:t>On the basis of pooled data from Trial 32 and 34, a logistic function was used to determine the probability for progressing to a worse FVC%Pred health state</w:t>
            </w:r>
            <w:r>
              <w:rPr>
                <w:rFonts w:ascii="Arial Narrow" w:hAnsi="Arial Narrow" w:cs="Times New Roman"/>
                <w:sz w:val="20"/>
              </w:rPr>
              <w:t xml:space="preserve">.  Probability of adjudicator defined acute IPF exacerbation and nintedanib discontinuation was determined from exponential functions.  </w:t>
            </w:r>
          </w:p>
        </w:tc>
      </w:tr>
    </w:tbl>
    <w:p w:rsidR="006F49F8" w:rsidRPr="00275C5A" w:rsidRDefault="006F49F8" w:rsidP="006F49F8">
      <w:pPr>
        <w:pStyle w:val="TableFooter"/>
        <w:ind w:firstLine="720"/>
      </w:pPr>
      <w:r w:rsidRPr="00275C5A">
        <w:t>Source: compiled during the evaluation</w:t>
      </w:r>
    </w:p>
    <w:p w:rsidR="006F49F8" w:rsidRDefault="006F49F8" w:rsidP="006F49F8"/>
    <w:p w:rsidR="00B11B68" w:rsidRPr="009A2823" w:rsidRDefault="00B11B68" w:rsidP="00321D09">
      <w:pPr>
        <w:pStyle w:val="ListParagraph"/>
        <w:widowControl/>
        <w:numPr>
          <w:ilvl w:val="1"/>
          <w:numId w:val="2"/>
        </w:numPr>
        <w:rPr>
          <w:szCs w:val="22"/>
        </w:rPr>
      </w:pPr>
      <w:r w:rsidRPr="005871C9">
        <w:t xml:space="preserve">Key drivers of the model are </w:t>
      </w:r>
      <w:r w:rsidR="00217DD8">
        <w:t>summarised in the table below.</w:t>
      </w:r>
    </w:p>
    <w:p w:rsidR="009A2823" w:rsidRPr="005871C9" w:rsidRDefault="009A2823" w:rsidP="009A2823">
      <w:pPr>
        <w:pStyle w:val="ListParagraph"/>
        <w:widowControl/>
        <w:rPr>
          <w:szCs w:val="22"/>
        </w:rPr>
      </w:pPr>
    </w:p>
    <w:p w:rsidR="00B11B68" w:rsidRPr="005871C9" w:rsidRDefault="00B11B68" w:rsidP="00B11B68">
      <w:pPr>
        <w:widowControl/>
        <w:ind w:firstLine="720"/>
        <w:rPr>
          <w:rFonts w:ascii="Arial Narrow" w:hAnsi="Arial Narrow"/>
          <w:b/>
          <w:sz w:val="20"/>
          <w:szCs w:val="22"/>
        </w:rPr>
      </w:pPr>
      <w:r w:rsidRPr="005871C9">
        <w:rPr>
          <w:rFonts w:ascii="Arial Narrow" w:hAnsi="Arial Narrow"/>
          <w:b/>
          <w:sz w:val="20"/>
          <w:szCs w:val="22"/>
        </w:rPr>
        <w:t xml:space="preserve">Table </w:t>
      </w:r>
      <w:r w:rsidR="00CB498B">
        <w:rPr>
          <w:rFonts w:ascii="Arial Narrow" w:hAnsi="Arial Narrow"/>
          <w:b/>
          <w:sz w:val="20"/>
          <w:szCs w:val="22"/>
        </w:rPr>
        <w:t>9</w:t>
      </w:r>
      <w:r w:rsidRPr="005871C9">
        <w:rPr>
          <w:rFonts w:ascii="Arial Narrow" w:hAnsi="Arial Narrow"/>
          <w:b/>
          <w:sz w:val="20"/>
          <w:szCs w:val="22"/>
        </w:rPr>
        <w:t>: Key drivers of the model</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9: Key drivers of the model"/>
      </w:tblPr>
      <w:tblGrid>
        <w:gridCol w:w="1701"/>
        <w:gridCol w:w="4112"/>
        <w:gridCol w:w="2532"/>
      </w:tblGrid>
      <w:tr w:rsidR="00B11B68" w:rsidRPr="006D0895" w:rsidTr="00676FBF">
        <w:trPr>
          <w:tblHeader/>
        </w:trPr>
        <w:tc>
          <w:tcPr>
            <w:tcW w:w="1019" w:type="pct"/>
            <w:shd w:val="clear" w:color="auto" w:fill="auto"/>
            <w:vAlign w:val="center"/>
          </w:tcPr>
          <w:p w:rsidR="00B11B68" w:rsidRPr="006D0895" w:rsidRDefault="00B11B68" w:rsidP="002B0902">
            <w:pPr>
              <w:jc w:val="center"/>
              <w:rPr>
                <w:rFonts w:ascii="Arial Narrow" w:hAnsi="Arial Narrow"/>
                <w:b/>
                <w:sz w:val="20"/>
                <w:lang w:val="en-US"/>
              </w:rPr>
            </w:pPr>
            <w:r w:rsidRPr="006D0895">
              <w:rPr>
                <w:rFonts w:ascii="Arial Narrow" w:hAnsi="Arial Narrow"/>
                <w:b/>
                <w:sz w:val="20"/>
                <w:lang w:val="en-US"/>
              </w:rPr>
              <w:t>Description</w:t>
            </w:r>
          </w:p>
        </w:tc>
        <w:tc>
          <w:tcPr>
            <w:tcW w:w="2464" w:type="pct"/>
            <w:shd w:val="clear" w:color="auto" w:fill="auto"/>
            <w:vAlign w:val="center"/>
          </w:tcPr>
          <w:p w:rsidR="00B11B68" w:rsidRPr="006D0895" w:rsidRDefault="00B11B68" w:rsidP="00676FBF">
            <w:pPr>
              <w:jc w:val="center"/>
              <w:rPr>
                <w:rFonts w:ascii="Arial Narrow" w:hAnsi="Arial Narrow"/>
                <w:b/>
                <w:sz w:val="20"/>
                <w:lang w:val="en-US"/>
              </w:rPr>
            </w:pPr>
            <w:r w:rsidRPr="006D0895">
              <w:rPr>
                <w:rFonts w:ascii="Arial Narrow" w:hAnsi="Arial Narrow"/>
                <w:b/>
                <w:sz w:val="20"/>
                <w:lang w:val="en-US"/>
              </w:rPr>
              <w:t>Method/Value</w:t>
            </w:r>
          </w:p>
        </w:tc>
        <w:tc>
          <w:tcPr>
            <w:tcW w:w="1517" w:type="pct"/>
            <w:shd w:val="clear" w:color="auto" w:fill="auto"/>
            <w:vAlign w:val="center"/>
          </w:tcPr>
          <w:p w:rsidR="00B11B68" w:rsidRPr="006D0895" w:rsidRDefault="00B11B68" w:rsidP="00676FBF">
            <w:pPr>
              <w:jc w:val="center"/>
              <w:rPr>
                <w:rFonts w:ascii="Arial Narrow" w:hAnsi="Arial Narrow"/>
                <w:b/>
                <w:sz w:val="20"/>
                <w:lang w:val="en-US"/>
              </w:rPr>
            </w:pPr>
            <w:r w:rsidRPr="006D0895">
              <w:rPr>
                <w:rFonts w:ascii="Arial Narrow" w:hAnsi="Arial Narrow"/>
                <w:b/>
                <w:sz w:val="20"/>
                <w:lang w:val="en-US"/>
              </w:rPr>
              <w:t>Impact</w:t>
            </w:r>
          </w:p>
        </w:tc>
      </w:tr>
      <w:tr w:rsidR="00B11B68" w:rsidRPr="006D0895" w:rsidTr="00676FBF">
        <w:tc>
          <w:tcPr>
            <w:tcW w:w="1019" w:type="pct"/>
            <w:shd w:val="clear" w:color="auto" w:fill="auto"/>
            <w:vAlign w:val="center"/>
          </w:tcPr>
          <w:p w:rsidR="00B11B68" w:rsidRPr="006D0895" w:rsidRDefault="00B11B68" w:rsidP="002B0902">
            <w:pPr>
              <w:jc w:val="center"/>
              <w:rPr>
                <w:rFonts w:ascii="Arial Narrow" w:hAnsi="Arial Narrow"/>
                <w:sz w:val="20"/>
                <w:lang w:val="en-US"/>
              </w:rPr>
            </w:pPr>
            <w:r w:rsidRPr="006D0895">
              <w:rPr>
                <w:rFonts w:ascii="Arial Narrow" w:hAnsi="Arial Narrow"/>
                <w:sz w:val="20"/>
                <w:lang w:val="en-US"/>
              </w:rPr>
              <w:t>Survival extrapolation</w:t>
            </w:r>
          </w:p>
        </w:tc>
        <w:tc>
          <w:tcPr>
            <w:tcW w:w="2464" w:type="pct"/>
            <w:shd w:val="clear" w:color="auto" w:fill="auto"/>
            <w:vAlign w:val="center"/>
          </w:tcPr>
          <w:p w:rsidR="00B11B68" w:rsidRPr="006D0895" w:rsidRDefault="00B11B68" w:rsidP="00B11B68">
            <w:pPr>
              <w:jc w:val="center"/>
              <w:rPr>
                <w:rFonts w:ascii="Arial Narrow" w:hAnsi="Arial Narrow"/>
                <w:sz w:val="20"/>
                <w:lang w:val="en-US"/>
              </w:rPr>
            </w:pPr>
            <w:r w:rsidRPr="006D0895">
              <w:rPr>
                <w:rFonts w:ascii="Arial Narrow" w:hAnsi="Arial Narrow"/>
                <w:sz w:val="20"/>
                <w:lang w:val="en-US"/>
              </w:rPr>
              <w:t>Parametric extrapolation from month 21 to year 10</w:t>
            </w:r>
          </w:p>
        </w:tc>
        <w:tc>
          <w:tcPr>
            <w:tcW w:w="1517" w:type="pct"/>
            <w:shd w:val="clear" w:color="auto" w:fill="auto"/>
            <w:vAlign w:val="center"/>
          </w:tcPr>
          <w:p w:rsidR="00B11B68" w:rsidRPr="006D0895" w:rsidRDefault="00B11B68" w:rsidP="00676FBF">
            <w:pPr>
              <w:jc w:val="center"/>
              <w:rPr>
                <w:rFonts w:ascii="Arial Narrow" w:hAnsi="Arial Narrow"/>
                <w:sz w:val="20"/>
                <w:lang w:val="en-US"/>
              </w:rPr>
            </w:pPr>
            <w:r w:rsidRPr="006D0895">
              <w:rPr>
                <w:rFonts w:ascii="Arial Narrow" w:hAnsi="Arial Narrow"/>
                <w:sz w:val="20"/>
                <w:lang w:val="en-US"/>
              </w:rPr>
              <w:t>High,</w:t>
            </w:r>
            <w:r w:rsidRPr="006D0895">
              <w:rPr>
                <w:rFonts w:ascii="Arial Narrow" w:hAnsi="Arial Narrow"/>
                <w:sz w:val="20"/>
              </w:rPr>
              <w:t xml:space="preserve"> favours</w:t>
            </w:r>
            <w:r w:rsidRPr="006D0895">
              <w:rPr>
                <w:rFonts w:ascii="Arial Narrow" w:hAnsi="Arial Narrow"/>
                <w:sz w:val="20"/>
                <w:lang w:val="en-US"/>
              </w:rPr>
              <w:t xml:space="preserve"> nintedanib</w:t>
            </w:r>
          </w:p>
        </w:tc>
      </w:tr>
      <w:tr w:rsidR="00B11B68" w:rsidRPr="006D0895" w:rsidTr="00676FBF">
        <w:tc>
          <w:tcPr>
            <w:tcW w:w="1019" w:type="pct"/>
            <w:shd w:val="clear" w:color="auto" w:fill="auto"/>
            <w:vAlign w:val="center"/>
          </w:tcPr>
          <w:p w:rsidR="00B11B68" w:rsidRPr="006D0895" w:rsidRDefault="00B11B68" w:rsidP="002B0902">
            <w:pPr>
              <w:jc w:val="center"/>
              <w:rPr>
                <w:rFonts w:ascii="Arial Narrow" w:hAnsi="Arial Narrow"/>
                <w:sz w:val="20"/>
                <w:lang w:val="en-US"/>
              </w:rPr>
            </w:pPr>
            <w:r w:rsidRPr="006D0895">
              <w:rPr>
                <w:rFonts w:ascii="Arial Narrow" w:hAnsi="Arial Narrow"/>
                <w:sz w:val="20"/>
                <w:lang w:val="en-US"/>
              </w:rPr>
              <w:t>Time horizon</w:t>
            </w:r>
          </w:p>
        </w:tc>
        <w:tc>
          <w:tcPr>
            <w:tcW w:w="2464" w:type="pct"/>
            <w:shd w:val="clear" w:color="auto" w:fill="auto"/>
            <w:vAlign w:val="center"/>
          </w:tcPr>
          <w:p w:rsidR="00B11B68" w:rsidRPr="006D0895" w:rsidRDefault="00B11B68" w:rsidP="00676FBF">
            <w:pPr>
              <w:jc w:val="center"/>
              <w:rPr>
                <w:rFonts w:ascii="Arial Narrow" w:hAnsi="Arial Narrow"/>
                <w:sz w:val="20"/>
                <w:lang w:val="en-US"/>
              </w:rPr>
            </w:pPr>
            <w:r w:rsidRPr="006D0895">
              <w:rPr>
                <w:rFonts w:ascii="Arial Narrow" w:hAnsi="Arial Narrow"/>
                <w:sz w:val="20"/>
                <w:lang w:val="en-US"/>
              </w:rPr>
              <w:t xml:space="preserve">10 years; assumed from maximum 21 month follow-up in the nintedanib trials </w:t>
            </w:r>
          </w:p>
        </w:tc>
        <w:tc>
          <w:tcPr>
            <w:tcW w:w="1517" w:type="pct"/>
            <w:shd w:val="clear" w:color="auto" w:fill="auto"/>
            <w:vAlign w:val="center"/>
          </w:tcPr>
          <w:p w:rsidR="00B11B68" w:rsidRPr="006D0895" w:rsidRDefault="00B11B68" w:rsidP="00676FBF">
            <w:pPr>
              <w:jc w:val="center"/>
              <w:rPr>
                <w:rFonts w:ascii="Arial Narrow" w:hAnsi="Arial Narrow"/>
                <w:sz w:val="20"/>
                <w:lang w:val="en-US"/>
              </w:rPr>
            </w:pPr>
            <w:r w:rsidRPr="006D0895">
              <w:rPr>
                <w:rFonts w:ascii="Arial Narrow" w:hAnsi="Arial Narrow"/>
                <w:sz w:val="20"/>
                <w:lang w:val="en-US"/>
              </w:rPr>
              <w:t>High,</w:t>
            </w:r>
            <w:r w:rsidRPr="006D0895">
              <w:rPr>
                <w:rFonts w:ascii="Arial Narrow" w:hAnsi="Arial Narrow"/>
                <w:sz w:val="20"/>
              </w:rPr>
              <w:t xml:space="preserve"> favours</w:t>
            </w:r>
            <w:r w:rsidRPr="006D0895">
              <w:rPr>
                <w:rFonts w:ascii="Arial Narrow" w:hAnsi="Arial Narrow"/>
                <w:sz w:val="20"/>
                <w:lang w:val="en-US"/>
              </w:rPr>
              <w:t xml:space="preserve"> nintedanib</w:t>
            </w:r>
          </w:p>
        </w:tc>
      </w:tr>
      <w:tr w:rsidR="0048149A" w:rsidRPr="006D0895" w:rsidTr="00676FBF">
        <w:tc>
          <w:tcPr>
            <w:tcW w:w="1019" w:type="pct"/>
            <w:shd w:val="clear" w:color="auto" w:fill="auto"/>
            <w:vAlign w:val="center"/>
          </w:tcPr>
          <w:p w:rsidR="0048149A" w:rsidRPr="006D0895" w:rsidRDefault="0048149A" w:rsidP="002B0902">
            <w:pPr>
              <w:jc w:val="center"/>
              <w:rPr>
                <w:rFonts w:ascii="Arial Narrow" w:hAnsi="Arial Narrow"/>
                <w:sz w:val="20"/>
                <w:lang w:val="en-US"/>
              </w:rPr>
            </w:pPr>
            <w:r w:rsidRPr="006D0895">
              <w:rPr>
                <w:rFonts w:ascii="Arial Narrow" w:hAnsi="Arial Narrow"/>
                <w:sz w:val="20"/>
                <w:lang w:val="en-US"/>
              </w:rPr>
              <w:t>Weighted effective price</w:t>
            </w:r>
          </w:p>
        </w:tc>
        <w:tc>
          <w:tcPr>
            <w:tcW w:w="2464" w:type="pct"/>
            <w:shd w:val="clear" w:color="auto" w:fill="auto"/>
            <w:vAlign w:val="center"/>
          </w:tcPr>
          <w:p w:rsidR="0048149A" w:rsidRPr="006D0895" w:rsidRDefault="0048149A" w:rsidP="00676FBF">
            <w:pPr>
              <w:jc w:val="center"/>
              <w:rPr>
                <w:rFonts w:ascii="Arial Narrow" w:hAnsi="Arial Narrow"/>
                <w:sz w:val="20"/>
                <w:lang w:val="en-US"/>
              </w:rPr>
            </w:pPr>
            <w:r w:rsidRPr="006D0895">
              <w:rPr>
                <w:rFonts w:ascii="Arial Narrow" w:hAnsi="Arial Narrow"/>
                <w:sz w:val="20"/>
                <w:lang w:val="en-US"/>
              </w:rPr>
              <w:t>The price of nintedinab in the model is based on the proposed RSA which adjusts the price by applying a cap on expenditure beyond the March 2015 predictions of utilisation.</w:t>
            </w:r>
          </w:p>
        </w:tc>
        <w:tc>
          <w:tcPr>
            <w:tcW w:w="1517" w:type="pct"/>
            <w:shd w:val="clear" w:color="auto" w:fill="auto"/>
            <w:vAlign w:val="center"/>
          </w:tcPr>
          <w:p w:rsidR="0048149A" w:rsidRPr="006D0895" w:rsidRDefault="002B0902" w:rsidP="00676FBF">
            <w:pPr>
              <w:jc w:val="center"/>
              <w:rPr>
                <w:rFonts w:ascii="Arial Narrow" w:hAnsi="Arial Narrow"/>
                <w:sz w:val="20"/>
                <w:lang w:val="en-US"/>
              </w:rPr>
            </w:pPr>
            <w:r w:rsidRPr="006D0895">
              <w:rPr>
                <w:rFonts w:ascii="Arial Narrow" w:hAnsi="Arial Narrow"/>
                <w:sz w:val="20"/>
                <w:lang w:val="en-US"/>
              </w:rPr>
              <w:t>Moderate/High,</w:t>
            </w:r>
            <w:r w:rsidRPr="006D0895">
              <w:rPr>
                <w:rFonts w:ascii="Arial Narrow" w:hAnsi="Arial Narrow"/>
                <w:sz w:val="20"/>
              </w:rPr>
              <w:t xml:space="preserve"> favours</w:t>
            </w:r>
            <w:r w:rsidRPr="006D0895">
              <w:rPr>
                <w:rFonts w:ascii="Arial Narrow" w:hAnsi="Arial Narrow"/>
                <w:sz w:val="20"/>
                <w:lang w:val="en-US"/>
              </w:rPr>
              <w:t xml:space="preserve"> nintedanib</w:t>
            </w:r>
          </w:p>
        </w:tc>
      </w:tr>
    </w:tbl>
    <w:p w:rsidR="00B11B68" w:rsidRPr="00D110BD" w:rsidRDefault="00B11B68" w:rsidP="00B11B68">
      <w:pPr>
        <w:pStyle w:val="TableFooter"/>
        <w:ind w:firstLine="720"/>
      </w:pPr>
      <w:r w:rsidRPr="00D110BD">
        <w:t>Source: compiled during the evaluation</w:t>
      </w:r>
    </w:p>
    <w:p w:rsidR="00B11B68" w:rsidRDefault="00B11B68" w:rsidP="006F49F8"/>
    <w:p w:rsidR="001F27B0" w:rsidRPr="006D0895" w:rsidRDefault="00B44306" w:rsidP="00321D09">
      <w:pPr>
        <w:pStyle w:val="ListParagraph"/>
        <w:widowControl/>
        <w:numPr>
          <w:ilvl w:val="1"/>
          <w:numId w:val="2"/>
        </w:numPr>
      </w:pPr>
      <w:r w:rsidRPr="0060206A">
        <w:t xml:space="preserve">The economic model </w:t>
      </w:r>
      <w:r w:rsidR="00051A67" w:rsidRPr="0060206A">
        <w:t xml:space="preserve">continued </w:t>
      </w:r>
      <w:r w:rsidRPr="0060206A">
        <w:t xml:space="preserve">to be based on a 10 year time horizon.  Although the re-submission presented epidemiological evidence reporting 20-30% survival for IPF patients at 10 years, the choice of time horizon </w:t>
      </w:r>
      <w:r w:rsidR="00051A67" w:rsidRPr="0060206A">
        <w:t xml:space="preserve">continued </w:t>
      </w:r>
      <w:r w:rsidRPr="0060206A">
        <w:t>to disregard the PBAC concerns regarding the uncertainty associated with the extrapolation of non-significant survival (paragraph 7.10</w:t>
      </w:r>
      <w:r w:rsidR="002B0902">
        <w:t xml:space="preserve">, Nintedanib for IPF PSD, </w:t>
      </w:r>
      <w:r w:rsidR="002B0902" w:rsidRPr="008D1343">
        <w:t>March 2015</w:t>
      </w:r>
      <w:r w:rsidRPr="0060206A">
        <w:t xml:space="preserve">).  </w:t>
      </w:r>
      <w:r w:rsidR="005871C9" w:rsidRPr="0060206A">
        <w:t xml:space="preserve">From this perspective, it is unlikely that head to head trial evidence (unchanged in the re-submission) can </w:t>
      </w:r>
      <w:r w:rsidR="005871C9" w:rsidRPr="006D0895">
        <w:t xml:space="preserve">adequately support the modelling of health outcomes over the natural history of IPF.  </w:t>
      </w:r>
      <w:r w:rsidR="001F27B0" w:rsidRPr="006D0895">
        <w:t>The ESC considered that the key issue with this is not the time horizon but the extrapolation</w:t>
      </w:r>
      <w:r w:rsidR="002B0902" w:rsidRPr="006D0895">
        <w:t xml:space="preserve"> of a non-statistically significant treatment benefit beyond the trial period</w:t>
      </w:r>
      <w:r w:rsidR="001F27B0" w:rsidRPr="006D0895">
        <w:t xml:space="preserve"> (</w:t>
      </w:r>
      <w:r w:rsidR="002B0902" w:rsidRPr="006D0895">
        <w:t xml:space="preserve">see </w:t>
      </w:r>
      <w:r w:rsidR="001F27B0" w:rsidRPr="006D0895">
        <w:t xml:space="preserve">table below, which </w:t>
      </w:r>
      <w:r w:rsidR="00DD68D3" w:rsidRPr="006D0895">
        <w:t>provides more detail of</w:t>
      </w:r>
      <w:r w:rsidR="001F27B0" w:rsidRPr="006D0895">
        <w:t xml:space="preserve"> how the model has been adjusted from the previous submission)</w:t>
      </w:r>
      <w:r w:rsidR="002B0902" w:rsidRPr="006D0895">
        <w:t>.</w:t>
      </w:r>
    </w:p>
    <w:p w:rsidR="00D21C5A" w:rsidRPr="00217DD8" w:rsidRDefault="00D21C5A">
      <w:pPr>
        <w:widowControl/>
        <w:jc w:val="left"/>
      </w:pPr>
    </w:p>
    <w:p w:rsidR="00B44306" w:rsidRPr="00217DD8" w:rsidRDefault="001F27B0" w:rsidP="00133C26">
      <w:pPr>
        <w:widowControl/>
        <w:ind w:left="709"/>
        <w:jc w:val="left"/>
        <w:rPr>
          <w:rFonts w:ascii="Arial Narrow" w:hAnsi="Arial Narrow"/>
          <w:sz w:val="20"/>
        </w:rPr>
      </w:pPr>
      <w:r w:rsidRPr="0037381D">
        <w:rPr>
          <w:rStyle w:val="CommentReference"/>
        </w:rPr>
        <w:t xml:space="preserve">Table </w:t>
      </w:r>
      <w:r w:rsidR="003C1B56" w:rsidRPr="0037381D">
        <w:rPr>
          <w:rStyle w:val="CommentReference"/>
        </w:rPr>
        <w:t>1</w:t>
      </w:r>
      <w:r w:rsidR="00CB498B" w:rsidRPr="0037381D">
        <w:rPr>
          <w:rStyle w:val="CommentReference"/>
        </w:rPr>
        <w:t>0</w:t>
      </w:r>
      <w:r w:rsidRPr="0037381D">
        <w:rPr>
          <w:rStyle w:val="CommentReference"/>
        </w:rPr>
        <w:t>: Summary of results of pre-modelling studies and their uses in the economic evaluation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Caption w:val="Table 10: Summary of results of pre-modelling studies and their uses in the economic evaluation"/>
      </w:tblPr>
      <w:tblGrid>
        <w:gridCol w:w="1275"/>
        <w:gridCol w:w="1701"/>
        <w:gridCol w:w="5369"/>
      </w:tblGrid>
      <w:tr w:rsidR="001F27B0" w:rsidRPr="0037381D" w:rsidTr="00133C26">
        <w:trPr>
          <w:tblHeader/>
        </w:trPr>
        <w:tc>
          <w:tcPr>
            <w:tcW w:w="764" w:type="pct"/>
          </w:tcPr>
          <w:p w:rsidR="001F27B0" w:rsidRPr="0037381D" w:rsidRDefault="001F27B0" w:rsidP="008A3164">
            <w:pPr>
              <w:keepNext/>
              <w:jc w:val="left"/>
              <w:outlineLvl w:val="4"/>
              <w:rPr>
                <w:rFonts w:ascii="Arial Narrow" w:hAnsi="Arial Narrow" w:cs="Times New Roman"/>
                <w:b/>
                <w:sz w:val="20"/>
              </w:rPr>
            </w:pPr>
            <w:r w:rsidRPr="0037381D">
              <w:rPr>
                <w:rFonts w:ascii="Arial Narrow" w:hAnsi="Arial Narrow" w:cs="Times New Roman"/>
                <w:b/>
                <w:sz w:val="20"/>
              </w:rPr>
              <w:t>Pre-modelling study</w:t>
            </w:r>
          </w:p>
        </w:tc>
        <w:tc>
          <w:tcPr>
            <w:tcW w:w="1019" w:type="pct"/>
            <w:vAlign w:val="center"/>
          </w:tcPr>
          <w:p w:rsidR="001F27B0" w:rsidRPr="0037381D" w:rsidRDefault="001F27B0" w:rsidP="008A3164">
            <w:pPr>
              <w:keepNext/>
              <w:jc w:val="center"/>
              <w:outlineLvl w:val="5"/>
              <w:rPr>
                <w:rFonts w:ascii="Arial Narrow" w:hAnsi="Arial Narrow" w:cs="Times New Roman"/>
                <w:b/>
                <w:sz w:val="20"/>
              </w:rPr>
            </w:pPr>
            <w:r w:rsidRPr="0037381D">
              <w:rPr>
                <w:rFonts w:ascii="Arial Narrow" w:hAnsi="Arial Narrow" w:cs="Times New Roman"/>
                <w:b/>
                <w:sz w:val="20"/>
              </w:rPr>
              <w:t>Results</w:t>
            </w:r>
          </w:p>
        </w:tc>
        <w:tc>
          <w:tcPr>
            <w:tcW w:w="3217" w:type="pct"/>
            <w:vAlign w:val="center"/>
          </w:tcPr>
          <w:p w:rsidR="001F27B0" w:rsidRPr="0037381D" w:rsidRDefault="001F27B0" w:rsidP="008A3164">
            <w:pPr>
              <w:keepNext/>
              <w:jc w:val="center"/>
              <w:outlineLvl w:val="5"/>
              <w:rPr>
                <w:rFonts w:ascii="Arial Narrow" w:hAnsi="Arial Narrow" w:cs="Times New Roman"/>
                <w:b/>
                <w:sz w:val="20"/>
              </w:rPr>
            </w:pPr>
            <w:r w:rsidRPr="0037381D">
              <w:rPr>
                <w:rFonts w:ascii="Arial Narrow" w:hAnsi="Arial Narrow" w:cs="Times New Roman"/>
                <w:b/>
                <w:sz w:val="20"/>
              </w:rPr>
              <w:t>Use in Section D/Comment</w:t>
            </w:r>
          </w:p>
        </w:tc>
      </w:tr>
      <w:tr w:rsidR="001F27B0" w:rsidRPr="0037381D" w:rsidTr="00133C26">
        <w:tc>
          <w:tcPr>
            <w:tcW w:w="5000" w:type="pct"/>
            <w:gridSpan w:val="3"/>
          </w:tcPr>
          <w:p w:rsidR="001F27B0" w:rsidRPr="0037381D" w:rsidRDefault="001F27B0" w:rsidP="008A3164">
            <w:pPr>
              <w:jc w:val="left"/>
              <w:rPr>
                <w:rFonts w:ascii="Arial Narrow" w:hAnsi="Arial Narrow" w:cs="Times New Roman"/>
                <w:sz w:val="20"/>
              </w:rPr>
            </w:pPr>
            <w:r w:rsidRPr="0037381D">
              <w:rPr>
                <w:rFonts w:ascii="Arial Narrow" w:hAnsi="Arial Narrow" w:cs="Times New Roman"/>
                <w:sz w:val="20"/>
              </w:rPr>
              <w:t>Extrapolation pre-modelling studies</w:t>
            </w:r>
          </w:p>
        </w:tc>
      </w:tr>
      <w:tr w:rsidR="001F27B0" w:rsidRPr="0037381D" w:rsidTr="00133C26">
        <w:tc>
          <w:tcPr>
            <w:tcW w:w="764" w:type="pct"/>
          </w:tcPr>
          <w:p w:rsidR="001F27B0" w:rsidRPr="0037381D" w:rsidRDefault="001F27B0" w:rsidP="008A3164">
            <w:pPr>
              <w:jc w:val="left"/>
              <w:rPr>
                <w:rFonts w:ascii="Arial Narrow" w:hAnsi="Arial Narrow" w:cs="Times New Roman"/>
                <w:sz w:val="20"/>
              </w:rPr>
            </w:pPr>
            <w:r w:rsidRPr="0037381D">
              <w:rPr>
                <w:rFonts w:ascii="Arial Narrow" w:hAnsi="Arial Narrow" w:cs="Times New Roman"/>
                <w:sz w:val="20"/>
              </w:rPr>
              <w:t>Transition probabilities: survival</w:t>
            </w:r>
          </w:p>
        </w:tc>
        <w:tc>
          <w:tcPr>
            <w:tcW w:w="1019" w:type="pct"/>
          </w:tcPr>
          <w:p w:rsidR="001F27B0" w:rsidRPr="0037381D" w:rsidRDefault="001F27B0" w:rsidP="00217DD8">
            <w:pPr>
              <w:jc w:val="left"/>
              <w:rPr>
                <w:rFonts w:ascii="Arial Narrow" w:hAnsi="Arial Narrow" w:cs="Times New Roman"/>
                <w:sz w:val="20"/>
              </w:rPr>
            </w:pPr>
            <w:r w:rsidRPr="0037381D">
              <w:rPr>
                <w:rFonts w:ascii="Arial Narrow" w:hAnsi="Arial Narrow" w:cs="Times New Roman"/>
                <w:sz w:val="20"/>
              </w:rPr>
              <w:t xml:space="preserve">Kaplan </w:t>
            </w:r>
            <w:r w:rsidR="00217DD8">
              <w:rPr>
                <w:rFonts w:ascii="Arial Narrow" w:hAnsi="Arial Narrow" w:cs="Times New Roman"/>
                <w:sz w:val="20"/>
              </w:rPr>
              <w:t>M</w:t>
            </w:r>
            <w:r w:rsidRPr="0037381D">
              <w:rPr>
                <w:rFonts w:ascii="Arial Narrow" w:hAnsi="Arial Narrow" w:cs="Times New Roman"/>
                <w:sz w:val="20"/>
              </w:rPr>
              <w:t>eier estimates applied to 21 months, followed by mortality risk from the Weibull extrapolation over 10 years.</w:t>
            </w:r>
          </w:p>
        </w:tc>
        <w:tc>
          <w:tcPr>
            <w:tcW w:w="3217" w:type="pct"/>
          </w:tcPr>
          <w:p w:rsidR="001F27B0" w:rsidRPr="0037381D" w:rsidRDefault="001F27B0" w:rsidP="008A3164">
            <w:pPr>
              <w:jc w:val="left"/>
              <w:rPr>
                <w:rFonts w:ascii="Arial Narrow" w:hAnsi="Arial Narrow" w:cs="Times New Roman"/>
                <w:sz w:val="20"/>
              </w:rPr>
            </w:pPr>
            <w:r w:rsidRPr="0037381D">
              <w:rPr>
                <w:rFonts w:ascii="Arial Narrow" w:hAnsi="Arial Narrow" w:cs="Times New Roman"/>
                <w:sz w:val="20"/>
              </w:rPr>
              <w:t xml:space="preserve">The PBAC considered that a revised model should use the more conservative methodology of survival recommended in the evaluation (March 2015, paragraph 7.12).  This involved the application of the Kaplan Meier estimate of survival to month 21, followed by the adjustment of the nintedanib survival curve for the gradient of BSC.  Consequently, the re-submission has only partially adopted this advice with mortality risk from the Weibull extrapolations applied to 10 years following the trial based period.    Given the unreliability of the Weibull extrapolations (based on non-statistically significant differences in survival), it is unlikely that long term survival can be adequately estimated by the economic model.  </w:t>
            </w:r>
          </w:p>
        </w:tc>
      </w:tr>
      <w:tr w:rsidR="001F27B0" w:rsidRPr="0037381D" w:rsidTr="00133C26">
        <w:tc>
          <w:tcPr>
            <w:tcW w:w="764" w:type="pct"/>
          </w:tcPr>
          <w:p w:rsidR="001F27B0" w:rsidRPr="0037381D" w:rsidRDefault="001F27B0" w:rsidP="008A3164">
            <w:pPr>
              <w:jc w:val="left"/>
              <w:rPr>
                <w:rFonts w:ascii="Arial Narrow" w:hAnsi="Arial Narrow" w:cs="Times New Roman"/>
                <w:sz w:val="20"/>
              </w:rPr>
            </w:pPr>
            <w:r w:rsidRPr="0037381D">
              <w:rPr>
                <w:rFonts w:ascii="Arial Narrow" w:hAnsi="Arial Narrow" w:cs="Times New Roman"/>
                <w:sz w:val="20"/>
              </w:rPr>
              <w:t>Transition probabilities: exacerbations</w:t>
            </w:r>
          </w:p>
        </w:tc>
        <w:tc>
          <w:tcPr>
            <w:tcW w:w="1019" w:type="pct"/>
          </w:tcPr>
          <w:p w:rsidR="001F27B0" w:rsidRPr="0037381D" w:rsidRDefault="001F27B0" w:rsidP="008A3164">
            <w:pPr>
              <w:jc w:val="left"/>
              <w:rPr>
                <w:rFonts w:ascii="Arial Narrow" w:hAnsi="Arial Narrow" w:cs="Times New Roman"/>
                <w:sz w:val="20"/>
              </w:rPr>
            </w:pPr>
            <w:r w:rsidRPr="0037381D">
              <w:rPr>
                <w:rFonts w:ascii="Arial Narrow" w:hAnsi="Arial Narrow" w:cs="Times New Roman"/>
                <w:sz w:val="20"/>
              </w:rPr>
              <w:t>Exponential model: risk of adjudicator defined acute IPF exacerbation.</w:t>
            </w:r>
          </w:p>
        </w:tc>
        <w:tc>
          <w:tcPr>
            <w:tcW w:w="3217" w:type="pct"/>
          </w:tcPr>
          <w:p w:rsidR="001F27B0" w:rsidRPr="0037381D" w:rsidRDefault="001F27B0" w:rsidP="008A3164">
            <w:pPr>
              <w:jc w:val="left"/>
              <w:rPr>
                <w:rFonts w:ascii="Arial Narrow" w:hAnsi="Arial Narrow" w:cs="Times New Roman"/>
                <w:sz w:val="20"/>
              </w:rPr>
            </w:pPr>
            <w:r w:rsidRPr="0037381D">
              <w:rPr>
                <w:rFonts w:ascii="Arial Narrow" w:hAnsi="Arial Narrow" w:cs="Times New Roman"/>
                <w:sz w:val="20"/>
              </w:rPr>
              <w:t>P (adjudicator defined exacerbation): Ni</w:t>
            </w:r>
            <w:r w:rsidR="00217DD8">
              <w:rPr>
                <w:rFonts w:ascii="Arial Narrow" w:hAnsi="Arial Narrow" w:cs="Times New Roman"/>
                <w:sz w:val="20"/>
              </w:rPr>
              <w:t>ntedanib = 0.005; BSC = 0.013.</w:t>
            </w:r>
          </w:p>
          <w:p w:rsidR="001F27B0" w:rsidRPr="0037381D" w:rsidRDefault="001F27B0" w:rsidP="008A3164">
            <w:pPr>
              <w:jc w:val="left"/>
              <w:rPr>
                <w:rFonts w:ascii="Arial Narrow" w:hAnsi="Arial Narrow" w:cs="Times New Roman"/>
                <w:sz w:val="20"/>
              </w:rPr>
            </w:pPr>
          </w:p>
          <w:p w:rsidR="001F27B0" w:rsidRPr="0037381D" w:rsidRDefault="001F27B0" w:rsidP="008A3164">
            <w:pPr>
              <w:jc w:val="left"/>
              <w:rPr>
                <w:rFonts w:ascii="Arial Narrow" w:hAnsi="Arial Narrow" w:cs="Times New Roman"/>
                <w:sz w:val="20"/>
              </w:rPr>
            </w:pPr>
            <w:r w:rsidRPr="0037381D">
              <w:rPr>
                <w:rFonts w:ascii="Arial Narrow" w:hAnsi="Arial Narrow" w:cs="Times New Roman"/>
                <w:sz w:val="20"/>
              </w:rPr>
              <w:t>The re-submission applies adjudicator defined exacerbations as opposed to the investigator defined exacerbations used in the March 2015 model.  This is appropriate, given the reduced risk of bias associated with adju</w:t>
            </w:r>
            <w:r w:rsidR="00217DD8">
              <w:rPr>
                <w:rFonts w:ascii="Arial Narrow" w:hAnsi="Arial Narrow" w:cs="Times New Roman"/>
                <w:sz w:val="20"/>
              </w:rPr>
              <w:t>dicator defined exacerbations.</w:t>
            </w:r>
          </w:p>
          <w:p w:rsidR="001F27B0" w:rsidRPr="0037381D" w:rsidRDefault="001F27B0" w:rsidP="008A3164">
            <w:pPr>
              <w:jc w:val="left"/>
              <w:rPr>
                <w:rFonts w:ascii="Arial Narrow" w:hAnsi="Arial Narrow" w:cs="Times New Roman"/>
                <w:sz w:val="20"/>
              </w:rPr>
            </w:pPr>
          </w:p>
          <w:p w:rsidR="001F27B0" w:rsidRPr="0037381D" w:rsidRDefault="001F27B0" w:rsidP="008A3164">
            <w:pPr>
              <w:jc w:val="left"/>
              <w:rPr>
                <w:rFonts w:ascii="Arial Narrow" w:hAnsi="Arial Narrow" w:cs="Times New Roman"/>
                <w:sz w:val="20"/>
              </w:rPr>
            </w:pPr>
            <w:r w:rsidRPr="0037381D">
              <w:rPr>
                <w:rFonts w:ascii="Arial Narrow" w:hAnsi="Arial Narrow" w:cs="Times New Roman"/>
                <w:sz w:val="20"/>
              </w:rPr>
              <w:t>In regard to the suitability of the exponential model, the re-submission has not entirely justified the assumption of constant hazards, with analysis of hazard ratios over time suggesting that risks associated with BSC increase over time.  Overall, the use of the exponential model compromises the model’s ability to adequately represe</w:t>
            </w:r>
            <w:r w:rsidR="00217DD8">
              <w:rPr>
                <w:rFonts w:ascii="Arial Narrow" w:hAnsi="Arial Narrow" w:cs="Times New Roman"/>
                <w:sz w:val="20"/>
              </w:rPr>
              <w:t>nt the clinical course of IPF.</w:t>
            </w:r>
          </w:p>
        </w:tc>
      </w:tr>
      <w:tr w:rsidR="001F27B0" w:rsidRPr="0037381D" w:rsidTr="00133C26">
        <w:tc>
          <w:tcPr>
            <w:tcW w:w="5000" w:type="pct"/>
            <w:gridSpan w:val="3"/>
          </w:tcPr>
          <w:p w:rsidR="001F27B0" w:rsidRPr="0037381D" w:rsidRDefault="001F27B0" w:rsidP="008A3164">
            <w:pPr>
              <w:jc w:val="left"/>
              <w:rPr>
                <w:rFonts w:ascii="Arial Narrow" w:hAnsi="Arial Narrow" w:cs="Times New Roman"/>
                <w:sz w:val="20"/>
              </w:rPr>
            </w:pPr>
            <w:r w:rsidRPr="0037381D">
              <w:rPr>
                <w:rFonts w:ascii="Arial Narrow" w:hAnsi="Arial Narrow" w:cs="Times New Roman"/>
                <w:sz w:val="20"/>
              </w:rPr>
              <w:t>Transformation pre-modelling studies</w:t>
            </w:r>
          </w:p>
        </w:tc>
      </w:tr>
      <w:tr w:rsidR="001F27B0" w:rsidRPr="0037381D" w:rsidTr="00133C26">
        <w:tc>
          <w:tcPr>
            <w:tcW w:w="764" w:type="pct"/>
          </w:tcPr>
          <w:p w:rsidR="001F27B0" w:rsidRPr="0037381D" w:rsidRDefault="001F27B0" w:rsidP="008A3164">
            <w:pPr>
              <w:jc w:val="left"/>
              <w:rPr>
                <w:rFonts w:ascii="Arial Narrow" w:hAnsi="Arial Narrow" w:cs="Times New Roman"/>
                <w:sz w:val="20"/>
              </w:rPr>
            </w:pPr>
            <w:r w:rsidRPr="0037381D">
              <w:rPr>
                <w:rFonts w:ascii="Arial Narrow" w:hAnsi="Arial Narrow" w:cs="Times New Roman"/>
                <w:sz w:val="20"/>
              </w:rPr>
              <w:t>Transition probabilities: FVC%Pred</w:t>
            </w:r>
          </w:p>
        </w:tc>
        <w:tc>
          <w:tcPr>
            <w:tcW w:w="1019" w:type="pct"/>
          </w:tcPr>
          <w:p w:rsidR="001F27B0" w:rsidRPr="0037381D" w:rsidRDefault="001F27B0" w:rsidP="008A3164">
            <w:pPr>
              <w:jc w:val="left"/>
              <w:rPr>
                <w:rFonts w:ascii="Arial Narrow" w:hAnsi="Arial Narrow" w:cs="Times New Roman"/>
                <w:sz w:val="20"/>
              </w:rPr>
            </w:pPr>
            <w:r w:rsidRPr="0037381D">
              <w:rPr>
                <w:rFonts w:ascii="Arial Narrow" w:hAnsi="Arial Narrow" w:cs="Times New Roman"/>
                <w:sz w:val="20"/>
              </w:rPr>
              <w:t>Logistic function: probability for progressing to a worse FVC%Pred health state.</w:t>
            </w:r>
          </w:p>
        </w:tc>
        <w:tc>
          <w:tcPr>
            <w:tcW w:w="3217" w:type="pct"/>
          </w:tcPr>
          <w:p w:rsidR="001F27B0" w:rsidRPr="0037381D" w:rsidRDefault="001F27B0" w:rsidP="008A3164">
            <w:pPr>
              <w:jc w:val="left"/>
              <w:rPr>
                <w:rFonts w:ascii="Arial Narrow" w:hAnsi="Arial Narrow" w:cs="Times New Roman"/>
                <w:sz w:val="20"/>
              </w:rPr>
            </w:pPr>
            <w:r w:rsidRPr="0037381D">
              <w:rPr>
                <w:rFonts w:ascii="Arial Narrow" w:hAnsi="Arial Narrow" w:cs="Times New Roman"/>
                <w:sz w:val="20"/>
              </w:rPr>
              <w:t>Transition probabilities are unchanged in the re-submission (refer to Table C.5-2, pp191 of the re-submission).  Additional analyses conducted by the re-submission indicated that there was no statistical significance for time when included as a covariate for the logistic model.  Consequently, there appears to be a reasonable basis for continued application of the transition probabilities for FVC%Pred as used in the March 2015 economic model.</w:t>
            </w:r>
          </w:p>
        </w:tc>
      </w:tr>
      <w:tr w:rsidR="001F27B0" w:rsidRPr="0037381D" w:rsidTr="00133C26">
        <w:tc>
          <w:tcPr>
            <w:tcW w:w="764" w:type="pct"/>
          </w:tcPr>
          <w:p w:rsidR="001F27B0" w:rsidRPr="0037381D" w:rsidRDefault="001F27B0" w:rsidP="008A3164">
            <w:pPr>
              <w:jc w:val="left"/>
              <w:rPr>
                <w:rFonts w:ascii="Arial Narrow" w:hAnsi="Arial Narrow" w:cs="Times New Roman"/>
                <w:sz w:val="20"/>
              </w:rPr>
            </w:pPr>
            <w:r w:rsidRPr="0037381D">
              <w:rPr>
                <w:rFonts w:ascii="Arial Narrow" w:hAnsi="Arial Narrow" w:cs="Times New Roman"/>
                <w:sz w:val="20"/>
              </w:rPr>
              <w:t>Estimation of utilities and disutilities</w:t>
            </w:r>
          </w:p>
        </w:tc>
        <w:tc>
          <w:tcPr>
            <w:tcW w:w="1019" w:type="pct"/>
          </w:tcPr>
          <w:p w:rsidR="001F27B0" w:rsidRPr="0037381D" w:rsidRDefault="001F27B0" w:rsidP="008A3164">
            <w:pPr>
              <w:jc w:val="left"/>
              <w:rPr>
                <w:rFonts w:ascii="Arial Narrow" w:hAnsi="Arial Narrow" w:cs="Times New Roman"/>
                <w:sz w:val="20"/>
              </w:rPr>
            </w:pPr>
            <w:r w:rsidRPr="0037381D">
              <w:rPr>
                <w:rFonts w:ascii="Arial Narrow" w:hAnsi="Arial Narrow" w:cs="Times New Roman"/>
                <w:sz w:val="20"/>
              </w:rPr>
              <w:t>Trial based EQ-5D utilities (FVC%Pred health state) and disutilities (acute IPF exacerbation, adverse events)</w:t>
            </w:r>
          </w:p>
        </w:tc>
        <w:tc>
          <w:tcPr>
            <w:tcW w:w="3217" w:type="pct"/>
          </w:tcPr>
          <w:p w:rsidR="001F27B0" w:rsidRPr="0037381D" w:rsidRDefault="001F27B0" w:rsidP="008A3164">
            <w:pPr>
              <w:jc w:val="left"/>
              <w:rPr>
                <w:rFonts w:ascii="Arial Narrow" w:hAnsi="Arial Narrow" w:cs="Times New Roman"/>
                <w:sz w:val="20"/>
              </w:rPr>
            </w:pPr>
            <w:r w:rsidRPr="0037381D">
              <w:rPr>
                <w:rFonts w:ascii="Arial Narrow" w:hAnsi="Arial Narrow" w:cs="Times New Roman"/>
                <w:sz w:val="20"/>
              </w:rPr>
              <w:t>Trial based utilities for FVC%Pred health states continue to be applied in the economic model.  In response to the PBAC’s conclusion that disutilities are exacerbations and adverse events resulted in some double counting of utilities from the FVC%Pred health states (March 2015, paragraph 7.10), the re-submission claims (p221) that disutilities have been removed from the economic model.  A review of the economic model indicated that only disutilities for adverse events were excluded (refer to Section C.2).</w:t>
            </w:r>
          </w:p>
        </w:tc>
      </w:tr>
    </w:tbl>
    <w:p w:rsidR="00B44306" w:rsidRPr="0037381D" w:rsidRDefault="002B0902" w:rsidP="00133C26">
      <w:pPr>
        <w:pStyle w:val="ListParagraph"/>
        <w:widowControl/>
        <w:ind w:left="709"/>
        <w:rPr>
          <w:rFonts w:ascii="Arial Narrow" w:hAnsi="Arial Narrow"/>
          <w:sz w:val="20"/>
        </w:rPr>
      </w:pPr>
      <w:r w:rsidRPr="0037381D">
        <w:rPr>
          <w:rFonts w:ascii="Arial Narrow" w:hAnsi="Arial Narrow"/>
          <w:sz w:val="20"/>
        </w:rPr>
        <w:t>Source: Table C.3.1 from the Commentary</w:t>
      </w:r>
    </w:p>
    <w:p w:rsidR="001F27B0" w:rsidRPr="00217DD8" w:rsidRDefault="001F27B0" w:rsidP="00217DD8">
      <w:pPr>
        <w:widowControl/>
        <w:rPr>
          <w:szCs w:val="22"/>
        </w:rPr>
      </w:pPr>
    </w:p>
    <w:p w:rsidR="00B60939" w:rsidRPr="008F1EC2" w:rsidRDefault="008F1EC2" w:rsidP="00321D09">
      <w:pPr>
        <w:pStyle w:val="ListParagraph"/>
        <w:widowControl/>
        <w:numPr>
          <w:ilvl w:val="1"/>
          <w:numId w:val="2"/>
        </w:numPr>
        <w:rPr>
          <w:szCs w:val="22"/>
        </w:rPr>
      </w:pPr>
      <w:r>
        <w:t xml:space="preserve">The table below summarises the </w:t>
      </w:r>
      <w:r w:rsidR="00A9726C">
        <w:t xml:space="preserve">revisions </w:t>
      </w:r>
      <w:r>
        <w:t xml:space="preserve">to parameters </w:t>
      </w:r>
      <w:r w:rsidR="00B11B68">
        <w:t>in</w:t>
      </w:r>
      <w:r>
        <w:t xml:space="preserve"> the economic model applied in the re-submission</w:t>
      </w:r>
      <w:r w:rsidR="00217DD8">
        <w:t>.</w:t>
      </w:r>
    </w:p>
    <w:p w:rsidR="008F1EC2" w:rsidRDefault="008F1EC2" w:rsidP="008F1EC2">
      <w:pPr>
        <w:widowControl/>
      </w:pPr>
    </w:p>
    <w:p w:rsidR="006F49F8" w:rsidRDefault="006F49F8" w:rsidP="006F49F8">
      <w:pPr>
        <w:ind w:firstLine="720"/>
        <w:rPr>
          <w:rStyle w:val="CommentReference"/>
        </w:rPr>
      </w:pPr>
      <w:r>
        <w:rPr>
          <w:rStyle w:val="CommentReference"/>
        </w:rPr>
        <w:t xml:space="preserve">Table </w:t>
      </w:r>
      <w:r w:rsidR="003C1B56">
        <w:rPr>
          <w:rStyle w:val="CommentReference"/>
        </w:rPr>
        <w:t>1</w:t>
      </w:r>
      <w:r w:rsidR="00CB498B">
        <w:rPr>
          <w:rStyle w:val="CommentReference"/>
        </w:rPr>
        <w:t>1</w:t>
      </w:r>
      <w:r>
        <w:rPr>
          <w:rStyle w:val="CommentReference"/>
        </w:rPr>
        <w:t xml:space="preserve">: Summary of revisions to </w:t>
      </w:r>
      <w:r w:rsidR="00E72709">
        <w:rPr>
          <w:rStyle w:val="CommentReference"/>
        </w:rPr>
        <w:t xml:space="preserve">parameters in </w:t>
      </w:r>
      <w:r>
        <w:rPr>
          <w:rStyle w:val="CommentReference"/>
        </w:rPr>
        <w:t>the economic model</w:t>
      </w:r>
      <w:r w:rsidR="00E72709">
        <w:rPr>
          <w:rStyle w:val="CommentReference"/>
        </w:rPr>
        <w:t xml:space="preserve"> presented in the re-submission</w:t>
      </w:r>
    </w:p>
    <w:tbl>
      <w:tblPr>
        <w:tblStyle w:val="TableGrid"/>
        <w:tblW w:w="0" w:type="auto"/>
        <w:tblInd w:w="737" w:type="dxa"/>
        <w:tblCellMar>
          <w:left w:w="28" w:type="dxa"/>
          <w:right w:w="28" w:type="dxa"/>
        </w:tblCellMar>
        <w:tblLook w:val="04A0" w:firstRow="1" w:lastRow="0" w:firstColumn="1" w:lastColumn="0" w:noHBand="0" w:noVBand="1"/>
        <w:tblCaption w:val="Table 11: Summary of revisions to parameters in the economic model presented in the re-submission"/>
      </w:tblPr>
      <w:tblGrid>
        <w:gridCol w:w="992"/>
        <w:gridCol w:w="1134"/>
        <w:gridCol w:w="2835"/>
        <w:gridCol w:w="3385"/>
      </w:tblGrid>
      <w:tr w:rsidR="006F49F8" w:rsidRPr="00825F48" w:rsidTr="00676FBF">
        <w:trPr>
          <w:tblHeader/>
        </w:trPr>
        <w:tc>
          <w:tcPr>
            <w:tcW w:w="2126" w:type="dxa"/>
            <w:gridSpan w:val="2"/>
            <w:vAlign w:val="center"/>
          </w:tcPr>
          <w:p w:rsidR="006F49F8" w:rsidRPr="00825F48" w:rsidRDefault="006F49F8" w:rsidP="0082480A">
            <w:pPr>
              <w:jc w:val="left"/>
              <w:rPr>
                <w:rStyle w:val="CommentReference"/>
                <w:b w:val="0"/>
              </w:rPr>
            </w:pPr>
          </w:p>
        </w:tc>
        <w:tc>
          <w:tcPr>
            <w:tcW w:w="2835" w:type="dxa"/>
            <w:vAlign w:val="center"/>
          </w:tcPr>
          <w:p w:rsidR="006F49F8" w:rsidRPr="00825F48" w:rsidRDefault="006F49F8" w:rsidP="0082480A">
            <w:pPr>
              <w:jc w:val="center"/>
              <w:rPr>
                <w:rStyle w:val="CommentReference"/>
              </w:rPr>
            </w:pPr>
            <w:r w:rsidRPr="00825F48">
              <w:rPr>
                <w:rStyle w:val="CommentReference"/>
              </w:rPr>
              <w:t>March 2015 submission</w:t>
            </w:r>
          </w:p>
        </w:tc>
        <w:tc>
          <w:tcPr>
            <w:tcW w:w="3385" w:type="dxa"/>
            <w:vAlign w:val="center"/>
          </w:tcPr>
          <w:p w:rsidR="006F49F8" w:rsidRPr="00825F48" w:rsidRDefault="006F49F8" w:rsidP="0082480A">
            <w:pPr>
              <w:jc w:val="center"/>
              <w:rPr>
                <w:rStyle w:val="CommentReference"/>
              </w:rPr>
            </w:pPr>
            <w:r>
              <w:rPr>
                <w:rStyle w:val="CommentReference"/>
              </w:rPr>
              <w:t>November 2015 r</w:t>
            </w:r>
            <w:r w:rsidRPr="00825F48">
              <w:rPr>
                <w:rStyle w:val="CommentReference"/>
              </w:rPr>
              <w:t>e-submission</w:t>
            </w:r>
          </w:p>
        </w:tc>
      </w:tr>
      <w:tr w:rsidR="006F49F8" w:rsidRPr="00825F48" w:rsidTr="006F49F8">
        <w:tc>
          <w:tcPr>
            <w:tcW w:w="992" w:type="dxa"/>
            <w:vMerge w:val="restart"/>
            <w:vAlign w:val="center"/>
          </w:tcPr>
          <w:p w:rsidR="006F49F8" w:rsidRPr="00825F48" w:rsidRDefault="006F49F8" w:rsidP="006F49F8">
            <w:pPr>
              <w:jc w:val="left"/>
              <w:rPr>
                <w:rStyle w:val="CommentReference"/>
                <w:b w:val="0"/>
              </w:rPr>
            </w:pPr>
            <w:r>
              <w:rPr>
                <w:rStyle w:val="CommentReference"/>
                <w:b w:val="0"/>
              </w:rPr>
              <w:t>Transition probabilities</w:t>
            </w:r>
          </w:p>
        </w:tc>
        <w:tc>
          <w:tcPr>
            <w:tcW w:w="1134" w:type="dxa"/>
            <w:vAlign w:val="center"/>
          </w:tcPr>
          <w:p w:rsidR="006F49F8" w:rsidRPr="00825F48" w:rsidRDefault="006F49F8" w:rsidP="006F49F8">
            <w:pPr>
              <w:jc w:val="left"/>
              <w:rPr>
                <w:rStyle w:val="CommentReference"/>
                <w:b w:val="0"/>
              </w:rPr>
            </w:pPr>
            <w:r>
              <w:rPr>
                <w:rStyle w:val="CommentReference"/>
                <w:b w:val="0"/>
              </w:rPr>
              <w:t>Death</w:t>
            </w:r>
          </w:p>
        </w:tc>
        <w:tc>
          <w:tcPr>
            <w:tcW w:w="2835" w:type="dxa"/>
            <w:vAlign w:val="center"/>
          </w:tcPr>
          <w:p w:rsidR="006F49F8" w:rsidRPr="00825F48" w:rsidRDefault="006F49F8" w:rsidP="006F49F8">
            <w:pPr>
              <w:jc w:val="center"/>
              <w:rPr>
                <w:rStyle w:val="CommentReference"/>
                <w:b w:val="0"/>
              </w:rPr>
            </w:pPr>
            <w:r>
              <w:rPr>
                <w:rStyle w:val="CommentReference"/>
                <w:b w:val="0"/>
              </w:rPr>
              <w:t>Weibull parametric extrapolation</w:t>
            </w:r>
          </w:p>
        </w:tc>
        <w:tc>
          <w:tcPr>
            <w:tcW w:w="3385" w:type="dxa"/>
            <w:vAlign w:val="center"/>
          </w:tcPr>
          <w:p w:rsidR="006F49F8" w:rsidRPr="00825F48" w:rsidRDefault="006F49F8" w:rsidP="006F49F8">
            <w:pPr>
              <w:jc w:val="center"/>
              <w:rPr>
                <w:rStyle w:val="CommentReference"/>
                <w:b w:val="0"/>
              </w:rPr>
            </w:pPr>
            <w:r>
              <w:rPr>
                <w:rStyle w:val="CommentReference"/>
                <w:b w:val="0"/>
              </w:rPr>
              <w:t>Kaplan-Meier estimate: month 0-21; then mortality risk-Weibull extrapolation to Year 10</w:t>
            </w:r>
          </w:p>
        </w:tc>
      </w:tr>
      <w:tr w:rsidR="006F49F8" w:rsidRPr="00825F48" w:rsidTr="006F49F8">
        <w:tc>
          <w:tcPr>
            <w:tcW w:w="992" w:type="dxa"/>
            <w:vMerge/>
            <w:vAlign w:val="center"/>
          </w:tcPr>
          <w:p w:rsidR="006F49F8" w:rsidRPr="00825F48" w:rsidRDefault="006F49F8" w:rsidP="006F49F8">
            <w:pPr>
              <w:jc w:val="left"/>
              <w:rPr>
                <w:rStyle w:val="CommentReference"/>
                <w:b w:val="0"/>
              </w:rPr>
            </w:pPr>
          </w:p>
        </w:tc>
        <w:tc>
          <w:tcPr>
            <w:tcW w:w="1134" w:type="dxa"/>
            <w:vAlign w:val="center"/>
          </w:tcPr>
          <w:p w:rsidR="006F49F8" w:rsidRPr="00825F48" w:rsidRDefault="006F49F8" w:rsidP="006F49F8">
            <w:pPr>
              <w:jc w:val="left"/>
              <w:rPr>
                <w:rStyle w:val="CommentReference"/>
                <w:b w:val="0"/>
              </w:rPr>
            </w:pPr>
            <w:r>
              <w:rPr>
                <w:rStyle w:val="CommentReference"/>
                <w:b w:val="0"/>
              </w:rPr>
              <w:t>Acute IPF exacerbation</w:t>
            </w:r>
          </w:p>
        </w:tc>
        <w:tc>
          <w:tcPr>
            <w:tcW w:w="2835" w:type="dxa"/>
            <w:vAlign w:val="center"/>
          </w:tcPr>
          <w:p w:rsidR="006F49F8" w:rsidRDefault="006F49F8" w:rsidP="006F49F8">
            <w:pPr>
              <w:jc w:val="center"/>
              <w:rPr>
                <w:rStyle w:val="CommentReference"/>
                <w:b w:val="0"/>
              </w:rPr>
            </w:pPr>
            <w:r>
              <w:rPr>
                <w:rStyle w:val="CommentReference"/>
                <w:b w:val="0"/>
              </w:rPr>
              <w:t xml:space="preserve">Investigator defined exacerbation </w:t>
            </w:r>
          </w:p>
          <w:p w:rsidR="006F49F8" w:rsidRPr="00825F48" w:rsidRDefault="006F49F8" w:rsidP="006F49F8">
            <w:pPr>
              <w:jc w:val="center"/>
              <w:rPr>
                <w:rStyle w:val="CommentReference"/>
                <w:b w:val="0"/>
              </w:rPr>
            </w:pPr>
            <w:r>
              <w:rPr>
                <w:rStyle w:val="CommentReference"/>
                <w:b w:val="0"/>
              </w:rPr>
              <w:t>Trial 32 &amp; 34: exponential model</w:t>
            </w:r>
          </w:p>
        </w:tc>
        <w:tc>
          <w:tcPr>
            <w:tcW w:w="3385" w:type="dxa"/>
            <w:vAlign w:val="center"/>
          </w:tcPr>
          <w:p w:rsidR="006F49F8" w:rsidRDefault="006F49F8" w:rsidP="006F49F8">
            <w:pPr>
              <w:jc w:val="center"/>
              <w:rPr>
                <w:rStyle w:val="CommentReference"/>
                <w:b w:val="0"/>
              </w:rPr>
            </w:pPr>
            <w:r>
              <w:rPr>
                <w:rStyle w:val="CommentReference"/>
                <w:b w:val="0"/>
              </w:rPr>
              <w:t>Adjudicator defined exacerbation</w:t>
            </w:r>
          </w:p>
          <w:p w:rsidR="006F49F8" w:rsidRPr="00825F48" w:rsidRDefault="006F49F8" w:rsidP="006F49F8">
            <w:pPr>
              <w:jc w:val="center"/>
              <w:rPr>
                <w:rStyle w:val="CommentReference"/>
                <w:b w:val="0"/>
              </w:rPr>
            </w:pPr>
            <w:r>
              <w:rPr>
                <w:rStyle w:val="CommentReference"/>
                <w:b w:val="0"/>
              </w:rPr>
              <w:t>Trial 32 &amp; 34: exponential model</w:t>
            </w:r>
          </w:p>
        </w:tc>
      </w:tr>
      <w:tr w:rsidR="006F49F8" w:rsidRPr="00825F48" w:rsidTr="006F49F8">
        <w:tc>
          <w:tcPr>
            <w:tcW w:w="992" w:type="dxa"/>
            <w:vMerge w:val="restart"/>
            <w:vAlign w:val="center"/>
          </w:tcPr>
          <w:p w:rsidR="006F49F8" w:rsidRDefault="006F49F8" w:rsidP="006F49F8">
            <w:pPr>
              <w:jc w:val="left"/>
              <w:rPr>
                <w:rStyle w:val="CommentReference"/>
                <w:b w:val="0"/>
              </w:rPr>
            </w:pPr>
            <w:r>
              <w:rPr>
                <w:rStyle w:val="CommentReference"/>
                <w:b w:val="0"/>
              </w:rPr>
              <w:t>Disutilities</w:t>
            </w:r>
          </w:p>
        </w:tc>
        <w:tc>
          <w:tcPr>
            <w:tcW w:w="1134" w:type="dxa"/>
            <w:vAlign w:val="center"/>
          </w:tcPr>
          <w:p w:rsidR="006F49F8" w:rsidRDefault="006F49F8" w:rsidP="006F49F8">
            <w:pPr>
              <w:jc w:val="left"/>
              <w:rPr>
                <w:rStyle w:val="CommentReference"/>
                <w:b w:val="0"/>
              </w:rPr>
            </w:pPr>
            <w:r>
              <w:rPr>
                <w:rStyle w:val="CommentReference"/>
                <w:b w:val="0"/>
              </w:rPr>
              <w:t>Acute IPF exacerbation</w:t>
            </w:r>
          </w:p>
        </w:tc>
        <w:tc>
          <w:tcPr>
            <w:tcW w:w="2835" w:type="dxa"/>
            <w:vAlign w:val="center"/>
          </w:tcPr>
          <w:p w:rsidR="006F49F8" w:rsidRDefault="006F49F8" w:rsidP="006F49F8">
            <w:pPr>
              <w:jc w:val="center"/>
              <w:rPr>
                <w:rStyle w:val="CommentReference"/>
                <w:b w:val="0"/>
              </w:rPr>
            </w:pPr>
            <w:r>
              <w:rPr>
                <w:rStyle w:val="CommentReference"/>
                <w:b w:val="0"/>
              </w:rPr>
              <w:t xml:space="preserve">Investigator defined exacerbation; </w:t>
            </w:r>
          </w:p>
          <w:p w:rsidR="006F49F8" w:rsidRPr="00825F48" w:rsidRDefault="006F49F8" w:rsidP="006F49F8">
            <w:pPr>
              <w:jc w:val="center"/>
              <w:rPr>
                <w:rStyle w:val="CommentReference"/>
                <w:b w:val="0"/>
              </w:rPr>
            </w:pPr>
            <w:r>
              <w:rPr>
                <w:rStyle w:val="CommentReference"/>
                <w:b w:val="0"/>
              </w:rPr>
              <w:t>EQ-5D: Trial 32 &amp; 34</w:t>
            </w:r>
          </w:p>
        </w:tc>
        <w:tc>
          <w:tcPr>
            <w:tcW w:w="3385" w:type="dxa"/>
            <w:vAlign w:val="center"/>
          </w:tcPr>
          <w:p w:rsidR="006F49F8" w:rsidRDefault="006F49F8" w:rsidP="006F49F8">
            <w:pPr>
              <w:jc w:val="center"/>
              <w:rPr>
                <w:rStyle w:val="CommentReference"/>
                <w:b w:val="0"/>
              </w:rPr>
            </w:pPr>
            <w:r>
              <w:rPr>
                <w:rStyle w:val="CommentReference"/>
                <w:b w:val="0"/>
              </w:rPr>
              <w:t xml:space="preserve">Adjudicator defined exacerbation; </w:t>
            </w:r>
          </w:p>
          <w:p w:rsidR="006F49F8" w:rsidRPr="00825F48" w:rsidRDefault="006F49F8" w:rsidP="006F49F8">
            <w:pPr>
              <w:jc w:val="center"/>
              <w:rPr>
                <w:rStyle w:val="CommentReference"/>
                <w:b w:val="0"/>
              </w:rPr>
            </w:pPr>
            <w:r>
              <w:rPr>
                <w:rStyle w:val="CommentReference"/>
                <w:b w:val="0"/>
              </w:rPr>
              <w:t>EQ-5D: Trial 32 &amp; 34</w:t>
            </w:r>
          </w:p>
        </w:tc>
      </w:tr>
      <w:tr w:rsidR="006F49F8" w:rsidRPr="00825F48" w:rsidTr="006F49F8">
        <w:tc>
          <w:tcPr>
            <w:tcW w:w="992" w:type="dxa"/>
            <w:vMerge/>
            <w:vAlign w:val="center"/>
          </w:tcPr>
          <w:p w:rsidR="006F49F8" w:rsidRDefault="006F49F8" w:rsidP="006F49F8">
            <w:pPr>
              <w:jc w:val="left"/>
              <w:rPr>
                <w:rStyle w:val="CommentReference"/>
                <w:b w:val="0"/>
              </w:rPr>
            </w:pPr>
          </w:p>
        </w:tc>
        <w:tc>
          <w:tcPr>
            <w:tcW w:w="1134" w:type="dxa"/>
            <w:vAlign w:val="center"/>
          </w:tcPr>
          <w:p w:rsidR="006F49F8" w:rsidRDefault="006F49F8" w:rsidP="006F49F8">
            <w:pPr>
              <w:jc w:val="left"/>
              <w:rPr>
                <w:rStyle w:val="CommentReference"/>
                <w:b w:val="0"/>
              </w:rPr>
            </w:pPr>
            <w:r>
              <w:rPr>
                <w:rStyle w:val="CommentReference"/>
                <w:b w:val="0"/>
              </w:rPr>
              <w:t>Adverse events</w:t>
            </w:r>
          </w:p>
        </w:tc>
        <w:tc>
          <w:tcPr>
            <w:tcW w:w="2835" w:type="dxa"/>
            <w:vAlign w:val="center"/>
          </w:tcPr>
          <w:p w:rsidR="006F49F8" w:rsidRDefault="006F49F8" w:rsidP="006F49F8">
            <w:pPr>
              <w:jc w:val="center"/>
              <w:rPr>
                <w:rStyle w:val="CommentReference"/>
                <w:b w:val="0"/>
              </w:rPr>
            </w:pPr>
            <w:r>
              <w:rPr>
                <w:rStyle w:val="CommentReference"/>
                <w:b w:val="0"/>
              </w:rPr>
              <w:t xml:space="preserve">Diarrhoea, nausea, vomiting; </w:t>
            </w:r>
          </w:p>
          <w:p w:rsidR="006F49F8" w:rsidRPr="00825F48" w:rsidRDefault="006F49F8" w:rsidP="006F49F8">
            <w:pPr>
              <w:jc w:val="center"/>
              <w:rPr>
                <w:rStyle w:val="CommentReference"/>
                <w:b w:val="0"/>
              </w:rPr>
            </w:pPr>
            <w:r>
              <w:rPr>
                <w:rStyle w:val="CommentReference"/>
                <w:b w:val="0"/>
              </w:rPr>
              <w:t>EQ-5D: Trial 32 &amp; 34</w:t>
            </w:r>
          </w:p>
        </w:tc>
        <w:tc>
          <w:tcPr>
            <w:tcW w:w="3385" w:type="dxa"/>
            <w:vAlign w:val="center"/>
          </w:tcPr>
          <w:p w:rsidR="006F49F8" w:rsidRPr="00825F48" w:rsidRDefault="006F49F8" w:rsidP="006F49F8">
            <w:pPr>
              <w:jc w:val="center"/>
              <w:rPr>
                <w:rStyle w:val="CommentReference"/>
                <w:b w:val="0"/>
              </w:rPr>
            </w:pPr>
            <w:r>
              <w:rPr>
                <w:rStyle w:val="CommentReference"/>
                <w:b w:val="0"/>
              </w:rPr>
              <w:t>Not included</w:t>
            </w:r>
          </w:p>
        </w:tc>
      </w:tr>
      <w:tr w:rsidR="006F49F8" w:rsidRPr="00825F48" w:rsidTr="006F49F8">
        <w:tc>
          <w:tcPr>
            <w:tcW w:w="992" w:type="dxa"/>
            <w:vMerge w:val="restart"/>
            <w:vAlign w:val="center"/>
          </w:tcPr>
          <w:p w:rsidR="006F49F8" w:rsidRPr="00825F48" w:rsidRDefault="006F49F8" w:rsidP="006F49F8">
            <w:pPr>
              <w:jc w:val="left"/>
              <w:rPr>
                <w:rStyle w:val="CommentReference"/>
                <w:b w:val="0"/>
              </w:rPr>
            </w:pPr>
            <w:r>
              <w:rPr>
                <w:rStyle w:val="CommentReference"/>
                <w:b w:val="0"/>
              </w:rPr>
              <w:t>Healthcare resource items – utilisation and costs</w:t>
            </w:r>
          </w:p>
        </w:tc>
        <w:tc>
          <w:tcPr>
            <w:tcW w:w="1134" w:type="dxa"/>
            <w:vAlign w:val="center"/>
          </w:tcPr>
          <w:p w:rsidR="006F49F8" w:rsidRPr="00825F48" w:rsidRDefault="006F49F8" w:rsidP="006F49F8">
            <w:pPr>
              <w:jc w:val="left"/>
              <w:rPr>
                <w:rStyle w:val="CommentReference"/>
                <w:b w:val="0"/>
              </w:rPr>
            </w:pPr>
            <w:r>
              <w:rPr>
                <w:rStyle w:val="CommentReference"/>
                <w:b w:val="0"/>
              </w:rPr>
              <w:t>Nintedanib</w:t>
            </w:r>
          </w:p>
        </w:tc>
        <w:tc>
          <w:tcPr>
            <w:tcW w:w="2835" w:type="dxa"/>
            <w:vAlign w:val="center"/>
          </w:tcPr>
          <w:p w:rsidR="006F49F8" w:rsidRPr="00825F48" w:rsidRDefault="006F49F8" w:rsidP="006F49F8">
            <w:pPr>
              <w:jc w:val="center"/>
              <w:rPr>
                <w:rStyle w:val="CommentReference"/>
                <w:b w:val="0"/>
              </w:rPr>
            </w:pPr>
            <w:r>
              <w:rPr>
                <w:rStyle w:val="CommentReference"/>
                <w:b w:val="0"/>
              </w:rPr>
              <w:t>$</w:t>
            </w:r>
            <w:r w:rsidR="00F146E1">
              <w:rPr>
                <w:rStyle w:val="CommentReference"/>
                <w:b w:val="0"/>
                <w:noProof/>
                <w:color w:val="000000"/>
                <w:highlight w:val="black"/>
              </w:rPr>
              <w:t>''''''''''''</w:t>
            </w:r>
            <w:r>
              <w:rPr>
                <w:rStyle w:val="CommentReference"/>
                <w:b w:val="0"/>
              </w:rPr>
              <w:t>/day</w:t>
            </w:r>
          </w:p>
        </w:tc>
        <w:tc>
          <w:tcPr>
            <w:tcW w:w="3385" w:type="dxa"/>
            <w:vAlign w:val="center"/>
          </w:tcPr>
          <w:p w:rsidR="006F49F8" w:rsidRPr="00825F48" w:rsidRDefault="006F49F8" w:rsidP="006F49F8">
            <w:pPr>
              <w:jc w:val="center"/>
              <w:rPr>
                <w:rStyle w:val="CommentReference"/>
                <w:b w:val="0"/>
              </w:rPr>
            </w:pPr>
            <w:r>
              <w:rPr>
                <w:rStyle w:val="CommentReference"/>
                <w:b w:val="0"/>
              </w:rPr>
              <w:t>$</w:t>
            </w:r>
            <w:r w:rsidR="00F146E1">
              <w:rPr>
                <w:rStyle w:val="CommentReference"/>
                <w:b w:val="0"/>
                <w:noProof/>
                <w:color w:val="000000"/>
                <w:highlight w:val="black"/>
              </w:rPr>
              <w:t>'''''''''''''</w:t>
            </w:r>
            <w:r>
              <w:rPr>
                <w:rStyle w:val="CommentReference"/>
                <w:b w:val="0"/>
              </w:rPr>
              <w:t>/day (inclusive of RSA)</w:t>
            </w:r>
          </w:p>
        </w:tc>
      </w:tr>
      <w:tr w:rsidR="006F49F8" w:rsidRPr="00825F48" w:rsidTr="006F49F8">
        <w:tc>
          <w:tcPr>
            <w:tcW w:w="992" w:type="dxa"/>
            <w:vMerge/>
            <w:vAlign w:val="center"/>
          </w:tcPr>
          <w:p w:rsidR="006F49F8" w:rsidRDefault="006F49F8" w:rsidP="006F49F8">
            <w:pPr>
              <w:jc w:val="left"/>
              <w:rPr>
                <w:rStyle w:val="CommentReference"/>
                <w:b w:val="0"/>
              </w:rPr>
            </w:pPr>
          </w:p>
        </w:tc>
        <w:tc>
          <w:tcPr>
            <w:tcW w:w="1134" w:type="dxa"/>
            <w:vAlign w:val="center"/>
          </w:tcPr>
          <w:p w:rsidR="006F49F8" w:rsidRDefault="006F49F8" w:rsidP="006F49F8">
            <w:pPr>
              <w:jc w:val="left"/>
              <w:rPr>
                <w:rStyle w:val="CommentReference"/>
                <w:b w:val="0"/>
              </w:rPr>
            </w:pPr>
            <w:r>
              <w:rPr>
                <w:rStyle w:val="CommentReference"/>
                <w:b w:val="0"/>
              </w:rPr>
              <w:t>BSC</w:t>
            </w:r>
          </w:p>
        </w:tc>
        <w:tc>
          <w:tcPr>
            <w:tcW w:w="2835" w:type="dxa"/>
            <w:vAlign w:val="center"/>
          </w:tcPr>
          <w:p w:rsidR="006F49F8" w:rsidRDefault="006F49F8" w:rsidP="006F49F8">
            <w:pPr>
              <w:jc w:val="center"/>
              <w:rPr>
                <w:rStyle w:val="CommentReference"/>
                <w:b w:val="0"/>
              </w:rPr>
            </w:pPr>
            <w:r>
              <w:rPr>
                <w:rStyle w:val="CommentReference"/>
                <w:b w:val="0"/>
              </w:rPr>
              <w:t>$1.21/day</w:t>
            </w:r>
          </w:p>
        </w:tc>
        <w:tc>
          <w:tcPr>
            <w:tcW w:w="3385" w:type="dxa"/>
            <w:vAlign w:val="center"/>
          </w:tcPr>
          <w:p w:rsidR="006F49F8" w:rsidRDefault="006F49F8" w:rsidP="006F49F8">
            <w:pPr>
              <w:jc w:val="center"/>
              <w:rPr>
                <w:rStyle w:val="CommentReference"/>
                <w:b w:val="0"/>
              </w:rPr>
            </w:pPr>
            <w:r>
              <w:rPr>
                <w:rStyle w:val="CommentReference"/>
                <w:b w:val="0"/>
              </w:rPr>
              <w:t>$1.28/day: July 2015 PBS schedule</w:t>
            </w:r>
          </w:p>
        </w:tc>
      </w:tr>
      <w:tr w:rsidR="006F49F8" w:rsidRPr="00825F48" w:rsidTr="006F49F8">
        <w:tc>
          <w:tcPr>
            <w:tcW w:w="992" w:type="dxa"/>
            <w:vMerge/>
            <w:vAlign w:val="center"/>
          </w:tcPr>
          <w:p w:rsidR="006F49F8" w:rsidRDefault="006F49F8" w:rsidP="006F49F8">
            <w:pPr>
              <w:jc w:val="left"/>
              <w:rPr>
                <w:rStyle w:val="CommentReference"/>
                <w:b w:val="0"/>
              </w:rPr>
            </w:pPr>
          </w:p>
        </w:tc>
        <w:tc>
          <w:tcPr>
            <w:tcW w:w="1134" w:type="dxa"/>
            <w:vAlign w:val="center"/>
          </w:tcPr>
          <w:p w:rsidR="006F49F8" w:rsidRDefault="006F49F8" w:rsidP="006F49F8">
            <w:pPr>
              <w:jc w:val="left"/>
              <w:rPr>
                <w:rStyle w:val="CommentReference"/>
                <w:b w:val="0"/>
              </w:rPr>
            </w:pPr>
            <w:r>
              <w:rPr>
                <w:rStyle w:val="CommentReference"/>
                <w:b w:val="0"/>
              </w:rPr>
              <w:t>LFTs</w:t>
            </w:r>
          </w:p>
        </w:tc>
        <w:tc>
          <w:tcPr>
            <w:tcW w:w="2835" w:type="dxa"/>
            <w:vAlign w:val="center"/>
          </w:tcPr>
          <w:p w:rsidR="006F49F8" w:rsidRPr="00825F48" w:rsidRDefault="006F49F8" w:rsidP="006F49F8">
            <w:pPr>
              <w:jc w:val="center"/>
              <w:rPr>
                <w:rStyle w:val="CommentReference"/>
                <w:b w:val="0"/>
              </w:rPr>
            </w:pPr>
            <w:r>
              <w:rPr>
                <w:rStyle w:val="CommentReference"/>
                <w:b w:val="0"/>
              </w:rPr>
              <w:t>Not included</w:t>
            </w:r>
          </w:p>
        </w:tc>
        <w:tc>
          <w:tcPr>
            <w:tcW w:w="3385" w:type="dxa"/>
            <w:vAlign w:val="center"/>
          </w:tcPr>
          <w:p w:rsidR="006F49F8" w:rsidRPr="00825F48" w:rsidRDefault="006F49F8" w:rsidP="006F49F8">
            <w:pPr>
              <w:jc w:val="center"/>
              <w:rPr>
                <w:rStyle w:val="CommentReference"/>
                <w:b w:val="0"/>
              </w:rPr>
            </w:pPr>
            <w:r>
              <w:rPr>
                <w:rStyle w:val="CommentReference"/>
                <w:b w:val="0"/>
              </w:rPr>
              <w:t>Nintedanib: $13.65 every 3 months</w:t>
            </w:r>
          </w:p>
        </w:tc>
      </w:tr>
      <w:tr w:rsidR="006F49F8" w:rsidRPr="00825F48" w:rsidTr="006F49F8">
        <w:tc>
          <w:tcPr>
            <w:tcW w:w="992" w:type="dxa"/>
            <w:vMerge/>
            <w:vAlign w:val="center"/>
          </w:tcPr>
          <w:p w:rsidR="006F49F8" w:rsidRDefault="006F49F8" w:rsidP="006F49F8">
            <w:pPr>
              <w:jc w:val="left"/>
              <w:rPr>
                <w:rStyle w:val="CommentReference"/>
                <w:b w:val="0"/>
              </w:rPr>
            </w:pPr>
          </w:p>
        </w:tc>
        <w:tc>
          <w:tcPr>
            <w:tcW w:w="1134" w:type="dxa"/>
            <w:vMerge w:val="restart"/>
            <w:vAlign w:val="center"/>
          </w:tcPr>
          <w:p w:rsidR="006F49F8" w:rsidRDefault="006F49F8" w:rsidP="006F49F8">
            <w:pPr>
              <w:jc w:val="left"/>
              <w:rPr>
                <w:rStyle w:val="CommentReference"/>
                <w:b w:val="0"/>
              </w:rPr>
            </w:pPr>
            <w:r>
              <w:rPr>
                <w:rStyle w:val="CommentReference"/>
                <w:b w:val="0"/>
              </w:rPr>
              <w:t>Tests &amp; procedures</w:t>
            </w:r>
          </w:p>
        </w:tc>
        <w:tc>
          <w:tcPr>
            <w:tcW w:w="6220" w:type="dxa"/>
            <w:gridSpan w:val="2"/>
            <w:vAlign w:val="center"/>
          </w:tcPr>
          <w:p w:rsidR="006F49F8" w:rsidRPr="00825F48" w:rsidRDefault="006F49F8" w:rsidP="006F49F8">
            <w:pPr>
              <w:jc w:val="center"/>
              <w:rPr>
                <w:rStyle w:val="CommentReference"/>
                <w:b w:val="0"/>
              </w:rPr>
            </w:pPr>
            <w:r>
              <w:rPr>
                <w:rStyle w:val="CommentReference"/>
                <w:b w:val="0"/>
              </w:rPr>
              <w:t>Resource items and frequency of utilisation dependent on FVC%Pred health state</w:t>
            </w:r>
          </w:p>
        </w:tc>
      </w:tr>
      <w:tr w:rsidR="006F49F8" w:rsidRPr="00825F48" w:rsidTr="006F49F8">
        <w:tc>
          <w:tcPr>
            <w:tcW w:w="992" w:type="dxa"/>
            <w:vMerge/>
            <w:vAlign w:val="center"/>
          </w:tcPr>
          <w:p w:rsidR="006F49F8" w:rsidRDefault="006F49F8" w:rsidP="006F49F8">
            <w:pPr>
              <w:jc w:val="left"/>
              <w:rPr>
                <w:rStyle w:val="CommentReference"/>
                <w:b w:val="0"/>
              </w:rPr>
            </w:pPr>
          </w:p>
        </w:tc>
        <w:tc>
          <w:tcPr>
            <w:tcW w:w="1134" w:type="dxa"/>
            <w:vMerge/>
            <w:vAlign w:val="center"/>
          </w:tcPr>
          <w:p w:rsidR="006F49F8" w:rsidRDefault="006F49F8" w:rsidP="006F49F8">
            <w:pPr>
              <w:jc w:val="left"/>
              <w:rPr>
                <w:rStyle w:val="CommentReference"/>
                <w:b w:val="0"/>
              </w:rPr>
            </w:pPr>
          </w:p>
        </w:tc>
        <w:tc>
          <w:tcPr>
            <w:tcW w:w="2835" w:type="dxa"/>
            <w:vAlign w:val="center"/>
          </w:tcPr>
          <w:p w:rsidR="006F49F8" w:rsidRDefault="006F49F8" w:rsidP="006F49F8">
            <w:pPr>
              <w:jc w:val="center"/>
              <w:rPr>
                <w:rStyle w:val="CommentReference"/>
                <w:b w:val="0"/>
              </w:rPr>
            </w:pPr>
            <w:r>
              <w:rPr>
                <w:rStyle w:val="CommentReference"/>
                <w:b w:val="0"/>
              </w:rPr>
              <w:t>Trial 32 and 34: MBS items</w:t>
            </w:r>
          </w:p>
        </w:tc>
        <w:tc>
          <w:tcPr>
            <w:tcW w:w="3385" w:type="dxa"/>
            <w:vAlign w:val="center"/>
          </w:tcPr>
          <w:p w:rsidR="006F49F8" w:rsidRDefault="006F49F8" w:rsidP="006F49F8">
            <w:pPr>
              <w:jc w:val="center"/>
              <w:rPr>
                <w:rStyle w:val="CommentReference"/>
                <w:b w:val="0"/>
              </w:rPr>
            </w:pPr>
            <w:r>
              <w:rPr>
                <w:rStyle w:val="CommentReference"/>
                <w:b w:val="0"/>
              </w:rPr>
              <w:t>Australian IPF registry: MBS items</w:t>
            </w:r>
          </w:p>
        </w:tc>
      </w:tr>
      <w:tr w:rsidR="006F49F8" w:rsidRPr="00825F48" w:rsidTr="006F49F8">
        <w:tc>
          <w:tcPr>
            <w:tcW w:w="992" w:type="dxa"/>
            <w:vMerge/>
            <w:vAlign w:val="center"/>
          </w:tcPr>
          <w:p w:rsidR="006F49F8" w:rsidRDefault="006F49F8" w:rsidP="006F49F8">
            <w:pPr>
              <w:jc w:val="left"/>
              <w:rPr>
                <w:rStyle w:val="CommentReference"/>
                <w:b w:val="0"/>
              </w:rPr>
            </w:pPr>
          </w:p>
        </w:tc>
        <w:tc>
          <w:tcPr>
            <w:tcW w:w="1134" w:type="dxa"/>
            <w:vAlign w:val="center"/>
          </w:tcPr>
          <w:p w:rsidR="006F49F8" w:rsidRDefault="006F49F8" w:rsidP="006F49F8">
            <w:pPr>
              <w:jc w:val="left"/>
              <w:rPr>
                <w:rStyle w:val="CommentReference"/>
                <w:b w:val="0"/>
              </w:rPr>
            </w:pPr>
            <w:r>
              <w:rPr>
                <w:rStyle w:val="CommentReference"/>
                <w:b w:val="0"/>
              </w:rPr>
              <w:t>Adverse events</w:t>
            </w:r>
          </w:p>
        </w:tc>
        <w:tc>
          <w:tcPr>
            <w:tcW w:w="2835" w:type="dxa"/>
            <w:vAlign w:val="center"/>
          </w:tcPr>
          <w:p w:rsidR="006F49F8" w:rsidRDefault="006F49F8" w:rsidP="006F49F8">
            <w:pPr>
              <w:jc w:val="center"/>
              <w:rPr>
                <w:rStyle w:val="CommentReference"/>
                <w:b w:val="0"/>
              </w:rPr>
            </w:pPr>
            <w:r>
              <w:rPr>
                <w:rStyle w:val="CommentReference"/>
                <w:b w:val="0"/>
              </w:rPr>
              <w:t>Diarrhoea, nausea, vomiting; Trial 32 &amp; 34: Nintedanib: $</w:t>
            </w:r>
            <w:r w:rsidR="00F146E1">
              <w:rPr>
                <w:rStyle w:val="CommentReference"/>
                <w:b w:val="0"/>
                <w:noProof/>
                <w:color w:val="000000"/>
                <w:highlight w:val="black"/>
              </w:rPr>
              <w:t>'''''''''''''''</w:t>
            </w:r>
            <w:r>
              <w:rPr>
                <w:rStyle w:val="CommentReference"/>
                <w:b w:val="0"/>
              </w:rPr>
              <w:t>/cycle, BSC: $4.34/cycle</w:t>
            </w:r>
          </w:p>
        </w:tc>
        <w:tc>
          <w:tcPr>
            <w:tcW w:w="3385" w:type="dxa"/>
            <w:vAlign w:val="center"/>
          </w:tcPr>
          <w:p w:rsidR="006F49F8" w:rsidRDefault="006F49F8" w:rsidP="006F49F8">
            <w:pPr>
              <w:jc w:val="center"/>
              <w:rPr>
                <w:rStyle w:val="CommentReference"/>
                <w:b w:val="0"/>
              </w:rPr>
            </w:pPr>
            <w:r>
              <w:rPr>
                <w:rStyle w:val="CommentReference"/>
                <w:b w:val="0"/>
              </w:rPr>
              <w:t>Diarrhoea, severe diarrhoea, nausea, vomiting; Trial 32 &amp; 34: Nintedanib: $</w:t>
            </w:r>
            <w:r w:rsidR="00F146E1">
              <w:rPr>
                <w:rStyle w:val="CommentReference"/>
                <w:b w:val="0"/>
                <w:noProof/>
                <w:color w:val="000000"/>
                <w:highlight w:val="black"/>
              </w:rPr>
              <w:t>'''''''''''''</w:t>
            </w:r>
            <w:r>
              <w:rPr>
                <w:rStyle w:val="CommentReference"/>
                <w:b w:val="0"/>
              </w:rPr>
              <w:t>/cycle; BSC: $10.22/cycle</w:t>
            </w:r>
          </w:p>
        </w:tc>
      </w:tr>
    </w:tbl>
    <w:p w:rsidR="006F49F8" w:rsidRPr="00454E28" w:rsidRDefault="006F49F8" w:rsidP="006F49F8">
      <w:pPr>
        <w:ind w:left="720"/>
        <w:rPr>
          <w:rStyle w:val="CommentReference"/>
          <w:b w:val="0"/>
          <w:sz w:val="18"/>
        </w:rPr>
      </w:pPr>
      <w:r>
        <w:rPr>
          <w:rStyle w:val="CommentReference"/>
          <w:b w:val="0"/>
          <w:sz w:val="18"/>
        </w:rPr>
        <w:t xml:space="preserve">Abbreviations: BSC = best supportive care; </w:t>
      </w:r>
      <w:r w:rsidRPr="00AC0D1F">
        <w:rPr>
          <w:rStyle w:val="CommentReference"/>
          <w:b w:val="0"/>
          <w:sz w:val="18"/>
        </w:rPr>
        <w:t>EQ-5D = EuroQol 5-Dimensional Quality of Life questionnaire</w:t>
      </w:r>
      <w:r>
        <w:rPr>
          <w:rStyle w:val="CommentReference"/>
          <w:b w:val="0"/>
          <w:sz w:val="18"/>
        </w:rPr>
        <w:t>;</w:t>
      </w:r>
      <w:r w:rsidRPr="00AC0D1F">
        <w:rPr>
          <w:rStyle w:val="CommentReference"/>
          <w:b w:val="0"/>
          <w:sz w:val="18"/>
        </w:rPr>
        <w:t xml:space="preserve"> </w:t>
      </w:r>
      <w:r>
        <w:rPr>
          <w:rStyle w:val="CommentReference"/>
          <w:b w:val="0"/>
          <w:sz w:val="18"/>
        </w:rPr>
        <w:t>FVC = forced vital capacity; IPF = idiopathic pulmonary fibrosis; LFTs = liver function tests; RSA = risk sharing arrangement.  Source: constructed during the evaluation</w:t>
      </w:r>
    </w:p>
    <w:p w:rsidR="008F1EC2" w:rsidRDefault="008F1EC2" w:rsidP="00217DD8">
      <w:pPr>
        <w:widowControl/>
      </w:pPr>
    </w:p>
    <w:p w:rsidR="00C5505D" w:rsidRPr="00C5505D" w:rsidRDefault="0037381D" w:rsidP="00321D09">
      <w:pPr>
        <w:pStyle w:val="ListParagraph"/>
        <w:widowControl/>
        <w:numPr>
          <w:ilvl w:val="1"/>
          <w:numId w:val="2"/>
        </w:numPr>
        <w:rPr>
          <w:szCs w:val="22"/>
        </w:rPr>
      </w:pPr>
      <w:r>
        <w:rPr>
          <w:szCs w:val="22"/>
        </w:rPr>
        <w:t xml:space="preserve">In </w:t>
      </w:r>
      <w:r w:rsidR="00217DD8">
        <w:rPr>
          <w:szCs w:val="22"/>
        </w:rPr>
        <w:t>M</w:t>
      </w:r>
      <w:r>
        <w:rPr>
          <w:szCs w:val="22"/>
        </w:rPr>
        <w:t>arch 2015, t</w:t>
      </w:r>
      <w:r w:rsidR="003066F6" w:rsidRPr="0060206A">
        <w:rPr>
          <w:szCs w:val="22"/>
        </w:rPr>
        <w:t>he PBAC</w:t>
      </w:r>
      <w:r w:rsidR="007031A1" w:rsidRPr="0060206A">
        <w:rPr>
          <w:szCs w:val="22"/>
        </w:rPr>
        <w:t xml:space="preserve"> </w:t>
      </w:r>
      <w:r w:rsidR="0082480A" w:rsidRPr="0060206A">
        <w:rPr>
          <w:szCs w:val="22"/>
        </w:rPr>
        <w:t>considered</w:t>
      </w:r>
      <w:r w:rsidR="007031A1" w:rsidRPr="0060206A">
        <w:rPr>
          <w:szCs w:val="22"/>
        </w:rPr>
        <w:t xml:space="preserve"> that </w:t>
      </w:r>
      <w:r w:rsidR="003066F6" w:rsidRPr="0060206A">
        <w:rPr>
          <w:szCs w:val="22"/>
        </w:rPr>
        <w:t>a</w:t>
      </w:r>
      <w:r w:rsidR="007031A1" w:rsidRPr="0060206A">
        <w:rPr>
          <w:szCs w:val="22"/>
        </w:rPr>
        <w:t xml:space="preserve"> </w:t>
      </w:r>
      <w:r w:rsidR="003066F6" w:rsidRPr="0060206A">
        <w:rPr>
          <w:szCs w:val="22"/>
        </w:rPr>
        <w:t xml:space="preserve">revised economic model incorporate the </w:t>
      </w:r>
      <w:r w:rsidR="007031A1" w:rsidRPr="0060206A">
        <w:rPr>
          <w:szCs w:val="22"/>
        </w:rPr>
        <w:t xml:space="preserve">more conservative estimate of survival </w:t>
      </w:r>
      <w:r w:rsidR="0082480A" w:rsidRPr="0060206A">
        <w:rPr>
          <w:szCs w:val="22"/>
        </w:rPr>
        <w:t xml:space="preserve">recommended in the evaluation </w:t>
      </w:r>
      <w:r w:rsidR="007031A1" w:rsidRPr="0060206A">
        <w:rPr>
          <w:szCs w:val="22"/>
        </w:rPr>
        <w:t>(Kaplan Meier estimate to month 21, followed by the adjustment of the nintedanib survival curve for the gradient of BSC</w:t>
      </w:r>
      <w:r w:rsidR="0082480A" w:rsidRPr="0060206A">
        <w:rPr>
          <w:szCs w:val="22"/>
        </w:rPr>
        <w:t xml:space="preserve">; </w:t>
      </w:r>
      <w:r w:rsidR="007031A1" w:rsidRPr="0060206A">
        <w:rPr>
          <w:szCs w:val="22"/>
        </w:rPr>
        <w:t xml:space="preserve">March 2015, paragraph </w:t>
      </w:r>
      <w:r w:rsidR="00CC6AF8" w:rsidRPr="0060206A">
        <w:rPr>
          <w:szCs w:val="22"/>
        </w:rPr>
        <w:t>6.28</w:t>
      </w:r>
      <w:r w:rsidR="007031A1" w:rsidRPr="0060206A">
        <w:rPr>
          <w:szCs w:val="22"/>
        </w:rPr>
        <w:t xml:space="preserve">, 7.12).  </w:t>
      </w:r>
      <w:r w:rsidR="007031A1" w:rsidRPr="0060206A">
        <w:t xml:space="preserve">The re-submission </w:t>
      </w:r>
      <w:r w:rsidR="00CC6AF8" w:rsidRPr="0060206A">
        <w:t>only</w:t>
      </w:r>
      <w:r w:rsidR="007031A1" w:rsidRPr="0060206A">
        <w:t xml:space="preserve"> partially adopted this advice through the incorporation of Kaplan Meier estimates </w:t>
      </w:r>
      <w:r w:rsidR="00385F5B" w:rsidRPr="0060206A">
        <w:t>during the trial based period (21 months)</w:t>
      </w:r>
      <w:r w:rsidR="007031A1" w:rsidRPr="0060206A">
        <w:t xml:space="preserve">.  </w:t>
      </w:r>
      <w:r w:rsidR="00385F5B" w:rsidRPr="0060206A">
        <w:t xml:space="preserve">This </w:t>
      </w:r>
      <w:r w:rsidR="00051A67" w:rsidRPr="0060206A">
        <w:t xml:space="preserve">was </w:t>
      </w:r>
      <w:r w:rsidR="00385F5B" w:rsidRPr="0060206A">
        <w:t>followed by u</w:t>
      </w:r>
      <w:r w:rsidR="007031A1" w:rsidRPr="0060206A">
        <w:t xml:space="preserve">nadjusted mortality risk from the Weibull extrapolations </w:t>
      </w:r>
      <w:r w:rsidR="00385F5B" w:rsidRPr="0060206A">
        <w:t>applied to</w:t>
      </w:r>
      <w:r w:rsidR="007031A1" w:rsidRPr="0060206A">
        <w:t xml:space="preserve"> 10 years.  </w:t>
      </w:r>
      <w:r w:rsidR="00385F5B" w:rsidRPr="0060206A">
        <w:t xml:space="preserve">As noted in the results of the stepped economic evaluation, the extrapolated period is responsible for the majority of accrued LYGs and QALYs.  </w:t>
      </w:r>
      <w:r w:rsidR="00B44306" w:rsidRPr="0060206A">
        <w:t>The</w:t>
      </w:r>
      <w:r w:rsidR="00B44306">
        <w:rPr>
          <w:i/>
        </w:rPr>
        <w:t xml:space="preserve"> </w:t>
      </w:r>
      <w:r w:rsidR="00B44306" w:rsidRPr="0060206A">
        <w:t>PBAC has previously noted that Weibull extrapolations were incapable of representing potential long term survival benefits (March 2015, paragraph 6.28). Overall, the re-submission presented</w:t>
      </w:r>
      <w:r w:rsidR="007031A1" w:rsidRPr="0060206A">
        <w:t xml:space="preserve"> limited adjustment</w:t>
      </w:r>
      <w:r w:rsidR="00B44306" w:rsidRPr="0060206A">
        <w:t>s</w:t>
      </w:r>
      <w:r w:rsidR="007031A1" w:rsidRPr="0060206A">
        <w:t xml:space="preserve"> to predicted survival</w:t>
      </w:r>
      <w:r w:rsidR="00B44306" w:rsidRPr="0060206A">
        <w:t xml:space="preserve"> and it is likely</w:t>
      </w:r>
      <w:r w:rsidR="00385F5B" w:rsidRPr="0060206A">
        <w:t xml:space="preserve"> that the economic model </w:t>
      </w:r>
      <w:r w:rsidR="00B44306" w:rsidRPr="0060206A">
        <w:t xml:space="preserve">continues to </w:t>
      </w:r>
      <w:r w:rsidR="00385F5B" w:rsidRPr="0060206A">
        <w:t>overestimate</w:t>
      </w:r>
      <w:r w:rsidR="007031A1" w:rsidRPr="0060206A">
        <w:t xml:space="preserve"> </w:t>
      </w:r>
      <w:r w:rsidR="00B44306" w:rsidRPr="0060206A">
        <w:t xml:space="preserve">the </w:t>
      </w:r>
      <w:r w:rsidR="007031A1" w:rsidRPr="0060206A">
        <w:t xml:space="preserve">incremental benefits </w:t>
      </w:r>
      <w:r w:rsidR="00385F5B" w:rsidRPr="0060206A">
        <w:t>associated with nintedanib</w:t>
      </w:r>
      <w:r w:rsidR="007031A1" w:rsidRPr="0060206A">
        <w:t xml:space="preserve">.  </w:t>
      </w:r>
      <w:r w:rsidR="009A3CC8" w:rsidRPr="0060206A">
        <w:t>The economic model was highly sensitive to alternative methods for the es</w:t>
      </w:r>
      <w:r w:rsidR="00217DD8">
        <w:t>timation of long term survival.</w:t>
      </w:r>
    </w:p>
    <w:p w:rsidR="00C5505D" w:rsidRPr="00217DD8" w:rsidRDefault="00C5505D" w:rsidP="00C5505D">
      <w:pPr>
        <w:widowControl/>
        <w:rPr>
          <w:szCs w:val="22"/>
        </w:rPr>
      </w:pPr>
    </w:p>
    <w:p w:rsidR="00C5505D" w:rsidRPr="0037381D" w:rsidRDefault="00C5505D" w:rsidP="00C5505D">
      <w:pPr>
        <w:pStyle w:val="ListParagraph"/>
        <w:widowControl/>
        <w:numPr>
          <w:ilvl w:val="1"/>
          <w:numId w:val="2"/>
        </w:numPr>
        <w:rPr>
          <w:szCs w:val="22"/>
        </w:rPr>
      </w:pPr>
      <w:r w:rsidRPr="0037381D">
        <w:rPr>
          <w:szCs w:val="22"/>
        </w:rPr>
        <w:t xml:space="preserve">The ESC considered the issue with the time horizon is not whether it is reasonable in terms of modelling the progression of disease, but whether it is reasonable to extrapolate non-statistically significant survival benefits from 12 months to 10 years; this </w:t>
      </w:r>
      <w:r w:rsidR="005D4F33" w:rsidRPr="0037381D">
        <w:rPr>
          <w:szCs w:val="22"/>
        </w:rPr>
        <w:t>i</w:t>
      </w:r>
      <w:r w:rsidRPr="0037381D">
        <w:rPr>
          <w:szCs w:val="22"/>
        </w:rPr>
        <w:t xml:space="preserve">s unchanged from the previous </w:t>
      </w:r>
      <w:r w:rsidR="005D4F33" w:rsidRPr="0037381D">
        <w:rPr>
          <w:szCs w:val="22"/>
        </w:rPr>
        <w:t>submission</w:t>
      </w:r>
      <w:r w:rsidRPr="0037381D">
        <w:rPr>
          <w:szCs w:val="22"/>
        </w:rPr>
        <w:t>. It may be reasonable to consider that a reduction in FVC decline, and a reduction in exacerbations if sustained</w:t>
      </w:r>
      <w:r w:rsidR="005D4F33" w:rsidRPr="0037381D">
        <w:rPr>
          <w:szCs w:val="22"/>
        </w:rPr>
        <w:t>,</w:t>
      </w:r>
      <w:r w:rsidRPr="0037381D">
        <w:rPr>
          <w:szCs w:val="22"/>
        </w:rPr>
        <w:t xml:space="preserve"> will translate to survival benefits. However, it is important to consider Figure 2 below which suggests that the extent of treatment benefit may not be maintained at Week 80 compared with Week 52.</w:t>
      </w:r>
    </w:p>
    <w:p w:rsidR="007A65A1" w:rsidRPr="00217DD8" w:rsidRDefault="007A65A1" w:rsidP="00A1755A">
      <w:pPr>
        <w:widowControl/>
        <w:spacing w:line="2640" w:lineRule="auto"/>
        <w:jc w:val="left"/>
        <w:rPr>
          <w:rStyle w:val="CommentReference"/>
          <w:rFonts w:ascii="Arial" w:hAnsi="Arial"/>
          <w:b w:val="0"/>
          <w:sz w:val="22"/>
          <w:szCs w:val="22"/>
        </w:rPr>
      </w:pPr>
    </w:p>
    <w:p w:rsidR="00C5505D" w:rsidRPr="0037381D" w:rsidRDefault="00C5505D" w:rsidP="00C5505D">
      <w:pPr>
        <w:pStyle w:val="PBACHeading1"/>
        <w:numPr>
          <w:ilvl w:val="0"/>
          <w:numId w:val="0"/>
        </w:numPr>
        <w:ind w:left="720" w:firstLine="720"/>
        <w:rPr>
          <w:rStyle w:val="CommentReference"/>
          <w:b/>
        </w:rPr>
      </w:pPr>
      <w:r w:rsidRPr="0037381D">
        <w:rPr>
          <w:rStyle w:val="CommentReference"/>
          <w:b/>
        </w:rPr>
        <w:t>Figure.2: Change in FVC over time: Trial 30 periods 1 and 2</w:t>
      </w:r>
    </w:p>
    <w:p w:rsidR="00C5505D" w:rsidRPr="0037381D" w:rsidRDefault="00F146E1" w:rsidP="00C5505D">
      <w:pPr>
        <w:pStyle w:val="ListParagraph"/>
        <w:widowControl/>
      </w:pPr>
      <w:r>
        <w:rPr>
          <w:noProof/>
          <w:snapToGrid/>
          <w:lang w:eastAsia="en-AU"/>
        </w:rPr>
        <w:drawing>
          <wp:inline distT="0" distB="0" distL="0" distR="0" wp14:anchorId="6684FEE5" wp14:editId="1733772D">
            <wp:extent cx="4286250" cy="2400300"/>
            <wp:effectExtent l="0" t="0" r="0" b="0"/>
            <wp:docPr id="2" name="Picture 2" title="Figure.2: Change in FVC over time: Trial 30 periods 1 and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286250" cy="2400300"/>
                    </a:xfrm>
                    <a:prstGeom prst="rect">
                      <a:avLst/>
                    </a:prstGeom>
                  </pic:spPr>
                </pic:pic>
              </a:graphicData>
            </a:graphic>
          </wp:inline>
        </w:drawing>
      </w:r>
    </w:p>
    <w:p w:rsidR="00C5505D" w:rsidRPr="0037381D" w:rsidRDefault="00C5505D" w:rsidP="00C5505D">
      <w:pPr>
        <w:rPr>
          <w:rFonts w:ascii="Arial Narrow" w:hAnsi="Arial Narrow"/>
          <w:sz w:val="18"/>
        </w:rPr>
      </w:pPr>
      <w:r w:rsidRPr="0037381D">
        <w:tab/>
      </w:r>
      <w:r w:rsidRPr="0037381D">
        <w:rPr>
          <w:rFonts w:ascii="Arial Narrow" w:hAnsi="Arial Narrow"/>
          <w:sz w:val="18"/>
        </w:rPr>
        <w:t>Source: Figure B.6-3, p105 of the re-submission</w:t>
      </w:r>
    </w:p>
    <w:p w:rsidR="00C5505D" w:rsidRPr="0037381D" w:rsidRDefault="00C5505D" w:rsidP="007A65A1"/>
    <w:p w:rsidR="00B11B68" w:rsidRPr="0037381D" w:rsidRDefault="00B11B68" w:rsidP="00321D09">
      <w:pPr>
        <w:pStyle w:val="ListParagraph"/>
        <w:widowControl/>
        <w:numPr>
          <w:ilvl w:val="1"/>
          <w:numId w:val="2"/>
        </w:numPr>
        <w:rPr>
          <w:szCs w:val="22"/>
        </w:rPr>
      </w:pPr>
      <w:r w:rsidRPr="002B0902">
        <w:rPr>
          <w:szCs w:val="22"/>
        </w:rPr>
        <w:t>Nintedanib cost/day in the economic model ($</w:t>
      </w:r>
      <w:r w:rsidR="00F146E1">
        <w:rPr>
          <w:noProof/>
          <w:color w:val="000000"/>
          <w:szCs w:val="22"/>
          <w:highlight w:val="black"/>
        </w:rPr>
        <w:t>'''''''''''''</w:t>
      </w:r>
      <w:r w:rsidRPr="002B0902">
        <w:rPr>
          <w:szCs w:val="22"/>
        </w:rPr>
        <w:t xml:space="preserve">/day) was based on a weighted effective price that incorporated the RSA.  The weighted effective price is dependent on the differential between the 5 year uptake rates for nintedanib in the RSA cap (Year 1-5: </w:t>
      </w:r>
      <w:r w:rsidR="00F146E1">
        <w:rPr>
          <w:noProof/>
          <w:color w:val="000000"/>
          <w:szCs w:val="22"/>
          <w:highlight w:val="black"/>
        </w:rPr>
        <w:t>''''''''''''''</w:t>
      </w:r>
      <w:r w:rsidRPr="002B0902">
        <w:rPr>
          <w:szCs w:val="22"/>
        </w:rPr>
        <w:t xml:space="preserve">%) and the estimated expected utilisation as per the DUSC suggested parameters (Year 1 to 5: </w:t>
      </w:r>
      <w:r w:rsidR="00F146E1">
        <w:rPr>
          <w:noProof/>
          <w:color w:val="000000"/>
          <w:szCs w:val="22"/>
          <w:highlight w:val="black"/>
        </w:rPr>
        <w:t>''''''''''''''''''</w:t>
      </w:r>
      <w:r w:rsidRPr="002B0902">
        <w:rPr>
          <w:szCs w:val="22"/>
        </w:rPr>
        <w:t>%).  Given that the weighted effective price was based on estimates over 5 years there is an underlying disconnect with the 10 year time frame used in the economic model.  If the price of nintedanib was to revert to the effective price after Year 5 (i.e. uptake rates for year 6-10</w:t>
      </w:r>
      <w:r w:rsidR="00A325B8" w:rsidRPr="002B0902">
        <w:rPr>
          <w:szCs w:val="22"/>
        </w:rPr>
        <w:t xml:space="preserve"> </w:t>
      </w:r>
      <w:r w:rsidRPr="002B0902">
        <w:rPr>
          <w:szCs w:val="22"/>
        </w:rPr>
        <w:t>=</w:t>
      </w:r>
      <w:r w:rsidR="00A325B8" w:rsidRPr="002B0902">
        <w:rPr>
          <w:szCs w:val="22"/>
        </w:rPr>
        <w:t xml:space="preserve"> </w:t>
      </w:r>
      <w:r w:rsidRPr="002B0902">
        <w:rPr>
          <w:szCs w:val="22"/>
        </w:rPr>
        <w:t>100%), this would result in a nintedanib cost/day of $</w:t>
      </w:r>
      <w:r w:rsidR="00F146E1">
        <w:rPr>
          <w:noProof/>
          <w:color w:val="000000"/>
          <w:szCs w:val="22"/>
          <w:highlight w:val="black"/>
        </w:rPr>
        <w:t>'''''''''''''</w:t>
      </w:r>
      <w:r w:rsidRPr="002B0902">
        <w:rPr>
          <w:szCs w:val="22"/>
        </w:rPr>
        <w:t xml:space="preserve">.  The economic model was highly </w:t>
      </w:r>
      <w:r w:rsidRPr="0037381D">
        <w:rPr>
          <w:szCs w:val="22"/>
        </w:rPr>
        <w:t>sensitive to this rev</w:t>
      </w:r>
      <w:r w:rsidR="00217DD8">
        <w:rPr>
          <w:szCs w:val="22"/>
        </w:rPr>
        <w:t>ised weighted effective price.</w:t>
      </w:r>
    </w:p>
    <w:p w:rsidR="00B44D20" w:rsidRPr="00217DD8" w:rsidRDefault="00B44D20" w:rsidP="00B07F38">
      <w:pPr>
        <w:widowControl/>
        <w:rPr>
          <w:szCs w:val="22"/>
        </w:rPr>
      </w:pPr>
    </w:p>
    <w:p w:rsidR="00133C26" w:rsidRPr="0037381D" w:rsidRDefault="00133C26" w:rsidP="00321D09">
      <w:pPr>
        <w:pStyle w:val="ListParagraph"/>
        <w:widowControl/>
        <w:numPr>
          <w:ilvl w:val="1"/>
          <w:numId w:val="2"/>
        </w:numPr>
        <w:rPr>
          <w:szCs w:val="22"/>
        </w:rPr>
      </w:pPr>
      <w:r w:rsidRPr="0037381D">
        <w:rPr>
          <w:szCs w:val="22"/>
        </w:rPr>
        <w:t xml:space="preserve">The ESC considered the use of the weighted effective price in the model to be inappropriate as this approach links the actual ICER to the difference between the DUSC estimates and submission estimates. </w:t>
      </w:r>
      <w:r w:rsidR="00217DD8">
        <w:rPr>
          <w:szCs w:val="22"/>
        </w:rPr>
        <w:t xml:space="preserve"> </w:t>
      </w:r>
      <w:r w:rsidRPr="0037381D">
        <w:rPr>
          <w:szCs w:val="22"/>
        </w:rPr>
        <w:t>While this limits the risk in terms of overall cost, it does not provide a stable estimate of cost-effectiveness if there ar</w:t>
      </w:r>
      <w:r w:rsidR="00217DD8">
        <w:rPr>
          <w:szCs w:val="22"/>
        </w:rPr>
        <w:t>e differences in utilisation.</w:t>
      </w:r>
    </w:p>
    <w:p w:rsidR="00133C26" w:rsidRPr="00217DD8" w:rsidRDefault="00133C26" w:rsidP="00133C26">
      <w:pPr>
        <w:rPr>
          <w:szCs w:val="22"/>
        </w:rPr>
      </w:pPr>
    </w:p>
    <w:p w:rsidR="003828DB" w:rsidRPr="00133C26" w:rsidRDefault="003828DB" w:rsidP="00133C26">
      <w:pPr>
        <w:pStyle w:val="ListParagraph"/>
        <w:widowControl/>
        <w:numPr>
          <w:ilvl w:val="1"/>
          <w:numId w:val="2"/>
        </w:numPr>
        <w:jc w:val="left"/>
        <w:rPr>
          <w:szCs w:val="22"/>
        </w:rPr>
      </w:pPr>
      <w:r w:rsidRPr="00133C26">
        <w:rPr>
          <w:szCs w:val="22"/>
        </w:rPr>
        <w:t xml:space="preserve">Sensitivity analyses indicated that other changes to the economic model were of negligible impact to the estimated ICER: risk of </w:t>
      </w:r>
      <w:r w:rsidR="0082480A" w:rsidRPr="00133C26">
        <w:rPr>
          <w:szCs w:val="22"/>
        </w:rPr>
        <w:t xml:space="preserve">acute IPF </w:t>
      </w:r>
      <w:r w:rsidRPr="00133C26">
        <w:rPr>
          <w:szCs w:val="22"/>
        </w:rPr>
        <w:t>exacerbation calculated from adjudicator defined events; removal of disutility for adverse events; inclusion of costs associated with severe diarrhoea and liver function tests; utilisation rates for tests and procedures derived fro</w:t>
      </w:r>
      <w:r w:rsidR="00217DD8">
        <w:rPr>
          <w:szCs w:val="22"/>
        </w:rPr>
        <w:t>m the Australian IPF registry.</w:t>
      </w:r>
    </w:p>
    <w:p w:rsidR="00275C5A" w:rsidRPr="003828DB" w:rsidRDefault="00275C5A" w:rsidP="00275C5A">
      <w:pPr>
        <w:widowControl/>
        <w:rPr>
          <w:i/>
          <w:szCs w:val="22"/>
        </w:rPr>
      </w:pPr>
    </w:p>
    <w:p w:rsidR="00275C5A" w:rsidRPr="00B50DB8" w:rsidRDefault="003828DB" w:rsidP="00321D09">
      <w:pPr>
        <w:pStyle w:val="ListParagraph"/>
        <w:widowControl/>
        <w:numPr>
          <w:ilvl w:val="1"/>
          <w:numId w:val="2"/>
        </w:numPr>
        <w:rPr>
          <w:szCs w:val="22"/>
        </w:rPr>
      </w:pPr>
      <w:r>
        <w:rPr>
          <w:szCs w:val="22"/>
        </w:rPr>
        <w:t>Results of the stepped economic evaluation ar</w:t>
      </w:r>
      <w:r w:rsidR="00217DD8">
        <w:rPr>
          <w:szCs w:val="22"/>
        </w:rPr>
        <w:t>e provided in the table below.</w:t>
      </w:r>
    </w:p>
    <w:p w:rsidR="00D83125" w:rsidRDefault="00D83125">
      <w:pPr>
        <w:widowControl/>
        <w:jc w:val="left"/>
        <w:rPr>
          <w:szCs w:val="22"/>
        </w:rPr>
      </w:pPr>
    </w:p>
    <w:p w:rsidR="003828DB" w:rsidRDefault="003828DB" w:rsidP="003828DB">
      <w:pPr>
        <w:keepNext/>
        <w:ind w:firstLine="720"/>
        <w:rPr>
          <w:rStyle w:val="CommentReference"/>
        </w:rPr>
      </w:pPr>
      <w:r w:rsidRPr="00315498">
        <w:rPr>
          <w:rStyle w:val="CommentReference"/>
        </w:rPr>
        <w:t xml:space="preserve">Table </w:t>
      </w:r>
      <w:r w:rsidR="005276E7">
        <w:rPr>
          <w:rStyle w:val="CommentReference"/>
        </w:rPr>
        <w:t>1</w:t>
      </w:r>
      <w:r w:rsidR="00CB498B">
        <w:rPr>
          <w:rStyle w:val="CommentReference"/>
        </w:rPr>
        <w:t>2</w:t>
      </w:r>
      <w:r w:rsidRPr="00315498">
        <w:rPr>
          <w:rStyle w:val="CommentReference"/>
        </w:rPr>
        <w:t xml:space="preserve">: Results of the stepped economic evaluation </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2: Results of the stepped economic evaluation "/>
      </w:tblPr>
      <w:tblGrid>
        <w:gridCol w:w="2087"/>
        <w:gridCol w:w="2086"/>
        <w:gridCol w:w="2086"/>
        <w:gridCol w:w="2086"/>
      </w:tblGrid>
      <w:tr w:rsidR="003828DB" w:rsidRPr="004E2ADC" w:rsidTr="003828DB">
        <w:trPr>
          <w:tblHeader/>
        </w:trPr>
        <w:tc>
          <w:tcPr>
            <w:tcW w:w="1250" w:type="pct"/>
            <w:vAlign w:val="center"/>
          </w:tcPr>
          <w:p w:rsidR="003828DB" w:rsidRPr="004E2ADC" w:rsidRDefault="003828DB" w:rsidP="0082480A">
            <w:pPr>
              <w:jc w:val="left"/>
              <w:rPr>
                <w:rFonts w:ascii="Arial Narrow" w:hAnsi="Arial Narrow" w:cs="Times New Roman"/>
                <w:b/>
                <w:sz w:val="20"/>
              </w:rPr>
            </w:pPr>
            <w:r w:rsidRPr="004E2ADC">
              <w:rPr>
                <w:rFonts w:ascii="Arial Narrow" w:hAnsi="Arial Narrow" w:cs="Times New Roman"/>
                <w:b/>
                <w:sz w:val="20"/>
              </w:rPr>
              <w:t>Step and component</w:t>
            </w:r>
          </w:p>
        </w:tc>
        <w:tc>
          <w:tcPr>
            <w:tcW w:w="1250" w:type="pct"/>
            <w:vAlign w:val="center"/>
          </w:tcPr>
          <w:p w:rsidR="003828DB" w:rsidRPr="004E2ADC" w:rsidRDefault="003828DB" w:rsidP="0082480A">
            <w:pPr>
              <w:jc w:val="center"/>
              <w:rPr>
                <w:rFonts w:ascii="Arial Narrow" w:hAnsi="Arial Narrow" w:cs="Times New Roman"/>
                <w:b/>
                <w:sz w:val="20"/>
              </w:rPr>
            </w:pPr>
            <w:r>
              <w:rPr>
                <w:rFonts w:ascii="Arial Narrow" w:hAnsi="Arial Narrow" w:cs="Times New Roman"/>
                <w:b/>
                <w:sz w:val="20"/>
              </w:rPr>
              <w:t>Nintedanib</w:t>
            </w:r>
          </w:p>
        </w:tc>
        <w:tc>
          <w:tcPr>
            <w:tcW w:w="1250" w:type="pct"/>
            <w:vAlign w:val="center"/>
          </w:tcPr>
          <w:p w:rsidR="003828DB" w:rsidRPr="004E2ADC" w:rsidRDefault="003828DB" w:rsidP="0082480A">
            <w:pPr>
              <w:jc w:val="center"/>
              <w:rPr>
                <w:rFonts w:ascii="Arial Narrow" w:hAnsi="Arial Narrow" w:cs="Times New Roman"/>
                <w:b/>
                <w:sz w:val="20"/>
              </w:rPr>
            </w:pPr>
            <w:r>
              <w:rPr>
                <w:rFonts w:ascii="Arial Narrow" w:hAnsi="Arial Narrow" w:cs="Times New Roman"/>
                <w:b/>
                <w:sz w:val="20"/>
              </w:rPr>
              <w:t>BSC</w:t>
            </w:r>
          </w:p>
        </w:tc>
        <w:tc>
          <w:tcPr>
            <w:tcW w:w="1250" w:type="pct"/>
            <w:vAlign w:val="center"/>
          </w:tcPr>
          <w:p w:rsidR="003828DB" w:rsidRPr="004E2ADC" w:rsidRDefault="003828DB" w:rsidP="0082480A">
            <w:pPr>
              <w:jc w:val="center"/>
              <w:rPr>
                <w:rFonts w:ascii="Arial Narrow" w:hAnsi="Arial Narrow" w:cs="Times New Roman"/>
                <w:b/>
                <w:sz w:val="20"/>
              </w:rPr>
            </w:pPr>
            <w:r w:rsidRPr="004E2ADC">
              <w:rPr>
                <w:rFonts w:ascii="Arial Narrow" w:hAnsi="Arial Narrow" w:cs="Times New Roman"/>
                <w:b/>
                <w:sz w:val="20"/>
              </w:rPr>
              <w:t>Increment</w:t>
            </w:r>
          </w:p>
        </w:tc>
      </w:tr>
      <w:tr w:rsidR="003828DB" w:rsidRPr="004E2ADC" w:rsidTr="003828DB">
        <w:tc>
          <w:tcPr>
            <w:tcW w:w="5000" w:type="pct"/>
            <w:gridSpan w:val="4"/>
            <w:vAlign w:val="center"/>
          </w:tcPr>
          <w:p w:rsidR="003828DB" w:rsidRPr="004E2ADC" w:rsidRDefault="003828DB" w:rsidP="0082480A">
            <w:pPr>
              <w:jc w:val="left"/>
              <w:rPr>
                <w:rFonts w:ascii="Arial Narrow" w:hAnsi="Arial Narrow" w:cs="Arial Narrow"/>
                <w:b/>
                <w:bCs/>
                <w:sz w:val="20"/>
              </w:rPr>
            </w:pPr>
            <w:r>
              <w:rPr>
                <w:rFonts w:ascii="Arial Narrow" w:hAnsi="Arial Narrow" w:cs="Arial Narrow"/>
                <w:b/>
                <w:bCs/>
                <w:sz w:val="20"/>
              </w:rPr>
              <w:t>Step 1: trial based economic evaluation (21 months)</w:t>
            </w:r>
          </w:p>
        </w:tc>
      </w:tr>
      <w:tr w:rsidR="003828DB" w:rsidRPr="00650031" w:rsidTr="003828DB">
        <w:tc>
          <w:tcPr>
            <w:tcW w:w="1250" w:type="pct"/>
            <w:vAlign w:val="center"/>
          </w:tcPr>
          <w:p w:rsidR="003828DB" w:rsidRPr="00650031" w:rsidRDefault="003828DB" w:rsidP="0082480A">
            <w:pPr>
              <w:jc w:val="left"/>
              <w:rPr>
                <w:rFonts w:ascii="Arial Narrow" w:hAnsi="Arial Narrow" w:cs="Times New Roman"/>
                <w:sz w:val="20"/>
              </w:rPr>
            </w:pPr>
            <w:r w:rsidRPr="00650031">
              <w:rPr>
                <w:rFonts w:ascii="Arial Narrow" w:hAnsi="Arial Narrow" w:cs="Times New Roman"/>
                <w:sz w:val="20"/>
              </w:rPr>
              <w:t>Costs</w:t>
            </w:r>
          </w:p>
        </w:tc>
        <w:tc>
          <w:tcPr>
            <w:tcW w:w="1250" w:type="pct"/>
            <w:vAlign w:val="center"/>
          </w:tcPr>
          <w:p w:rsidR="003828DB" w:rsidRPr="00650031" w:rsidRDefault="003828DB" w:rsidP="0082480A">
            <w:pPr>
              <w:jc w:val="center"/>
              <w:rPr>
                <w:rFonts w:ascii="Arial Narrow" w:hAnsi="Arial Narrow" w:cs="Times New Roman"/>
                <w:sz w:val="20"/>
              </w:rPr>
            </w:pPr>
            <w:r>
              <w:rPr>
                <w:rFonts w:ascii="Arial Narrow" w:hAnsi="Arial Narrow" w:cs="Times New Roman"/>
                <w:sz w:val="20"/>
              </w:rPr>
              <w:t>$</w:t>
            </w:r>
            <w:r w:rsidR="00F146E1">
              <w:rPr>
                <w:rFonts w:ascii="Arial Narrow" w:hAnsi="Arial Narrow" w:cs="Times New Roman"/>
                <w:noProof/>
                <w:color w:val="000000"/>
                <w:sz w:val="20"/>
                <w:highlight w:val="black"/>
              </w:rPr>
              <w:t>'''''''''''''''''</w:t>
            </w:r>
          </w:p>
        </w:tc>
        <w:tc>
          <w:tcPr>
            <w:tcW w:w="1250" w:type="pct"/>
            <w:vAlign w:val="center"/>
          </w:tcPr>
          <w:p w:rsidR="003828DB" w:rsidRPr="00650031" w:rsidRDefault="003828DB" w:rsidP="0082480A">
            <w:pPr>
              <w:jc w:val="center"/>
              <w:rPr>
                <w:rFonts w:ascii="Arial Narrow" w:hAnsi="Arial Narrow" w:cs="Times New Roman"/>
                <w:sz w:val="20"/>
              </w:rPr>
            </w:pPr>
            <w:r>
              <w:rPr>
                <w:rFonts w:ascii="Arial Narrow" w:hAnsi="Arial Narrow" w:cs="Times New Roman"/>
                <w:sz w:val="20"/>
              </w:rPr>
              <w:t>$695</w:t>
            </w:r>
          </w:p>
        </w:tc>
        <w:tc>
          <w:tcPr>
            <w:tcW w:w="1250" w:type="pct"/>
            <w:vAlign w:val="center"/>
          </w:tcPr>
          <w:p w:rsidR="003828DB" w:rsidRPr="00650031" w:rsidRDefault="003828DB" w:rsidP="0082480A">
            <w:pPr>
              <w:jc w:val="center"/>
              <w:rPr>
                <w:rFonts w:ascii="Arial Narrow" w:hAnsi="Arial Narrow" w:cs="Times New Roman"/>
                <w:sz w:val="20"/>
              </w:rPr>
            </w:pPr>
            <w:r>
              <w:rPr>
                <w:rFonts w:ascii="Arial Narrow" w:hAnsi="Arial Narrow" w:cs="Times New Roman"/>
                <w:sz w:val="20"/>
              </w:rPr>
              <w:t>$</w:t>
            </w:r>
            <w:r w:rsidR="00F146E1">
              <w:rPr>
                <w:rFonts w:ascii="Arial Narrow" w:hAnsi="Arial Narrow" w:cs="Times New Roman"/>
                <w:noProof/>
                <w:color w:val="000000"/>
                <w:sz w:val="20"/>
                <w:highlight w:val="black"/>
              </w:rPr>
              <w:t>''''''''''''''''''</w:t>
            </w:r>
          </w:p>
        </w:tc>
      </w:tr>
      <w:tr w:rsidR="003828DB" w:rsidRPr="00650031" w:rsidTr="003828DB">
        <w:tc>
          <w:tcPr>
            <w:tcW w:w="1250" w:type="pct"/>
            <w:vAlign w:val="center"/>
          </w:tcPr>
          <w:p w:rsidR="003828DB" w:rsidRPr="00650031" w:rsidRDefault="003828DB" w:rsidP="0082480A">
            <w:pPr>
              <w:jc w:val="left"/>
              <w:rPr>
                <w:rFonts w:ascii="Arial Narrow" w:hAnsi="Arial Narrow" w:cs="Times New Roman"/>
                <w:sz w:val="20"/>
              </w:rPr>
            </w:pPr>
            <w:r w:rsidRPr="00650031">
              <w:rPr>
                <w:rFonts w:ascii="Arial Narrow" w:hAnsi="Arial Narrow" w:cs="Times New Roman"/>
                <w:sz w:val="20"/>
              </w:rPr>
              <w:t>LYG</w:t>
            </w:r>
          </w:p>
        </w:tc>
        <w:tc>
          <w:tcPr>
            <w:tcW w:w="1250" w:type="pct"/>
            <w:vAlign w:val="center"/>
          </w:tcPr>
          <w:p w:rsidR="003828DB" w:rsidRPr="00F146E1" w:rsidRDefault="00F146E1" w:rsidP="0082480A">
            <w:pPr>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250" w:type="pct"/>
            <w:vAlign w:val="center"/>
          </w:tcPr>
          <w:p w:rsidR="003828DB" w:rsidRPr="00650031" w:rsidRDefault="003828DB" w:rsidP="0082480A">
            <w:pPr>
              <w:jc w:val="center"/>
              <w:rPr>
                <w:rFonts w:ascii="Arial Narrow" w:hAnsi="Arial Narrow" w:cs="Times New Roman"/>
                <w:sz w:val="20"/>
              </w:rPr>
            </w:pPr>
            <w:r>
              <w:rPr>
                <w:rFonts w:ascii="Arial Narrow" w:hAnsi="Arial Narrow" w:cs="Times New Roman"/>
                <w:sz w:val="20"/>
              </w:rPr>
              <w:t>1.4912</w:t>
            </w:r>
          </w:p>
        </w:tc>
        <w:tc>
          <w:tcPr>
            <w:tcW w:w="1250" w:type="pct"/>
            <w:vAlign w:val="center"/>
          </w:tcPr>
          <w:p w:rsidR="003828DB" w:rsidRPr="00F146E1" w:rsidRDefault="00F146E1" w:rsidP="0082480A">
            <w:pPr>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r>
      <w:tr w:rsidR="003828DB" w:rsidRPr="00650031" w:rsidTr="003828DB">
        <w:tc>
          <w:tcPr>
            <w:tcW w:w="3750" w:type="pct"/>
            <w:gridSpan w:val="3"/>
            <w:vAlign w:val="center"/>
          </w:tcPr>
          <w:p w:rsidR="003828DB" w:rsidRPr="00650031" w:rsidRDefault="003828DB" w:rsidP="0082480A">
            <w:pPr>
              <w:jc w:val="left"/>
              <w:rPr>
                <w:rFonts w:ascii="Arial Narrow" w:hAnsi="Arial Narrow" w:cs="Times New Roman"/>
                <w:sz w:val="20"/>
              </w:rPr>
            </w:pPr>
            <w:r w:rsidRPr="00650031">
              <w:rPr>
                <w:rFonts w:ascii="Arial Narrow" w:hAnsi="Arial Narrow" w:cs="Times New Roman"/>
                <w:b/>
                <w:snapToGrid/>
                <w:sz w:val="20"/>
              </w:rPr>
              <w:t>Incremental cost/LYG</w:t>
            </w:r>
          </w:p>
        </w:tc>
        <w:tc>
          <w:tcPr>
            <w:tcW w:w="1250" w:type="pct"/>
            <w:vAlign w:val="center"/>
          </w:tcPr>
          <w:p w:rsidR="003828DB" w:rsidRPr="00650031" w:rsidRDefault="003828DB" w:rsidP="0082480A">
            <w:pPr>
              <w:jc w:val="center"/>
              <w:rPr>
                <w:rFonts w:ascii="Arial Narrow" w:hAnsi="Arial Narrow" w:cs="Times New Roman"/>
                <w:sz w:val="20"/>
              </w:rPr>
            </w:pPr>
            <w:r>
              <w:rPr>
                <w:rFonts w:ascii="Arial Narrow" w:hAnsi="Arial Narrow" w:cs="Times New Roman"/>
                <w:sz w:val="20"/>
              </w:rPr>
              <w:t>$</w:t>
            </w:r>
            <w:r w:rsidR="00F146E1">
              <w:rPr>
                <w:rFonts w:ascii="Arial Narrow" w:hAnsi="Arial Narrow" w:cs="Times New Roman"/>
                <w:noProof/>
                <w:color w:val="000000"/>
                <w:sz w:val="20"/>
                <w:highlight w:val="black"/>
              </w:rPr>
              <w:t>''''''''''''''''''</w:t>
            </w:r>
          </w:p>
        </w:tc>
      </w:tr>
      <w:tr w:rsidR="003828DB" w:rsidRPr="004E2ADC" w:rsidTr="003828DB">
        <w:tc>
          <w:tcPr>
            <w:tcW w:w="5000" w:type="pct"/>
            <w:gridSpan w:val="4"/>
            <w:vAlign w:val="center"/>
          </w:tcPr>
          <w:p w:rsidR="003828DB" w:rsidRPr="004E2ADC" w:rsidRDefault="003828DB" w:rsidP="0082480A">
            <w:pPr>
              <w:jc w:val="left"/>
              <w:rPr>
                <w:rFonts w:ascii="Arial Narrow" w:hAnsi="Arial Narrow" w:cs="Arial Narrow"/>
                <w:b/>
                <w:bCs/>
                <w:sz w:val="20"/>
              </w:rPr>
            </w:pPr>
            <w:r>
              <w:rPr>
                <w:rFonts w:ascii="Arial Narrow" w:hAnsi="Arial Narrow" w:cs="Arial Narrow"/>
                <w:b/>
                <w:bCs/>
                <w:sz w:val="20"/>
              </w:rPr>
              <w:t>Step 2: modelled economic evaluation including healthcare resource utilisation (21 months)</w:t>
            </w:r>
          </w:p>
        </w:tc>
      </w:tr>
      <w:tr w:rsidR="003828DB" w:rsidRPr="004E2ADC" w:rsidTr="003828DB">
        <w:tc>
          <w:tcPr>
            <w:tcW w:w="1250" w:type="pct"/>
            <w:vAlign w:val="center"/>
          </w:tcPr>
          <w:p w:rsidR="003828DB" w:rsidRPr="004E2ADC" w:rsidRDefault="003828DB" w:rsidP="0082480A">
            <w:pPr>
              <w:jc w:val="left"/>
              <w:rPr>
                <w:rFonts w:ascii="Arial Narrow" w:hAnsi="Arial Narrow" w:cs="Times New Roman"/>
                <w:sz w:val="20"/>
              </w:rPr>
            </w:pPr>
            <w:r w:rsidRPr="004E2ADC">
              <w:rPr>
                <w:rFonts w:ascii="Arial Narrow" w:hAnsi="Arial Narrow" w:cs="Times New Roman"/>
                <w:sz w:val="20"/>
              </w:rPr>
              <w:t>Costs</w:t>
            </w:r>
          </w:p>
        </w:tc>
        <w:tc>
          <w:tcPr>
            <w:tcW w:w="1250" w:type="pct"/>
            <w:vAlign w:val="center"/>
          </w:tcPr>
          <w:p w:rsidR="003828DB" w:rsidRPr="000E61DE" w:rsidRDefault="003828DB" w:rsidP="0082480A">
            <w:pPr>
              <w:jc w:val="center"/>
              <w:rPr>
                <w:rFonts w:ascii="Arial Narrow" w:hAnsi="Arial Narrow" w:cs="Times New Roman"/>
                <w:sz w:val="20"/>
              </w:rPr>
            </w:pPr>
            <w:r>
              <w:rPr>
                <w:rFonts w:ascii="Arial Narrow" w:hAnsi="Arial Narrow" w:cs="Times New Roman"/>
                <w:sz w:val="20"/>
              </w:rPr>
              <w:t>$</w:t>
            </w:r>
            <w:r w:rsidR="00F146E1">
              <w:rPr>
                <w:rFonts w:ascii="Arial Narrow" w:hAnsi="Arial Narrow" w:cs="Times New Roman"/>
                <w:noProof/>
                <w:color w:val="000000"/>
                <w:sz w:val="20"/>
                <w:highlight w:val="black"/>
              </w:rPr>
              <w:t>''''''''''''''''''</w:t>
            </w:r>
          </w:p>
        </w:tc>
        <w:tc>
          <w:tcPr>
            <w:tcW w:w="1250" w:type="pct"/>
            <w:vAlign w:val="center"/>
          </w:tcPr>
          <w:p w:rsidR="003828DB" w:rsidRPr="004E2ADC" w:rsidRDefault="003828DB" w:rsidP="0082480A">
            <w:pPr>
              <w:jc w:val="center"/>
              <w:rPr>
                <w:rFonts w:ascii="Arial Narrow" w:hAnsi="Arial Narrow" w:cs="Times New Roman"/>
                <w:sz w:val="20"/>
              </w:rPr>
            </w:pPr>
            <w:r>
              <w:rPr>
                <w:rFonts w:ascii="Arial Narrow" w:hAnsi="Arial Narrow" w:cs="Times New Roman"/>
                <w:sz w:val="20"/>
              </w:rPr>
              <w:t>$4955</w:t>
            </w:r>
          </w:p>
        </w:tc>
        <w:tc>
          <w:tcPr>
            <w:tcW w:w="1250" w:type="pct"/>
            <w:vAlign w:val="center"/>
          </w:tcPr>
          <w:p w:rsidR="003828DB" w:rsidRPr="004E2ADC" w:rsidRDefault="003828DB" w:rsidP="0082480A">
            <w:pPr>
              <w:jc w:val="center"/>
              <w:rPr>
                <w:rFonts w:ascii="Arial Narrow" w:hAnsi="Arial Narrow" w:cs="Times New Roman"/>
                <w:sz w:val="20"/>
              </w:rPr>
            </w:pPr>
            <w:r>
              <w:rPr>
                <w:rFonts w:ascii="Arial Narrow" w:hAnsi="Arial Narrow" w:cs="Times New Roman"/>
                <w:sz w:val="20"/>
              </w:rPr>
              <w:t>$</w:t>
            </w:r>
            <w:r w:rsidR="00F146E1">
              <w:rPr>
                <w:rFonts w:ascii="Arial Narrow" w:hAnsi="Arial Narrow" w:cs="Times New Roman"/>
                <w:noProof/>
                <w:color w:val="000000"/>
                <w:sz w:val="20"/>
                <w:highlight w:val="black"/>
              </w:rPr>
              <w:t>'''''''''''''''</w:t>
            </w:r>
          </w:p>
        </w:tc>
      </w:tr>
      <w:tr w:rsidR="003828DB" w:rsidRPr="004E2ADC" w:rsidTr="003828DB">
        <w:tc>
          <w:tcPr>
            <w:tcW w:w="1250" w:type="pct"/>
            <w:vAlign w:val="center"/>
          </w:tcPr>
          <w:p w:rsidR="003828DB" w:rsidRPr="004E2ADC" w:rsidRDefault="003828DB" w:rsidP="0082480A">
            <w:pPr>
              <w:jc w:val="left"/>
              <w:rPr>
                <w:rFonts w:ascii="Arial Narrow" w:hAnsi="Arial Narrow" w:cs="Times New Roman"/>
                <w:sz w:val="20"/>
              </w:rPr>
            </w:pPr>
            <w:r>
              <w:rPr>
                <w:rFonts w:ascii="Arial Narrow" w:hAnsi="Arial Narrow" w:cs="Times New Roman"/>
                <w:sz w:val="20"/>
              </w:rPr>
              <w:t>LYG</w:t>
            </w:r>
          </w:p>
        </w:tc>
        <w:tc>
          <w:tcPr>
            <w:tcW w:w="1250" w:type="pct"/>
            <w:vAlign w:val="center"/>
          </w:tcPr>
          <w:p w:rsidR="003828DB" w:rsidRPr="00F146E1" w:rsidRDefault="00F146E1" w:rsidP="0082480A">
            <w:pPr>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250" w:type="pct"/>
            <w:vAlign w:val="center"/>
          </w:tcPr>
          <w:p w:rsidR="003828DB" w:rsidRPr="004E2ADC" w:rsidRDefault="003828DB" w:rsidP="0082480A">
            <w:pPr>
              <w:jc w:val="center"/>
              <w:rPr>
                <w:rFonts w:ascii="Arial Narrow" w:hAnsi="Arial Narrow" w:cs="Times New Roman"/>
                <w:sz w:val="20"/>
              </w:rPr>
            </w:pPr>
            <w:r>
              <w:rPr>
                <w:rFonts w:ascii="Arial Narrow" w:hAnsi="Arial Narrow" w:cs="Times New Roman"/>
                <w:sz w:val="20"/>
              </w:rPr>
              <w:t>1.4912</w:t>
            </w:r>
          </w:p>
        </w:tc>
        <w:tc>
          <w:tcPr>
            <w:tcW w:w="1250" w:type="pct"/>
            <w:vAlign w:val="center"/>
          </w:tcPr>
          <w:p w:rsidR="003828DB" w:rsidRPr="00F146E1" w:rsidRDefault="00F146E1" w:rsidP="0082480A">
            <w:pPr>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r>
      <w:tr w:rsidR="003828DB" w:rsidRPr="004E2ADC" w:rsidTr="003828DB">
        <w:trPr>
          <w:trHeight w:val="70"/>
        </w:trPr>
        <w:tc>
          <w:tcPr>
            <w:tcW w:w="3750" w:type="pct"/>
            <w:gridSpan w:val="3"/>
            <w:vAlign w:val="center"/>
          </w:tcPr>
          <w:p w:rsidR="003828DB" w:rsidRPr="004E2ADC" w:rsidRDefault="003828DB" w:rsidP="0082480A">
            <w:pPr>
              <w:jc w:val="left"/>
              <w:rPr>
                <w:rFonts w:ascii="Arial Narrow" w:hAnsi="Arial Narrow" w:cs="Times New Roman"/>
                <w:sz w:val="20"/>
              </w:rPr>
            </w:pPr>
            <w:r w:rsidRPr="004E2ADC">
              <w:rPr>
                <w:rFonts w:ascii="Arial Narrow" w:hAnsi="Arial Narrow" w:cs="Times New Roman"/>
                <w:b/>
                <w:snapToGrid/>
                <w:sz w:val="20"/>
              </w:rPr>
              <w:t xml:space="preserve">Incremental </w:t>
            </w:r>
            <w:r>
              <w:rPr>
                <w:rFonts w:ascii="Arial Narrow" w:hAnsi="Arial Narrow" w:cs="Times New Roman"/>
                <w:b/>
                <w:snapToGrid/>
                <w:sz w:val="20"/>
              </w:rPr>
              <w:t>cost/LYG</w:t>
            </w:r>
          </w:p>
        </w:tc>
        <w:tc>
          <w:tcPr>
            <w:tcW w:w="1250" w:type="pct"/>
            <w:vAlign w:val="center"/>
          </w:tcPr>
          <w:p w:rsidR="003828DB" w:rsidRPr="004E2ADC" w:rsidRDefault="003828DB" w:rsidP="0082480A">
            <w:pPr>
              <w:jc w:val="center"/>
              <w:rPr>
                <w:rFonts w:ascii="Arial Narrow" w:hAnsi="Arial Narrow" w:cs="Times New Roman"/>
                <w:sz w:val="20"/>
              </w:rPr>
            </w:pPr>
            <w:r>
              <w:rPr>
                <w:rFonts w:ascii="Arial Narrow" w:hAnsi="Arial Narrow" w:cs="Times New Roman"/>
                <w:sz w:val="20"/>
              </w:rPr>
              <w:t>$</w:t>
            </w:r>
            <w:r w:rsidR="00F146E1">
              <w:rPr>
                <w:rFonts w:ascii="Arial Narrow" w:hAnsi="Arial Narrow" w:cs="Times New Roman"/>
                <w:noProof/>
                <w:color w:val="000000"/>
                <w:sz w:val="20"/>
                <w:highlight w:val="black"/>
              </w:rPr>
              <w:t>'''''''''''''''''''</w:t>
            </w:r>
          </w:p>
        </w:tc>
      </w:tr>
      <w:tr w:rsidR="003828DB" w:rsidRPr="004E2ADC" w:rsidTr="003828DB">
        <w:tc>
          <w:tcPr>
            <w:tcW w:w="5000" w:type="pct"/>
            <w:gridSpan w:val="4"/>
            <w:vAlign w:val="center"/>
          </w:tcPr>
          <w:p w:rsidR="003828DB" w:rsidRPr="004E2ADC" w:rsidRDefault="003828DB" w:rsidP="0082480A">
            <w:pPr>
              <w:jc w:val="left"/>
              <w:rPr>
                <w:rFonts w:ascii="Arial Narrow" w:hAnsi="Arial Narrow" w:cs="Arial Narrow"/>
                <w:b/>
                <w:bCs/>
                <w:sz w:val="20"/>
              </w:rPr>
            </w:pPr>
            <w:r>
              <w:rPr>
                <w:rFonts w:ascii="Arial Narrow" w:hAnsi="Arial Narrow" w:cs="Arial Narrow"/>
                <w:b/>
                <w:bCs/>
                <w:sz w:val="20"/>
              </w:rPr>
              <w:t>Step 3: modelled economic evaluation including extrapolation (10 years)</w:t>
            </w:r>
          </w:p>
        </w:tc>
      </w:tr>
      <w:tr w:rsidR="003828DB" w:rsidRPr="004E2ADC" w:rsidTr="003828DB">
        <w:tc>
          <w:tcPr>
            <w:tcW w:w="1250" w:type="pct"/>
            <w:vAlign w:val="center"/>
          </w:tcPr>
          <w:p w:rsidR="003828DB" w:rsidRPr="004E2ADC" w:rsidRDefault="003828DB" w:rsidP="0082480A">
            <w:pPr>
              <w:jc w:val="left"/>
              <w:rPr>
                <w:rFonts w:ascii="Arial Narrow" w:hAnsi="Arial Narrow" w:cs="Times New Roman"/>
                <w:sz w:val="20"/>
              </w:rPr>
            </w:pPr>
            <w:r w:rsidRPr="004E2ADC">
              <w:rPr>
                <w:rFonts w:ascii="Arial Narrow" w:hAnsi="Arial Narrow" w:cs="Times New Roman"/>
                <w:sz w:val="20"/>
              </w:rPr>
              <w:t>Costs</w:t>
            </w:r>
          </w:p>
        </w:tc>
        <w:tc>
          <w:tcPr>
            <w:tcW w:w="1250" w:type="pct"/>
            <w:vAlign w:val="center"/>
          </w:tcPr>
          <w:p w:rsidR="003828DB" w:rsidRPr="004E2ADC" w:rsidRDefault="003828DB" w:rsidP="0082480A">
            <w:pPr>
              <w:jc w:val="center"/>
              <w:rPr>
                <w:rFonts w:ascii="Arial Narrow" w:hAnsi="Arial Narrow" w:cs="Times New Roman"/>
                <w:sz w:val="20"/>
              </w:rPr>
            </w:pPr>
            <w:r>
              <w:rPr>
                <w:rFonts w:ascii="Arial Narrow" w:hAnsi="Arial Narrow" w:cs="Times New Roman"/>
                <w:sz w:val="20"/>
              </w:rPr>
              <w:t>$</w:t>
            </w:r>
            <w:r w:rsidR="00F146E1">
              <w:rPr>
                <w:rFonts w:ascii="Arial Narrow" w:hAnsi="Arial Narrow" w:cs="Times New Roman"/>
                <w:noProof/>
                <w:color w:val="000000"/>
                <w:sz w:val="20"/>
                <w:highlight w:val="black"/>
              </w:rPr>
              <w:t>'''''''''''''''''</w:t>
            </w:r>
          </w:p>
        </w:tc>
        <w:tc>
          <w:tcPr>
            <w:tcW w:w="1250" w:type="pct"/>
            <w:vAlign w:val="center"/>
          </w:tcPr>
          <w:p w:rsidR="003828DB" w:rsidRPr="004E2ADC" w:rsidRDefault="003828DB" w:rsidP="0082480A">
            <w:pPr>
              <w:jc w:val="center"/>
              <w:rPr>
                <w:rFonts w:ascii="Arial Narrow" w:hAnsi="Arial Narrow" w:cs="Times New Roman"/>
                <w:sz w:val="20"/>
              </w:rPr>
            </w:pPr>
            <w:r>
              <w:rPr>
                <w:rFonts w:ascii="Arial Narrow" w:hAnsi="Arial Narrow" w:cs="Times New Roman"/>
                <w:sz w:val="20"/>
              </w:rPr>
              <w:t>$9,72</w:t>
            </w:r>
            <w:r w:rsidR="00B7145C">
              <w:rPr>
                <w:rFonts w:ascii="Arial Narrow" w:hAnsi="Arial Narrow" w:cs="Times New Roman"/>
                <w:sz w:val="20"/>
              </w:rPr>
              <w:t>4</w:t>
            </w:r>
          </w:p>
        </w:tc>
        <w:tc>
          <w:tcPr>
            <w:tcW w:w="1250" w:type="pct"/>
            <w:vAlign w:val="center"/>
          </w:tcPr>
          <w:p w:rsidR="003828DB" w:rsidRPr="004E2ADC" w:rsidRDefault="003828DB" w:rsidP="0082480A">
            <w:pPr>
              <w:jc w:val="center"/>
              <w:rPr>
                <w:rFonts w:ascii="Arial Narrow" w:hAnsi="Arial Narrow" w:cs="Times New Roman"/>
                <w:sz w:val="20"/>
              </w:rPr>
            </w:pPr>
            <w:r>
              <w:rPr>
                <w:rFonts w:ascii="Arial Narrow" w:hAnsi="Arial Narrow" w:cs="Times New Roman"/>
                <w:sz w:val="20"/>
              </w:rPr>
              <w:t>$</w:t>
            </w:r>
            <w:r w:rsidR="00F146E1">
              <w:rPr>
                <w:rFonts w:ascii="Arial Narrow" w:hAnsi="Arial Narrow" w:cs="Times New Roman"/>
                <w:noProof/>
                <w:color w:val="000000"/>
                <w:sz w:val="20"/>
                <w:highlight w:val="black"/>
              </w:rPr>
              <w:t>''''''''''''''''</w:t>
            </w:r>
          </w:p>
        </w:tc>
      </w:tr>
      <w:tr w:rsidR="003828DB" w:rsidRPr="004E2ADC" w:rsidTr="003828DB">
        <w:tc>
          <w:tcPr>
            <w:tcW w:w="1250" w:type="pct"/>
            <w:vAlign w:val="center"/>
          </w:tcPr>
          <w:p w:rsidR="003828DB" w:rsidRPr="004E2ADC" w:rsidRDefault="003828DB" w:rsidP="0082480A">
            <w:pPr>
              <w:jc w:val="left"/>
              <w:rPr>
                <w:rFonts w:ascii="Arial Narrow" w:hAnsi="Arial Narrow" w:cs="Times New Roman"/>
                <w:sz w:val="20"/>
              </w:rPr>
            </w:pPr>
            <w:r>
              <w:rPr>
                <w:rFonts w:ascii="Arial Narrow" w:hAnsi="Arial Narrow" w:cs="Times New Roman"/>
                <w:sz w:val="20"/>
              </w:rPr>
              <w:t>LYG</w:t>
            </w:r>
          </w:p>
        </w:tc>
        <w:tc>
          <w:tcPr>
            <w:tcW w:w="1250" w:type="pct"/>
            <w:vAlign w:val="center"/>
          </w:tcPr>
          <w:p w:rsidR="003828DB" w:rsidRPr="00F146E1" w:rsidRDefault="00F146E1" w:rsidP="0082480A">
            <w:pPr>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250" w:type="pct"/>
            <w:vAlign w:val="center"/>
          </w:tcPr>
          <w:p w:rsidR="003828DB" w:rsidRPr="004E2ADC" w:rsidRDefault="003828DB" w:rsidP="0082480A">
            <w:pPr>
              <w:jc w:val="center"/>
              <w:rPr>
                <w:rFonts w:ascii="Arial Narrow" w:hAnsi="Arial Narrow" w:cs="Times New Roman"/>
                <w:sz w:val="20"/>
              </w:rPr>
            </w:pPr>
            <w:r>
              <w:rPr>
                <w:rFonts w:ascii="Arial Narrow" w:hAnsi="Arial Narrow" w:cs="Times New Roman"/>
                <w:sz w:val="20"/>
              </w:rPr>
              <w:t>2.7798</w:t>
            </w:r>
          </w:p>
        </w:tc>
        <w:tc>
          <w:tcPr>
            <w:tcW w:w="1250" w:type="pct"/>
            <w:vAlign w:val="center"/>
          </w:tcPr>
          <w:p w:rsidR="003828DB" w:rsidRPr="00F146E1" w:rsidRDefault="00F146E1" w:rsidP="0082480A">
            <w:pPr>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r>
      <w:tr w:rsidR="003828DB" w:rsidRPr="004E2ADC" w:rsidTr="003828DB">
        <w:tc>
          <w:tcPr>
            <w:tcW w:w="3750" w:type="pct"/>
            <w:gridSpan w:val="3"/>
            <w:vAlign w:val="center"/>
          </w:tcPr>
          <w:p w:rsidR="003828DB" w:rsidRPr="004E2ADC" w:rsidRDefault="003828DB" w:rsidP="0082480A">
            <w:pPr>
              <w:jc w:val="left"/>
              <w:rPr>
                <w:rFonts w:ascii="Arial Narrow" w:hAnsi="Arial Narrow" w:cs="Times New Roman"/>
                <w:b/>
                <w:sz w:val="20"/>
              </w:rPr>
            </w:pPr>
            <w:r w:rsidRPr="004E2ADC">
              <w:rPr>
                <w:rFonts w:ascii="Arial Narrow" w:hAnsi="Arial Narrow" w:cs="Times New Roman"/>
                <w:b/>
                <w:sz w:val="20"/>
              </w:rPr>
              <w:t>Incremental cost/</w:t>
            </w:r>
            <w:r>
              <w:rPr>
                <w:rFonts w:ascii="Arial Narrow" w:hAnsi="Arial Narrow" w:cs="Times New Roman"/>
                <w:b/>
                <w:sz w:val="20"/>
              </w:rPr>
              <w:t>LYG</w:t>
            </w:r>
          </w:p>
        </w:tc>
        <w:tc>
          <w:tcPr>
            <w:tcW w:w="1250" w:type="pct"/>
            <w:vAlign w:val="center"/>
          </w:tcPr>
          <w:p w:rsidR="003828DB" w:rsidRPr="004426F3" w:rsidRDefault="003828DB" w:rsidP="0082480A">
            <w:pPr>
              <w:jc w:val="center"/>
              <w:rPr>
                <w:rFonts w:ascii="Arial Narrow" w:hAnsi="Arial Narrow" w:cs="Times New Roman"/>
                <w:sz w:val="20"/>
              </w:rPr>
            </w:pPr>
            <w:r>
              <w:rPr>
                <w:rFonts w:ascii="Arial Narrow" w:hAnsi="Arial Narrow" w:cs="Times New Roman"/>
                <w:sz w:val="20"/>
              </w:rPr>
              <w:t>$</w:t>
            </w:r>
            <w:r w:rsidR="00F146E1">
              <w:rPr>
                <w:rFonts w:ascii="Arial Narrow" w:hAnsi="Arial Narrow" w:cs="Times New Roman"/>
                <w:noProof/>
                <w:color w:val="000000"/>
                <w:sz w:val="20"/>
                <w:highlight w:val="black"/>
              </w:rPr>
              <w:t>'''''''''''''''''''''</w:t>
            </w:r>
          </w:p>
        </w:tc>
      </w:tr>
      <w:tr w:rsidR="003828DB" w:rsidRPr="004E2ADC" w:rsidTr="003828DB">
        <w:tc>
          <w:tcPr>
            <w:tcW w:w="5000" w:type="pct"/>
            <w:gridSpan w:val="4"/>
            <w:vAlign w:val="center"/>
          </w:tcPr>
          <w:p w:rsidR="003828DB" w:rsidRPr="004E2ADC" w:rsidRDefault="003828DB" w:rsidP="0082480A">
            <w:pPr>
              <w:jc w:val="left"/>
              <w:rPr>
                <w:rFonts w:ascii="Arial Narrow" w:hAnsi="Arial Narrow" w:cs="Arial Narrow"/>
                <w:b/>
                <w:bCs/>
                <w:sz w:val="20"/>
              </w:rPr>
            </w:pPr>
            <w:r>
              <w:rPr>
                <w:rFonts w:ascii="Arial Narrow" w:hAnsi="Arial Narrow" w:cs="Arial Narrow"/>
                <w:b/>
                <w:bCs/>
                <w:sz w:val="20"/>
              </w:rPr>
              <w:t>Step 4: modelled economic evaluation including utilities (10 years)</w:t>
            </w:r>
          </w:p>
        </w:tc>
      </w:tr>
      <w:tr w:rsidR="003828DB" w:rsidRPr="004E2ADC" w:rsidTr="003828DB">
        <w:tc>
          <w:tcPr>
            <w:tcW w:w="1250" w:type="pct"/>
            <w:vAlign w:val="center"/>
          </w:tcPr>
          <w:p w:rsidR="003828DB" w:rsidRPr="004E2ADC" w:rsidRDefault="003828DB" w:rsidP="0082480A">
            <w:pPr>
              <w:jc w:val="left"/>
              <w:rPr>
                <w:rFonts w:ascii="Arial Narrow" w:hAnsi="Arial Narrow" w:cs="Times New Roman"/>
                <w:sz w:val="20"/>
              </w:rPr>
            </w:pPr>
            <w:r w:rsidRPr="004E2ADC">
              <w:rPr>
                <w:rFonts w:ascii="Arial Narrow" w:hAnsi="Arial Narrow" w:cs="Times New Roman"/>
                <w:sz w:val="20"/>
              </w:rPr>
              <w:t>Costs</w:t>
            </w:r>
          </w:p>
        </w:tc>
        <w:tc>
          <w:tcPr>
            <w:tcW w:w="1250" w:type="pct"/>
            <w:vAlign w:val="center"/>
          </w:tcPr>
          <w:p w:rsidR="003828DB" w:rsidRPr="004E2ADC" w:rsidRDefault="003828DB" w:rsidP="0082480A">
            <w:pPr>
              <w:jc w:val="center"/>
              <w:rPr>
                <w:rFonts w:ascii="Arial Narrow" w:hAnsi="Arial Narrow" w:cs="Times New Roman"/>
                <w:sz w:val="20"/>
              </w:rPr>
            </w:pPr>
            <w:r>
              <w:rPr>
                <w:rFonts w:ascii="Arial Narrow" w:hAnsi="Arial Narrow" w:cs="Times New Roman"/>
                <w:sz w:val="20"/>
              </w:rPr>
              <w:t>$</w:t>
            </w:r>
            <w:r w:rsidR="00F146E1">
              <w:rPr>
                <w:rFonts w:ascii="Arial Narrow" w:hAnsi="Arial Narrow" w:cs="Times New Roman"/>
                <w:noProof/>
                <w:color w:val="000000"/>
                <w:sz w:val="20"/>
                <w:highlight w:val="black"/>
              </w:rPr>
              <w:t>''''''''''''''''</w:t>
            </w:r>
          </w:p>
        </w:tc>
        <w:tc>
          <w:tcPr>
            <w:tcW w:w="1250" w:type="pct"/>
            <w:vAlign w:val="center"/>
          </w:tcPr>
          <w:p w:rsidR="003828DB" w:rsidRPr="004E2ADC" w:rsidRDefault="003828DB" w:rsidP="0082480A">
            <w:pPr>
              <w:jc w:val="center"/>
              <w:rPr>
                <w:rFonts w:ascii="Arial Narrow" w:hAnsi="Arial Narrow" w:cs="Times New Roman"/>
                <w:sz w:val="20"/>
              </w:rPr>
            </w:pPr>
            <w:r>
              <w:rPr>
                <w:rFonts w:ascii="Arial Narrow" w:hAnsi="Arial Narrow" w:cs="Times New Roman"/>
                <w:sz w:val="20"/>
              </w:rPr>
              <w:t>$9,72</w:t>
            </w:r>
            <w:r w:rsidR="00B7145C">
              <w:rPr>
                <w:rFonts w:ascii="Arial Narrow" w:hAnsi="Arial Narrow" w:cs="Times New Roman"/>
                <w:sz w:val="20"/>
              </w:rPr>
              <w:t>4</w:t>
            </w:r>
          </w:p>
        </w:tc>
        <w:tc>
          <w:tcPr>
            <w:tcW w:w="1250" w:type="pct"/>
            <w:vAlign w:val="center"/>
          </w:tcPr>
          <w:p w:rsidR="003828DB" w:rsidRPr="004E2ADC" w:rsidRDefault="003828DB" w:rsidP="0082480A">
            <w:pPr>
              <w:jc w:val="center"/>
              <w:rPr>
                <w:rFonts w:ascii="Arial Narrow" w:hAnsi="Arial Narrow" w:cs="Times New Roman"/>
                <w:sz w:val="20"/>
              </w:rPr>
            </w:pPr>
            <w:r>
              <w:rPr>
                <w:rFonts w:ascii="Arial Narrow" w:hAnsi="Arial Narrow" w:cs="Times New Roman"/>
                <w:sz w:val="20"/>
              </w:rPr>
              <w:t>$</w:t>
            </w:r>
            <w:r w:rsidR="00F146E1">
              <w:rPr>
                <w:rFonts w:ascii="Arial Narrow" w:hAnsi="Arial Narrow" w:cs="Times New Roman"/>
                <w:noProof/>
                <w:color w:val="000000"/>
                <w:sz w:val="20"/>
                <w:highlight w:val="black"/>
              </w:rPr>
              <w:t>''''''''''''''''</w:t>
            </w:r>
          </w:p>
        </w:tc>
      </w:tr>
      <w:tr w:rsidR="003828DB" w:rsidRPr="004E2ADC" w:rsidTr="003828DB">
        <w:tc>
          <w:tcPr>
            <w:tcW w:w="1250" w:type="pct"/>
            <w:vAlign w:val="center"/>
          </w:tcPr>
          <w:p w:rsidR="003828DB" w:rsidRPr="004E2ADC" w:rsidRDefault="003828DB" w:rsidP="0082480A">
            <w:pPr>
              <w:jc w:val="left"/>
              <w:rPr>
                <w:rFonts w:ascii="Arial Narrow" w:hAnsi="Arial Narrow" w:cs="Times New Roman"/>
                <w:sz w:val="20"/>
              </w:rPr>
            </w:pPr>
            <w:r>
              <w:rPr>
                <w:rFonts w:ascii="Arial Narrow" w:hAnsi="Arial Narrow" w:cs="Times New Roman"/>
                <w:sz w:val="20"/>
              </w:rPr>
              <w:t>QALY</w:t>
            </w:r>
          </w:p>
        </w:tc>
        <w:tc>
          <w:tcPr>
            <w:tcW w:w="1250" w:type="pct"/>
            <w:vAlign w:val="center"/>
          </w:tcPr>
          <w:p w:rsidR="003828DB" w:rsidRPr="00F146E1" w:rsidRDefault="00F146E1" w:rsidP="0082480A">
            <w:pPr>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250" w:type="pct"/>
            <w:vAlign w:val="center"/>
          </w:tcPr>
          <w:p w:rsidR="003828DB" w:rsidRPr="004E2ADC" w:rsidRDefault="003828DB" w:rsidP="0082480A">
            <w:pPr>
              <w:jc w:val="center"/>
              <w:rPr>
                <w:rFonts w:ascii="Arial Narrow" w:hAnsi="Arial Narrow" w:cs="Times New Roman"/>
                <w:sz w:val="20"/>
              </w:rPr>
            </w:pPr>
            <w:r>
              <w:rPr>
                <w:rFonts w:ascii="Arial Narrow" w:hAnsi="Arial Narrow" w:cs="Times New Roman"/>
                <w:sz w:val="20"/>
              </w:rPr>
              <w:t>2.1432</w:t>
            </w:r>
          </w:p>
        </w:tc>
        <w:tc>
          <w:tcPr>
            <w:tcW w:w="1250" w:type="pct"/>
            <w:vAlign w:val="center"/>
          </w:tcPr>
          <w:p w:rsidR="003828DB" w:rsidRPr="00F146E1" w:rsidRDefault="00F146E1" w:rsidP="0082480A">
            <w:pPr>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r>
      <w:tr w:rsidR="003828DB" w:rsidRPr="004E2ADC" w:rsidTr="003828DB">
        <w:trPr>
          <w:trHeight w:val="70"/>
        </w:trPr>
        <w:tc>
          <w:tcPr>
            <w:tcW w:w="3750" w:type="pct"/>
            <w:gridSpan w:val="3"/>
            <w:vAlign w:val="center"/>
          </w:tcPr>
          <w:p w:rsidR="003828DB" w:rsidRPr="004E2ADC" w:rsidRDefault="003828DB" w:rsidP="0082480A">
            <w:pPr>
              <w:jc w:val="left"/>
              <w:rPr>
                <w:rFonts w:ascii="Arial Narrow" w:hAnsi="Arial Narrow" w:cs="Times New Roman"/>
                <w:b/>
                <w:sz w:val="20"/>
              </w:rPr>
            </w:pPr>
            <w:r w:rsidRPr="004E2ADC">
              <w:rPr>
                <w:rFonts w:ascii="Arial Narrow" w:hAnsi="Arial Narrow" w:cs="Times New Roman"/>
                <w:b/>
                <w:sz w:val="20"/>
              </w:rPr>
              <w:t>Incremental cost/</w:t>
            </w:r>
            <w:r>
              <w:rPr>
                <w:rFonts w:ascii="Arial Narrow" w:hAnsi="Arial Narrow" w:cs="Times New Roman"/>
                <w:b/>
                <w:sz w:val="20"/>
              </w:rPr>
              <w:t>QALY</w:t>
            </w:r>
          </w:p>
        </w:tc>
        <w:tc>
          <w:tcPr>
            <w:tcW w:w="1250" w:type="pct"/>
            <w:vAlign w:val="center"/>
          </w:tcPr>
          <w:p w:rsidR="003828DB" w:rsidRPr="00DA1BF4" w:rsidRDefault="00C92D05" w:rsidP="0082480A">
            <w:pPr>
              <w:jc w:val="center"/>
              <w:rPr>
                <w:rFonts w:ascii="Arial Narrow" w:hAnsi="Arial Narrow" w:cs="Times New Roman"/>
                <w:sz w:val="20"/>
              </w:rPr>
            </w:pPr>
            <w:r>
              <w:rPr>
                <w:rFonts w:ascii="Arial Narrow" w:hAnsi="Arial Narrow" w:cs="Times New Roman"/>
                <w:sz w:val="20"/>
              </w:rPr>
              <w:t>$</w:t>
            </w:r>
            <w:r w:rsidR="00F146E1">
              <w:rPr>
                <w:rFonts w:ascii="Arial Narrow" w:hAnsi="Arial Narrow" w:cs="Times New Roman"/>
                <w:noProof/>
                <w:color w:val="000000"/>
                <w:sz w:val="20"/>
                <w:highlight w:val="black"/>
              </w:rPr>
              <w:t>'''''''''''''''''''</w:t>
            </w:r>
          </w:p>
        </w:tc>
      </w:tr>
      <w:tr w:rsidR="003828DB" w:rsidRPr="004E2ADC" w:rsidTr="003828DB">
        <w:tc>
          <w:tcPr>
            <w:tcW w:w="5000" w:type="pct"/>
            <w:gridSpan w:val="4"/>
            <w:vAlign w:val="center"/>
          </w:tcPr>
          <w:p w:rsidR="003828DB" w:rsidRPr="004E2ADC" w:rsidRDefault="003828DB" w:rsidP="0082480A">
            <w:pPr>
              <w:jc w:val="left"/>
              <w:rPr>
                <w:rFonts w:ascii="Arial Narrow" w:hAnsi="Arial Narrow" w:cs="Arial Narrow"/>
                <w:b/>
                <w:bCs/>
                <w:sz w:val="20"/>
              </w:rPr>
            </w:pPr>
            <w:r>
              <w:rPr>
                <w:rFonts w:ascii="Arial Narrow" w:hAnsi="Arial Narrow" w:cs="Arial Narrow"/>
                <w:b/>
                <w:bCs/>
                <w:sz w:val="20"/>
              </w:rPr>
              <w:t>Step 5: modelled economic evaluation including proposed RSA (10 years)</w:t>
            </w:r>
          </w:p>
        </w:tc>
      </w:tr>
      <w:tr w:rsidR="003828DB" w:rsidRPr="004E2ADC" w:rsidTr="003828DB">
        <w:tc>
          <w:tcPr>
            <w:tcW w:w="1250" w:type="pct"/>
            <w:vAlign w:val="center"/>
          </w:tcPr>
          <w:p w:rsidR="003828DB" w:rsidRPr="004E2ADC" w:rsidRDefault="003828DB" w:rsidP="0082480A">
            <w:pPr>
              <w:jc w:val="left"/>
              <w:rPr>
                <w:rFonts w:ascii="Arial Narrow" w:hAnsi="Arial Narrow" w:cs="Times New Roman"/>
                <w:sz w:val="20"/>
              </w:rPr>
            </w:pPr>
            <w:r w:rsidRPr="004E2ADC">
              <w:rPr>
                <w:rFonts w:ascii="Arial Narrow" w:hAnsi="Arial Narrow" w:cs="Times New Roman"/>
                <w:sz w:val="20"/>
              </w:rPr>
              <w:t>Costs</w:t>
            </w:r>
          </w:p>
        </w:tc>
        <w:tc>
          <w:tcPr>
            <w:tcW w:w="1250" w:type="pct"/>
            <w:vAlign w:val="center"/>
          </w:tcPr>
          <w:p w:rsidR="003828DB" w:rsidRPr="004E2ADC" w:rsidRDefault="003828DB" w:rsidP="0082480A">
            <w:pPr>
              <w:jc w:val="center"/>
              <w:rPr>
                <w:rFonts w:ascii="Arial Narrow" w:hAnsi="Arial Narrow" w:cs="Times New Roman"/>
                <w:sz w:val="20"/>
              </w:rPr>
            </w:pPr>
            <w:r>
              <w:rPr>
                <w:rFonts w:ascii="Arial Narrow" w:hAnsi="Arial Narrow" w:cs="Times New Roman"/>
                <w:sz w:val="20"/>
              </w:rPr>
              <w:t>$</w:t>
            </w:r>
            <w:r w:rsidR="00F146E1">
              <w:rPr>
                <w:rFonts w:ascii="Arial Narrow" w:hAnsi="Arial Narrow" w:cs="Times New Roman"/>
                <w:noProof/>
                <w:color w:val="000000"/>
                <w:sz w:val="20"/>
                <w:highlight w:val="black"/>
              </w:rPr>
              <w:t>''''''''''''''''</w:t>
            </w:r>
          </w:p>
        </w:tc>
        <w:tc>
          <w:tcPr>
            <w:tcW w:w="1250" w:type="pct"/>
            <w:vAlign w:val="center"/>
          </w:tcPr>
          <w:p w:rsidR="003828DB" w:rsidRPr="004E2ADC" w:rsidRDefault="003828DB" w:rsidP="0082480A">
            <w:pPr>
              <w:jc w:val="center"/>
              <w:rPr>
                <w:rFonts w:ascii="Arial Narrow" w:hAnsi="Arial Narrow" w:cs="Times New Roman"/>
                <w:sz w:val="20"/>
              </w:rPr>
            </w:pPr>
            <w:r>
              <w:rPr>
                <w:rFonts w:ascii="Arial Narrow" w:hAnsi="Arial Narrow" w:cs="Times New Roman"/>
                <w:sz w:val="20"/>
              </w:rPr>
              <w:t>$9,72</w:t>
            </w:r>
            <w:r w:rsidR="00C92D05">
              <w:rPr>
                <w:rFonts w:ascii="Arial Narrow" w:hAnsi="Arial Narrow" w:cs="Times New Roman"/>
                <w:sz w:val="20"/>
              </w:rPr>
              <w:t>4</w:t>
            </w:r>
          </w:p>
        </w:tc>
        <w:tc>
          <w:tcPr>
            <w:tcW w:w="1250" w:type="pct"/>
            <w:vAlign w:val="center"/>
          </w:tcPr>
          <w:p w:rsidR="003828DB" w:rsidRPr="004E2ADC" w:rsidRDefault="003828DB" w:rsidP="0082480A">
            <w:pPr>
              <w:jc w:val="center"/>
              <w:rPr>
                <w:rFonts w:ascii="Arial Narrow" w:hAnsi="Arial Narrow" w:cs="Times New Roman"/>
                <w:sz w:val="20"/>
              </w:rPr>
            </w:pPr>
            <w:r>
              <w:rPr>
                <w:rFonts w:ascii="Arial Narrow" w:hAnsi="Arial Narrow" w:cs="Times New Roman"/>
                <w:sz w:val="20"/>
              </w:rPr>
              <w:t>$</w:t>
            </w:r>
            <w:r w:rsidR="00F146E1">
              <w:rPr>
                <w:rFonts w:ascii="Arial Narrow" w:hAnsi="Arial Narrow" w:cs="Times New Roman"/>
                <w:noProof/>
                <w:color w:val="000000"/>
                <w:sz w:val="20"/>
                <w:highlight w:val="black"/>
              </w:rPr>
              <w:t>'''''''''''''''''</w:t>
            </w:r>
          </w:p>
        </w:tc>
      </w:tr>
      <w:tr w:rsidR="003828DB" w:rsidRPr="004E2ADC" w:rsidTr="003828DB">
        <w:tc>
          <w:tcPr>
            <w:tcW w:w="1250" w:type="pct"/>
            <w:vAlign w:val="center"/>
          </w:tcPr>
          <w:p w:rsidR="003828DB" w:rsidRPr="004E2ADC" w:rsidRDefault="003828DB" w:rsidP="0082480A">
            <w:pPr>
              <w:jc w:val="left"/>
              <w:rPr>
                <w:rFonts w:ascii="Arial Narrow" w:hAnsi="Arial Narrow" w:cs="Times New Roman"/>
                <w:sz w:val="20"/>
              </w:rPr>
            </w:pPr>
            <w:r>
              <w:rPr>
                <w:rFonts w:ascii="Arial Narrow" w:hAnsi="Arial Narrow" w:cs="Times New Roman"/>
                <w:sz w:val="20"/>
              </w:rPr>
              <w:t>QALY</w:t>
            </w:r>
          </w:p>
        </w:tc>
        <w:tc>
          <w:tcPr>
            <w:tcW w:w="1250" w:type="pct"/>
            <w:vAlign w:val="center"/>
          </w:tcPr>
          <w:p w:rsidR="003828DB" w:rsidRPr="00F146E1" w:rsidRDefault="00F146E1" w:rsidP="0082480A">
            <w:pPr>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250" w:type="pct"/>
            <w:vAlign w:val="center"/>
          </w:tcPr>
          <w:p w:rsidR="003828DB" w:rsidRPr="004E2ADC" w:rsidRDefault="003828DB" w:rsidP="0082480A">
            <w:pPr>
              <w:jc w:val="center"/>
              <w:rPr>
                <w:rFonts w:ascii="Arial Narrow" w:hAnsi="Arial Narrow" w:cs="Times New Roman"/>
                <w:sz w:val="20"/>
              </w:rPr>
            </w:pPr>
            <w:r>
              <w:rPr>
                <w:rFonts w:ascii="Arial Narrow" w:hAnsi="Arial Narrow" w:cs="Times New Roman"/>
                <w:sz w:val="20"/>
              </w:rPr>
              <w:t>2.1432</w:t>
            </w:r>
          </w:p>
        </w:tc>
        <w:tc>
          <w:tcPr>
            <w:tcW w:w="1250" w:type="pct"/>
            <w:vAlign w:val="center"/>
          </w:tcPr>
          <w:p w:rsidR="003828DB" w:rsidRPr="00F146E1" w:rsidRDefault="00F146E1" w:rsidP="0082480A">
            <w:pPr>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r>
      <w:tr w:rsidR="003828DB" w:rsidRPr="004E2ADC" w:rsidTr="003828DB">
        <w:trPr>
          <w:trHeight w:val="70"/>
        </w:trPr>
        <w:tc>
          <w:tcPr>
            <w:tcW w:w="3750" w:type="pct"/>
            <w:gridSpan w:val="3"/>
            <w:vAlign w:val="center"/>
          </w:tcPr>
          <w:p w:rsidR="003828DB" w:rsidRPr="004E2ADC" w:rsidRDefault="003828DB" w:rsidP="0082480A">
            <w:pPr>
              <w:jc w:val="left"/>
              <w:rPr>
                <w:rFonts w:ascii="Arial Narrow" w:hAnsi="Arial Narrow" w:cs="Times New Roman"/>
                <w:b/>
                <w:sz w:val="20"/>
              </w:rPr>
            </w:pPr>
            <w:r w:rsidRPr="004E2ADC">
              <w:rPr>
                <w:rFonts w:ascii="Arial Narrow" w:hAnsi="Arial Narrow" w:cs="Times New Roman"/>
                <w:b/>
                <w:sz w:val="20"/>
              </w:rPr>
              <w:t>Incremental cost/</w:t>
            </w:r>
            <w:r>
              <w:rPr>
                <w:rFonts w:ascii="Arial Narrow" w:hAnsi="Arial Narrow" w:cs="Times New Roman"/>
                <w:b/>
                <w:sz w:val="20"/>
              </w:rPr>
              <w:t>QALY</w:t>
            </w:r>
          </w:p>
        </w:tc>
        <w:tc>
          <w:tcPr>
            <w:tcW w:w="1250" w:type="pct"/>
            <w:vAlign w:val="center"/>
          </w:tcPr>
          <w:p w:rsidR="003828DB" w:rsidRPr="004E2ADC" w:rsidRDefault="003828DB" w:rsidP="0082480A">
            <w:pPr>
              <w:jc w:val="center"/>
              <w:rPr>
                <w:rFonts w:ascii="Arial Narrow" w:hAnsi="Arial Narrow" w:cs="Times New Roman"/>
                <w:b/>
                <w:sz w:val="20"/>
              </w:rPr>
            </w:pPr>
            <w:r>
              <w:rPr>
                <w:rFonts w:ascii="Arial Narrow" w:hAnsi="Arial Narrow" w:cs="Times New Roman"/>
                <w:b/>
                <w:sz w:val="20"/>
              </w:rPr>
              <w:t>$</w:t>
            </w:r>
            <w:r w:rsidR="00F146E1">
              <w:rPr>
                <w:rFonts w:ascii="Arial Narrow" w:hAnsi="Arial Narrow" w:cs="Times New Roman"/>
                <w:b/>
                <w:noProof/>
                <w:color w:val="000000"/>
                <w:sz w:val="20"/>
                <w:highlight w:val="black"/>
              </w:rPr>
              <w:t>'''''''''''''</w:t>
            </w:r>
          </w:p>
        </w:tc>
      </w:tr>
    </w:tbl>
    <w:p w:rsidR="003828DB" w:rsidRPr="00D13A3E" w:rsidRDefault="003828DB" w:rsidP="003828DB">
      <w:pPr>
        <w:pStyle w:val="TableFooter"/>
        <w:keepNext/>
        <w:ind w:left="720"/>
      </w:pPr>
      <w:r>
        <w:t xml:space="preserve">Abbreviations: BSC = best supportive care.  </w:t>
      </w:r>
      <w:r w:rsidRPr="00D13A3E">
        <w:t xml:space="preserve">Source: </w:t>
      </w:r>
      <w:r>
        <w:t>Table D.5-1</w:t>
      </w:r>
      <w:r w:rsidR="00F321A7">
        <w:t xml:space="preserve"> to </w:t>
      </w:r>
      <w:r>
        <w:t>D.5-6, pp252-255 of the re-submission</w:t>
      </w:r>
    </w:p>
    <w:p w:rsidR="003828DB" w:rsidRPr="00D13A3E" w:rsidRDefault="003828DB" w:rsidP="003828DB"/>
    <w:p w:rsidR="00D110BD" w:rsidRPr="0060206A" w:rsidRDefault="003828DB" w:rsidP="00B878B5">
      <w:pPr>
        <w:pStyle w:val="ListParagraph"/>
        <w:widowControl/>
        <w:numPr>
          <w:ilvl w:val="1"/>
          <w:numId w:val="2"/>
        </w:numPr>
        <w:rPr>
          <w:szCs w:val="22"/>
        </w:rPr>
      </w:pPr>
      <w:r w:rsidRPr="003828DB">
        <w:t>The estimated base case ICER (</w:t>
      </w:r>
      <w:r w:rsidR="00B878B5" w:rsidRPr="00B878B5">
        <w:t>$75,000</w:t>
      </w:r>
      <w:r w:rsidR="006B7D98">
        <w:t xml:space="preserve">/QALY </w:t>
      </w:r>
      <w:r w:rsidR="00B878B5" w:rsidRPr="00B878B5">
        <w:t xml:space="preserve">- $105,000 </w:t>
      </w:r>
      <w:r w:rsidR="005F42AC">
        <w:t>/QALY</w:t>
      </w:r>
      <w:r w:rsidRPr="003828DB">
        <w:t xml:space="preserve">) has </w:t>
      </w:r>
      <w:r w:rsidR="00F959D5">
        <w:t>decreased</w:t>
      </w:r>
      <w:r w:rsidR="00F959D5" w:rsidRPr="003828DB">
        <w:t xml:space="preserve"> </w:t>
      </w:r>
      <w:r w:rsidRPr="003828DB">
        <w:t xml:space="preserve">in comparison to the March 2015 submission </w:t>
      </w:r>
      <w:r w:rsidR="00230B12">
        <w:t>(</w:t>
      </w:r>
      <w:r w:rsidR="00B878B5" w:rsidRPr="009E2B53">
        <w:rPr>
          <w:rFonts w:cs="Times New Roman"/>
          <w:szCs w:val="24"/>
        </w:rPr>
        <w:t>$105,000/QALY – $200,000</w:t>
      </w:r>
      <w:r w:rsidR="005F42AC">
        <w:t>/QALY</w:t>
      </w:r>
      <w:r w:rsidR="00B878B5">
        <w:t xml:space="preserve"> </w:t>
      </w:r>
      <w:r w:rsidRPr="003828DB">
        <w:t xml:space="preserve">).  </w:t>
      </w:r>
      <w:r w:rsidRPr="0060206A">
        <w:t>This change in the ICER is driven by the</w:t>
      </w:r>
      <w:r w:rsidRPr="003828DB">
        <w:rPr>
          <w:i/>
        </w:rPr>
        <w:t xml:space="preserve"> </w:t>
      </w:r>
      <w:r w:rsidRPr="0060206A">
        <w:t>reduction in incremental costs due to the weighted effective price for nintedanib (inclusive of the RSA), which dominates the reduction in incremental QALYs.  The following key observations were noted from the univariate sensitivity analyses</w:t>
      </w:r>
      <w:r w:rsidR="00CC6AF8" w:rsidRPr="0060206A">
        <w:t>:</w:t>
      </w:r>
    </w:p>
    <w:p w:rsidR="00CC6AF8" w:rsidRPr="0060206A" w:rsidRDefault="00CC6AF8" w:rsidP="006B7D98">
      <w:pPr>
        <w:pStyle w:val="ListParagraph"/>
        <w:widowControl/>
        <w:numPr>
          <w:ilvl w:val="0"/>
          <w:numId w:val="9"/>
        </w:numPr>
        <w:ind w:left="709" w:hanging="142"/>
        <w:rPr>
          <w:szCs w:val="22"/>
        </w:rPr>
      </w:pPr>
      <w:r w:rsidRPr="0060206A">
        <w:rPr>
          <w:szCs w:val="22"/>
          <w:u w:val="single"/>
        </w:rPr>
        <w:t>Alternative estimates of long term survival:</w:t>
      </w:r>
      <w:r w:rsidRPr="0060206A">
        <w:rPr>
          <w:szCs w:val="22"/>
        </w:rPr>
        <w:t xml:space="preserve"> utilisation of the entire Weibull function (optimistic approach) resulted in LYGs of </w:t>
      </w:r>
      <w:r w:rsidR="00F146E1">
        <w:rPr>
          <w:noProof/>
          <w:color w:val="000000"/>
          <w:szCs w:val="22"/>
          <w:highlight w:val="black"/>
        </w:rPr>
        <w:t>''''''''''''''''</w:t>
      </w:r>
      <w:r w:rsidRPr="0060206A">
        <w:rPr>
          <w:szCs w:val="22"/>
        </w:rPr>
        <w:t xml:space="preserve">, with the application of Kaplan Meier estimates (base case) and the adjustment of the nintedanib survival according to a linear decline in the treatment co-efficient or the gradient of the BSC (conservative approach), reducing LYGs to </w:t>
      </w:r>
      <w:r w:rsidR="00F146E1">
        <w:rPr>
          <w:noProof/>
          <w:color w:val="000000"/>
          <w:szCs w:val="22"/>
          <w:highlight w:val="black"/>
        </w:rPr>
        <w:t>''''''''''''''''</w:t>
      </w:r>
      <w:r w:rsidRPr="0060206A">
        <w:rPr>
          <w:szCs w:val="22"/>
        </w:rPr>
        <w:t xml:space="preserve">, </w:t>
      </w:r>
      <w:r w:rsidR="00F146E1">
        <w:rPr>
          <w:noProof/>
          <w:color w:val="000000"/>
          <w:szCs w:val="22"/>
          <w:highlight w:val="black"/>
        </w:rPr>
        <w:t>''''''''''''''''</w:t>
      </w:r>
      <w:r w:rsidRPr="0060206A">
        <w:rPr>
          <w:szCs w:val="22"/>
        </w:rPr>
        <w:t xml:space="preserve"> and </w:t>
      </w:r>
      <w:r w:rsidR="00F146E1">
        <w:rPr>
          <w:noProof/>
          <w:color w:val="000000"/>
          <w:szCs w:val="22"/>
          <w:highlight w:val="black"/>
        </w:rPr>
        <w:t>'''''''''''''''</w:t>
      </w:r>
      <w:r w:rsidRPr="0060206A">
        <w:rPr>
          <w:szCs w:val="22"/>
        </w:rPr>
        <w:t>, respectively.  Corresponding ICERs ranged from a 13% reduction (Weibull function</w:t>
      </w:r>
      <w:r w:rsidR="00C77355" w:rsidRPr="0060206A">
        <w:rPr>
          <w:szCs w:val="22"/>
        </w:rPr>
        <w:t xml:space="preserve">; </w:t>
      </w:r>
      <w:r w:rsidR="00B878B5" w:rsidRPr="00B878B5">
        <w:rPr>
          <w:szCs w:val="22"/>
        </w:rPr>
        <w:t>$75,000</w:t>
      </w:r>
      <w:r w:rsidR="006B7D98">
        <w:rPr>
          <w:szCs w:val="22"/>
        </w:rPr>
        <w:t xml:space="preserve">/QALY </w:t>
      </w:r>
      <w:r w:rsidR="00B878B5" w:rsidRPr="00B878B5">
        <w:rPr>
          <w:szCs w:val="22"/>
        </w:rPr>
        <w:t>- $105,000</w:t>
      </w:r>
      <w:r w:rsidR="00C77355" w:rsidRPr="0060206A">
        <w:rPr>
          <w:szCs w:val="22"/>
        </w:rPr>
        <w:t>/QALY</w:t>
      </w:r>
      <w:r w:rsidRPr="0060206A">
        <w:rPr>
          <w:szCs w:val="22"/>
        </w:rPr>
        <w:t>) to an approximate doubling (Kaplan Meier plus gradient of the BSC</w:t>
      </w:r>
      <w:r w:rsidR="00C77355" w:rsidRPr="0060206A">
        <w:rPr>
          <w:szCs w:val="22"/>
        </w:rPr>
        <w:t xml:space="preserve">; </w:t>
      </w:r>
      <w:r w:rsidR="00B878B5" w:rsidRPr="00B878B5">
        <w:rPr>
          <w:szCs w:val="22"/>
        </w:rPr>
        <w:t>$105,000</w:t>
      </w:r>
      <w:r w:rsidR="006B7D98">
        <w:rPr>
          <w:szCs w:val="22"/>
        </w:rPr>
        <w:t>/QALY</w:t>
      </w:r>
      <w:r w:rsidR="00B878B5" w:rsidRPr="00B878B5">
        <w:rPr>
          <w:szCs w:val="22"/>
        </w:rPr>
        <w:t xml:space="preserve"> – $200,000</w:t>
      </w:r>
      <w:r w:rsidR="00C77355" w:rsidRPr="0060206A">
        <w:rPr>
          <w:szCs w:val="22"/>
        </w:rPr>
        <w:t>/QALY</w:t>
      </w:r>
      <w:r w:rsidR="00217DD8">
        <w:rPr>
          <w:szCs w:val="22"/>
        </w:rPr>
        <w:t>) of the base case estimate.</w:t>
      </w:r>
    </w:p>
    <w:p w:rsidR="00CC6AF8" w:rsidRDefault="00CC6AF8" w:rsidP="006B7D98">
      <w:pPr>
        <w:pStyle w:val="ListParagraph"/>
        <w:widowControl/>
        <w:numPr>
          <w:ilvl w:val="0"/>
          <w:numId w:val="9"/>
        </w:numPr>
        <w:ind w:left="709" w:hanging="142"/>
        <w:rPr>
          <w:szCs w:val="22"/>
        </w:rPr>
      </w:pPr>
      <w:r w:rsidRPr="0060206A">
        <w:rPr>
          <w:szCs w:val="22"/>
          <w:u w:val="single"/>
        </w:rPr>
        <w:t>Nintedanib weighted effective price:</w:t>
      </w:r>
      <w:r w:rsidRPr="0060206A">
        <w:rPr>
          <w:szCs w:val="22"/>
        </w:rPr>
        <w:t xml:space="preserve"> adjustment of the weighted effective price assuming 100% uptake from Years 6 to 10 (</w:t>
      </w:r>
      <w:r w:rsidRPr="00A30A02">
        <w:rPr>
          <w:szCs w:val="22"/>
        </w:rPr>
        <w:t>refer to Section D.4</w:t>
      </w:r>
      <w:r w:rsidRPr="0060206A">
        <w:rPr>
          <w:szCs w:val="22"/>
        </w:rPr>
        <w:t>) and removal of the RSA resulted an increase in the ICER of 33%</w:t>
      </w:r>
      <w:r w:rsidR="00A8337A" w:rsidRPr="0060206A">
        <w:rPr>
          <w:szCs w:val="22"/>
        </w:rPr>
        <w:t xml:space="preserve"> </w:t>
      </w:r>
      <w:r w:rsidR="00230B12">
        <w:rPr>
          <w:szCs w:val="22"/>
        </w:rPr>
        <w:t>(</w:t>
      </w:r>
      <w:r w:rsidR="00B878B5" w:rsidRPr="00B878B5">
        <w:rPr>
          <w:szCs w:val="22"/>
        </w:rPr>
        <w:t>$105,000</w:t>
      </w:r>
      <w:r w:rsidR="006B7D98">
        <w:rPr>
          <w:szCs w:val="22"/>
        </w:rPr>
        <w:t>/QALY</w:t>
      </w:r>
      <w:r w:rsidR="00B878B5" w:rsidRPr="00B878B5">
        <w:rPr>
          <w:szCs w:val="22"/>
        </w:rPr>
        <w:t xml:space="preserve"> – $200,000</w:t>
      </w:r>
      <w:r w:rsidR="00C77355" w:rsidRPr="0060206A">
        <w:rPr>
          <w:szCs w:val="22"/>
        </w:rPr>
        <w:t>/QALY</w:t>
      </w:r>
      <w:r w:rsidR="00A8337A" w:rsidRPr="0060206A">
        <w:rPr>
          <w:szCs w:val="22"/>
        </w:rPr>
        <w:t>)</w:t>
      </w:r>
      <w:r w:rsidRPr="0060206A">
        <w:rPr>
          <w:szCs w:val="22"/>
        </w:rPr>
        <w:t xml:space="preserve"> and 58%</w:t>
      </w:r>
      <w:r w:rsidR="00A8337A" w:rsidRPr="0060206A">
        <w:rPr>
          <w:szCs w:val="22"/>
        </w:rPr>
        <w:t xml:space="preserve"> </w:t>
      </w:r>
      <w:r w:rsidR="00230B12">
        <w:rPr>
          <w:szCs w:val="22"/>
        </w:rPr>
        <w:t>(</w:t>
      </w:r>
      <w:r w:rsidR="00B878B5" w:rsidRPr="00B878B5">
        <w:rPr>
          <w:szCs w:val="22"/>
        </w:rPr>
        <w:t>$105,000</w:t>
      </w:r>
      <w:r w:rsidR="006B7D98">
        <w:rPr>
          <w:szCs w:val="22"/>
        </w:rPr>
        <w:t>/QALY</w:t>
      </w:r>
      <w:r w:rsidR="00B878B5" w:rsidRPr="00B878B5">
        <w:rPr>
          <w:szCs w:val="22"/>
        </w:rPr>
        <w:t xml:space="preserve"> – $200,000</w:t>
      </w:r>
      <w:r w:rsidR="00C77355" w:rsidRPr="0060206A">
        <w:rPr>
          <w:szCs w:val="22"/>
        </w:rPr>
        <w:t>/QALY</w:t>
      </w:r>
      <w:r w:rsidR="00A8337A" w:rsidRPr="0060206A">
        <w:rPr>
          <w:szCs w:val="22"/>
        </w:rPr>
        <w:t>)</w:t>
      </w:r>
      <w:r w:rsidRPr="0060206A">
        <w:rPr>
          <w:szCs w:val="22"/>
        </w:rPr>
        <w:t>, respectively, when compa</w:t>
      </w:r>
      <w:r w:rsidR="00217DD8">
        <w:rPr>
          <w:szCs w:val="22"/>
        </w:rPr>
        <w:t>red to the base case estimate.</w:t>
      </w:r>
    </w:p>
    <w:p w:rsidR="002948B2" w:rsidRPr="00217DD8" w:rsidRDefault="002948B2" w:rsidP="002948B2">
      <w:pPr>
        <w:widowControl/>
      </w:pPr>
    </w:p>
    <w:p w:rsidR="00C25D9C" w:rsidRPr="00217DD8" w:rsidRDefault="00C25D9C" w:rsidP="008A3078">
      <w:pPr>
        <w:pStyle w:val="Heading2"/>
        <w:rPr>
          <w:szCs w:val="22"/>
        </w:rPr>
      </w:pPr>
      <w:bookmarkStart w:id="15" w:name="_Toc430009537"/>
      <w:r w:rsidRPr="00217DD8">
        <w:t>Drug cost/patient/year: $</w:t>
      </w:r>
      <w:bookmarkEnd w:id="15"/>
      <w:r w:rsidR="00F146E1">
        <w:rPr>
          <w:noProof/>
          <w:color w:val="000000"/>
          <w:highlight w:val="black"/>
        </w:rPr>
        <w:t>'''''''''''''''</w:t>
      </w:r>
    </w:p>
    <w:p w:rsidR="00C25D9C" w:rsidRPr="00C25D9C" w:rsidRDefault="00C25D9C" w:rsidP="00C25D9C">
      <w:pPr>
        <w:widowControl/>
        <w:rPr>
          <w:szCs w:val="22"/>
        </w:rPr>
      </w:pPr>
    </w:p>
    <w:p w:rsidR="00A86E8B" w:rsidRPr="00CD0C24" w:rsidRDefault="00825310" w:rsidP="00321D09">
      <w:pPr>
        <w:pStyle w:val="ListParagraph"/>
        <w:numPr>
          <w:ilvl w:val="1"/>
          <w:numId w:val="2"/>
        </w:numPr>
        <w:rPr>
          <w:szCs w:val="22"/>
        </w:rPr>
      </w:pPr>
      <w:r w:rsidRPr="00825310">
        <w:rPr>
          <w:szCs w:val="22"/>
        </w:rPr>
        <w:t>The estimated usage per patient was based on an expected compliance rate of 96.4</w:t>
      </w:r>
      <w:r w:rsidR="00CD0C24">
        <w:rPr>
          <w:szCs w:val="22"/>
        </w:rPr>
        <w:t>% (</w:t>
      </w:r>
      <w:r w:rsidRPr="00825310">
        <w:rPr>
          <w:szCs w:val="22"/>
        </w:rPr>
        <w:t>observed in Trial</w:t>
      </w:r>
      <w:r w:rsidR="00217DD8">
        <w:rPr>
          <w:szCs w:val="22"/>
        </w:rPr>
        <w:t>s</w:t>
      </w:r>
      <w:r w:rsidRPr="00825310">
        <w:rPr>
          <w:szCs w:val="22"/>
        </w:rPr>
        <w:t xml:space="preserve"> 32 and 34</w:t>
      </w:r>
      <w:r w:rsidR="00CD0C24">
        <w:rPr>
          <w:szCs w:val="22"/>
        </w:rPr>
        <w:t>), resulting</w:t>
      </w:r>
      <w:r w:rsidRPr="00825310">
        <w:rPr>
          <w:szCs w:val="22"/>
        </w:rPr>
        <w:t xml:space="preserve"> in an average of 11.73 nintedanib prescriptions</w:t>
      </w:r>
      <w:r w:rsidR="00CD0C24">
        <w:rPr>
          <w:szCs w:val="22"/>
        </w:rPr>
        <w:t>/</w:t>
      </w:r>
      <w:r w:rsidRPr="00825310">
        <w:rPr>
          <w:szCs w:val="22"/>
        </w:rPr>
        <w:t>patient</w:t>
      </w:r>
      <w:r w:rsidR="00CD0C24">
        <w:rPr>
          <w:szCs w:val="22"/>
        </w:rPr>
        <w:t>/</w:t>
      </w:r>
      <w:r w:rsidRPr="00825310">
        <w:rPr>
          <w:szCs w:val="22"/>
        </w:rPr>
        <w:t xml:space="preserve">year. </w:t>
      </w:r>
      <w:r>
        <w:rPr>
          <w:szCs w:val="22"/>
        </w:rPr>
        <w:t xml:space="preserve"> </w:t>
      </w:r>
      <w:r w:rsidR="00CD0C24">
        <w:rPr>
          <w:szCs w:val="22"/>
        </w:rPr>
        <w:t>P</w:t>
      </w:r>
      <w:r w:rsidRPr="00825310">
        <w:rPr>
          <w:szCs w:val="22"/>
        </w:rPr>
        <w:t>roportional distribution of nintedanib 150mg and 100mg (76%/24%)</w:t>
      </w:r>
      <w:r w:rsidR="00CD0C24">
        <w:rPr>
          <w:szCs w:val="22"/>
        </w:rPr>
        <w:t xml:space="preserve"> was assumed to be</w:t>
      </w:r>
      <w:r w:rsidRPr="00825310">
        <w:rPr>
          <w:szCs w:val="22"/>
        </w:rPr>
        <w:t xml:space="preserve"> consistent with usage reported in Trial</w:t>
      </w:r>
      <w:r w:rsidR="00217DD8">
        <w:rPr>
          <w:szCs w:val="22"/>
        </w:rPr>
        <w:t>s</w:t>
      </w:r>
      <w:r w:rsidRPr="00825310">
        <w:rPr>
          <w:szCs w:val="22"/>
        </w:rPr>
        <w:t xml:space="preserve"> 32 and 34.</w:t>
      </w:r>
    </w:p>
    <w:p w:rsidR="00D83125" w:rsidRDefault="00D83125">
      <w:pPr>
        <w:widowControl/>
        <w:jc w:val="left"/>
        <w:rPr>
          <w:szCs w:val="22"/>
        </w:rPr>
      </w:pPr>
    </w:p>
    <w:p w:rsidR="00B60939" w:rsidRPr="00B47BB3" w:rsidRDefault="00B60939" w:rsidP="008A3078">
      <w:pPr>
        <w:pStyle w:val="Heading2"/>
      </w:pPr>
      <w:bookmarkStart w:id="16" w:name="_Toc430009538"/>
      <w:r w:rsidRPr="00B47BB3">
        <w:t>Estimated PBS usage &amp; financial implications</w:t>
      </w:r>
      <w:bookmarkEnd w:id="16"/>
    </w:p>
    <w:p w:rsidR="00B60939" w:rsidRPr="00B47BB3" w:rsidRDefault="00B60939" w:rsidP="00B60939">
      <w:pPr>
        <w:ind w:left="720" w:hanging="720"/>
        <w:rPr>
          <w:szCs w:val="22"/>
        </w:rPr>
      </w:pPr>
    </w:p>
    <w:p w:rsidR="00001DF9" w:rsidRPr="00001DF9" w:rsidRDefault="00C25D9C" w:rsidP="00321D09">
      <w:pPr>
        <w:pStyle w:val="ListParagraph"/>
        <w:widowControl/>
        <w:numPr>
          <w:ilvl w:val="1"/>
          <w:numId w:val="2"/>
        </w:numPr>
        <w:rPr>
          <w:szCs w:val="22"/>
        </w:rPr>
      </w:pPr>
      <w:r>
        <w:t xml:space="preserve">This submission </w:t>
      </w:r>
      <w:r w:rsidR="009B2AA9">
        <w:t>was</w:t>
      </w:r>
      <w:r>
        <w:t xml:space="preserve"> no</w:t>
      </w:r>
      <w:r w:rsidR="009B2AA9">
        <w:t xml:space="preserve">t </w:t>
      </w:r>
      <w:r>
        <w:t>considered by DUSC</w:t>
      </w:r>
      <w:r w:rsidRPr="00B50DB8">
        <w:rPr>
          <w:color w:val="0070C0"/>
        </w:rPr>
        <w:t>.</w:t>
      </w:r>
      <w:r w:rsidR="00E175D8">
        <w:rPr>
          <w:color w:val="0070C0"/>
        </w:rPr>
        <w:t xml:space="preserve">  </w:t>
      </w:r>
      <w:r w:rsidR="00E175D8" w:rsidRPr="00E175D8">
        <w:t>The re-submission updates the estimated extent of use and financial implications associated with the requested listing for nintedanib</w:t>
      </w:r>
      <w:r w:rsidR="00001DF9">
        <w:t>, with t</w:t>
      </w:r>
      <w:r w:rsidR="00001DF9" w:rsidRPr="00001DF9">
        <w:t>he estimated eligible patient pool calculated using parameters consistent with the DUSC advice (</w:t>
      </w:r>
      <w:r w:rsidR="00AB38B6">
        <w:t xml:space="preserve">IPF </w:t>
      </w:r>
      <w:r w:rsidR="00001DF9" w:rsidRPr="00001DF9">
        <w:t xml:space="preserve">prevalence = 14.4/100,000, diagnosis rate </w:t>
      </w:r>
      <w:r w:rsidR="00001DF9">
        <w:t xml:space="preserve">for IPF </w:t>
      </w:r>
      <w:r w:rsidR="00001DF9" w:rsidRPr="00001DF9">
        <w:t xml:space="preserve">= 100%).  </w:t>
      </w:r>
      <w:r w:rsidR="00680C06">
        <w:t>Adverse event (diarrhoea, nausea, vomiting) and liver monitoring costs were also incl</w:t>
      </w:r>
      <w:r w:rsidR="00B47BB3">
        <w:t>uded in the updated estimates.</w:t>
      </w:r>
    </w:p>
    <w:p w:rsidR="00001DF9" w:rsidRPr="00680C06" w:rsidRDefault="00001DF9" w:rsidP="00001DF9">
      <w:pPr>
        <w:widowControl/>
        <w:rPr>
          <w:szCs w:val="22"/>
        </w:rPr>
      </w:pPr>
    </w:p>
    <w:p w:rsidR="00C25D9C" w:rsidRPr="00E175D8" w:rsidRDefault="00E175D8" w:rsidP="00321D09">
      <w:pPr>
        <w:pStyle w:val="ListParagraph"/>
        <w:widowControl/>
        <w:numPr>
          <w:ilvl w:val="1"/>
          <w:numId w:val="2"/>
        </w:numPr>
        <w:rPr>
          <w:szCs w:val="22"/>
        </w:rPr>
      </w:pPr>
      <w:r w:rsidRPr="00E175D8">
        <w:t>The re-submission</w:t>
      </w:r>
      <w:r>
        <w:t xml:space="preserve"> focuse</w:t>
      </w:r>
      <w:r w:rsidR="00E72709">
        <w:t>d</w:t>
      </w:r>
      <w:r>
        <w:t xml:space="preserve"> on estimates calculated from uptake rates (Year 1-5: </w:t>
      </w:r>
      <w:r w:rsidR="00F146E1">
        <w:rPr>
          <w:noProof/>
          <w:color w:val="000000"/>
          <w:highlight w:val="black"/>
        </w:rPr>
        <w:t>''''''</w:t>
      </w:r>
      <w:r>
        <w:t xml:space="preserve">% to </w:t>
      </w:r>
      <w:r w:rsidR="00F146E1">
        <w:rPr>
          <w:noProof/>
          <w:color w:val="000000"/>
          <w:highlight w:val="black"/>
        </w:rPr>
        <w:t>''''''</w:t>
      </w:r>
      <w:r>
        <w:t xml:space="preserve">%) that </w:t>
      </w:r>
      <w:r w:rsidR="00E72709">
        <w:t>form</w:t>
      </w:r>
      <w:r w:rsidR="00AF2231">
        <w:t xml:space="preserve"> the basis of</w:t>
      </w:r>
      <w:r>
        <w:t xml:space="preserve"> </w:t>
      </w:r>
      <w:r w:rsidR="00AF2231">
        <w:t>the cap</w:t>
      </w:r>
      <w:r>
        <w:t xml:space="preserve"> proposed in the RSA.  </w:t>
      </w:r>
      <w:r w:rsidRPr="00E175D8">
        <w:t xml:space="preserve">The re-submission </w:t>
      </w:r>
      <w:r>
        <w:t>indicated</w:t>
      </w:r>
      <w:r w:rsidRPr="00E175D8">
        <w:t xml:space="preserve"> (p295) that in the scenario where the uptake rate for nintedanib occurs as predicted by DUSC (Year 1-5: 60% to 100%), this would result in an incremental </w:t>
      </w:r>
      <w:r w:rsidRPr="0060206A">
        <w:t xml:space="preserve">rebate equivalent to the difference between the capped and actual Commonwealth expenditure.  During the evaluation it was considered that the DUSC estimates were a proxy for the expected utilisation of nintedanib.  </w:t>
      </w:r>
      <w:r w:rsidR="00F321A7" w:rsidRPr="0060206A">
        <w:t>E</w:t>
      </w:r>
      <w:r w:rsidRPr="0060206A">
        <w:t xml:space="preserve">stimated extent of use of nintedanib based on DUSC utilisation rates are presented in addition to the RSA capped estimates in the table below.  </w:t>
      </w:r>
      <w:r w:rsidR="00011432" w:rsidRPr="0060206A">
        <w:t>The presentation of costs is based on the requested effective price for nintedanib.</w:t>
      </w:r>
    </w:p>
    <w:p w:rsidR="00C25D9C" w:rsidRDefault="00C25D9C" w:rsidP="00C25D9C">
      <w:pPr>
        <w:widowControl/>
        <w:rPr>
          <w:szCs w:val="22"/>
        </w:rPr>
      </w:pPr>
    </w:p>
    <w:p w:rsidR="00C25D9C" w:rsidRDefault="00C25D9C" w:rsidP="00587F05">
      <w:pPr>
        <w:widowControl/>
        <w:ind w:firstLine="720"/>
        <w:jc w:val="left"/>
        <w:rPr>
          <w:rStyle w:val="CommentReference"/>
        </w:rPr>
      </w:pPr>
      <w:r w:rsidRPr="001222FC">
        <w:rPr>
          <w:rStyle w:val="CommentReference"/>
        </w:rPr>
        <w:t xml:space="preserve">Table </w:t>
      </w:r>
      <w:r w:rsidR="00001DF9">
        <w:rPr>
          <w:rStyle w:val="CommentReference"/>
        </w:rPr>
        <w:t>1</w:t>
      </w:r>
      <w:r w:rsidR="00CB498B">
        <w:rPr>
          <w:rStyle w:val="CommentReference"/>
        </w:rPr>
        <w:t>3</w:t>
      </w:r>
      <w:r w:rsidRPr="001222FC">
        <w:rPr>
          <w:rStyle w:val="CommentReference"/>
        </w:rPr>
        <w:t>: Estimated use and financial implications</w:t>
      </w:r>
    </w:p>
    <w:tbl>
      <w:tblPr>
        <w:tblW w:w="4595"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3: Estimated use and financial implications"/>
      </w:tblPr>
      <w:tblGrid>
        <w:gridCol w:w="3082"/>
        <w:gridCol w:w="1042"/>
        <w:gridCol w:w="1060"/>
        <w:gridCol w:w="1060"/>
        <w:gridCol w:w="1043"/>
        <w:gridCol w:w="1060"/>
      </w:tblGrid>
      <w:tr w:rsidR="00001DF9" w:rsidRPr="004E2ADC" w:rsidTr="00001DF9">
        <w:trPr>
          <w:tblHeader/>
        </w:trPr>
        <w:tc>
          <w:tcPr>
            <w:tcW w:w="1852" w:type="pct"/>
            <w:shd w:val="clear" w:color="auto" w:fill="auto"/>
            <w:vAlign w:val="center"/>
          </w:tcPr>
          <w:p w:rsidR="00C25D9C" w:rsidRPr="004E2ADC" w:rsidRDefault="00C25D9C" w:rsidP="00B8649C">
            <w:pPr>
              <w:tabs>
                <w:tab w:val="left" w:pos="142"/>
              </w:tabs>
              <w:jc w:val="left"/>
              <w:rPr>
                <w:rFonts w:ascii="Arial Narrow" w:hAnsi="Arial Narrow"/>
                <w:b/>
                <w:sz w:val="20"/>
              </w:rPr>
            </w:pPr>
          </w:p>
        </w:tc>
        <w:tc>
          <w:tcPr>
            <w:tcW w:w="630" w:type="pct"/>
            <w:shd w:val="clear" w:color="auto" w:fill="auto"/>
            <w:vAlign w:val="center"/>
          </w:tcPr>
          <w:p w:rsidR="00C25D9C" w:rsidRPr="004E2ADC" w:rsidRDefault="00C25D9C" w:rsidP="00B8649C">
            <w:pPr>
              <w:jc w:val="center"/>
              <w:rPr>
                <w:rFonts w:ascii="Arial Narrow" w:hAnsi="Arial Narrow"/>
                <w:b/>
                <w:sz w:val="20"/>
              </w:rPr>
            </w:pPr>
            <w:r w:rsidRPr="004E2ADC">
              <w:rPr>
                <w:rFonts w:ascii="Arial Narrow" w:hAnsi="Arial Narrow"/>
                <w:b/>
                <w:sz w:val="20"/>
              </w:rPr>
              <w:t>Year 1</w:t>
            </w:r>
          </w:p>
        </w:tc>
        <w:tc>
          <w:tcPr>
            <w:tcW w:w="630" w:type="pct"/>
            <w:shd w:val="clear" w:color="auto" w:fill="auto"/>
            <w:vAlign w:val="center"/>
          </w:tcPr>
          <w:p w:rsidR="00C25D9C" w:rsidRPr="004E2ADC" w:rsidRDefault="00C25D9C" w:rsidP="00B8649C">
            <w:pPr>
              <w:jc w:val="center"/>
              <w:rPr>
                <w:rFonts w:ascii="Arial Narrow" w:hAnsi="Arial Narrow"/>
                <w:b/>
                <w:sz w:val="20"/>
              </w:rPr>
            </w:pPr>
            <w:r w:rsidRPr="004E2ADC">
              <w:rPr>
                <w:rFonts w:ascii="Arial Narrow" w:hAnsi="Arial Narrow"/>
                <w:b/>
                <w:sz w:val="20"/>
              </w:rPr>
              <w:t>Year 2</w:t>
            </w:r>
          </w:p>
        </w:tc>
        <w:tc>
          <w:tcPr>
            <w:tcW w:w="630" w:type="pct"/>
            <w:shd w:val="clear" w:color="auto" w:fill="auto"/>
            <w:vAlign w:val="center"/>
          </w:tcPr>
          <w:p w:rsidR="00C25D9C" w:rsidRPr="004E2ADC" w:rsidRDefault="00C25D9C" w:rsidP="00B8649C">
            <w:pPr>
              <w:jc w:val="center"/>
              <w:rPr>
                <w:rFonts w:ascii="Arial Narrow" w:hAnsi="Arial Narrow"/>
                <w:b/>
                <w:sz w:val="20"/>
              </w:rPr>
            </w:pPr>
            <w:r w:rsidRPr="004E2ADC">
              <w:rPr>
                <w:rFonts w:ascii="Arial Narrow" w:hAnsi="Arial Narrow"/>
                <w:b/>
                <w:sz w:val="20"/>
              </w:rPr>
              <w:t>Year 3</w:t>
            </w:r>
          </w:p>
        </w:tc>
        <w:tc>
          <w:tcPr>
            <w:tcW w:w="630" w:type="pct"/>
            <w:shd w:val="clear" w:color="auto" w:fill="auto"/>
            <w:vAlign w:val="center"/>
          </w:tcPr>
          <w:p w:rsidR="00C25D9C" w:rsidRPr="004E2ADC" w:rsidRDefault="00C25D9C" w:rsidP="00B8649C">
            <w:pPr>
              <w:jc w:val="center"/>
              <w:rPr>
                <w:rFonts w:ascii="Arial Narrow" w:hAnsi="Arial Narrow"/>
                <w:b/>
                <w:sz w:val="20"/>
              </w:rPr>
            </w:pPr>
            <w:r w:rsidRPr="004E2ADC">
              <w:rPr>
                <w:rFonts w:ascii="Arial Narrow" w:hAnsi="Arial Narrow"/>
                <w:b/>
                <w:sz w:val="20"/>
              </w:rPr>
              <w:t>Year 4</w:t>
            </w:r>
          </w:p>
        </w:tc>
        <w:tc>
          <w:tcPr>
            <w:tcW w:w="628" w:type="pct"/>
            <w:shd w:val="clear" w:color="auto" w:fill="auto"/>
            <w:vAlign w:val="center"/>
          </w:tcPr>
          <w:p w:rsidR="00C25D9C" w:rsidRPr="004E2ADC" w:rsidRDefault="00C25D9C" w:rsidP="00B8649C">
            <w:pPr>
              <w:jc w:val="center"/>
              <w:rPr>
                <w:rFonts w:ascii="Arial Narrow" w:hAnsi="Arial Narrow"/>
                <w:b/>
                <w:sz w:val="20"/>
              </w:rPr>
            </w:pPr>
            <w:r w:rsidRPr="004E2ADC">
              <w:rPr>
                <w:rFonts w:ascii="Arial Narrow" w:hAnsi="Arial Narrow"/>
                <w:b/>
                <w:sz w:val="20"/>
              </w:rPr>
              <w:t>Year 5</w:t>
            </w:r>
          </w:p>
        </w:tc>
      </w:tr>
      <w:tr w:rsidR="00001DF9" w:rsidRPr="004E2ADC" w:rsidTr="00001DF9">
        <w:trPr>
          <w:tblHeader/>
        </w:trPr>
        <w:tc>
          <w:tcPr>
            <w:tcW w:w="5000" w:type="pct"/>
            <w:gridSpan w:val="6"/>
            <w:shd w:val="clear" w:color="auto" w:fill="auto"/>
            <w:vAlign w:val="center"/>
          </w:tcPr>
          <w:p w:rsidR="00001DF9" w:rsidRPr="004E2ADC" w:rsidRDefault="00001DF9" w:rsidP="00001DF9">
            <w:pPr>
              <w:jc w:val="left"/>
              <w:rPr>
                <w:rFonts w:ascii="Arial Narrow" w:hAnsi="Arial Narrow"/>
                <w:b/>
                <w:sz w:val="20"/>
              </w:rPr>
            </w:pPr>
            <w:r>
              <w:rPr>
                <w:rFonts w:ascii="Arial Narrow" w:hAnsi="Arial Narrow"/>
                <w:b/>
                <w:sz w:val="20"/>
              </w:rPr>
              <w:t>Eligible patient pool –prevalence rate of 14.4/100,000; diagnosis rate for IPF = 100%</w:t>
            </w:r>
          </w:p>
        </w:tc>
      </w:tr>
      <w:tr w:rsidR="00001DF9" w:rsidRPr="004E2ADC" w:rsidTr="00001DF9">
        <w:tc>
          <w:tcPr>
            <w:tcW w:w="1852" w:type="pct"/>
            <w:shd w:val="clear" w:color="auto" w:fill="auto"/>
            <w:vAlign w:val="center"/>
          </w:tcPr>
          <w:p w:rsidR="00E175D8" w:rsidRPr="004E2ADC" w:rsidRDefault="00001DF9" w:rsidP="00E175D8">
            <w:pPr>
              <w:tabs>
                <w:tab w:val="left" w:pos="142"/>
              </w:tabs>
              <w:jc w:val="left"/>
              <w:rPr>
                <w:rFonts w:ascii="Arial Narrow" w:hAnsi="Arial Narrow"/>
                <w:sz w:val="20"/>
              </w:rPr>
            </w:pPr>
            <w:r>
              <w:rPr>
                <w:rFonts w:ascii="Arial Narrow" w:hAnsi="Arial Narrow"/>
                <w:sz w:val="20"/>
              </w:rPr>
              <w:t>November 2015 re-submission</w:t>
            </w:r>
          </w:p>
        </w:tc>
        <w:tc>
          <w:tcPr>
            <w:tcW w:w="630" w:type="pct"/>
            <w:shd w:val="clear" w:color="auto" w:fill="auto"/>
            <w:vAlign w:val="center"/>
          </w:tcPr>
          <w:p w:rsidR="00E175D8" w:rsidRPr="00F146E1" w:rsidRDefault="00F146E1" w:rsidP="00E175D8">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630" w:type="pct"/>
            <w:shd w:val="clear" w:color="auto" w:fill="auto"/>
            <w:vAlign w:val="center"/>
          </w:tcPr>
          <w:p w:rsidR="00E175D8" w:rsidRPr="00F146E1" w:rsidRDefault="00F146E1" w:rsidP="00E175D8">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630" w:type="pct"/>
            <w:shd w:val="clear" w:color="auto" w:fill="auto"/>
            <w:vAlign w:val="center"/>
          </w:tcPr>
          <w:p w:rsidR="00E175D8" w:rsidRPr="00F146E1" w:rsidRDefault="00F146E1" w:rsidP="00E175D8">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630" w:type="pct"/>
            <w:shd w:val="clear" w:color="auto" w:fill="auto"/>
            <w:vAlign w:val="center"/>
          </w:tcPr>
          <w:p w:rsidR="00E175D8" w:rsidRPr="00F146E1" w:rsidRDefault="00F146E1" w:rsidP="00E175D8">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628" w:type="pct"/>
            <w:shd w:val="clear" w:color="auto" w:fill="auto"/>
            <w:vAlign w:val="center"/>
          </w:tcPr>
          <w:p w:rsidR="00E175D8" w:rsidRPr="00F146E1" w:rsidRDefault="00F146E1" w:rsidP="00E175D8">
            <w:pPr>
              <w:jc w:val="center"/>
              <w:rPr>
                <w:rFonts w:ascii="Arial Narrow" w:hAnsi="Arial Narrow"/>
                <w:bCs/>
                <w:color w:val="000000"/>
                <w:sz w:val="20"/>
                <w:highlight w:val="black"/>
              </w:rPr>
            </w:pPr>
            <w:r>
              <w:rPr>
                <w:rFonts w:ascii="Arial Narrow" w:hAnsi="Arial Narrow"/>
                <w:noProof/>
                <w:color w:val="000000"/>
                <w:sz w:val="20"/>
                <w:highlight w:val="black"/>
              </w:rPr>
              <w:t>''''''''''''''</w:t>
            </w:r>
          </w:p>
        </w:tc>
      </w:tr>
      <w:tr w:rsidR="00731A38" w:rsidRPr="004E2ADC" w:rsidTr="00731A38">
        <w:tc>
          <w:tcPr>
            <w:tcW w:w="1852" w:type="pct"/>
            <w:tcBorders>
              <w:bottom w:val="double" w:sz="4" w:space="0" w:color="auto"/>
            </w:tcBorders>
            <w:shd w:val="clear" w:color="auto" w:fill="auto"/>
            <w:vAlign w:val="center"/>
          </w:tcPr>
          <w:p w:rsidR="00001DF9" w:rsidRDefault="00001DF9" w:rsidP="00001DF9">
            <w:pPr>
              <w:tabs>
                <w:tab w:val="left" w:pos="142"/>
              </w:tabs>
              <w:jc w:val="left"/>
              <w:rPr>
                <w:rFonts w:ascii="Arial Narrow" w:hAnsi="Arial Narrow"/>
                <w:sz w:val="20"/>
              </w:rPr>
            </w:pPr>
            <w:r>
              <w:rPr>
                <w:rFonts w:ascii="Arial Narrow" w:hAnsi="Arial Narrow"/>
                <w:sz w:val="20"/>
              </w:rPr>
              <w:t>March 2015 submission</w:t>
            </w:r>
          </w:p>
        </w:tc>
        <w:tc>
          <w:tcPr>
            <w:tcW w:w="630" w:type="pct"/>
            <w:tcBorders>
              <w:bottom w:val="double" w:sz="4" w:space="0" w:color="auto"/>
            </w:tcBorders>
            <w:shd w:val="clear" w:color="auto" w:fill="auto"/>
            <w:vAlign w:val="center"/>
          </w:tcPr>
          <w:p w:rsidR="00001DF9" w:rsidRPr="00F146E1" w:rsidRDefault="00F146E1" w:rsidP="00001DF9">
            <w:pPr>
              <w:jc w:val="center"/>
              <w:rPr>
                <w:rFonts w:ascii="Arial Narrow" w:hAnsi="Arial Narrow"/>
                <w:sz w:val="20"/>
                <w:highlight w:val="black"/>
              </w:rPr>
            </w:pPr>
            <w:r>
              <w:rPr>
                <w:rFonts w:ascii="Arial Narrow" w:hAnsi="Arial Narrow"/>
                <w:noProof/>
                <w:color w:val="000000"/>
                <w:sz w:val="20"/>
                <w:highlight w:val="black"/>
              </w:rPr>
              <w:t>''''''''''''''</w:t>
            </w:r>
          </w:p>
        </w:tc>
        <w:tc>
          <w:tcPr>
            <w:tcW w:w="630" w:type="pct"/>
            <w:tcBorders>
              <w:bottom w:val="double" w:sz="4" w:space="0" w:color="auto"/>
            </w:tcBorders>
            <w:shd w:val="clear" w:color="auto" w:fill="auto"/>
            <w:vAlign w:val="center"/>
          </w:tcPr>
          <w:p w:rsidR="00001DF9" w:rsidRPr="00F146E1" w:rsidRDefault="00F146E1" w:rsidP="00001DF9">
            <w:pPr>
              <w:jc w:val="center"/>
              <w:rPr>
                <w:rFonts w:ascii="Arial Narrow" w:hAnsi="Arial Narrow"/>
                <w:sz w:val="20"/>
                <w:highlight w:val="black"/>
              </w:rPr>
            </w:pPr>
            <w:r>
              <w:rPr>
                <w:rFonts w:ascii="Arial Narrow" w:hAnsi="Arial Narrow"/>
                <w:noProof/>
                <w:color w:val="000000"/>
                <w:sz w:val="20"/>
                <w:highlight w:val="black"/>
              </w:rPr>
              <w:t>''''''''''''''</w:t>
            </w:r>
          </w:p>
        </w:tc>
        <w:tc>
          <w:tcPr>
            <w:tcW w:w="630" w:type="pct"/>
            <w:tcBorders>
              <w:bottom w:val="double" w:sz="4" w:space="0" w:color="auto"/>
            </w:tcBorders>
            <w:shd w:val="clear" w:color="auto" w:fill="auto"/>
            <w:vAlign w:val="center"/>
          </w:tcPr>
          <w:p w:rsidR="00001DF9" w:rsidRPr="00F146E1" w:rsidRDefault="00F146E1" w:rsidP="00001DF9">
            <w:pPr>
              <w:jc w:val="center"/>
              <w:rPr>
                <w:rFonts w:ascii="Arial Narrow" w:hAnsi="Arial Narrow"/>
                <w:sz w:val="20"/>
                <w:highlight w:val="black"/>
              </w:rPr>
            </w:pPr>
            <w:r>
              <w:rPr>
                <w:rFonts w:ascii="Arial Narrow" w:hAnsi="Arial Narrow"/>
                <w:noProof/>
                <w:color w:val="000000"/>
                <w:sz w:val="20"/>
                <w:highlight w:val="black"/>
              </w:rPr>
              <w:t>'''''''''''''</w:t>
            </w:r>
          </w:p>
        </w:tc>
        <w:tc>
          <w:tcPr>
            <w:tcW w:w="630" w:type="pct"/>
            <w:tcBorders>
              <w:bottom w:val="double" w:sz="4" w:space="0" w:color="auto"/>
            </w:tcBorders>
            <w:shd w:val="clear" w:color="auto" w:fill="auto"/>
            <w:vAlign w:val="center"/>
          </w:tcPr>
          <w:p w:rsidR="00001DF9" w:rsidRPr="00F146E1" w:rsidRDefault="00F146E1" w:rsidP="00001DF9">
            <w:pPr>
              <w:jc w:val="center"/>
              <w:rPr>
                <w:rFonts w:ascii="Arial Narrow" w:hAnsi="Arial Narrow"/>
                <w:sz w:val="20"/>
                <w:highlight w:val="black"/>
              </w:rPr>
            </w:pPr>
            <w:r>
              <w:rPr>
                <w:rFonts w:ascii="Arial Narrow" w:hAnsi="Arial Narrow"/>
                <w:noProof/>
                <w:color w:val="000000"/>
                <w:sz w:val="20"/>
                <w:highlight w:val="black"/>
              </w:rPr>
              <w:t>''''''''''''''</w:t>
            </w:r>
          </w:p>
        </w:tc>
        <w:tc>
          <w:tcPr>
            <w:tcW w:w="628" w:type="pct"/>
            <w:tcBorders>
              <w:bottom w:val="double" w:sz="4" w:space="0" w:color="auto"/>
            </w:tcBorders>
            <w:shd w:val="clear" w:color="auto" w:fill="auto"/>
            <w:vAlign w:val="center"/>
          </w:tcPr>
          <w:p w:rsidR="00001DF9" w:rsidRPr="00F146E1" w:rsidRDefault="00F146E1" w:rsidP="00001DF9">
            <w:pPr>
              <w:jc w:val="center"/>
              <w:rPr>
                <w:rFonts w:ascii="Arial Narrow" w:hAnsi="Arial Narrow"/>
                <w:sz w:val="20"/>
                <w:highlight w:val="black"/>
              </w:rPr>
            </w:pPr>
            <w:r>
              <w:rPr>
                <w:rFonts w:ascii="Arial Narrow" w:hAnsi="Arial Narrow"/>
                <w:noProof/>
                <w:color w:val="000000"/>
                <w:sz w:val="20"/>
                <w:highlight w:val="black"/>
              </w:rPr>
              <w:t>'''''''''''''''</w:t>
            </w:r>
          </w:p>
        </w:tc>
      </w:tr>
      <w:tr w:rsidR="00001DF9" w:rsidRPr="00001DF9" w:rsidTr="00731A38">
        <w:tc>
          <w:tcPr>
            <w:tcW w:w="5000" w:type="pct"/>
            <w:gridSpan w:val="6"/>
            <w:tcBorders>
              <w:top w:val="double" w:sz="4" w:space="0" w:color="auto"/>
            </w:tcBorders>
            <w:shd w:val="clear" w:color="auto" w:fill="auto"/>
            <w:vAlign w:val="center"/>
          </w:tcPr>
          <w:p w:rsidR="00001DF9" w:rsidRPr="00001DF9" w:rsidRDefault="00F321A7" w:rsidP="00F321A7">
            <w:pPr>
              <w:jc w:val="left"/>
              <w:rPr>
                <w:rFonts w:ascii="Arial Narrow" w:hAnsi="Arial Narrow"/>
                <w:b/>
                <w:sz w:val="20"/>
              </w:rPr>
            </w:pPr>
            <w:r>
              <w:rPr>
                <w:rFonts w:ascii="Arial Narrow" w:hAnsi="Arial Narrow"/>
                <w:b/>
                <w:sz w:val="20"/>
              </w:rPr>
              <w:t>RSA – uptake rates: year 1-5; 25% to 65%</w:t>
            </w:r>
          </w:p>
        </w:tc>
      </w:tr>
      <w:tr w:rsidR="00001DF9" w:rsidRPr="004E2ADC" w:rsidTr="00001DF9">
        <w:tc>
          <w:tcPr>
            <w:tcW w:w="1852" w:type="pct"/>
            <w:shd w:val="clear" w:color="auto" w:fill="auto"/>
            <w:vAlign w:val="center"/>
          </w:tcPr>
          <w:p w:rsidR="00001DF9" w:rsidRPr="00001DF9" w:rsidRDefault="00001DF9" w:rsidP="00001DF9">
            <w:pPr>
              <w:tabs>
                <w:tab w:val="left" w:pos="142"/>
              </w:tabs>
              <w:jc w:val="left"/>
              <w:rPr>
                <w:rFonts w:ascii="Arial Narrow" w:hAnsi="Arial Narrow"/>
                <w:sz w:val="20"/>
              </w:rPr>
            </w:pPr>
            <w:r w:rsidRPr="00001DF9">
              <w:rPr>
                <w:rFonts w:ascii="Arial Narrow" w:hAnsi="Arial Narrow"/>
                <w:sz w:val="20"/>
              </w:rPr>
              <w:t xml:space="preserve">Total prescriptions </w:t>
            </w:r>
          </w:p>
        </w:tc>
        <w:tc>
          <w:tcPr>
            <w:tcW w:w="630" w:type="pct"/>
            <w:shd w:val="clear" w:color="auto" w:fill="auto"/>
            <w:vAlign w:val="center"/>
          </w:tcPr>
          <w:p w:rsidR="00001DF9" w:rsidRPr="00F146E1" w:rsidRDefault="00F146E1" w:rsidP="00001DF9">
            <w:pPr>
              <w:jc w:val="center"/>
              <w:rPr>
                <w:rFonts w:ascii="Arial Narrow" w:hAnsi="Arial Narrow"/>
                <w:sz w:val="20"/>
                <w:highlight w:val="black"/>
              </w:rPr>
            </w:pPr>
            <w:r>
              <w:rPr>
                <w:rFonts w:ascii="Arial Narrow" w:hAnsi="Arial Narrow"/>
                <w:noProof/>
                <w:color w:val="000000"/>
                <w:sz w:val="20"/>
                <w:highlight w:val="black"/>
              </w:rPr>
              <w:t>'''''''''''''''</w:t>
            </w:r>
          </w:p>
        </w:tc>
        <w:tc>
          <w:tcPr>
            <w:tcW w:w="630" w:type="pct"/>
            <w:shd w:val="clear" w:color="auto" w:fill="auto"/>
            <w:vAlign w:val="center"/>
          </w:tcPr>
          <w:p w:rsidR="00001DF9" w:rsidRPr="00F146E1" w:rsidRDefault="00F146E1" w:rsidP="00001DF9">
            <w:pPr>
              <w:jc w:val="center"/>
              <w:rPr>
                <w:rFonts w:ascii="Arial Narrow" w:hAnsi="Arial Narrow"/>
                <w:sz w:val="20"/>
                <w:highlight w:val="black"/>
              </w:rPr>
            </w:pPr>
            <w:r>
              <w:rPr>
                <w:rFonts w:ascii="Arial Narrow" w:hAnsi="Arial Narrow"/>
                <w:noProof/>
                <w:color w:val="000000"/>
                <w:sz w:val="20"/>
                <w:highlight w:val="black"/>
              </w:rPr>
              <w:t>'''''''''''''''''</w:t>
            </w:r>
          </w:p>
        </w:tc>
        <w:tc>
          <w:tcPr>
            <w:tcW w:w="630" w:type="pct"/>
            <w:shd w:val="clear" w:color="auto" w:fill="auto"/>
            <w:vAlign w:val="center"/>
          </w:tcPr>
          <w:p w:rsidR="00001DF9" w:rsidRPr="00F146E1" w:rsidRDefault="00F146E1" w:rsidP="00001DF9">
            <w:pPr>
              <w:jc w:val="center"/>
              <w:rPr>
                <w:rFonts w:ascii="Arial Narrow" w:hAnsi="Arial Narrow"/>
                <w:sz w:val="20"/>
                <w:highlight w:val="black"/>
              </w:rPr>
            </w:pPr>
            <w:r>
              <w:rPr>
                <w:rFonts w:ascii="Arial Narrow" w:hAnsi="Arial Narrow"/>
                <w:noProof/>
                <w:color w:val="000000"/>
                <w:sz w:val="20"/>
                <w:highlight w:val="black"/>
              </w:rPr>
              <w:t>''''''''''''''''</w:t>
            </w:r>
          </w:p>
        </w:tc>
        <w:tc>
          <w:tcPr>
            <w:tcW w:w="630" w:type="pct"/>
            <w:shd w:val="clear" w:color="auto" w:fill="auto"/>
            <w:vAlign w:val="center"/>
          </w:tcPr>
          <w:p w:rsidR="00001DF9" w:rsidRPr="00F146E1" w:rsidRDefault="00F146E1" w:rsidP="00001DF9">
            <w:pPr>
              <w:jc w:val="center"/>
              <w:rPr>
                <w:rFonts w:ascii="Arial Narrow" w:hAnsi="Arial Narrow"/>
                <w:sz w:val="20"/>
                <w:highlight w:val="black"/>
              </w:rPr>
            </w:pPr>
            <w:r>
              <w:rPr>
                <w:rFonts w:ascii="Arial Narrow" w:hAnsi="Arial Narrow"/>
                <w:noProof/>
                <w:color w:val="000000"/>
                <w:sz w:val="20"/>
                <w:highlight w:val="black"/>
              </w:rPr>
              <w:t>''''''''''''''''</w:t>
            </w:r>
          </w:p>
        </w:tc>
        <w:tc>
          <w:tcPr>
            <w:tcW w:w="628" w:type="pct"/>
            <w:shd w:val="clear" w:color="auto" w:fill="auto"/>
            <w:vAlign w:val="center"/>
          </w:tcPr>
          <w:p w:rsidR="00001DF9" w:rsidRPr="00F146E1" w:rsidRDefault="00F146E1" w:rsidP="00001DF9">
            <w:pPr>
              <w:jc w:val="center"/>
              <w:rPr>
                <w:rFonts w:ascii="Arial Narrow" w:hAnsi="Arial Narrow"/>
                <w:sz w:val="20"/>
                <w:highlight w:val="black"/>
              </w:rPr>
            </w:pPr>
            <w:r>
              <w:rPr>
                <w:rFonts w:ascii="Arial Narrow" w:hAnsi="Arial Narrow"/>
                <w:noProof/>
                <w:color w:val="000000"/>
                <w:sz w:val="20"/>
                <w:highlight w:val="black"/>
              </w:rPr>
              <w:t>''''''''''''''''''</w:t>
            </w:r>
          </w:p>
        </w:tc>
      </w:tr>
      <w:tr w:rsidR="00001DF9" w:rsidRPr="004E2ADC" w:rsidTr="00001DF9">
        <w:tc>
          <w:tcPr>
            <w:tcW w:w="1852" w:type="pct"/>
            <w:shd w:val="clear" w:color="auto" w:fill="auto"/>
            <w:vAlign w:val="center"/>
          </w:tcPr>
          <w:p w:rsidR="00001DF9" w:rsidRPr="00001DF9" w:rsidRDefault="00001DF9" w:rsidP="00001DF9">
            <w:pPr>
              <w:tabs>
                <w:tab w:val="left" w:pos="142"/>
              </w:tabs>
              <w:jc w:val="left"/>
              <w:rPr>
                <w:rFonts w:ascii="Arial Narrow" w:hAnsi="Arial Narrow"/>
                <w:sz w:val="20"/>
              </w:rPr>
            </w:pPr>
            <w:r w:rsidRPr="00001DF9">
              <w:rPr>
                <w:rFonts w:ascii="Arial Narrow" w:hAnsi="Arial Narrow"/>
                <w:sz w:val="20"/>
              </w:rPr>
              <w:t>Net costs to PBS/RPBS – RSA</w:t>
            </w:r>
          </w:p>
        </w:tc>
        <w:tc>
          <w:tcPr>
            <w:tcW w:w="630" w:type="pct"/>
            <w:shd w:val="clear" w:color="auto" w:fill="auto"/>
            <w:vAlign w:val="center"/>
          </w:tcPr>
          <w:p w:rsidR="00001DF9" w:rsidRPr="00001DF9" w:rsidRDefault="00001DF9" w:rsidP="00001DF9">
            <w:pPr>
              <w:jc w:val="center"/>
              <w:rPr>
                <w:rFonts w:ascii="Arial Narrow" w:hAnsi="Arial Narrow"/>
                <w:sz w:val="20"/>
              </w:rPr>
            </w:pPr>
            <w:r w:rsidRPr="00001DF9">
              <w:rPr>
                <w:rFonts w:ascii="Arial Narrow" w:hAnsi="Arial Narrow"/>
                <w:sz w:val="20"/>
              </w:rPr>
              <w:t>$</w:t>
            </w:r>
            <w:r w:rsidR="00F146E1">
              <w:rPr>
                <w:rFonts w:ascii="Arial Narrow" w:hAnsi="Arial Narrow"/>
                <w:noProof/>
                <w:color w:val="000000"/>
                <w:sz w:val="20"/>
                <w:highlight w:val="black"/>
              </w:rPr>
              <w:t>''''''''''''''''''''''''</w:t>
            </w:r>
          </w:p>
        </w:tc>
        <w:tc>
          <w:tcPr>
            <w:tcW w:w="630" w:type="pct"/>
            <w:shd w:val="clear" w:color="auto" w:fill="auto"/>
            <w:vAlign w:val="center"/>
          </w:tcPr>
          <w:p w:rsidR="00001DF9" w:rsidRPr="00001DF9" w:rsidRDefault="00001DF9" w:rsidP="00001DF9">
            <w:pPr>
              <w:jc w:val="center"/>
              <w:rPr>
                <w:rFonts w:ascii="Arial Narrow" w:hAnsi="Arial Narrow"/>
                <w:sz w:val="20"/>
              </w:rPr>
            </w:pPr>
            <w:r w:rsidRPr="00001DF9">
              <w:rPr>
                <w:rFonts w:ascii="Arial Narrow" w:hAnsi="Arial Narrow"/>
                <w:sz w:val="20"/>
              </w:rPr>
              <w:t>$</w:t>
            </w:r>
            <w:r w:rsidR="00F146E1">
              <w:rPr>
                <w:rFonts w:ascii="Arial Narrow" w:hAnsi="Arial Narrow"/>
                <w:noProof/>
                <w:color w:val="000000"/>
                <w:sz w:val="20"/>
                <w:highlight w:val="black"/>
              </w:rPr>
              <w:t>'''''''''''''''''''''''''''''</w:t>
            </w:r>
          </w:p>
        </w:tc>
        <w:tc>
          <w:tcPr>
            <w:tcW w:w="630" w:type="pct"/>
            <w:shd w:val="clear" w:color="auto" w:fill="auto"/>
            <w:vAlign w:val="center"/>
          </w:tcPr>
          <w:p w:rsidR="00001DF9" w:rsidRPr="00001DF9" w:rsidRDefault="00001DF9" w:rsidP="00001DF9">
            <w:pPr>
              <w:jc w:val="center"/>
              <w:rPr>
                <w:rFonts w:ascii="Arial Narrow" w:hAnsi="Arial Narrow"/>
                <w:sz w:val="20"/>
              </w:rPr>
            </w:pPr>
            <w:r w:rsidRPr="00001DF9">
              <w:rPr>
                <w:rFonts w:ascii="Arial Narrow" w:hAnsi="Arial Narrow"/>
                <w:sz w:val="20"/>
              </w:rPr>
              <w:t>$</w:t>
            </w:r>
            <w:r w:rsidR="00F146E1">
              <w:rPr>
                <w:rFonts w:ascii="Arial Narrow" w:hAnsi="Arial Narrow"/>
                <w:noProof/>
                <w:color w:val="000000"/>
                <w:sz w:val="20"/>
                <w:highlight w:val="black"/>
              </w:rPr>
              <w:t>''''''''''''''''''''''''''</w:t>
            </w:r>
          </w:p>
        </w:tc>
        <w:tc>
          <w:tcPr>
            <w:tcW w:w="630" w:type="pct"/>
            <w:shd w:val="clear" w:color="auto" w:fill="auto"/>
            <w:vAlign w:val="center"/>
          </w:tcPr>
          <w:p w:rsidR="00001DF9" w:rsidRPr="00001DF9" w:rsidRDefault="00001DF9" w:rsidP="00001DF9">
            <w:pPr>
              <w:jc w:val="center"/>
              <w:rPr>
                <w:rFonts w:ascii="Arial Narrow" w:hAnsi="Arial Narrow"/>
                <w:sz w:val="20"/>
              </w:rPr>
            </w:pPr>
            <w:r w:rsidRPr="00001DF9">
              <w:rPr>
                <w:rFonts w:ascii="Arial Narrow" w:hAnsi="Arial Narrow"/>
                <w:sz w:val="20"/>
              </w:rPr>
              <w:t>$</w:t>
            </w:r>
            <w:r w:rsidR="00F146E1">
              <w:rPr>
                <w:rFonts w:ascii="Arial Narrow" w:hAnsi="Arial Narrow"/>
                <w:noProof/>
                <w:color w:val="000000"/>
                <w:sz w:val="20"/>
                <w:highlight w:val="black"/>
              </w:rPr>
              <w:t>'''''''''''''''''''''''''''</w:t>
            </w:r>
          </w:p>
        </w:tc>
        <w:tc>
          <w:tcPr>
            <w:tcW w:w="628" w:type="pct"/>
            <w:shd w:val="clear" w:color="auto" w:fill="auto"/>
            <w:vAlign w:val="center"/>
          </w:tcPr>
          <w:p w:rsidR="00001DF9" w:rsidRPr="00001DF9" w:rsidRDefault="00001DF9" w:rsidP="00001DF9">
            <w:pPr>
              <w:jc w:val="center"/>
              <w:rPr>
                <w:rFonts w:ascii="Arial Narrow" w:hAnsi="Arial Narrow"/>
                <w:sz w:val="20"/>
              </w:rPr>
            </w:pPr>
            <w:r w:rsidRPr="00001DF9">
              <w:rPr>
                <w:rFonts w:ascii="Arial Narrow" w:hAnsi="Arial Narrow"/>
                <w:sz w:val="20"/>
              </w:rPr>
              <w:t>$</w:t>
            </w:r>
            <w:r w:rsidR="00F146E1">
              <w:rPr>
                <w:rFonts w:ascii="Arial Narrow" w:hAnsi="Arial Narrow"/>
                <w:noProof/>
                <w:color w:val="000000"/>
                <w:sz w:val="20"/>
                <w:highlight w:val="black"/>
              </w:rPr>
              <w:t>'''''''''''''''''''''''''''''</w:t>
            </w:r>
          </w:p>
        </w:tc>
      </w:tr>
      <w:tr w:rsidR="00001DF9" w:rsidRPr="004E2ADC" w:rsidTr="00001DF9">
        <w:tc>
          <w:tcPr>
            <w:tcW w:w="5000" w:type="pct"/>
            <w:gridSpan w:val="6"/>
            <w:shd w:val="clear" w:color="auto" w:fill="auto"/>
            <w:vAlign w:val="center"/>
          </w:tcPr>
          <w:p w:rsidR="00001DF9" w:rsidRPr="00001DF9" w:rsidRDefault="00001DF9" w:rsidP="00001DF9">
            <w:pPr>
              <w:jc w:val="left"/>
              <w:rPr>
                <w:rFonts w:ascii="Arial Narrow" w:hAnsi="Arial Narrow"/>
                <w:b/>
                <w:sz w:val="20"/>
              </w:rPr>
            </w:pPr>
            <w:r w:rsidRPr="00001DF9">
              <w:rPr>
                <w:rFonts w:ascii="Arial Narrow" w:hAnsi="Arial Narrow"/>
                <w:b/>
                <w:sz w:val="20"/>
              </w:rPr>
              <w:t>Expected utilisation</w:t>
            </w:r>
            <w:r w:rsidR="00F321A7">
              <w:rPr>
                <w:rFonts w:ascii="Arial Narrow" w:hAnsi="Arial Narrow"/>
                <w:b/>
                <w:sz w:val="20"/>
              </w:rPr>
              <w:t xml:space="preserve"> – uptake rates: year 1-5; 60% to 100% (DUSC)</w:t>
            </w:r>
          </w:p>
        </w:tc>
      </w:tr>
      <w:tr w:rsidR="00001DF9" w:rsidRPr="00001DF9" w:rsidTr="00001DF9">
        <w:tc>
          <w:tcPr>
            <w:tcW w:w="1852" w:type="pct"/>
            <w:shd w:val="clear" w:color="auto" w:fill="auto"/>
            <w:vAlign w:val="center"/>
          </w:tcPr>
          <w:p w:rsidR="00001DF9" w:rsidRPr="00001DF9" w:rsidRDefault="00001DF9" w:rsidP="00001DF9">
            <w:pPr>
              <w:tabs>
                <w:tab w:val="left" w:pos="142"/>
              </w:tabs>
              <w:jc w:val="left"/>
              <w:rPr>
                <w:rFonts w:ascii="Arial Narrow" w:hAnsi="Arial Narrow"/>
                <w:sz w:val="20"/>
              </w:rPr>
            </w:pPr>
            <w:r>
              <w:rPr>
                <w:rFonts w:ascii="Arial Narrow" w:hAnsi="Arial Narrow"/>
                <w:sz w:val="20"/>
              </w:rPr>
              <w:t>Total prescriptions</w:t>
            </w:r>
          </w:p>
        </w:tc>
        <w:tc>
          <w:tcPr>
            <w:tcW w:w="630" w:type="pct"/>
            <w:shd w:val="clear" w:color="auto" w:fill="auto"/>
            <w:vAlign w:val="center"/>
          </w:tcPr>
          <w:p w:rsidR="00001DF9" w:rsidRPr="00F146E1" w:rsidRDefault="00F146E1" w:rsidP="00001DF9">
            <w:pPr>
              <w:jc w:val="center"/>
              <w:rPr>
                <w:rFonts w:ascii="Arial Narrow" w:hAnsi="Arial Narrow"/>
                <w:sz w:val="20"/>
                <w:highlight w:val="black"/>
              </w:rPr>
            </w:pPr>
            <w:r>
              <w:rPr>
                <w:rFonts w:ascii="Arial Narrow" w:hAnsi="Arial Narrow"/>
                <w:noProof/>
                <w:color w:val="000000"/>
                <w:sz w:val="20"/>
                <w:highlight w:val="black"/>
              </w:rPr>
              <w:t>''''''''''''''''</w:t>
            </w:r>
          </w:p>
        </w:tc>
        <w:tc>
          <w:tcPr>
            <w:tcW w:w="630" w:type="pct"/>
            <w:shd w:val="clear" w:color="auto" w:fill="auto"/>
            <w:vAlign w:val="center"/>
          </w:tcPr>
          <w:p w:rsidR="00001DF9" w:rsidRPr="00F146E1" w:rsidRDefault="00F146E1" w:rsidP="00001DF9">
            <w:pPr>
              <w:jc w:val="center"/>
              <w:rPr>
                <w:rFonts w:ascii="Arial Narrow" w:hAnsi="Arial Narrow"/>
                <w:sz w:val="20"/>
                <w:highlight w:val="black"/>
              </w:rPr>
            </w:pPr>
            <w:r>
              <w:rPr>
                <w:rFonts w:ascii="Arial Narrow" w:hAnsi="Arial Narrow"/>
                <w:noProof/>
                <w:color w:val="000000"/>
                <w:sz w:val="20"/>
                <w:highlight w:val="black"/>
              </w:rPr>
              <w:t>''''''''''''''''</w:t>
            </w:r>
          </w:p>
        </w:tc>
        <w:tc>
          <w:tcPr>
            <w:tcW w:w="630" w:type="pct"/>
            <w:shd w:val="clear" w:color="auto" w:fill="auto"/>
            <w:vAlign w:val="center"/>
          </w:tcPr>
          <w:p w:rsidR="00001DF9" w:rsidRPr="00F146E1" w:rsidRDefault="00F146E1" w:rsidP="00001DF9">
            <w:pPr>
              <w:jc w:val="center"/>
              <w:rPr>
                <w:rFonts w:ascii="Arial Narrow" w:hAnsi="Arial Narrow"/>
                <w:sz w:val="20"/>
                <w:highlight w:val="black"/>
              </w:rPr>
            </w:pPr>
            <w:r>
              <w:rPr>
                <w:rFonts w:ascii="Arial Narrow" w:hAnsi="Arial Narrow"/>
                <w:noProof/>
                <w:color w:val="000000"/>
                <w:sz w:val="20"/>
                <w:highlight w:val="black"/>
              </w:rPr>
              <w:t>''''''''''''''''</w:t>
            </w:r>
          </w:p>
        </w:tc>
        <w:tc>
          <w:tcPr>
            <w:tcW w:w="630" w:type="pct"/>
            <w:shd w:val="clear" w:color="auto" w:fill="auto"/>
            <w:vAlign w:val="center"/>
          </w:tcPr>
          <w:p w:rsidR="00001DF9" w:rsidRPr="00F146E1" w:rsidRDefault="00F146E1" w:rsidP="00001DF9">
            <w:pPr>
              <w:jc w:val="center"/>
              <w:rPr>
                <w:rFonts w:ascii="Arial Narrow" w:hAnsi="Arial Narrow"/>
                <w:sz w:val="20"/>
                <w:highlight w:val="black"/>
              </w:rPr>
            </w:pPr>
            <w:r>
              <w:rPr>
                <w:rFonts w:ascii="Arial Narrow" w:hAnsi="Arial Narrow"/>
                <w:noProof/>
                <w:color w:val="000000"/>
                <w:sz w:val="20"/>
                <w:highlight w:val="black"/>
              </w:rPr>
              <w:t>''''''''''''''''</w:t>
            </w:r>
          </w:p>
        </w:tc>
        <w:tc>
          <w:tcPr>
            <w:tcW w:w="628" w:type="pct"/>
            <w:shd w:val="clear" w:color="auto" w:fill="auto"/>
            <w:vAlign w:val="center"/>
          </w:tcPr>
          <w:p w:rsidR="00001DF9" w:rsidRPr="00F146E1" w:rsidRDefault="00F146E1" w:rsidP="00001DF9">
            <w:pPr>
              <w:jc w:val="center"/>
              <w:rPr>
                <w:rFonts w:ascii="Arial Narrow" w:hAnsi="Arial Narrow"/>
                <w:sz w:val="20"/>
                <w:highlight w:val="black"/>
              </w:rPr>
            </w:pPr>
            <w:r>
              <w:rPr>
                <w:rFonts w:ascii="Arial Narrow" w:hAnsi="Arial Narrow"/>
                <w:noProof/>
                <w:color w:val="000000"/>
                <w:sz w:val="20"/>
                <w:highlight w:val="black"/>
              </w:rPr>
              <w:t>''''''''''''''''</w:t>
            </w:r>
          </w:p>
        </w:tc>
      </w:tr>
      <w:tr w:rsidR="00001DF9" w:rsidRPr="004E2ADC" w:rsidTr="00731A38">
        <w:tc>
          <w:tcPr>
            <w:tcW w:w="1852" w:type="pct"/>
            <w:tcBorders>
              <w:bottom w:val="double" w:sz="4" w:space="0" w:color="auto"/>
            </w:tcBorders>
            <w:shd w:val="clear" w:color="auto" w:fill="auto"/>
            <w:vAlign w:val="center"/>
          </w:tcPr>
          <w:p w:rsidR="00001DF9" w:rsidRPr="00001DF9" w:rsidRDefault="00001DF9" w:rsidP="00001DF9">
            <w:pPr>
              <w:tabs>
                <w:tab w:val="left" w:pos="142"/>
              </w:tabs>
              <w:jc w:val="left"/>
              <w:rPr>
                <w:rFonts w:ascii="Arial Narrow" w:hAnsi="Arial Narrow"/>
                <w:sz w:val="20"/>
              </w:rPr>
            </w:pPr>
            <w:r>
              <w:rPr>
                <w:rFonts w:ascii="Arial Narrow" w:hAnsi="Arial Narrow"/>
                <w:sz w:val="20"/>
              </w:rPr>
              <w:t>Net costs to PBS/RPBS</w:t>
            </w:r>
          </w:p>
        </w:tc>
        <w:tc>
          <w:tcPr>
            <w:tcW w:w="630" w:type="pct"/>
            <w:tcBorders>
              <w:bottom w:val="double" w:sz="4" w:space="0" w:color="auto"/>
            </w:tcBorders>
            <w:shd w:val="clear" w:color="auto" w:fill="auto"/>
            <w:vAlign w:val="center"/>
          </w:tcPr>
          <w:p w:rsidR="00001DF9" w:rsidRPr="00001DF9" w:rsidRDefault="00001DF9" w:rsidP="00001DF9">
            <w:pPr>
              <w:jc w:val="center"/>
              <w:rPr>
                <w:rFonts w:ascii="Arial Narrow" w:hAnsi="Arial Narrow"/>
                <w:sz w:val="20"/>
              </w:rPr>
            </w:pPr>
            <w:r w:rsidRPr="00001DF9">
              <w:rPr>
                <w:rFonts w:ascii="Arial Narrow" w:hAnsi="Arial Narrow"/>
                <w:sz w:val="20"/>
              </w:rPr>
              <w:t>$</w:t>
            </w:r>
            <w:r w:rsidR="00F146E1">
              <w:rPr>
                <w:rFonts w:ascii="Arial Narrow" w:hAnsi="Arial Narrow"/>
                <w:noProof/>
                <w:color w:val="000000"/>
                <w:sz w:val="20"/>
                <w:highlight w:val="black"/>
              </w:rPr>
              <w:t>''''''''''''''''''''''''''''</w:t>
            </w:r>
          </w:p>
        </w:tc>
        <w:tc>
          <w:tcPr>
            <w:tcW w:w="630" w:type="pct"/>
            <w:tcBorders>
              <w:bottom w:val="double" w:sz="4" w:space="0" w:color="auto"/>
            </w:tcBorders>
            <w:shd w:val="clear" w:color="auto" w:fill="auto"/>
            <w:vAlign w:val="center"/>
          </w:tcPr>
          <w:p w:rsidR="00001DF9" w:rsidRPr="00001DF9" w:rsidRDefault="00001DF9" w:rsidP="00001DF9">
            <w:pPr>
              <w:jc w:val="center"/>
              <w:rPr>
                <w:rFonts w:ascii="Arial Narrow" w:hAnsi="Arial Narrow"/>
                <w:sz w:val="20"/>
              </w:rPr>
            </w:pPr>
            <w:r w:rsidRPr="00001DF9">
              <w:rPr>
                <w:rFonts w:ascii="Arial Narrow" w:hAnsi="Arial Narrow"/>
                <w:sz w:val="20"/>
              </w:rPr>
              <w:t>$</w:t>
            </w:r>
            <w:r w:rsidR="00F146E1">
              <w:rPr>
                <w:rFonts w:ascii="Arial Narrow" w:hAnsi="Arial Narrow"/>
                <w:noProof/>
                <w:color w:val="000000"/>
                <w:sz w:val="20"/>
                <w:highlight w:val="black"/>
              </w:rPr>
              <w:t>'''''''''''''''''''''''''</w:t>
            </w:r>
          </w:p>
        </w:tc>
        <w:tc>
          <w:tcPr>
            <w:tcW w:w="630" w:type="pct"/>
            <w:tcBorders>
              <w:bottom w:val="double" w:sz="4" w:space="0" w:color="auto"/>
            </w:tcBorders>
            <w:shd w:val="clear" w:color="auto" w:fill="auto"/>
            <w:vAlign w:val="center"/>
          </w:tcPr>
          <w:p w:rsidR="00001DF9" w:rsidRPr="00001DF9" w:rsidRDefault="00001DF9" w:rsidP="00001DF9">
            <w:pPr>
              <w:jc w:val="center"/>
              <w:rPr>
                <w:rFonts w:ascii="Arial Narrow" w:hAnsi="Arial Narrow"/>
                <w:sz w:val="20"/>
              </w:rPr>
            </w:pPr>
            <w:r w:rsidRPr="00001DF9">
              <w:rPr>
                <w:rFonts w:ascii="Arial Narrow" w:hAnsi="Arial Narrow"/>
                <w:sz w:val="20"/>
              </w:rPr>
              <w:t>$</w:t>
            </w:r>
            <w:r w:rsidR="00F146E1">
              <w:rPr>
                <w:rFonts w:ascii="Arial Narrow" w:hAnsi="Arial Narrow"/>
                <w:noProof/>
                <w:color w:val="000000"/>
                <w:sz w:val="20"/>
                <w:highlight w:val="black"/>
              </w:rPr>
              <w:t>''''''''''''''''''''''''''</w:t>
            </w:r>
          </w:p>
        </w:tc>
        <w:tc>
          <w:tcPr>
            <w:tcW w:w="630" w:type="pct"/>
            <w:tcBorders>
              <w:bottom w:val="double" w:sz="4" w:space="0" w:color="auto"/>
            </w:tcBorders>
            <w:shd w:val="clear" w:color="auto" w:fill="auto"/>
            <w:vAlign w:val="center"/>
          </w:tcPr>
          <w:p w:rsidR="00001DF9" w:rsidRPr="00001DF9" w:rsidRDefault="00001DF9" w:rsidP="00001DF9">
            <w:pPr>
              <w:jc w:val="center"/>
              <w:rPr>
                <w:rFonts w:ascii="Arial Narrow" w:hAnsi="Arial Narrow"/>
                <w:sz w:val="20"/>
              </w:rPr>
            </w:pPr>
            <w:r w:rsidRPr="00001DF9">
              <w:rPr>
                <w:rFonts w:ascii="Arial Narrow" w:hAnsi="Arial Narrow"/>
                <w:sz w:val="20"/>
              </w:rPr>
              <w:t>$</w:t>
            </w:r>
            <w:r w:rsidR="00F146E1">
              <w:rPr>
                <w:rFonts w:ascii="Arial Narrow" w:hAnsi="Arial Narrow"/>
                <w:noProof/>
                <w:color w:val="000000"/>
                <w:sz w:val="20"/>
                <w:highlight w:val="black"/>
              </w:rPr>
              <w:t>'''''''''''''''''''''''''</w:t>
            </w:r>
          </w:p>
        </w:tc>
        <w:tc>
          <w:tcPr>
            <w:tcW w:w="628" w:type="pct"/>
            <w:tcBorders>
              <w:bottom w:val="double" w:sz="4" w:space="0" w:color="auto"/>
            </w:tcBorders>
            <w:shd w:val="clear" w:color="auto" w:fill="auto"/>
            <w:vAlign w:val="center"/>
          </w:tcPr>
          <w:p w:rsidR="00001DF9" w:rsidRPr="00001DF9" w:rsidRDefault="00001DF9" w:rsidP="00001DF9">
            <w:pPr>
              <w:jc w:val="center"/>
              <w:rPr>
                <w:rFonts w:ascii="Arial Narrow" w:hAnsi="Arial Narrow"/>
                <w:sz w:val="20"/>
              </w:rPr>
            </w:pPr>
            <w:r w:rsidRPr="00001DF9">
              <w:rPr>
                <w:rFonts w:ascii="Arial Narrow" w:hAnsi="Arial Narrow"/>
                <w:sz w:val="20"/>
              </w:rPr>
              <w:t>$</w:t>
            </w:r>
            <w:r w:rsidR="00F146E1">
              <w:rPr>
                <w:rFonts w:ascii="Arial Narrow" w:hAnsi="Arial Narrow"/>
                <w:noProof/>
                <w:color w:val="000000"/>
                <w:sz w:val="20"/>
                <w:highlight w:val="black"/>
              </w:rPr>
              <w:t>''''''''''''''''''''''''''''</w:t>
            </w:r>
          </w:p>
        </w:tc>
      </w:tr>
      <w:tr w:rsidR="00C2307C" w:rsidRPr="00C2307C" w:rsidTr="00731A38">
        <w:tc>
          <w:tcPr>
            <w:tcW w:w="5000" w:type="pct"/>
            <w:gridSpan w:val="6"/>
            <w:tcBorders>
              <w:top w:val="double" w:sz="4" w:space="0" w:color="auto"/>
            </w:tcBorders>
            <w:shd w:val="clear" w:color="auto" w:fill="auto"/>
            <w:vAlign w:val="center"/>
          </w:tcPr>
          <w:p w:rsidR="00C2307C" w:rsidRPr="00C2307C" w:rsidRDefault="00C2307C" w:rsidP="00C2307C">
            <w:pPr>
              <w:jc w:val="left"/>
              <w:rPr>
                <w:rFonts w:ascii="Arial Narrow" w:hAnsi="Arial Narrow"/>
                <w:b/>
                <w:sz w:val="20"/>
              </w:rPr>
            </w:pPr>
            <w:r w:rsidRPr="00C2307C">
              <w:rPr>
                <w:rFonts w:ascii="Arial Narrow" w:hAnsi="Arial Narrow"/>
                <w:b/>
                <w:sz w:val="20"/>
              </w:rPr>
              <w:t>Adverse event costs (diarrhoea, nausea and vomiting)</w:t>
            </w:r>
          </w:p>
        </w:tc>
      </w:tr>
      <w:tr w:rsidR="00C2307C" w:rsidRPr="004E2ADC" w:rsidTr="00001DF9">
        <w:tc>
          <w:tcPr>
            <w:tcW w:w="1852" w:type="pct"/>
            <w:shd w:val="clear" w:color="auto" w:fill="auto"/>
            <w:vAlign w:val="center"/>
          </w:tcPr>
          <w:p w:rsidR="00C2307C" w:rsidRPr="00C2307C" w:rsidRDefault="00C2307C" w:rsidP="00C2307C">
            <w:pPr>
              <w:tabs>
                <w:tab w:val="left" w:pos="142"/>
              </w:tabs>
              <w:jc w:val="left"/>
              <w:rPr>
                <w:rFonts w:ascii="Arial Narrow" w:hAnsi="Arial Narrow"/>
                <w:sz w:val="20"/>
              </w:rPr>
            </w:pPr>
            <w:r w:rsidRPr="00C2307C">
              <w:rPr>
                <w:rFonts w:ascii="Arial Narrow" w:hAnsi="Arial Narrow"/>
                <w:sz w:val="20"/>
              </w:rPr>
              <w:t>Net cost to the PBS/RPBS</w:t>
            </w:r>
          </w:p>
        </w:tc>
        <w:tc>
          <w:tcPr>
            <w:tcW w:w="630" w:type="pct"/>
            <w:shd w:val="clear" w:color="auto" w:fill="auto"/>
            <w:vAlign w:val="center"/>
          </w:tcPr>
          <w:p w:rsidR="00C2307C" w:rsidRPr="00C2307C" w:rsidRDefault="00C2307C" w:rsidP="00C2307C">
            <w:pPr>
              <w:jc w:val="center"/>
              <w:rPr>
                <w:rFonts w:ascii="Arial Narrow" w:hAnsi="Arial Narrow"/>
                <w:sz w:val="20"/>
              </w:rPr>
            </w:pPr>
            <w:r w:rsidRPr="00C2307C">
              <w:rPr>
                <w:rFonts w:ascii="Arial Narrow" w:hAnsi="Arial Narrow"/>
                <w:sz w:val="20"/>
              </w:rPr>
              <w:t>$</w:t>
            </w:r>
            <w:r w:rsidR="00F146E1">
              <w:rPr>
                <w:rFonts w:ascii="Arial Narrow" w:hAnsi="Arial Narrow"/>
                <w:noProof/>
                <w:color w:val="000000"/>
                <w:sz w:val="20"/>
                <w:highlight w:val="black"/>
              </w:rPr>
              <w:t>''''''''''''''''''''''</w:t>
            </w:r>
          </w:p>
        </w:tc>
        <w:tc>
          <w:tcPr>
            <w:tcW w:w="630" w:type="pct"/>
            <w:shd w:val="clear" w:color="auto" w:fill="auto"/>
            <w:vAlign w:val="center"/>
          </w:tcPr>
          <w:p w:rsidR="00C2307C" w:rsidRPr="00C2307C" w:rsidRDefault="00C2307C" w:rsidP="00C2307C">
            <w:pPr>
              <w:jc w:val="center"/>
              <w:rPr>
                <w:rFonts w:ascii="Arial Narrow" w:hAnsi="Arial Narrow"/>
                <w:sz w:val="20"/>
              </w:rPr>
            </w:pPr>
            <w:r w:rsidRPr="00C2307C">
              <w:rPr>
                <w:rFonts w:ascii="Arial Narrow" w:hAnsi="Arial Narrow"/>
                <w:sz w:val="20"/>
              </w:rPr>
              <w:t>$</w:t>
            </w:r>
            <w:r w:rsidR="00F146E1">
              <w:rPr>
                <w:rFonts w:ascii="Arial Narrow" w:hAnsi="Arial Narrow"/>
                <w:noProof/>
                <w:color w:val="000000"/>
                <w:sz w:val="20"/>
                <w:highlight w:val="black"/>
              </w:rPr>
              <w:t>'''''''''''''''''''</w:t>
            </w:r>
          </w:p>
        </w:tc>
        <w:tc>
          <w:tcPr>
            <w:tcW w:w="630" w:type="pct"/>
            <w:shd w:val="clear" w:color="auto" w:fill="auto"/>
            <w:vAlign w:val="center"/>
          </w:tcPr>
          <w:p w:rsidR="00C2307C" w:rsidRPr="00C2307C" w:rsidRDefault="00C2307C" w:rsidP="00C2307C">
            <w:pPr>
              <w:jc w:val="center"/>
              <w:rPr>
                <w:rFonts w:ascii="Arial Narrow" w:hAnsi="Arial Narrow"/>
                <w:sz w:val="20"/>
              </w:rPr>
            </w:pPr>
            <w:r w:rsidRPr="00C2307C">
              <w:rPr>
                <w:rFonts w:ascii="Arial Narrow" w:hAnsi="Arial Narrow"/>
                <w:sz w:val="20"/>
              </w:rPr>
              <w:t>$</w:t>
            </w:r>
            <w:r w:rsidR="00F146E1">
              <w:rPr>
                <w:rFonts w:ascii="Arial Narrow" w:hAnsi="Arial Narrow"/>
                <w:noProof/>
                <w:color w:val="000000"/>
                <w:sz w:val="20"/>
                <w:highlight w:val="black"/>
              </w:rPr>
              <w:t>'''''''''''''''''''''</w:t>
            </w:r>
          </w:p>
        </w:tc>
        <w:tc>
          <w:tcPr>
            <w:tcW w:w="630" w:type="pct"/>
            <w:shd w:val="clear" w:color="auto" w:fill="auto"/>
            <w:vAlign w:val="center"/>
          </w:tcPr>
          <w:p w:rsidR="00C2307C" w:rsidRPr="00C2307C" w:rsidRDefault="00C2307C" w:rsidP="00C2307C">
            <w:pPr>
              <w:jc w:val="center"/>
              <w:rPr>
                <w:rFonts w:ascii="Arial Narrow" w:hAnsi="Arial Narrow"/>
                <w:sz w:val="20"/>
              </w:rPr>
            </w:pPr>
            <w:r w:rsidRPr="00C2307C">
              <w:rPr>
                <w:rFonts w:ascii="Arial Narrow" w:hAnsi="Arial Narrow"/>
                <w:sz w:val="20"/>
              </w:rPr>
              <w:t>$</w:t>
            </w:r>
            <w:r w:rsidR="00F146E1">
              <w:rPr>
                <w:rFonts w:ascii="Arial Narrow" w:hAnsi="Arial Narrow"/>
                <w:noProof/>
                <w:color w:val="000000"/>
                <w:sz w:val="20"/>
                <w:highlight w:val="black"/>
              </w:rPr>
              <w:t>'''''''''''''''''''</w:t>
            </w:r>
          </w:p>
        </w:tc>
        <w:tc>
          <w:tcPr>
            <w:tcW w:w="628" w:type="pct"/>
            <w:shd w:val="clear" w:color="auto" w:fill="auto"/>
            <w:vAlign w:val="center"/>
          </w:tcPr>
          <w:p w:rsidR="00C2307C" w:rsidRPr="00C2307C" w:rsidRDefault="00C2307C" w:rsidP="00C2307C">
            <w:pPr>
              <w:jc w:val="center"/>
              <w:rPr>
                <w:rFonts w:ascii="Arial Narrow" w:hAnsi="Arial Narrow"/>
                <w:sz w:val="20"/>
              </w:rPr>
            </w:pPr>
            <w:r w:rsidRPr="00C2307C">
              <w:rPr>
                <w:rFonts w:ascii="Arial Narrow" w:hAnsi="Arial Narrow"/>
                <w:sz w:val="20"/>
              </w:rPr>
              <w:t>$</w:t>
            </w:r>
            <w:r w:rsidR="00F146E1">
              <w:rPr>
                <w:rFonts w:ascii="Arial Narrow" w:hAnsi="Arial Narrow"/>
                <w:noProof/>
                <w:color w:val="000000"/>
                <w:sz w:val="20"/>
                <w:highlight w:val="black"/>
              </w:rPr>
              <w:t>'''''''''''''''''''''</w:t>
            </w:r>
          </w:p>
        </w:tc>
      </w:tr>
      <w:tr w:rsidR="00C2307C" w:rsidRPr="004E2ADC" w:rsidTr="00C2307C">
        <w:tc>
          <w:tcPr>
            <w:tcW w:w="5000" w:type="pct"/>
            <w:gridSpan w:val="6"/>
            <w:shd w:val="clear" w:color="auto" w:fill="auto"/>
            <w:vAlign w:val="center"/>
          </w:tcPr>
          <w:p w:rsidR="00C2307C" w:rsidRPr="00C2307C" w:rsidRDefault="00C2307C" w:rsidP="00C2307C">
            <w:pPr>
              <w:jc w:val="left"/>
              <w:rPr>
                <w:rFonts w:ascii="Arial Narrow" w:hAnsi="Arial Narrow"/>
                <w:b/>
                <w:sz w:val="20"/>
              </w:rPr>
            </w:pPr>
            <w:r w:rsidRPr="00C2307C">
              <w:rPr>
                <w:rFonts w:ascii="Arial Narrow" w:hAnsi="Arial Narrow"/>
                <w:b/>
                <w:sz w:val="20"/>
              </w:rPr>
              <w:t>Liver function tests</w:t>
            </w:r>
          </w:p>
        </w:tc>
      </w:tr>
      <w:tr w:rsidR="00C2307C" w:rsidRPr="00C2307C" w:rsidTr="00C2307C">
        <w:tc>
          <w:tcPr>
            <w:tcW w:w="1852" w:type="pct"/>
            <w:tcBorders>
              <w:bottom w:val="double" w:sz="4" w:space="0" w:color="auto"/>
            </w:tcBorders>
            <w:shd w:val="clear" w:color="auto" w:fill="auto"/>
            <w:vAlign w:val="center"/>
          </w:tcPr>
          <w:p w:rsidR="00C2307C" w:rsidRPr="00C2307C" w:rsidRDefault="00C2307C" w:rsidP="00C2307C">
            <w:pPr>
              <w:tabs>
                <w:tab w:val="left" w:pos="142"/>
              </w:tabs>
              <w:jc w:val="left"/>
              <w:rPr>
                <w:rFonts w:ascii="Arial Narrow" w:hAnsi="Arial Narrow"/>
                <w:sz w:val="20"/>
              </w:rPr>
            </w:pPr>
            <w:r w:rsidRPr="00C2307C">
              <w:rPr>
                <w:rFonts w:ascii="Arial Narrow" w:hAnsi="Arial Narrow"/>
                <w:sz w:val="20"/>
              </w:rPr>
              <w:t>Net cost to the MBS</w:t>
            </w:r>
          </w:p>
        </w:tc>
        <w:tc>
          <w:tcPr>
            <w:tcW w:w="630" w:type="pct"/>
            <w:tcBorders>
              <w:bottom w:val="double" w:sz="4" w:space="0" w:color="auto"/>
            </w:tcBorders>
            <w:shd w:val="clear" w:color="auto" w:fill="auto"/>
            <w:vAlign w:val="center"/>
          </w:tcPr>
          <w:p w:rsidR="00C2307C" w:rsidRPr="00C2307C" w:rsidRDefault="00C2307C" w:rsidP="00C2307C">
            <w:pPr>
              <w:jc w:val="center"/>
              <w:rPr>
                <w:rFonts w:ascii="Arial Narrow" w:hAnsi="Arial Narrow"/>
                <w:sz w:val="20"/>
              </w:rPr>
            </w:pPr>
            <w:r w:rsidRPr="00C2307C">
              <w:rPr>
                <w:rFonts w:ascii="Arial Narrow" w:hAnsi="Arial Narrow"/>
                <w:sz w:val="20"/>
              </w:rPr>
              <w:t>$45,414</w:t>
            </w:r>
          </w:p>
        </w:tc>
        <w:tc>
          <w:tcPr>
            <w:tcW w:w="630" w:type="pct"/>
            <w:tcBorders>
              <w:bottom w:val="double" w:sz="4" w:space="0" w:color="auto"/>
            </w:tcBorders>
            <w:shd w:val="clear" w:color="auto" w:fill="auto"/>
            <w:vAlign w:val="center"/>
          </w:tcPr>
          <w:p w:rsidR="00C2307C" w:rsidRPr="00C2307C" w:rsidRDefault="00C2307C" w:rsidP="00C2307C">
            <w:pPr>
              <w:jc w:val="center"/>
              <w:rPr>
                <w:rFonts w:ascii="Arial Narrow" w:hAnsi="Arial Narrow"/>
                <w:sz w:val="20"/>
              </w:rPr>
            </w:pPr>
            <w:r w:rsidRPr="00C2307C">
              <w:rPr>
                <w:rFonts w:ascii="Arial Narrow" w:hAnsi="Arial Narrow"/>
                <w:sz w:val="20"/>
              </w:rPr>
              <w:t>$73,900</w:t>
            </w:r>
          </w:p>
        </w:tc>
        <w:tc>
          <w:tcPr>
            <w:tcW w:w="630" w:type="pct"/>
            <w:tcBorders>
              <w:bottom w:val="double" w:sz="4" w:space="0" w:color="auto"/>
            </w:tcBorders>
            <w:shd w:val="clear" w:color="auto" w:fill="auto"/>
            <w:vAlign w:val="center"/>
          </w:tcPr>
          <w:p w:rsidR="00C2307C" w:rsidRPr="00C2307C" w:rsidRDefault="00C2307C" w:rsidP="00C2307C">
            <w:pPr>
              <w:jc w:val="center"/>
              <w:rPr>
                <w:rFonts w:ascii="Arial Narrow" w:hAnsi="Arial Narrow"/>
                <w:sz w:val="20"/>
              </w:rPr>
            </w:pPr>
            <w:r w:rsidRPr="00C2307C">
              <w:rPr>
                <w:rFonts w:ascii="Arial Narrow" w:hAnsi="Arial Narrow"/>
                <w:sz w:val="20"/>
              </w:rPr>
              <w:t>$103,309</w:t>
            </w:r>
          </w:p>
        </w:tc>
        <w:tc>
          <w:tcPr>
            <w:tcW w:w="630" w:type="pct"/>
            <w:tcBorders>
              <w:bottom w:val="double" w:sz="4" w:space="0" w:color="auto"/>
            </w:tcBorders>
            <w:shd w:val="clear" w:color="auto" w:fill="auto"/>
            <w:vAlign w:val="center"/>
          </w:tcPr>
          <w:p w:rsidR="00C2307C" w:rsidRPr="00C2307C" w:rsidRDefault="00C2307C" w:rsidP="00C2307C">
            <w:pPr>
              <w:jc w:val="center"/>
              <w:rPr>
                <w:rFonts w:ascii="Arial Narrow" w:hAnsi="Arial Narrow"/>
                <w:sz w:val="20"/>
              </w:rPr>
            </w:pPr>
            <w:r w:rsidRPr="00C2307C">
              <w:rPr>
                <w:rFonts w:ascii="Arial Narrow" w:hAnsi="Arial Narrow"/>
                <w:sz w:val="20"/>
              </w:rPr>
              <w:t>$114,546</w:t>
            </w:r>
          </w:p>
        </w:tc>
        <w:tc>
          <w:tcPr>
            <w:tcW w:w="628" w:type="pct"/>
            <w:tcBorders>
              <w:bottom w:val="double" w:sz="4" w:space="0" w:color="auto"/>
            </w:tcBorders>
            <w:shd w:val="clear" w:color="auto" w:fill="auto"/>
            <w:vAlign w:val="center"/>
          </w:tcPr>
          <w:p w:rsidR="00C2307C" w:rsidRPr="00C2307C" w:rsidRDefault="00C2307C" w:rsidP="00C2307C">
            <w:pPr>
              <w:jc w:val="center"/>
              <w:rPr>
                <w:rFonts w:ascii="Arial Narrow" w:hAnsi="Arial Narrow"/>
                <w:sz w:val="20"/>
              </w:rPr>
            </w:pPr>
            <w:r w:rsidRPr="00C2307C">
              <w:rPr>
                <w:rFonts w:ascii="Arial Narrow" w:hAnsi="Arial Narrow"/>
                <w:sz w:val="20"/>
              </w:rPr>
              <w:t>$126,080</w:t>
            </w:r>
          </w:p>
        </w:tc>
      </w:tr>
      <w:tr w:rsidR="00C2307C" w:rsidRPr="00C2307C" w:rsidTr="00C2307C">
        <w:tc>
          <w:tcPr>
            <w:tcW w:w="5000" w:type="pct"/>
            <w:gridSpan w:val="6"/>
            <w:tcBorders>
              <w:bottom w:val="single" w:sz="4" w:space="0" w:color="auto"/>
            </w:tcBorders>
            <w:shd w:val="clear" w:color="auto" w:fill="auto"/>
            <w:vAlign w:val="center"/>
          </w:tcPr>
          <w:p w:rsidR="00C2307C" w:rsidRPr="00C2307C" w:rsidRDefault="00C2307C" w:rsidP="00C2307C">
            <w:pPr>
              <w:jc w:val="left"/>
              <w:rPr>
                <w:rFonts w:ascii="Arial Narrow" w:hAnsi="Arial Narrow"/>
                <w:b/>
                <w:sz w:val="20"/>
              </w:rPr>
            </w:pPr>
            <w:r w:rsidRPr="00C2307C">
              <w:rPr>
                <w:rFonts w:ascii="Arial Narrow" w:hAnsi="Arial Narrow"/>
                <w:b/>
                <w:sz w:val="20"/>
              </w:rPr>
              <w:t>Net financial implications to government health budgets</w:t>
            </w:r>
          </w:p>
        </w:tc>
      </w:tr>
      <w:tr w:rsidR="00C2307C" w:rsidRPr="004E2ADC" w:rsidTr="00C2307C">
        <w:tc>
          <w:tcPr>
            <w:tcW w:w="1852" w:type="pct"/>
            <w:tcBorders>
              <w:top w:val="single" w:sz="4" w:space="0" w:color="auto"/>
              <w:bottom w:val="single" w:sz="4" w:space="0" w:color="auto"/>
            </w:tcBorders>
            <w:shd w:val="clear" w:color="auto" w:fill="auto"/>
            <w:vAlign w:val="center"/>
          </w:tcPr>
          <w:p w:rsidR="00C2307C" w:rsidRPr="005D4F33" w:rsidRDefault="00C2307C" w:rsidP="00C2307C">
            <w:pPr>
              <w:tabs>
                <w:tab w:val="left" w:pos="142"/>
              </w:tabs>
              <w:jc w:val="left"/>
              <w:rPr>
                <w:rFonts w:ascii="Arial Narrow" w:hAnsi="Arial Narrow"/>
                <w:sz w:val="20"/>
              </w:rPr>
            </w:pPr>
            <w:r w:rsidRPr="005D4F33">
              <w:rPr>
                <w:rFonts w:ascii="Arial Narrow" w:hAnsi="Arial Narrow"/>
                <w:sz w:val="20"/>
              </w:rPr>
              <w:t>Expected utilisation^</w:t>
            </w:r>
          </w:p>
        </w:tc>
        <w:tc>
          <w:tcPr>
            <w:tcW w:w="630" w:type="pct"/>
            <w:tcBorders>
              <w:top w:val="single" w:sz="4" w:space="0" w:color="auto"/>
              <w:bottom w:val="single" w:sz="4" w:space="0" w:color="auto"/>
            </w:tcBorders>
            <w:shd w:val="clear" w:color="auto" w:fill="auto"/>
            <w:vAlign w:val="center"/>
          </w:tcPr>
          <w:p w:rsidR="00C2307C" w:rsidRPr="005D4F33" w:rsidRDefault="00C2307C" w:rsidP="00C2307C">
            <w:pPr>
              <w:jc w:val="center"/>
              <w:rPr>
                <w:rFonts w:ascii="Arial Narrow" w:hAnsi="Arial Narrow"/>
                <w:sz w:val="20"/>
              </w:rPr>
            </w:pPr>
            <w:r w:rsidRPr="005D4F33">
              <w:rPr>
                <w:rFonts w:ascii="Arial Narrow" w:hAnsi="Arial Narrow"/>
                <w:sz w:val="20"/>
              </w:rPr>
              <w:t>$</w:t>
            </w:r>
            <w:r w:rsidR="00F146E1">
              <w:rPr>
                <w:rFonts w:ascii="Arial Narrow" w:hAnsi="Arial Narrow"/>
                <w:noProof/>
                <w:color w:val="000000"/>
                <w:sz w:val="20"/>
                <w:highlight w:val="black"/>
              </w:rPr>
              <w:t>''''''''''''''''''''''''''</w:t>
            </w:r>
          </w:p>
        </w:tc>
        <w:tc>
          <w:tcPr>
            <w:tcW w:w="630" w:type="pct"/>
            <w:tcBorders>
              <w:top w:val="single" w:sz="4" w:space="0" w:color="auto"/>
              <w:bottom w:val="single" w:sz="4" w:space="0" w:color="auto"/>
            </w:tcBorders>
            <w:shd w:val="clear" w:color="auto" w:fill="auto"/>
            <w:vAlign w:val="center"/>
          </w:tcPr>
          <w:p w:rsidR="00C2307C" w:rsidRPr="005D4F33" w:rsidRDefault="00C2307C" w:rsidP="00C2307C">
            <w:pPr>
              <w:jc w:val="center"/>
              <w:rPr>
                <w:rFonts w:ascii="Arial Narrow" w:hAnsi="Arial Narrow"/>
                <w:sz w:val="20"/>
              </w:rPr>
            </w:pPr>
            <w:r w:rsidRPr="005D4F33">
              <w:rPr>
                <w:rFonts w:ascii="Arial Narrow" w:hAnsi="Arial Narrow"/>
                <w:sz w:val="20"/>
              </w:rPr>
              <w:t>$</w:t>
            </w:r>
            <w:r w:rsidR="00F146E1">
              <w:rPr>
                <w:rFonts w:ascii="Arial Narrow" w:hAnsi="Arial Narrow"/>
                <w:noProof/>
                <w:color w:val="000000"/>
                <w:sz w:val="20"/>
                <w:highlight w:val="black"/>
              </w:rPr>
              <w:t>''''''''''''''''''''''''''''</w:t>
            </w:r>
          </w:p>
        </w:tc>
        <w:tc>
          <w:tcPr>
            <w:tcW w:w="630" w:type="pct"/>
            <w:tcBorders>
              <w:top w:val="single" w:sz="4" w:space="0" w:color="auto"/>
              <w:bottom w:val="single" w:sz="4" w:space="0" w:color="auto"/>
            </w:tcBorders>
            <w:shd w:val="clear" w:color="auto" w:fill="auto"/>
            <w:vAlign w:val="center"/>
          </w:tcPr>
          <w:p w:rsidR="00C2307C" w:rsidRPr="005D4F33" w:rsidRDefault="00C2307C" w:rsidP="00C2307C">
            <w:pPr>
              <w:jc w:val="center"/>
              <w:rPr>
                <w:rFonts w:ascii="Arial Narrow" w:hAnsi="Arial Narrow"/>
                <w:sz w:val="20"/>
              </w:rPr>
            </w:pPr>
            <w:r w:rsidRPr="005D4F33">
              <w:rPr>
                <w:rFonts w:ascii="Arial Narrow" w:hAnsi="Arial Narrow"/>
                <w:sz w:val="20"/>
              </w:rPr>
              <w:t>$</w:t>
            </w:r>
            <w:r w:rsidR="00F146E1">
              <w:rPr>
                <w:rFonts w:ascii="Arial Narrow" w:hAnsi="Arial Narrow"/>
                <w:noProof/>
                <w:color w:val="000000"/>
                <w:sz w:val="20"/>
                <w:highlight w:val="black"/>
              </w:rPr>
              <w:t>'''''''''''''''''''''''''</w:t>
            </w:r>
          </w:p>
        </w:tc>
        <w:tc>
          <w:tcPr>
            <w:tcW w:w="630" w:type="pct"/>
            <w:tcBorders>
              <w:top w:val="single" w:sz="4" w:space="0" w:color="auto"/>
              <w:bottom w:val="single" w:sz="4" w:space="0" w:color="auto"/>
            </w:tcBorders>
            <w:shd w:val="clear" w:color="auto" w:fill="auto"/>
            <w:vAlign w:val="center"/>
          </w:tcPr>
          <w:p w:rsidR="00C2307C" w:rsidRPr="005D4F33" w:rsidRDefault="00C2307C" w:rsidP="00C2307C">
            <w:pPr>
              <w:jc w:val="center"/>
              <w:rPr>
                <w:rFonts w:ascii="Arial Narrow" w:hAnsi="Arial Narrow"/>
                <w:sz w:val="20"/>
              </w:rPr>
            </w:pPr>
            <w:r w:rsidRPr="005D4F33">
              <w:rPr>
                <w:rFonts w:ascii="Arial Narrow" w:hAnsi="Arial Narrow"/>
                <w:sz w:val="20"/>
              </w:rPr>
              <w:t>$</w:t>
            </w:r>
            <w:r w:rsidR="00F146E1">
              <w:rPr>
                <w:rFonts w:ascii="Arial Narrow" w:hAnsi="Arial Narrow"/>
                <w:noProof/>
                <w:color w:val="000000"/>
                <w:sz w:val="20"/>
                <w:highlight w:val="black"/>
              </w:rPr>
              <w:t>'''''''''''''''''''''''''''</w:t>
            </w:r>
          </w:p>
        </w:tc>
        <w:tc>
          <w:tcPr>
            <w:tcW w:w="628" w:type="pct"/>
            <w:tcBorders>
              <w:top w:val="single" w:sz="4" w:space="0" w:color="auto"/>
              <w:bottom w:val="single" w:sz="4" w:space="0" w:color="auto"/>
            </w:tcBorders>
            <w:shd w:val="clear" w:color="auto" w:fill="auto"/>
            <w:vAlign w:val="center"/>
          </w:tcPr>
          <w:p w:rsidR="00C2307C" w:rsidRPr="005D4F33" w:rsidRDefault="00C2307C" w:rsidP="00C2307C">
            <w:pPr>
              <w:jc w:val="center"/>
              <w:rPr>
                <w:rFonts w:ascii="Arial Narrow" w:hAnsi="Arial Narrow"/>
                <w:sz w:val="20"/>
              </w:rPr>
            </w:pPr>
            <w:r w:rsidRPr="005D4F33">
              <w:rPr>
                <w:rFonts w:ascii="Arial Narrow" w:hAnsi="Arial Narrow"/>
                <w:sz w:val="20"/>
              </w:rPr>
              <w:t>$</w:t>
            </w:r>
            <w:r w:rsidR="00F146E1">
              <w:rPr>
                <w:rFonts w:ascii="Arial Narrow" w:hAnsi="Arial Narrow"/>
                <w:noProof/>
                <w:color w:val="000000"/>
                <w:sz w:val="20"/>
                <w:highlight w:val="black"/>
              </w:rPr>
              <w:t>'''''''''''''''''''''''</w:t>
            </w:r>
          </w:p>
        </w:tc>
      </w:tr>
      <w:tr w:rsidR="00C2307C" w:rsidRPr="004E2ADC" w:rsidTr="00C2307C">
        <w:tc>
          <w:tcPr>
            <w:tcW w:w="1852" w:type="pct"/>
            <w:tcBorders>
              <w:top w:val="single" w:sz="4" w:space="0" w:color="auto"/>
              <w:bottom w:val="single" w:sz="4" w:space="0" w:color="auto"/>
            </w:tcBorders>
            <w:shd w:val="clear" w:color="auto" w:fill="auto"/>
            <w:vAlign w:val="center"/>
          </w:tcPr>
          <w:p w:rsidR="00C2307C" w:rsidRPr="00001DF9" w:rsidRDefault="00C2307C" w:rsidP="00C2307C">
            <w:pPr>
              <w:tabs>
                <w:tab w:val="left" w:pos="142"/>
              </w:tabs>
              <w:jc w:val="left"/>
              <w:rPr>
                <w:rFonts w:ascii="Arial Narrow" w:hAnsi="Arial Narrow"/>
                <w:sz w:val="20"/>
              </w:rPr>
            </w:pPr>
            <w:r>
              <w:rPr>
                <w:rFonts w:ascii="Arial Narrow" w:hAnsi="Arial Narrow"/>
                <w:sz w:val="20"/>
              </w:rPr>
              <w:t>RSA rebate</w:t>
            </w:r>
          </w:p>
        </w:tc>
        <w:tc>
          <w:tcPr>
            <w:tcW w:w="630" w:type="pct"/>
            <w:tcBorders>
              <w:top w:val="single" w:sz="4" w:space="0" w:color="auto"/>
              <w:bottom w:val="single" w:sz="4" w:space="0" w:color="auto"/>
            </w:tcBorders>
            <w:shd w:val="clear" w:color="auto" w:fill="auto"/>
            <w:vAlign w:val="center"/>
          </w:tcPr>
          <w:p w:rsidR="00C2307C" w:rsidRPr="00001DF9" w:rsidRDefault="00C2307C" w:rsidP="00C2307C">
            <w:pPr>
              <w:jc w:val="center"/>
              <w:rPr>
                <w:rFonts w:ascii="Arial Narrow" w:hAnsi="Arial Narrow"/>
                <w:sz w:val="20"/>
              </w:rPr>
            </w:pPr>
            <w:r w:rsidRPr="00001DF9">
              <w:rPr>
                <w:rFonts w:ascii="Arial Narrow" w:hAnsi="Arial Narrow"/>
                <w:sz w:val="20"/>
              </w:rPr>
              <w:t>$</w:t>
            </w:r>
            <w:r w:rsidR="00F146E1">
              <w:rPr>
                <w:rFonts w:ascii="Arial Narrow" w:hAnsi="Arial Narrow"/>
                <w:noProof/>
                <w:color w:val="000000"/>
                <w:sz w:val="20"/>
                <w:highlight w:val="black"/>
              </w:rPr>
              <w:t>''''''''''''''''''''''''</w:t>
            </w:r>
          </w:p>
        </w:tc>
        <w:tc>
          <w:tcPr>
            <w:tcW w:w="630" w:type="pct"/>
            <w:tcBorders>
              <w:top w:val="single" w:sz="4" w:space="0" w:color="auto"/>
              <w:bottom w:val="single" w:sz="4" w:space="0" w:color="auto"/>
            </w:tcBorders>
            <w:shd w:val="clear" w:color="auto" w:fill="auto"/>
            <w:vAlign w:val="center"/>
          </w:tcPr>
          <w:p w:rsidR="00C2307C" w:rsidRPr="00001DF9" w:rsidRDefault="00C2307C" w:rsidP="00C2307C">
            <w:pPr>
              <w:jc w:val="center"/>
              <w:rPr>
                <w:rFonts w:ascii="Arial Narrow" w:hAnsi="Arial Narrow"/>
                <w:sz w:val="20"/>
              </w:rPr>
            </w:pPr>
            <w:r w:rsidRPr="00001DF9">
              <w:rPr>
                <w:rFonts w:ascii="Arial Narrow" w:hAnsi="Arial Narrow"/>
                <w:sz w:val="20"/>
              </w:rPr>
              <w:t>$</w:t>
            </w:r>
            <w:r w:rsidR="00F146E1">
              <w:rPr>
                <w:rFonts w:ascii="Arial Narrow" w:hAnsi="Arial Narrow"/>
                <w:noProof/>
                <w:color w:val="000000"/>
                <w:sz w:val="20"/>
                <w:highlight w:val="black"/>
              </w:rPr>
              <w:t>'''''''''''''''''''''''''</w:t>
            </w:r>
          </w:p>
        </w:tc>
        <w:tc>
          <w:tcPr>
            <w:tcW w:w="630" w:type="pct"/>
            <w:tcBorders>
              <w:top w:val="single" w:sz="4" w:space="0" w:color="auto"/>
              <w:bottom w:val="single" w:sz="4" w:space="0" w:color="auto"/>
            </w:tcBorders>
            <w:shd w:val="clear" w:color="auto" w:fill="auto"/>
            <w:vAlign w:val="center"/>
          </w:tcPr>
          <w:p w:rsidR="00C2307C" w:rsidRPr="00001DF9" w:rsidRDefault="00C2307C" w:rsidP="00C2307C">
            <w:pPr>
              <w:jc w:val="center"/>
              <w:rPr>
                <w:rFonts w:ascii="Arial Narrow" w:hAnsi="Arial Narrow"/>
                <w:sz w:val="20"/>
              </w:rPr>
            </w:pPr>
            <w:r w:rsidRPr="00001DF9">
              <w:rPr>
                <w:rFonts w:ascii="Arial Narrow" w:hAnsi="Arial Narrow"/>
                <w:sz w:val="20"/>
              </w:rPr>
              <w:t>$</w:t>
            </w:r>
            <w:r w:rsidR="00F146E1">
              <w:rPr>
                <w:rFonts w:ascii="Arial Narrow" w:hAnsi="Arial Narrow"/>
                <w:noProof/>
                <w:color w:val="000000"/>
                <w:sz w:val="20"/>
                <w:highlight w:val="black"/>
              </w:rPr>
              <w:t>''''''''''''''''''''''</w:t>
            </w:r>
          </w:p>
        </w:tc>
        <w:tc>
          <w:tcPr>
            <w:tcW w:w="630" w:type="pct"/>
            <w:tcBorders>
              <w:top w:val="single" w:sz="4" w:space="0" w:color="auto"/>
              <w:bottom w:val="single" w:sz="4" w:space="0" w:color="auto"/>
            </w:tcBorders>
            <w:shd w:val="clear" w:color="auto" w:fill="auto"/>
            <w:vAlign w:val="center"/>
          </w:tcPr>
          <w:p w:rsidR="00C2307C" w:rsidRPr="00001DF9" w:rsidRDefault="00C2307C" w:rsidP="00C2307C">
            <w:pPr>
              <w:jc w:val="center"/>
              <w:rPr>
                <w:rFonts w:ascii="Arial Narrow" w:hAnsi="Arial Narrow"/>
                <w:sz w:val="20"/>
              </w:rPr>
            </w:pPr>
            <w:r w:rsidRPr="00001DF9">
              <w:rPr>
                <w:rFonts w:ascii="Arial Narrow" w:hAnsi="Arial Narrow"/>
                <w:sz w:val="20"/>
              </w:rPr>
              <w:t>$</w:t>
            </w:r>
            <w:r w:rsidR="00F146E1">
              <w:rPr>
                <w:rFonts w:ascii="Arial Narrow" w:hAnsi="Arial Narrow"/>
                <w:noProof/>
                <w:color w:val="000000"/>
                <w:sz w:val="20"/>
                <w:highlight w:val="black"/>
              </w:rPr>
              <w:t>''''''''''''''''''''''''</w:t>
            </w:r>
          </w:p>
        </w:tc>
        <w:tc>
          <w:tcPr>
            <w:tcW w:w="628" w:type="pct"/>
            <w:tcBorders>
              <w:top w:val="single" w:sz="4" w:space="0" w:color="auto"/>
              <w:bottom w:val="single" w:sz="4" w:space="0" w:color="auto"/>
            </w:tcBorders>
            <w:shd w:val="clear" w:color="auto" w:fill="auto"/>
            <w:vAlign w:val="center"/>
          </w:tcPr>
          <w:p w:rsidR="00C2307C" w:rsidRPr="00001DF9" w:rsidRDefault="00C2307C" w:rsidP="00C2307C">
            <w:pPr>
              <w:jc w:val="center"/>
              <w:rPr>
                <w:rFonts w:ascii="Arial Narrow" w:hAnsi="Arial Narrow"/>
                <w:sz w:val="20"/>
              </w:rPr>
            </w:pPr>
            <w:r w:rsidRPr="00001DF9">
              <w:rPr>
                <w:rFonts w:ascii="Arial Narrow" w:hAnsi="Arial Narrow"/>
                <w:sz w:val="20"/>
              </w:rPr>
              <w:t>$</w:t>
            </w:r>
            <w:r w:rsidR="00F146E1">
              <w:rPr>
                <w:rFonts w:ascii="Arial Narrow" w:hAnsi="Arial Narrow"/>
                <w:noProof/>
                <w:color w:val="000000"/>
                <w:sz w:val="20"/>
                <w:highlight w:val="black"/>
              </w:rPr>
              <w:t>''''''''''''''''''''''''</w:t>
            </w:r>
          </w:p>
        </w:tc>
      </w:tr>
      <w:tr w:rsidR="00C2307C" w:rsidRPr="004E2ADC" w:rsidTr="00C2307C">
        <w:tc>
          <w:tcPr>
            <w:tcW w:w="1852" w:type="pct"/>
            <w:tcBorders>
              <w:top w:val="single" w:sz="4" w:space="0" w:color="auto"/>
              <w:bottom w:val="single" w:sz="4" w:space="0" w:color="auto"/>
            </w:tcBorders>
            <w:shd w:val="clear" w:color="auto" w:fill="auto"/>
            <w:vAlign w:val="center"/>
          </w:tcPr>
          <w:p w:rsidR="00C2307C" w:rsidRPr="00047FC1" w:rsidRDefault="00C2307C" w:rsidP="00C2307C">
            <w:pPr>
              <w:tabs>
                <w:tab w:val="left" w:pos="142"/>
              </w:tabs>
              <w:jc w:val="left"/>
              <w:rPr>
                <w:rFonts w:ascii="Arial Narrow" w:hAnsi="Arial Narrow"/>
                <w:b/>
                <w:sz w:val="20"/>
              </w:rPr>
            </w:pPr>
            <w:r w:rsidRPr="00C2307C">
              <w:rPr>
                <w:rFonts w:ascii="Arial Narrow" w:hAnsi="Arial Narrow"/>
                <w:sz w:val="20"/>
              </w:rPr>
              <w:t>RSA</w:t>
            </w:r>
          </w:p>
        </w:tc>
        <w:tc>
          <w:tcPr>
            <w:tcW w:w="630" w:type="pct"/>
            <w:tcBorders>
              <w:top w:val="single" w:sz="4" w:space="0" w:color="auto"/>
              <w:bottom w:val="single" w:sz="4" w:space="0" w:color="auto"/>
            </w:tcBorders>
            <w:shd w:val="clear" w:color="auto" w:fill="auto"/>
            <w:vAlign w:val="center"/>
          </w:tcPr>
          <w:p w:rsidR="00C2307C" w:rsidRPr="00C2307C" w:rsidRDefault="00C2307C" w:rsidP="00C2307C">
            <w:pPr>
              <w:jc w:val="center"/>
              <w:rPr>
                <w:rFonts w:ascii="Arial Narrow" w:hAnsi="Arial Narrow"/>
                <w:sz w:val="20"/>
              </w:rPr>
            </w:pPr>
            <w:r w:rsidRPr="00C2307C">
              <w:rPr>
                <w:rFonts w:ascii="Arial Narrow" w:hAnsi="Arial Narrow"/>
                <w:sz w:val="20"/>
              </w:rPr>
              <w:t>$</w:t>
            </w:r>
            <w:r w:rsidR="00F146E1">
              <w:rPr>
                <w:rFonts w:ascii="Arial Narrow" w:hAnsi="Arial Narrow"/>
                <w:noProof/>
                <w:color w:val="000000"/>
                <w:sz w:val="20"/>
                <w:highlight w:val="black"/>
              </w:rPr>
              <w:t>''''''''''''''''''''''''''</w:t>
            </w:r>
          </w:p>
        </w:tc>
        <w:tc>
          <w:tcPr>
            <w:tcW w:w="630" w:type="pct"/>
            <w:tcBorders>
              <w:top w:val="single" w:sz="4" w:space="0" w:color="auto"/>
              <w:bottom w:val="single" w:sz="4" w:space="0" w:color="auto"/>
            </w:tcBorders>
            <w:shd w:val="clear" w:color="auto" w:fill="auto"/>
            <w:vAlign w:val="center"/>
          </w:tcPr>
          <w:p w:rsidR="00C2307C" w:rsidRPr="00C2307C" w:rsidRDefault="00C2307C" w:rsidP="00C2307C">
            <w:pPr>
              <w:jc w:val="center"/>
              <w:rPr>
                <w:rFonts w:ascii="Arial Narrow" w:hAnsi="Arial Narrow"/>
                <w:sz w:val="20"/>
              </w:rPr>
            </w:pPr>
            <w:r w:rsidRPr="00C2307C">
              <w:rPr>
                <w:rFonts w:ascii="Arial Narrow" w:hAnsi="Arial Narrow"/>
                <w:sz w:val="20"/>
              </w:rPr>
              <w:t>$</w:t>
            </w:r>
            <w:r w:rsidR="00F146E1">
              <w:rPr>
                <w:rFonts w:ascii="Arial Narrow" w:hAnsi="Arial Narrow"/>
                <w:noProof/>
                <w:color w:val="000000"/>
                <w:sz w:val="20"/>
                <w:highlight w:val="black"/>
              </w:rPr>
              <w:t>''''''''''''''''''''''''''''</w:t>
            </w:r>
          </w:p>
        </w:tc>
        <w:tc>
          <w:tcPr>
            <w:tcW w:w="630" w:type="pct"/>
            <w:tcBorders>
              <w:top w:val="single" w:sz="4" w:space="0" w:color="auto"/>
              <w:bottom w:val="single" w:sz="4" w:space="0" w:color="auto"/>
            </w:tcBorders>
            <w:shd w:val="clear" w:color="auto" w:fill="auto"/>
            <w:vAlign w:val="center"/>
          </w:tcPr>
          <w:p w:rsidR="00C2307C" w:rsidRPr="00C2307C" w:rsidRDefault="00C2307C" w:rsidP="00C2307C">
            <w:pPr>
              <w:jc w:val="center"/>
              <w:rPr>
                <w:rFonts w:ascii="Arial Narrow" w:hAnsi="Arial Narrow"/>
                <w:sz w:val="20"/>
              </w:rPr>
            </w:pPr>
            <w:r w:rsidRPr="00C2307C">
              <w:rPr>
                <w:rFonts w:ascii="Arial Narrow" w:hAnsi="Arial Narrow"/>
                <w:sz w:val="20"/>
              </w:rPr>
              <w:t>$</w:t>
            </w:r>
            <w:r w:rsidR="00F146E1">
              <w:rPr>
                <w:rFonts w:ascii="Arial Narrow" w:hAnsi="Arial Narrow"/>
                <w:noProof/>
                <w:color w:val="000000"/>
                <w:sz w:val="20"/>
                <w:highlight w:val="black"/>
              </w:rPr>
              <w:t>''''''''''''''''''''''''''</w:t>
            </w:r>
          </w:p>
        </w:tc>
        <w:tc>
          <w:tcPr>
            <w:tcW w:w="630" w:type="pct"/>
            <w:tcBorders>
              <w:top w:val="single" w:sz="4" w:space="0" w:color="auto"/>
              <w:bottom w:val="single" w:sz="4" w:space="0" w:color="auto"/>
            </w:tcBorders>
            <w:shd w:val="clear" w:color="auto" w:fill="auto"/>
            <w:vAlign w:val="center"/>
          </w:tcPr>
          <w:p w:rsidR="00C2307C" w:rsidRPr="00C2307C" w:rsidRDefault="00C2307C" w:rsidP="00C2307C">
            <w:pPr>
              <w:jc w:val="center"/>
              <w:rPr>
                <w:rFonts w:ascii="Arial Narrow" w:hAnsi="Arial Narrow"/>
                <w:sz w:val="20"/>
              </w:rPr>
            </w:pPr>
            <w:r w:rsidRPr="00C2307C">
              <w:rPr>
                <w:rFonts w:ascii="Arial Narrow" w:hAnsi="Arial Narrow"/>
                <w:sz w:val="20"/>
              </w:rPr>
              <w:t>$</w:t>
            </w:r>
            <w:r w:rsidR="00F146E1">
              <w:rPr>
                <w:rFonts w:ascii="Arial Narrow" w:hAnsi="Arial Narrow"/>
                <w:noProof/>
                <w:color w:val="000000"/>
                <w:sz w:val="20"/>
                <w:highlight w:val="black"/>
              </w:rPr>
              <w:t>'''''''''''''''''''''''''''</w:t>
            </w:r>
          </w:p>
        </w:tc>
        <w:tc>
          <w:tcPr>
            <w:tcW w:w="628" w:type="pct"/>
            <w:tcBorders>
              <w:top w:val="single" w:sz="4" w:space="0" w:color="auto"/>
              <w:bottom w:val="single" w:sz="4" w:space="0" w:color="auto"/>
            </w:tcBorders>
            <w:shd w:val="clear" w:color="auto" w:fill="auto"/>
            <w:vAlign w:val="center"/>
          </w:tcPr>
          <w:p w:rsidR="00C2307C" w:rsidRPr="00C2307C" w:rsidRDefault="00C2307C" w:rsidP="00C2307C">
            <w:pPr>
              <w:jc w:val="center"/>
              <w:rPr>
                <w:rFonts w:ascii="Arial Narrow" w:hAnsi="Arial Narrow"/>
                <w:sz w:val="20"/>
              </w:rPr>
            </w:pPr>
            <w:r w:rsidRPr="00C2307C">
              <w:rPr>
                <w:rFonts w:ascii="Arial Narrow" w:hAnsi="Arial Narrow"/>
                <w:sz w:val="20"/>
              </w:rPr>
              <w:t>$</w:t>
            </w:r>
            <w:r w:rsidR="00F146E1">
              <w:rPr>
                <w:rFonts w:ascii="Arial Narrow" w:hAnsi="Arial Narrow"/>
                <w:noProof/>
                <w:color w:val="000000"/>
                <w:sz w:val="20"/>
                <w:highlight w:val="black"/>
              </w:rPr>
              <w:t>''''''''''''''''''''''''</w:t>
            </w:r>
          </w:p>
        </w:tc>
      </w:tr>
      <w:tr w:rsidR="00C2307C" w:rsidRPr="004E2ADC" w:rsidTr="00C2307C">
        <w:tc>
          <w:tcPr>
            <w:tcW w:w="1852" w:type="pct"/>
            <w:tcBorders>
              <w:top w:val="single" w:sz="4" w:space="0" w:color="auto"/>
              <w:bottom w:val="double" w:sz="4" w:space="0" w:color="auto"/>
            </w:tcBorders>
            <w:shd w:val="clear" w:color="auto" w:fill="auto"/>
            <w:vAlign w:val="center"/>
          </w:tcPr>
          <w:p w:rsidR="00C2307C" w:rsidRPr="00C2307C" w:rsidRDefault="00C2307C" w:rsidP="00C2307C">
            <w:pPr>
              <w:tabs>
                <w:tab w:val="left" w:pos="142"/>
              </w:tabs>
              <w:jc w:val="left"/>
              <w:rPr>
                <w:rFonts w:ascii="Arial Narrow" w:hAnsi="Arial Narrow"/>
                <w:sz w:val="20"/>
              </w:rPr>
            </w:pPr>
            <w:r>
              <w:rPr>
                <w:rFonts w:ascii="Arial Narrow" w:hAnsi="Arial Narrow"/>
                <w:sz w:val="20"/>
              </w:rPr>
              <w:t>March 2015 submission</w:t>
            </w:r>
          </w:p>
        </w:tc>
        <w:tc>
          <w:tcPr>
            <w:tcW w:w="630" w:type="pct"/>
            <w:tcBorders>
              <w:top w:val="single" w:sz="4" w:space="0" w:color="auto"/>
              <w:bottom w:val="double" w:sz="4" w:space="0" w:color="auto"/>
            </w:tcBorders>
            <w:shd w:val="clear" w:color="auto" w:fill="auto"/>
            <w:vAlign w:val="center"/>
          </w:tcPr>
          <w:p w:rsidR="00C2307C" w:rsidRPr="00C2307C" w:rsidRDefault="00C2307C" w:rsidP="00C2307C">
            <w:pPr>
              <w:jc w:val="center"/>
              <w:rPr>
                <w:rFonts w:ascii="Arial Narrow" w:hAnsi="Arial Narrow"/>
                <w:sz w:val="20"/>
              </w:rPr>
            </w:pPr>
            <w:r w:rsidRPr="00C2307C">
              <w:rPr>
                <w:rFonts w:ascii="Arial Narrow" w:hAnsi="Arial Narrow"/>
                <w:sz w:val="20"/>
              </w:rPr>
              <w:t>$</w:t>
            </w:r>
            <w:r w:rsidR="00F146E1">
              <w:rPr>
                <w:rFonts w:ascii="Arial Narrow" w:hAnsi="Arial Narrow"/>
                <w:noProof/>
                <w:color w:val="000000"/>
                <w:sz w:val="20"/>
                <w:highlight w:val="black"/>
              </w:rPr>
              <w:t>'''''''''''''''''''''''</w:t>
            </w:r>
          </w:p>
        </w:tc>
        <w:tc>
          <w:tcPr>
            <w:tcW w:w="630" w:type="pct"/>
            <w:tcBorders>
              <w:top w:val="single" w:sz="4" w:space="0" w:color="auto"/>
              <w:bottom w:val="double" w:sz="4" w:space="0" w:color="auto"/>
            </w:tcBorders>
            <w:shd w:val="clear" w:color="auto" w:fill="auto"/>
            <w:vAlign w:val="center"/>
          </w:tcPr>
          <w:p w:rsidR="00C2307C" w:rsidRPr="00C2307C" w:rsidRDefault="00C2307C" w:rsidP="00C2307C">
            <w:pPr>
              <w:jc w:val="center"/>
              <w:rPr>
                <w:rFonts w:ascii="Arial Narrow" w:hAnsi="Arial Narrow"/>
                <w:sz w:val="20"/>
              </w:rPr>
            </w:pPr>
            <w:r w:rsidRPr="00C2307C">
              <w:rPr>
                <w:rFonts w:ascii="Arial Narrow" w:hAnsi="Arial Narrow"/>
                <w:sz w:val="20"/>
              </w:rPr>
              <w:t>$</w:t>
            </w:r>
            <w:r w:rsidR="00F146E1">
              <w:rPr>
                <w:rFonts w:ascii="Arial Narrow" w:hAnsi="Arial Narrow"/>
                <w:noProof/>
                <w:color w:val="000000"/>
                <w:sz w:val="20"/>
                <w:highlight w:val="black"/>
              </w:rPr>
              <w:t>'''''''''''''''''''''''''</w:t>
            </w:r>
          </w:p>
        </w:tc>
        <w:tc>
          <w:tcPr>
            <w:tcW w:w="630" w:type="pct"/>
            <w:tcBorders>
              <w:top w:val="single" w:sz="4" w:space="0" w:color="auto"/>
              <w:bottom w:val="double" w:sz="4" w:space="0" w:color="auto"/>
            </w:tcBorders>
            <w:shd w:val="clear" w:color="auto" w:fill="auto"/>
            <w:vAlign w:val="center"/>
          </w:tcPr>
          <w:p w:rsidR="00C2307C" w:rsidRPr="00C2307C" w:rsidRDefault="00C2307C" w:rsidP="00C2307C">
            <w:pPr>
              <w:jc w:val="center"/>
              <w:rPr>
                <w:rFonts w:ascii="Arial Narrow" w:hAnsi="Arial Narrow"/>
                <w:sz w:val="20"/>
              </w:rPr>
            </w:pPr>
            <w:r w:rsidRPr="00C2307C">
              <w:rPr>
                <w:rFonts w:ascii="Arial Narrow" w:hAnsi="Arial Narrow"/>
                <w:sz w:val="20"/>
              </w:rPr>
              <w:t>$</w:t>
            </w:r>
            <w:r w:rsidR="00F146E1">
              <w:rPr>
                <w:rFonts w:ascii="Arial Narrow" w:hAnsi="Arial Narrow"/>
                <w:noProof/>
                <w:color w:val="000000"/>
                <w:sz w:val="20"/>
                <w:highlight w:val="black"/>
              </w:rPr>
              <w:t>'''''''''''''''''''''''''''''</w:t>
            </w:r>
          </w:p>
        </w:tc>
        <w:tc>
          <w:tcPr>
            <w:tcW w:w="630" w:type="pct"/>
            <w:tcBorders>
              <w:top w:val="single" w:sz="4" w:space="0" w:color="auto"/>
              <w:bottom w:val="double" w:sz="4" w:space="0" w:color="auto"/>
            </w:tcBorders>
            <w:shd w:val="clear" w:color="auto" w:fill="auto"/>
            <w:vAlign w:val="center"/>
          </w:tcPr>
          <w:p w:rsidR="00C2307C" w:rsidRPr="00C2307C" w:rsidRDefault="00C2307C" w:rsidP="00C2307C">
            <w:pPr>
              <w:jc w:val="center"/>
              <w:rPr>
                <w:rFonts w:ascii="Arial Narrow" w:hAnsi="Arial Narrow"/>
                <w:sz w:val="20"/>
              </w:rPr>
            </w:pPr>
            <w:r w:rsidRPr="00C2307C">
              <w:rPr>
                <w:rFonts w:ascii="Arial Narrow" w:hAnsi="Arial Narrow"/>
                <w:sz w:val="20"/>
              </w:rPr>
              <w:t>$</w:t>
            </w:r>
            <w:r w:rsidR="00F146E1">
              <w:rPr>
                <w:rFonts w:ascii="Arial Narrow" w:hAnsi="Arial Narrow"/>
                <w:noProof/>
                <w:color w:val="000000"/>
                <w:sz w:val="20"/>
                <w:highlight w:val="black"/>
              </w:rPr>
              <w:t>''''''''''''''''''''''''''</w:t>
            </w:r>
          </w:p>
        </w:tc>
        <w:tc>
          <w:tcPr>
            <w:tcW w:w="628" w:type="pct"/>
            <w:tcBorders>
              <w:top w:val="single" w:sz="4" w:space="0" w:color="auto"/>
              <w:bottom w:val="double" w:sz="4" w:space="0" w:color="auto"/>
            </w:tcBorders>
            <w:shd w:val="clear" w:color="auto" w:fill="auto"/>
            <w:vAlign w:val="center"/>
          </w:tcPr>
          <w:p w:rsidR="00C2307C" w:rsidRPr="00C2307C" w:rsidRDefault="00C2307C" w:rsidP="00C2307C">
            <w:pPr>
              <w:jc w:val="center"/>
              <w:rPr>
                <w:rFonts w:ascii="Arial Narrow" w:hAnsi="Arial Narrow"/>
                <w:sz w:val="20"/>
              </w:rPr>
            </w:pPr>
            <w:r w:rsidRPr="00C2307C">
              <w:rPr>
                <w:rFonts w:ascii="Arial Narrow" w:hAnsi="Arial Narrow"/>
                <w:sz w:val="20"/>
              </w:rPr>
              <w:t>$</w:t>
            </w:r>
            <w:r w:rsidR="00F146E1">
              <w:rPr>
                <w:rFonts w:ascii="Arial Narrow" w:hAnsi="Arial Narrow"/>
                <w:noProof/>
                <w:color w:val="000000"/>
                <w:sz w:val="20"/>
                <w:highlight w:val="black"/>
              </w:rPr>
              <w:t>'''''''''''''''''''''''''''</w:t>
            </w:r>
          </w:p>
        </w:tc>
      </w:tr>
    </w:tbl>
    <w:p w:rsidR="00C25D9C" w:rsidRPr="00731A38" w:rsidRDefault="00C2307C" w:rsidP="00731A38">
      <w:pPr>
        <w:pStyle w:val="TableFooter"/>
        <w:ind w:left="720"/>
      </w:pPr>
      <w:r w:rsidRPr="005D4F33">
        <w:t xml:space="preserve">^ The re-submission’s financial model does not present net financial implications to the government health budgets with the removal of the RSA.  During the evaluation this was calculated on the basis of nintedanib net costs to the PBS/RPBS – expected utilisation + adverse events net cost to the PBS/RPBS (base case analysis) + net cost to the MBS.  </w:t>
      </w:r>
      <w:r w:rsidR="00731A38">
        <w:t xml:space="preserve">Abbreviations: RSA = risk sharing arrangement.  Source: </w:t>
      </w:r>
      <w:r w:rsidR="00731A38" w:rsidRPr="009B2AA9">
        <w:t>Table E.2-2 and Table E.2-3, p278; Table E.2-8, p285; Table E.4-2 and Table E.4-3,</w:t>
      </w:r>
      <w:r w:rsidR="00731A38">
        <w:t xml:space="preserve"> p284; </w:t>
      </w:r>
      <w:r w:rsidR="00731A38" w:rsidRPr="00731A38">
        <w:t>‘DUSC PBS-RPBS Cost’ and ‘Epidemiology and patient number’ worksheets, Nintedanib IPF Financial Implications.xlsx of the re-submission</w:t>
      </w:r>
    </w:p>
    <w:p w:rsidR="00C25D9C" w:rsidRDefault="00C25D9C" w:rsidP="00C25D9C">
      <w:pPr>
        <w:widowControl/>
        <w:rPr>
          <w:szCs w:val="22"/>
        </w:rPr>
      </w:pPr>
    </w:p>
    <w:p w:rsidR="006B7D98" w:rsidRDefault="006B7D98" w:rsidP="006B7D98">
      <w:pPr>
        <w:widowControl/>
        <w:ind w:left="720"/>
        <w:rPr>
          <w:i/>
          <w:szCs w:val="22"/>
        </w:rPr>
      </w:pPr>
      <w:r>
        <w:rPr>
          <w:i/>
          <w:szCs w:val="22"/>
        </w:rPr>
        <w:t xml:space="preserve">The redacted table above shows that the number of patients treated with nintedanib is estimated to be less than 10,000 per year at a net cost of $60 - $100 million over five years. </w:t>
      </w:r>
    </w:p>
    <w:p w:rsidR="006B7D98" w:rsidRPr="006B7D98" w:rsidRDefault="006B7D98" w:rsidP="00C25D9C">
      <w:pPr>
        <w:widowControl/>
        <w:rPr>
          <w:i/>
          <w:szCs w:val="22"/>
        </w:rPr>
      </w:pPr>
      <w:r>
        <w:rPr>
          <w:i/>
          <w:szCs w:val="22"/>
        </w:rPr>
        <w:t xml:space="preserve">  </w:t>
      </w:r>
    </w:p>
    <w:p w:rsidR="00576972" w:rsidRPr="0060206A" w:rsidRDefault="00731A38" w:rsidP="00321D09">
      <w:pPr>
        <w:pStyle w:val="ListParagraph"/>
        <w:widowControl/>
        <w:numPr>
          <w:ilvl w:val="1"/>
          <w:numId w:val="2"/>
        </w:numPr>
        <w:rPr>
          <w:szCs w:val="22"/>
        </w:rPr>
      </w:pPr>
      <w:r w:rsidRPr="0060206A">
        <w:rPr>
          <w:szCs w:val="22"/>
        </w:rPr>
        <w:t>Overall, the re-submission applied a highly conservative approach to the RSA, given that the IPF prevalence and nintedanib uptake rates were considered by DUSC to be potential underestimates.  If prevalence in the PBS population is towards the higher estimates as reported in Raghu 2014 (145.7/100,000 in patients aged ≥65 years in 2011), the proposed RSA may limit the pot</w:t>
      </w:r>
      <w:r w:rsidR="00AB38B6" w:rsidRPr="0060206A">
        <w:rPr>
          <w:szCs w:val="22"/>
        </w:rPr>
        <w:t>ential risk associated with the estimation of the</w:t>
      </w:r>
      <w:r w:rsidR="00B47BB3">
        <w:rPr>
          <w:szCs w:val="22"/>
        </w:rPr>
        <w:t xml:space="preserve"> eligible patient pool.</w:t>
      </w:r>
    </w:p>
    <w:p w:rsidR="00731A38" w:rsidRPr="00731A38" w:rsidRDefault="00731A38" w:rsidP="00731A38">
      <w:pPr>
        <w:widowControl/>
        <w:rPr>
          <w:szCs w:val="22"/>
        </w:rPr>
      </w:pPr>
    </w:p>
    <w:p w:rsidR="008A3078" w:rsidRDefault="008A3078" w:rsidP="008A3078">
      <w:pPr>
        <w:pStyle w:val="Heading2"/>
      </w:pPr>
      <w:bookmarkStart w:id="17" w:name="_Toc430009539"/>
    </w:p>
    <w:p w:rsidR="008A3078" w:rsidRDefault="008A3078" w:rsidP="008A3078">
      <w:pPr>
        <w:pStyle w:val="Heading2"/>
      </w:pPr>
    </w:p>
    <w:p w:rsidR="008A3078" w:rsidRDefault="008A3078" w:rsidP="008A3078">
      <w:pPr>
        <w:pStyle w:val="Heading2"/>
      </w:pPr>
    </w:p>
    <w:p w:rsidR="00576972" w:rsidRPr="00B47BB3" w:rsidRDefault="00576972" w:rsidP="008A3078">
      <w:pPr>
        <w:pStyle w:val="Heading2"/>
      </w:pPr>
      <w:r w:rsidRPr="00B47BB3">
        <w:t>Quality Use of Medicines</w:t>
      </w:r>
      <w:bookmarkEnd w:id="17"/>
    </w:p>
    <w:p w:rsidR="00576972" w:rsidRPr="00576972" w:rsidRDefault="00576972" w:rsidP="00576972">
      <w:pPr>
        <w:widowControl/>
        <w:rPr>
          <w:szCs w:val="22"/>
        </w:rPr>
      </w:pPr>
    </w:p>
    <w:p w:rsidR="00576972" w:rsidRPr="009A2823" w:rsidRDefault="00F321A7" w:rsidP="009A2823">
      <w:pPr>
        <w:pStyle w:val="ListParagraph"/>
        <w:widowControl/>
        <w:numPr>
          <w:ilvl w:val="1"/>
          <w:numId w:val="2"/>
        </w:numPr>
        <w:rPr>
          <w:szCs w:val="22"/>
        </w:rPr>
      </w:pPr>
      <w:r w:rsidRPr="00F321A7">
        <w:t>The re-submission indicated that sponsor will support education activities</w:t>
      </w:r>
      <w:r w:rsidR="00B47BB3">
        <w:t xml:space="preserve"> for prescribers and patients.</w:t>
      </w:r>
    </w:p>
    <w:p w:rsidR="009A2823" w:rsidRPr="009A2823" w:rsidRDefault="009A2823" w:rsidP="009A2823">
      <w:pPr>
        <w:pStyle w:val="PBACHeading1"/>
        <w:numPr>
          <w:ilvl w:val="0"/>
          <w:numId w:val="0"/>
        </w:numPr>
        <w:ind w:left="720" w:hanging="720"/>
      </w:pPr>
    </w:p>
    <w:p w:rsidR="00576972" w:rsidRPr="00B47BB3" w:rsidRDefault="00576972" w:rsidP="008A3078">
      <w:pPr>
        <w:pStyle w:val="Heading2"/>
        <w:rPr>
          <w:szCs w:val="22"/>
        </w:rPr>
      </w:pPr>
      <w:bookmarkStart w:id="18" w:name="_Toc430009540"/>
      <w:r w:rsidRPr="00B47BB3">
        <w:t xml:space="preserve">Financial Management – </w:t>
      </w:r>
      <w:r w:rsidR="00863CBB" w:rsidRPr="00B47BB3">
        <w:t>R</w:t>
      </w:r>
      <w:r w:rsidR="000A59E9" w:rsidRPr="00B47BB3">
        <w:t xml:space="preserve">isk </w:t>
      </w:r>
      <w:r w:rsidR="00863CBB" w:rsidRPr="00B47BB3">
        <w:t>S</w:t>
      </w:r>
      <w:r w:rsidR="000A59E9" w:rsidRPr="00B47BB3">
        <w:t xml:space="preserve">hare </w:t>
      </w:r>
      <w:r w:rsidR="00863CBB" w:rsidRPr="00B47BB3">
        <w:t>A</w:t>
      </w:r>
      <w:bookmarkEnd w:id="18"/>
      <w:r w:rsidR="000A59E9" w:rsidRPr="00B47BB3">
        <w:t>rrangement</w:t>
      </w:r>
    </w:p>
    <w:p w:rsidR="00C25D9C" w:rsidRPr="00576972" w:rsidRDefault="00C25D9C" w:rsidP="00576972">
      <w:pPr>
        <w:widowControl/>
        <w:rPr>
          <w:szCs w:val="22"/>
        </w:rPr>
      </w:pPr>
    </w:p>
    <w:p w:rsidR="00C25D9C" w:rsidRPr="00863CBB" w:rsidRDefault="00863CBB" w:rsidP="00B878B5">
      <w:pPr>
        <w:pStyle w:val="ListParagraph"/>
        <w:widowControl/>
        <w:numPr>
          <w:ilvl w:val="1"/>
          <w:numId w:val="2"/>
        </w:numPr>
        <w:rPr>
          <w:szCs w:val="22"/>
        </w:rPr>
      </w:pPr>
      <w:r w:rsidRPr="00863CBB">
        <w:t xml:space="preserve">In the context of the results of the economic evaluation (Step 4: ICER = </w:t>
      </w:r>
      <w:r w:rsidR="00B878B5" w:rsidRPr="00B878B5">
        <w:t>$105,000</w:t>
      </w:r>
      <w:r w:rsidR="006B7D98">
        <w:t>/QALY</w:t>
      </w:r>
      <w:r w:rsidR="00B878B5" w:rsidRPr="00B878B5">
        <w:t xml:space="preserve"> – $200,000</w:t>
      </w:r>
      <w:r w:rsidRPr="00863CBB">
        <w:t>/QALY), the re-submission propose</w:t>
      </w:r>
      <w:r>
        <w:t>d</w:t>
      </w:r>
      <w:r w:rsidRPr="00863CBB">
        <w:t xml:space="preserve"> a</w:t>
      </w:r>
      <w:r w:rsidR="009206FB">
        <w:t>n</w:t>
      </w:r>
      <w:r w:rsidRPr="00863CBB">
        <w:t xml:space="preserve"> RSA to improve the cost effectiveness of nintedanib for the treatment of IPF.  </w:t>
      </w:r>
      <w:r>
        <w:t>A summary</w:t>
      </w:r>
      <w:r w:rsidRPr="00863CBB">
        <w:t xml:space="preserve"> of the RSA </w:t>
      </w:r>
      <w:r>
        <w:t>is</w:t>
      </w:r>
      <w:r w:rsidR="00217DD8">
        <w:t xml:space="preserve"> located in the table below.</w:t>
      </w:r>
    </w:p>
    <w:p w:rsidR="00863CBB" w:rsidRDefault="00863CBB" w:rsidP="00863CBB">
      <w:pPr>
        <w:widowControl/>
        <w:rPr>
          <w:szCs w:val="22"/>
        </w:rPr>
      </w:pPr>
    </w:p>
    <w:p w:rsidR="00863CBB" w:rsidRDefault="00863CBB" w:rsidP="00863CBB">
      <w:pPr>
        <w:ind w:firstLine="720"/>
        <w:rPr>
          <w:rFonts w:ascii="Arial Narrow" w:hAnsi="Arial Narrow"/>
          <w:b/>
          <w:sz w:val="20"/>
        </w:rPr>
      </w:pPr>
      <w:r w:rsidRPr="00E6717C">
        <w:rPr>
          <w:rFonts w:ascii="Arial Narrow" w:hAnsi="Arial Narrow"/>
          <w:b/>
          <w:sz w:val="20"/>
        </w:rPr>
        <w:t>Table</w:t>
      </w:r>
      <w:r>
        <w:rPr>
          <w:rFonts w:ascii="Arial Narrow" w:hAnsi="Arial Narrow"/>
          <w:b/>
          <w:sz w:val="20"/>
        </w:rPr>
        <w:t xml:space="preserve"> 1</w:t>
      </w:r>
      <w:r w:rsidR="00CB498B">
        <w:rPr>
          <w:rFonts w:ascii="Arial Narrow" w:hAnsi="Arial Narrow"/>
          <w:b/>
          <w:sz w:val="20"/>
        </w:rPr>
        <w:t>4</w:t>
      </w:r>
      <w:r w:rsidRPr="00E6717C">
        <w:rPr>
          <w:rFonts w:ascii="Arial Narrow" w:hAnsi="Arial Narrow"/>
          <w:b/>
          <w:sz w:val="20"/>
        </w:rPr>
        <w:t xml:space="preserve">: </w:t>
      </w:r>
      <w:r>
        <w:rPr>
          <w:rFonts w:ascii="Arial Narrow" w:hAnsi="Arial Narrow"/>
          <w:b/>
          <w:sz w:val="20"/>
        </w:rPr>
        <w:t>Proposed RSA</w:t>
      </w:r>
    </w:p>
    <w:tbl>
      <w:tblPr>
        <w:tblStyle w:val="TableGrid"/>
        <w:tblW w:w="0" w:type="auto"/>
        <w:tblInd w:w="737" w:type="dxa"/>
        <w:tblCellMar>
          <w:left w:w="28" w:type="dxa"/>
          <w:right w:w="28" w:type="dxa"/>
        </w:tblCellMar>
        <w:tblLook w:val="04A0" w:firstRow="1" w:lastRow="0" w:firstColumn="1" w:lastColumn="0" w:noHBand="0" w:noVBand="1"/>
        <w:tblCaption w:val="Table 14: Proposed RSA"/>
      </w:tblPr>
      <w:tblGrid>
        <w:gridCol w:w="3402"/>
        <w:gridCol w:w="2268"/>
        <w:gridCol w:w="2676"/>
      </w:tblGrid>
      <w:tr w:rsidR="00863CBB" w:rsidTr="005D439E">
        <w:trPr>
          <w:tblHeader/>
        </w:trPr>
        <w:tc>
          <w:tcPr>
            <w:tcW w:w="3402" w:type="dxa"/>
            <w:vAlign w:val="center"/>
          </w:tcPr>
          <w:p w:rsidR="00863CBB" w:rsidRDefault="00863CBB" w:rsidP="00AB38B6">
            <w:pPr>
              <w:jc w:val="left"/>
              <w:rPr>
                <w:rFonts w:ascii="Arial Narrow" w:hAnsi="Arial Narrow"/>
                <w:b/>
                <w:sz w:val="20"/>
              </w:rPr>
            </w:pPr>
            <w:r>
              <w:rPr>
                <w:rFonts w:ascii="Arial Narrow" w:hAnsi="Arial Narrow"/>
                <w:b/>
                <w:sz w:val="20"/>
              </w:rPr>
              <w:t>Risk sharing arrangement</w:t>
            </w:r>
          </w:p>
        </w:tc>
        <w:tc>
          <w:tcPr>
            <w:tcW w:w="2268" w:type="dxa"/>
            <w:vAlign w:val="center"/>
          </w:tcPr>
          <w:p w:rsidR="00863CBB" w:rsidRDefault="00863CBB" w:rsidP="00AB38B6">
            <w:pPr>
              <w:jc w:val="center"/>
              <w:rPr>
                <w:rFonts w:ascii="Arial Narrow" w:hAnsi="Arial Narrow"/>
                <w:b/>
                <w:sz w:val="20"/>
              </w:rPr>
            </w:pPr>
            <w:r>
              <w:rPr>
                <w:rFonts w:ascii="Arial Narrow" w:hAnsi="Arial Narrow"/>
                <w:b/>
                <w:sz w:val="20"/>
              </w:rPr>
              <w:t>Rebate</w:t>
            </w:r>
          </w:p>
        </w:tc>
        <w:tc>
          <w:tcPr>
            <w:tcW w:w="2676" w:type="dxa"/>
            <w:vAlign w:val="center"/>
          </w:tcPr>
          <w:p w:rsidR="00863CBB" w:rsidRDefault="00863CBB" w:rsidP="00AB38B6">
            <w:pPr>
              <w:jc w:val="center"/>
              <w:rPr>
                <w:rFonts w:ascii="Arial Narrow" w:hAnsi="Arial Narrow"/>
                <w:b/>
                <w:sz w:val="20"/>
              </w:rPr>
            </w:pPr>
            <w:r>
              <w:rPr>
                <w:rFonts w:ascii="Arial Narrow" w:hAnsi="Arial Narrow"/>
                <w:b/>
                <w:sz w:val="20"/>
              </w:rPr>
              <w:t>Data source</w:t>
            </w:r>
          </w:p>
        </w:tc>
      </w:tr>
      <w:tr w:rsidR="00863CBB" w:rsidTr="00863CBB">
        <w:tc>
          <w:tcPr>
            <w:tcW w:w="3402" w:type="dxa"/>
            <w:vAlign w:val="center"/>
          </w:tcPr>
          <w:p w:rsidR="00863CBB" w:rsidRPr="007D0D84" w:rsidRDefault="00863CBB" w:rsidP="00AB38B6">
            <w:pPr>
              <w:jc w:val="left"/>
              <w:rPr>
                <w:rFonts w:ascii="Arial Narrow" w:hAnsi="Arial Narrow"/>
                <w:sz w:val="20"/>
              </w:rPr>
            </w:pPr>
            <w:r w:rsidRPr="007D0D84">
              <w:rPr>
                <w:rFonts w:ascii="Arial Narrow" w:hAnsi="Arial Narrow"/>
                <w:sz w:val="20"/>
              </w:rPr>
              <w:t xml:space="preserve">Rebate the cost of all nintedanib use beyond the utilisation estimates presented in the </w:t>
            </w:r>
            <w:r>
              <w:rPr>
                <w:rFonts w:ascii="Arial Narrow" w:hAnsi="Arial Narrow"/>
                <w:sz w:val="20"/>
              </w:rPr>
              <w:t>re-</w:t>
            </w:r>
            <w:r w:rsidRPr="007D0D84">
              <w:rPr>
                <w:rFonts w:ascii="Arial Narrow" w:hAnsi="Arial Narrow"/>
                <w:sz w:val="20"/>
              </w:rPr>
              <w:t>submission</w:t>
            </w:r>
            <w:r>
              <w:rPr>
                <w:rFonts w:ascii="Arial Narrow" w:hAnsi="Arial Narrow"/>
                <w:sz w:val="20"/>
              </w:rPr>
              <w:t xml:space="preserve">.  </w:t>
            </w:r>
          </w:p>
        </w:tc>
        <w:tc>
          <w:tcPr>
            <w:tcW w:w="2268" w:type="dxa"/>
            <w:vAlign w:val="center"/>
          </w:tcPr>
          <w:p w:rsidR="00863CBB" w:rsidRPr="007D0D84" w:rsidRDefault="00863CBB" w:rsidP="00AB38B6">
            <w:pPr>
              <w:jc w:val="center"/>
              <w:rPr>
                <w:rFonts w:ascii="Arial Narrow" w:hAnsi="Arial Narrow"/>
                <w:sz w:val="20"/>
              </w:rPr>
            </w:pPr>
            <w:r>
              <w:rPr>
                <w:rFonts w:ascii="Arial Narrow" w:hAnsi="Arial Narrow"/>
                <w:sz w:val="20"/>
              </w:rPr>
              <w:t>100% of the effective IPF DPMQ, co-payment adjusted</w:t>
            </w:r>
          </w:p>
        </w:tc>
        <w:tc>
          <w:tcPr>
            <w:tcW w:w="2676" w:type="dxa"/>
            <w:vAlign w:val="center"/>
          </w:tcPr>
          <w:p w:rsidR="00863CBB" w:rsidRPr="007D0D84" w:rsidRDefault="00863CBB" w:rsidP="00AB38B6">
            <w:pPr>
              <w:jc w:val="center"/>
              <w:rPr>
                <w:rFonts w:ascii="Arial Narrow" w:hAnsi="Arial Narrow"/>
                <w:sz w:val="20"/>
              </w:rPr>
            </w:pPr>
            <w:r>
              <w:rPr>
                <w:rFonts w:ascii="Arial Narrow" w:hAnsi="Arial Narrow"/>
                <w:sz w:val="20"/>
              </w:rPr>
              <w:t>Department of Human Services, adjusted for rebate for public versus effective DPMQ minus co-payment</w:t>
            </w:r>
          </w:p>
        </w:tc>
      </w:tr>
    </w:tbl>
    <w:p w:rsidR="00863CBB" w:rsidRPr="007D0D84" w:rsidRDefault="00863CBB" w:rsidP="00863CBB">
      <w:pPr>
        <w:ind w:firstLine="720"/>
        <w:rPr>
          <w:rFonts w:ascii="Arial Narrow" w:hAnsi="Arial Narrow"/>
          <w:sz w:val="18"/>
        </w:rPr>
      </w:pPr>
      <w:r>
        <w:rPr>
          <w:rFonts w:ascii="Arial Narrow" w:hAnsi="Arial Narrow"/>
          <w:sz w:val="18"/>
        </w:rPr>
        <w:t xml:space="preserve">Abbreviations: IPF = idiopathic pulmonary fibrosis.  </w:t>
      </w:r>
      <w:r w:rsidRPr="007D0D84">
        <w:rPr>
          <w:rFonts w:ascii="Arial Narrow" w:hAnsi="Arial Narrow"/>
          <w:sz w:val="18"/>
        </w:rPr>
        <w:t xml:space="preserve">Source: Table </w:t>
      </w:r>
      <w:r>
        <w:rPr>
          <w:rFonts w:ascii="Arial Narrow" w:hAnsi="Arial Narrow"/>
          <w:sz w:val="18"/>
        </w:rPr>
        <w:t>F.2-4, p296 of the re-submission</w:t>
      </w:r>
    </w:p>
    <w:p w:rsidR="00863CBB" w:rsidRDefault="00863CBB" w:rsidP="00863CBB">
      <w:pPr>
        <w:widowControl/>
        <w:rPr>
          <w:szCs w:val="22"/>
        </w:rPr>
      </w:pPr>
    </w:p>
    <w:p w:rsidR="00863CBB" w:rsidRPr="001578E2" w:rsidRDefault="00863CBB" w:rsidP="00321D09">
      <w:pPr>
        <w:pStyle w:val="ListParagraph"/>
        <w:widowControl/>
        <w:numPr>
          <w:ilvl w:val="1"/>
          <w:numId w:val="2"/>
        </w:numPr>
        <w:rPr>
          <w:szCs w:val="22"/>
        </w:rPr>
      </w:pPr>
      <w:r w:rsidRPr="00863CBB">
        <w:rPr>
          <w:szCs w:val="22"/>
        </w:rPr>
        <w:t>In comparison to the March 2015 submission, the RSA is no longer based on a rebate for patients with a FVC%Pred &lt;</w:t>
      </w:r>
      <w:r w:rsidR="00F146E1">
        <w:rPr>
          <w:noProof/>
          <w:color w:val="000000"/>
          <w:szCs w:val="22"/>
          <w:highlight w:val="black"/>
        </w:rPr>
        <w:t>''''''</w:t>
      </w:r>
      <w:r w:rsidRPr="00863CBB">
        <w:rPr>
          <w:szCs w:val="22"/>
        </w:rPr>
        <w:t>%</w:t>
      </w:r>
      <w:r>
        <w:rPr>
          <w:szCs w:val="22"/>
        </w:rPr>
        <w:t xml:space="preserve"> </w:t>
      </w:r>
      <w:r w:rsidRPr="00863CBB">
        <w:rPr>
          <w:szCs w:val="22"/>
        </w:rPr>
        <w:t xml:space="preserve">and </w:t>
      </w:r>
      <w:r w:rsidR="00537FEA">
        <w:rPr>
          <w:szCs w:val="22"/>
        </w:rPr>
        <w:t>has been re</w:t>
      </w:r>
      <w:r w:rsidR="001578E2">
        <w:rPr>
          <w:szCs w:val="22"/>
        </w:rPr>
        <w:t>structured</w:t>
      </w:r>
      <w:r w:rsidRPr="00863CBB">
        <w:rPr>
          <w:szCs w:val="22"/>
        </w:rPr>
        <w:t xml:space="preserve"> </w:t>
      </w:r>
      <w:r w:rsidR="00537FEA">
        <w:rPr>
          <w:szCs w:val="22"/>
        </w:rPr>
        <w:t xml:space="preserve">to incorporate </w:t>
      </w:r>
      <w:r w:rsidR="00537FEA" w:rsidRPr="0060206A">
        <w:rPr>
          <w:szCs w:val="22"/>
        </w:rPr>
        <w:t xml:space="preserve">a </w:t>
      </w:r>
      <w:r w:rsidRPr="0060206A">
        <w:rPr>
          <w:szCs w:val="22"/>
        </w:rPr>
        <w:t>cap in expendit</w:t>
      </w:r>
      <w:bookmarkStart w:id="19" w:name="_GoBack"/>
      <w:bookmarkEnd w:id="19"/>
      <w:r w:rsidRPr="0060206A">
        <w:rPr>
          <w:szCs w:val="22"/>
        </w:rPr>
        <w:t>ure according to the RSA utilisation estimates</w:t>
      </w:r>
      <w:r w:rsidRPr="00587F05">
        <w:rPr>
          <w:szCs w:val="22"/>
        </w:rPr>
        <w:t>.</w:t>
      </w:r>
      <w:r w:rsidR="001578E2" w:rsidRPr="0060206A">
        <w:rPr>
          <w:szCs w:val="22"/>
        </w:rPr>
        <w:t xml:space="preserve"> </w:t>
      </w:r>
      <w:r w:rsidRPr="0060206A">
        <w:rPr>
          <w:szCs w:val="22"/>
        </w:rPr>
        <w:t xml:space="preserve">Given the </w:t>
      </w:r>
      <w:r w:rsidRPr="0060206A">
        <w:t>potential that substantial usage may occur beyond expectations within the requested restriction</w:t>
      </w:r>
      <w:r w:rsidRPr="0060206A">
        <w:rPr>
          <w:szCs w:val="22"/>
        </w:rPr>
        <w:t xml:space="preserve"> the RSA may serve to lessen the financial risks associated with the listing of nintedanib for IPF.</w:t>
      </w:r>
    </w:p>
    <w:p w:rsidR="001578E2" w:rsidRPr="00B47BB3" w:rsidRDefault="001578E2" w:rsidP="001578E2">
      <w:pPr>
        <w:widowControl/>
        <w:rPr>
          <w:szCs w:val="22"/>
        </w:rPr>
      </w:pPr>
    </w:p>
    <w:p w:rsidR="006B326B" w:rsidRDefault="001578E2" w:rsidP="0060206A">
      <w:pPr>
        <w:pStyle w:val="ListParagraph"/>
        <w:widowControl/>
        <w:numPr>
          <w:ilvl w:val="1"/>
          <w:numId w:val="2"/>
        </w:numPr>
        <w:jc w:val="left"/>
        <w:rPr>
          <w:szCs w:val="22"/>
        </w:rPr>
      </w:pPr>
      <w:r w:rsidRPr="001578E2">
        <w:rPr>
          <w:szCs w:val="22"/>
        </w:rPr>
        <w:t xml:space="preserve">On the basis of the capped expenditure </w:t>
      </w:r>
      <w:r w:rsidR="00B11B68">
        <w:rPr>
          <w:szCs w:val="22"/>
        </w:rPr>
        <w:t xml:space="preserve">(RSA) </w:t>
      </w:r>
      <w:r w:rsidRPr="001578E2">
        <w:rPr>
          <w:szCs w:val="22"/>
        </w:rPr>
        <w:t>and expected utilisation of nintedanib (actual number of prescriptions)</w:t>
      </w:r>
      <w:r>
        <w:rPr>
          <w:szCs w:val="22"/>
        </w:rPr>
        <w:t xml:space="preserve"> a weighted DPMQ of $</w:t>
      </w:r>
      <w:r w:rsidR="00F146E1">
        <w:rPr>
          <w:noProof/>
          <w:color w:val="000000"/>
          <w:szCs w:val="22"/>
          <w:highlight w:val="black"/>
        </w:rPr>
        <w:t xml:space="preserve">''''''''''''''' </w:t>
      </w:r>
      <w:r>
        <w:rPr>
          <w:szCs w:val="22"/>
        </w:rPr>
        <w:t>for nintedanib 150mg and $</w:t>
      </w:r>
      <w:r w:rsidR="00F146E1">
        <w:rPr>
          <w:noProof/>
          <w:color w:val="000000"/>
          <w:szCs w:val="22"/>
          <w:highlight w:val="black"/>
        </w:rPr>
        <w:t>''''''''''''''''''</w:t>
      </w:r>
      <w:r>
        <w:rPr>
          <w:szCs w:val="22"/>
        </w:rPr>
        <w:t xml:space="preserve"> for nintedanib 100mg across the first 5 years of listing was calculated by the re-submission.  This was applied in the last step of the economic model, reducing the estimated ICER to </w:t>
      </w:r>
      <w:r w:rsidRPr="001578E2">
        <w:rPr>
          <w:szCs w:val="22"/>
        </w:rPr>
        <w:t>$</w:t>
      </w:r>
      <w:r w:rsidR="00F146E1">
        <w:rPr>
          <w:noProof/>
          <w:color w:val="000000"/>
          <w:szCs w:val="22"/>
          <w:highlight w:val="black"/>
        </w:rPr>
        <w:t>''''''''''''''''</w:t>
      </w:r>
      <w:r w:rsidR="006B326B">
        <w:rPr>
          <w:szCs w:val="22"/>
        </w:rPr>
        <w:t>/QAL</w:t>
      </w:r>
      <w:r w:rsidR="00586105">
        <w:rPr>
          <w:szCs w:val="22"/>
        </w:rPr>
        <w:t>Y.</w:t>
      </w:r>
    </w:p>
    <w:p w:rsidR="00B47BB3" w:rsidRDefault="00B47BB3">
      <w:pPr>
        <w:widowControl/>
        <w:jc w:val="left"/>
      </w:pPr>
    </w:p>
    <w:p w:rsidR="00586105" w:rsidRDefault="00586105" w:rsidP="003757FB">
      <w:pPr>
        <w:widowControl/>
        <w:ind w:left="709"/>
        <w:rPr>
          <w:i/>
          <w:szCs w:val="22"/>
        </w:rPr>
      </w:pPr>
      <w:r w:rsidRPr="00586105">
        <w:rPr>
          <w:i/>
          <w:szCs w:val="22"/>
        </w:rPr>
        <w:t>For more detail on PBAC’s view, see section 7 “PBAC outcome”</w:t>
      </w:r>
      <w:r w:rsidR="003757FB">
        <w:rPr>
          <w:i/>
          <w:szCs w:val="22"/>
        </w:rPr>
        <w:t>.</w:t>
      </w:r>
    </w:p>
    <w:p w:rsidR="006818F4" w:rsidRDefault="006818F4" w:rsidP="003757FB">
      <w:pPr>
        <w:widowControl/>
        <w:ind w:left="709"/>
        <w:rPr>
          <w:i/>
          <w:szCs w:val="22"/>
        </w:rPr>
      </w:pPr>
    </w:p>
    <w:p w:rsidR="008A3078" w:rsidRPr="00586105" w:rsidRDefault="008A3078" w:rsidP="003757FB">
      <w:pPr>
        <w:widowControl/>
        <w:ind w:left="709"/>
        <w:rPr>
          <w:i/>
          <w:szCs w:val="22"/>
        </w:rPr>
      </w:pPr>
    </w:p>
    <w:p w:rsidR="00586105" w:rsidRPr="006D54A5" w:rsidRDefault="00586105" w:rsidP="008A3078">
      <w:pPr>
        <w:pStyle w:val="Heading1"/>
      </w:pPr>
      <w:r w:rsidRPr="006D54A5">
        <w:t>PBAC Outcome</w:t>
      </w:r>
    </w:p>
    <w:p w:rsidR="00586105" w:rsidRDefault="00586105" w:rsidP="00586105">
      <w:pPr>
        <w:rPr>
          <w:bCs/>
          <w:szCs w:val="22"/>
        </w:rPr>
      </w:pPr>
    </w:p>
    <w:p w:rsidR="00B133ED" w:rsidRDefault="00586105" w:rsidP="00B878B5">
      <w:pPr>
        <w:pStyle w:val="ListParagraph"/>
        <w:widowControl/>
        <w:numPr>
          <w:ilvl w:val="1"/>
          <w:numId w:val="2"/>
        </w:numPr>
      </w:pPr>
      <w:r w:rsidRPr="00586105">
        <w:rPr>
          <w:szCs w:val="22"/>
        </w:rPr>
        <w:t>The</w:t>
      </w:r>
      <w:r w:rsidRPr="006D54A5">
        <w:rPr>
          <w:bCs/>
          <w:szCs w:val="22"/>
        </w:rPr>
        <w:t xml:space="preserve"> PBAC</w:t>
      </w:r>
      <w:r>
        <w:rPr>
          <w:bCs/>
          <w:szCs w:val="22"/>
        </w:rPr>
        <w:t xml:space="preserve"> deferred the decision to recommend ninted</w:t>
      </w:r>
      <w:r w:rsidR="00B47BB3">
        <w:rPr>
          <w:bCs/>
          <w:szCs w:val="22"/>
        </w:rPr>
        <w:t>a</w:t>
      </w:r>
      <w:r>
        <w:rPr>
          <w:bCs/>
          <w:szCs w:val="22"/>
        </w:rPr>
        <w:t>nib for PBS listing for IPF</w:t>
      </w:r>
      <w:r w:rsidRPr="006D54A5">
        <w:rPr>
          <w:bCs/>
          <w:szCs w:val="22"/>
        </w:rPr>
        <w:t xml:space="preserve"> </w:t>
      </w:r>
      <w:r w:rsidR="00B133ED">
        <w:t xml:space="preserve">subject to a revised </w:t>
      </w:r>
      <w:r w:rsidR="00C440C2">
        <w:t xml:space="preserve">base case </w:t>
      </w:r>
      <w:r w:rsidR="00B133ED">
        <w:t>ICER of approximately $</w:t>
      </w:r>
      <w:r w:rsidR="00B133ED" w:rsidRPr="00D26810">
        <w:t>60,000</w:t>
      </w:r>
      <w:r w:rsidR="00B133ED">
        <w:t xml:space="preserve">/QALY, </w:t>
      </w:r>
      <w:r w:rsidR="00C440C2">
        <w:t xml:space="preserve">re-specified to </w:t>
      </w:r>
      <w:r w:rsidR="00B133ED">
        <w:t>incorporat</w:t>
      </w:r>
      <w:r w:rsidR="00C440C2">
        <w:t>e</w:t>
      </w:r>
      <w:r w:rsidR="00B133ED">
        <w:t xml:space="preserve"> a </w:t>
      </w:r>
      <w:r w:rsidR="00CC0550">
        <w:t>continuation</w:t>
      </w:r>
      <w:r w:rsidR="00B133ED">
        <w:t xml:space="preserve"> rule and a price reduction </w:t>
      </w:r>
      <w:r w:rsidR="003C6BDF">
        <w:t xml:space="preserve">which does not take into account any consequence of </w:t>
      </w:r>
      <w:r w:rsidR="00B133ED">
        <w:t xml:space="preserve">the proposed RSA. </w:t>
      </w:r>
      <w:r w:rsidR="00B47BB3">
        <w:t xml:space="preserve"> </w:t>
      </w:r>
      <w:r w:rsidR="00C440C2">
        <w:t>T</w:t>
      </w:r>
      <w:r w:rsidR="00B133ED">
        <w:t xml:space="preserve">he sponsor is </w:t>
      </w:r>
      <w:r w:rsidR="00C440C2">
        <w:t xml:space="preserve">also </w:t>
      </w:r>
      <w:r w:rsidR="00B133ED">
        <w:t xml:space="preserve">asked to consider a managed access program to </w:t>
      </w:r>
      <w:r w:rsidR="00CC0550">
        <w:t xml:space="preserve">compare the proportion of PBS patients who discontinue against the proportion established by the clinical trials </w:t>
      </w:r>
      <w:r w:rsidR="00B133ED">
        <w:t xml:space="preserve">and </w:t>
      </w:r>
      <w:r w:rsidR="00CC0550">
        <w:t xml:space="preserve">agree a basis to </w:t>
      </w:r>
      <w:r w:rsidR="00435D40">
        <w:t xml:space="preserve">vary </w:t>
      </w:r>
      <w:r w:rsidR="007E6D65">
        <w:t xml:space="preserve">the </w:t>
      </w:r>
      <w:r w:rsidR="00B133ED">
        <w:t>pric</w:t>
      </w:r>
      <w:r w:rsidR="00CC0550">
        <w:t xml:space="preserve">e to maintain cost-effectiveness </w:t>
      </w:r>
      <w:r w:rsidR="00C17969">
        <w:t>reflecting</w:t>
      </w:r>
      <w:r w:rsidR="00CC0550">
        <w:t xml:space="preserve"> the extent that the PBS observed proportion </w:t>
      </w:r>
      <w:r w:rsidR="00435D40">
        <w:t xml:space="preserve">might differ from </w:t>
      </w:r>
      <w:r w:rsidR="00CC0550">
        <w:t xml:space="preserve">the </w:t>
      </w:r>
      <w:r w:rsidR="006315BB">
        <w:t xml:space="preserve">proportion established by the </w:t>
      </w:r>
      <w:r w:rsidR="00CC0550">
        <w:t>clinical trial</w:t>
      </w:r>
      <w:r w:rsidR="006315BB">
        <w:t>s and/or the model</w:t>
      </w:r>
      <w:r w:rsidR="00B133ED">
        <w:t>.</w:t>
      </w:r>
      <w:r w:rsidR="00B47BB3">
        <w:t xml:space="preserve"> </w:t>
      </w:r>
      <w:r w:rsidR="007E6D65">
        <w:t xml:space="preserve"> Discussions with the Department of Health should take place prior </w:t>
      </w:r>
      <w:r w:rsidR="00B47BB3">
        <w:t>to a future major resubmission.</w:t>
      </w:r>
    </w:p>
    <w:p w:rsidR="00B133ED" w:rsidRDefault="00B133ED" w:rsidP="00B133ED">
      <w:pPr>
        <w:widowControl/>
        <w:jc w:val="left"/>
      </w:pPr>
    </w:p>
    <w:p w:rsidR="007E6D65" w:rsidRDefault="007E6D65" w:rsidP="007E6D65">
      <w:pPr>
        <w:widowControl/>
        <w:numPr>
          <w:ilvl w:val="1"/>
          <w:numId w:val="2"/>
        </w:numPr>
        <w:contextualSpacing/>
        <w:rPr>
          <w:szCs w:val="22"/>
        </w:rPr>
      </w:pPr>
      <w:r>
        <w:rPr>
          <w:szCs w:val="22"/>
        </w:rPr>
        <w:t xml:space="preserve">The PBAC recognised the high clinical need for </w:t>
      </w:r>
      <w:r w:rsidRPr="00F16534">
        <w:rPr>
          <w:szCs w:val="22"/>
        </w:rPr>
        <w:t>an effective treatment for IPF</w:t>
      </w:r>
      <w:r>
        <w:rPr>
          <w:szCs w:val="22"/>
        </w:rPr>
        <w:t xml:space="preserve"> and the</w:t>
      </w:r>
      <w:r>
        <w:t xml:space="preserve"> significant debilitating effects of the disease on quality of life, as noted in the consumer </w:t>
      </w:r>
      <w:r w:rsidR="003C664B">
        <w:t>comment</w:t>
      </w:r>
      <w:r w:rsidR="00AC1B1C">
        <w:t>s</w:t>
      </w:r>
      <w:r w:rsidR="003C664B">
        <w:t xml:space="preserve"> received for this item</w:t>
      </w:r>
      <w:r>
        <w:rPr>
          <w:szCs w:val="22"/>
        </w:rPr>
        <w:t>.</w:t>
      </w:r>
    </w:p>
    <w:p w:rsidR="007E6D65" w:rsidRPr="00B47BB3" w:rsidRDefault="007E6D65" w:rsidP="007E6D65">
      <w:pPr>
        <w:rPr>
          <w:szCs w:val="22"/>
        </w:rPr>
      </w:pPr>
    </w:p>
    <w:p w:rsidR="0032687A" w:rsidRDefault="007E6D65" w:rsidP="0032687A">
      <w:pPr>
        <w:widowControl/>
        <w:numPr>
          <w:ilvl w:val="1"/>
          <w:numId w:val="2"/>
        </w:numPr>
        <w:contextualSpacing/>
        <w:rPr>
          <w:szCs w:val="22"/>
        </w:rPr>
      </w:pPr>
      <w:r>
        <w:rPr>
          <w:szCs w:val="22"/>
        </w:rPr>
        <w:t xml:space="preserve">The PBAC </w:t>
      </w:r>
      <w:r w:rsidR="0032687A">
        <w:rPr>
          <w:szCs w:val="22"/>
        </w:rPr>
        <w:t xml:space="preserve">welcomed the Pre-PBAC response (p1) suggestion for </w:t>
      </w:r>
      <w:r w:rsidR="0037381D">
        <w:rPr>
          <w:szCs w:val="22"/>
        </w:rPr>
        <w:t>the following</w:t>
      </w:r>
      <w:r w:rsidR="0032687A">
        <w:rPr>
          <w:szCs w:val="22"/>
        </w:rPr>
        <w:t xml:space="preserve"> </w:t>
      </w:r>
      <w:r w:rsidR="00DC5A4D">
        <w:rPr>
          <w:szCs w:val="22"/>
        </w:rPr>
        <w:t>continuation</w:t>
      </w:r>
      <w:r w:rsidR="0032687A">
        <w:rPr>
          <w:szCs w:val="22"/>
        </w:rPr>
        <w:t xml:space="preserve"> rule: </w:t>
      </w:r>
      <w:r w:rsidR="0032687A" w:rsidRPr="0032687A">
        <w:rPr>
          <w:szCs w:val="22"/>
        </w:rPr>
        <w:t xml:space="preserve">“treatment with nintedanib should be discontinued if disease progresses (a confirmed decline in % predicted FVC of 10% or more within any 12-month period while receiving treatment)”. </w:t>
      </w:r>
      <w:r w:rsidR="00B47BB3">
        <w:rPr>
          <w:szCs w:val="22"/>
        </w:rPr>
        <w:t xml:space="preserve"> </w:t>
      </w:r>
      <w:r w:rsidR="0032687A" w:rsidRPr="0032687A">
        <w:rPr>
          <w:szCs w:val="22"/>
        </w:rPr>
        <w:t>This proposed rule ha</w:t>
      </w:r>
      <w:r w:rsidR="0032687A">
        <w:rPr>
          <w:szCs w:val="22"/>
        </w:rPr>
        <w:t>d</w:t>
      </w:r>
      <w:r w:rsidR="0032687A" w:rsidRPr="0032687A">
        <w:rPr>
          <w:szCs w:val="22"/>
        </w:rPr>
        <w:t xml:space="preserve"> recently been requested for nintedanib by the National Institute for Health and Care Excellence (through the appraisal consultation document process) and the Canadian Drug Expert Committee. </w:t>
      </w:r>
      <w:r w:rsidR="00B47BB3">
        <w:rPr>
          <w:szCs w:val="22"/>
        </w:rPr>
        <w:t xml:space="preserve"> </w:t>
      </w:r>
      <w:r w:rsidR="0032687A">
        <w:rPr>
          <w:szCs w:val="22"/>
        </w:rPr>
        <w:t xml:space="preserve">PBAC considered a future resubmission should explore the likelihood of the stopping rule proving effective by exploring the numbers of patients who may discontinue treatment based on </w:t>
      </w:r>
      <w:r w:rsidR="00FB1003">
        <w:rPr>
          <w:szCs w:val="22"/>
        </w:rPr>
        <w:t xml:space="preserve">the </w:t>
      </w:r>
      <w:r w:rsidR="0032687A">
        <w:rPr>
          <w:szCs w:val="22"/>
        </w:rPr>
        <w:t xml:space="preserve">clinical </w:t>
      </w:r>
      <w:r w:rsidR="00FB1003">
        <w:rPr>
          <w:szCs w:val="22"/>
        </w:rPr>
        <w:t xml:space="preserve">trial </w:t>
      </w:r>
      <w:r w:rsidR="0032687A">
        <w:rPr>
          <w:szCs w:val="22"/>
        </w:rPr>
        <w:t>evidence and the proposed model.</w:t>
      </w:r>
    </w:p>
    <w:p w:rsidR="0032687A" w:rsidRPr="00B47BB3" w:rsidRDefault="0032687A" w:rsidP="0032687A">
      <w:pPr>
        <w:rPr>
          <w:szCs w:val="22"/>
        </w:rPr>
      </w:pPr>
    </w:p>
    <w:p w:rsidR="007E6D65" w:rsidRDefault="00E35E4C" w:rsidP="00AF70CC">
      <w:pPr>
        <w:widowControl/>
        <w:numPr>
          <w:ilvl w:val="1"/>
          <w:numId w:val="2"/>
        </w:numPr>
        <w:contextualSpacing/>
        <w:rPr>
          <w:szCs w:val="22"/>
        </w:rPr>
      </w:pPr>
      <w:r>
        <w:rPr>
          <w:szCs w:val="22"/>
        </w:rPr>
        <w:t xml:space="preserve">Other suggested wording changes to the restriction in the Pre-PBAC response (p1) included </w:t>
      </w:r>
      <w:r w:rsidR="0032687A" w:rsidRPr="0032687A">
        <w:rPr>
          <w:szCs w:val="22"/>
        </w:rPr>
        <w:t>“Prescriber Instruction 1” be made clear</w:t>
      </w:r>
      <w:r w:rsidR="00F77673">
        <w:rPr>
          <w:szCs w:val="22"/>
        </w:rPr>
        <w:t>er</w:t>
      </w:r>
      <w:r w:rsidR="0032687A" w:rsidRPr="0032687A">
        <w:rPr>
          <w:szCs w:val="22"/>
        </w:rPr>
        <w:t xml:space="preserve"> to read: “Documented diagnosis through a multidisciplinary team which comprises of at least a pulmonologist, radiologist and where required, pathologist. </w:t>
      </w:r>
      <w:r w:rsidR="00FB1003">
        <w:rPr>
          <w:szCs w:val="22"/>
        </w:rPr>
        <w:t xml:space="preserve"> </w:t>
      </w:r>
      <w:r w:rsidR="0032687A" w:rsidRPr="0032687A">
        <w:rPr>
          <w:szCs w:val="22"/>
        </w:rPr>
        <w:t>If attendance is not possible, because of geographical isolation, consultation with a multidisciplinary team is necessary in the diagnosis of idiopathic pulmonary fibrosis (IPF)”.</w:t>
      </w:r>
      <w:r w:rsidR="00FB1003">
        <w:rPr>
          <w:szCs w:val="22"/>
        </w:rPr>
        <w:t xml:space="preserve"> </w:t>
      </w:r>
      <w:r w:rsidR="007E6D65">
        <w:rPr>
          <w:szCs w:val="22"/>
        </w:rPr>
        <w:t xml:space="preserve"> </w:t>
      </w:r>
      <w:r w:rsidR="00904610">
        <w:rPr>
          <w:szCs w:val="22"/>
        </w:rPr>
        <w:t>PBAC agreed with the suggested wording</w:t>
      </w:r>
      <w:r w:rsidR="00AF70CC">
        <w:rPr>
          <w:szCs w:val="22"/>
        </w:rPr>
        <w:t xml:space="preserve">, noting the letter received from the </w:t>
      </w:r>
      <w:r w:rsidR="00AF70CC" w:rsidRPr="0031692C">
        <w:rPr>
          <w:szCs w:val="22"/>
        </w:rPr>
        <w:t>Australian IPF Registry Steering Committee</w:t>
      </w:r>
      <w:r w:rsidR="00AF70CC">
        <w:rPr>
          <w:szCs w:val="22"/>
        </w:rPr>
        <w:t xml:space="preserve"> (1 July 2015) which endorsed the </w:t>
      </w:r>
      <w:r w:rsidR="00AF70CC" w:rsidRPr="00AF70CC">
        <w:rPr>
          <w:szCs w:val="22"/>
        </w:rPr>
        <w:t>require</w:t>
      </w:r>
      <w:r w:rsidR="00AF70CC">
        <w:rPr>
          <w:szCs w:val="22"/>
        </w:rPr>
        <w:t>ment for a</w:t>
      </w:r>
      <w:r w:rsidR="00AF70CC" w:rsidRPr="00AF70CC">
        <w:rPr>
          <w:szCs w:val="22"/>
        </w:rPr>
        <w:t xml:space="preserve"> written authority</w:t>
      </w:r>
      <w:r w:rsidR="00AF70CC">
        <w:rPr>
          <w:szCs w:val="22"/>
        </w:rPr>
        <w:t xml:space="preserve"> p</w:t>
      </w:r>
      <w:r w:rsidR="00AF70CC" w:rsidRPr="00AF70CC">
        <w:rPr>
          <w:szCs w:val="22"/>
        </w:rPr>
        <w:t>rescription for anti-fibrotic therapy</w:t>
      </w:r>
      <w:r w:rsidR="00AF70CC">
        <w:rPr>
          <w:szCs w:val="22"/>
        </w:rPr>
        <w:t>,</w:t>
      </w:r>
      <w:r w:rsidR="00AF70CC" w:rsidRPr="00AF70CC">
        <w:rPr>
          <w:szCs w:val="22"/>
        </w:rPr>
        <w:t xml:space="preserve"> including the need for diagnosis to have been made at a multidisciplinary team meeting. </w:t>
      </w:r>
      <w:r w:rsidR="00FB1003">
        <w:rPr>
          <w:szCs w:val="22"/>
        </w:rPr>
        <w:t xml:space="preserve"> </w:t>
      </w:r>
      <w:r w:rsidR="00AF70CC">
        <w:rPr>
          <w:szCs w:val="22"/>
        </w:rPr>
        <w:t>S</w:t>
      </w:r>
      <w:r w:rsidR="00AF70CC" w:rsidRPr="00AF70CC">
        <w:rPr>
          <w:szCs w:val="22"/>
        </w:rPr>
        <w:t xml:space="preserve">uch meetings </w:t>
      </w:r>
      <w:r w:rsidR="00AF70CC">
        <w:rPr>
          <w:szCs w:val="22"/>
        </w:rPr>
        <w:t>were described by the Steering Committee as</w:t>
      </w:r>
      <w:r w:rsidR="00AF70CC" w:rsidRPr="00AF70CC">
        <w:rPr>
          <w:szCs w:val="22"/>
        </w:rPr>
        <w:t xml:space="preserve"> likely be held in association with respiratory departments in large public hospitals.</w:t>
      </w:r>
      <w:r w:rsidR="00AF70CC">
        <w:rPr>
          <w:szCs w:val="22"/>
        </w:rPr>
        <w:t xml:space="preserve"> </w:t>
      </w:r>
      <w:r w:rsidR="00FB1003">
        <w:rPr>
          <w:szCs w:val="22"/>
        </w:rPr>
        <w:t xml:space="preserve"> </w:t>
      </w:r>
      <w:r w:rsidR="00AF70CC">
        <w:rPr>
          <w:szCs w:val="22"/>
        </w:rPr>
        <w:t xml:space="preserve">The PBAC agreed </w:t>
      </w:r>
      <w:r w:rsidR="00904610">
        <w:rPr>
          <w:szCs w:val="22"/>
        </w:rPr>
        <w:t xml:space="preserve">that a one-off requirement for diagnosis by the </w:t>
      </w:r>
      <w:r w:rsidR="00904610" w:rsidRPr="0032687A">
        <w:rPr>
          <w:szCs w:val="22"/>
        </w:rPr>
        <w:t>multidisciplinary</w:t>
      </w:r>
      <w:r w:rsidR="00904610">
        <w:rPr>
          <w:szCs w:val="22"/>
        </w:rPr>
        <w:t xml:space="preserve"> team for initiatin</w:t>
      </w:r>
      <w:r w:rsidR="00B47BB3">
        <w:rPr>
          <w:szCs w:val="22"/>
        </w:rPr>
        <w:t>g therapy would be appropriate.</w:t>
      </w:r>
    </w:p>
    <w:p w:rsidR="00697802" w:rsidRPr="00B47BB3" w:rsidRDefault="00697802" w:rsidP="00697802">
      <w:pPr>
        <w:rPr>
          <w:szCs w:val="22"/>
        </w:rPr>
      </w:pPr>
    </w:p>
    <w:p w:rsidR="00697802" w:rsidRDefault="00697802" w:rsidP="00697802">
      <w:pPr>
        <w:widowControl/>
        <w:numPr>
          <w:ilvl w:val="1"/>
          <w:numId w:val="2"/>
        </w:numPr>
        <w:contextualSpacing/>
        <w:rPr>
          <w:szCs w:val="22"/>
        </w:rPr>
      </w:pPr>
      <w:r>
        <w:rPr>
          <w:szCs w:val="22"/>
        </w:rPr>
        <w:t xml:space="preserve">The PBAC reaffirmed that best supportive care was the appropriate </w:t>
      </w:r>
      <w:r w:rsidR="00FB1003">
        <w:rPr>
          <w:szCs w:val="22"/>
        </w:rPr>
        <w:t xml:space="preserve">main </w:t>
      </w:r>
      <w:r>
        <w:rPr>
          <w:szCs w:val="22"/>
        </w:rPr>
        <w:t xml:space="preserve">comparator for nintedanib for IPF. </w:t>
      </w:r>
      <w:r w:rsidR="00FB1003">
        <w:rPr>
          <w:szCs w:val="22"/>
        </w:rPr>
        <w:t xml:space="preserve"> </w:t>
      </w:r>
      <w:r>
        <w:rPr>
          <w:szCs w:val="22"/>
        </w:rPr>
        <w:t>Another novel agent for the treatment of IPF, pirfenidone, was considered at the same November 2015 PBAC meeting and</w:t>
      </w:r>
      <w:r w:rsidR="00FB1003">
        <w:rPr>
          <w:szCs w:val="22"/>
        </w:rPr>
        <w:t>,</w:t>
      </w:r>
      <w:r>
        <w:rPr>
          <w:szCs w:val="22"/>
        </w:rPr>
        <w:t xml:space="preserve"> although not currently </w:t>
      </w:r>
      <w:r w:rsidR="00FB1003">
        <w:rPr>
          <w:szCs w:val="22"/>
        </w:rPr>
        <w:t xml:space="preserve">registered by </w:t>
      </w:r>
      <w:r w:rsidR="00904610">
        <w:rPr>
          <w:szCs w:val="22"/>
        </w:rPr>
        <w:t>TGA</w:t>
      </w:r>
      <w:r>
        <w:rPr>
          <w:szCs w:val="22"/>
        </w:rPr>
        <w:t xml:space="preserve">, pirfenidone was considered </w:t>
      </w:r>
      <w:r w:rsidR="00FB1003">
        <w:rPr>
          <w:szCs w:val="22"/>
        </w:rPr>
        <w:t xml:space="preserve">to be </w:t>
      </w:r>
      <w:r>
        <w:rPr>
          <w:szCs w:val="22"/>
        </w:rPr>
        <w:t xml:space="preserve">a relevant secondary comparator. </w:t>
      </w:r>
      <w:r w:rsidR="00FB1003">
        <w:rPr>
          <w:szCs w:val="22"/>
        </w:rPr>
        <w:t xml:space="preserve"> </w:t>
      </w:r>
      <w:r>
        <w:rPr>
          <w:szCs w:val="22"/>
        </w:rPr>
        <w:t xml:space="preserve">PBAC noted </w:t>
      </w:r>
      <w:r w:rsidR="003C664B">
        <w:rPr>
          <w:szCs w:val="22"/>
        </w:rPr>
        <w:t xml:space="preserve">its </w:t>
      </w:r>
      <w:r>
        <w:rPr>
          <w:szCs w:val="22"/>
        </w:rPr>
        <w:t>concern that should both drugs become PBS subsidised in the future, the risk of concomitant use w</w:t>
      </w:r>
      <w:r w:rsidR="00FB1003">
        <w:rPr>
          <w:szCs w:val="22"/>
        </w:rPr>
        <w:t>ould</w:t>
      </w:r>
      <w:r>
        <w:rPr>
          <w:szCs w:val="22"/>
        </w:rPr>
        <w:t xml:space="preserve"> need to be addressed.</w:t>
      </w:r>
    </w:p>
    <w:p w:rsidR="00697802" w:rsidRPr="00B47BB3" w:rsidRDefault="00697802" w:rsidP="00697802">
      <w:pPr>
        <w:rPr>
          <w:szCs w:val="22"/>
        </w:rPr>
      </w:pPr>
    </w:p>
    <w:p w:rsidR="004E3B49" w:rsidRDefault="00B6317B" w:rsidP="004E3B49">
      <w:pPr>
        <w:widowControl/>
        <w:numPr>
          <w:ilvl w:val="1"/>
          <w:numId w:val="2"/>
        </w:numPr>
        <w:contextualSpacing/>
      </w:pPr>
      <w:r>
        <w:rPr>
          <w:szCs w:val="22"/>
        </w:rPr>
        <w:t xml:space="preserve">The PBAC noted the </w:t>
      </w:r>
      <w:r w:rsidR="004E3B49">
        <w:rPr>
          <w:szCs w:val="22"/>
        </w:rPr>
        <w:t xml:space="preserve">resubmission presented the same </w:t>
      </w:r>
      <w:r w:rsidR="004E3B49">
        <w:t>three</w:t>
      </w:r>
      <w:r w:rsidR="004E3B49" w:rsidRPr="00862502">
        <w:t xml:space="preserve"> head-to-head </w:t>
      </w:r>
      <w:r w:rsidR="004E3B49">
        <w:t xml:space="preserve">randomised trials </w:t>
      </w:r>
      <w:r w:rsidR="004E3B49" w:rsidRPr="00862502">
        <w:t xml:space="preserve">comparing </w:t>
      </w:r>
      <w:r w:rsidR="004E3B49">
        <w:t>nintedanib</w:t>
      </w:r>
      <w:r w:rsidR="004E3B49" w:rsidRPr="00862502">
        <w:t xml:space="preserve"> to </w:t>
      </w:r>
      <w:r w:rsidR="004E3B49">
        <w:t xml:space="preserve">placebo as in the March 2015 submission: </w:t>
      </w:r>
      <w:r w:rsidR="004E3B49" w:rsidRPr="00F333D9">
        <w:t>Trial 30 (n=432), Trial 32 (n=515) and Trial 34 (n=551</w:t>
      </w:r>
      <w:r w:rsidR="004E3B49" w:rsidRPr="00394948">
        <w:t>)</w:t>
      </w:r>
      <w:r w:rsidR="004E3B49">
        <w:t>.</w:t>
      </w:r>
      <w:r w:rsidR="00FB1003">
        <w:t xml:space="preserve"> </w:t>
      </w:r>
      <w:r w:rsidR="004E3B49">
        <w:t xml:space="preserve"> </w:t>
      </w:r>
      <w:r w:rsidR="004E3B49" w:rsidRPr="004E3B49">
        <w:t xml:space="preserve">On the basis of </w:t>
      </w:r>
      <w:r w:rsidR="001C07DB">
        <w:t xml:space="preserve">a meta-analysis of </w:t>
      </w:r>
      <w:r w:rsidR="004E3B49">
        <w:t xml:space="preserve">this </w:t>
      </w:r>
      <w:r w:rsidR="004E3B49" w:rsidRPr="004E3B49">
        <w:t xml:space="preserve">direct evidence </w:t>
      </w:r>
      <w:r w:rsidR="004E3B49">
        <w:t>versus</w:t>
      </w:r>
      <w:r w:rsidR="004E3B49" w:rsidRPr="004E3B49">
        <w:t xml:space="preserve"> placebo, nintedanib was associated with:</w:t>
      </w:r>
    </w:p>
    <w:p w:rsidR="004E3B49" w:rsidRPr="004E3B49" w:rsidRDefault="004E3B49" w:rsidP="004E3B49">
      <w:pPr>
        <w:widowControl/>
        <w:numPr>
          <w:ilvl w:val="1"/>
          <w:numId w:val="19"/>
        </w:numPr>
        <w:contextualSpacing/>
      </w:pPr>
      <w:r w:rsidRPr="004E3B49">
        <w:t>Approximately a 118.</w:t>
      </w:r>
      <w:r w:rsidR="00FB1003">
        <w:t>89 </w:t>
      </w:r>
      <w:r w:rsidR="00D2648F">
        <w:t>mL</w:t>
      </w:r>
      <w:r w:rsidRPr="004E3B49">
        <w:t>/year reduction in the annual rate of decline in FVC.</w:t>
      </w:r>
    </w:p>
    <w:p w:rsidR="004E3B49" w:rsidRPr="004E3B49" w:rsidRDefault="004E3B49" w:rsidP="004E3B49">
      <w:pPr>
        <w:pStyle w:val="ListParagraph"/>
        <w:widowControl/>
        <w:numPr>
          <w:ilvl w:val="1"/>
          <w:numId w:val="19"/>
        </w:numPr>
      </w:pPr>
      <w:r w:rsidRPr="004E3B49">
        <w:t>Approximately a 3.31% r</w:t>
      </w:r>
      <w:r w:rsidR="003C6F17">
        <w:t>eduction in absolute decline i</w:t>
      </w:r>
      <w:r>
        <w:rPr>
          <w:szCs w:val="22"/>
        </w:rPr>
        <w:t xml:space="preserve">n </w:t>
      </w:r>
      <w:r>
        <w:t>forced vital capacity percent predicted</w:t>
      </w:r>
      <w:r>
        <w:rPr>
          <w:szCs w:val="22"/>
        </w:rPr>
        <w:t xml:space="preserve"> (FVC%Pred)</w:t>
      </w:r>
      <w:r w:rsidRPr="004E3B49">
        <w:t xml:space="preserve"> from baseline to week 52.</w:t>
      </w:r>
    </w:p>
    <w:p w:rsidR="009532CF" w:rsidRDefault="003C6F17" w:rsidP="00D2648F">
      <w:pPr>
        <w:pStyle w:val="ListParagraph"/>
        <w:numPr>
          <w:ilvl w:val="1"/>
          <w:numId w:val="19"/>
        </w:numPr>
      </w:pPr>
      <w:r>
        <w:t>A</w:t>
      </w:r>
      <w:r w:rsidRPr="00D2648F">
        <w:t>pproximately a 65% reduction in the risk of independently adjudicated acute IPF exacerbations over 52 weeks</w:t>
      </w:r>
      <w:r>
        <w:t>, but no s</w:t>
      </w:r>
      <w:r w:rsidRPr="004E3B49">
        <w:t>ignificant difference in investigator-</w:t>
      </w:r>
      <w:r w:rsidRPr="00B86D7D">
        <w:t>reported acute IPF exacerbations.</w:t>
      </w:r>
    </w:p>
    <w:p w:rsidR="003C6F17" w:rsidRDefault="009532CF" w:rsidP="00D2648F">
      <w:pPr>
        <w:pStyle w:val="ListParagraph"/>
        <w:numPr>
          <w:ilvl w:val="1"/>
          <w:numId w:val="19"/>
        </w:numPr>
      </w:pPr>
      <w:r>
        <w:t>No significant difference in disease specific quality of life.</w:t>
      </w:r>
    </w:p>
    <w:p w:rsidR="004E3B49" w:rsidRPr="004E3B49" w:rsidRDefault="004E3B49" w:rsidP="004E3B49">
      <w:pPr>
        <w:pStyle w:val="ListParagraph"/>
        <w:widowControl/>
        <w:numPr>
          <w:ilvl w:val="1"/>
          <w:numId w:val="19"/>
        </w:numPr>
      </w:pPr>
      <w:r w:rsidRPr="00B6317B">
        <w:rPr>
          <w:szCs w:val="22"/>
        </w:rPr>
        <w:t>Insufficient evidence to support a significant difference in OS</w:t>
      </w:r>
      <w:r w:rsidRPr="004E3B49">
        <w:t>.</w:t>
      </w:r>
    </w:p>
    <w:p w:rsidR="003C6F17" w:rsidRDefault="003C6F17" w:rsidP="00B47BB3"/>
    <w:p w:rsidR="003C6F17" w:rsidRPr="00B86D7D" w:rsidRDefault="003C6F17" w:rsidP="003C6F17">
      <w:pPr>
        <w:widowControl/>
        <w:numPr>
          <w:ilvl w:val="1"/>
          <w:numId w:val="2"/>
        </w:numPr>
        <w:contextualSpacing/>
      </w:pPr>
      <w:r>
        <w:t xml:space="preserve">The PBAC noted that loss of lung function was a more critical clinical issue than exacerbations and that the 3.31% </w:t>
      </w:r>
      <w:r w:rsidRPr="004E3B49">
        <w:t>absolute decline in</w:t>
      </w:r>
      <w:r>
        <w:t xml:space="preserve"> reduction in FVC was close to the MCID </w:t>
      </w:r>
      <w:r w:rsidRPr="00B6317B">
        <w:t xml:space="preserve">calculated by the </w:t>
      </w:r>
      <w:r w:rsidR="00FB1003">
        <w:t>a</w:t>
      </w:r>
      <w:r w:rsidRPr="00B6317B">
        <w:t xml:space="preserve">nchor based </w:t>
      </w:r>
      <w:r w:rsidR="00FB1003">
        <w:t xml:space="preserve">method </w:t>
      </w:r>
      <w:r w:rsidRPr="00B6317B">
        <w:t>an</w:t>
      </w:r>
      <w:r w:rsidR="00FB1003">
        <w:t>d the distribution based method</w:t>
      </w:r>
      <w:r w:rsidR="00B47BB3">
        <w:t xml:space="preserve"> (see Table 4 above).</w:t>
      </w:r>
    </w:p>
    <w:p w:rsidR="00B6317B" w:rsidRPr="00B47BB3" w:rsidRDefault="00B6317B" w:rsidP="00B6317B">
      <w:pPr>
        <w:rPr>
          <w:szCs w:val="22"/>
        </w:rPr>
      </w:pPr>
    </w:p>
    <w:p w:rsidR="00697802" w:rsidRDefault="00B86D7D" w:rsidP="001E5C9E">
      <w:pPr>
        <w:widowControl/>
        <w:numPr>
          <w:ilvl w:val="1"/>
          <w:numId w:val="2"/>
        </w:numPr>
        <w:contextualSpacing/>
        <w:rPr>
          <w:szCs w:val="22"/>
        </w:rPr>
      </w:pPr>
      <w:r w:rsidRPr="00B86D7D">
        <w:rPr>
          <w:szCs w:val="22"/>
        </w:rPr>
        <w:t>The FDA review</w:t>
      </w:r>
      <w:r w:rsidRPr="00B86D7D">
        <w:rPr>
          <w:rStyle w:val="FootnoteReference"/>
        </w:rPr>
        <w:footnoteReference w:id="3"/>
      </w:r>
      <w:r w:rsidRPr="00B86D7D">
        <w:rPr>
          <w:szCs w:val="22"/>
        </w:rPr>
        <w:t xml:space="preserve"> of p</w:t>
      </w:r>
      <w:r w:rsidR="00B47BB3">
        <w:rPr>
          <w:szCs w:val="22"/>
        </w:rPr>
        <w:t>i</w:t>
      </w:r>
      <w:r w:rsidRPr="00B86D7D">
        <w:rPr>
          <w:szCs w:val="22"/>
        </w:rPr>
        <w:t>rf</w:t>
      </w:r>
      <w:r w:rsidR="00B47BB3">
        <w:rPr>
          <w:szCs w:val="22"/>
        </w:rPr>
        <w:t>e</w:t>
      </w:r>
      <w:r w:rsidRPr="00B86D7D">
        <w:rPr>
          <w:szCs w:val="22"/>
        </w:rPr>
        <w:t>nidone and ninted</w:t>
      </w:r>
      <w:r w:rsidR="00B47BB3">
        <w:rPr>
          <w:szCs w:val="22"/>
        </w:rPr>
        <w:t>ani</w:t>
      </w:r>
      <w:r w:rsidRPr="00B86D7D">
        <w:rPr>
          <w:szCs w:val="22"/>
        </w:rPr>
        <w:t>b studies suggests that FVC is a valid surrogate</w:t>
      </w:r>
      <w:r w:rsidRPr="00B86D7D">
        <w:t xml:space="preserve"> for mortality in IPF.</w:t>
      </w:r>
      <w:r w:rsidRPr="00B86D7D">
        <w:rPr>
          <w:szCs w:val="22"/>
        </w:rPr>
        <w:t xml:space="preserve"> </w:t>
      </w:r>
      <w:r w:rsidR="00B47BB3">
        <w:rPr>
          <w:szCs w:val="22"/>
        </w:rPr>
        <w:t xml:space="preserve"> </w:t>
      </w:r>
      <w:r w:rsidRPr="00B86D7D">
        <w:rPr>
          <w:szCs w:val="22"/>
        </w:rPr>
        <w:t>T</w:t>
      </w:r>
      <w:r w:rsidR="00F25FF3" w:rsidRPr="00B86D7D">
        <w:rPr>
          <w:szCs w:val="22"/>
        </w:rPr>
        <w:t xml:space="preserve">his </w:t>
      </w:r>
      <w:r w:rsidRPr="00B86D7D">
        <w:rPr>
          <w:szCs w:val="22"/>
        </w:rPr>
        <w:t xml:space="preserve">review </w:t>
      </w:r>
      <w:r w:rsidR="00F25FF3" w:rsidRPr="00B86D7D">
        <w:rPr>
          <w:szCs w:val="22"/>
        </w:rPr>
        <w:t>g</w:t>
      </w:r>
      <w:r w:rsidRPr="00B86D7D">
        <w:rPr>
          <w:szCs w:val="22"/>
        </w:rPr>
        <w:t>a</w:t>
      </w:r>
      <w:r w:rsidR="00F25FF3" w:rsidRPr="00B86D7D">
        <w:rPr>
          <w:szCs w:val="22"/>
        </w:rPr>
        <w:t>ve</w:t>
      </w:r>
      <w:r w:rsidRPr="00B86D7D">
        <w:rPr>
          <w:szCs w:val="22"/>
        </w:rPr>
        <w:t xml:space="preserve"> the PBAC</w:t>
      </w:r>
      <w:r w:rsidR="00F25FF3" w:rsidRPr="00B86D7D">
        <w:rPr>
          <w:szCs w:val="22"/>
        </w:rPr>
        <w:t xml:space="preserve"> more confidence that the lack of statistical significance in OS may be an issue of lack of power</w:t>
      </w:r>
      <w:r w:rsidR="003C6F17">
        <w:rPr>
          <w:szCs w:val="22"/>
        </w:rPr>
        <w:t xml:space="preserve"> in the </w:t>
      </w:r>
      <w:r w:rsidR="00FB1003">
        <w:rPr>
          <w:szCs w:val="22"/>
        </w:rPr>
        <w:t>trials</w:t>
      </w:r>
      <w:r w:rsidR="001E5C9E">
        <w:rPr>
          <w:szCs w:val="22"/>
        </w:rPr>
        <w:t>.</w:t>
      </w:r>
      <w:r w:rsidR="00FB1003">
        <w:rPr>
          <w:szCs w:val="22"/>
        </w:rPr>
        <w:t xml:space="preserve"> </w:t>
      </w:r>
      <w:r w:rsidR="003C6F17">
        <w:rPr>
          <w:szCs w:val="22"/>
        </w:rPr>
        <w:t xml:space="preserve"> </w:t>
      </w:r>
      <w:r w:rsidR="001E5C9E">
        <w:rPr>
          <w:szCs w:val="22"/>
        </w:rPr>
        <w:t xml:space="preserve">It was further noted, from the Pre-PBAC response (p2), </w:t>
      </w:r>
      <w:r w:rsidR="00FB1003">
        <w:rPr>
          <w:szCs w:val="22"/>
        </w:rPr>
        <w:t xml:space="preserve">that </w:t>
      </w:r>
      <w:r w:rsidR="001E5C9E">
        <w:rPr>
          <w:szCs w:val="22"/>
        </w:rPr>
        <w:t xml:space="preserve">the poor prognosis of patients with IPF combined with the observed trend in survival benefit imposes ethical limitations on any further placebo-controlled trials </w:t>
      </w:r>
      <w:r w:rsidR="003C6F17">
        <w:rPr>
          <w:szCs w:val="22"/>
        </w:rPr>
        <w:t>given the nature of the disease</w:t>
      </w:r>
      <w:r w:rsidR="00FB1003">
        <w:rPr>
          <w:szCs w:val="22"/>
        </w:rPr>
        <w:t>.  This makes</w:t>
      </w:r>
      <w:r w:rsidR="001E5C9E">
        <w:rPr>
          <w:szCs w:val="22"/>
        </w:rPr>
        <w:t xml:space="preserve"> </w:t>
      </w:r>
      <w:r w:rsidR="000E0D25">
        <w:rPr>
          <w:szCs w:val="22"/>
        </w:rPr>
        <w:t xml:space="preserve">it difficult to generate </w:t>
      </w:r>
      <w:r w:rsidR="001E5C9E" w:rsidRPr="001E5C9E">
        <w:rPr>
          <w:szCs w:val="22"/>
        </w:rPr>
        <w:t>prospective and placebo-controlled evidence of a statistically significant overall survival benefit with nintedanib</w:t>
      </w:r>
      <w:r w:rsidR="001E5C9E">
        <w:rPr>
          <w:szCs w:val="22"/>
        </w:rPr>
        <w:t>.</w:t>
      </w:r>
    </w:p>
    <w:p w:rsidR="001C07DB" w:rsidRPr="00B47BB3" w:rsidRDefault="001C07DB" w:rsidP="001C07DB">
      <w:pPr>
        <w:rPr>
          <w:szCs w:val="22"/>
        </w:rPr>
      </w:pPr>
    </w:p>
    <w:p w:rsidR="001C07DB" w:rsidRPr="001E5C9E" w:rsidRDefault="001C07DB" w:rsidP="001C07DB">
      <w:pPr>
        <w:widowControl/>
        <w:numPr>
          <w:ilvl w:val="1"/>
          <w:numId w:val="2"/>
        </w:numPr>
        <w:contextualSpacing/>
        <w:rPr>
          <w:szCs w:val="22"/>
        </w:rPr>
      </w:pPr>
      <w:r>
        <w:rPr>
          <w:szCs w:val="22"/>
        </w:rPr>
        <w:t>The PBAC noted that nintedanib was associated with statistically significantly higher instances of drug</w:t>
      </w:r>
      <w:r w:rsidR="000E0D25">
        <w:rPr>
          <w:szCs w:val="22"/>
        </w:rPr>
        <w:t>-</w:t>
      </w:r>
      <w:r>
        <w:rPr>
          <w:szCs w:val="22"/>
        </w:rPr>
        <w:t xml:space="preserve">related adverse events </w:t>
      </w:r>
      <w:r w:rsidRPr="00EB2424">
        <w:rPr>
          <w:szCs w:val="22"/>
        </w:rPr>
        <w:t xml:space="preserve">and gastrointestinal adverse events </w:t>
      </w:r>
      <w:r w:rsidRPr="001E5C9E">
        <w:rPr>
          <w:szCs w:val="22"/>
        </w:rPr>
        <w:t xml:space="preserve">including diarrhoea, nausea and vomiting. </w:t>
      </w:r>
      <w:r w:rsidR="00B47BB3">
        <w:rPr>
          <w:szCs w:val="22"/>
        </w:rPr>
        <w:t xml:space="preserve"> </w:t>
      </w:r>
      <w:r w:rsidRPr="001E5C9E">
        <w:rPr>
          <w:szCs w:val="22"/>
        </w:rPr>
        <w:t>A statistically significant reduction in dyspnoea was observed</w:t>
      </w:r>
      <w:r w:rsidR="00B47BB3">
        <w:rPr>
          <w:szCs w:val="22"/>
        </w:rPr>
        <w:t>.</w:t>
      </w:r>
    </w:p>
    <w:p w:rsidR="001C07DB" w:rsidRPr="00B47BB3" w:rsidRDefault="001C07DB" w:rsidP="001C07DB">
      <w:pPr>
        <w:rPr>
          <w:szCs w:val="22"/>
        </w:rPr>
      </w:pPr>
    </w:p>
    <w:p w:rsidR="001C07DB" w:rsidRPr="001E5C9E" w:rsidRDefault="00454693" w:rsidP="001C07DB">
      <w:pPr>
        <w:widowControl/>
        <w:numPr>
          <w:ilvl w:val="1"/>
          <w:numId w:val="2"/>
        </w:numPr>
        <w:contextualSpacing/>
        <w:rPr>
          <w:szCs w:val="22"/>
        </w:rPr>
      </w:pPr>
      <w:r w:rsidRPr="001E5C9E">
        <w:rPr>
          <w:szCs w:val="22"/>
        </w:rPr>
        <w:t>The PBAC noted t</w:t>
      </w:r>
      <w:r w:rsidR="001C07DB" w:rsidRPr="001E5C9E">
        <w:rPr>
          <w:szCs w:val="22"/>
        </w:rPr>
        <w:t>here were higher incidences of thromboembolic events (</w:t>
      </w:r>
      <w:r w:rsidR="001C07DB" w:rsidRPr="00D26810">
        <w:rPr>
          <w:szCs w:val="22"/>
        </w:rPr>
        <w:t>3.8</w:t>
      </w:r>
      <w:r w:rsidR="001C07DB" w:rsidRPr="001E5C9E">
        <w:rPr>
          <w:szCs w:val="22"/>
        </w:rPr>
        <w:t xml:space="preserve">% vs </w:t>
      </w:r>
      <w:r w:rsidR="001C07DB" w:rsidRPr="00D26810">
        <w:rPr>
          <w:szCs w:val="22"/>
        </w:rPr>
        <w:t>2.4</w:t>
      </w:r>
      <w:r w:rsidR="001C07DB" w:rsidRPr="001E5C9E">
        <w:rPr>
          <w:szCs w:val="22"/>
        </w:rPr>
        <w:t xml:space="preserve">%) and hypertension (5.2% vs 4.0%) in the nintedanib treatment arms, with a statistically significant difference in arterial thromboembolic events (RR = </w:t>
      </w:r>
      <w:r w:rsidR="001C07DB" w:rsidRPr="00D26810">
        <w:rPr>
          <w:szCs w:val="22"/>
        </w:rPr>
        <w:t>3.54</w:t>
      </w:r>
      <w:r w:rsidR="001C07DB" w:rsidRPr="001E5C9E">
        <w:rPr>
          <w:szCs w:val="22"/>
        </w:rPr>
        <w:t xml:space="preserve">, 95% CI: </w:t>
      </w:r>
      <w:r w:rsidR="001C07DB" w:rsidRPr="00D26810">
        <w:rPr>
          <w:szCs w:val="22"/>
        </w:rPr>
        <w:t>1.04, 12.06</w:t>
      </w:r>
      <w:r w:rsidR="001C07DB" w:rsidRPr="001E5C9E">
        <w:rPr>
          <w:szCs w:val="22"/>
        </w:rPr>
        <w:t>).</w:t>
      </w:r>
      <w:r w:rsidR="00B47BB3">
        <w:rPr>
          <w:szCs w:val="22"/>
        </w:rPr>
        <w:t xml:space="preserve"> </w:t>
      </w:r>
      <w:r w:rsidR="001C07DB" w:rsidRPr="001E5C9E">
        <w:rPr>
          <w:szCs w:val="22"/>
        </w:rPr>
        <w:t xml:space="preserve"> No evidence was available to determine whether </w:t>
      </w:r>
      <w:r w:rsidR="001E5C9E" w:rsidRPr="001E5C9E">
        <w:rPr>
          <w:szCs w:val="22"/>
        </w:rPr>
        <w:t>these</w:t>
      </w:r>
      <w:r w:rsidR="001C07DB" w:rsidRPr="001E5C9E">
        <w:rPr>
          <w:szCs w:val="22"/>
        </w:rPr>
        <w:t xml:space="preserve"> cardiovascular/thromboembolic safety signals would have any substantial impact upon long term patient risks.</w:t>
      </w:r>
    </w:p>
    <w:p w:rsidR="003C6F17" w:rsidRDefault="003C6F17" w:rsidP="00B47BB3">
      <w:pPr>
        <w:widowControl/>
        <w:contextualSpacing/>
        <w:rPr>
          <w:szCs w:val="22"/>
        </w:rPr>
      </w:pPr>
    </w:p>
    <w:p w:rsidR="003C6F17" w:rsidRDefault="003C6F17" w:rsidP="005D3BEF">
      <w:pPr>
        <w:widowControl/>
        <w:numPr>
          <w:ilvl w:val="1"/>
          <w:numId w:val="2"/>
        </w:numPr>
        <w:contextualSpacing/>
        <w:rPr>
          <w:szCs w:val="22"/>
        </w:rPr>
      </w:pPr>
      <w:r w:rsidRPr="009E653B">
        <w:rPr>
          <w:szCs w:val="22"/>
        </w:rPr>
        <w:t>Interpretation of the indirect comparison with p</w:t>
      </w:r>
      <w:r w:rsidR="00B47BB3">
        <w:rPr>
          <w:szCs w:val="22"/>
        </w:rPr>
        <w:t>i</w:t>
      </w:r>
      <w:r w:rsidRPr="009E653B">
        <w:rPr>
          <w:szCs w:val="22"/>
        </w:rPr>
        <w:t>rfenidone</w:t>
      </w:r>
      <w:r w:rsidR="009E4E00" w:rsidRPr="009E653B">
        <w:rPr>
          <w:szCs w:val="22"/>
        </w:rPr>
        <w:t xml:space="preserve"> is difficult given the differences in the trial populations and the outcomes</w:t>
      </w:r>
      <w:r w:rsidR="00DF4155">
        <w:rPr>
          <w:szCs w:val="22"/>
        </w:rPr>
        <w:t>.</w:t>
      </w:r>
      <w:r w:rsidR="009E4E00" w:rsidRPr="009E653B">
        <w:rPr>
          <w:szCs w:val="22"/>
        </w:rPr>
        <w:t xml:space="preserve"> </w:t>
      </w:r>
      <w:r w:rsidR="00DF4155">
        <w:rPr>
          <w:szCs w:val="22"/>
        </w:rPr>
        <w:t>The network meta-analysis from Loveman et al 2015</w:t>
      </w:r>
      <w:r w:rsidR="00DF4155">
        <w:rPr>
          <w:rStyle w:val="FootnoteReference"/>
          <w:szCs w:val="22"/>
        </w:rPr>
        <w:footnoteReference w:id="4"/>
      </w:r>
      <w:r w:rsidR="00DF4155">
        <w:rPr>
          <w:szCs w:val="22"/>
        </w:rPr>
        <w:t xml:space="preserve"> suggests</w:t>
      </w:r>
      <w:r w:rsidR="009E4E00" w:rsidRPr="009E653B">
        <w:rPr>
          <w:szCs w:val="22"/>
        </w:rPr>
        <w:t xml:space="preserve"> a trend to better overall survival</w:t>
      </w:r>
      <w:r w:rsidR="000E0D25">
        <w:rPr>
          <w:szCs w:val="22"/>
        </w:rPr>
        <w:t xml:space="preserve"> for pirfenidone</w:t>
      </w:r>
      <w:r w:rsidR="00DF4155">
        <w:rPr>
          <w:szCs w:val="22"/>
        </w:rPr>
        <w:t xml:space="preserve"> </w:t>
      </w:r>
      <w:r w:rsidR="00DF4155">
        <w:t xml:space="preserve">(OR </w:t>
      </w:r>
      <w:r w:rsidR="005C79C7">
        <w:t xml:space="preserve">= </w:t>
      </w:r>
      <w:r w:rsidR="00DF4155">
        <w:t>1.39, 95% CI: 0.70, 2.82)</w:t>
      </w:r>
      <w:r w:rsidR="00FB1003">
        <w:rPr>
          <w:szCs w:val="22"/>
        </w:rPr>
        <w:t>,</w:t>
      </w:r>
      <w:r w:rsidR="009E4E00" w:rsidRPr="009E653B">
        <w:rPr>
          <w:szCs w:val="22"/>
        </w:rPr>
        <w:t xml:space="preserve"> but a </w:t>
      </w:r>
      <w:r w:rsidR="00DF4155">
        <w:rPr>
          <w:szCs w:val="22"/>
        </w:rPr>
        <w:t xml:space="preserve">superior benefit in slowing </w:t>
      </w:r>
      <w:r w:rsidR="00DF4155" w:rsidRPr="009E653B">
        <w:rPr>
          <w:szCs w:val="22"/>
        </w:rPr>
        <w:t>FVC decline</w:t>
      </w:r>
      <w:r w:rsidR="00DF4155">
        <w:rPr>
          <w:szCs w:val="22"/>
        </w:rPr>
        <w:t xml:space="preserve"> for nintedanib</w:t>
      </w:r>
      <w:r w:rsidR="00DF4155" w:rsidRPr="009E653B">
        <w:rPr>
          <w:szCs w:val="22"/>
        </w:rPr>
        <w:t xml:space="preserve"> </w:t>
      </w:r>
      <w:r w:rsidR="00DF4155" w:rsidRPr="005D3BEF">
        <w:rPr>
          <w:szCs w:val="22"/>
        </w:rPr>
        <w:t>(OR = 0.67, 95% CI: 0.51, 0.88)</w:t>
      </w:r>
      <w:r w:rsidR="00DF4155">
        <w:rPr>
          <w:szCs w:val="22"/>
        </w:rPr>
        <w:t xml:space="preserve"> and a </w:t>
      </w:r>
      <w:r w:rsidR="009E4E00" w:rsidRPr="009E653B">
        <w:rPr>
          <w:szCs w:val="22"/>
        </w:rPr>
        <w:t>trend to better prevention of exacerbations</w:t>
      </w:r>
      <w:r w:rsidR="00DF4155">
        <w:rPr>
          <w:szCs w:val="22"/>
        </w:rPr>
        <w:t xml:space="preserve"> with nintedanib (no OR provided but only nintedanib had a superior result to placebo)</w:t>
      </w:r>
      <w:r w:rsidR="009E4E00" w:rsidRPr="009E653B">
        <w:rPr>
          <w:szCs w:val="22"/>
        </w:rPr>
        <w:t xml:space="preserve">. </w:t>
      </w:r>
      <w:r w:rsidR="00B47BB3">
        <w:rPr>
          <w:szCs w:val="22"/>
        </w:rPr>
        <w:t xml:space="preserve"> </w:t>
      </w:r>
      <w:r w:rsidR="009E4E00" w:rsidRPr="009E653B">
        <w:rPr>
          <w:szCs w:val="22"/>
        </w:rPr>
        <w:t xml:space="preserve">However, PBAC considered </w:t>
      </w:r>
      <w:r w:rsidR="00942520" w:rsidRPr="009E653B">
        <w:rPr>
          <w:szCs w:val="22"/>
        </w:rPr>
        <w:t>both drugs are likely to be similarly clinically effective</w:t>
      </w:r>
      <w:r w:rsidR="009E653B" w:rsidRPr="009E653B">
        <w:rPr>
          <w:szCs w:val="22"/>
        </w:rPr>
        <w:t>.</w:t>
      </w:r>
    </w:p>
    <w:p w:rsidR="009E653B" w:rsidRPr="00B47BB3" w:rsidRDefault="009E653B" w:rsidP="009E653B">
      <w:pPr>
        <w:rPr>
          <w:szCs w:val="22"/>
        </w:rPr>
      </w:pPr>
    </w:p>
    <w:p w:rsidR="009A2192" w:rsidRDefault="009E653B" w:rsidP="00B878B5">
      <w:pPr>
        <w:widowControl/>
        <w:numPr>
          <w:ilvl w:val="1"/>
          <w:numId w:val="2"/>
        </w:numPr>
        <w:rPr>
          <w:szCs w:val="22"/>
        </w:rPr>
      </w:pPr>
      <w:r w:rsidRPr="0038576A">
        <w:rPr>
          <w:szCs w:val="22"/>
        </w:rPr>
        <w:t xml:space="preserve">The PBAC noted the revisions to the economic model only partially adopted advice from the March 2015 PBAC. </w:t>
      </w:r>
      <w:r w:rsidR="00B47BB3">
        <w:rPr>
          <w:szCs w:val="22"/>
        </w:rPr>
        <w:t xml:space="preserve"> </w:t>
      </w:r>
      <w:r w:rsidRPr="0038576A">
        <w:rPr>
          <w:szCs w:val="22"/>
        </w:rPr>
        <w:t xml:space="preserve">The </w:t>
      </w:r>
      <w:r w:rsidR="00AC1B1C">
        <w:rPr>
          <w:szCs w:val="22"/>
        </w:rPr>
        <w:t xml:space="preserve">PBAC accepted the arguments relating to </w:t>
      </w:r>
      <w:r w:rsidR="0038576A" w:rsidRPr="0038576A">
        <w:rPr>
          <w:szCs w:val="22"/>
        </w:rPr>
        <w:t xml:space="preserve">time horizon and </w:t>
      </w:r>
      <w:r w:rsidRPr="0038576A">
        <w:rPr>
          <w:szCs w:val="22"/>
        </w:rPr>
        <w:t xml:space="preserve">methodology for extrapolation </w:t>
      </w:r>
      <w:r w:rsidR="0038576A" w:rsidRPr="0038576A">
        <w:rPr>
          <w:szCs w:val="22"/>
        </w:rPr>
        <w:t xml:space="preserve">in the </w:t>
      </w:r>
      <w:r w:rsidRPr="0038576A">
        <w:rPr>
          <w:szCs w:val="22"/>
        </w:rPr>
        <w:t>pre-PBAC response</w:t>
      </w:r>
      <w:r w:rsidR="0038576A" w:rsidRPr="0038576A">
        <w:rPr>
          <w:szCs w:val="22"/>
        </w:rPr>
        <w:t xml:space="preserve"> (p2</w:t>
      </w:r>
      <w:r w:rsidR="009A2192">
        <w:rPr>
          <w:szCs w:val="22"/>
        </w:rPr>
        <w:t>-3</w:t>
      </w:r>
      <w:r w:rsidR="0038576A" w:rsidRPr="0038576A">
        <w:rPr>
          <w:szCs w:val="22"/>
        </w:rPr>
        <w:t>)</w:t>
      </w:r>
      <w:r w:rsidRPr="0038576A">
        <w:rPr>
          <w:szCs w:val="22"/>
        </w:rPr>
        <w:t xml:space="preserve"> </w:t>
      </w:r>
      <w:r w:rsidR="009A2192">
        <w:rPr>
          <w:szCs w:val="22"/>
        </w:rPr>
        <w:t xml:space="preserve">as the suggested approach for </w:t>
      </w:r>
      <w:r w:rsidR="0038576A" w:rsidRPr="0038576A">
        <w:rPr>
          <w:szCs w:val="22"/>
        </w:rPr>
        <w:t>extrapo</w:t>
      </w:r>
      <w:r w:rsidR="009A2192">
        <w:rPr>
          <w:szCs w:val="22"/>
        </w:rPr>
        <w:t>lation beyond the trial period wa</w:t>
      </w:r>
      <w:r w:rsidR="0038576A" w:rsidRPr="0038576A">
        <w:rPr>
          <w:szCs w:val="22"/>
        </w:rPr>
        <w:t>s not supported by the additional long</w:t>
      </w:r>
      <w:r w:rsidR="000E0D25">
        <w:rPr>
          <w:szCs w:val="22"/>
        </w:rPr>
        <w:t>-</w:t>
      </w:r>
      <w:r w:rsidR="0038576A" w:rsidRPr="0038576A">
        <w:rPr>
          <w:szCs w:val="22"/>
        </w:rPr>
        <w:t xml:space="preserve">term efficacy data </w:t>
      </w:r>
      <w:r w:rsidR="009A2192" w:rsidRPr="009A2192">
        <w:rPr>
          <w:szCs w:val="22"/>
        </w:rPr>
        <w:t>from Trial 30</w:t>
      </w:r>
      <w:r w:rsidR="0038576A" w:rsidRPr="0038576A">
        <w:rPr>
          <w:szCs w:val="22"/>
        </w:rPr>
        <w:t xml:space="preserve">, which showed a statistically significant difference in FVC rate of decline (mL/year) over 80 weeks. </w:t>
      </w:r>
      <w:r w:rsidR="00B47BB3">
        <w:rPr>
          <w:szCs w:val="22"/>
        </w:rPr>
        <w:t xml:space="preserve"> </w:t>
      </w:r>
      <w:r w:rsidR="009A2192">
        <w:rPr>
          <w:szCs w:val="22"/>
        </w:rPr>
        <w:t xml:space="preserve">The Pre-PBAC response (p3) also noted ESC’s concern that </w:t>
      </w:r>
      <w:r w:rsidR="009A2192" w:rsidRPr="009A2192">
        <w:rPr>
          <w:szCs w:val="22"/>
        </w:rPr>
        <w:t>the additional follow-up data from</w:t>
      </w:r>
      <w:r w:rsidR="009A2192">
        <w:rPr>
          <w:szCs w:val="22"/>
        </w:rPr>
        <w:t xml:space="preserve"> Trial 30 over 80 weeks suggest</w:t>
      </w:r>
      <w:r w:rsidR="009A2192" w:rsidRPr="009A2192">
        <w:rPr>
          <w:szCs w:val="22"/>
        </w:rPr>
        <w:t xml:space="preserve"> a reduction in difference in the annual rate of decline in FVC between nintedanib and placebo over the longer period</w:t>
      </w:r>
      <w:r w:rsidR="009A2192">
        <w:rPr>
          <w:szCs w:val="22"/>
        </w:rPr>
        <w:t xml:space="preserve"> </w:t>
      </w:r>
      <w:r w:rsidR="009A2192" w:rsidRPr="009E653B">
        <w:rPr>
          <w:szCs w:val="22"/>
        </w:rPr>
        <w:t>and have incorporated this</w:t>
      </w:r>
      <w:r w:rsidR="009A2192">
        <w:rPr>
          <w:szCs w:val="22"/>
        </w:rPr>
        <w:t xml:space="preserve"> into the model</w:t>
      </w:r>
      <w:r w:rsidR="009A2192" w:rsidRPr="009E653B">
        <w:rPr>
          <w:szCs w:val="22"/>
        </w:rPr>
        <w:t xml:space="preserve">, </w:t>
      </w:r>
      <w:r w:rsidR="009A2192">
        <w:rPr>
          <w:szCs w:val="22"/>
        </w:rPr>
        <w:t>resulting in an</w:t>
      </w:r>
      <w:r w:rsidR="009A2192" w:rsidRPr="009E653B">
        <w:rPr>
          <w:szCs w:val="22"/>
        </w:rPr>
        <w:t xml:space="preserve"> ICER </w:t>
      </w:r>
      <w:r w:rsidR="009A2192">
        <w:rPr>
          <w:szCs w:val="22"/>
        </w:rPr>
        <w:t>of approximately</w:t>
      </w:r>
      <w:r w:rsidR="009A2192" w:rsidRPr="009E653B">
        <w:rPr>
          <w:szCs w:val="22"/>
        </w:rPr>
        <w:t xml:space="preserve"> </w:t>
      </w:r>
      <w:r w:rsidR="00B878B5" w:rsidRPr="00B878B5">
        <w:rPr>
          <w:szCs w:val="22"/>
        </w:rPr>
        <w:t>$75,000</w:t>
      </w:r>
      <w:r w:rsidR="006B7D98">
        <w:rPr>
          <w:szCs w:val="22"/>
        </w:rPr>
        <w:t xml:space="preserve">/QALY </w:t>
      </w:r>
      <w:r w:rsidR="00B878B5" w:rsidRPr="00B878B5">
        <w:rPr>
          <w:szCs w:val="22"/>
        </w:rPr>
        <w:t>- $105,000</w:t>
      </w:r>
      <w:r w:rsidR="009A2192">
        <w:rPr>
          <w:szCs w:val="22"/>
        </w:rPr>
        <w:t xml:space="preserve">/QALY, up from an </w:t>
      </w:r>
      <w:r w:rsidR="009A2192">
        <w:t xml:space="preserve">estimated base case ICER of </w:t>
      </w:r>
      <w:r w:rsidR="00B878B5" w:rsidRPr="00B878B5">
        <w:t>$75,000</w:t>
      </w:r>
      <w:r w:rsidR="006B7D98">
        <w:t xml:space="preserve">/QALY </w:t>
      </w:r>
      <w:r w:rsidR="00B878B5" w:rsidRPr="00B878B5">
        <w:t>- $105,000</w:t>
      </w:r>
      <w:r w:rsidR="009A2192">
        <w:t>/QALY</w:t>
      </w:r>
      <w:r w:rsidR="00B47BB3">
        <w:rPr>
          <w:szCs w:val="22"/>
        </w:rPr>
        <w:t>.</w:t>
      </w:r>
    </w:p>
    <w:p w:rsidR="009A2192" w:rsidRPr="00B47BB3" w:rsidRDefault="009A2192" w:rsidP="009A2192">
      <w:pPr>
        <w:rPr>
          <w:szCs w:val="22"/>
        </w:rPr>
      </w:pPr>
    </w:p>
    <w:p w:rsidR="001F14DC" w:rsidRDefault="009A2192" w:rsidP="00B878B5">
      <w:pPr>
        <w:pStyle w:val="ListParagraph"/>
        <w:numPr>
          <w:ilvl w:val="1"/>
          <w:numId w:val="2"/>
        </w:numPr>
        <w:rPr>
          <w:szCs w:val="22"/>
        </w:rPr>
      </w:pPr>
      <w:r w:rsidRPr="001F14DC">
        <w:rPr>
          <w:szCs w:val="22"/>
        </w:rPr>
        <w:t xml:space="preserve">The above ICERs </w:t>
      </w:r>
      <w:r w:rsidR="001F14DC">
        <w:rPr>
          <w:szCs w:val="22"/>
        </w:rPr>
        <w:t xml:space="preserve">use a weighted effective price for nintedanib of </w:t>
      </w:r>
      <w:r w:rsidR="001F14DC" w:rsidRPr="001F14DC">
        <w:rPr>
          <w:szCs w:val="22"/>
        </w:rPr>
        <w:t>$</w:t>
      </w:r>
      <w:r w:rsidR="00F146E1">
        <w:rPr>
          <w:noProof/>
          <w:color w:val="000000"/>
          <w:szCs w:val="22"/>
          <w:highlight w:val="black"/>
        </w:rPr>
        <w:t>''''''''''''''</w:t>
      </w:r>
      <w:r w:rsidR="001F14DC" w:rsidRPr="001F14DC">
        <w:rPr>
          <w:szCs w:val="22"/>
        </w:rPr>
        <w:t>/day</w:t>
      </w:r>
      <w:r w:rsidRPr="001F14DC">
        <w:rPr>
          <w:szCs w:val="22"/>
        </w:rPr>
        <w:t xml:space="preserve"> </w:t>
      </w:r>
      <w:r w:rsidR="001F14DC" w:rsidRPr="001F14DC">
        <w:rPr>
          <w:szCs w:val="22"/>
        </w:rPr>
        <w:t xml:space="preserve">based on the proposed RSA which adjusts the price by applying a cap on expenditure beyond the March 2015 predictions of utilisation. </w:t>
      </w:r>
      <w:r w:rsidR="00B47BB3">
        <w:rPr>
          <w:szCs w:val="22"/>
        </w:rPr>
        <w:t xml:space="preserve"> The </w:t>
      </w:r>
      <w:r w:rsidR="001F14DC">
        <w:rPr>
          <w:szCs w:val="22"/>
        </w:rPr>
        <w:t>PB</w:t>
      </w:r>
      <w:r w:rsidR="004821C7">
        <w:rPr>
          <w:szCs w:val="22"/>
        </w:rPr>
        <w:t>A</w:t>
      </w:r>
      <w:r w:rsidR="001F14DC">
        <w:rPr>
          <w:szCs w:val="22"/>
        </w:rPr>
        <w:t xml:space="preserve">C agreed with </w:t>
      </w:r>
      <w:r w:rsidR="00B47BB3">
        <w:rPr>
          <w:szCs w:val="22"/>
        </w:rPr>
        <w:t xml:space="preserve">the </w:t>
      </w:r>
      <w:r w:rsidR="001F14DC">
        <w:rPr>
          <w:szCs w:val="22"/>
        </w:rPr>
        <w:t xml:space="preserve">ESC that this was inappropriate. </w:t>
      </w:r>
      <w:r w:rsidR="00B47BB3">
        <w:rPr>
          <w:szCs w:val="22"/>
        </w:rPr>
        <w:t xml:space="preserve"> </w:t>
      </w:r>
      <w:r w:rsidR="001F14DC">
        <w:rPr>
          <w:szCs w:val="22"/>
        </w:rPr>
        <w:t>Removal of the RSA from the price result</w:t>
      </w:r>
      <w:r w:rsidR="00AC1B1C">
        <w:rPr>
          <w:szCs w:val="22"/>
        </w:rPr>
        <w:t>ed</w:t>
      </w:r>
      <w:r w:rsidR="001F14DC">
        <w:rPr>
          <w:szCs w:val="22"/>
        </w:rPr>
        <w:t xml:space="preserve"> in </w:t>
      </w:r>
      <w:r w:rsidR="001F14DC" w:rsidRPr="001F14DC">
        <w:rPr>
          <w:szCs w:val="22"/>
        </w:rPr>
        <w:t>$</w:t>
      </w:r>
      <w:r w:rsidR="00F146E1">
        <w:rPr>
          <w:noProof/>
          <w:color w:val="000000"/>
          <w:szCs w:val="22"/>
          <w:highlight w:val="black"/>
        </w:rPr>
        <w:t>'''''''''''''</w:t>
      </w:r>
      <w:r w:rsidR="001F14DC" w:rsidRPr="001F14DC">
        <w:rPr>
          <w:szCs w:val="22"/>
        </w:rPr>
        <w:t xml:space="preserve">/day </w:t>
      </w:r>
      <w:r w:rsidR="001F14DC">
        <w:rPr>
          <w:szCs w:val="22"/>
        </w:rPr>
        <w:t xml:space="preserve">and an ICER of </w:t>
      </w:r>
      <w:r w:rsidR="00B878B5" w:rsidRPr="00B878B5">
        <w:rPr>
          <w:szCs w:val="22"/>
        </w:rPr>
        <w:t>$105,000</w:t>
      </w:r>
      <w:r w:rsidR="00837F27">
        <w:rPr>
          <w:szCs w:val="22"/>
        </w:rPr>
        <w:t>/QALY</w:t>
      </w:r>
      <w:r w:rsidR="00B878B5" w:rsidRPr="00B878B5">
        <w:rPr>
          <w:szCs w:val="22"/>
        </w:rPr>
        <w:t xml:space="preserve"> – $200,000</w:t>
      </w:r>
      <w:r w:rsidR="00230B12">
        <w:rPr>
          <w:szCs w:val="22"/>
        </w:rPr>
        <w:t xml:space="preserve">/QALY compared to </w:t>
      </w:r>
      <w:r w:rsidR="00B878B5" w:rsidRPr="00B878B5">
        <w:rPr>
          <w:szCs w:val="22"/>
        </w:rPr>
        <w:t>$75,000</w:t>
      </w:r>
      <w:r w:rsidR="00837F27">
        <w:rPr>
          <w:szCs w:val="22"/>
        </w:rPr>
        <w:t xml:space="preserve">/QALY </w:t>
      </w:r>
      <w:r w:rsidR="00B878B5" w:rsidRPr="00B878B5">
        <w:rPr>
          <w:szCs w:val="22"/>
        </w:rPr>
        <w:t>- $105,000</w:t>
      </w:r>
      <w:r w:rsidR="001F14DC">
        <w:rPr>
          <w:szCs w:val="22"/>
        </w:rPr>
        <w:t>/QALY.</w:t>
      </w:r>
      <w:r w:rsidR="00B47BB3">
        <w:rPr>
          <w:szCs w:val="22"/>
        </w:rPr>
        <w:t xml:space="preserve"> </w:t>
      </w:r>
      <w:r w:rsidR="001F14DC">
        <w:rPr>
          <w:szCs w:val="22"/>
        </w:rPr>
        <w:t xml:space="preserve"> The PBAC considered any effective price used in the model cannot be based on the RSA propos</w:t>
      </w:r>
      <w:r w:rsidR="00AC1B1C">
        <w:rPr>
          <w:szCs w:val="22"/>
        </w:rPr>
        <w:t>al</w:t>
      </w:r>
      <w:r w:rsidR="001F14DC">
        <w:rPr>
          <w:szCs w:val="22"/>
        </w:rPr>
        <w:t xml:space="preserve"> to cap expenditure.</w:t>
      </w:r>
    </w:p>
    <w:p w:rsidR="001F14DC" w:rsidRPr="00B47BB3" w:rsidRDefault="001F14DC" w:rsidP="001F14DC">
      <w:pPr>
        <w:rPr>
          <w:szCs w:val="22"/>
        </w:rPr>
      </w:pPr>
    </w:p>
    <w:p w:rsidR="00BD472A" w:rsidRDefault="001F14DC" w:rsidP="00BD472A">
      <w:pPr>
        <w:widowControl/>
        <w:numPr>
          <w:ilvl w:val="1"/>
          <w:numId w:val="2"/>
        </w:numPr>
        <w:rPr>
          <w:szCs w:val="22"/>
        </w:rPr>
      </w:pPr>
      <w:r>
        <w:rPr>
          <w:szCs w:val="22"/>
        </w:rPr>
        <w:t>The PBAC also noted the m</w:t>
      </w:r>
      <w:r w:rsidR="009E653B" w:rsidRPr="009A2192">
        <w:rPr>
          <w:szCs w:val="22"/>
        </w:rPr>
        <w:t xml:space="preserve">odel </w:t>
      </w:r>
      <w:r w:rsidR="00AC1B1C">
        <w:rPr>
          <w:szCs w:val="22"/>
        </w:rPr>
        <w:t>wa</w:t>
      </w:r>
      <w:r w:rsidR="009E653B" w:rsidRPr="009A2192">
        <w:rPr>
          <w:szCs w:val="22"/>
        </w:rPr>
        <w:t>s very sen</w:t>
      </w:r>
      <w:r w:rsidR="00AC1B1C">
        <w:rPr>
          <w:szCs w:val="22"/>
        </w:rPr>
        <w:t>sitive to the estimates of long-</w:t>
      </w:r>
      <w:r w:rsidR="009E653B" w:rsidRPr="009A2192">
        <w:rPr>
          <w:szCs w:val="22"/>
        </w:rPr>
        <w:t>term survival</w:t>
      </w:r>
      <w:r w:rsidR="00B47BB3">
        <w:rPr>
          <w:szCs w:val="22"/>
        </w:rPr>
        <w:t>.</w:t>
      </w:r>
    </w:p>
    <w:p w:rsidR="00BD472A" w:rsidRPr="00B47BB3" w:rsidRDefault="00BD472A" w:rsidP="00BD472A">
      <w:pPr>
        <w:rPr>
          <w:szCs w:val="22"/>
        </w:rPr>
      </w:pPr>
    </w:p>
    <w:p w:rsidR="00C440C2" w:rsidRPr="00BD472A" w:rsidRDefault="00BD472A" w:rsidP="00BD472A">
      <w:pPr>
        <w:widowControl/>
        <w:numPr>
          <w:ilvl w:val="1"/>
          <w:numId w:val="2"/>
        </w:numPr>
        <w:rPr>
          <w:szCs w:val="22"/>
        </w:rPr>
      </w:pPr>
      <w:r>
        <w:rPr>
          <w:szCs w:val="22"/>
        </w:rPr>
        <w:t xml:space="preserve">The </w:t>
      </w:r>
      <w:r w:rsidR="00FC3ECC">
        <w:rPr>
          <w:szCs w:val="22"/>
        </w:rPr>
        <w:t xml:space="preserve">cost-effectiveness of the </w:t>
      </w:r>
      <w:r w:rsidR="00AC1B1C">
        <w:rPr>
          <w:szCs w:val="22"/>
        </w:rPr>
        <w:t>assumed long-</w:t>
      </w:r>
      <w:r>
        <w:rPr>
          <w:szCs w:val="22"/>
        </w:rPr>
        <w:t xml:space="preserve">term benefit of nintedanib may be partially supported by effective implementation of the </w:t>
      </w:r>
      <w:r w:rsidR="00AC1B1C">
        <w:rPr>
          <w:szCs w:val="22"/>
        </w:rPr>
        <w:t>conti</w:t>
      </w:r>
      <w:r w:rsidR="00900E4D">
        <w:rPr>
          <w:szCs w:val="22"/>
        </w:rPr>
        <w:t>n</w:t>
      </w:r>
      <w:r w:rsidR="00AC1B1C">
        <w:rPr>
          <w:szCs w:val="22"/>
        </w:rPr>
        <w:t>uation</w:t>
      </w:r>
      <w:r>
        <w:rPr>
          <w:szCs w:val="22"/>
        </w:rPr>
        <w:t xml:space="preserve"> rule, as subsidised treatment would not continue for those patients with FVC%Pred deteriorating </w:t>
      </w:r>
      <w:r w:rsidRPr="0032687A">
        <w:rPr>
          <w:szCs w:val="22"/>
        </w:rPr>
        <w:t>10% or more within any 12-month period</w:t>
      </w:r>
      <w:r>
        <w:rPr>
          <w:szCs w:val="22"/>
        </w:rPr>
        <w:t xml:space="preserve">. </w:t>
      </w:r>
      <w:r w:rsidR="00AC1B1C">
        <w:rPr>
          <w:szCs w:val="22"/>
        </w:rPr>
        <w:t xml:space="preserve"> </w:t>
      </w:r>
      <w:r>
        <w:rPr>
          <w:szCs w:val="22"/>
        </w:rPr>
        <w:t xml:space="preserve">The PBAC </w:t>
      </w:r>
      <w:r w:rsidR="00AC1B1C">
        <w:rPr>
          <w:szCs w:val="22"/>
        </w:rPr>
        <w:t xml:space="preserve">proposed that </w:t>
      </w:r>
      <w:r>
        <w:rPr>
          <w:szCs w:val="22"/>
        </w:rPr>
        <w:t xml:space="preserve">the sponsor consider how the use of the </w:t>
      </w:r>
      <w:r w:rsidR="00AC1B1C">
        <w:rPr>
          <w:szCs w:val="22"/>
        </w:rPr>
        <w:t>continuation</w:t>
      </w:r>
      <w:r>
        <w:rPr>
          <w:szCs w:val="22"/>
        </w:rPr>
        <w:t xml:space="preserve"> rule may impact on the ICER and discuss further with the Department of Health how the benefits of treatment may be monitored in practice and the price potentially aligned to reflect a pay for performance scenario.</w:t>
      </w:r>
    </w:p>
    <w:p w:rsidR="006B326B" w:rsidRPr="006B326B" w:rsidRDefault="006B326B" w:rsidP="006B326B"/>
    <w:p w:rsidR="00586105" w:rsidRDefault="00586105" w:rsidP="008A3078">
      <w:pPr>
        <w:pStyle w:val="Heading2"/>
      </w:pPr>
      <w:r w:rsidRPr="00586105">
        <w:t>Outcome</w:t>
      </w:r>
      <w:r>
        <w:t>:</w:t>
      </w:r>
    </w:p>
    <w:p w:rsidR="00127509" w:rsidRDefault="00586105" w:rsidP="00147F8F">
      <w:pPr>
        <w:widowControl/>
        <w:jc w:val="left"/>
        <w:rPr>
          <w:szCs w:val="22"/>
        </w:rPr>
      </w:pPr>
      <w:r w:rsidRPr="00586105">
        <w:rPr>
          <w:szCs w:val="22"/>
        </w:rPr>
        <w:t>Deferred</w:t>
      </w:r>
    </w:p>
    <w:p w:rsidR="006818F4" w:rsidRDefault="006818F4" w:rsidP="00147F8F">
      <w:pPr>
        <w:widowControl/>
        <w:jc w:val="left"/>
        <w:rPr>
          <w:szCs w:val="22"/>
        </w:rPr>
      </w:pPr>
    </w:p>
    <w:p w:rsidR="008A3078" w:rsidRDefault="008A3078" w:rsidP="00147F8F">
      <w:pPr>
        <w:widowControl/>
        <w:jc w:val="left"/>
        <w:rPr>
          <w:szCs w:val="22"/>
        </w:rPr>
      </w:pPr>
    </w:p>
    <w:p w:rsidR="006818F4" w:rsidRDefault="006818F4" w:rsidP="008A3078">
      <w:pPr>
        <w:pStyle w:val="Heading1"/>
        <w:rPr>
          <w:rFonts w:eastAsia="SimSun"/>
        </w:rPr>
      </w:pPr>
      <w:r>
        <w:rPr>
          <w:rFonts w:eastAsia="SimSun"/>
        </w:rPr>
        <w:t>Context for Decision</w:t>
      </w:r>
    </w:p>
    <w:p w:rsidR="006818F4" w:rsidRDefault="006818F4" w:rsidP="006818F4">
      <w:pPr>
        <w:ind w:left="720"/>
        <w:contextualSpacing/>
        <w:rPr>
          <w:b/>
        </w:rPr>
      </w:pPr>
    </w:p>
    <w:p w:rsidR="006818F4" w:rsidRDefault="006818F4" w:rsidP="006818F4">
      <w:pPr>
        <w:ind w:left="720"/>
        <w:rPr>
          <w:bCs/>
          <w:szCs w:val="22"/>
        </w:rPr>
      </w:pPr>
      <w:r>
        <w:rPr>
          <w:bCs/>
          <w:szCs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6818F4" w:rsidRDefault="006818F4" w:rsidP="006818F4"/>
    <w:p w:rsidR="008A3078" w:rsidRDefault="008A3078" w:rsidP="006818F4"/>
    <w:p w:rsidR="006818F4" w:rsidRDefault="006818F4" w:rsidP="008A3078">
      <w:pPr>
        <w:pStyle w:val="Heading1"/>
        <w:rPr>
          <w:rFonts w:eastAsia="SimSun"/>
        </w:rPr>
      </w:pPr>
      <w:r>
        <w:rPr>
          <w:rFonts w:eastAsia="SimSun"/>
        </w:rPr>
        <w:t>Sponsor’s Comment</w:t>
      </w:r>
    </w:p>
    <w:p w:rsidR="00117433" w:rsidRPr="00117433" w:rsidRDefault="00117433" w:rsidP="00117433">
      <w:pPr>
        <w:pStyle w:val="ListParagraph"/>
        <w:widowControl/>
        <w:rPr>
          <w:rFonts w:eastAsia="SimSun"/>
          <w:szCs w:val="22"/>
        </w:rPr>
      </w:pPr>
      <w:r>
        <w:rPr>
          <w:rFonts w:eastAsia="SimSun"/>
          <w:szCs w:val="22"/>
        </w:rPr>
        <w:t xml:space="preserve">The Sponsor had no comment. </w:t>
      </w:r>
    </w:p>
    <w:p w:rsidR="006818F4" w:rsidRDefault="006818F4" w:rsidP="006818F4">
      <w:pPr>
        <w:tabs>
          <w:tab w:val="left" w:pos="2940"/>
        </w:tabs>
        <w:rPr>
          <w:szCs w:val="22"/>
        </w:rPr>
      </w:pPr>
    </w:p>
    <w:p w:rsidR="006818F4" w:rsidRDefault="006818F4" w:rsidP="006818F4">
      <w:pPr>
        <w:rPr>
          <w:szCs w:val="22"/>
        </w:rPr>
      </w:pPr>
    </w:p>
    <w:p w:rsidR="006818F4" w:rsidRPr="00147F8F" w:rsidRDefault="006818F4" w:rsidP="00147F8F">
      <w:pPr>
        <w:widowControl/>
        <w:jc w:val="left"/>
        <w:rPr>
          <w:bCs/>
          <w:szCs w:val="22"/>
        </w:rPr>
      </w:pPr>
    </w:p>
    <w:sectPr w:rsidR="006818F4" w:rsidRPr="00147F8F" w:rsidSect="006B326B">
      <w:headerReference w:type="even" r:id="rId11"/>
      <w:headerReference w:type="default" r:id="rId12"/>
      <w:footerReference w:type="even" r:id="rId13"/>
      <w:footerReference w:type="default" r:id="rId14"/>
      <w:headerReference w:type="first" r:id="rId15"/>
      <w:footerReference w:type="first" r:id="rId16"/>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46E1" w:rsidRDefault="00F146E1" w:rsidP="00124A51">
      <w:r>
        <w:separator/>
      </w:r>
    </w:p>
  </w:endnote>
  <w:endnote w:type="continuationSeparator" w:id="0">
    <w:p w:rsidR="00F146E1" w:rsidRDefault="00F146E1"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6E1" w:rsidRDefault="00F146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4829489"/>
      <w:docPartObj>
        <w:docPartGallery w:val="Page Numbers (Bottom of Page)"/>
        <w:docPartUnique/>
      </w:docPartObj>
    </w:sdtPr>
    <w:sdtEndPr>
      <w:rPr>
        <w:noProof/>
      </w:rPr>
    </w:sdtEndPr>
    <w:sdtContent>
      <w:p w:rsidR="00F146E1" w:rsidRDefault="00F146E1">
        <w:pPr>
          <w:pStyle w:val="Footer"/>
          <w:jc w:val="center"/>
        </w:pPr>
        <w:r>
          <w:fldChar w:fldCharType="begin"/>
        </w:r>
        <w:r>
          <w:instrText xml:space="preserve"> PAGE   \* MERGEFORMAT </w:instrText>
        </w:r>
        <w:r>
          <w:fldChar w:fldCharType="separate"/>
        </w:r>
        <w:r w:rsidR="005F11C2">
          <w:rPr>
            <w:noProof/>
          </w:rPr>
          <w:t>19</w:t>
        </w:r>
        <w:r>
          <w:rPr>
            <w:noProof/>
          </w:rPr>
          <w:fldChar w:fldCharType="end"/>
        </w:r>
      </w:p>
    </w:sdtContent>
  </w:sdt>
  <w:p w:rsidR="00F146E1" w:rsidRDefault="00F146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6E1" w:rsidRDefault="00F146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46E1" w:rsidRDefault="00F146E1" w:rsidP="00124A51">
      <w:r>
        <w:separator/>
      </w:r>
    </w:p>
  </w:footnote>
  <w:footnote w:type="continuationSeparator" w:id="0">
    <w:p w:rsidR="00F146E1" w:rsidRDefault="00F146E1" w:rsidP="00124A51">
      <w:r>
        <w:continuationSeparator/>
      </w:r>
    </w:p>
  </w:footnote>
  <w:footnote w:id="1">
    <w:p w:rsidR="00F146E1" w:rsidRPr="00DF4155" w:rsidRDefault="00F146E1">
      <w:pPr>
        <w:pStyle w:val="FootnoteText"/>
        <w:rPr>
          <w:rFonts w:ascii="Arial Narrow" w:hAnsi="Arial Narrow"/>
        </w:rPr>
      </w:pPr>
      <w:r w:rsidRPr="00DF4155">
        <w:rPr>
          <w:rStyle w:val="FootnoteReference"/>
          <w:rFonts w:ascii="Arial Narrow" w:hAnsi="Arial Narrow"/>
        </w:rPr>
        <w:footnoteRef/>
      </w:r>
      <w:r w:rsidRPr="00DF4155">
        <w:rPr>
          <w:rFonts w:ascii="Arial Narrow" w:hAnsi="Arial Narrow"/>
        </w:rPr>
        <w:t xml:space="preserve"> Loveman E, Copley VR, Scott DA, Colquitt JL, Clegg AJ and O’Reilly. Comparing new treatments for idiopathic pulmonary fibrosis-a network meta-analysis. BMC Pulmonary Medicine, 2015; 15:37.</w:t>
      </w:r>
    </w:p>
  </w:footnote>
  <w:footnote w:id="2">
    <w:p w:rsidR="00F146E1" w:rsidRDefault="00F146E1" w:rsidP="009532CF">
      <w:pPr>
        <w:pStyle w:val="FootnoteText"/>
      </w:pPr>
      <w:r>
        <w:rPr>
          <w:rStyle w:val="FootnoteReference"/>
        </w:rPr>
        <w:footnoteRef/>
      </w:r>
      <w:r>
        <w:t xml:space="preserve"> </w:t>
      </w:r>
      <w:r w:rsidRPr="00CF1389">
        <w:rPr>
          <w:rFonts w:ascii="Arial Narrow" w:hAnsi="Arial Narrow"/>
        </w:rPr>
        <w:t>Karimi-Shah BA, Chowdhury BA. Forced vital capacity in idiopathic pulmonary fibrosis--FDA review of pirfenidone and nintedanib. The New England Journal of Medicine. 2015;372(13):1189-91</w:t>
      </w:r>
    </w:p>
    <w:p w:rsidR="00F146E1" w:rsidRDefault="00F146E1" w:rsidP="009532CF">
      <w:pPr>
        <w:pStyle w:val="FootnoteText"/>
      </w:pPr>
    </w:p>
  </w:footnote>
  <w:footnote w:id="3">
    <w:p w:rsidR="00F146E1" w:rsidRDefault="00F146E1" w:rsidP="00B86D7D">
      <w:pPr>
        <w:pStyle w:val="FootnoteText"/>
      </w:pPr>
      <w:r>
        <w:rPr>
          <w:rStyle w:val="FootnoteReference"/>
        </w:rPr>
        <w:footnoteRef/>
      </w:r>
      <w:r w:rsidRPr="00486AC3">
        <w:rPr>
          <w:lang w:val="pl-PL"/>
        </w:rPr>
        <w:t xml:space="preserve"> </w:t>
      </w:r>
      <w:r w:rsidRPr="00486AC3">
        <w:rPr>
          <w:rFonts w:ascii="Arial Narrow" w:hAnsi="Arial Narrow"/>
          <w:lang w:val="pl-PL"/>
        </w:rPr>
        <w:t xml:space="preserve">Karimi-Shah BA, Chowdhury BA. </w:t>
      </w:r>
      <w:r w:rsidRPr="00CF1389">
        <w:rPr>
          <w:rFonts w:ascii="Arial Narrow" w:hAnsi="Arial Narrow"/>
        </w:rPr>
        <w:t>Forced vital capacity in idiopathic pulmonary fibrosis--FDA review of pirfenidone and nintedanib. The New England Journal of Medicine. 2015;372(13):1189-91</w:t>
      </w:r>
    </w:p>
    <w:p w:rsidR="00F146E1" w:rsidRDefault="00F146E1" w:rsidP="00B86D7D">
      <w:pPr>
        <w:pStyle w:val="FootnoteText"/>
      </w:pPr>
    </w:p>
  </w:footnote>
  <w:footnote w:id="4">
    <w:p w:rsidR="00F146E1" w:rsidRPr="00DF4155" w:rsidRDefault="00F146E1">
      <w:pPr>
        <w:pStyle w:val="FootnoteText"/>
        <w:rPr>
          <w:rFonts w:ascii="Arial Narrow" w:hAnsi="Arial Narrow"/>
        </w:rPr>
      </w:pPr>
      <w:r w:rsidRPr="00DF4155">
        <w:rPr>
          <w:rStyle w:val="FootnoteReference"/>
          <w:rFonts w:ascii="Arial Narrow" w:hAnsi="Arial Narrow"/>
        </w:rPr>
        <w:footnoteRef/>
      </w:r>
      <w:r w:rsidRPr="00DF4155">
        <w:rPr>
          <w:rFonts w:ascii="Arial Narrow" w:hAnsi="Arial Narrow"/>
        </w:rPr>
        <w:t xml:space="preserve"> Loveman E, Copley VR, Scott DA, Colquitt JL, Clegg AJ and O’Reilly. Comparing new treatments for idiopathic pulmonary fibrosis-a network meta-analysis. BMC Pulmonary Medicine, 2015; 15:37.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6E1" w:rsidRDefault="00F146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6E1" w:rsidRPr="0026108E" w:rsidRDefault="00F146E1" w:rsidP="0026108E">
    <w:pPr>
      <w:widowControl/>
      <w:tabs>
        <w:tab w:val="center" w:pos="4153"/>
        <w:tab w:val="right" w:pos="8306"/>
      </w:tabs>
      <w:ind w:left="360"/>
      <w:jc w:val="center"/>
      <w:rPr>
        <w:i/>
        <w:snapToGrid/>
        <w:color w:val="808080"/>
        <w:szCs w:val="24"/>
        <w:lang w:eastAsia="en-AU"/>
      </w:rPr>
    </w:pPr>
    <w:r w:rsidRPr="0026108E">
      <w:rPr>
        <w:i/>
        <w:snapToGrid/>
        <w:color w:val="808080"/>
        <w:szCs w:val="22"/>
        <w:lang w:eastAsia="en-AU"/>
      </w:rPr>
      <w:t>Public Summary Document –</w:t>
    </w:r>
    <w:r w:rsidRPr="0026108E">
      <w:rPr>
        <w:i/>
        <w:snapToGrid/>
        <w:color w:val="808080"/>
        <w:szCs w:val="24"/>
        <w:lang w:eastAsia="en-AU"/>
      </w:rPr>
      <w:t xml:space="preserve"> November 2015 PBAC Meeting</w:t>
    </w:r>
  </w:p>
  <w:p w:rsidR="00F146E1" w:rsidRDefault="00F146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6E1" w:rsidRDefault="00F146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0811"/>
    <w:multiLevelType w:val="hybridMultilevel"/>
    <w:tmpl w:val="951607D0"/>
    <w:lvl w:ilvl="0" w:tplc="0BCE5780">
      <w:start w:val="1"/>
      <w:numFmt w:val="decimal"/>
      <w:lvlText w:val="%1."/>
      <w:lvlJc w:val="left"/>
      <w:pPr>
        <w:tabs>
          <w:tab w:val="num" w:pos="720"/>
        </w:tabs>
        <w:ind w:left="720" w:hanging="360"/>
      </w:pPr>
      <w:rPr>
        <w:rFonts w:ascii="Arial" w:eastAsia="Times New Roman" w:hAnsi="Arial" w:cs="Arial"/>
        <w:b w:val="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0C1F32DF"/>
    <w:multiLevelType w:val="hybridMultilevel"/>
    <w:tmpl w:val="E734418E"/>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nsid w:val="13F30B66"/>
    <w:multiLevelType w:val="hybridMultilevel"/>
    <w:tmpl w:val="F93C241E"/>
    <w:lvl w:ilvl="0" w:tplc="C7F0E124">
      <w:start w:val="4"/>
      <w:numFmt w:val="bullet"/>
      <w:lvlText w:val="-"/>
      <w:lvlJc w:val="left"/>
      <w:pPr>
        <w:ind w:left="360" w:hanging="360"/>
      </w:pPr>
      <w:rPr>
        <w:rFonts w:ascii="Calibri" w:eastAsia="SimSun" w:hAnsi="Calibri" w:cs="Times New Roman"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15407708"/>
    <w:multiLevelType w:val="hybridMultilevel"/>
    <w:tmpl w:val="5F1AC0DC"/>
    <w:lvl w:ilvl="0" w:tplc="2BF00BA2">
      <w:start w:val="1"/>
      <w:numFmt w:val="bullet"/>
      <w:lvlText w:val=""/>
      <w:lvlJc w:val="left"/>
      <w:pPr>
        <w:ind w:left="2520" w:hanging="360"/>
      </w:pPr>
      <w:rPr>
        <w:rFonts w:ascii="Symbol" w:hAnsi="Symbol" w:hint="default"/>
        <w:sz w:val="22"/>
        <w:szCs w:val="22"/>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4">
    <w:nsid w:val="1E543E34"/>
    <w:multiLevelType w:val="hybridMultilevel"/>
    <w:tmpl w:val="6234DCE8"/>
    <w:lvl w:ilvl="0" w:tplc="2BF00BA2">
      <w:start w:val="1"/>
      <w:numFmt w:val="bullet"/>
      <w:lvlText w:val=""/>
      <w:lvlJc w:val="left"/>
      <w:pPr>
        <w:ind w:left="1080" w:hanging="360"/>
      </w:pPr>
      <w:rPr>
        <w:rFonts w:ascii="Symbol" w:hAnsi="Symbol" w:hint="default"/>
        <w:sz w:val="22"/>
        <w:szCs w:val="22"/>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nsid w:val="2138226C"/>
    <w:multiLevelType w:val="hybridMultilevel"/>
    <w:tmpl w:val="97D8AA4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nsid w:val="344C799A"/>
    <w:multiLevelType w:val="hybridMultilevel"/>
    <w:tmpl w:val="9580E37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nsid w:val="3BBD07A3"/>
    <w:multiLevelType w:val="hybridMultilevel"/>
    <w:tmpl w:val="8780D4E2"/>
    <w:lvl w:ilvl="0" w:tplc="C7F0E124">
      <w:start w:val="4"/>
      <w:numFmt w:val="bullet"/>
      <w:lvlText w:val="-"/>
      <w:lvlJc w:val="left"/>
      <w:pPr>
        <w:ind w:left="360" w:hanging="360"/>
      </w:pPr>
      <w:rPr>
        <w:rFonts w:ascii="Calibri" w:eastAsia="SimSun" w:hAnsi="Calibri"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3E0E542F"/>
    <w:multiLevelType w:val="hybridMultilevel"/>
    <w:tmpl w:val="9970E17A"/>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9">
    <w:nsid w:val="3EA206C6"/>
    <w:multiLevelType w:val="hybridMultilevel"/>
    <w:tmpl w:val="E8CA17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F6E3132"/>
    <w:multiLevelType w:val="hybridMultilevel"/>
    <w:tmpl w:val="134487FE"/>
    <w:lvl w:ilvl="0" w:tplc="C7F0E124">
      <w:start w:val="4"/>
      <w:numFmt w:val="bullet"/>
      <w:lvlText w:val="-"/>
      <w:lvlJc w:val="left"/>
      <w:pPr>
        <w:ind w:left="360" w:hanging="360"/>
      </w:pPr>
      <w:rPr>
        <w:rFonts w:ascii="Calibri" w:eastAsia="SimSun" w:hAnsi="Calibri" w:cs="Times New Roman" w:hint="default"/>
      </w:rPr>
    </w:lvl>
    <w:lvl w:ilvl="1" w:tplc="F488CFD6">
      <w:numFmt w:val="bullet"/>
      <w:lvlText w:val="-"/>
      <w:lvlJc w:val="left"/>
      <w:pPr>
        <w:ind w:left="1080" w:hanging="360"/>
      </w:pPr>
      <w:rPr>
        <w:rFonts w:ascii="Times New Roman" w:eastAsia="Times New Roman" w:hAnsi="Times New Roman" w:cs="Times New Roman"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45B72F41"/>
    <w:multiLevelType w:val="hybridMultilevel"/>
    <w:tmpl w:val="D4D6D2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46C24EE7"/>
    <w:multiLevelType w:val="hybridMultilevel"/>
    <w:tmpl w:val="5D9EE7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75A7F6B"/>
    <w:multiLevelType w:val="hybridMultilevel"/>
    <w:tmpl w:val="C2C2298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nsid w:val="4FF65ECF"/>
    <w:multiLevelType w:val="multilevel"/>
    <w:tmpl w:val="155E10A2"/>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613A2B91"/>
    <w:multiLevelType w:val="hybridMultilevel"/>
    <w:tmpl w:val="0D6C39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6338278D"/>
    <w:multiLevelType w:val="hybridMultilevel"/>
    <w:tmpl w:val="31FAC2E0"/>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6411262B"/>
    <w:multiLevelType w:val="multilevel"/>
    <w:tmpl w:val="155E10A2"/>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7621338B"/>
    <w:multiLevelType w:val="hybridMultilevel"/>
    <w:tmpl w:val="0C8C9330"/>
    <w:lvl w:ilvl="0" w:tplc="F488CFD6">
      <w:numFmt w:val="bullet"/>
      <w:lvlText w:val="-"/>
      <w:lvlJc w:val="left"/>
      <w:pPr>
        <w:ind w:left="360" w:hanging="360"/>
      </w:pPr>
      <w:rPr>
        <w:rFonts w:ascii="Times New Roman" w:eastAsia="Times New Roman"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nsid w:val="77542C2E"/>
    <w:multiLevelType w:val="hybridMultilevel"/>
    <w:tmpl w:val="3586B2E6"/>
    <w:lvl w:ilvl="0" w:tplc="2BF00BA2">
      <w:start w:val="1"/>
      <w:numFmt w:val="bullet"/>
      <w:lvlText w:val=""/>
      <w:lvlJc w:val="left"/>
      <w:pPr>
        <w:ind w:left="108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784D033C"/>
    <w:multiLevelType w:val="multilevel"/>
    <w:tmpl w:val="C9B8393C"/>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20"/>
  </w:num>
  <w:num w:numId="3">
    <w:abstractNumId w:val="2"/>
  </w:num>
  <w:num w:numId="4">
    <w:abstractNumId w:val="13"/>
  </w:num>
  <w:num w:numId="5">
    <w:abstractNumId w:val="10"/>
  </w:num>
  <w:num w:numId="6">
    <w:abstractNumId w:val="18"/>
  </w:num>
  <w:num w:numId="7">
    <w:abstractNumId w:val="6"/>
  </w:num>
  <w:num w:numId="8">
    <w:abstractNumId w:val="5"/>
  </w:num>
  <w:num w:numId="9">
    <w:abstractNumId w:val="7"/>
  </w:num>
  <w:num w:numId="10">
    <w:abstractNumId w:val="4"/>
  </w:num>
  <w:num w:numId="11">
    <w:abstractNumId w:val="0"/>
  </w:num>
  <w:num w:numId="12">
    <w:abstractNumId w:val="9"/>
  </w:num>
  <w:num w:numId="13">
    <w:abstractNumId w:val="11"/>
  </w:num>
  <w:num w:numId="14">
    <w:abstractNumId w:val="20"/>
  </w:num>
  <w:num w:numId="15">
    <w:abstractNumId w:val="3"/>
  </w:num>
  <w:num w:numId="16">
    <w:abstractNumId w:val="19"/>
  </w:num>
  <w:num w:numId="17">
    <w:abstractNumId w:val="1"/>
  </w:num>
  <w:num w:numId="18">
    <w:abstractNumId w:val="12"/>
  </w:num>
  <w:num w:numId="19">
    <w:abstractNumId w:val="16"/>
  </w:num>
  <w:num w:numId="20">
    <w:abstractNumId w:val="17"/>
  </w:num>
  <w:num w:numId="21">
    <w:abstractNumId w:val="14"/>
  </w:num>
  <w:num w:numId="22">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790"/>
    <w:rsid w:val="00000C3B"/>
    <w:rsid w:val="0000110B"/>
    <w:rsid w:val="00001DF9"/>
    <w:rsid w:val="00002CD5"/>
    <w:rsid w:val="0000333E"/>
    <w:rsid w:val="00003499"/>
    <w:rsid w:val="00006434"/>
    <w:rsid w:val="000075BF"/>
    <w:rsid w:val="00010191"/>
    <w:rsid w:val="00010F92"/>
    <w:rsid w:val="00011432"/>
    <w:rsid w:val="00011A37"/>
    <w:rsid w:val="00013247"/>
    <w:rsid w:val="00015886"/>
    <w:rsid w:val="000162EF"/>
    <w:rsid w:val="000167DB"/>
    <w:rsid w:val="00017022"/>
    <w:rsid w:val="00017770"/>
    <w:rsid w:val="0002225F"/>
    <w:rsid w:val="00022A90"/>
    <w:rsid w:val="0002323A"/>
    <w:rsid w:val="00023763"/>
    <w:rsid w:val="00023E11"/>
    <w:rsid w:val="00023F17"/>
    <w:rsid w:val="00025161"/>
    <w:rsid w:val="00031F0D"/>
    <w:rsid w:val="00033069"/>
    <w:rsid w:val="00034D8F"/>
    <w:rsid w:val="00035DD3"/>
    <w:rsid w:val="000360CC"/>
    <w:rsid w:val="00036A71"/>
    <w:rsid w:val="00040895"/>
    <w:rsid w:val="00043C37"/>
    <w:rsid w:val="00044683"/>
    <w:rsid w:val="00044726"/>
    <w:rsid w:val="00044BED"/>
    <w:rsid w:val="0004573F"/>
    <w:rsid w:val="00046384"/>
    <w:rsid w:val="00047FC1"/>
    <w:rsid w:val="00051A67"/>
    <w:rsid w:val="00053F4E"/>
    <w:rsid w:val="00054699"/>
    <w:rsid w:val="000546D7"/>
    <w:rsid w:val="0005554E"/>
    <w:rsid w:val="00057771"/>
    <w:rsid w:val="00060912"/>
    <w:rsid w:val="00061B6A"/>
    <w:rsid w:val="000630F3"/>
    <w:rsid w:val="00065016"/>
    <w:rsid w:val="00070434"/>
    <w:rsid w:val="00071248"/>
    <w:rsid w:val="000720B9"/>
    <w:rsid w:val="0007318B"/>
    <w:rsid w:val="000812CA"/>
    <w:rsid w:val="00087418"/>
    <w:rsid w:val="00090C7E"/>
    <w:rsid w:val="00090E80"/>
    <w:rsid w:val="0009126F"/>
    <w:rsid w:val="000915A9"/>
    <w:rsid w:val="000A12B5"/>
    <w:rsid w:val="000A543F"/>
    <w:rsid w:val="000A59E9"/>
    <w:rsid w:val="000A609B"/>
    <w:rsid w:val="000A640F"/>
    <w:rsid w:val="000B1AE7"/>
    <w:rsid w:val="000B5E6C"/>
    <w:rsid w:val="000C04C2"/>
    <w:rsid w:val="000C1EF5"/>
    <w:rsid w:val="000C564F"/>
    <w:rsid w:val="000D1BFC"/>
    <w:rsid w:val="000D3C9C"/>
    <w:rsid w:val="000D6BFD"/>
    <w:rsid w:val="000D6C12"/>
    <w:rsid w:val="000D7539"/>
    <w:rsid w:val="000E0D25"/>
    <w:rsid w:val="000E1153"/>
    <w:rsid w:val="000E1226"/>
    <w:rsid w:val="000E3172"/>
    <w:rsid w:val="000E3C97"/>
    <w:rsid w:val="000E3D3B"/>
    <w:rsid w:val="000E6125"/>
    <w:rsid w:val="000F3869"/>
    <w:rsid w:val="000F3C5C"/>
    <w:rsid w:val="000F4BB8"/>
    <w:rsid w:val="000F6D22"/>
    <w:rsid w:val="000F7127"/>
    <w:rsid w:val="000F7354"/>
    <w:rsid w:val="000F7AD2"/>
    <w:rsid w:val="0010057A"/>
    <w:rsid w:val="00100F8A"/>
    <w:rsid w:val="00105EEA"/>
    <w:rsid w:val="00107831"/>
    <w:rsid w:val="0011032E"/>
    <w:rsid w:val="00111E14"/>
    <w:rsid w:val="0011348B"/>
    <w:rsid w:val="00113AC1"/>
    <w:rsid w:val="00115658"/>
    <w:rsid w:val="00116775"/>
    <w:rsid w:val="00117433"/>
    <w:rsid w:val="00121799"/>
    <w:rsid w:val="001222FC"/>
    <w:rsid w:val="001238C3"/>
    <w:rsid w:val="00124A51"/>
    <w:rsid w:val="00126621"/>
    <w:rsid w:val="00127509"/>
    <w:rsid w:val="00127BC0"/>
    <w:rsid w:val="001301E9"/>
    <w:rsid w:val="0013054F"/>
    <w:rsid w:val="00133C26"/>
    <w:rsid w:val="00135BE5"/>
    <w:rsid w:val="00137645"/>
    <w:rsid w:val="00140001"/>
    <w:rsid w:val="0014015A"/>
    <w:rsid w:val="00140E99"/>
    <w:rsid w:val="00140F4B"/>
    <w:rsid w:val="001412DC"/>
    <w:rsid w:val="00145540"/>
    <w:rsid w:val="001456B0"/>
    <w:rsid w:val="00147F8F"/>
    <w:rsid w:val="00154230"/>
    <w:rsid w:val="00157130"/>
    <w:rsid w:val="001578E2"/>
    <w:rsid w:val="00161812"/>
    <w:rsid w:val="00162913"/>
    <w:rsid w:val="00163EFF"/>
    <w:rsid w:val="001661FB"/>
    <w:rsid w:val="001668AF"/>
    <w:rsid w:val="00170A06"/>
    <w:rsid w:val="00171D1E"/>
    <w:rsid w:val="00172EDA"/>
    <w:rsid w:val="0018128E"/>
    <w:rsid w:val="001819A1"/>
    <w:rsid w:val="00182EBA"/>
    <w:rsid w:val="0018752F"/>
    <w:rsid w:val="001937F6"/>
    <w:rsid w:val="00195222"/>
    <w:rsid w:val="00196318"/>
    <w:rsid w:val="001975D8"/>
    <w:rsid w:val="001A399F"/>
    <w:rsid w:val="001A4FD4"/>
    <w:rsid w:val="001B0203"/>
    <w:rsid w:val="001B0C7D"/>
    <w:rsid w:val="001B3443"/>
    <w:rsid w:val="001B4930"/>
    <w:rsid w:val="001B7914"/>
    <w:rsid w:val="001C0250"/>
    <w:rsid w:val="001C07DB"/>
    <w:rsid w:val="001C35FA"/>
    <w:rsid w:val="001C3B15"/>
    <w:rsid w:val="001C42F5"/>
    <w:rsid w:val="001C46AE"/>
    <w:rsid w:val="001C56EA"/>
    <w:rsid w:val="001C667A"/>
    <w:rsid w:val="001C6E66"/>
    <w:rsid w:val="001C762E"/>
    <w:rsid w:val="001C7984"/>
    <w:rsid w:val="001C7ADA"/>
    <w:rsid w:val="001D126F"/>
    <w:rsid w:val="001D4C63"/>
    <w:rsid w:val="001D6B51"/>
    <w:rsid w:val="001E071C"/>
    <w:rsid w:val="001E11E3"/>
    <w:rsid w:val="001E1860"/>
    <w:rsid w:val="001E1E15"/>
    <w:rsid w:val="001E238E"/>
    <w:rsid w:val="001E2B1E"/>
    <w:rsid w:val="001E52EB"/>
    <w:rsid w:val="001E54C2"/>
    <w:rsid w:val="001E5C9E"/>
    <w:rsid w:val="001E6E5C"/>
    <w:rsid w:val="001E740C"/>
    <w:rsid w:val="001E765A"/>
    <w:rsid w:val="001E7E89"/>
    <w:rsid w:val="001F06A1"/>
    <w:rsid w:val="001F1235"/>
    <w:rsid w:val="001F14DC"/>
    <w:rsid w:val="001F1CB3"/>
    <w:rsid w:val="001F20FE"/>
    <w:rsid w:val="001F26B3"/>
    <w:rsid w:val="001F27B0"/>
    <w:rsid w:val="001F4CFC"/>
    <w:rsid w:val="001F52CA"/>
    <w:rsid w:val="001F5C2F"/>
    <w:rsid w:val="001F7361"/>
    <w:rsid w:val="0020385F"/>
    <w:rsid w:val="00204060"/>
    <w:rsid w:val="002043D3"/>
    <w:rsid w:val="00206362"/>
    <w:rsid w:val="0020639E"/>
    <w:rsid w:val="00207021"/>
    <w:rsid w:val="00207D00"/>
    <w:rsid w:val="002105C1"/>
    <w:rsid w:val="0021185F"/>
    <w:rsid w:val="002134FB"/>
    <w:rsid w:val="00215586"/>
    <w:rsid w:val="002163C1"/>
    <w:rsid w:val="00217435"/>
    <w:rsid w:val="00217ACC"/>
    <w:rsid w:val="00217DD8"/>
    <w:rsid w:val="00220C8D"/>
    <w:rsid w:val="00220E51"/>
    <w:rsid w:val="00221822"/>
    <w:rsid w:val="00222BC0"/>
    <w:rsid w:val="002230E6"/>
    <w:rsid w:val="00223B49"/>
    <w:rsid w:val="00224DD4"/>
    <w:rsid w:val="00226918"/>
    <w:rsid w:val="00226D93"/>
    <w:rsid w:val="002309CC"/>
    <w:rsid w:val="00230B12"/>
    <w:rsid w:val="00236B46"/>
    <w:rsid w:val="00237757"/>
    <w:rsid w:val="00243025"/>
    <w:rsid w:val="002459A6"/>
    <w:rsid w:val="00254DCF"/>
    <w:rsid w:val="0025534B"/>
    <w:rsid w:val="00255962"/>
    <w:rsid w:val="00255BB7"/>
    <w:rsid w:val="00260F1A"/>
    <w:rsid w:val="0026108E"/>
    <w:rsid w:val="00262A87"/>
    <w:rsid w:val="002644D8"/>
    <w:rsid w:val="002721E1"/>
    <w:rsid w:val="00272D10"/>
    <w:rsid w:val="00275C5A"/>
    <w:rsid w:val="002766DF"/>
    <w:rsid w:val="002768C0"/>
    <w:rsid w:val="00277E5A"/>
    <w:rsid w:val="00281014"/>
    <w:rsid w:val="00281CD2"/>
    <w:rsid w:val="00282321"/>
    <w:rsid w:val="002872BD"/>
    <w:rsid w:val="00293A7C"/>
    <w:rsid w:val="002948B2"/>
    <w:rsid w:val="0029692D"/>
    <w:rsid w:val="00297969"/>
    <w:rsid w:val="002A010C"/>
    <w:rsid w:val="002A14AB"/>
    <w:rsid w:val="002A262F"/>
    <w:rsid w:val="002B0902"/>
    <w:rsid w:val="002B1C1F"/>
    <w:rsid w:val="002B1DFC"/>
    <w:rsid w:val="002B432F"/>
    <w:rsid w:val="002B4976"/>
    <w:rsid w:val="002B6CCE"/>
    <w:rsid w:val="002C2775"/>
    <w:rsid w:val="002C27C1"/>
    <w:rsid w:val="002C5BBE"/>
    <w:rsid w:val="002C660C"/>
    <w:rsid w:val="002C6788"/>
    <w:rsid w:val="002C7981"/>
    <w:rsid w:val="002D0A19"/>
    <w:rsid w:val="002D2EFF"/>
    <w:rsid w:val="002D51D4"/>
    <w:rsid w:val="002D690E"/>
    <w:rsid w:val="002E0C2A"/>
    <w:rsid w:val="002E4018"/>
    <w:rsid w:val="002E4296"/>
    <w:rsid w:val="002E6D27"/>
    <w:rsid w:val="002F03C8"/>
    <w:rsid w:val="002F5322"/>
    <w:rsid w:val="002F53A9"/>
    <w:rsid w:val="002F5674"/>
    <w:rsid w:val="002F70A1"/>
    <w:rsid w:val="00301017"/>
    <w:rsid w:val="003066F6"/>
    <w:rsid w:val="0030786C"/>
    <w:rsid w:val="0031031A"/>
    <w:rsid w:val="00310981"/>
    <w:rsid w:val="00311818"/>
    <w:rsid w:val="00315498"/>
    <w:rsid w:val="00316E11"/>
    <w:rsid w:val="003214FC"/>
    <w:rsid w:val="00321C3E"/>
    <w:rsid w:val="00321D09"/>
    <w:rsid w:val="00321F58"/>
    <w:rsid w:val="00323AC4"/>
    <w:rsid w:val="00323FEC"/>
    <w:rsid w:val="003257D9"/>
    <w:rsid w:val="0032687A"/>
    <w:rsid w:val="003278AF"/>
    <w:rsid w:val="00331C31"/>
    <w:rsid w:val="00333AAC"/>
    <w:rsid w:val="00335BA9"/>
    <w:rsid w:val="003366C9"/>
    <w:rsid w:val="003371A1"/>
    <w:rsid w:val="003371B0"/>
    <w:rsid w:val="00337A37"/>
    <w:rsid w:val="00341C16"/>
    <w:rsid w:val="00346010"/>
    <w:rsid w:val="003478D2"/>
    <w:rsid w:val="00347FF6"/>
    <w:rsid w:val="00351F76"/>
    <w:rsid w:val="00352F87"/>
    <w:rsid w:val="00353375"/>
    <w:rsid w:val="0035349C"/>
    <w:rsid w:val="0035620E"/>
    <w:rsid w:val="00356427"/>
    <w:rsid w:val="0036239B"/>
    <w:rsid w:val="00362834"/>
    <w:rsid w:val="00364084"/>
    <w:rsid w:val="0036756E"/>
    <w:rsid w:val="0037381D"/>
    <w:rsid w:val="003739E2"/>
    <w:rsid w:val="00373AD1"/>
    <w:rsid w:val="0037545C"/>
    <w:rsid w:val="003757FB"/>
    <w:rsid w:val="0037689C"/>
    <w:rsid w:val="00377462"/>
    <w:rsid w:val="003805CC"/>
    <w:rsid w:val="003828DB"/>
    <w:rsid w:val="0038365C"/>
    <w:rsid w:val="0038492E"/>
    <w:rsid w:val="0038498A"/>
    <w:rsid w:val="0038576A"/>
    <w:rsid w:val="00385796"/>
    <w:rsid w:val="00385F5B"/>
    <w:rsid w:val="00391C42"/>
    <w:rsid w:val="00391E17"/>
    <w:rsid w:val="00392A22"/>
    <w:rsid w:val="00394948"/>
    <w:rsid w:val="0039548A"/>
    <w:rsid w:val="00396FD0"/>
    <w:rsid w:val="003A197B"/>
    <w:rsid w:val="003A1A7A"/>
    <w:rsid w:val="003A1E5A"/>
    <w:rsid w:val="003A2E6F"/>
    <w:rsid w:val="003A434C"/>
    <w:rsid w:val="003B0DF0"/>
    <w:rsid w:val="003B13A0"/>
    <w:rsid w:val="003B3619"/>
    <w:rsid w:val="003B3B68"/>
    <w:rsid w:val="003B70E3"/>
    <w:rsid w:val="003B7225"/>
    <w:rsid w:val="003C0397"/>
    <w:rsid w:val="003C0756"/>
    <w:rsid w:val="003C0DCC"/>
    <w:rsid w:val="003C1B56"/>
    <w:rsid w:val="003C230A"/>
    <w:rsid w:val="003C2A27"/>
    <w:rsid w:val="003C2F02"/>
    <w:rsid w:val="003C664B"/>
    <w:rsid w:val="003C6BDF"/>
    <w:rsid w:val="003C6F17"/>
    <w:rsid w:val="003D1828"/>
    <w:rsid w:val="003D2422"/>
    <w:rsid w:val="003F386B"/>
    <w:rsid w:val="003F4156"/>
    <w:rsid w:val="003F6739"/>
    <w:rsid w:val="003F6BFF"/>
    <w:rsid w:val="003F7AB9"/>
    <w:rsid w:val="00403C1A"/>
    <w:rsid w:val="00406647"/>
    <w:rsid w:val="00410708"/>
    <w:rsid w:val="00410EC7"/>
    <w:rsid w:val="00411D8A"/>
    <w:rsid w:val="00412274"/>
    <w:rsid w:val="00414476"/>
    <w:rsid w:val="00420133"/>
    <w:rsid w:val="00420B9F"/>
    <w:rsid w:val="0042116F"/>
    <w:rsid w:val="004217AB"/>
    <w:rsid w:val="00423380"/>
    <w:rsid w:val="00423A07"/>
    <w:rsid w:val="00423CC3"/>
    <w:rsid w:val="004261CF"/>
    <w:rsid w:val="004319F8"/>
    <w:rsid w:val="00431AA3"/>
    <w:rsid w:val="00433044"/>
    <w:rsid w:val="00435D40"/>
    <w:rsid w:val="00435F49"/>
    <w:rsid w:val="004377C9"/>
    <w:rsid w:val="004411C1"/>
    <w:rsid w:val="00443904"/>
    <w:rsid w:val="00443B80"/>
    <w:rsid w:val="004443A7"/>
    <w:rsid w:val="00444B4B"/>
    <w:rsid w:val="004464EB"/>
    <w:rsid w:val="00451801"/>
    <w:rsid w:val="004526CA"/>
    <w:rsid w:val="00452BC4"/>
    <w:rsid w:val="004530A7"/>
    <w:rsid w:val="00454693"/>
    <w:rsid w:val="00454E28"/>
    <w:rsid w:val="00455D45"/>
    <w:rsid w:val="004575BC"/>
    <w:rsid w:val="00462C00"/>
    <w:rsid w:val="00464595"/>
    <w:rsid w:val="00470422"/>
    <w:rsid w:val="00474840"/>
    <w:rsid w:val="00475807"/>
    <w:rsid w:val="00480287"/>
    <w:rsid w:val="00480CE3"/>
    <w:rsid w:val="00481275"/>
    <w:rsid w:val="0048149A"/>
    <w:rsid w:val="00481A0F"/>
    <w:rsid w:val="004821C7"/>
    <w:rsid w:val="004867E2"/>
    <w:rsid w:val="004867EA"/>
    <w:rsid w:val="00486AC3"/>
    <w:rsid w:val="004903B4"/>
    <w:rsid w:val="00491B3A"/>
    <w:rsid w:val="00492A30"/>
    <w:rsid w:val="00492CFD"/>
    <w:rsid w:val="004939E4"/>
    <w:rsid w:val="00493D5D"/>
    <w:rsid w:val="004962D2"/>
    <w:rsid w:val="00496E84"/>
    <w:rsid w:val="004A0298"/>
    <w:rsid w:val="004A0DA1"/>
    <w:rsid w:val="004A11AB"/>
    <w:rsid w:val="004A16DD"/>
    <w:rsid w:val="004A1D3B"/>
    <w:rsid w:val="004A2B2E"/>
    <w:rsid w:val="004A2B8D"/>
    <w:rsid w:val="004A6597"/>
    <w:rsid w:val="004B1CB4"/>
    <w:rsid w:val="004B2F18"/>
    <w:rsid w:val="004B3DDB"/>
    <w:rsid w:val="004B420F"/>
    <w:rsid w:val="004B43DC"/>
    <w:rsid w:val="004B44A3"/>
    <w:rsid w:val="004B44FD"/>
    <w:rsid w:val="004B5CFC"/>
    <w:rsid w:val="004B618B"/>
    <w:rsid w:val="004C1819"/>
    <w:rsid w:val="004C486E"/>
    <w:rsid w:val="004C4AED"/>
    <w:rsid w:val="004D21EB"/>
    <w:rsid w:val="004D29DD"/>
    <w:rsid w:val="004D4A20"/>
    <w:rsid w:val="004D70C1"/>
    <w:rsid w:val="004D70DE"/>
    <w:rsid w:val="004E0EB8"/>
    <w:rsid w:val="004E2ADC"/>
    <w:rsid w:val="004E3B49"/>
    <w:rsid w:val="004E43B2"/>
    <w:rsid w:val="004F1D02"/>
    <w:rsid w:val="004F2676"/>
    <w:rsid w:val="004F2679"/>
    <w:rsid w:val="004F354F"/>
    <w:rsid w:val="004F4AA2"/>
    <w:rsid w:val="004F72AC"/>
    <w:rsid w:val="004F7865"/>
    <w:rsid w:val="00500F79"/>
    <w:rsid w:val="005021C2"/>
    <w:rsid w:val="00502D48"/>
    <w:rsid w:val="00503708"/>
    <w:rsid w:val="00506928"/>
    <w:rsid w:val="0051443C"/>
    <w:rsid w:val="005152B5"/>
    <w:rsid w:val="005153FA"/>
    <w:rsid w:val="0051598B"/>
    <w:rsid w:val="0051673A"/>
    <w:rsid w:val="005169BB"/>
    <w:rsid w:val="00521319"/>
    <w:rsid w:val="00523B05"/>
    <w:rsid w:val="00523C28"/>
    <w:rsid w:val="00523CC5"/>
    <w:rsid w:val="00524411"/>
    <w:rsid w:val="00525FA4"/>
    <w:rsid w:val="005276E7"/>
    <w:rsid w:val="005304C6"/>
    <w:rsid w:val="00530ECE"/>
    <w:rsid w:val="00531845"/>
    <w:rsid w:val="0053539D"/>
    <w:rsid w:val="00535AA4"/>
    <w:rsid w:val="00536A51"/>
    <w:rsid w:val="00537346"/>
    <w:rsid w:val="00537FEA"/>
    <w:rsid w:val="0054030D"/>
    <w:rsid w:val="00541CEA"/>
    <w:rsid w:val="005422D7"/>
    <w:rsid w:val="0054324B"/>
    <w:rsid w:val="005433C4"/>
    <w:rsid w:val="00546BB4"/>
    <w:rsid w:val="005475DD"/>
    <w:rsid w:val="005511BE"/>
    <w:rsid w:val="00552BD3"/>
    <w:rsid w:val="00555109"/>
    <w:rsid w:val="005556BE"/>
    <w:rsid w:val="00557AC7"/>
    <w:rsid w:val="00560958"/>
    <w:rsid w:val="00561E07"/>
    <w:rsid w:val="005637B3"/>
    <w:rsid w:val="0056696F"/>
    <w:rsid w:val="00567AFD"/>
    <w:rsid w:val="00570298"/>
    <w:rsid w:val="00571168"/>
    <w:rsid w:val="00572C81"/>
    <w:rsid w:val="00572D84"/>
    <w:rsid w:val="00573A19"/>
    <w:rsid w:val="00575D8D"/>
    <w:rsid w:val="00576972"/>
    <w:rsid w:val="00583699"/>
    <w:rsid w:val="00586105"/>
    <w:rsid w:val="0058621F"/>
    <w:rsid w:val="00586613"/>
    <w:rsid w:val="005871C9"/>
    <w:rsid w:val="00587F05"/>
    <w:rsid w:val="00590F5C"/>
    <w:rsid w:val="00591E73"/>
    <w:rsid w:val="00594482"/>
    <w:rsid w:val="00594593"/>
    <w:rsid w:val="005A7CB8"/>
    <w:rsid w:val="005B1C2E"/>
    <w:rsid w:val="005B3A40"/>
    <w:rsid w:val="005B5857"/>
    <w:rsid w:val="005B5A70"/>
    <w:rsid w:val="005B7564"/>
    <w:rsid w:val="005B7924"/>
    <w:rsid w:val="005C1B83"/>
    <w:rsid w:val="005C346B"/>
    <w:rsid w:val="005C5596"/>
    <w:rsid w:val="005C5B58"/>
    <w:rsid w:val="005C79C7"/>
    <w:rsid w:val="005D00DB"/>
    <w:rsid w:val="005D01CF"/>
    <w:rsid w:val="005D044D"/>
    <w:rsid w:val="005D18AD"/>
    <w:rsid w:val="005D3BEF"/>
    <w:rsid w:val="005D439E"/>
    <w:rsid w:val="005D4CB4"/>
    <w:rsid w:val="005D4F33"/>
    <w:rsid w:val="005E06D3"/>
    <w:rsid w:val="005E11B7"/>
    <w:rsid w:val="005E6569"/>
    <w:rsid w:val="005E73C0"/>
    <w:rsid w:val="005E77B1"/>
    <w:rsid w:val="005E7FA1"/>
    <w:rsid w:val="005F11C2"/>
    <w:rsid w:val="005F2706"/>
    <w:rsid w:val="005F3099"/>
    <w:rsid w:val="005F42AC"/>
    <w:rsid w:val="005F6A8F"/>
    <w:rsid w:val="005F7133"/>
    <w:rsid w:val="006013EB"/>
    <w:rsid w:val="0060206A"/>
    <w:rsid w:val="0060209A"/>
    <w:rsid w:val="006027E4"/>
    <w:rsid w:val="00602FF2"/>
    <w:rsid w:val="00604948"/>
    <w:rsid w:val="00607669"/>
    <w:rsid w:val="00612F97"/>
    <w:rsid w:val="006148AC"/>
    <w:rsid w:val="006152B9"/>
    <w:rsid w:val="00616802"/>
    <w:rsid w:val="0061729D"/>
    <w:rsid w:val="00617E12"/>
    <w:rsid w:val="0062031E"/>
    <w:rsid w:val="006206C0"/>
    <w:rsid w:val="00621246"/>
    <w:rsid w:val="00621477"/>
    <w:rsid w:val="00622848"/>
    <w:rsid w:val="00624D94"/>
    <w:rsid w:val="00625BFE"/>
    <w:rsid w:val="00630B50"/>
    <w:rsid w:val="006315BB"/>
    <w:rsid w:val="00631D6B"/>
    <w:rsid w:val="0063479F"/>
    <w:rsid w:val="00635950"/>
    <w:rsid w:val="006364A1"/>
    <w:rsid w:val="00637BFD"/>
    <w:rsid w:val="006412CE"/>
    <w:rsid w:val="00644E04"/>
    <w:rsid w:val="006460CA"/>
    <w:rsid w:val="006471CC"/>
    <w:rsid w:val="00647341"/>
    <w:rsid w:val="0065079F"/>
    <w:rsid w:val="00650EA6"/>
    <w:rsid w:val="0065270B"/>
    <w:rsid w:val="00652AA5"/>
    <w:rsid w:val="006554AE"/>
    <w:rsid w:val="006554F5"/>
    <w:rsid w:val="00670AD8"/>
    <w:rsid w:val="00674E42"/>
    <w:rsid w:val="00676FBF"/>
    <w:rsid w:val="00677839"/>
    <w:rsid w:val="00680C06"/>
    <w:rsid w:val="006818F4"/>
    <w:rsid w:val="00682112"/>
    <w:rsid w:val="00686C23"/>
    <w:rsid w:val="006872BA"/>
    <w:rsid w:val="00687400"/>
    <w:rsid w:val="006917D7"/>
    <w:rsid w:val="006937A9"/>
    <w:rsid w:val="00694F44"/>
    <w:rsid w:val="00697279"/>
    <w:rsid w:val="00697802"/>
    <w:rsid w:val="00697AC3"/>
    <w:rsid w:val="006A041E"/>
    <w:rsid w:val="006A794F"/>
    <w:rsid w:val="006B326B"/>
    <w:rsid w:val="006B7D98"/>
    <w:rsid w:val="006C21A2"/>
    <w:rsid w:val="006C225E"/>
    <w:rsid w:val="006C2A8E"/>
    <w:rsid w:val="006C37FF"/>
    <w:rsid w:val="006C3C03"/>
    <w:rsid w:val="006D051F"/>
    <w:rsid w:val="006D0895"/>
    <w:rsid w:val="006D1015"/>
    <w:rsid w:val="006D3487"/>
    <w:rsid w:val="006D3C7D"/>
    <w:rsid w:val="006D4490"/>
    <w:rsid w:val="006D45F7"/>
    <w:rsid w:val="006D5A59"/>
    <w:rsid w:val="006D5D5F"/>
    <w:rsid w:val="006D6124"/>
    <w:rsid w:val="006E0F5C"/>
    <w:rsid w:val="006E1DF3"/>
    <w:rsid w:val="006E6AD8"/>
    <w:rsid w:val="006F01F5"/>
    <w:rsid w:val="006F04D3"/>
    <w:rsid w:val="006F301C"/>
    <w:rsid w:val="006F37A5"/>
    <w:rsid w:val="006F37CF"/>
    <w:rsid w:val="006F49F8"/>
    <w:rsid w:val="006F5029"/>
    <w:rsid w:val="006F56BD"/>
    <w:rsid w:val="006F63A5"/>
    <w:rsid w:val="007007E3"/>
    <w:rsid w:val="007011A4"/>
    <w:rsid w:val="00702650"/>
    <w:rsid w:val="0070276E"/>
    <w:rsid w:val="00702F8F"/>
    <w:rsid w:val="007031A1"/>
    <w:rsid w:val="0070661D"/>
    <w:rsid w:val="00706D5E"/>
    <w:rsid w:val="007102A3"/>
    <w:rsid w:val="00711A36"/>
    <w:rsid w:val="00715522"/>
    <w:rsid w:val="00716A8A"/>
    <w:rsid w:val="007172AD"/>
    <w:rsid w:val="007205BB"/>
    <w:rsid w:val="00722221"/>
    <w:rsid w:val="00722E0C"/>
    <w:rsid w:val="00723753"/>
    <w:rsid w:val="0072416F"/>
    <w:rsid w:val="00724D3A"/>
    <w:rsid w:val="007256E9"/>
    <w:rsid w:val="00725868"/>
    <w:rsid w:val="0072608C"/>
    <w:rsid w:val="0072627D"/>
    <w:rsid w:val="00726A9C"/>
    <w:rsid w:val="00727314"/>
    <w:rsid w:val="0072792D"/>
    <w:rsid w:val="00731A38"/>
    <w:rsid w:val="00732308"/>
    <w:rsid w:val="00733E7C"/>
    <w:rsid w:val="00735328"/>
    <w:rsid w:val="0073685B"/>
    <w:rsid w:val="00737449"/>
    <w:rsid w:val="007375C0"/>
    <w:rsid w:val="00741DAE"/>
    <w:rsid w:val="00742B5E"/>
    <w:rsid w:val="00743B16"/>
    <w:rsid w:val="007448A2"/>
    <w:rsid w:val="00744DEB"/>
    <w:rsid w:val="00745017"/>
    <w:rsid w:val="00747097"/>
    <w:rsid w:val="007505E8"/>
    <w:rsid w:val="00753573"/>
    <w:rsid w:val="00754BFD"/>
    <w:rsid w:val="007611A2"/>
    <w:rsid w:val="0076425C"/>
    <w:rsid w:val="00764FD3"/>
    <w:rsid w:val="00765D59"/>
    <w:rsid w:val="00766FD8"/>
    <w:rsid w:val="00771F6A"/>
    <w:rsid w:val="00771F83"/>
    <w:rsid w:val="00773658"/>
    <w:rsid w:val="007867A0"/>
    <w:rsid w:val="007949E2"/>
    <w:rsid w:val="007A0A12"/>
    <w:rsid w:val="007A2421"/>
    <w:rsid w:val="007A3DA1"/>
    <w:rsid w:val="007A65A1"/>
    <w:rsid w:val="007B04A8"/>
    <w:rsid w:val="007B1DA3"/>
    <w:rsid w:val="007B251D"/>
    <w:rsid w:val="007B2A88"/>
    <w:rsid w:val="007B546D"/>
    <w:rsid w:val="007B77D1"/>
    <w:rsid w:val="007B79A2"/>
    <w:rsid w:val="007C015A"/>
    <w:rsid w:val="007C2A04"/>
    <w:rsid w:val="007C3040"/>
    <w:rsid w:val="007C361D"/>
    <w:rsid w:val="007C599E"/>
    <w:rsid w:val="007D00A3"/>
    <w:rsid w:val="007D075C"/>
    <w:rsid w:val="007D0B38"/>
    <w:rsid w:val="007D0D84"/>
    <w:rsid w:val="007D2D07"/>
    <w:rsid w:val="007D47B3"/>
    <w:rsid w:val="007D68B2"/>
    <w:rsid w:val="007D699D"/>
    <w:rsid w:val="007D7D4C"/>
    <w:rsid w:val="007E2738"/>
    <w:rsid w:val="007E330D"/>
    <w:rsid w:val="007E4E2C"/>
    <w:rsid w:val="007E6D65"/>
    <w:rsid w:val="007F0F84"/>
    <w:rsid w:val="007F1017"/>
    <w:rsid w:val="007F25DB"/>
    <w:rsid w:val="007F30CE"/>
    <w:rsid w:val="007F4A3F"/>
    <w:rsid w:val="007F7BB4"/>
    <w:rsid w:val="00801AEA"/>
    <w:rsid w:val="00801BD3"/>
    <w:rsid w:val="0080335F"/>
    <w:rsid w:val="00805142"/>
    <w:rsid w:val="00805F50"/>
    <w:rsid w:val="0080680F"/>
    <w:rsid w:val="00807A8B"/>
    <w:rsid w:val="00810FAF"/>
    <w:rsid w:val="00812149"/>
    <w:rsid w:val="008166EF"/>
    <w:rsid w:val="00817727"/>
    <w:rsid w:val="00823385"/>
    <w:rsid w:val="0082480A"/>
    <w:rsid w:val="00825310"/>
    <w:rsid w:val="00825F48"/>
    <w:rsid w:val="008264EB"/>
    <w:rsid w:val="00827D80"/>
    <w:rsid w:val="00833B05"/>
    <w:rsid w:val="008350B0"/>
    <w:rsid w:val="00836CC4"/>
    <w:rsid w:val="00837F27"/>
    <w:rsid w:val="00840645"/>
    <w:rsid w:val="00840CA2"/>
    <w:rsid w:val="00843E7D"/>
    <w:rsid w:val="00850EA7"/>
    <w:rsid w:val="008545C2"/>
    <w:rsid w:val="00855DA9"/>
    <w:rsid w:val="00856E9A"/>
    <w:rsid w:val="00861264"/>
    <w:rsid w:val="00862502"/>
    <w:rsid w:val="0086254B"/>
    <w:rsid w:val="00863CBB"/>
    <w:rsid w:val="00864200"/>
    <w:rsid w:val="00865E0D"/>
    <w:rsid w:val="00866226"/>
    <w:rsid w:val="008674DC"/>
    <w:rsid w:val="00870515"/>
    <w:rsid w:val="00871330"/>
    <w:rsid w:val="00877238"/>
    <w:rsid w:val="00881B2D"/>
    <w:rsid w:val="00882874"/>
    <w:rsid w:val="00883787"/>
    <w:rsid w:val="00890CA5"/>
    <w:rsid w:val="00891811"/>
    <w:rsid w:val="0089294D"/>
    <w:rsid w:val="00894489"/>
    <w:rsid w:val="00895850"/>
    <w:rsid w:val="008963A5"/>
    <w:rsid w:val="00897C71"/>
    <w:rsid w:val="008A1791"/>
    <w:rsid w:val="008A3078"/>
    <w:rsid w:val="008A3164"/>
    <w:rsid w:val="008A3C3E"/>
    <w:rsid w:val="008A5957"/>
    <w:rsid w:val="008A74E0"/>
    <w:rsid w:val="008A79DE"/>
    <w:rsid w:val="008A7EAE"/>
    <w:rsid w:val="008B51F6"/>
    <w:rsid w:val="008B5C42"/>
    <w:rsid w:val="008B6B92"/>
    <w:rsid w:val="008B78E1"/>
    <w:rsid w:val="008B79AA"/>
    <w:rsid w:val="008B7D7E"/>
    <w:rsid w:val="008C1D7E"/>
    <w:rsid w:val="008C2366"/>
    <w:rsid w:val="008C61D6"/>
    <w:rsid w:val="008C63AF"/>
    <w:rsid w:val="008C6622"/>
    <w:rsid w:val="008C7ECB"/>
    <w:rsid w:val="008D0F3B"/>
    <w:rsid w:val="008D1343"/>
    <w:rsid w:val="008D32FB"/>
    <w:rsid w:val="008D3B20"/>
    <w:rsid w:val="008D515C"/>
    <w:rsid w:val="008D6F82"/>
    <w:rsid w:val="008D7E8B"/>
    <w:rsid w:val="008E0459"/>
    <w:rsid w:val="008E04C7"/>
    <w:rsid w:val="008E1B9E"/>
    <w:rsid w:val="008E1D8C"/>
    <w:rsid w:val="008E20D9"/>
    <w:rsid w:val="008E6941"/>
    <w:rsid w:val="008E791E"/>
    <w:rsid w:val="008F0DFE"/>
    <w:rsid w:val="008F120A"/>
    <w:rsid w:val="008F1EC2"/>
    <w:rsid w:val="008F3107"/>
    <w:rsid w:val="008F3B3D"/>
    <w:rsid w:val="008F48EB"/>
    <w:rsid w:val="008F4F0B"/>
    <w:rsid w:val="00900E4D"/>
    <w:rsid w:val="00904610"/>
    <w:rsid w:val="009062A5"/>
    <w:rsid w:val="0091058B"/>
    <w:rsid w:val="00911272"/>
    <w:rsid w:val="00914E09"/>
    <w:rsid w:val="00917035"/>
    <w:rsid w:val="009201F8"/>
    <w:rsid w:val="009206FB"/>
    <w:rsid w:val="009208D1"/>
    <w:rsid w:val="00920F7A"/>
    <w:rsid w:val="00921428"/>
    <w:rsid w:val="009408C9"/>
    <w:rsid w:val="00942520"/>
    <w:rsid w:val="00943D04"/>
    <w:rsid w:val="0095062F"/>
    <w:rsid w:val="009532CF"/>
    <w:rsid w:val="009539E7"/>
    <w:rsid w:val="00953F5B"/>
    <w:rsid w:val="0095468E"/>
    <w:rsid w:val="00956342"/>
    <w:rsid w:val="00956BD2"/>
    <w:rsid w:val="0096045F"/>
    <w:rsid w:val="00962CB9"/>
    <w:rsid w:val="00964312"/>
    <w:rsid w:val="0096492C"/>
    <w:rsid w:val="009707AF"/>
    <w:rsid w:val="009714BF"/>
    <w:rsid w:val="00972505"/>
    <w:rsid w:val="00974A75"/>
    <w:rsid w:val="0097713B"/>
    <w:rsid w:val="009810D9"/>
    <w:rsid w:val="00983E57"/>
    <w:rsid w:val="00993608"/>
    <w:rsid w:val="00995A81"/>
    <w:rsid w:val="00996B1A"/>
    <w:rsid w:val="009A07F2"/>
    <w:rsid w:val="009A2192"/>
    <w:rsid w:val="009A2823"/>
    <w:rsid w:val="009A3444"/>
    <w:rsid w:val="009A38B6"/>
    <w:rsid w:val="009A3CC8"/>
    <w:rsid w:val="009A6CF6"/>
    <w:rsid w:val="009A7655"/>
    <w:rsid w:val="009B1B9A"/>
    <w:rsid w:val="009B2AA9"/>
    <w:rsid w:val="009B335C"/>
    <w:rsid w:val="009B3E26"/>
    <w:rsid w:val="009B6509"/>
    <w:rsid w:val="009C458C"/>
    <w:rsid w:val="009D0C30"/>
    <w:rsid w:val="009D1F4C"/>
    <w:rsid w:val="009D2F33"/>
    <w:rsid w:val="009D38EB"/>
    <w:rsid w:val="009D39BD"/>
    <w:rsid w:val="009D5B91"/>
    <w:rsid w:val="009E0297"/>
    <w:rsid w:val="009E3B80"/>
    <w:rsid w:val="009E40E0"/>
    <w:rsid w:val="009E4C07"/>
    <w:rsid w:val="009E4E00"/>
    <w:rsid w:val="009E5C78"/>
    <w:rsid w:val="009E653B"/>
    <w:rsid w:val="009E6AC7"/>
    <w:rsid w:val="009F0CCC"/>
    <w:rsid w:val="009F10B7"/>
    <w:rsid w:val="009F168A"/>
    <w:rsid w:val="009F1C95"/>
    <w:rsid w:val="009F4AE5"/>
    <w:rsid w:val="009F64AD"/>
    <w:rsid w:val="009F68A2"/>
    <w:rsid w:val="009F69B3"/>
    <w:rsid w:val="009F725A"/>
    <w:rsid w:val="009F7FE9"/>
    <w:rsid w:val="00A00548"/>
    <w:rsid w:val="00A01F0F"/>
    <w:rsid w:val="00A03D43"/>
    <w:rsid w:val="00A04380"/>
    <w:rsid w:val="00A05B3B"/>
    <w:rsid w:val="00A11DD3"/>
    <w:rsid w:val="00A13948"/>
    <w:rsid w:val="00A158B5"/>
    <w:rsid w:val="00A1755A"/>
    <w:rsid w:val="00A20479"/>
    <w:rsid w:val="00A249F6"/>
    <w:rsid w:val="00A26252"/>
    <w:rsid w:val="00A27AEC"/>
    <w:rsid w:val="00A30A02"/>
    <w:rsid w:val="00A30CE9"/>
    <w:rsid w:val="00A325B8"/>
    <w:rsid w:val="00A3329C"/>
    <w:rsid w:val="00A33B08"/>
    <w:rsid w:val="00A35D16"/>
    <w:rsid w:val="00A36D49"/>
    <w:rsid w:val="00A37EFB"/>
    <w:rsid w:val="00A43C59"/>
    <w:rsid w:val="00A450F8"/>
    <w:rsid w:val="00A4661D"/>
    <w:rsid w:val="00A4730B"/>
    <w:rsid w:val="00A50ECD"/>
    <w:rsid w:val="00A50FE8"/>
    <w:rsid w:val="00A51AC3"/>
    <w:rsid w:val="00A52729"/>
    <w:rsid w:val="00A53675"/>
    <w:rsid w:val="00A542AB"/>
    <w:rsid w:val="00A56B6A"/>
    <w:rsid w:val="00A578DC"/>
    <w:rsid w:val="00A63534"/>
    <w:rsid w:val="00A64B14"/>
    <w:rsid w:val="00A64EA4"/>
    <w:rsid w:val="00A66826"/>
    <w:rsid w:val="00A6725B"/>
    <w:rsid w:val="00A8337A"/>
    <w:rsid w:val="00A86E8B"/>
    <w:rsid w:val="00A93072"/>
    <w:rsid w:val="00A959D8"/>
    <w:rsid w:val="00A96E57"/>
    <w:rsid w:val="00A9726C"/>
    <w:rsid w:val="00AA277B"/>
    <w:rsid w:val="00AA5CB4"/>
    <w:rsid w:val="00AA66FC"/>
    <w:rsid w:val="00AB042A"/>
    <w:rsid w:val="00AB0C80"/>
    <w:rsid w:val="00AB2D34"/>
    <w:rsid w:val="00AB3430"/>
    <w:rsid w:val="00AB38B6"/>
    <w:rsid w:val="00AB4A20"/>
    <w:rsid w:val="00AB5BC8"/>
    <w:rsid w:val="00AB7CFA"/>
    <w:rsid w:val="00AC0D1F"/>
    <w:rsid w:val="00AC15B9"/>
    <w:rsid w:val="00AC1B1C"/>
    <w:rsid w:val="00AC30E2"/>
    <w:rsid w:val="00AC7E7A"/>
    <w:rsid w:val="00AD4828"/>
    <w:rsid w:val="00AD6205"/>
    <w:rsid w:val="00AE7A85"/>
    <w:rsid w:val="00AF2231"/>
    <w:rsid w:val="00AF3619"/>
    <w:rsid w:val="00AF3BB7"/>
    <w:rsid w:val="00AF70CC"/>
    <w:rsid w:val="00B00116"/>
    <w:rsid w:val="00B06A12"/>
    <w:rsid w:val="00B07F38"/>
    <w:rsid w:val="00B11B68"/>
    <w:rsid w:val="00B11BF1"/>
    <w:rsid w:val="00B133ED"/>
    <w:rsid w:val="00B15442"/>
    <w:rsid w:val="00B15D73"/>
    <w:rsid w:val="00B177C7"/>
    <w:rsid w:val="00B17D5D"/>
    <w:rsid w:val="00B23B81"/>
    <w:rsid w:val="00B24B51"/>
    <w:rsid w:val="00B25C50"/>
    <w:rsid w:val="00B27E92"/>
    <w:rsid w:val="00B31A33"/>
    <w:rsid w:val="00B32C77"/>
    <w:rsid w:val="00B3511B"/>
    <w:rsid w:val="00B401D6"/>
    <w:rsid w:val="00B41FDA"/>
    <w:rsid w:val="00B42851"/>
    <w:rsid w:val="00B44306"/>
    <w:rsid w:val="00B44565"/>
    <w:rsid w:val="00B44A29"/>
    <w:rsid w:val="00B44D20"/>
    <w:rsid w:val="00B4664A"/>
    <w:rsid w:val="00B467CD"/>
    <w:rsid w:val="00B47BB3"/>
    <w:rsid w:val="00B50DB8"/>
    <w:rsid w:val="00B52288"/>
    <w:rsid w:val="00B53905"/>
    <w:rsid w:val="00B54B5B"/>
    <w:rsid w:val="00B5562E"/>
    <w:rsid w:val="00B57000"/>
    <w:rsid w:val="00B5751E"/>
    <w:rsid w:val="00B60939"/>
    <w:rsid w:val="00B60ADD"/>
    <w:rsid w:val="00B60AFD"/>
    <w:rsid w:val="00B60DF4"/>
    <w:rsid w:val="00B61001"/>
    <w:rsid w:val="00B61B54"/>
    <w:rsid w:val="00B61BE7"/>
    <w:rsid w:val="00B62635"/>
    <w:rsid w:val="00B62715"/>
    <w:rsid w:val="00B6317B"/>
    <w:rsid w:val="00B702A0"/>
    <w:rsid w:val="00B7145C"/>
    <w:rsid w:val="00B72B57"/>
    <w:rsid w:val="00B75D2E"/>
    <w:rsid w:val="00B77614"/>
    <w:rsid w:val="00B818A4"/>
    <w:rsid w:val="00B8260D"/>
    <w:rsid w:val="00B83579"/>
    <w:rsid w:val="00B84A10"/>
    <w:rsid w:val="00B8649C"/>
    <w:rsid w:val="00B86858"/>
    <w:rsid w:val="00B86D7D"/>
    <w:rsid w:val="00B878B5"/>
    <w:rsid w:val="00B92D0B"/>
    <w:rsid w:val="00B94945"/>
    <w:rsid w:val="00BA7B9B"/>
    <w:rsid w:val="00BB0E56"/>
    <w:rsid w:val="00BB349E"/>
    <w:rsid w:val="00BB5CDF"/>
    <w:rsid w:val="00BB69D6"/>
    <w:rsid w:val="00BB7405"/>
    <w:rsid w:val="00BC395D"/>
    <w:rsid w:val="00BC3C83"/>
    <w:rsid w:val="00BC4A60"/>
    <w:rsid w:val="00BC7E80"/>
    <w:rsid w:val="00BD1932"/>
    <w:rsid w:val="00BD2A74"/>
    <w:rsid w:val="00BD3B13"/>
    <w:rsid w:val="00BD472A"/>
    <w:rsid w:val="00BD6CF3"/>
    <w:rsid w:val="00BE105A"/>
    <w:rsid w:val="00BE2180"/>
    <w:rsid w:val="00BE4275"/>
    <w:rsid w:val="00BE53A5"/>
    <w:rsid w:val="00BE55F1"/>
    <w:rsid w:val="00BE58C4"/>
    <w:rsid w:val="00BE61E1"/>
    <w:rsid w:val="00BE63D2"/>
    <w:rsid w:val="00BF0B5B"/>
    <w:rsid w:val="00BF0C1A"/>
    <w:rsid w:val="00BF195C"/>
    <w:rsid w:val="00BF2433"/>
    <w:rsid w:val="00BF5162"/>
    <w:rsid w:val="00BF5661"/>
    <w:rsid w:val="00BF5B38"/>
    <w:rsid w:val="00BF61C9"/>
    <w:rsid w:val="00BF741C"/>
    <w:rsid w:val="00BF7552"/>
    <w:rsid w:val="00BF7D5A"/>
    <w:rsid w:val="00C0515E"/>
    <w:rsid w:val="00C07422"/>
    <w:rsid w:val="00C11222"/>
    <w:rsid w:val="00C11D1B"/>
    <w:rsid w:val="00C13E8F"/>
    <w:rsid w:val="00C16C0B"/>
    <w:rsid w:val="00C16D34"/>
    <w:rsid w:val="00C17969"/>
    <w:rsid w:val="00C2307C"/>
    <w:rsid w:val="00C24BE2"/>
    <w:rsid w:val="00C25418"/>
    <w:rsid w:val="00C25D9C"/>
    <w:rsid w:val="00C3151F"/>
    <w:rsid w:val="00C31649"/>
    <w:rsid w:val="00C31929"/>
    <w:rsid w:val="00C33AA8"/>
    <w:rsid w:val="00C350E7"/>
    <w:rsid w:val="00C35BBE"/>
    <w:rsid w:val="00C35F33"/>
    <w:rsid w:val="00C40385"/>
    <w:rsid w:val="00C42881"/>
    <w:rsid w:val="00C440C2"/>
    <w:rsid w:val="00C45183"/>
    <w:rsid w:val="00C517FD"/>
    <w:rsid w:val="00C533AA"/>
    <w:rsid w:val="00C54AE1"/>
    <w:rsid w:val="00C5505D"/>
    <w:rsid w:val="00C553A4"/>
    <w:rsid w:val="00C56A48"/>
    <w:rsid w:val="00C615B9"/>
    <w:rsid w:val="00C61C7D"/>
    <w:rsid w:val="00C62D57"/>
    <w:rsid w:val="00C63515"/>
    <w:rsid w:val="00C63A53"/>
    <w:rsid w:val="00C65576"/>
    <w:rsid w:val="00C66165"/>
    <w:rsid w:val="00C705BC"/>
    <w:rsid w:val="00C71EF8"/>
    <w:rsid w:val="00C73555"/>
    <w:rsid w:val="00C750C8"/>
    <w:rsid w:val="00C7610D"/>
    <w:rsid w:val="00C76B8E"/>
    <w:rsid w:val="00C77355"/>
    <w:rsid w:val="00C80918"/>
    <w:rsid w:val="00C8213F"/>
    <w:rsid w:val="00C84479"/>
    <w:rsid w:val="00C8797A"/>
    <w:rsid w:val="00C9295F"/>
    <w:rsid w:val="00C92D05"/>
    <w:rsid w:val="00C938CF"/>
    <w:rsid w:val="00C95A49"/>
    <w:rsid w:val="00CA5245"/>
    <w:rsid w:val="00CA7613"/>
    <w:rsid w:val="00CA7B09"/>
    <w:rsid w:val="00CB27E3"/>
    <w:rsid w:val="00CB40DD"/>
    <w:rsid w:val="00CB498B"/>
    <w:rsid w:val="00CB4A54"/>
    <w:rsid w:val="00CB52FF"/>
    <w:rsid w:val="00CB5B1A"/>
    <w:rsid w:val="00CC01E8"/>
    <w:rsid w:val="00CC0550"/>
    <w:rsid w:val="00CC2E56"/>
    <w:rsid w:val="00CC4950"/>
    <w:rsid w:val="00CC6AF8"/>
    <w:rsid w:val="00CD04BE"/>
    <w:rsid w:val="00CD0C24"/>
    <w:rsid w:val="00CD39BC"/>
    <w:rsid w:val="00CD5038"/>
    <w:rsid w:val="00CD6ADC"/>
    <w:rsid w:val="00CE0007"/>
    <w:rsid w:val="00CE6274"/>
    <w:rsid w:val="00CE7A65"/>
    <w:rsid w:val="00CF116C"/>
    <w:rsid w:val="00CF2E8C"/>
    <w:rsid w:val="00CF3BA4"/>
    <w:rsid w:val="00CF456B"/>
    <w:rsid w:val="00CF4967"/>
    <w:rsid w:val="00CF5192"/>
    <w:rsid w:val="00CF5A22"/>
    <w:rsid w:val="00CF5B77"/>
    <w:rsid w:val="00D0262E"/>
    <w:rsid w:val="00D041D1"/>
    <w:rsid w:val="00D07A16"/>
    <w:rsid w:val="00D110BD"/>
    <w:rsid w:val="00D11347"/>
    <w:rsid w:val="00D17654"/>
    <w:rsid w:val="00D17D6C"/>
    <w:rsid w:val="00D21C5A"/>
    <w:rsid w:val="00D23F61"/>
    <w:rsid w:val="00D2648F"/>
    <w:rsid w:val="00D26810"/>
    <w:rsid w:val="00D271B0"/>
    <w:rsid w:val="00D31531"/>
    <w:rsid w:val="00D33809"/>
    <w:rsid w:val="00D351FE"/>
    <w:rsid w:val="00D357FF"/>
    <w:rsid w:val="00D44194"/>
    <w:rsid w:val="00D44292"/>
    <w:rsid w:val="00D458FB"/>
    <w:rsid w:val="00D465D1"/>
    <w:rsid w:val="00D470FA"/>
    <w:rsid w:val="00D54966"/>
    <w:rsid w:val="00D54AD1"/>
    <w:rsid w:val="00D55264"/>
    <w:rsid w:val="00D55D1F"/>
    <w:rsid w:val="00D57118"/>
    <w:rsid w:val="00D5792D"/>
    <w:rsid w:val="00D60EF5"/>
    <w:rsid w:val="00D64873"/>
    <w:rsid w:val="00D70A7B"/>
    <w:rsid w:val="00D70CE4"/>
    <w:rsid w:val="00D71598"/>
    <w:rsid w:val="00D719D0"/>
    <w:rsid w:val="00D76A44"/>
    <w:rsid w:val="00D77382"/>
    <w:rsid w:val="00D8116B"/>
    <w:rsid w:val="00D82120"/>
    <w:rsid w:val="00D83125"/>
    <w:rsid w:val="00D83CDB"/>
    <w:rsid w:val="00D93753"/>
    <w:rsid w:val="00D95DC1"/>
    <w:rsid w:val="00DA1B44"/>
    <w:rsid w:val="00DA1BF4"/>
    <w:rsid w:val="00DA2050"/>
    <w:rsid w:val="00DA53BC"/>
    <w:rsid w:val="00DA6257"/>
    <w:rsid w:val="00DA77A5"/>
    <w:rsid w:val="00DB060D"/>
    <w:rsid w:val="00DB08E0"/>
    <w:rsid w:val="00DB1248"/>
    <w:rsid w:val="00DB644E"/>
    <w:rsid w:val="00DB659A"/>
    <w:rsid w:val="00DB79D7"/>
    <w:rsid w:val="00DC0730"/>
    <w:rsid w:val="00DC2D97"/>
    <w:rsid w:val="00DC2F74"/>
    <w:rsid w:val="00DC4B0F"/>
    <w:rsid w:val="00DC5501"/>
    <w:rsid w:val="00DC5A4D"/>
    <w:rsid w:val="00DC5E37"/>
    <w:rsid w:val="00DC776D"/>
    <w:rsid w:val="00DD3F28"/>
    <w:rsid w:val="00DD4537"/>
    <w:rsid w:val="00DD4E15"/>
    <w:rsid w:val="00DD5247"/>
    <w:rsid w:val="00DD5D0A"/>
    <w:rsid w:val="00DD68D3"/>
    <w:rsid w:val="00DD7110"/>
    <w:rsid w:val="00DE20C6"/>
    <w:rsid w:val="00DE2613"/>
    <w:rsid w:val="00DE3CB3"/>
    <w:rsid w:val="00DE4FCB"/>
    <w:rsid w:val="00DE7FC4"/>
    <w:rsid w:val="00DF0627"/>
    <w:rsid w:val="00DF4155"/>
    <w:rsid w:val="00DF5D2B"/>
    <w:rsid w:val="00E0245B"/>
    <w:rsid w:val="00E04328"/>
    <w:rsid w:val="00E0758D"/>
    <w:rsid w:val="00E07B11"/>
    <w:rsid w:val="00E10149"/>
    <w:rsid w:val="00E1056C"/>
    <w:rsid w:val="00E10AB4"/>
    <w:rsid w:val="00E11E5F"/>
    <w:rsid w:val="00E1301B"/>
    <w:rsid w:val="00E15937"/>
    <w:rsid w:val="00E15A2C"/>
    <w:rsid w:val="00E15E80"/>
    <w:rsid w:val="00E16372"/>
    <w:rsid w:val="00E175D8"/>
    <w:rsid w:val="00E20ED6"/>
    <w:rsid w:val="00E21358"/>
    <w:rsid w:val="00E2249B"/>
    <w:rsid w:val="00E22A0D"/>
    <w:rsid w:val="00E2682F"/>
    <w:rsid w:val="00E2771E"/>
    <w:rsid w:val="00E30962"/>
    <w:rsid w:val="00E30FDB"/>
    <w:rsid w:val="00E35E4C"/>
    <w:rsid w:val="00E37200"/>
    <w:rsid w:val="00E37569"/>
    <w:rsid w:val="00E3769B"/>
    <w:rsid w:val="00E41E30"/>
    <w:rsid w:val="00E4203D"/>
    <w:rsid w:val="00E43D70"/>
    <w:rsid w:val="00E440CF"/>
    <w:rsid w:val="00E47B2C"/>
    <w:rsid w:val="00E47E96"/>
    <w:rsid w:val="00E508A9"/>
    <w:rsid w:val="00E51560"/>
    <w:rsid w:val="00E5406E"/>
    <w:rsid w:val="00E55424"/>
    <w:rsid w:val="00E55BB5"/>
    <w:rsid w:val="00E55E3E"/>
    <w:rsid w:val="00E56772"/>
    <w:rsid w:val="00E57F39"/>
    <w:rsid w:val="00E63FEF"/>
    <w:rsid w:val="00E65E79"/>
    <w:rsid w:val="00E67416"/>
    <w:rsid w:val="00E6757E"/>
    <w:rsid w:val="00E718B6"/>
    <w:rsid w:val="00E72709"/>
    <w:rsid w:val="00E73581"/>
    <w:rsid w:val="00E749C2"/>
    <w:rsid w:val="00E7754A"/>
    <w:rsid w:val="00E83BDF"/>
    <w:rsid w:val="00E90227"/>
    <w:rsid w:val="00E91579"/>
    <w:rsid w:val="00E91F37"/>
    <w:rsid w:val="00EA3864"/>
    <w:rsid w:val="00EA4D3E"/>
    <w:rsid w:val="00EA4D86"/>
    <w:rsid w:val="00EA6FCF"/>
    <w:rsid w:val="00EB15B6"/>
    <w:rsid w:val="00EB3089"/>
    <w:rsid w:val="00EB4916"/>
    <w:rsid w:val="00EB5BDE"/>
    <w:rsid w:val="00EB6AD2"/>
    <w:rsid w:val="00EC00C9"/>
    <w:rsid w:val="00EC037C"/>
    <w:rsid w:val="00EC13CF"/>
    <w:rsid w:val="00EC328F"/>
    <w:rsid w:val="00EC3FCB"/>
    <w:rsid w:val="00EC640B"/>
    <w:rsid w:val="00EC6D3B"/>
    <w:rsid w:val="00ED5A3C"/>
    <w:rsid w:val="00ED6442"/>
    <w:rsid w:val="00ED650A"/>
    <w:rsid w:val="00ED7388"/>
    <w:rsid w:val="00ED7F6D"/>
    <w:rsid w:val="00EE07D3"/>
    <w:rsid w:val="00EE1A15"/>
    <w:rsid w:val="00EE2392"/>
    <w:rsid w:val="00EE636C"/>
    <w:rsid w:val="00EE669C"/>
    <w:rsid w:val="00EE6722"/>
    <w:rsid w:val="00EF0A4A"/>
    <w:rsid w:val="00EF27D0"/>
    <w:rsid w:val="00EF42A0"/>
    <w:rsid w:val="00F0181F"/>
    <w:rsid w:val="00F01E39"/>
    <w:rsid w:val="00F067A2"/>
    <w:rsid w:val="00F06982"/>
    <w:rsid w:val="00F10162"/>
    <w:rsid w:val="00F11146"/>
    <w:rsid w:val="00F13D9B"/>
    <w:rsid w:val="00F146E1"/>
    <w:rsid w:val="00F1574A"/>
    <w:rsid w:val="00F15E8A"/>
    <w:rsid w:val="00F22AEC"/>
    <w:rsid w:val="00F2310B"/>
    <w:rsid w:val="00F24837"/>
    <w:rsid w:val="00F2575F"/>
    <w:rsid w:val="00F25FF3"/>
    <w:rsid w:val="00F3095E"/>
    <w:rsid w:val="00F321A7"/>
    <w:rsid w:val="00F333A8"/>
    <w:rsid w:val="00F333D9"/>
    <w:rsid w:val="00F33DE9"/>
    <w:rsid w:val="00F34DA6"/>
    <w:rsid w:val="00F35DB7"/>
    <w:rsid w:val="00F3619A"/>
    <w:rsid w:val="00F36580"/>
    <w:rsid w:val="00F3770F"/>
    <w:rsid w:val="00F402D4"/>
    <w:rsid w:val="00F40FD3"/>
    <w:rsid w:val="00F42B03"/>
    <w:rsid w:val="00F437BB"/>
    <w:rsid w:val="00F46CB6"/>
    <w:rsid w:val="00F47665"/>
    <w:rsid w:val="00F527ED"/>
    <w:rsid w:val="00F559FE"/>
    <w:rsid w:val="00F55E73"/>
    <w:rsid w:val="00F60092"/>
    <w:rsid w:val="00F72A31"/>
    <w:rsid w:val="00F74DD6"/>
    <w:rsid w:val="00F7643A"/>
    <w:rsid w:val="00F77673"/>
    <w:rsid w:val="00F7769F"/>
    <w:rsid w:val="00F80E5D"/>
    <w:rsid w:val="00F82DB5"/>
    <w:rsid w:val="00F851CE"/>
    <w:rsid w:val="00F86F07"/>
    <w:rsid w:val="00F87639"/>
    <w:rsid w:val="00F91357"/>
    <w:rsid w:val="00F93573"/>
    <w:rsid w:val="00F9563B"/>
    <w:rsid w:val="00F959D5"/>
    <w:rsid w:val="00F97A78"/>
    <w:rsid w:val="00FA24E7"/>
    <w:rsid w:val="00FB1003"/>
    <w:rsid w:val="00FB2FCB"/>
    <w:rsid w:val="00FB4838"/>
    <w:rsid w:val="00FB6682"/>
    <w:rsid w:val="00FC1074"/>
    <w:rsid w:val="00FC1884"/>
    <w:rsid w:val="00FC3ECC"/>
    <w:rsid w:val="00FC3EEA"/>
    <w:rsid w:val="00FC54DA"/>
    <w:rsid w:val="00FC7C92"/>
    <w:rsid w:val="00FD2100"/>
    <w:rsid w:val="00FD43BA"/>
    <w:rsid w:val="00FD446D"/>
    <w:rsid w:val="00FD585A"/>
    <w:rsid w:val="00FD637B"/>
    <w:rsid w:val="00FE5EB2"/>
    <w:rsid w:val="00FF0FFB"/>
    <w:rsid w:val="00FF1C24"/>
    <w:rsid w:val="00FF3DCF"/>
    <w:rsid w:val="00FF5AA3"/>
    <w:rsid w:val="00FF6511"/>
    <w:rsid w:val="00FF77E4"/>
  </w:rsids>
  <m:mathPr>
    <m:mathFont m:val="Cambria Math"/>
    <m:brkBin m:val="before"/>
    <m:brkBinSub m:val="--"/>
    <m:smallFrac m:val="0"/>
    <m:dispDef/>
    <m:lMargin m:val="0"/>
    <m:rMargin m:val="0"/>
    <m:defJc m:val="centerGroup"/>
    <m:wrapIndent m:val="1440"/>
    <m:intLim m:val="subSup"/>
    <m:naryLim m:val="undOvr"/>
  </m:mathPr>
  <w:themeFontLang w:val="en-AU"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header" w:uiPriority="99"/>
    <w:lsdException w:name="footer"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basedOn w:val="PBACHeading1"/>
    <w:next w:val="Normal"/>
    <w:qFormat/>
    <w:rsid w:val="006412CE"/>
    <w:pPr>
      <w:outlineLvl w:val="0"/>
    </w:pPr>
  </w:style>
  <w:style w:type="paragraph" w:styleId="Heading2">
    <w:name w:val="heading 2"/>
    <w:basedOn w:val="Normal"/>
    <w:next w:val="Normal"/>
    <w:link w:val="Heading2Char"/>
    <w:qFormat/>
    <w:rsid w:val="006412CE"/>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6412CE"/>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PBACHeading1"/>
    <w:next w:val="Normal"/>
    <w:link w:val="TitleChar"/>
    <w:rsid w:val="006412CE"/>
    <w:pPr>
      <w:numPr>
        <w:numId w:val="0"/>
      </w:numPr>
      <w:ind w:left="720" w:hanging="720"/>
    </w:pPr>
  </w:style>
  <w:style w:type="character" w:customStyle="1" w:styleId="TitleChar">
    <w:name w:val="Title Char"/>
    <w:basedOn w:val="DefaultParagraphFont"/>
    <w:link w:val="Title"/>
    <w:rsid w:val="006412CE"/>
    <w:rPr>
      <w:rFonts w:ascii="Arial" w:hAnsi="Arial" w:cs="Arial"/>
      <w:b/>
      <w:snapToGrid w:val="0"/>
      <w:sz w:val="22"/>
      <w:szCs w:val="2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aliases w:val="Comment Text Char Char Char,Comment Text Char Char"/>
    <w:basedOn w:val="Normal"/>
    <w:link w:val="CommentTextChar"/>
    <w:rsid w:val="00FD2100"/>
    <w:rPr>
      <w:rFonts w:ascii="Times New Roman" w:hAnsi="Times New Roman" w:cs="Times New Roman"/>
      <w:sz w:val="20"/>
    </w:rPr>
  </w:style>
  <w:style w:type="character" w:customStyle="1" w:styleId="CommentTextChar">
    <w:name w:val="Comment Text Char"/>
    <w:aliases w:val="Comment Text Char Char Char Char,Comment Text Char Char Char1"/>
    <w:basedOn w:val="DefaultParagraphFont"/>
    <w:link w:val="CommentText"/>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2"/>
      </w:numPr>
    </w:pPr>
    <w:rPr>
      <w:rFonts w:ascii="Arial" w:hAnsi="Arial" w:cs="Arial"/>
      <w:b/>
      <w:snapToGrid w:val="0"/>
      <w:sz w:val="22"/>
      <w:szCs w:val="22"/>
      <w:lang w:eastAsia="en-US"/>
    </w:rPr>
  </w:style>
  <w:style w:type="character" w:customStyle="1" w:styleId="ListParagraphChar">
    <w:name w:val="List Paragraph Char"/>
    <w:link w:val="ListParagraph"/>
    <w:uiPriority w:val="72"/>
    <w:rsid w:val="00CB52FF"/>
    <w:rPr>
      <w:rFonts w:ascii="Arial" w:hAnsi="Arial" w:cs="Arial"/>
      <w:snapToGrid w:val="0"/>
      <w:sz w:val="22"/>
      <w:lang w:eastAsia="en-US"/>
    </w:rPr>
  </w:style>
  <w:style w:type="paragraph" w:styleId="FootnoteText">
    <w:name w:val="footnote text"/>
    <w:basedOn w:val="Normal"/>
    <w:link w:val="FootnoteTextChar"/>
    <w:semiHidden/>
    <w:unhideWhenUsed/>
    <w:rsid w:val="00B23B81"/>
    <w:rPr>
      <w:sz w:val="20"/>
    </w:rPr>
  </w:style>
  <w:style w:type="character" w:customStyle="1" w:styleId="FootnoteTextChar">
    <w:name w:val="Footnote Text Char"/>
    <w:basedOn w:val="DefaultParagraphFont"/>
    <w:link w:val="FootnoteText"/>
    <w:semiHidden/>
    <w:rsid w:val="00B23B81"/>
    <w:rPr>
      <w:rFonts w:ascii="Arial" w:hAnsi="Arial" w:cs="Arial"/>
      <w:snapToGrid w:val="0"/>
      <w:lang w:eastAsia="en-US"/>
    </w:rPr>
  </w:style>
  <w:style w:type="character" w:styleId="FootnoteReference">
    <w:name w:val="footnote reference"/>
    <w:basedOn w:val="DefaultParagraphFont"/>
    <w:semiHidden/>
    <w:unhideWhenUsed/>
    <w:rsid w:val="00B23B81"/>
    <w:rPr>
      <w:vertAlign w:val="superscript"/>
    </w:rPr>
  </w:style>
  <w:style w:type="paragraph" w:customStyle="1" w:styleId="Default">
    <w:name w:val="Default"/>
    <w:rsid w:val="00861264"/>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semiHidden/>
    <w:unhideWhenUsed/>
    <w:rsid w:val="00A50FE8"/>
    <w:rPr>
      <w:color w:val="800080" w:themeColor="followedHyperlink"/>
      <w:u w:val="single"/>
    </w:rPr>
  </w:style>
  <w:style w:type="table" w:customStyle="1" w:styleId="Summarybox1">
    <w:name w:val="Summary box1"/>
    <w:basedOn w:val="TableNormal"/>
    <w:next w:val="TableGrid"/>
    <w:uiPriority w:val="59"/>
    <w:rsid w:val="006F37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2">
    <w:name w:val="Summary box2"/>
    <w:basedOn w:val="TableNormal"/>
    <w:next w:val="TableGrid"/>
    <w:uiPriority w:val="59"/>
    <w:rsid w:val="00D31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0A609B"/>
    <w:pPr>
      <w:widowControl/>
      <w:spacing w:after="160" w:line="240" w:lineRule="exact"/>
      <w:jc w:val="left"/>
    </w:pPr>
    <w:rPr>
      <w:rFonts w:ascii="Verdana" w:eastAsia="MS Mincho" w:hAnsi="Verdana" w:cs="Verdana"/>
      <w:snapToGrid/>
      <w:sz w:val="20"/>
      <w:lang w:val="en-US"/>
    </w:rPr>
  </w:style>
  <w:style w:type="character" w:styleId="IntenseReference">
    <w:name w:val="Intense Reference"/>
    <w:basedOn w:val="DefaultParagraphFont"/>
    <w:uiPriority w:val="32"/>
    <w:qFormat/>
    <w:rsid w:val="00127509"/>
    <w:rPr>
      <w:b/>
      <w:bCs/>
      <w:i/>
      <w:smallCaps/>
      <w:color w:val="C0504D" w:themeColor="accent2"/>
      <w:spacing w:val="5"/>
      <w:u w:val="none"/>
    </w:rPr>
  </w:style>
  <w:style w:type="character" w:styleId="PlaceholderText">
    <w:name w:val="Placeholder Text"/>
    <w:basedOn w:val="DefaultParagraphFont"/>
    <w:uiPriority w:val="99"/>
    <w:semiHidden/>
    <w:rsid w:val="002D2EFF"/>
    <w:rPr>
      <w:color w:val="808080"/>
    </w:rPr>
  </w:style>
  <w:style w:type="paragraph" w:customStyle="1" w:styleId="StyleTitle14ptFirstline0cm">
    <w:name w:val="Style Title + 14 pt First line:  0 cm"/>
    <w:basedOn w:val="Title"/>
    <w:rsid w:val="006412CE"/>
    <w:pPr>
      <w:ind w:firstLine="0"/>
      <w:outlineLvl w:val="0"/>
    </w:pPr>
    <w:rPr>
      <w:rFonts w:cs="Times New Roman"/>
      <w:bCs/>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header" w:uiPriority="99"/>
    <w:lsdException w:name="footer"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basedOn w:val="PBACHeading1"/>
    <w:next w:val="Normal"/>
    <w:qFormat/>
    <w:rsid w:val="006412CE"/>
    <w:pPr>
      <w:outlineLvl w:val="0"/>
    </w:pPr>
  </w:style>
  <w:style w:type="paragraph" w:styleId="Heading2">
    <w:name w:val="heading 2"/>
    <w:basedOn w:val="Normal"/>
    <w:next w:val="Normal"/>
    <w:link w:val="Heading2Char"/>
    <w:qFormat/>
    <w:rsid w:val="006412CE"/>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6412CE"/>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PBACHeading1"/>
    <w:next w:val="Normal"/>
    <w:link w:val="TitleChar"/>
    <w:rsid w:val="006412CE"/>
    <w:pPr>
      <w:numPr>
        <w:numId w:val="0"/>
      </w:numPr>
      <w:ind w:left="720" w:hanging="720"/>
    </w:pPr>
  </w:style>
  <w:style w:type="character" w:customStyle="1" w:styleId="TitleChar">
    <w:name w:val="Title Char"/>
    <w:basedOn w:val="DefaultParagraphFont"/>
    <w:link w:val="Title"/>
    <w:rsid w:val="006412CE"/>
    <w:rPr>
      <w:rFonts w:ascii="Arial" w:hAnsi="Arial" w:cs="Arial"/>
      <w:b/>
      <w:snapToGrid w:val="0"/>
      <w:sz w:val="22"/>
      <w:szCs w:val="2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aliases w:val="Comment Text Char Char Char,Comment Text Char Char"/>
    <w:basedOn w:val="Normal"/>
    <w:link w:val="CommentTextChar"/>
    <w:rsid w:val="00FD2100"/>
    <w:rPr>
      <w:rFonts w:ascii="Times New Roman" w:hAnsi="Times New Roman" w:cs="Times New Roman"/>
      <w:sz w:val="20"/>
    </w:rPr>
  </w:style>
  <w:style w:type="character" w:customStyle="1" w:styleId="CommentTextChar">
    <w:name w:val="Comment Text Char"/>
    <w:aliases w:val="Comment Text Char Char Char Char,Comment Text Char Char Char1"/>
    <w:basedOn w:val="DefaultParagraphFont"/>
    <w:link w:val="CommentText"/>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2"/>
      </w:numPr>
    </w:pPr>
    <w:rPr>
      <w:rFonts w:ascii="Arial" w:hAnsi="Arial" w:cs="Arial"/>
      <w:b/>
      <w:snapToGrid w:val="0"/>
      <w:sz w:val="22"/>
      <w:szCs w:val="22"/>
      <w:lang w:eastAsia="en-US"/>
    </w:rPr>
  </w:style>
  <w:style w:type="character" w:customStyle="1" w:styleId="ListParagraphChar">
    <w:name w:val="List Paragraph Char"/>
    <w:link w:val="ListParagraph"/>
    <w:uiPriority w:val="72"/>
    <w:rsid w:val="00CB52FF"/>
    <w:rPr>
      <w:rFonts w:ascii="Arial" w:hAnsi="Arial" w:cs="Arial"/>
      <w:snapToGrid w:val="0"/>
      <w:sz w:val="22"/>
      <w:lang w:eastAsia="en-US"/>
    </w:rPr>
  </w:style>
  <w:style w:type="paragraph" w:styleId="FootnoteText">
    <w:name w:val="footnote text"/>
    <w:basedOn w:val="Normal"/>
    <w:link w:val="FootnoteTextChar"/>
    <w:semiHidden/>
    <w:unhideWhenUsed/>
    <w:rsid w:val="00B23B81"/>
    <w:rPr>
      <w:sz w:val="20"/>
    </w:rPr>
  </w:style>
  <w:style w:type="character" w:customStyle="1" w:styleId="FootnoteTextChar">
    <w:name w:val="Footnote Text Char"/>
    <w:basedOn w:val="DefaultParagraphFont"/>
    <w:link w:val="FootnoteText"/>
    <w:semiHidden/>
    <w:rsid w:val="00B23B81"/>
    <w:rPr>
      <w:rFonts w:ascii="Arial" w:hAnsi="Arial" w:cs="Arial"/>
      <w:snapToGrid w:val="0"/>
      <w:lang w:eastAsia="en-US"/>
    </w:rPr>
  </w:style>
  <w:style w:type="character" w:styleId="FootnoteReference">
    <w:name w:val="footnote reference"/>
    <w:basedOn w:val="DefaultParagraphFont"/>
    <w:semiHidden/>
    <w:unhideWhenUsed/>
    <w:rsid w:val="00B23B81"/>
    <w:rPr>
      <w:vertAlign w:val="superscript"/>
    </w:rPr>
  </w:style>
  <w:style w:type="paragraph" w:customStyle="1" w:styleId="Default">
    <w:name w:val="Default"/>
    <w:rsid w:val="00861264"/>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semiHidden/>
    <w:unhideWhenUsed/>
    <w:rsid w:val="00A50FE8"/>
    <w:rPr>
      <w:color w:val="800080" w:themeColor="followedHyperlink"/>
      <w:u w:val="single"/>
    </w:rPr>
  </w:style>
  <w:style w:type="table" w:customStyle="1" w:styleId="Summarybox1">
    <w:name w:val="Summary box1"/>
    <w:basedOn w:val="TableNormal"/>
    <w:next w:val="TableGrid"/>
    <w:uiPriority w:val="59"/>
    <w:rsid w:val="006F37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2">
    <w:name w:val="Summary box2"/>
    <w:basedOn w:val="TableNormal"/>
    <w:next w:val="TableGrid"/>
    <w:uiPriority w:val="59"/>
    <w:rsid w:val="00D31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0A609B"/>
    <w:pPr>
      <w:widowControl/>
      <w:spacing w:after="160" w:line="240" w:lineRule="exact"/>
      <w:jc w:val="left"/>
    </w:pPr>
    <w:rPr>
      <w:rFonts w:ascii="Verdana" w:eastAsia="MS Mincho" w:hAnsi="Verdana" w:cs="Verdana"/>
      <w:snapToGrid/>
      <w:sz w:val="20"/>
      <w:lang w:val="en-US"/>
    </w:rPr>
  </w:style>
  <w:style w:type="character" w:styleId="IntenseReference">
    <w:name w:val="Intense Reference"/>
    <w:basedOn w:val="DefaultParagraphFont"/>
    <w:uiPriority w:val="32"/>
    <w:qFormat/>
    <w:rsid w:val="00127509"/>
    <w:rPr>
      <w:b/>
      <w:bCs/>
      <w:i/>
      <w:smallCaps/>
      <w:color w:val="C0504D" w:themeColor="accent2"/>
      <w:spacing w:val="5"/>
      <w:u w:val="none"/>
    </w:rPr>
  </w:style>
  <w:style w:type="character" w:styleId="PlaceholderText">
    <w:name w:val="Placeholder Text"/>
    <w:basedOn w:val="DefaultParagraphFont"/>
    <w:uiPriority w:val="99"/>
    <w:semiHidden/>
    <w:rsid w:val="002D2EFF"/>
    <w:rPr>
      <w:color w:val="808080"/>
    </w:rPr>
  </w:style>
  <w:style w:type="paragraph" w:customStyle="1" w:styleId="StyleTitle14ptFirstline0cm">
    <w:name w:val="Style Title + 14 pt First line:  0 cm"/>
    <w:basedOn w:val="Title"/>
    <w:rsid w:val="006412CE"/>
    <w:pPr>
      <w:ind w:firstLine="0"/>
      <w:outlineLvl w:val="0"/>
    </w:pPr>
    <w:rPr>
      <w:rFonts w:cs="Times New Roman"/>
      <w:bCs/>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56324">
      <w:bodyDiv w:val="1"/>
      <w:marLeft w:val="0"/>
      <w:marRight w:val="0"/>
      <w:marTop w:val="0"/>
      <w:marBottom w:val="0"/>
      <w:divBdr>
        <w:top w:val="none" w:sz="0" w:space="0" w:color="auto"/>
        <w:left w:val="none" w:sz="0" w:space="0" w:color="auto"/>
        <w:bottom w:val="none" w:sz="0" w:space="0" w:color="auto"/>
        <w:right w:val="none" w:sz="0" w:space="0" w:color="auto"/>
      </w:divBdr>
    </w:div>
    <w:div w:id="65493033">
      <w:bodyDiv w:val="1"/>
      <w:marLeft w:val="0"/>
      <w:marRight w:val="0"/>
      <w:marTop w:val="0"/>
      <w:marBottom w:val="0"/>
      <w:divBdr>
        <w:top w:val="none" w:sz="0" w:space="0" w:color="auto"/>
        <w:left w:val="none" w:sz="0" w:space="0" w:color="auto"/>
        <w:bottom w:val="none" w:sz="0" w:space="0" w:color="auto"/>
        <w:right w:val="none" w:sz="0" w:space="0" w:color="auto"/>
      </w:divBdr>
    </w:div>
    <w:div w:id="71200045">
      <w:bodyDiv w:val="1"/>
      <w:marLeft w:val="0"/>
      <w:marRight w:val="0"/>
      <w:marTop w:val="0"/>
      <w:marBottom w:val="0"/>
      <w:divBdr>
        <w:top w:val="none" w:sz="0" w:space="0" w:color="auto"/>
        <w:left w:val="none" w:sz="0" w:space="0" w:color="auto"/>
        <w:bottom w:val="none" w:sz="0" w:space="0" w:color="auto"/>
        <w:right w:val="none" w:sz="0" w:space="0" w:color="auto"/>
      </w:divBdr>
    </w:div>
    <w:div w:id="323096857">
      <w:bodyDiv w:val="1"/>
      <w:marLeft w:val="0"/>
      <w:marRight w:val="0"/>
      <w:marTop w:val="0"/>
      <w:marBottom w:val="0"/>
      <w:divBdr>
        <w:top w:val="none" w:sz="0" w:space="0" w:color="auto"/>
        <w:left w:val="none" w:sz="0" w:space="0" w:color="auto"/>
        <w:bottom w:val="none" w:sz="0" w:space="0" w:color="auto"/>
        <w:right w:val="none" w:sz="0" w:space="0" w:color="auto"/>
      </w:divBdr>
      <w:divsChild>
        <w:div w:id="1682314571">
          <w:marLeft w:val="547"/>
          <w:marRight w:val="0"/>
          <w:marTop w:val="144"/>
          <w:marBottom w:val="0"/>
          <w:divBdr>
            <w:top w:val="none" w:sz="0" w:space="0" w:color="auto"/>
            <w:left w:val="none" w:sz="0" w:space="0" w:color="auto"/>
            <w:bottom w:val="none" w:sz="0" w:space="0" w:color="auto"/>
            <w:right w:val="none" w:sz="0" w:space="0" w:color="auto"/>
          </w:divBdr>
        </w:div>
        <w:div w:id="789470109">
          <w:marLeft w:val="547"/>
          <w:marRight w:val="0"/>
          <w:marTop w:val="144"/>
          <w:marBottom w:val="0"/>
          <w:divBdr>
            <w:top w:val="none" w:sz="0" w:space="0" w:color="auto"/>
            <w:left w:val="none" w:sz="0" w:space="0" w:color="auto"/>
            <w:bottom w:val="none" w:sz="0" w:space="0" w:color="auto"/>
            <w:right w:val="none" w:sz="0" w:space="0" w:color="auto"/>
          </w:divBdr>
        </w:div>
        <w:div w:id="509487967">
          <w:marLeft w:val="547"/>
          <w:marRight w:val="0"/>
          <w:marTop w:val="144"/>
          <w:marBottom w:val="0"/>
          <w:divBdr>
            <w:top w:val="none" w:sz="0" w:space="0" w:color="auto"/>
            <w:left w:val="none" w:sz="0" w:space="0" w:color="auto"/>
            <w:bottom w:val="none" w:sz="0" w:space="0" w:color="auto"/>
            <w:right w:val="none" w:sz="0" w:space="0" w:color="auto"/>
          </w:divBdr>
        </w:div>
        <w:div w:id="1241325837">
          <w:marLeft w:val="547"/>
          <w:marRight w:val="0"/>
          <w:marTop w:val="144"/>
          <w:marBottom w:val="0"/>
          <w:divBdr>
            <w:top w:val="none" w:sz="0" w:space="0" w:color="auto"/>
            <w:left w:val="none" w:sz="0" w:space="0" w:color="auto"/>
            <w:bottom w:val="none" w:sz="0" w:space="0" w:color="auto"/>
            <w:right w:val="none" w:sz="0" w:space="0" w:color="auto"/>
          </w:divBdr>
        </w:div>
      </w:divsChild>
    </w:div>
    <w:div w:id="460653681">
      <w:bodyDiv w:val="1"/>
      <w:marLeft w:val="0"/>
      <w:marRight w:val="0"/>
      <w:marTop w:val="0"/>
      <w:marBottom w:val="0"/>
      <w:divBdr>
        <w:top w:val="none" w:sz="0" w:space="0" w:color="auto"/>
        <w:left w:val="none" w:sz="0" w:space="0" w:color="auto"/>
        <w:bottom w:val="none" w:sz="0" w:space="0" w:color="auto"/>
        <w:right w:val="none" w:sz="0" w:space="0" w:color="auto"/>
      </w:divBdr>
    </w:div>
    <w:div w:id="565147238">
      <w:bodyDiv w:val="1"/>
      <w:marLeft w:val="0"/>
      <w:marRight w:val="0"/>
      <w:marTop w:val="0"/>
      <w:marBottom w:val="0"/>
      <w:divBdr>
        <w:top w:val="none" w:sz="0" w:space="0" w:color="auto"/>
        <w:left w:val="none" w:sz="0" w:space="0" w:color="auto"/>
        <w:bottom w:val="none" w:sz="0" w:space="0" w:color="auto"/>
        <w:right w:val="none" w:sz="0" w:space="0" w:color="auto"/>
      </w:divBdr>
      <w:divsChild>
        <w:div w:id="451559446">
          <w:marLeft w:val="547"/>
          <w:marRight w:val="0"/>
          <w:marTop w:val="86"/>
          <w:marBottom w:val="0"/>
          <w:divBdr>
            <w:top w:val="none" w:sz="0" w:space="0" w:color="auto"/>
            <w:left w:val="none" w:sz="0" w:space="0" w:color="auto"/>
            <w:bottom w:val="none" w:sz="0" w:space="0" w:color="auto"/>
            <w:right w:val="none" w:sz="0" w:space="0" w:color="auto"/>
          </w:divBdr>
        </w:div>
      </w:divsChild>
    </w:div>
    <w:div w:id="584917955">
      <w:bodyDiv w:val="1"/>
      <w:marLeft w:val="0"/>
      <w:marRight w:val="0"/>
      <w:marTop w:val="0"/>
      <w:marBottom w:val="0"/>
      <w:divBdr>
        <w:top w:val="none" w:sz="0" w:space="0" w:color="auto"/>
        <w:left w:val="none" w:sz="0" w:space="0" w:color="auto"/>
        <w:bottom w:val="none" w:sz="0" w:space="0" w:color="auto"/>
        <w:right w:val="none" w:sz="0" w:space="0" w:color="auto"/>
      </w:divBdr>
    </w:div>
    <w:div w:id="898133265">
      <w:bodyDiv w:val="1"/>
      <w:marLeft w:val="0"/>
      <w:marRight w:val="0"/>
      <w:marTop w:val="0"/>
      <w:marBottom w:val="0"/>
      <w:divBdr>
        <w:top w:val="none" w:sz="0" w:space="0" w:color="auto"/>
        <w:left w:val="none" w:sz="0" w:space="0" w:color="auto"/>
        <w:bottom w:val="none" w:sz="0" w:space="0" w:color="auto"/>
        <w:right w:val="none" w:sz="0" w:space="0" w:color="auto"/>
      </w:divBdr>
    </w:div>
    <w:div w:id="1098871900">
      <w:bodyDiv w:val="1"/>
      <w:marLeft w:val="0"/>
      <w:marRight w:val="0"/>
      <w:marTop w:val="0"/>
      <w:marBottom w:val="0"/>
      <w:divBdr>
        <w:top w:val="none" w:sz="0" w:space="0" w:color="auto"/>
        <w:left w:val="none" w:sz="0" w:space="0" w:color="auto"/>
        <w:bottom w:val="none" w:sz="0" w:space="0" w:color="auto"/>
        <w:right w:val="none" w:sz="0" w:space="0" w:color="auto"/>
      </w:divBdr>
    </w:div>
    <w:div w:id="1133985262">
      <w:bodyDiv w:val="1"/>
      <w:marLeft w:val="0"/>
      <w:marRight w:val="0"/>
      <w:marTop w:val="0"/>
      <w:marBottom w:val="0"/>
      <w:divBdr>
        <w:top w:val="none" w:sz="0" w:space="0" w:color="auto"/>
        <w:left w:val="none" w:sz="0" w:space="0" w:color="auto"/>
        <w:bottom w:val="none" w:sz="0" w:space="0" w:color="auto"/>
        <w:right w:val="none" w:sz="0" w:space="0" w:color="auto"/>
      </w:divBdr>
    </w:div>
    <w:div w:id="1473794543">
      <w:bodyDiv w:val="1"/>
      <w:marLeft w:val="0"/>
      <w:marRight w:val="0"/>
      <w:marTop w:val="0"/>
      <w:marBottom w:val="0"/>
      <w:divBdr>
        <w:top w:val="none" w:sz="0" w:space="0" w:color="auto"/>
        <w:left w:val="none" w:sz="0" w:space="0" w:color="auto"/>
        <w:bottom w:val="none" w:sz="0" w:space="0" w:color="auto"/>
        <w:right w:val="none" w:sz="0" w:space="0" w:color="auto"/>
      </w:divBdr>
    </w:div>
    <w:div w:id="1657882262">
      <w:bodyDiv w:val="1"/>
      <w:marLeft w:val="0"/>
      <w:marRight w:val="0"/>
      <w:marTop w:val="0"/>
      <w:marBottom w:val="0"/>
      <w:divBdr>
        <w:top w:val="none" w:sz="0" w:space="0" w:color="auto"/>
        <w:left w:val="none" w:sz="0" w:space="0" w:color="auto"/>
        <w:bottom w:val="none" w:sz="0" w:space="0" w:color="auto"/>
        <w:right w:val="none" w:sz="0" w:space="0" w:color="auto"/>
      </w:divBdr>
      <w:divsChild>
        <w:div w:id="1699157035">
          <w:marLeft w:val="547"/>
          <w:marRight w:val="0"/>
          <w:marTop w:val="120"/>
          <w:marBottom w:val="0"/>
          <w:divBdr>
            <w:top w:val="none" w:sz="0" w:space="0" w:color="auto"/>
            <w:left w:val="none" w:sz="0" w:space="0" w:color="auto"/>
            <w:bottom w:val="none" w:sz="0" w:space="0" w:color="auto"/>
            <w:right w:val="none" w:sz="0" w:space="0" w:color="auto"/>
          </w:divBdr>
        </w:div>
        <w:div w:id="528877468">
          <w:marLeft w:val="547"/>
          <w:marRight w:val="0"/>
          <w:marTop w:val="120"/>
          <w:marBottom w:val="0"/>
          <w:divBdr>
            <w:top w:val="none" w:sz="0" w:space="0" w:color="auto"/>
            <w:left w:val="none" w:sz="0" w:space="0" w:color="auto"/>
            <w:bottom w:val="none" w:sz="0" w:space="0" w:color="auto"/>
            <w:right w:val="none" w:sz="0" w:space="0" w:color="auto"/>
          </w:divBdr>
        </w:div>
      </w:divsChild>
    </w:div>
    <w:div w:id="1712220712">
      <w:bodyDiv w:val="1"/>
      <w:marLeft w:val="0"/>
      <w:marRight w:val="0"/>
      <w:marTop w:val="0"/>
      <w:marBottom w:val="0"/>
      <w:divBdr>
        <w:top w:val="none" w:sz="0" w:space="0" w:color="auto"/>
        <w:left w:val="none" w:sz="0" w:space="0" w:color="auto"/>
        <w:bottom w:val="none" w:sz="0" w:space="0" w:color="auto"/>
        <w:right w:val="none" w:sz="0" w:space="0" w:color="auto"/>
      </w:divBdr>
    </w:div>
    <w:div w:id="1953707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tmp"/><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rdia New">
    <w:panose1 w:val="020B0304020202020204"/>
    <w:charset w:val="00"/>
    <w:family w:val="swiss"/>
    <w:pitch w:val="variable"/>
    <w:sig w:usb0="81000003" w:usb1="00000000" w:usb2="00000000" w:usb3="00000000" w:csb0="0001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201"/>
    <w:rsid w:val="008E1CFC"/>
    <w:rsid w:val="00B22FC1"/>
    <w:rsid w:val="00C16201"/>
    <w:rsid w:val="00C31E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6201"/>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620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F2E71B-ECC2-4B0C-BF00-85298B735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9391</Words>
  <Characters>54981</Characters>
  <Application>Microsoft Office Word</Application>
  <DocSecurity>0</DocSecurity>
  <Lines>458</Lines>
  <Paragraphs>128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64244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2016-02-28T23:00:00Z</dcterms:created>
  <dcterms:modified xsi:type="dcterms:W3CDTF">2016-02-28T23:55:00Z</dcterms:modified>
</cp:coreProperties>
</file>