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996176" w:rsidRDefault="00C52D79" w:rsidP="00996176">
      <w:pPr>
        <w:pStyle w:val="Title"/>
      </w:pPr>
      <w:r w:rsidRPr="00996176">
        <w:t>6.</w:t>
      </w:r>
      <w:r w:rsidR="004D0E75" w:rsidRPr="00996176">
        <w:t>1</w:t>
      </w:r>
      <w:r w:rsidRPr="00996176">
        <w:t>7</w:t>
      </w:r>
      <w:r w:rsidR="007C0F57" w:rsidRPr="00996176">
        <w:tab/>
      </w:r>
      <w:bookmarkStart w:id="0" w:name="_GoBack"/>
      <w:r w:rsidRPr="00996176">
        <w:t>MESALAZINE</w:t>
      </w:r>
    </w:p>
    <w:p w:rsidR="00C27B58" w:rsidRPr="00996176" w:rsidRDefault="002F4A00" w:rsidP="00996176">
      <w:pPr>
        <w:pStyle w:val="Title"/>
        <w:ind w:hanging="11"/>
      </w:pPr>
      <w:r w:rsidRPr="00996176">
        <w:t>Modified released</w:t>
      </w:r>
      <w:r w:rsidR="0004240E" w:rsidRPr="00996176">
        <w:t xml:space="preserve">, </w:t>
      </w:r>
      <w:r w:rsidRPr="00996176">
        <w:t>1.2 g tablet</w:t>
      </w:r>
      <w:r w:rsidR="0004240E" w:rsidRPr="00996176">
        <w:t>,</w:t>
      </w:r>
      <w:r w:rsidR="002A6C0A" w:rsidRPr="00996176">
        <w:t xml:space="preserve"> 60</w:t>
      </w:r>
    </w:p>
    <w:p w:rsidR="00D3280C" w:rsidRPr="00996176" w:rsidRDefault="002F4A00" w:rsidP="00996176">
      <w:pPr>
        <w:pStyle w:val="Title"/>
        <w:ind w:hanging="11"/>
      </w:pPr>
      <w:r w:rsidRPr="00996176">
        <w:t>Mezavant</w:t>
      </w:r>
      <w:r w:rsidR="0004240E" w:rsidRPr="00996176">
        <w:t>®</w:t>
      </w:r>
      <w:r w:rsidR="00731A2B" w:rsidRPr="00996176">
        <w:t>,</w:t>
      </w:r>
      <w:r w:rsidRPr="00996176">
        <w:t>Shire</w:t>
      </w:r>
      <w:r w:rsidR="000A2D01" w:rsidRPr="00996176">
        <w:t>.</w:t>
      </w:r>
    </w:p>
    <w:bookmarkEnd w:id="0"/>
    <w:p w:rsidR="00CE10C4" w:rsidRDefault="00CE10C4" w:rsidP="00C27B58">
      <w:pPr>
        <w:pStyle w:val="NoSpacing"/>
      </w:pPr>
    </w:p>
    <w:p w:rsidR="00C27B58" w:rsidRDefault="00C27B58" w:rsidP="00C27B58">
      <w:pPr>
        <w:pStyle w:val="NoSpacing"/>
      </w:pPr>
    </w:p>
    <w:p w:rsidR="00CE10C4" w:rsidRPr="00882085" w:rsidRDefault="00CE10C4" w:rsidP="00996176">
      <w:pPr>
        <w:pStyle w:val="Heading1"/>
      </w:pPr>
      <w:r w:rsidRPr="00882085">
        <w:t xml:space="preserve">Purpose of </w:t>
      </w:r>
      <w:r w:rsidR="0004240E" w:rsidRPr="00996176">
        <w:t>Application</w:t>
      </w:r>
    </w:p>
    <w:p w:rsidR="006A12A5" w:rsidRPr="00882085" w:rsidRDefault="006A12A5" w:rsidP="00882085">
      <w:pPr>
        <w:jc w:val="both"/>
        <w:rPr>
          <w:rFonts w:ascii="Arial" w:hAnsi="Arial"/>
          <w:sz w:val="22"/>
          <w:szCs w:val="22"/>
        </w:rPr>
      </w:pPr>
    </w:p>
    <w:p w:rsidR="00F9629A" w:rsidRPr="00F9629A" w:rsidRDefault="00EF44A0" w:rsidP="00C27B58">
      <w:pPr>
        <w:pStyle w:val="ListParagraph"/>
        <w:numPr>
          <w:ilvl w:val="1"/>
          <w:numId w:val="25"/>
        </w:numPr>
        <w:jc w:val="both"/>
      </w:pPr>
      <w:r>
        <w:rPr>
          <w:rFonts w:ascii="Arial" w:hAnsi="Arial"/>
          <w:sz w:val="22"/>
          <w:szCs w:val="22"/>
        </w:rPr>
        <w:t>The mi</w:t>
      </w:r>
      <w:r w:rsidR="00FF2801">
        <w:rPr>
          <w:rFonts w:ascii="Arial" w:hAnsi="Arial"/>
          <w:sz w:val="22"/>
          <w:szCs w:val="22"/>
        </w:rPr>
        <w:t>nor submission sought to</w:t>
      </w:r>
      <w:r w:rsidR="002F4A00">
        <w:rPr>
          <w:rFonts w:ascii="Arial" w:hAnsi="Arial"/>
          <w:sz w:val="22"/>
          <w:szCs w:val="22"/>
        </w:rPr>
        <w:t xml:space="preserve"> increase the current maximum quantity from 1 pack of 60 tablets to 2 packs of 60 tablets for mesalazine 1.2g modified released tablets for the treatment of ulcerative colitis</w:t>
      </w:r>
      <w:r w:rsidR="005F6E78">
        <w:rPr>
          <w:rFonts w:ascii="Arial" w:hAnsi="Arial"/>
          <w:sz w:val="22"/>
          <w:szCs w:val="22"/>
        </w:rPr>
        <w:t xml:space="preserve"> (UC)</w:t>
      </w:r>
      <w:r w:rsidR="002F4A00">
        <w:rPr>
          <w:rFonts w:ascii="Arial" w:hAnsi="Arial"/>
          <w:sz w:val="22"/>
          <w:szCs w:val="22"/>
        </w:rPr>
        <w:t>.</w:t>
      </w:r>
    </w:p>
    <w:p w:rsidR="00EF44A0" w:rsidRDefault="00EF44A0" w:rsidP="00C27B58">
      <w:pPr>
        <w:pStyle w:val="NoSpacing"/>
      </w:pPr>
    </w:p>
    <w:p w:rsidR="004A2CEB" w:rsidRPr="00C27B58" w:rsidRDefault="004A2CEB" w:rsidP="00C27B58">
      <w:pPr>
        <w:pStyle w:val="NoSpacing"/>
      </w:pPr>
    </w:p>
    <w:p w:rsidR="00614159" w:rsidRPr="00882085" w:rsidRDefault="006A12A5" w:rsidP="00996176">
      <w:pPr>
        <w:pStyle w:val="Heading1"/>
      </w:pPr>
      <w:r w:rsidRPr="00882085">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w:t>
      </w:r>
      <w:r w:rsidR="002F4A00">
        <w:rPr>
          <w:rFonts w:ascii="Arial" w:hAnsi="Arial"/>
          <w:sz w:val="22"/>
          <w:szCs w:val="22"/>
        </w:rPr>
        <w:t>an increase in</w:t>
      </w:r>
      <w:r w:rsidR="0076420C">
        <w:rPr>
          <w:rFonts w:ascii="Arial" w:hAnsi="Arial"/>
          <w:sz w:val="22"/>
          <w:szCs w:val="22"/>
        </w:rPr>
        <w:t xml:space="preserve"> </w:t>
      </w:r>
      <w:r w:rsidR="002F4A00">
        <w:rPr>
          <w:rFonts w:ascii="Arial" w:hAnsi="Arial"/>
          <w:sz w:val="22"/>
          <w:szCs w:val="22"/>
        </w:rPr>
        <w:t>maximum quantity</w:t>
      </w:r>
      <w:r>
        <w:rPr>
          <w:rFonts w:ascii="Arial" w:hAnsi="Arial"/>
          <w:sz w:val="22"/>
          <w:szCs w:val="22"/>
        </w:rPr>
        <w:t xml:space="preserve"> </w:t>
      </w:r>
      <w:r w:rsidR="008C2B16">
        <w:rPr>
          <w:rFonts w:ascii="Arial" w:hAnsi="Arial"/>
          <w:sz w:val="22"/>
          <w:szCs w:val="22"/>
        </w:rPr>
        <w:t>and</w:t>
      </w:r>
      <w:r w:rsidR="005F6E78">
        <w:rPr>
          <w:rFonts w:ascii="Arial" w:hAnsi="Arial"/>
          <w:sz w:val="22"/>
          <w:szCs w:val="22"/>
        </w:rPr>
        <w:t xml:space="preserve"> did not request changes made to the current number of repeats and </w:t>
      </w:r>
      <w:r w:rsidR="008C2B16">
        <w:rPr>
          <w:rFonts w:ascii="Arial" w:hAnsi="Arial"/>
          <w:sz w:val="22"/>
          <w:szCs w:val="22"/>
        </w:rPr>
        <w:t xml:space="preserve">the </w:t>
      </w:r>
      <w:r w:rsidR="005F6E78">
        <w:rPr>
          <w:rFonts w:ascii="Arial" w:hAnsi="Arial"/>
          <w:sz w:val="22"/>
          <w:szCs w:val="22"/>
        </w:rPr>
        <w:t>restriction wording for UC</w:t>
      </w:r>
      <w:r w:rsidR="004A2CEB">
        <w:rPr>
          <w:rFonts w:ascii="Arial" w:hAnsi="Arial"/>
          <w:sz w:val="22"/>
          <w:szCs w:val="22"/>
        </w:rPr>
        <w:t>.</w:t>
      </w:r>
      <w:r>
        <w:rPr>
          <w:rFonts w:ascii="Arial" w:hAnsi="Arial"/>
          <w:sz w:val="22"/>
          <w:szCs w:val="22"/>
        </w:rPr>
        <w:t xml:space="preserve"> </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PBS listing"/>
      </w:tblPr>
      <w:tblGrid>
        <w:gridCol w:w="3119"/>
        <w:gridCol w:w="850"/>
        <w:gridCol w:w="709"/>
        <w:gridCol w:w="1276"/>
        <w:gridCol w:w="1275"/>
        <w:gridCol w:w="1134"/>
      </w:tblGrid>
      <w:tr w:rsidR="00826F6D" w:rsidRPr="0039782C" w:rsidTr="00C27B58">
        <w:trPr>
          <w:cantSplit/>
          <w:trHeight w:val="471"/>
        </w:trPr>
        <w:tc>
          <w:tcPr>
            <w:tcW w:w="311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tcPr>
          <w:p w:rsidR="00826F6D" w:rsidRPr="00260CE3" w:rsidRDefault="002F4A00" w:rsidP="00C27B58">
            <w:pPr>
              <w:keepNext/>
              <w:ind w:left="-108"/>
              <w:jc w:val="both"/>
              <w:rPr>
                <w:rFonts w:ascii="Arial Narrow" w:hAnsi="Arial Narrow" w:cs="Arial"/>
                <w:sz w:val="20"/>
                <w:szCs w:val="20"/>
              </w:rPr>
            </w:pPr>
            <w:r>
              <w:rPr>
                <w:rFonts w:ascii="Arial Narrow" w:hAnsi="Arial Narrow" w:cs="Arial"/>
                <w:smallCaps/>
                <w:sz w:val="20"/>
                <w:szCs w:val="20"/>
              </w:rPr>
              <w:t>mesalazine</w:t>
            </w:r>
          </w:p>
          <w:p w:rsidR="00826F6D" w:rsidRPr="00260CE3" w:rsidRDefault="002F4A00" w:rsidP="002F4A00">
            <w:pPr>
              <w:keepNext/>
              <w:ind w:left="-108"/>
              <w:jc w:val="both"/>
              <w:rPr>
                <w:rFonts w:ascii="Arial Narrow" w:hAnsi="Arial Narrow" w:cs="Arial"/>
                <w:sz w:val="20"/>
                <w:szCs w:val="20"/>
              </w:rPr>
            </w:pPr>
            <w:r>
              <w:rPr>
                <w:rFonts w:ascii="Arial Narrow" w:hAnsi="Arial Narrow" w:cs="Arial"/>
                <w:sz w:val="20"/>
                <w:szCs w:val="20"/>
              </w:rPr>
              <w:t>Modified released tablets, 1.2 g</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5F6E78" w:rsidRDefault="005F6E78" w:rsidP="00C27B58">
            <w:pPr>
              <w:keepNext/>
              <w:ind w:left="-108"/>
              <w:jc w:val="both"/>
              <w:rPr>
                <w:rFonts w:ascii="Arial Narrow" w:hAnsi="Arial Narrow" w:cs="Arial"/>
                <w:strike/>
                <w:sz w:val="20"/>
                <w:szCs w:val="20"/>
              </w:rPr>
            </w:pPr>
            <w:r w:rsidRPr="005F6E78">
              <w:rPr>
                <w:rFonts w:ascii="Arial Narrow" w:hAnsi="Arial Narrow" w:cs="Arial"/>
                <w:strike/>
                <w:sz w:val="20"/>
                <w:szCs w:val="20"/>
              </w:rPr>
              <w:t>1</w:t>
            </w:r>
          </w:p>
          <w:p w:rsidR="005F6E78" w:rsidRPr="00260CE3" w:rsidRDefault="005F6E78" w:rsidP="00C27B58">
            <w:pPr>
              <w:keepNext/>
              <w:ind w:left="-108"/>
              <w:jc w:val="both"/>
              <w:rPr>
                <w:rFonts w:ascii="Arial Narrow" w:hAnsi="Arial Narrow" w:cs="Arial"/>
                <w:sz w:val="20"/>
                <w:szCs w:val="20"/>
              </w:rPr>
            </w:pPr>
            <w:r>
              <w:rPr>
                <w:rFonts w:ascii="Arial Narrow" w:hAnsi="Arial Narrow" w:cs="Arial"/>
                <w:sz w:val="20"/>
                <w:szCs w:val="20"/>
              </w:rPr>
              <w:t>2</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5F6E78"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5F6E78" w:rsidP="005F6E78">
            <w:pPr>
              <w:keepNext/>
              <w:ind w:left="-108"/>
              <w:jc w:val="both"/>
              <w:rPr>
                <w:rFonts w:ascii="Arial Narrow" w:hAnsi="Arial Narrow" w:cs="Arial"/>
                <w:sz w:val="20"/>
                <w:szCs w:val="20"/>
              </w:rPr>
            </w:pPr>
            <w:r>
              <w:rPr>
                <w:rFonts w:ascii="Arial Narrow" w:hAnsi="Arial Narrow" w:cs="Arial"/>
                <w:sz w:val="20"/>
                <w:szCs w:val="20"/>
              </w:rPr>
              <w:t>$</w:t>
            </w:r>
            <w:r w:rsidR="00D065F9">
              <w:rPr>
                <w:rFonts w:ascii="Arial Narrow" w:hAnsi="Arial Narrow" w:cs="Arial"/>
                <w:noProof/>
                <w:color w:val="000000"/>
                <w:sz w:val="20"/>
                <w:szCs w:val="20"/>
                <w:highlight w:val="black"/>
              </w:rPr>
              <w:t>'''''''''''''''</w:t>
            </w:r>
            <w:r>
              <w:rPr>
                <w:rFonts w:ascii="Arial Narrow" w:hAnsi="Arial Narrow" w:cs="Arial"/>
                <w:sz w:val="20"/>
                <w:szCs w:val="20"/>
              </w:rPr>
              <w:t>*</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4A2CEB" w:rsidP="00C27B58">
            <w:pPr>
              <w:keepNext/>
              <w:jc w:val="both"/>
              <w:rPr>
                <w:rFonts w:ascii="Arial Narrow" w:hAnsi="Arial Narrow" w:cs="Arial"/>
                <w:sz w:val="20"/>
                <w:szCs w:val="20"/>
              </w:rPr>
            </w:pPr>
            <w:r w:rsidRPr="004A2CEB">
              <w:rPr>
                <w:rFonts w:ascii="Arial Narrow" w:hAnsi="Arial Narrow" w:cs="Arial"/>
                <w:sz w:val="20"/>
                <w:szCs w:val="20"/>
              </w:rPr>
              <w:t>Mezavant®</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4A2CEB" w:rsidP="00C27B58">
            <w:pPr>
              <w:keepNext/>
              <w:jc w:val="both"/>
              <w:rPr>
                <w:rFonts w:ascii="Arial Narrow" w:hAnsi="Arial Narrow" w:cs="Arial"/>
                <w:sz w:val="20"/>
                <w:szCs w:val="20"/>
              </w:rPr>
            </w:pPr>
            <w:r w:rsidRPr="004A2CEB">
              <w:rPr>
                <w:rFonts w:ascii="Arial Narrow" w:hAnsi="Arial Narrow" w:cs="Arial"/>
                <w:sz w:val="20"/>
                <w:szCs w:val="20"/>
              </w:rPr>
              <w:t>Shire</w:t>
            </w:r>
          </w:p>
        </w:tc>
      </w:tr>
      <w:tr w:rsidR="00826F6D" w:rsidRPr="00260CE3" w:rsidTr="005F6E78">
        <w:trPr>
          <w:cantSplit/>
          <w:trHeight w:val="360"/>
        </w:trPr>
        <w:tc>
          <w:tcPr>
            <w:tcW w:w="8363" w:type="dxa"/>
            <w:gridSpan w:val="6"/>
          </w:tcPr>
          <w:p w:rsidR="00826F6D" w:rsidRPr="00647600" w:rsidRDefault="005F6E78" w:rsidP="004A2CEB">
            <w:pPr>
              <w:jc w:val="both"/>
              <w:rPr>
                <w:rFonts w:ascii="Arial Narrow" w:hAnsi="Arial Narrow" w:cs="Arial"/>
                <w:sz w:val="20"/>
                <w:szCs w:val="20"/>
              </w:rPr>
            </w:pPr>
            <w:r w:rsidRPr="00647600">
              <w:rPr>
                <w:rFonts w:ascii="Arial Narrow" w:hAnsi="Arial Narrow" w:cs="Arial"/>
                <w:sz w:val="20"/>
                <w:szCs w:val="20"/>
              </w:rPr>
              <w:t>*: Tier 2 AHI fee included</w:t>
            </w:r>
          </w:p>
        </w:tc>
      </w:tr>
    </w:tbl>
    <w:p w:rsidR="004A2CEB" w:rsidRPr="004A2CEB" w:rsidRDefault="004A2CEB" w:rsidP="004A2CEB">
      <w:pPr>
        <w:pStyle w:val="ListParagraph"/>
        <w:jc w:val="both"/>
        <w:rPr>
          <w:rFonts w:ascii="Arial" w:hAnsi="Arial"/>
          <w:sz w:val="22"/>
          <w:szCs w:val="22"/>
        </w:rPr>
      </w:pPr>
    </w:p>
    <w:p w:rsidR="00CE10C4" w:rsidRPr="00882085" w:rsidRDefault="00CE10C4" w:rsidP="00996176">
      <w:pPr>
        <w:pStyle w:val="Heading1"/>
      </w:pPr>
      <w:r w:rsidRPr="00882085">
        <w:t>Background</w:t>
      </w:r>
    </w:p>
    <w:p w:rsidR="006A12A5" w:rsidRPr="00882085" w:rsidRDefault="006A12A5" w:rsidP="00882085">
      <w:pPr>
        <w:jc w:val="both"/>
        <w:rPr>
          <w:rFonts w:ascii="Arial" w:hAnsi="Arial"/>
          <w:sz w:val="22"/>
          <w:szCs w:val="22"/>
        </w:rPr>
      </w:pPr>
    </w:p>
    <w:p w:rsidR="008C2B16" w:rsidRDefault="00A21723" w:rsidP="00A21723">
      <w:pPr>
        <w:pStyle w:val="ListParagraph"/>
        <w:numPr>
          <w:ilvl w:val="1"/>
          <w:numId w:val="25"/>
        </w:numPr>
        <w:jc w:val="both"/>
        <w:rPr>
          <w:rFonts w:ascii="Arial" w:hAnsi="Arial"/>
          <w:sz w:val="22"/>
          <w:szCs w:val="22"/>
        </w:rPr>
      </w:pPr>
      <w:r>
        <w:rPr>
          <w:rFonts w:ascii="Arial" w:hAnsi="Arial"/>
          <w:sz w:val="22"/>
          <w:szCs w:val="22"/>
        </w:rPr>
        <w:t>At its November 2009 meeting, t</w:t>
      </w:r>
      <w:r w:rsidRPr="00A21723">
        <w:rPr>
          <w:rFonts w:ascii="Arial" w:hAnsi="Arial"/>
          <w:sz w:val="22"/>
          <w:szCs w:val="22"/>
        </w:rPr>
        <w:t xml:space="preserve">he PBAC recommended </w:t>
      </w:r>
      <w:r w:rsidR="003B074D">
        <w:rPr>
          <w:rFonts w:ascii="Arial" w:hAnsi="Arial"/>
          <w:sz w:val="22"/>
          <w:szCs w:val="22"/>
        </w:rPr>
        <w:t>a</w:t>
      </w:r>
      <w:r w:rsidRPr="00A21723">
        <w:rPr>
          <w:rFonts w:ascii="Arial" w:hAnsi="Arial"/>
          <w:sz w:val="22"/>
          <w:szCs w:val="22"/>
        </w:rPr>
        <w:t xml:space="preserve"> listing of mesalazine </w:t>
      </w:r>
    </w:p>
    <w:p w:rsidR="00326E79" w:rsidRPr="00882085" w:rsidRDefault="00A21723" w:rsidP="008C2B16">
      <w:pPr>
        <w:pStyle w:val="ListParagraph"/>
        <w:jc w:val="both"/>
        <w:rPr>
          <w:rFonts w:ascii="Arial" w:hAnsi="Arial"/>
          <w:sz w:val="22"/>
          <w:szCs w:val="22"/>
        </w:rPr>
      </w:pPr>
      <w:r w:rsidRPr="00A21723">
        <w:rPr>
          <w:rFonts w:ascii="Arial" w:hAnsi="Arial"/>
          <w:sz w:val="22"/>
          <w:szCs w:val="22"/>
        </w:rPr>
        <w:t>1.2 g prolonged release tablets on the PBS as an authority required (streamlined) benefit for the treatment of ulcerative colitis where hypersensitivity to sulfonamides or intolerance to sulfasalazine exists on a cost minimisation basis with Salofalk® and Pentasa® brands of mesalazine at the same price per mg of mesalazine.  The PBAC noted that mesalazine 1.2 g prolonged release tablets are a higher strength tablet recommended for once daily administration which will provide an additional strength of mesalazine on the PBS and a reduced tablet burden.</w:t>
      </w:r>
    </w:p>
    <w:p w:rsidR="008A1956" w:rsidRDefault="008A1956" w:rsidP="00882085">
      <w:pPr>
        <w:jc w:val="both"/>
        <w:rPr>
          <w:rFonts w:ascii="Arial" w:hAnsi="Arial"/>
          <w:b/>
          <w:sz w:val="22"/>
          <w:szCs w:val="22"/>
        </w:rPr>
      </w:pPr>
    </w:p>
    <w:p w:rsidR="004A2CEB" w:rsidRPr="00882085" w:rsidRDefault="004A2CEB" w:rsidP="00882085">
      <w:pPr>
        <w:jc w:val="both"/>
        <w:rPr>
          <w:rFonts w:ascii="Arial" w:hAnsi="Arial"/>
          <w:b/>
          <w:sz w:val="22"/>
          <w:szCs w:val="22"/>
        </w:rPr>
      </w:pPr>
    </w:p>
    <w:p w:rsidR="00CE10C4" w:rsidRPr="000A2D01" w:rsidRDefault="0016724F" w:rsidP="00996176">
      <w:pPr>
        <w:pStyle w:val="Heading1"/>
      </w:pPr>
      <w:r w:rsidRPr="0016724F">
        <w:t>Summary of Submission</w:t>
      </w:r>
    </w:p>
    <w:p w:rsidR="000A2D01" w:rsidRPr="0016724F" w:rsidRDefault="000A2D01" w:rsidP="000A2D01">
      <w:pPr>
        <w:pStyle w:val="ListParagraph"/>
        <w:jc w:val="both"/>
        <w:rPr>
          <w:rFonts w:ascii="Arial" w:hAnsi="Arial"/>
          <w:sz w:val="22"/>
          <w:szCs w:val="22"/>
        </w:rPr>
      </w:pPr>
    </w:p>
    <w:p w:rsidR="00647600" w:rsidRDefault="0016724F" w:rsidP="00882085">
      <w:pPr>
        <w:pStyle w:val="ListParagraph"/>
        <w:numPr>
          <w:ilvl w:val="1"/>
          <w:numId w:val="25"/>
        </w:numPr>
        <w:jc w:val="both"/>
        <w:rPr>
          <w:rFonts w:ascii="Arial" w:hAnsi="Arial"/>
          <w:sz w:val="22"/>
          <w:szCs w:val="22"/>
        </w:rPr>
      </w:pPr>
      <w:r w:rsidRPr="00647600">
        <w:rPr>
          <w:rFonts w:ascii="Arial" w:hAnsi="Arial"/>
          <w:sz w:val="22"/>
          <w:szCs w:val="22"/>
        </w:rPr>
        <w:t xml:space="preserve">The submission </w:t>
      </w:r>
      <w:r w:rsidR="002543D5" w:rsidRPr="00647600">
        <w:rPr>
          <w:rFonts w:ascii="Arial" w:hAnsi="Arial"/>
          <w:sz w:val="22"/>
          <w:szCs w:val="22"/>
        </w:rPr>
        <w:t>stated</w:t>
      </w:r>
      <w:r w:rsidRPr="00647600">
        <w:rPr>
          <w:rFonts w:ascii="Arial" w:hAnsi="Arial"/>
          <w:sz w:val="22"/>
          <w:szCs w:val="22"/>
        </w:rPr>
        <w:t xml:space="preserve"> that </w:t>
      </w:r>
      <w:r w:rsidR="003B074D" w:rsidRPr="00647600">
        <w:rPr>
          <w:rFonts w:ascii="Arial" w:hAnsi="Arial"/>
          <w:sz w:val="22"/>
          <w:szCs w:val="22"/>
        </w:rPr>
        <w:t xml:space="preserve">since </w:t>
      </w:r>
      <w:r w:rsidRPr="00647600">
        <w:rPr>
          <w:rFonts w:ascii="Arial" w:hAnsi="Arial"/>
          <w:sz w:val="22"/>
          <w:szCs w:val="22"/>
        </w:rPr>
        <w:t xml:space="preserve">doses required for induction and maintenance of remission of UC range from 2.4 - 4.8g/day, the current maximum quantity of 60 tablets are not sufficient for patients who require </w:t>
      </w:r>
      <w:r w:rsidR="004D47A0">
        <w:rPr>
          <w:rFonts w:ascii="Arial" w:hAnsi="Arial"/>
          <w:sz w:val="22"/>
          <w:szCs w:val="22"/>
        </w:rPr>
        <w:t xml:space="preserve">a </w:t>
      </w:r>
      <w:r w:rsidRPr="00647600">
        <w:rPr>
          <w:rFonts w:ascii="Arial" w:hAnsi="Arial"/>
          <w:sz w:val="22"/>
          <w:szCs w:val="22"/>
        </w:rPr>
        <w:t xml:space="preserve">higher dose of 4.8g/day. </w:t>
      </w:r>
      <w:r w:rsidR="00C726AF" w:rsidRPr="00647600">
        <w:rPr>
          <w:rFonts w:ascii="Arial" w:hAnsi="Arial"/>
          <w:sz w:val="22"/>
          <w:szCs w:val="22"/>
        </w:rPr>
        <w:t>Therefore, a</w:t>
      </w:r>
      <w:r w:rsidRPr="00647600">
        <w:rPr>
          <w:rFonts w:ascii="Arial" w:hAnsi="Arial"/>
          <w:sz w:val="22"/>
          <w:szCs w:val="22"/>
        </w:rPr>
        <w:t xml:space="preserve"> maximum quantity of 120 tablets would </w:t>
      </w:r>
      <w:r w:rsidR="003B074D" w:rsidRPr="00647600">
        <w:rPr>
          <w:rFonts w:ascii="Arial" w:hAnsi="Arial"/>
          <w:sz w:val="22"/>
          <w:szCs w:val="22"/>
        </w:rPr>
        <w:t>provide</w:t>
      </w:r>
      <w:r w:rsidRPr="00647600">
        <w:rPr>
          <w:rFonts w:ascii="Arial" w:hAnsi="Arial"/>
          <w:sz w:val="22"/>
          <w:szCs w:val="22"/>
        </w:rPr>
        <w:t xml:space="preserve"> </w:t>
      </w:r>
      <w:r w:rsidR="008C2B16" w:rsidRPr="00647600">
        <w:rPr>
          <w:rFonts w:ascii="Arial" w:hAnsi="Arial"/>
          <w:sz w:val="22"/>
          <w:szCs w:val="22"/>
        </w:rPr>
        <w:t xml:space="preserve">sufficient </w:t>
      </w:r>
      <w:r w:rsidRPr="00647600">
        <w:rPr>
          <w:rFonts w:ascii="Arial" w:hAnsi="Arial"/>
          <w:sz w:val="22"/>
          <w:szCs w:val="22"/>
        </w:rPr>
        <w:t xml:space="preserve">supply </w:t>
      </w:r>
      <w:r w:rsidR="003B074D" w:rsidRPr="00647600">
        <w:rPr>
          <w:rFonts w:ascii="Arial" w:hAnsi="Arial"/>
          <w:sz w:val="22"/>
          <w:szCs w:val="22"/>
        </w:rPr>
        <w:t>for</w:t>
      </w:r>
      <w:r w:rsidRPr="00647600">
        <w:rPr>
          <w:rFonts w:ascii="Arial" w:hAnsi="Arial"/>
          <w:sz w:val="22"/>
          <w:szCs w:val="22"/>
        </w:rPr>
        <w:t xml:space="preserve"> one month</w:t>
      </w:r>
      <w:r w:rsidR="004D47A0">
        <w:rPr>
          <w:rFonts w:ascii="Arial" w:hAnsi="Arial"/>
          <w:sz w:val="22"/>
          <w:szCs w:val="22"/>
        </w:rPr>
        <w:t xml:space="preserve"> for patients who require a higher dose</w:t>
      </w:r>
      <w:r w:rsidRPr="00647600">
        <w:rPr>
          <w:rFonts w:ascii="Arial" w:hAnsi="Arial"/>
          <w:sz w:val="22"/>
          <w:szCs w:val="22"/>
        </w:rPr>
        <w:t>.</w:t>
      </w:r>
      <w:r w:rsidR="005A286B" w:rsidRPr="00647600">
        <w:rPr>
          <w:rFonts w:ascii="Arial" w:hAnsi="Arial"/>
          <w:sz w:val="22"/>
          <w:szCs w:val="22"/>
        </w:rPr>
        <w:t xml:space="preserve"> </w:t>
      </w:r>
    </w:p>
    <w:p w:rsidR="00647600" w:rsidRDefault="00647600" w:rsidP="00647600">
      <w:pPr>
        <w:pStyle w:val="ListParagraph"/>
        <w:jc w:val="both"/>
        <w:rPr>
          <w:rFonts w:ascii="Arial" w:hAnsi="Arial"/>
          <w:sz w:val="22"/>
          <w:szCs w:val="22"/>
        </w:rPr>
      </w:pPr>
    </w:p>
    <w:p w:rsidR="0016724F" w:rsidRPr="00647600" w:rsidRDefault="0016724F" w:rsidP="00882085">
      <w:pPr>
        <w:pStyle w:val="ListParagraph"/>
        <w:numPr>
          <w:ilvl w:val="1"/>
          <w:numId w:val="25"/>
        </w:numPr>
        <w:jc w:val="both"/>
        <w:rPr>
          <w:rFonts w:ascii="Arial" w:hAnsi="Arial"/>
          <w:sz w:val="22"/>
          <w:szCs w:val="22"/>
        </w:rPr>
      </w:pPr>
      <w:r w:rsidRPr="00647600">
        <w:rPr>
          <w:rFonts w:ascii="Arial" w:hAnsi="Arial"/>
          <w:sz w:val="22"/>
          <w:szCs w:val="22"/>
        </w:rPr>
        <w:t xml:space="preserve">The submission </w:t>
      </w:r>
      <w:r w:rsidR="002543D5" w:rsidRPr="00647600">
        <w:rPr>
          <w:rFonts w:ascii="Arial" w:hAnsi="Arial"/>
          <w:sz w:val="22"/>
          <w:szCs w:val="22"/>
        </w:rPr>
        <w:t xml:space="preserve">also </w:t>
      </w:r>
      <w:r w:rsidRPr="00647600">
        <w:rPr>
          <w:rFonts w:ascii="Arial" w:hAnsi="Arial"/>
          <w:sz w:val="22"/>
          <w:szCs w:val="22"/>
        </w:rPr>
        <w:t>stated that the increase</w:t>
      </w:r>
      <w:r w:rsidR="003B074D" w:rsidRPr="00647600">
        <w:rPr>
          <w:rFonts w:ascii="Arial" w:hAnsi="Arial"/>
          <w:sz w:val="22"/>
          <w:szCs w:val="22"/>
        </w:rPr>
        <w:t>d</w:t>
      </w:r>
      <w:r w:rsidRPr="00647600">
        <w:rPr>
          <w:rFonts w:ascii="Arial" w:hAnsi="Arial"/>
          <w:sz w:val="22"/>
          <w:szCs w:val="22"/>
        </w:rPr>
        <w:t xml:space="preserve"> maximum quantity would be consistent with other mesalazine products</w:t>
      </w:r>
      <w:r w:rsidR="005A286B" w:rsidRPr="00647600">
        <w:rPr>
          <w:rFonts w:ascii="Arial" w:hAnsi="Arial"/>
          <w:sz w:val="22"/>
          <w:szCs w:val="22"/>
        </w:rPr>
        <w:t xml:space="preserve"> (Pentasa</w:t>
      </w:r>
      <w:r w:rsidR="004A2CEB" w:rsidRPr="00A21723">
        <w:rPr>
          <w:rFonts w:ascii="Arial" w:hAnsi="Arial"/>
          <w:sz w:val="22"/>
          <w:szCs w:val="22"/>
        </w:rPr>
        <w:t>®</w:t>
      </w:r>
      <w:r w:rsidR="005A286B" w:rsidRPr="00647600">
        <w:rPr>
          <w:rFonts w:ascii="Arial" w:hAnsi="Arial"/>
          <w:sz w:val="22"/>
          <w:szCs w:val="22"/>
        </w:rPr>
        <w:t xml:space="preserve"> 500mg and 1g modified released tablets, Salofalk</w:t>
      </w:r>
      <w:r w:rsidR="004A2CEB" w:rsidRPr="00A21723">
        <w:rPr>
          <w:rFonts w:ascii="Arial" w:hAnsi="Arial"/>
          <w:sz w:val="22"/>
          <w:szCs w:val="22"/>
        </w:rPr>
        <w:t>®</w:t>
      </w:r>
      <w:r w:rsidR="005A286B" w:rsidRPr="00647600">
        <w:rPr>
          <w:rFonts w:ascii="Arial" w:hAnsi="Arial"/>
          <w:sz w:val="22"/>
          <w:szCs w:val="22"/>
        </w:rPr>
        <w:t xml:space="preserve"> 500</w:t>
      </w:r>
      <w:r w:rsidRPr="00647600">
        <w:rPr>
          <w:rFonts w:ascii="Arial" w:hAnsi="Arial"/>
          <w:sz w:val="22"/>
          <w:szCs w:val="22"/>
        </w:rPr>
        <w:t xml:space="preserve"> </w:t>
      </w:r>
      <w:r w:rsidR="005A286B" w:rsidRPr="00647600">
        <w:rPr>
          <w:rFonts w:ascii="Arial" w:hAnsi="Arial"/>
          <w:sz w:val="22"/>
          <w:szCs w:val="22"/>
        </w:rPr>
        <w:t>mg enteric tablets)</w:t>
      </w:r>
      <w:r w:rsidRPr="00647600">
        <w:rPr>
          <w:rFonts w:ascii="Arial" w:hAnsi="Arial"/>
          <w:sz w:val="22"/>
          <w:szCs w:val="22"/>
        </w:rPr>
        <w:t>.</w:t>
      </w:r>
      <w:r w:rsidR="005A286B" w:rsidRPr="00647600">
        <w:rPr>
          <w:rFonts w:ascii="Arial" w:hAnsi="Arial"/>
          <w:sz w:val="22"/>
          <w:szCs w:val="22"/>
        </w:rPr>
        <w:t xml:space="preserve"> </w:t>
      </w:r>
    </w:p>
    <w:p w:rsidR="002543D5" w:rsidRPr="002543D5" w:rsidRDefault="002543D5" w:rsidP="002543D5">
      <w:pPr>
        <w:pStyle w:val="ListParagraph"/>
        <w:jc w:val="both"/>
        <w:rPr>
          <w:rFonts w:ascii="Arial" w:hAnsi="Arial"/>
          <w:sz w:val="22"/>
          <w:szCs w:val="22"/>
        </w:rPr>
      </w:pPr>
    </w:p>
    <w:p w:rsidR="002543D5" w:rsidRDefault="002543D5" w:rsidP="002543D5">
      <w:pPr>
        <w:pStyle w:val="ListParagraph"/>
        <w:numPr>
          <w:ilvl w:val="1"/>
          <w:numId w:val="25"/>
        </w:numPr>
        <w:jc w:val="both"/>
        <w:rPr>
          <w:rFonts w:ascii="Arial" w:hAnsi="Arial"/>
          <w:sz w:val="22"/>
          <w:szCs w:val="22"/>
        </w:rPr>
      </w:pPr>
      <w:r>
        <w:rPr>
          <w:rFonts w:ascii="Arial" w:hAnsi="Arial"/>
          <w:sz w:val="22"/>
          <w:szCs w:val="22"/>
        </w:rPr>
        <w:t xml:space="preserve">The submission stated that the </w:t>
      </w:r>
      <w:r w:rsidR="003B074D">
        <w:rPr>
          <w:rFonts w:ascii="Arial" w:hAnsi="Arial"/>
          <w:sz w:val="22"/>
          <w:szCs w:val="22"/>
        </w:rPr>
        <w:t>increased</w:t>
      </w:r>
      <w:r>
        <w:rPr>
          <w:rFonts w:ascii="Arial" w:hAnsi="Arial"/>
          <w:sz w:val="22"/>
          <w:szCs w:val="22"/>
        </w:rPr>
        <w:t xml:space="preserve"> maximum quantity would </w:t>
      </w:r>
      <w:r w:rsidR="00EA6AA3">
        <w:rPr>
          <w:rFonts w:ascii="Arial" w:hAnsi="Arial"/>
          <w:sz w:val="22"/>
          <w:szCs w:val="22"/>
        </w:rPr>
        <w:t>reduce</w:t>
      </w:r>
      <w:r w:rsidR="008C2B16">
        <w:rPr>
          <w:rFonts w:ascii="Arial" w:hAnsi="Arial"/>
          <w:sz w:val="22"/>
          <w:szCs w:val="22"/>
        </w:rPr>
        <w:t xml:space="preserve"> </w:t>
      </w:r>
      <w:r>
        <w:rPr>
          <w:rFonts w:ascii="Arial" w:hAnsi="Arial"/>
          <w:sz w:val="22"/>
          <w:szCs w:val="22"/>
        </w:rPr>
        <w:t>financial burden</w:t>
      </w:r>
      <w:r w:rsidR="005B6ADE">
        <w:rPr>
          <w:rFonts w:ascii="Arial" w:hAnsi="Arial"/>
          <w:sz w:val="22"/>
          <w:szCs w:val="22"/>
        </w:rPr>
        <w:t xml:space="preserve"> for the patients</w:t>
      </w:r>
      <w:r w:rsidR="00EA6AA3">
        <w:rPr>
          <w:rFonts w:ascii="Arial" w:hAnsi="Arial"/>
          <w:sz w:val="22"/>
          <w:szCs w:val="22"/>
        </w:rPr>
        <w:t xml:space="preserve"> and reduce </w:t>
      </w:r>
      <w:r>
        <w:rPr>
          <w:rFonts w:ascii="Arial" w:hAnsi="Arial"/>
          <w:sz w:val="22"/>
          <w:szCs w:val="22"/>
        </w:rPr>
        <w:t xml:space="preserve">administrative </w:t>
      </w:r>
      <w:r w:rsidR="005B6ADE">
        <w:rPr>
          <w:rFonts w:ascii="Arial" w:hAnsi="Arial"/>
          <w:sz w:val="22"/>
          <w:szCs w:val="22"/>
        </w:rPr>
        <w:t xml:space="preserve">burden for </w:t>
      </w:r>
      <w:r w:rsidR="00EA6AA3">
        <w:rPr>
          <w:rFonts w:ascii="Arial" w:hAnsi="Arial"/>
          <w:sz w:val="22"/>
          <w:szCs w:val="22"/>
        </w:rPr>
        <w:t>d</w:t>
      </w:r>
      <w:r w:rsidR="005B6ADE">
        <w:rPr>
          <w:rFonts w:ascii="Arial" w:hAnsi="Arial"/>
          <w:sz w:val="22"/>
          <w:szCs w:val="22"/>
        </w:rPr>
        <w:t>octors</w:t>
      </w:r>
      <w:r>
        <w:rPr>
          <w:rFonts w:ascii="Arial" w:hAnsi="Arial"/>
          <w:sz w:val="22"/>
          <w:szCs w:val="22"/>
        </w:rPr>
        <w:t xml:space="preserve">. </w:t>
      </w:r>
    </w:p>
    <w:p w:rsidR="000B558D" w:rsidRPr="00882085" w:rsidRDefault="00541EAE" w:rsidP="00996176">
      <w:pPr>
        <w:pStyle w:val="Heading1"/>
      </w:pPr>
      <w:r>
        <w:lastRenderedPageBreak/>
        <w:t>PBAC c</w:t>
      </w:r>
      <w:r w:rsidR="00D84934">
        <w:t>onsideration of the evidence</w:t>
      </w:r>
    </w:p>
    <w:p w:rsidR="00BB7EC3" w:rsidRDefault="00BB7EC3" w:rsidP="00F9629A">
      <w:pPr>
        <w:jc w:val="both"/>
        <w:rPr>
          <w:rFonts w:ascii="Arial" w:hAnsi="Arial"/>
          <w:sz w:val="22"/>
          <w:szCs w:val="22"/>
        </w:rPr>
      </w:pPr>
    </w:p>
    <w:p w:rsidR="008B070A" w:rsidRPr="00996176" w:rsidRDefault="008B070A" w:rsidP="00996176">
      <w:pPr>
        <w:pStyle w:val="Heading2"/>
      </w:pPr>
      <w:r w:rsidRPr="00996176">
        <w:t>Sponsor hearing</w:t>
      </w:r>
    </w:p>
    <w:p w:rsidR="008B070A" w:rsidRPr="001435B0" w:rsidRDefault="008B070A" w:rsidP="008B070A">
      <w:pPr>
        <w:jc w:val="both"/>
        <w:rPr>
          <w:rFonts w:ascii="Arial" w:hAnsi="Arial"/>
          <w:b/>
          <w:sz w:val="22"/>
          <w:szCs w:val="22"/>
          <w:highlight w:val="yellow"/>
        </w:rPr>
      </w:pPr>
    </w:p>
    <w:p w:rsidR="008B070A" w:rsidRPr="00824605" w:rsidRDefault="008B070A" w:rsidP="008B070A">
      <w:pPr>
        <w:pStyle w:val="ListParagraph"/>
        <w:numPr>
          <w:ilvl w:val="1"/>
          <w:numId w:val="25"/>
        </w:numPr>
        <w:jc w:val="both"/>
        <w:rPr>
          <w:rFonts w:ascii="Arial" w:hAnsi="Arial"/>
          <w:b/>
          <w:sz w:val="22"/>
          <w:szCs w:val="22"/>
        </w:rPr>
      </w:pPr>
      <w:r w:rsidRPr="00824605">
        <w:rPr>
          <w:rFonts w:ascii="Arial" w:hAnsi="Arial" w:cs="Arial"/>
          <w:bCs/>
          <w:snapToGrid w:val="0"/>
          <w:sz w:val="22"/>
          <w:szCs w:val="22"/>
        </w:rPr>
        <w:t>There was no hearing for this item as it was a minor submission.</w:t>
      </w:r>
    </w:p>
    <w:p w:rsidR="008B070A" w:rsidRDefault="008B070A" w:rsidP="008B070A">
      <w:pPr>
        <w:jc w:val="both"/>
        <w:rPr>
          <w:rFonts w:ascii="Arial" w:hAnsi="Arial"/>
          <w:b/>
          <w:sz w:val="22"/>
          <w:szCs w:val="22"/>
        </w:rPr>
      </w:pPr>
    </w:p>
    <w:p w:rsidR="008B070A" w:rsidRPr="00EC67BE" w:rsidRDefault="008B070A" w:rsidP="00996176">
      <w:pPr>
        <w:pStyle w:val="Heading2"/>
      </w:pPr>
      <w:r w:rsidRPr="00EC67BE">
        <w:t>Consumer comments</w:t>
      </w:r>
    </w:p>
    <w:p w:rsidR="008B070A" w:rsidRPr="00EC67BE" w:rsidRDefault="008B070A" w:rsidP="008B070A">
      <w:pPr>
        <w:jc w:val="both"/>
        <w:rPr>
          <w:rFonts w:ascii="Arial" w:hAnsi="Arial"/>
          <w:b/>
          <w:sz w:val="22"/>
          <w:szCs w:val="22"/>
        </w:rPr>
      </w:pPr>
    </w:p>
    <w:p w:rsidR="008B070A" w:rsidRPr="00EC67BE" w:rsidRDefault="008B070A" w:rsidP="008B070A">
      <w:pPr>
        <w:pStyle w:val="ListParagraph"/>
        <w:numPr>
          <w:ilvl w:val="1"/>
          <w:numId w:val="25"/>
        </w:numPr>
        <w:jc w:val="both"/>
        <w:rPr>
          <w:rFonts w:ascii="Arial" w:hAnsi="Arial"/>
          <w:b/>
          <w:sz w:val="22"/>
          <w:szCs w:val="22"/>
        </w:rPr>
      </w:pPr>
      <w:r w:rsidRPr="00EC67BE">
        <w:rPr>
          <w:rFonts w:ascii="Arial" w:hAnsi="Arial" w:cs="Arial"/>
          <w:bCs/>
          <w:snapToGrid w:val="0"/>
          <w:sz w:val="22"/>
          <w:szCs w:val="22"/>
        </w:rPr>
        <w:t>The PBAC noted that no consumer comments were received for this item.</w:t>
      </w:r>
    </w:p>
    <w:p w:rsidR="008B070A" w:rsidRDefault="008B070A" w:rsidP="00F9629A">
      <w:pPr>
        <w:jc w:val="both"/>
        <w:rPr>
          <w:rFonts w:ascii="Arial" w:hAnsi="Arial"/>
          <w:sz w:val="22"/>
          <w:szCs w:val="22"/>
        </w:rPr>
      </w:pPr>
    </w:p>
    <w:p w:rsidR="00D84934" w:rsidRPr="008B070A" w:rsidRDefault="00D84934" w:rsidP="00996176">
      <w:pPr>
        <w:pStyle w:val="Heading2"/>
      </w:pPr>
      <w:r w:rsidRPr="008B070A">
        <w:t>Clinical trials</w:t>
      </w:r>
    </w:p>
    <w:p w:rsidR="00D84934" w:rsidRPr="00F9629A" w:rsidRDefault="00D84934" w:rsidP="00F9629A">
      <w:pPr>
        <w:jc w:val="both"/>
        <w:rPr>
          <w:rFonts w:ascii="Arial" w:hAnsi="Arial"/>
          <w:sz w:val="22"/>
          <w:szCs w:val="22"/>
        </w:rPr>
      </w:pPr>
    </w:p>
    <w:p w:rsidR="00801129" w:rsidRDefault="003B074D" w:rsidP="004D0E75">
      <w:pPr>
        <w:pStyle w:val="ListParagraph"/>
        <w:numPr>
          <w:ilvl w:val="1"/>
          <w:numId w:val="25"/>
        </w:numPr>
        <w:jc w:val="both"/>
        <w:rPr>
          <w:rFonts w:ascii="Arial" w:hAnsi="Arial"/>
          <w:sz w:val="22"/>
          <w:szCs w:val="22"/>
        </w:rPr>
      </w:pPr>
      <w:r>
        <w:rPr>
          <w:rFonts w:ascii="Arial" w:hAnsi="Arial"/>
          <w:sz w:val="22"/>
          <w:szCs w:val="22"/>
        </w:rPr>
        <w:t>T</w:t>
      </w:r>
      <w:r w:rsidR="00C726AF">
        <w:rPr>
          <w:rFonts w:ascii="Arial" w:hAnsi="Arial"/>
          <w:sz w:val="22"/>
          <w:szCs w:val="22"/>
        </w:rPr>
        <w:t>he submission presented an analysis of the PBS 10% sample</w:t>
      </w:r>
      <w:r w:rsidR="002543D5">
        <w:rPr>
          <w:rFonts w:ascii="Arial" w:hAnsi="Arial"/>
          <w:sz w:val="22"/>
          <w:szCs w:val="22"/>
        </w:rPr>
        <w:t xml:space="preserve"> conducted by Prospection Ltd</w:t>
      </w:r>
      <w:r w:rsidR="00801129">
        <w:rPr>
          <w:rFonts w:ascii="Arial" w:hAnsi="Arial"/>
          <w:sz w:val="22"/>
          <w:szCs w:val="22"/>
        </w:rPr>
        <w:t xml:space="preserve"> to support its claim of </w:t>
      </w:r>
      <w:r w:rsidR="00EA6AA3">
        <w:rPr>
          <w:rFonts w:ascii="Arial" w:hAnsi="Arial"/>
          <w:sz w:val="22"/>
          <w:szCs w:val="22"/>
        </w:rPr>
        <w:t xml:space="preserve">a </w:t>
      </w:r>
      <w:r w:rsidR="00801129">
        <w:rPr>
          <w:rFonts w:ascii="Arial" w:hAnsi="Arial"/>
          <w:sz w:val="22"/>
          <w:szCs w:val="22"/>
        </w:rPr>
        <w:t>high proportion of patients</w:t>
      </w:r>
      <w:r w:rsidR="00EC67BE">
        <w:rPr>
          <w:rFonts w:ascii="Arial" w:hAnsi="Arial"/>
          <w:sz w:val="22"/>
          <w:szCs w:val="22"/>
        </w:rPr>
        <w:t xml:space="preserve"> (59%)</w:t>
      </w:r>
      <w:r w:rsidR="00801129">
        <w:rPr>
          <w:rFonts w:ascii="Arial" w:hAnsi="Arial"/>
          <w:sz w:val="22"/>
          <w:szCs w:val="22"/>
        </w:rPr>
        <w:t xml:space="preserve"> </w:t>
      </w:r>
      <w:r w:rsidR="00EA6AA3">
        <w:rPr>
          <w:rFonts w:ascii="Arial" w:hAnsi="Arial"/>
          <w:sz w:val="22"/>
          <w:szCs w:val="22"/>
        </w:rPr>
        <w:t>using larger</w:t>
      </w:r>
      <w:r w:rsidR="00801129">
        <w:rPr>
          <w:rFonts w:ascii="Arial" w:hAnsi="Arial"/>
          <w:sz w:val="22"/>
          <w:szCs w:val="22"/>
        </w:rPr>
        <w:t xml:space="preserve"> dose</w:t>
      </w:r>
      <w:r w:rsidR="00EA6AA3">
        <w:rPr>
          <w:rFonts w:ascii="Arial" w:hAnsi="Arial"/>
          <w:sz w:val="22"/>
          <w:szCs w:val="22"/>
        </w:rPr>
        <w:t>s</w:t>
      </w:r>
      <w:r w:rsidR="00801129">
        <w:rPr>
          <w:rFonts w:ascii="Arial" w:hAnsi="Arial"/>
          <w:sz w:val="22"/>
          <w:szCs w:val="22"/>
        </w:rPr>
        <w:t xml:space="preserve"> </w:t>
      </w:r>
      <w:r w:rsidR="004D47A0">
        <w:rPr>
          <w:rFonts w:ascii="Arial" w:hAnsi="Arial"/>
          <w:sz w:val="22"/>
          <w:szCs w:val="22"/>
        </w:rPr>
        <w:t>and</w:t>
      </w:r>
      <w:r w:rsidR="00801129">
        <w:rPr>
          <w:rFonts w:ascii="Arial" w:hAnsi="Arial"/>
          <w:sz w:val="22"/>
          <w:szCs w:val="22"/>
        </w:rPr>
        <w:t xml:space="preserve"> </w:t>
      </w:r>
      <w:r>
        <w:rPr>
          <w:rFonts w:ascii="Arial" w:hAnsi="Arial"/>
          <w:sz w:val="22"/>
          <w:szCs w:val="22"/>
        </w:rPr>
        <w:t>an</w:t>
      </w:r>
      <w:r w:rsidR="00EA6AA3">
        <w:rPr>
          <w:rFonts w:ascii="Arial" w:hAnsi="Arial"/>
          <w:sz w:val="22"/>
          <w:szCs w:val="22"/>
        </w:rPr>
        <w:t xml:space="preserve"> increase in frequency of d</w:t>
      </w:r>
      <w:r w:rsidR="00801129">
        <w:rPr>
          <w:rFonts w:ascii="Arial" w:hAnsi="Arial"/>
          <w:sz w:val="22"/>
          <w:szCs w:val="22"/>
        </w:rPr>
        <w:t>octors applying for authorit</w:t>
      </w:r>
      <w:r>
        <w:rPr>
          <w:rFonts w:ascii="Arial" w:hAnsi="Arial"/>
          <w:sz w:val="22"/>
          <w:szCs w:val="22"/>
        </w:rPr>
        <w:t>ies</w:t>
      </w:r>
      <w:r w:rsidR="00801129">
        <w:rPr>
          <w:rFonts w:ascii="Arial" w:hAnsi="Arial"/>
          <w:sz w:val="22"/>
          <w:szCs w:val="22"/>
        </w:rPr>
        <w:t xml:space="preserve"> </w:t>
      </w:r>
      <w:r>
        <w:rPr>
          <w:rFonts w:ascii="Arial" w:hAnsi="Arial"/>
          <w:sz w:val="22"/>
          <w:szCs w:val="22"/>
        </w:rPr>
        <w:t>for</w:t>
      </w:r>
      <w:r w:rsidR="00EA6AA3">
        <w:rPr>
          <w:rFonts w:ascii="Arial" w:hAnsi="Arial"/>
          <w:sz w:val="22"/>
          <w:szCs w:val="22"/>
        </w:rPr>
        <w:t xml:space="preserve"> a</w:t>
      </w:r>
      <w:r>
        <w:rPr>
          <w:rFonts w:ascii="Arial" w:hAnsi="Arial"/>
          <w:sz w:val="22"/>
          <w:szCs w:val="22"/>
        </w:rPr>
        <w:t xml:space="preserve"> </w:t>
      </w:r>
      <w:r w:rsidR="00EA6AA3">
        <w:rPr>
          <w:rFonts w:ascii="Arial" w:hAnsi="Arial"/>
          <w:sz w:val="22"/>
          <w:szCs w:val="22"/>
        </w:rPr>
        <w:t>larger</w:t>
      </w:r>
      <w:r w:rsidR="00801129">
        <w:rPr>
          <w:rFonts w:ascii="Arial" w:hAnsi="Arial"/>
          <w:sz w:val="22"/>
          <w:szCs w:val="22"/>
        </w:rPr>
        <w:t xml:space="preserve"> </w:t>
      </w:r>
      <w:r>
        <w:rPr>
          <w:rFonts w:ascii="Arial" w:hAnsi="Arial"/>
          <w:sz w:val="22"/>
          <w:szCs w:val="22"/>
        </w:rPr>
        <w:t xml:space="preserve">maximum </w:t>
      </w:r>
      <w:r w:rsidR="00801129">
        <w:rPr>
          <w:rFonts w:ascii="Arial" w:hAnsi="Arial"/>
          <w:sz w:val="22"/>
          <w:szCs w:val="22"/>
        </w:rPr>
        <w:t>quantity of Mezavant</w:t>
      </w:r>
      <w:r w:rsidR="002543D5">
        <w:rPr>
          <w:rFonts w:ascii="Arial" w:hAnsi="Arial"/>
          <w:sz w:val="22"/>
          <w:szCs w:val="22"/>
        </w:rPr>
        <w:t>.</w:t>
      </w:r>
      <w:r w:rsidR="004D47A0">
        <w:rPr>
          <w:rFonts w:ascii="Arial" w:hAnsi="Arial"/>
          <w:sz w:val="22"/>
          <w:szCs w:val="22"/>
        </w:rPr>
        <w:t xml:space="preserve"> </w:t>
      </w:r>
    </w:p>
    <w:p w:rsidR="004D0E75" w:rsidRDefault="004D0E75" w:rsidP="004D0E75">
      <w:pPr>
        <w:pStyle w:val="ListParagraph"/>
        <w:jc w:val="both"/>
        <w:rPr>
          <w:rFonts w:ascii="Arial" w:hAnsi="Arial"/>
          <w:sz w:val="22"/>
          <w:szCs w:val="22"/>
        </w:rPr>
      </w:pPr>
    </w:p>
    <w:p w:rsidR="00A5734B" w:rsidRPr="00EA6AA3" w:rsidRDefault="00A5734B" w:rsidP="0076420C">
      <w:pPr>
        <w:pStyle w:val="ListParagraph"/>
        <w:numPr>
          <w:ilvl w:val="1"/>
          <w:numId w:val="25"/>
        </w:numPr>
        <w:ind w:left="709"/>
        <w:jc w:val="both"/>
        <w:rPr>
          <w:rFonts w:ascii="Arial" w:hAnsi="Arial"/>
          <w:sz w:val="22"/>
          <w:szCs w:val="22"/>
        </w:rPr>
      </w:pPr>
      <w:r w:rsidRPr="00EA6AA3">
        <w:rPr>
          <w:rFonts w:ascii="Arial" w:hAnsi="Arial"/>
          <w:sz w:val="22"/>
          <w:szCs w:val="22"/>
        </w:rPr>
        <w:t xml:space="preserve">The analysis showed </w:t>
      </w:r>
      <w:r w:rsidR="00EA6AA3" w:rsidRPr="00EA6AA3">
        <w:rPr>
          <w:rFonts w:ascii="Arial" w:hAnsi="Arial"/>
          <w:sz w:val="22"/>
          <w:szCs w:val="22"/>
        </w:rPr>
        <w:t xml:space="preserve">an increase in authority applications for larger quantities of </w:t>
      </w:r>
      <w:r w:rsidR="00EA6AA3">
        <w:rPr>
          <w:rFonts w:ascii="Arial" w:hAnsi="Arial"/>
          <w:sz w:val="22"/>
          <w:szCs w:val="22"/>
        </w:rPr>
        <w:t xml:space="preserve">Mezavant. </w:t>
      </w:r>
    </w:p>
    <w:p w:rsidR="004D0E75" w:rsidRDefault="004D0E75" w:rsidP="0076420C">
      <w:pPr>
        <w:pStyle w:val="ListParagraph"/>
        <w:ind w:left="709"/>
        <w:jc w:val="both"/>
        <w:rPr>
          <w:rFonts w:ascii="Arial" w:hAnsi="Arial"/>
          <w:sz w:val="22"/>
          <w:szCs w:val="22"/>
        </w:rPr>
      </w:pPr>
    </w:p>
    <w:p w:rsidR="005A3173" w:rsidRPr="008B070A" w:rsidRDefault="005A3173" w:rsidP="00996176">
      <w:pPr>
        <w:pStyle w:val="Heading2"/>
      </w:pPr>
      <w:r w:rsidRPr="008B070A">
        <w:t>Estimated PBS usage &amp; financial implications</w:t>
      </w:r>
    </w:p>
    <w:p w:rsidR="005A3173" w:rsidRPr="00882085" w:rsidRDefault="005A3173" w:rsidP="00882085">
      <w:pPr>
        <w:ind w:left="720" w:hanging="720"/>
        <w:jc w:val="both"/>
        <w:rPr>
          <w:rFonts w:ascii="Arial" w:hAnsi="Arial"/>
          <w:b/>
          <w:i/>
          <w:sz w:val="22"/>
          <w:szCs w:val="22"/>
        </w:rPr>
      </w:pPr>
    </w:p>
    <w:p w:rsidR="00280574" w:rsidRDefault="00D65110" w:rsidP="00280574">
      <w:pPr>
        <w:pStyle w:val="ListParagraph"/>
        <w:numPr>
          <w:ilvl w:val="1"/>
          <w:numId w:val="25"/>
        </w:numPr>
        <w:jc w:val="both"/>
        <w:rPr>
          <w:rFonts w:ascii="Arial" w:hAnsi="Arial"/>
          <w:sz w:val="22"/>
          <w:szCs w:val="22"/>
        </w:rPr>
      </w:pPr>
      <w:r>
        <w:rPr>
          <w:rFonts w:ascii="Arial" w:hAnsi="Arial"/>
          <w:sz w:val="22"/>
          <w:szCs w:val="22"/>
        </w:rPr>
        <w:t>The submission requested the same price per mg (ex-man) as the 1x60 tablets.</w:t>
      </w:r>
      <w:r w:rsidR="00280574">
        <w:rPr>
          <w:rFonts w:ascii="Arial" w:hAnsi="Arial"/>
          <w:sz w:val="22"/>
          <w:szCs w:val="22"/>
        </w:rPr>
        <w:t xml:space="preserve"> The submission stated that the price of Mezavant is based on the current prices, and a 5%</w:t>
      </w:r>
      <w:r w:rsidR="00EA6AA3">
        <w:rPr>
          <w:rFonts w:ascii="Arial" w:hAnsi="Arial"/>
          <w:sz w:val="22"/>
          <w:szCs w:val="22"/>
        </w:rPr>
        <w:t xml:space="preserve"> decrease</w:t>
      </w:r>
      <w:r w:rsidR="00280574">
        <w:rPr>
          <w:rFonts w:ascii="Arial" w:hAnsi="Arial"/>
          <w:sz w:val="22"/>
          <w:szCs w:val="22"/>
        </w:rPr>
        <w:t xml:space="preserve"> to the ex-man</w:t>
      </w:r>
      <w:r w:rsidR="00EA6AA3">
        <w:rPr>
          <w:rFonts w:ascii="Arial" w:hAnsi="Arial"/>
          <w:sz w:val="22"/>
          <w:szCs w:val="22"/>
        </w:rPr>
        <w:t>ufacturer price</w:t>
      </w:r>
      <w:r w:rsidR="00280574">
        <w:rPr>
          <w:rFonts w:ascii="Arial" w:hAnsi="Arial"/>
          <w:sz w:val="22"/>
          <w:szCs w:val="22"/>
        </w:rPr>
        <w:t xml:space="preserve"> from April 2016 </w:t>
      </w:r>
      <w:r w:rsidR="004D47A0">
        <w:rPr>
          <w:rFonts w:ascii="Arial" w:hAnsi="Arial"/>
          <w:sz w:val="22"/>
          <w:szCs w:val="22"/>
        </w:rPr>
        <w:t>is</w:t>
      </w:r>
      <w:r w:rsidR="00280574">
        <w:rPr>
          <w:rFonts w:ascii="Arial" w:hAnsi="Arial"/>
          <w:sz w:val="22"/>
          <w:szCs w:val="22"/>
        </w:rPr>
        <w:t xml:space="preserve"> </w:t>
      </w:r>
      <w:r w:rsidR="004D0E75">
        <w:rPr>
          <w:rFonts w:ascii="Arial" w:hAnsi="Arial"/>
          <w:sz w:val="22"/>
          <w:szCs w:val="22"/>
        </w:rPr>
        <w:t>included</w:t>
      </w:r>
      <w:r w:rsidR="00280574">
        <w:rPr>
          <w:rFonts w:ascii="Arial" w:hAnsi="Arial"/>
          <w:sz w:val="22"/>
          <w:szCs w:val="22"/>
        </w:rPr>
        <w:t xml:space="preserve">. </w:t>
      </w:r>
    </w:p>
    <w:p w:rsidR="00D65110" w:rsidRDefault="00D65110" w:rsidP="00C00DA7">
      <w:pPr>
        <w:pStyle w:val="ListParagraph"/>
        <w:ind w:left="709"/>
        <w:jc w:val="both"/>
        <w:rPr>
          <w:rFonts w:ascii="Arial" w:hAnsi="Arial"/>
          <w:sz w:val="22"/>
          <w:szCs w:val="22"/>
        </w:rPr>
      </w:pPr>
    </w:p>
    <w:p w:rsidR="00D65110" w:rsidRDefault="00FF2801" w:rsidP="00280574">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3B074D">
        <w:rPr>
          <w:rFonts w:ascii="Arial" w:hAnsi="Arial"/>
          <w:sz w:val="22"/>
          <w:szCs w:val="22"/>
        </w:rPr>
        <w:t>used</w:t>
      </w:r>
      <w:r w:rsidR="00D65110">
        <w:rPr>
          <w:rFonts w:ascii="Arial" w:hAnsi="Arial"/>
          <w:sz w:val="22"/>
          <w:szCs w:val="22"/>
        </w:rPr>
        <w:t xml:space="preserve"> </w:t>
      </w:r>
      <w:r w:rsidR="00EA6AA3">
        <w:rPr>
          <w:rFonts w:ascii="Arial" w:hAnsi="Arial"/>
          <w:sz w:val="22"/>
          <w:szCs w:val="22"/>
        </w:rPr>
        <w:t xml:space="preserve">a </w:t>
      </w:r>
      <w:r w:rsidR="00D65110">
        <w:rPr>
          <w:rFonts w:ascii="Arial" w:hAnsi="Arial"/>
          <w:sz w:val="22"/>
          <w:szCs w:val="22"/>
        </w:rPr>
        <w:t xml:space="preserve">market share approach to estimate utilisation and financial </w:t>
      </w:r>
      <w:r w:rsidR="003B074D">
        <w:rPr>
          <w:rFonts w:ascii="Arial" w:hAnsi="Arial"/>
          <w:sz w:val="22"/>
          <w:szCs w:val="22"/>
        </w:rPr>
        <w:t>costs</w:t>
      </w:r>
      <w:r w:rsidR="00D65110">
        <w:rPr>
          <w:rFonts w:ascii="Arial" w:hAnsi="Arial"/>
          <w:sz w:val="22"/>
          <w:szCs w:val="22"/>
        </w:rPr>
        <w:t xml:space="preserve"> for the requested change.</w:t>
      </w:r>
      <w:r w:rsidR="00777E8A">
        <w:rPr>
          <w:rFonts w:ascii="Arial" w:hAnsi="Arial"/>
          <w:sz w:val="22"/>
          <w:szCs w:val="22"/>
        </w:rPr>
        <w:t xml:space="preserve"> </w:t>
      </w:r>
      <w:r w:rsidR="000629EA">
        <w:rPr>
          <w:rFonts w:ascii="Arial" w:hAnsi="Arial"/>
          <w:sz w:val="22"/>
          <w:szCs w:val="22"/>
        </w:rPr>
        <w:t xml:space="preserve">The submission </w:t>
      </w:r>
      <w:r w:rsidR="005B6ADE">
        <w:rPr>
          <w:rFonts w:ascii="Arial" w:hAnsi="Arial"/>
          <w:sz w:val="22"/>
          <w:szCs w:val="22"/>
        </w:rPr>
        <w:t>assumed</w:t>
      </w:r>
      <w:r w:rsidR="000629EA">
        <w:rPr>
          <w:rFonts w:ascii="Arial" w:hAnsi="Arial"/>
          <w:sz w:val="22"/>
          <w:szCs w:val="22"/>
        </w:rPr>
        <w:t xml:space="preserve"> that a small proportion of the market </w:t>
      </w:r>
      <w:r w:rsidR="005B6ADE">
        <w:rPr>
          <w:rFonts w:ascii="Arial" w:hAnsi="Arial"/>
          <w:sz w:val="22"/>
          <w:szCs w:val="22"/>
        </w:rPr>
        <w:t>woul</w:t>
      </w:r>
      <w:r w:rsidR="004D47A0">
        <w:rPr>
          <w:rFonts w:ascii="Arial" w:hAnsi="Arial"/>
          <w:sz w:val="22"/>
          <w:szCs w:val="22"/>
        </w:rPr>
        <w:t>d</w:t>
      </w:r>
      <w:r w:rsidR="000629EA">
        <w:rPr>
          <w:rFonts w:ascii="Arial" w:hAnsi="Arial"/>
          <w:sz w:val="22"/>
          <w:szCs w:val="22"/>
        </w:rPr>
        <w:t xml:space="preserve"> continue to be prescribed 1 pack of 60 tablets </w:t>
      </w:r>
      <w:r w:rsidR="00EA6AA3">
        <w:rPr>
          <w:rFonts w:ascii="Arial" w:hAnsi="Arial"/>
          <w:sz w:val="22"/>
          <w:szCs w:val="22"/>
        </w:rPr>
        <w:t>(</w:t>
      </w:r>
      <w:r w:rsidR="000629EA">
        <w:rPr>
          <w:rFonts w:ascii="Arial" w:hAnsi="Arial"/>
          <w:sz w:val="22"/>
          <w:szCs w:val="22"/>
        </w:rPr>
        <w:t>2.4 g/day</w:t>
      </w:r>
      <w:r w:rsidR="00EA6AA3">
        <w:rPr>
          <w:rFonts w:ascii="Arial" w:hAnsi="Arial"/>
          <w:sz w:val="22"/>
          <w:szCs w:val="22"/>
        </w:rPr>
        <w:t>)</w:t>
      </w:r>
      <w:r w:rsidR="000629EA">
        <w:rPr>
          <w:rFonts w:ascii="Arial" w:hAnsi="Arial"/>
          <w:sz w:val="22"/>
          <w:szCs w:val="22"/>
        </w:rPr>
        <w:t xml:space="preserve">, which </w:t>
      </w:r>
      <w:r w:rsidR="005B6ADE">
        <w:rPr>
          <w:rFonts w:ascii="Arial" w:hAnsi="Arial"/>
          <w:sz w:val="22"/>
          <w:szCs w:val="22"/>
        </w:rPr>
        <w:t>was</w:t>
      </w:r>
      <w:r w:rsidR="000629EA">
        <w:rPr>
          <w:rFonts w:ascii="Arial" w:hAnsi="Arial"/>
          <w:sz w:val="22"/>
          <w:szCs w:val="22"/>
        </w:rPr>
        <w:t xml:space="preserve"> reflected in the projected market. </w:t>
      </w:r>
    </w:p>
    <w:p w:rsidR="00280574" w:rsidRDefault="00280574" w:rsidP="00C00DA7">
      <w:pPr>
        <w:pStyle w:val="ListParagraph"/>
        <w:ind w:left="709"/>
        <w:jc w:val="both"/>
        <w:rPr>
          <w:rFonts w:ascii="Arial" w:hAnsi="Arial"/>
          <w:sz w:val="22"/>
          <w:szCs w:val="22"/>
        </w:rPr>
      </w:pPr>
    </w:p>
    <w:p w:rsidR="00D65110" w:rsidRDefault="00D65110" w:rsidP="00280574">
      <w:pPr>
        <w:pStyle w:val="ListParagraph"/>
        <w:numPr>
          <w:ilvl w:val="1"/>
          <w:numId w:val="25"/>
        </w:numPr>
        <w:jc w:val="both"/>
        <w:rPr>
          <w:rFonts w:ascii="Arial" w:hAnsi="Arial"/>
          <w:sz w:val="22"/>
          <w:szCs w:val="22"/>
        </w:rPr>
      </w:pPr>
      <w:r w:rsidRPr="00D65110">
        <w:rPr>
          <w:rFonts w:ascii="Arial" w:hAnsi="Arial"/>
          <w:sz w:val="22"/>
          <w:szCs w:val="22"/>
        </w:rPr>
        <w:t>The submission stated that Mezavant would not be substitute</w:t>
      </w:r>
      <w:r w:rsidR="004D47A0">
        <w:rPr>
          <w:rFonts w:ascii="Arial" w:hAnsi="Arial"/>
          <w:sz w:val="22"/>
          <w:szCs w:val="22"/>
        </w:rPr>
        <w:t>d</w:t>
      </w:r>
      <w:r w:rsidRPr="00D65110">
        <w:rPr>
          <w:rFonts w:ascii="Arial" w:hAnsi="Arial"/>
          <w:sz w:val="22"/>
          <w:szCs w:val="22"/>
        </w:rPr>
        <w:t xml:space="preserve"> for other mesalazine products as they are not considered interchangeable due to differences in formulatio</w:t>
      </w:r>
      <w:r>
        <w:rPr>
          <w:rFonts w:ascii="Arial" w:hAnsi="Arial"/>
          <w:sz w:val="22"/>
          <w:szCs w:val="22"/>
        </w:rPr>
        <w:t xml:space="preserve">n. Therefore, there would be no growth in the market as a result of the increased maximum quantity. </w:t>
      </w:r>
    </w:p>
    <w:p w:rsidR="00D65110" w:rsidRDefault="00D65110" w:rsidP="00C00DA7">
      <w:pPr>
        <w:pStyle w:val="ListParagraph"/>
        <w:ind w:left="709"/>
        <w:jc w:val="both"/>
        <w:rPr>
          <w:rFonts w:ascii="Arial" w:hAnsi="Arial"/>
          <w:sz w:val="22"/>
          <w:szCs w:val="22"/>
        </w:rPr>
      </w:pPr>
    </w:p>
    <w:p w:rsidR="00C00DA7" w:rsidRPr="00407574" w:rsidRDefault="00FF2801" w:rsidP="00407574">
      <w:pPr>
        <w:pStyle w:val="ListParagraph"/>
        <w:numPr>
          <w:ilvl w:val="1"/>
          <w:numId w:val="25"/>
        </w:numPr>
        <w:jc w:val="both"/>
        <w:rPr>
          <w:rFonts w:ascii="Arial" w:hAnsi="Arial"/>
          <w:sz w:val="22"/>
          <w:szCs w:val="22"/>
        </w:rPr>
      </w:pPr>
      <w:r w:rsidRPr="00407574">
        <w:rPr>
          <w:rFonts w:ascii="Arial" w:hAnsi="Arial"/>
          <w:sz w:val="22"/>
          <w:szCs w:val="22"/>
        </w:rPr>
        <w:t>The minor submission estimated</w:t>
      </w:r>
      <w:r w:rsidR="00C00DA7" w:rsidRPr="00407574">
        <w:rPr>
          <w:rFonts w:ascii="Arial" w:hAnsi="Arial"/>
          <w:sz w:val="22"/>
          <w:szCs w:val="22"/>
        </w:rPr>
        <w:t xml:space="preserve"> a </w:t>
      </w:r>
      <w:r w:rsidR="00407574" w:rsidRPr="00407574">
        <w:rPr>
          <w:rFonts w:ascii="Arial" w:hAnsi="Arial"/>
          <w:sz w:val="22"/>
          <w:szCs w:val="22"/>
        </w:rPr>
        <w:t xml:space="preserve">net cost increase </w:t>
      </w:r>
      <w:r w:rsidR="000629EA" w:rsidRPr="00407574">
        <w:rPr>
          <w:rFonts w:ascii="Arial" w:hAnsi="Arial"/>
          <w:sz w:val="22"/>
          <w:szCs w:val="22"/>
        </w:rPr>
        <w:t>to th</w:t>
      </w:r>
      <w:r w:rsidR="00C00DA7" w:rsidRPr="00407574">
        <w:rPr>
          <w:rFonts w:ascii="Arial" w:hAnsi="Arial"/>
          <w:sz w:val="22"/>
          <w:szCs w:val="22"/>
        </w:rPr>
        <w:t>e PBS of $</w:t>
      </w:r>
      <w:r w:rsidR="00D065F9">
        <w:rPr>
          <w:rFonts w:ascii="Arial" w:hAnsi="Arial"/>
          <w:noProof/>
          <w:color w:val="000000"/>
          <w:sz w:val="22"/>
          <w:szCs w:val="22"/>
          <w:highlight w:val="black"/>
        </w:rPr>
        <w:t>'''''''''''''''''''</w:t>
      </w:r>
      <w:r w:rsidR="000629EA" w:rsidRPr="00407574">
        <w:rPr>
          <w:rFonts w:ascii="Arial" w:hAnsi="Arial"/>
          <w:sz w:val="22"/>
          <w:szCs w:val="22"/>
        </w:rPr>
        <w:t xml:space="preserve"> </w:t>
      </w:r>
      <w:r w:rsidR="003C2C13" w:rsidRPr="003C2C13">
        <w:rPr>
          <w:rFonts w:ascii="Arial" w:hAnsi="Arial"/>
          <w:i/>
          <w:sz w:val="22"/>
          <w:szCs w:val="22"/>
        </w:rPr>
        <w:t xml:space="preserve">less than $10 million </w:t>
      </w:r>
      <w:r w:rsidR="00C00DA7" w:rsidRPr="00407574">
        <w:rPr>
          <w:rFonts w:ascii="Arial" w:hAnsi="Arial"/>
          <w:sz w:val="22"/>
          <w:szCs w:val="22"/>
        </w:rPr>
        <w:t>in Year 5 of listing</w:t>
      </w:r>
      <w:r w:rsidR="00407574" w:rsidRPr="00407574">
        <w:rPr>
          <w:rFonts w:ascii="Arial" w:hAnsi="Arial"/>
          <w:sz w:val="22"/>
          <w:szCs w:val="22"/>
        </w:rPr>
        <w:t>, with an a</w:t>
      </w:r>
      <w:r w:rsidR="00EA6AA3">
        <w:rPr>
          <w:rFonts w:ascii="Arial" w:hAnsi="Arial"/>
          <w:sz w:val="22"/>
          <w:szCs w:val="22"/>
        </w:rPr>
        <w:t>ssumption that 90% market share</w:t>
      </w:r>
      <w:r w:rsidR="00407574" w:rsidRPr="00407574">
        <w:rPr>
          <w:rFonts w:ascii="Arial" w:hAnsi="Arial"/>
          <w:sz w:val="22"/>
          <w:szCs w:val="22"/>
        </w:rPr>
        <w:t xml:space="preserve"> would be</w:t>
      </w:r>
      <w:r w:rsidR="00EA6AA3">
        <w:rPr>
          <w:rFonts w:ascii="Arial" w:hAnsi="Arial"/>
          <w:sz w:val="22"/>
          <w:szCs w:val="22"/>
        </w:rPr>
        <w:t xml:space="preserve"> held by</w:t>
      </w:r>
      <w:r w:rsidR="00407574" w:rsidRPr="00407574">
        <w:rPr>
          <w:rFonts w:ascii="Arial" w:hAnsi="Arial"/>
          <w:sz w:val="22"/>
          <w:szCs w:val="22"/>
        </w:rPr>
        <w:t xml:space="preserve"> the new maximum quantity (2x60 tablets) and 10% </w:t>
      </w:r>
      <w:r w:rsidR="00407574">
        <w:rPr>
          <w:rFonts w:ascii="Arial" w:hAnsi="Arial"/>
          <w:sz w:val="22"/>
          <w:szCs w:val="22"/>
        </w:rPr>
        <w:t xml:space="preserve">would be </w:t>
      </w:r>
      <w:r w:rsidR="00EA6AA3">
        <w:rPr>
          <w:rFonts w:ascii="Arial" w:hAnsi="Arial"/>
          <w:sz w:val="22"/>
          <w:szCs w:val="22"/>
        </w:rPr>
        <w:t>held by</w:t>
      </w:r>
      <w:r w:rsidR="00407574">
        <w:rPr>
          <w:rFonts w:ascii="Arial" w:hAnsi="Arial"/>
          <w:sz w:val="22"/>
          <w:szCs w:val="22"/>
        </w:rPr>
        <w:t xml:space="preserve"> the </w:t>
      </w:r>
      <w:r w:rsidR="00407574" w:rsidRPr="00407574">
        <w:rPr>
          <w:rFonts w:ascii="Arial" w:hAnsi="Arial"/>
          <w:sz w:val="22"/>
          <w:szCs w:val="22"/>
        </w:rPr>
        <w:t>maximum quantity of 1x60 tablets</w:t>
      </w:r>
      <w:r w:rsidR="00407574">
        <w:rPr>
          <w:rFonts w:ascii="Arial" w:hAnsi="Arial"/>
          <w:sz w:val="22"/>
          <w:szCs w:val="22"/>
        </w:rPr>
        <w:t xml:space="preserve">. </w:t>
      </w:r>
      <w:r w:rsidR="00864A5D">
        <w:rPr>
          <w:rFonts w:ascii="Arial" w:hAnsi="Arial"/>
          <w:sz w:val="22"/>
          <w:szCs w:val="22"/>
        </w:rPr>
        <w:t xml:space="preserve">The costing has not been verified. </w:t>
      </w:r>
      <w:r w:rsidR="00407574">
        <w:rPr>
          <w:rFonts w:ascii="Arial" w:hAnsi="Arial"/>
          <w:sz w:val="22"/>
          <w:szCs w:val="22"/>
        </w:rPr>
        <w:t>The submission also estimated that</w:t>
      </w:r>
      <w:r w:rsidR="00C00DA7" w:rsidRPr="00407574">
        <w:rPr>
          <w:rFonts w:ascii="Arial" w:hAnsi="Arial"/>
          <w:sz w:val="22"/>
          <w:szCs w:val="22"/>
        </w:rPr>
        <w:t xml:space="preserve"> a total net save to </w:t>
      </w:r>
      <w:r w:rsidR="00407574" w:rsidRPr="00407574">
        <w:rPr>
          <w:rFonts w:ascii="Arial" w:hAnsi="Arial"/>
          <w:sz w:val="22"/>
          <w:szCs w:val="22"/>
        </w:rPr>
        <w:t>patient co-payments of</w:t>
      </w:r>
      <w:r w:rsidR="00C00DA7" w:rsidRPr="00407574">
        <w:rPr>
          <w:rFonts w:ascii="Arial" w:hAnsi="Arial"/>
          <w:sz w:val="22"/>
          <w:szCs w:val="22"/>
        </w:rPr>
        <w:t xml:space="preserve"> $</w:t>
      </w:r>
      <w:r w:rsidR="00D065F9">
        <w:rPr>
          <w:rFonts w:ascii="Arial" w:hAnsi="Arial"/>
          <w:noProof/>
          <w:color w:val="000000"/>
          <w:sz w:val="22"/>
          <w:szCs w:val="22"/>
          <w:highlight w:val="black"/>
        </w:rPr>
        <w:t xml:space="preserve">''''''''''''''' </w:t>
      </w:r>
      <w:r w:rsidR="00C00DA7" w:rsidRPr="00407574">
        <w:rPr>
          <w:rFonts w:ascii="Arial" w:hAnsi="Arial"/>
          <w:sz w:val="22"/>
          <w:szCs w:val="22"/>
        </w:rPr>
        <w:t>over the first 5 years of listing</w:t>
      </w:r>
      <w:r w:rsidR="00647600">
        <w:rPr>
          <w:rFonts w:ascii="Arial" w:hAnsi="Arial"/>
          <w:sz w:val="22"/>
          <w:szCs w:val="22"/>
        </w:rPr>
        <w:t xml:space="preserve">. </w:t>
      </w:r>
    </w:p>
    <w:p w:rsidR="008A71FB" w:rsidRDefault="008A71FB" w:rsidP="008A71FB">
      <w:pPr>
        <w:pStyle w:val="ListParagraph"/>
        <w:jc w:val="both"/>
        <w:rPr>
          <w:rFonts w:ascii="Arial" w:hAnsi="Arial"/>
          <w:sz w:val="22"/>
          <w:szCs w:val="22"/>
        </w:rPr>
      </w:pPr>
    </w:p>
    <w:p w:rsidR="00BB7EC3" w:rsidRPr="00C00DA7" w:rsidRDefault="008A71FB" w:rsidP="00407574">
      <w:pPr>
        <w:pStyle w:val="ListParagraph"/>
        <w:numPr>
          <w:ilvl w:val="1"/>
          <w:numId w:val="25"/>
        </w:numPr>
        <w:jc w:val="both"/>
        <w:rPr>
          <w:rFonts w:ascii="Arial" w:hAnsi="Arial"/>
          <w:sz w:val="22"/>
          <w:szCs w:val="22"/>
        </w:rPr>
      </w:pPr>
      <w:r>
        <w:rPr>
          <w:rFonts w:ascii="Arial" w:hAnsi="Arial"/>
          <w:sz w:val="22"/>
          <w:szCs w:val="22"/>
        </w:rPr>
        <w:t>The sub</w:t>
      </w:r>
      <w:r w:rsidR="00EA6AA3">
        <w:rPr>
          <w:rFonts w:ascii="Arial" w:hAnsi="Arial"/>
          <w:sz w:val="22"/>
          <w:szCs w:val="22"/>
        </w:rPr>
        <w:t>mission also presented sensitivity</w:t>
      </w:r>
      <w:r>
        <w:rPr>
          <w:rFonts w:ascii="Arial" w:hAnsi="Arial"/>
          <w:sz w:val="22"/>
          <w:szCs w:val="22"/>
        </w:rPr>
        <w:t xml:space="preserve"> analyses, which showed that a net increase to the PBS of $</w:t>
      </w:r>
      <w:r w:rsidR="00D065F9">
        <w:rPr>
          <w:rFonts w:ascii="Arial" w:hAnsi="Arial"/>
          <w:noProof/>
          <w:color w:val="000000"/>
          <w:sz w:val="22"/>
          <w:szCs w:val="22"/>
          <w:highlight w:val="black"/>
        </w:rPr>
        <w:t>'''''''''''''''''''</w:t>
      </w:r>
      <w:r>
        <w:rPr>
          <w:rFonts w:ascii="Arial" w:hAnsi="Arial"/>
          <w:sz w:val="22"/>
          <w:szCs w:val="22"/>
        </w:rPr>
        <w:t xml:space="preserve"> </w:t>
      </w:r>
      <w:r w:rsidR="00EA6AA3">
        <w:rPr>
          <w:rFonts w:ascii="Arial" w:hAnsi="Arial"/>
          <w:sz w:val="22"/>
          <w:szCs w:val="22"/>
        </w:rPr>
        <w:t xml:space="preserve">(assumption of 70% prescriptions for 2x60 tablets and 30% for 1x60 tablets) </w:t>
      </w:r>
      <w:r>
        <w:rPr>
          <w:rFonts w:ascii="Arial" w:hAnsi="Arial"/>
          <w:sz w:val="22"/>
          <w:szCs w:val="22"/>
        </w:rPr>
        <w:t>and $</w:t>
      </w:r>
      <w:r w:rsidR="00D065F9">
        <w:rPr>
          <w:rFonts w:ascii="Arial" w:hAnsi="Arial"/>
          <w:noProof/>
          <w:color w:val="000000"/>
          <w:sz w:val="22"/>
          <w:szCs w:val="22"/>
          <w:highlight w:val="black"/>
        </w:rPr>
        <w:t>'''''''''''''''''''''</w:t>
      </w:r>
      <w:r>
        <w:rPr>
          <w:rFonts w:ascii="Arial" w:hAnsi="Arial"/>
          <w:sz w:val="22"/>
          <w:szCs w:val="22"/>
        </w:rPr>
        <w:t xml:space="preserve"> </w:t>
      </w:r>
      <w:r w:rsidR="00EA6AA3">
        <w:rPr>
          <w:rFonts w:ascii="Arial" w:hAnsi="Arial"/>
          <w:sz w:val="22"/>
          <w:szCs w:val="22"/>
        </w:rPr>
        <w:t xml:space="preserve">(100% prescriptions for 2x60 tablets) </w:t>
      </w:r>
      <w:r>
        <w:rPr>
          <w:rFonts w:ascii="Arial" w:hAnsi="Arial"/>
          <w:sz w:val="22"/>
          <w:szCs w:val="22"/>
        </w:rPr>
        <w:t>in Year 5 of listing</w:t>
      </w:r>
      <w:r w:rsidR="00EA6AA3">
        <w:rPr>
          <w:rFonts w:ascii="Arial" w:hAnsi="Arial"/>
          <w:sz w:val="22"/>
          <w:szCs w:val="22"/>
        </w:rPr>
        <w:t>.</w:t>
      </w:r>
    </w:p>
    <w:p w:rsidR="003872CF" w:rsidRDefault="003872CF" w:rsidP="001B3746">
      <w:pPr>
        <w:spacing w:line="1440" w:lineRule="auto"/>
        <w:jc w:val="both"/>
        <w:rPr>
          <w:rFonts w:ascii="Arial" w:hAnsi="Arial"/>
          <w:sz w:val="22"/>
          <w:szCs w:val="22"/>
        </w:rPr>
      </w:pPr>
    </w:p>
    <w:p w:rsidR="008B070A" w:rsidRPr="004D0E75" w:rsidRDefault="008B070A" w:rsidP="00996176">
      <w:pPr>
        <w:pStyle w:val="Heading1"/>
        <w:rPr>
          <w:snapToGrid w:val="0"/>
          <w:lang w:eastAsia="en-US"/>
        </w:rPr>
      </w:pPr>
      <w:r w:rsidRPr="004D0E75">
        <w:rPr>
          <w:snapToGrid w:val="0"/>
          <w:lang w:eastAsia="en-US"/>
        </w:rPr>
        <w:lastRenderedPageBreak/>
        <w:t>PBAC Outcome</w:t>
      </w:r>
    </w:p>
    <w:p w:rsidR="008B070A" w:rsidRDefault="00EC67BE" w:rsidP="008B070A">
      <w:pPr>
        <w:widowControl w:val="0"/>
        <w:numPr>
          <w:ilvl w:val="1"/>
          <w:numId w:val="25"/>
        </w:numPr>
        <w:spacing w:after="120"/>
        <w:contextualSpacing/>
        <w:jc w:val="both"/>
        <w:rPr>
          <w:rFonts w:ascii="Arial" w:hAnsi="Arial" w:cs="Arial"/>
          <w:bCs/>
          <w:snapToGrid w:val="0"/>
          <w:sz w:val="22"/>
          <w:szCs w:val="22"/>
          <w:lang w:val="en-GB" w:eastAsia="en-US"/>
        </w:rPr>
      </w:pPr>
      <w:r w:rsidRPr="004D0E75">
        <w:rPr>
          <w:rFonts w:ascii="Arial" w:hAnsi="Arial" w:cs="Arial"/>
          <w:bCs/>
          <w:snapToGrid w:val="0"/>
          <w:sz w:val="22"/>
          <w:szCs w:val="22"/>
          <w:lang w:val="en-GB" w:eastAsia="en-US"/>
        </w:rPr>
        <w:t xml:space="preserve">The </w:t>
      </w:r>
      <w:r>
        <w:rPr>
          <w:rFonts w:ascii="Arial" w:hAnsi="Arial" w:cs="Arial"/>
          <w:bCs/>
          <w:snapToGrid w:val="0"/>
          <w:sz w:val="22"/>
          <w:szCs w:val="22"/>
          <w:lang w:val="en-GB" w:eastAsia="en-US"/>
        </w:rPr>
        <w:t>PBAC recommended an increase in maximum quantity to 2 packs of 60 tablets for mesalazine 1.2 g modified released tablets</w:t>
      </w:r>
      <w:r w:rsidR="004D0E75">
        <w:rPr>
          <w:rFonts w:ascii="Arial" w:hAnsi="Arial" w:cs="Arial"/>
          <w:bCs/>
          <w:snapToGrid w:val="0"/>
          <w:sz w:val="22"/>
          <w:szCs w:val="22"/>
          <w:lang w:val="en-GB" w:eastAsia="en-US"/>
        </w:rPr>
        <w:t xml:space="preserve"> (Mezavant)</w:t>
      </w:r>
      <w:r w:rsidR="00C90C0C">
        <w:rPr>
          <w:rFonts w:ascii="Arial" w:hAnsi="Arial" w:cs="Arial"/>
          <w:bCs/>
          <w:snapToGrid w:val="0"/>
          <w:sz w:val="22"/>
          <w:szCs w:val="22"/>
          <w:lang w:val="en-GB" w:eastAsia="en-US"/>
        </w:rPr>
        <w:t xml:space="preserve"> for the treatment of ulcerative colitis (UC)</w:t>
      </w:r>
      <w:r w:rsidR="009E46E7">
        <w:rPr>
          <w:rFonts w:ascii="Arial" w:hAnsi="Arial" w:cs="Arial"/>
          <w:bCs/>
          <w:snapToGrid w:val="0"/>
          <w:sz w:val="22"/>
          <w:szCs w:val="22"/>
          <w:lang w:val="en-GB" w:eastAsia="en-US"/>
        </w:rPr>
        <w:t>.</w:t>
      </w:r>
    </w:p>
    <w:p w:rsidR="004D0E75" w:rsidRDefault="004D0E75" w:rsidP="004D0E75">
      <w:pPr>
        <w:widowControl w:val="0"/>
        <w:spacing w:after="120"/>
        <w:ind w:left="720"/>
        <w:contextualSpacing/>
        <w:jc w:val="both"/>
        <w:rPr>
          <w:rFonts w:ascii="Arial" w:hAnsi="Arial" w:cs="Arial"/>
          <w:bCs/>
          <w:snapToGrid w:val="0"/>
          <w:sz w:val="22"/>
          <w:szCs w:val="22"/>
          <w:lang w:val="en-GB" w:eastAsia="en-US"/>
        </w:rPr>
      </w:pPr>
    </w:p>
    <w:p w:rsidR="00EA6AA3" w:rsidRDefault="00C90C0C" w:rsidP="00EA6AA3">
      <w:pPr>
        <w:widowControl w:val="0"/>
        <w:numPr>
          <w:ilvl w:val="1"/>
          <w:numId w:val="25"/>
        </w:numPr>
        <w:spacing w:after="120"/>
        <w:contextualSpacing/>
        <w:jc w:val="both"/>
        <w:rPr>
          <w:rFonts w:ascii="Arial" w:hAnsi="Arial" w:cs="Arial"/>
          <w:b/>
          <w:snapToGrid w:val="0"/>
          <w:sz w:val="22"/>
          <w:szCs w:val="22"/>
          <w:lang w:val="en-GB" w:eastAsia="en-US"/>
        </w:rPr>
      </w:pPr>
      <w:r w:rsidRPr="00C90C0C">
        <w:rPr>
          <w:rFonts w:ascii="Arial" w:hAnsi="Arial" w:cs="Arial"/>
          <w:bCs/>
          <w:snapToGrid w:val="0"/>
          <w:sz w:val="22"/>
          <w:szCs w:val="22"/>
          <w:lang w:val="en-GB" w:eastAsia="en-US"/>
        </w:rPr>
        <w:t xml:space="preserve">The PBAC noted an utilisation analysis of Mezavant for UC prepared by </w:t>
      </w:r>
      <w:r w:rsidR="004D0E75">
        <w:rPr>
          <w:rFonts w:ascii="Arial" w:hAnsi="Arial" w:cs="Arial"/>
          <w:bCs/>
          <w:snapToGrid w:val="0"/>
          <w:sz w:val="22"/>
          <w:szCs w:val="22"/>
          <w:lang w:val="en-GB" w:eastAsia="en-US"/>
        </w:rPr>
        <w:t xml:space="preserve">the </w:t>
      </w:r>
      <w:r w:rsidRPr="00C90C0C">
        <w:rPr>
          <w:rFonts w:ascii="Arial" w:hAnsi="Arial" w:cs="Arial"/>
          <w:bCs/>
          <w:snapToGrid w:val="0"/>
          <w:sz w:val="22"/>
          <w:szCs w:val="22"/>
          <w:lang w:val="en-GB" w:eastAsia="en-US"/>
        </w:rPr>
        <w:t>DUSC Secretariat</w:t>
      </w:r>
      <w:r>
        <w:rPr>
          <w:rFonts w:ascii="Arial" w:hAnsi="Arial" w:cs="Arial"/>
          <w:bCs/>
          <w:snapToGrid w:val="0"/>
          <w:sz w:val="22"/>
          <w:szCs w:val="22"/>
          <w:lang w:val="en-GB" w:eastAsia="en-US"/>
        </w:rPr>
        <w:t xml:space="preserve"> </w:t>
      </w:r>
      <w:r w:rsidRPr="00C90C0C">
        <w:rPr>
          <w:rFonts w:ascii="Arial" w:hAnsi="Arial" w:cs="Arial"/>
          <w:bCs/>
          <w:snapToGrid w:val="0"/>
          <w:sz w:val="22"/>
          <w:szCs w:val="22"/>
          <w:lang w:val="en-GB" w:eastAsia="en-US"/>
        </w:rPr>
        <w:t xml:space="preserve">showed </w:t>
      </w:r>
      <w:r w:rsidRPr="00814B90">
        <w:rPr>
          <w:rFonts w:ascii="Arial" w:hAnsi="Arial" w:cs="Arial"/>
          <w:bCs/>
          <w:snapToGrid w:val="0"/>
          <w:sz w:val="22"/>
          <w:szCs w:val="22"/>
          <w:lang w:val="en-GB" w:eastAsia="en-US"/>
        </w:rPr>
        <w:t xml:space="preserve">that </w:t>
      </w:r>
      <w:r w:rsidR="00814B90">
        <w:rPr>
          <w:rFonts w:ascii="Arial" w:hAnsi="Arial" w:cs="Arial"/>
          <w:bCs/>
          <w:snapToGrid w:val="0"/>
          <w:sz w:val="22"/>
          <w:szCs w:val="22"/>
          <w:lang w:val="en-GB" w:eastAsia="en-US"/>
        </w:rPr>
        <w:t>from</w:t>
      </w:r>
      <w:r w:rsidRPr="00814B90">
        <w:rPr>
          <w:rFonts w:ascii="Arial" w:hAnsi="Arial" w:cs="Arial"/>
          <w:bCs/>
          <w:snapToGrid w:val="0"/>
          <w:sz w:val="22"/>
          <w:szCs w:val="22"/>
          <w:lang w:val="en-GB" w:eastAsia="en-US"/>
        </w:rPr>
        <w:t xml:space="preserve"> October 2013 to September 2014, 46% of patients were identified as being dispensed with a higher dose on average. </w:t>
      </w:r>
      <w:r>
        <w:rPr>
          <w:rFonts w:ascii="Arial" w:hAnsi="Arial" w:cs="Arial"/>
          <w:bCs/>
          <w:snapToGrid w:val="0"/>
          <w:sz w:val="22"/>
          <w:szCs w:val="22"/>
          <w:lang w:val="en-GB" w:eastAsia="en-US"/>
        </w:rPr>
        <w:t>T</w:t>
      </w:r>
      <w:r w:rsidRPr="00C90C0C">
        <w:rPr>
          <w:rFonts w:ascii="Arial" w:hAnsi="Arial" w:cs="Arial"/>
          <w:bCs/>
          <w:snapToGrid w:val="0"/>
          <w:sz w:val="22"/>
          <w:szCs w:val="22"/>
          <w:lang w:val="en-GB" w:eastAsia="en-US"/>
        </w:rPr>
        <w:t>he proportion of patients increased to 50.3%</w:t>
      </w:r>
      <w:r>
        <w:rPr>
          <w:rFonts w:ascii="Arial" w:hAnsi="Arial" w:cs="Arial"/>
          <w:bCs/>
          <w:snapToGrid w:val="0"/>
          <w:sz w:val="22"/>
          <w:szCs w:val="22"/>
          <w:lang w:val="en-GB" w:eastAsia="en-US"/>
        </w:rPr>
        <w:t xml:space="preserve"> between </w:t>
      </w:r>
      <w:r w:rsidRPr="00C67063">
        <w:rPr>
          <w:rFonts w:ascii="Arial" w:hAnsi="Arial" w:cs="Arial"/>
          <w:bCs/>
          <w:snapToGrid w:val="0"/>
          <w:sz w:val="22"/>
          <w:szCs w:val="22"/>
          <w:lang w:val="en-GB" w:eastAsia="en-US"/>
        </w:rPr>
        <w:t>May 2014 to April 2015</w:t>
      </w:r>
      <w:r w:rsidRPr="00C90C0C">
        <w:rPr>
          <w:rFonts w:ascii="Arial" w:hAnsi="Arial" w:cs="Arial"/>
          <w:bCs/>
          <w:snapToGrid w:val="0"/>
          <w:sz w:val="22"/>
          <w:szCs w:val="22"/>
          <w:lang w:val="en-GB" w:eastAsia="en-US"/>
        </w:rPr>
        <w:t>.</w:t>
      </w:r>
      <w:r w:rsidRPr="00C90C0C" w:rsidDel="00C90C0C">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 xml:space="preserve"> This </w:t>
      </w:r>
      <w:r w:rsidR="00814B90">
        <w:rPr>
          <w:rFonts w:ascii="Arial" w:hAnsi="Arial" w:cs="Arial"/>
          <w:bCs/>
          <w:snapToGrid w:val="0"/>
          <w:sz w:val="22"/>
          <w:szCs w:val="22"/>
          <w:lang w:val="en-GB" w:eastAsia="en-US"/>
        </w:rPr>
        <w:t>was</w:t>
      </w:r>
      <w:r>
        <w:rPr>
          <w:rFonts w:ascii="Arial" w:hAnsi="Arial" w:cs="Arial"/>
          <w:bCs/>
          <w:snapToGrid w:val="0"/>
          <w:sz w:val="22"/>
          <w:szCs w:val="22"/>
          <w:lang w:val="en-GB" w:eastAsia="en-US"/>
        </w:rPr>
        <w:t xml:space="preserve"> consistent with the </w:t>
      </w:r>
      <w:r w:rsidR="00814B90">
        <w:rPr>
          <w:rFonts w:ascii="Arial" w:hAnsi="Arial" w:cs="Arial"/>
          <w:bCs/>
          <w:snapToGrid w:val="0"/>
          <w:sz w:val="22"/>
          <w:szCs w:val="22"/>
          <w:lang w:val="en-GB" w:eastAsia="en-US"/>
        </w:rPr>
        <w:t xml:space="preserve">submission’s claim of </w:t>
      </w:r>
      <w:r w:rsidR="00695F90">
        <w:rPr>
          <w:rFonts w:ascii="Arial" w:hAnsi="Arial" w:cs="Arial"/>
          <w:bCs/>
          <w:snapToGrid w:val="0"/>
          <w:sz w:val="22"/>
          <w:szCs w:val="22"/>
          <w:lang w:val="en-GB" w:eastAsia="en-US"/>
        </w:rPr>
        <w:t xml:space="preserve">an increasing </w:t>
      </w:r>
      <w:r w:rsidR="00814B90">
        <w:rPr>
          <w:rFonts w:ascii="Arial" w:hAnsi="Arial" w:cs="Arial"/>
          <w:bCs/>
          <w:snapToGrid w:val="0"/>
          <w:sz w:val="22"/>
          <w:szCs w:val="22"/>
          <w:lang w:val="en-GB" w:eastAsia="en-US"/>
        </w:rPr>
        <w:t xml:space="preserve">proportion of patients </w:t>
      </w:r>
      <w:r w:rsidR="00695F90">
        <w:rPr>
          <w:rFonts w:ascii="Arial" w:hAnsi="Arial" w:cs="Arial"/>
          <w:bCs/>
          <w:snapToGrid w:val="0"/>
          <w:sz w:val="22"/>
          <w:szCs w:val="22"/>
          <w:lang w:val="en-GB" w:eastAsia="en-US"/>
        </w:rPr>
        <w:t>being on a higher dose</w:t>
      </w:r>
      <w:r w:rsidR="00814B90">
        <w:rPr>
          <w:rFonts w:ascii="Arial" w:hAnsi="Arial" w:cs="Arial"/>
          <w:bCs/>
          <w:snapToGrid w:val="0"/>
          <w:sz w:val="22"/>
          <w:szCs w:val="22"/>
          <w:lang w:val="en-GB" w:eastAsia="en-US"/>
        </w:rPr>
        <w:t xml:space="preserve">. The PBAC considered that it is reasonable that the maximum quantity be </w:t>
      </w:r>
      <w:r w:rsidR="004D0E75">
        <w:rPr>
          <w:rFonts w:ascii="Arial" w:hAnsi="Arial" w:cs="Arial"/>
          <w:bCs/>
          <w:snapToGrid w:val="0"/>
          <w:sz w:val="22"/>
          <w:szCs w:val="22"/>
          <w:lang w:val="en-GB" w:eastAsia="en-US"/>
        </w:rPr>
        <w:t>changed</w:t>
      </w:r>
      <w:r w:rsidR="00814B90">
        <w:rPr>
          <w:rFonts w:ascii="Arial" w:hAnsi="Arial" w:cs="Arial"/>
          <w:bCs/>
          <w:snapToGrid w:val="0"/>
          <w:sz w:val="22"/>
          <w:szCs w:val="22"/>
          <w:lang w:val="en-GB" w:eastAsia="en-US"/>
        </w:rPr>
        <w:t xml:space="preserve"> from 1x60 </w:t>
      </w:r>
      <w:r w:rsidR="007251BC">
        <w:rPr>
          <w:rFonts w:ascii="Arial" w:hAnsi="Arial"/>
          <w:sz w:val="22"/>
          <w:szCs w:val="22"/>
        </w:rPr>
        <w:t>tablets</w:t>
      </w:r>
      <w:r w:rsidR="00814B90">
        <w:rPr>
          <w:rFonts w:ascii="Arial" w:hAnsi="Arial" w:cs="Arial"/>
          <w:bCs/>
          <w:snapToGrid w:val="0"/>
          <w:sz w:val="22"/>
          <w:szCs w:val="22"/>
          <w:lang w:val="en-GB" w:eastAsia="en-US"/>
        </w:rPr>
        <w:t xml:space="preserve"> to 2x60 </w:t>
      </w:r>
      <w:r w:rsidR="007251BC">
        <w:rPr>
          <w:rFonts w:ascii="Arial" w:hAnsi="Arial"/>
          <w:sz w:val="22"/>
          <w:szCs w:val="22"/>
        </w:rPr>
        <w:t>tablets</w:t>
      </w:r>
      <w:r w:rsidR="00814B90">
        <w:rPr>
          <w:rFonts w:ascii="Arial" w:hAnsi="Arial" w:cs="Arial"/>
          <w:bCs/>
          <w:snapToGrid w:val="0"/>
          <w:sz w:val="22"/>
          <w:szCs w:val="22"/>
          <w:lang w:val="en-GB" w:eastAsia="en-US"/>
        </w:rPr>
        <w:t xml:space="preserve">. </w:t>
      </w:r>
    </w:p>
    <w:p w:rsidR="00EA6AA3" w:rsidRDefault="00EA6AA3" w:rsidP="00EA6AA3">
      <w:pPr>
        <w:pStyle w:val="ListParagraph"/>
        <w:rPr>
          <w:color w:val="1F497D"/>
          <w:sz w:val="14"/>
          <w:szCs w:val="14"/>
        </w:rPr>
      </w:pPr>
    </w:p>
    <w:p w:rsidR="00EA6AA3" w:rsidRPr="00EA6AA3" w:rsidRDefault="00EA6AA3" w:rsidP="00EA6AA3">
      <w:pPr>
        <w:widowControl w:val="0"/>
        <w:numPr>
          <w:ilvl w:val="1"/>
          <w:numId w:val="25"/>
        </w:numPr>
        <w:spacing w:after="120"/>
        <w:contextualSpacing/>
        <w:jc w:val="both"/>
        <w:rPr>
          <w:rFonts w:ascii="Arial" w:hAnsi="Arial" w:cs="Arial"/>
          <w:b/>
          <w:snapToGrid w:val="0"/>
          <w:sz w:val="22"/>
          <w:szCs w:val="22"/>
          <w:lang w:val="en-GB" w:eastAsia="en-US"/>
        </w:rPr>
      </w:pPr>
      <w:r w:rsidRPr="00EA6AA3">
        <w:rPr>
          <w:rFonts w:ascii="Arial" w:hAnsi="Arial" w:cs="Arial"/>
          <w:sz w:val="22"/>
          <w:szCs w:val="22"/>
        </w:rPr>
        <w:t xml:space="preserve">The PBAC accepted the submission’s request for the same price per mg (ex-man) noting that this methodology has been accepted for other items in this class.  However PBAC considered that there may be grounds to confirm the cost effectiveness of use at higher doses, and asked that Department consider this in any future Post Market Reviews of colitis treatments. </w:t>
      </w:r>
    </w:p>
    <w:p w:rsidR="008B070A" w:rsidRDefault="008B070A" w:rsidP="00EA6AA3">
      <w:pPr>
        <w:widowControl w:val="0"/>
        <w:spacing w:after="120"/>
        <w:ind w:left="720"/>
        <w:contextualSpacing/>
        <w:jc w:val="both"/>
        <w:rPr>
          <w:rFonts w:ascii="Arial" w:hAnsi="Arial" w:cs="Arial"/>
          <w:b/>
          <w:snapToGrid w:val="0"/>
          <w:sz w:val="22"/>
          <w:szCs w:val="22"/>
          <w:lang w:val="en-GB" w:eastAsia="en-US"/>
        </w:rPr>
      </w:pPr>
    </w:p>
    <w:p w:rsidR="008B070A" w:rsidRPr="004D0E75" w:rsidRDefault="008B070A" w:rsidP="00996176">
      <w:pPr>
        <w:pStyle w:val="Heading2"/>
        <w:rPr>
          <w:snapToGrid w:val="0"/>
          <w:lang w:val="en-GB" w:eastAsia="en-US"/>
        </w:rPr>
      </w:pPr>
      <w:r w:rsidRPr="004D0E75">
        <w:rPr>
          <w:snapToGrid w:val="0"/>
          <w:lang w:val="en-GB" w:eastAsia="en-US"/>
        </w:rPr>
        <w:t>Outcome:</w:t>
      </w:r>
    </w:p>
    <w:p w:rsidR="008B070A" w:rsidRPr="000E195B" w:rsidRDefault="008B070A" w:rsidP="008B070A">
      <w:pPr>
        <w:jc w:val="both"/>
        <w:rPr>
          <w:rFonts w:ascii="Arial" w:hAnsi="Arial" w:cs="Arial"/>
          <w:bCs/>
          <w:snapToGrid w:val="0"/>
          <w:sz w:val="22"/>
          <w:szCs w:val="22"/>
          <w:highlight w:val="yellow"/>
          <w:lang w:val="en-GB" w:eastAsia="en-US"/>
        </w:rPr>
      </w:pPr>
      <w:r w:rsidRPr="004D0E75">
        <w:rPr>
          <w:rFonts w:ascii="Arial" w:hAnsi="Arial" w:cs="Arial"/>
          <w:bCs/>
          <w:snapToGrid w:val="0"/>
          <w:sz w:val="22"/>
          <w:szCs w:val="22"/>
          <w:lang w:val="en-GB" w:eastAsia="en-US"/>
        </w:rPr>
        <w:t xml:space="preserve">Recommended </w:t>
      </w:r>
    </w:p>
    <w:p w:rsidR="008B070A" w:rsidRPr="000E195B" w:rsidRDefault="008B070A" w:rsidP="008B070A">
      <w:pPr>
        <w:widowControl w:val="0"/>
        <w:jc w:val="both"/>
        <w:rPr>
          <w:rFonts w:ascii="Arial" w:hAnsi="Arial" w:cs="Arial"/>
          <w:b/>
          <w:bCs/>
          <w:snapToGrid w:val="0"/>
          <w:sz w:val="22"/>
          <w:szCs w:val="22"/>
          <w:highlight w:val="yellow"/>
          <w:lang w:eastAsia="en-US"/>
        </w:rPr>
      </w:pPr>
    </w:p>
    <w:p w:rsidR="004D0E75" w:rsidRDefault="004D0E75" w:rsidP="007251BC">
      <w:pPr>
        <w:rPr>
          <w:rFonts w:ascii="Arial" w:hAnsi="Arial" w:cs="Arial"/>
          <w:bCs/>
          <w:snapToGrid w:val="0"/>
          <w:sz w:val="22"/>
          <w:szCs w:val="22"/>
          <w:lang w:eastAsia="en-US"/>
        </w:rPr>
      </w:pPr>
      <w:r>
        <w:rPr>
          <w:rFonts w:ascii="Arial" w:hAnsi="Arial" w:cs="Arial"/>
          <w:bCs/>
          <w:snapToGrid w:val="0"/>
          <w:sz w:val="22"/>
          <w:szCs w:val="22"/>
          <w:lang w:eastAsia="en-US"/>
        </w:rPr>
        <w:br w:type="page"/>
      </w:r>
    </w:p>
    <w:p w:rsidR="008B070A" w:rsidRPr="004D0E75" w:rsidRDefault="008B070A" w:rsidP="008B070A">
      <w:pPr>
        <w:widowControl w:val="0"/>
        <w:jc w:val="both"/>
        <w:rPr>
          <w:rFonts w:ascii="Arial" w:hAnsi="Arial" w:cs="Arial"/>
          <w:bCs/>
          <w:snapToGrid w:val="0"/>
          <w:sz w:val="22"/>
          <w:szCs w:val="22"/>
          <w:lang w:eastAsia="en-US"/>
        </w:rPr>
      </w:pPr>
    </w:p>
    <w:p w:rsidR="008B070A" w:rsidRPr="004D0E75" w:rsidRDefault="008B070A" w:rsidP="00996176">
      <w:pPr>
        <w:pStyle w:val="Heading1"/>
        <w:rPr>
          <w:i/>
          <w:snapToGrid w:val="0"/>
          <w:lang w:val="en-GB" w:eastAsia="en-US"/>
        </w:rPr>
      </w:pPr>
      <w:r w:rsidRPr="004D0E75">
        <w:rPr>
          <w:snapToGrid w:val="0"/>
          <w:lang w:val="en-GB" w:eastAsia="en-US"/>
        </w:rPr>
        <w:t>Recommended listing</w:t>
      </w:r>
    </w:p>
    <w:p w:rsidR="008B070A" w:rsidRPr="004D0E75" w:rsidRDefault="008B070A" w:rsidP="008B070A">
      <w:pPr>
        <w:widowControl w:val="0"/>
        <w:ind w:firstLine="720"/>
        <w:jc w:val="both"/>
        <w:rPr>
          <w:rFonts w:ascii="Arial" w:hAnsi="Arial" w:cs="Arial"/>
          <w:bCs/>
          <w:snapToGrid w:val="0"/>
          <w:sz w:val="22"/>
          <w:szCs w:val="22"/>
          <w:lang w:eastAsia="en-US"/>
        </w:rPr>
      </w:pPr>
      <w:r w:rsidRPr="004D0E75">
        <w:rPr>
          <w:rFonts w:ascii="Arial" w:hAnsi="Arial" w:cs="Arial"/>
          <w:bCs/>
          <w:snapToGrid w:val="0"/>
          <w:sz w:val="22"/>
          <w:szCs w:val="22"/>
          <w:lang w:eastAsia="en-US"/>
        </w:rPr>
        <w:t>Amend maximum quantity as follows:</w:t>
      </w:r>
    </w:p>
    <w:p w:rsidR="004D0E75" w:rsidRDefault="004D0E75" w:rsidP="00FD2F78">
      <w:pPr>
        <w:widowControl w:val="0"/>
        <w:ind w:firstLine="709"/>
        <w:jc w:val="both"/>
        <w:rPr>
          <w:rFonts w:ascii="Arial" w:hAnsi="Arial" w:cs="Arial"/>
          <w:bCs/>
          <w:snapToGrid w:val="0"/>
          <w:sz w:val="22"/>
          <w:szCs w:val="22"/>
          <w:lang w:eastAsia="en-US"/>
        </w:rPr>
      </w:pPr>
    </w:p>
    <w:p w:rsidR="00FD2F78" w:rsidRPr="005072FF" w:rsidRDefault="00FD2F78" w:rsidP="00FD2F78">
      <w:pPr>
        <w:widowControl w:val="0"/>
        <w:ind w:firstLine="709"/>
        <w:jc w:val="both"/>
        <w:rPr>
          <w:rFonts w:ascii="Arial Narrow" w:hAnsi="Arial Narrow" w:cs="Arial"/>
          <w:b/>
          <w:bCs/>
          <w:snapToGrid w:val="0"/>
          <w:sz w:val="20"/>
          <w:szCs w:val="20"/>
          <w:lang w:eastAsia="en-US"/>
        </w:rPr>
      </w:pPr>
      <w:r w:rsidRPr="005072FF">
        <w:rPr>
          <w:rFonts w:ascii="Arial Narrow" w:hAnsi="Arial Narrow" w:cs="Arial"/>
          <w:b/>
          <w:bCs/>
          <w:snapToGrid w:val="0"/>
          <w:sz w:val="20"/>
          <w:szCs w:val="20"/>
          <w:lang w:eastAsia="en-US"/>
        </w:rPr>
        <w:t>Authority Required (STREAMLINED)</w:t>
      </w:r>
    </w:p>
    <w:p w:rsidR="00FD2F78" w:rsidRPr="005072FF" w:rsidRDefault="00FD2F78" w:rsidP="00FD2F78">
      <w:pPr>
        <w:widowControl w:val="0"/>
        <w:ind w:firstLine="709"/>
        <w:jc w:val="both"/>
        <w:rPr>
          <w:rFonts w:ascii="Arial Narrow" w:hAnsi="Arial Narrow" w:cs="Arial"/>
          <w:b/>
          <w:bCs/>
          <w:snapToGrid w:val="0"/>
          <w:sz w:val="20"/>
          <w:szCs w:val="20"/>
          <w:lang w:eastAsia="en-US"/>
        </w:rPr>
      </w:pPr>
      <w:r w:rsidRPr="005072FF">
        <w:rPr>
          <w:rFonts w:ascii="Arial Narrow" w:hAnsi="Arial Narrow" w:cs="Arial"/>
          <w:b/>
          <w:bCs/>
          <w:snapToGrid w:val="0"/>
          <w:sz w:val="20"/>
          <w:szCs w:val="20"/>
          <w:lang w:eastAsia="en-US"/>
        </w:rPr>
        <w:t>4824</w:t>
      </w:r>
    </w:p>
    <w:p w:rsidR="00FD2F78" w:rsidRPr="004D0E75" w:rsidRDefault="00FD2F78" w:rsidP="00FD2F78">
      <w:pPr>
        <w:widowControl w:val="0"/>
        <w:ind w:firstLine="709"/>
        <w:jc w:val="both"/>
        <w:rPr>
          <w:rFonts w:ascii="Arial Narrow" w:hAnsi="Arial Narrow" w:cs="Arial"/>
          <w:bCs/>
          <w:snapToGrid w:val="0"/>
          <w:sz w:val="20"/>
          <w:szCs w:val="20"/>
          <w:lang w:eastAsia="en-US"/>
        </w:rPr>
      </w:pPr>
      <w:r w:rsidRPr="004D0E75">
        <w:rPr>
          <w:rFonts w:ascii="Arial Narrow" w:hAnsi="Arial Narrow" w:cs="Arial"/>
          <w:bCs/>
          <w:snapToGrid w:val="0"/>
          <w:sz w:val="20"/>
          <w:szCs w:val="20"/>
          <w:lang w:eastAsia="en-US"/>
        </w:rPr>
        <w:t>Ulcerative colitis</w:t>
      </w:r>
    </w:p>
    <w:p w:rsidR="00FD2F78" w:rsidRPr="005072FF" w:rsidRDefault="00FD2F78" w:rsidP="00FD2F78">
      <w:pPr>
        <w:widowControl w:val="0"/>
        <w:ind w:firstLine="709"/>
        <w:jc w:val="both"/>
        <w:rPr>
          <w:rFonts w:ascii="Arial Narrow" w:hAnsi="Arial Narrow" w:cs="Arial"/>
          <w:b/>
          <w:bCs/>
          <w:snapToGrid w:val="0"/>
          <w:sz w:val="20"/>
          <w:szCs w:val="20"/>
          <w:lang w:eastAsia="en-US"/>
        </w:rPr>
      </w:pPr>
      <w:r w:rsidRPr="005072FF">
        <w:rPr>
          <w:rFonts w:ascii="Arial Narrow" w:hAnsi="Arial Narrow" w:cs="Arial"/>
          <w:b/>
          <w:bCs/>
          <w:snapToGrid w:val="0"/>
          <w:sz w:val="20"/>
          <w:szCs w:val="20"/>
          <w:lang w:eastAsia="en-US"/>
        </w:rPr>
        <w:t>Clinical criteria:</w:t>
      </w:r>
    </w:p>
    <w:p w:rsidR="00FD2F78" w:rsidRPr="004D0E75" w:rsidRDefault="00FD2F78" w:rsidP="00FD2F78">
      <w:pPr>
        <w:widowControl w:val="0"/>
        <w:ind w:firstLine="709"/>
        <w:jc w:val="both"/>
        <w:rPr>
          <w:rFonts w:ascii="Arial Narrow" w:hAnsi="Arial Narrow" w:cs="Arial"/>
          <w:bCs/>
          <w:snapToGrid w:val="0"/>
          <w:sz w:val="20"/>
          <w:szCs w:val="20"/>
          <w:lang w:eastAsia="en-US"/>
        </w:rPr>
      </w:pPr>
      <w:r w:rsidRPr="004D0E75">
        <w:rPr>
          <w:rFonts w:ascii="Arial Narrow" w:hAnsi="Arial Narrow" w:cs="Arial"/>
          <w:bCs/>
          <w:snapToGrid w:val="0"/>
          <w:sz w:val="20"/>
          <w:szCs w:val="20"/>
          <w:lang w:eastAsia="en-US"/>
        </w:rPr>
        <w:t>Patient must have had a documented hypersensitivity reaction to a sulphonamide; OR</w:t>
      </w:r>
    </w:p>
    <w:p w:rsidR="00FD2F78" w:rsidRPr="004D0E75" w:rsidRDefault="00FD2F78" w:rsidP="00FD2F78">
      <w:pPr>
        <w:widowControl w:val="0"/>
        <w:ind w:firstLine="709"/>
        <w:jc w:val="both"/>
        <w:rPr>
          <w:rFonts w:ascii="Arial Narrow" w:hAnsi="Arial Narrow" w:cs="Arial"/>
          <w:bCs/>
          <w:snapToGrid w:val="0"/>
          <w:sz w:val="20"/>
          <w:szCs w:val="20"/>
          <w:lang w:eastAsia="en-US"/>
        </w:rPr>
      </w:pPr>
      <w:r w:rsidRPr="004D0E75">
        <w:rPr>
          <w:rFonts w:ascii="Arial Narrow" w:hAnsi="Arial Narrow" w:cs="Arial"/>
          <w:bCs/>
          <w:snapToGrid w:val="0"/>
          <w:sz w:val="20"/>
          <w:szCs w:val="20"/>
          <w:lang w:eastAsia="en-US"/>
        </w:rPr>
        <w:t>Patient must be intolerant to sulfasalazine.</w:t>
      </w:r>
    </w:p>
    <w:p w:rsidR="00FD2F78" w:rsidRPr="004D0E75" w:rsidRDefault="00FD2F78" w:rsidP="008B070A">
      <w:pPr>
        <w:widowControl w:val="0"/>
        <w:ind w:firstLine="709"/>
        <w:jc w:val="both"/>
        <w:rPr>
          <w:rFonts w:ascii="Arial Narrow" w:hAnsi="Arial Narrow" w:cs="Arial"/>
          <w:bCs/>
          <w:snapToGrid w:val="0"/>
          <w:sz w:val="20"/>
          <w:szCs w:val="20"/>
          <w:lang w:eastAsia="en-US"/>
        </w:rPr>
      </w:pPr>
    </w:p>
    <w:tbl>
      <w:tblPr>
        <w:tblW w:w="8363" w:type="dxa"/>
        <w:tblInd w:w="817" w:type="dxa"/>
        <w:tblLayout w:type="fixed"/>
        <w:tblLook w:val="0000" w:firstRow="0" w:lastRow="0" w:firstColumn="0" w:lastColumn="0" w:noHBand="0" w:noVBand="0"/>
        <w:tblCaption w:val="Recommended PBS listing"/>
      </w:tblPr>
      <w:tblGrid>
        <w:gridCol w:w="3119"/>
        <w:gridCol w:w="1275"/>
        <w:gridCol w:w="851"/>
        <w:gridCol w:w="709"/>
        <w:gridCol w:w="1275"/>
        <w:gridCol w:w="1134"/>
      </w:tblGrid>
      <w:tr w:rsidR="00814B90" w:rsidRPr="004D0E75" w:rsidTr="004D0E75">
        <w:trPr>
          <w:cantSplit/>
          <w:trHeight w:val="471"/>
        </w:trPr>
        <w:tc>
          <w:tcPr>
            <w:tcW w:w="3119" w:type="dxa"/>
            <w:tcBorders>
              <w:bottom w:val="single" w:sz="4" w:space="0" w:color="auto"/>
            </w:tcBorders>
          </w:tcPr>
          <w:p w:rsidR="00814B90" w:rsidRPr="004D0E75" w:rsidRDefault="00814B90" w:rsidP="00C67063">
            <w:pPr>
              <w:keepNext/>
              <w:ind w:left="-108"/>
              <w:jc w:val="both"/>
              <w:rPr>
                <w:rFonts w:ascii="Arial Narrow" w:hAnsi="Arial Narrow" w:cs="Arial"/>
                <w:b/>
                <w:sz w:val="20"/>
                <w:szCs w:val="20"/>
              </w:rPr>
            </w:pPr>
            <w:r w:rsidRPr="004D0E75">
              <w:rPr>
                <w:rFonts w:ascii="Arial Narrow" w:hAnsi="Arial Narrow" w:cs="Arial"/>
                <w:b/>
                <w:sz w:val="20"/>
                <w:szCs w:val="20"/>
              </w:rPr>
              <w:t>Name, Restriction,</w:t>
            </w:r>
          </w:p>
          <w:p w:rsidR="00814B90" w:rsidRPr="004D0E75" w:rsidRDefault="00814B90" w:rsidP="00C67063">
            <w:pPr>
              <w:keepNext/>
              <w:ind w:left="-108"/>
              <w:jc w:val="both"/>
              <w:rPr>
                <w:rFonts w:ascii="Arial Narrow" w:hAnsi="Arial Narrow" w:cs="Arial"/>
                <w:b/>
                <w:sz w:val="20"/>
                <w:szCs w:val="20"/>
              </w:rPr>
            </w:pPr>
            <w:r w:rsidRPr="004D0E75">
              <w:rPr>
                <w:rFonts w:ascii="Arial Narrow" w:hAnsi="Arial Narrow" w:cs="Arial"/>
                <w:b/>
                <w:sz w:val="20"/>
                <w:szCs w:val="20"/>
              </w:rPr>
              <w:t>Manner of administration and form</w:t>
            </w:r>
          </w:p>
        </w:tc>
        <w:tc>
          <w:tcPr>
            <w:tcW w:w="1275" w:type="dxa"/>
            <w:tcBorders>
              <w:bottom w:val="single" w:sz="4" w:space="0" w:color="auto"/>
            </w:tcBorders>
          </w:tcPr>
          <w:p w:rsidR="00814B90" w:rsidRPr="004D0E75" w:rsidRDefault="00814B90" w:rsidP="00C67063">
            <w:pPr>
              <w:keepNext/>
              <w:ind w:left="-108"/>
              <w:jc w:val="both"/>
              <w:rPr>
                <w:rFonts w:ascii="Arial Narrow" w:hAnsi="Arial Narrow" w:cs="Arial"/>
                <w:b/>
                <w:sz w:val="20"/>
                <w:szCs w:val="20"/>
              </w:rPr>
            </w:pPr>
            <w:r w:rsidRPr="004D0E75">
              <w:rPr>
                <w:rFonts w:ascii="Arial Narrow" w:hAnsi="Arial Narrow" w:cs="Arial"/>
                <w:b/>
                <w:sz w:val="20"/>
                <w:szCs w:val="20"/>
              </w:rPr>
              <w:t>Max.</w:t>
            </w:r>
          </w:p>
          <w:p w:rsidR="00814B90" w:rsidRPr="004D0E75" w:rsidRDefault="00814B90" w:rsidP="00C67063">
            <w:pPr>
              <w:keepNext/>
              <w:ind w:left="-108"/>
              <w:jc w:val="both"/>
              <w:rPr>
                <w:rFonts w:ascii="Arial Narrow" w:hAnsi="Arial Narrow" w:cs="Arial"/>
                <w:b/>
                <w:sz w:val="20"/>
                <w:szCs w:val="20"/>
              </w:rPr>
            </w:pPr>
            <w:r w:rsidRPr="004D0E75">
              <w:rPr>
                <w:rFonts w:ascii="Arial Narrow" w:hAnsi="Arial Narrow" w:cs="Arial"/>
                <w:b/>
                <w:sz w:val="20"/>
                <w:szCs w:val="20"/>
              </w:rPr>
              <w:t>Qty</w:t>
            </w:r>
          </w:p>
        </w:tc>
        <w:tc>
          <w:tcPr>
            <w:tcW w:w="851" w:type="dxa"/>
            <w:tcBorders>
              <w:bottom w:val="single" w:sz="4" w:space="0" w:color="auto"/>
            </w:tcBorders>
          </w:tcPr>
          <w:p w:rsidR="00814B90" w:rsidRPr="004D0E75" w:rsidRDefault="00814B90" w:rsidP="00C67063">
            <w:pPr>
              <w:keepNext/>
              <w:ind w:left="-108"/>
              <w:jc w:val="both"/>
              <w:rPr>
                <w:rFonts w:ascii="Arial Narrow" w:hAnsi="Arial Narrow" w:cs="Arial"/>
                <w:b/>
                <w:sz w:val="20"/>
                <w:szCs w:val="20"/>
              </w:rPr>
            </w:pPr>
            <w:r w:rsidRPr="004D0E75">
              <w:rPr>
                <w:rFonts w:ascii="Arial Narrow" w:hAnsi="Arial Narrow" w:cs="Arial"/>
                <w:b/>
                <w:sz w:val="20"/>
                <w:szCs w:val="20"/>
              </w:rPr>
              <w:t>№.of</w:t>
            </w:r>
          </w:p>
          <w:p w:rsidR="00814B90" w:rsidRPr="004D0E75" w:rsidRDefault="00814B90" w:rsidP="00C67063">
            <w:pPr>
              <w:keepNext/>
              <w:ind w:left="-108"/>
              <w:jc w:val="both"/>
              <w:rPr>
                <w:rFonts w:ascii="Arial Narrow" w:hAnsi="Arial Narrow" w:cs="Arial"/>
                <w:b/>
                <w:sz w:val="20"/>
                <w:szCs w:val="20"/>
              </w:rPr>
            </w:pPr>
            <w:r w:rsidRPr="004D0E75">
              <w:rPr>
                <w:rFonts w:ascii="Arial Narrow" w:hAnsi="Arial Narrow" w:cs="Arial"/>
                <w:b/>
                <w:sz w:val="20"/>
                <w:szCs w:val="20"/>
              </w:rPr>
              <w:t>Rpts</w:t>
            </w:r>
          </w:p>
        </w:tc>
        <w:tc>
          <w:tcPr>
            <w:tcW w:w="709" w:type="dxa"/>
            <w:tcBorders>
              <w:bottom w:val="single" w:sz="4" w:space="0" w:color="auto"/>
            </w:tcBorders>
          </w:tcPr>
          <w:p w:rsidR="00814B90" w:rsidRPr="004D0E75" w:rsidRDefault="00814B90" w:rsidP="00C67063">
            <w:pPr>
              <w:keepNext/>
              <w:ind w:left="-108"/>
              <w:jc w:val="both"/>
              <w:rPr>
                <w:rFonts w:ascii="Arial Narrow" w:hAnsi="Arial Narrow" w:cs="Arial"/>
                <w:b/>
                <w:sz w:val="20"/>
                <w:szCs w:val="20"/>
              </w:rPr>
            </w:pPr>
          </w:p>
        </w:tc>
        <w:tc>
          <w:tcPr>
            <w:tcW w:w="2409" w:type="dxa"/>
            <w:gridSpan w:val="2"/>
            <w:tcBorders>
              <w:bottom w:val="single" w:sz="4" w:space="0" w:color="auto"/>
            </w:tcBorders>
          </w:tcPr>
          <w:p w:rsidR="00814B90" w:rsidRPr="004D0E75" w:rsidRDefault="00814B90" w:rsidP="00C67063">
            <w:pPr>
              <w:keepNext/>
              <w:jc w:val="both"/>
              <w:rPr>
                <w:rFonts w:ascii="Arial Narrow" w:hAnsi="Arial Narrow" w:cs="Arial"/>
                <w:b/>
                <w:sz w:val="20"/>
                <w:szCs w:val="20"/>
                <w:lang w:val="fr-FR"/>
              </w:rPr>
            </w:pPr>
            <w:r w:rsidRPr="004D0E75">
              <w:rPr>
                <w:rFonts w:ascii="Arial Narrow" w:hAnsi="Arial Narrow" w:cs="Arial"/>
                <w:b/>
                <w:sz w:val="20"/>
                <w:szCs w:val="20"/>
              </w:rPr>
              <w:t>Proprietary Name and Manufacturer</w:t>
            </w:r>
          </w:p>
        </w:tc>
      </w:tr>
      <w:tr w:rsidR="00814B90" w:rsidRPr="004D0E75" w:rsidTr="004D0E75">
        <w:trPr>
          <w:cantSplit/>
          <w:trHeight w:val="577"/>
        </w:trPr>
        <w:tc>
          <w:tcPr>
            <w:tcW w:w="3119" w:type="dxa"/>
          </w:tcPr>
          <w:p w:rsidR="00814B90" w:rsidRPr="004D0E75" w:rsidRDefault="00814B90" w:rsidP="00C67063">
            <w:pPr>
              <w:keepNext/>
              <w:ind w:left="-108"/>
              <w:jc w:val="both"/>
              <w:rPr>
                <w:rFonts w:ascii="Arial Narrow" w:hAnsi="Arial Narrow" w:cs="Arial"/>
                <w:sz w:val="20"/>
                <w:szCs w:val="20"/>
              </w:rPr>
            </w:pPr>
            <w:r w:rsidRPr="004D0E75">
              <w:rPr>
                <w:rFonts w:ascii="Arial Narrow" w:hAnsi="Arial Narrow" w:cs="Arial"/>
                <w:smallCaps/>
                <w:sz w:val="20"/>
                <w:szCs w:val="20"/>
              </w:rPr>
              <w:t>mesalazine</w:t>
            </w:r>
          </w:p>
          <w:p w:rsidR="002A6C0A" w:rsidRDefault="00814B90" w:rsidP="00C67063">
            <w:pPr>
              <w:keepNext/>
              <w:ind w:left="-108"/>
              <w:jc w:val="both"/>
              <w:rPr>
                <w:rFonts w:ascii="Arial Narrow" w:hAnsi="Arial Narrow" w:cs="Arial"/>
                <w:sz w:val="20"/>
                <w:szCs w:val="20"/>
              </w:rPr>
            </w:pPr>
            <w:r w:rsidRPr="004D0E75">
              <w:rPr>
                <w:rFonts w:ascii="Arial Narrow" w:hAnsi="Arial Narrow" w:cs="Arial"/>
                <w:sz w:val="20"/>
                <w:szCs w:val="20"/>
              </w:rPr>
              <w:t>Modified released tablets, 1.2 g</w:t>
            </w:r>
            <w:r w:rsidR="002A6C0A">
              <w:rPr>
                <w:rFonts w:ascii="Arial Narrow" w:hAnsi="Arial Narrow" w:cs="Arial"/>
                <w:sz w:val="20"/>
                <w:szCs w:val="20"/>
              </w:rPr>
              <w:t xml:space="preserve">, </w:t>
            </w:r>
          </w:p>
          <w:p w:rsidR="00814B90" w:rsidRPr="004D0E75" w:rsidRDefault="002A6C0A" w:rsidP="00C67063">
            <w:pPr>
              <w:keepNext/>
              <w:ind w:left="-108"/>
              <w:jc w:val="both"/>
              <w:rPr>
                <w:rFonts w:ascii="Arial Narrow" w:hAnsi="Arial Narrow" w:cs="Arial"/>
                <w:sz w:val="20"/>
                <w:szCs w:val="20"/>
              </w:rPr>
            </w:pPr>
            <w:r>
              <w:rPr>
                <w:rFonts w:ascii="Arial Narrow" w:hAnsi="Arial Narrow" w:cs="Arial"/>
                <w:sz w:val="20"/>
                <w:szCs w:val="20"/>
              </w:rPr>
              <w:t>60 tablets</w:t>
            </w:r>
          </w:p>
        </w:tc>
        <w:tc>
          <w:tcPr>
            <w:tcW w:w="1275" w:type="dxa"/>
          </w:tcPr>
          <w:p w:rsidR="00814B90" w:rsidRPr="004D0E75" w:rsidRDefault="00814B90" w:rsidP="00C67063">
            <w:pPr>
              <w:keepNext/>
              <w:ind w:left="-108"/>
              <w:jc w:val="both"/>
              <w:rPr>
                <w:rFonts w:ascii="Arial Narrow" w:hAnsi="Arial Narrow" w:cs="Arial"/>
                <w:sz w:val="20"/>
                <w:szCs w:val="20"/>
              </w:rPr>
            </w:pPr>
          </w:p>
          <w:p w:rsidR="00814B90" w:rsidRPr="004D0E75" w:rsidRDefault="00814B90" w:rsidP="00C67063">
            <w:pPr>
              <w:keepNext/>
              <w:ind w:left="-108"/>
              <w:jc w:val="both"/>
              <w:rPr>
                <w:rFonts w:ascii="Arial Narrow" w:hAnsi="Arial Narrow" w:cs="Arial"/>
                <w:strike/>
                <w:sz w:val="20"/>
                <w:szCs w:val="20"/>
              </w:rPr>
            </w:pPr>
            <w:r w:rsidRPr="004D0E75">
              <w:rPr>
                <w:rFonts w:ascii="Arial Narrow" w:hAnsi="Arial Narrow" w:cs="Arial"/>
                <w:strike/>
                <w:sz w:val="20"/>
                <w:szCs w:val="20"/>
              </w:rPr>
              <w:t>1</w:t>
            </w:r>
          </w:p>
          <w:p w:rsidR="00814B90" w:rsidRPr="004D0E75" w:rsidRDefault="00814B90" w:rsidP="00C67063">
            <w:pPr>
              <w:keepNext/>
              <w:ind w:left="-108"/>
              <w:jc w:val="both"/>
              <w:rPr>
                <w:rFonts w:ascii="Arial Narrow" w:hAnsi="Arial Narrow" w:cs="Arial"/>
                <w:i/>
                <w:sz w:val="20"/>
                <w:szCs w:val="20"/>
              </w:rPr>
            </w:pPr>
            <w:r w:rsidRPr="004D0E75">
              <w:rPr>
                <w:rFonts w:ascii="Arial Narrow" w:hAnsi="Arial Narrow" w:cs="Arial"/>
                <w:i/>
                <w:sz w:val="20"/>
                <w:szCs w:val="20"/>
              </w:rPr>
              <w:t>2</w:t>
            </w:r>
          </w:p>
        </w:tc>
        <w:tc>
          <w:tcPr>
            <w:tcW w:w="851" w:type="dxa"/>
          </w:tcPr>
          <w:p w:rsidR="00814B90" w:rsidRPr="004D0E75" w:rsidRDefault="00814B90" w:rsidP="00C67063">
            <w:pPr>
              <w:keepNext/>
              <w:ind w:left="-108"/>
              <w:jc w:val="both"/>
              <w:rPr>
                <w:rFonts w:ascii="Arial Narrow" w:hAnsi="Arial Narrow" w:cs="Arial"/>
                <w:sz w:val="20"/>
                <w:szCs w:val="20"/>
              </w:rPr>
            </w:pPr>
          </w:p>
          <w:p w:rsidR="00814B90" w:rsidRPr="004D0E75" w:rsidRDefault="00814B90" w:rsidP="00C67063">
            <w:pPr>
              <w:keepNext/>
              <w:ind w:left="-108"/>
              <w:jc w:val="both"/>
              <w:rPr>
                <w:rFonts w:ascii="Arial Narrow" w:hAnsi="Arial Narrow" w:cs="Arial"/>
                <w:sz w:val="20"/>
                <w:szCs w:val="20"/>
              </w:rPr>
            </w:pPr>
            <w:r w:rsidRPr="004D0E75">
              <w:rPr>
                <w:rFonts w:ascii="Arial Narrow" w:hAnsi="Arial Narrow" w:cs="Arial"/>
                <w:sz w:val="20"/>
                <w:szCs w:val="20"/>
              </w:rPr>
              <w:t>5</w:t>
            </w:r>
          </w:p>
        </w:tc>
        <w:tc>
          <w:tcPr>
            <w:tcW w:w="709" w:type="dxa"/>
          </w:tcPr>
          <w:p w:rsidR="00814B90" w:rsidRPr="004D0E75" w:rsidRDefault="00814B90" w:rsidP="00C67063">
            <w:pPr>
              <w:keepNext/>
              <w:ind w:left="-108"/>
              <w:jc w:val="both"/>
              <w:rPr>
                <w:rFonts w:ascii="Arial Narrow" w:hAnsi="Arial Narrow" w:cs="Arial"/>
                <w:sz w:val="20"/>
                <w:szCs w:val="20"/>
              </w:rPr>
            </w:pPr>
          </w:p>
        </w:tc>
        <w:tc>
          <w:tcPr>
            <w:tcW w:w="1275" w:type="dxa"/>
          </w:tcPr>
          <w:p w:rsidR="00814B90" w:rsidRPr="004D0E75" w:rsidRDefault="00814B90" w:rsidP="00C67063">
            <w:pPr>
              <w:keepNext/>
              <w:jc w:val="both"/>
              <w:rPr>
                <w:rFonts w:ascii="Arial Narrow" w:hAnsi="Arial Narrow" w:cs="Arial"/>
                <w:sz w:val="20"/>
                <w:szCs w:val="20"/>
              </w:rPr>
            </w:pPr>
          </w:p>
          <w:p w:rsidR="00814B90" w:rsidRPr="004D0E75" w:rsidRDefault="00814B90" w:rsidP="00C67063">
            <w:pPr>
              <w:keepNext/>
              <w:jc w:val="both"/>
              <w:rPr>
                <w:rFonts w:ascii="Arial Narrow" w:hAnsi="Arial Narrow" w:cs="Arial"/>
                <w:sz w:val="20"/>
                <w:szCs w:val="20"/>
              </w:rPr>
            </w:pPr>
            <w:r w:rsidRPr="004D0E75">
              <w:rPr>
                <w:rFonts w:ascii="Arial Narrow" w:hAnsi="Arial Narrow" w:cs="Arial"/>
                <w:sz w:val="20"/>
                <w:szCs w:val="20"/>
              </w:rPr>
              <w:t>Mezavant®</w:t>
            </w:r>
          </w:p>
        </w:tc>
        <w:tc>
          <w:tcPr>
            <w:tcW w:w="1134" w:type="dxa"/>
          </w:tcPr>
          <w:p w:rsidR="00814B90" w:rsidRPr="004D0E75" w:rsidRDefault="00814B90" w:rsidP="00C67063">
            <w:pPr>
              <w:keepNext/>
              <w:jc w:val="both"/>
              <w:rPr>
                <w:rFonts w:ascii="Arial Narrow" w:hAnsi="Arial Narrow" w:cs="Arial"/>
                <w:sz w:val="20"/>
                <w:szCs w:val="20"/>
              </w:rPr>
            </w:pPr>
          </w:p>
          <w:p w:rsidR="00814B90" w:rsidRPr="004D0E75" w:rsidRDefault="00814B90" w:rsidP="00C67063">
            <w:pPr>
              <w:keepNext/>
              <w:jc w:val="both"/>
              <w:rPr>
                <w:rFonts w:ascii="Arial Narrow" w:hAnsi="Arial Narrow" w:cs="Arial"/>
                <w:sz w:val="20"/>
                <w:szCs w:val="20"/>
              </w:rPr>
            </w:pPr>
            <w:r w:rsidRPr="004D0E75">
              <w:rPr>
                <w:rFonts w:ascii="Arial Narrow" w:hAnsi="Arial Narrow" w:cs="Arial"/>
                <w:sz w:val="20"/>
                <w:szCs w:val="20"/>
              </w:rPr>
              <w:t>Shire</w:t>
            </w:r>
          </w:p>
        </w:tc>
      </w:tr>
    </w:tbl>
    <w:p w:rsidR="008B070A" w:rsidRPr="004D0E75" w:rsidRDefault="008B070A" w:rsidP="008B070A">
      <w:pPr>
        <w:widowControl w:val="0"/>
        <w:jc w:val="both"/>
        <w:rPr>
          <w:rFonts w:ascii="Arial" w:hAnsi="Arial" w:cs="Arial"/>
          <w:b/>
          <w:bCs/>
          <w:snapToGrid w:val="0"/>
          <w:sz w:val="22"/>
          <w:szCs w:val="22"/>
          <w:lang w:eastAsia="en-US"/>
        </w:rPr>
      </w:pPr>
    </w:p>
    <w:p w:rsidR="00F95AA8" w:rsidRPr="006D54A5" w:rsidRDefault="00F95AA8" w:rsidP="00F95AA8">
      <w:pPr>
        <w:rPr>
          <w:bCs/>
          <w:szCs w:val="22"/>
        </w:rPr>
      </w:pPr>
    </w:p>
    <w:p w:rsidR="00F95AA8" w:rsidRPr="002A5741" w:rsidRDefault="00F95AA8" w:rsidP="00996176">
      <w:pPr>
        <w:pStyle w:val="Heading1"/>
        <w:rPr>
          <w:rFonts w:eastAsia="SimSun"/>
        </w:rPr>
      </w:pPr>
      <w:r w:rsidRPr="002A5741">
        <w:rPr>
          <w:rFonts w:eastAsia="SimSun"/>
        </w:rPr>
        <w:t>Context for Decision</w:t>
      </w:r>
    </w:p>
    <w:p w:rsidR="00F95AA8" w:rsidRDefault="00F95AA8" w:rsidP="00F95AA8">
      <w:pPr>
        <w:ind w:left="720"/>
        <w:contextualSpacing/>
        <w:rPr>
          <w:b/>
        </w:rPr>
      </w:pPr>
    </w:p>
    <w:p w:rsidR="00F95AA8" w:rsidRPr="009D7BEE" w:rsidRDefault="00F95AA8" w:rsidP="00F95AA8">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95AA8" w:rsidRDefault="00F95AA8" w:rsidP="00F95AA8"/>
    <w:p w:rsidR="00F95AA8" w:rsidRPr="002A5741" w:rsidRDefault="00F95AA8" w:rsidP="00996176">
      <w:pPr>
        <w:pStyle w:val="Heading1"/>
        <w:rPr>
          <w:rFonts w:eastAsia="SimSun"/>
        </w:rPr>
      </w:pPr>
      <w:r w:rsidRPr="002A5741">
        <w:rPr>
          <w:rFonts w:eastAsia="SimSun"/>
        </w:rPr>
        <w:t>Sponsor’s Comment</w:t>
      </w:r>
    </w:p>
    <w:p w:rsidR="00F95AA8" w:rsidRDefault="00F95AA8" w:rsidP="00F95AA8">
      <w:pPr>
        <w:tabs>
          <w:tab w:val="left" w:pos="2940"/>
        </w:tabs>
        <w:rPr>
          <w:szCs w:val="22"/>
        </w:rPr>
      </w:pPr>
    </w:p>
    <w:p w:rsidR="00EE686A" w:rsidRPr="00152A6A" w:rsidRDefault="00EE686A" w:rsidP="00EE686A">
      <w:pPr>
        <w:ind w:left="720"/>
        <w:jc w:val="both"/>
        <w:rPr>
          <w:rFonts w:ascii="Arial" w:hAnsi="Arial" w:cs="Arial"/>
          <w:sz w:val="22"/>
          <w:szCs w:val="22"/>
        </w:rPr>
      </w:pPr>
      <w:r w:rsidRPr="00EE686A">
        <w:rPr>
          <w:rFonts w:ascii="Arial" w:hAnsi="Arial" w:cs="Arial"/>
          <w:sz w:val="22"/>
          <w:szCs w:val="22"/>
        </w:rPr>
        <w:t>Shire welcomes the PBAC recommendation to amend the listing for Mezavant® (mesalazine) for patients with ulcerative colitis.</w:t>
      </w:r>
      <w:r>
        <w:rPr>
          <w:rFonts w:ascii="Arial" w:hAnsi="Arial" w:cs="Arial"/>
          <w:sz w:val="22"/>
          <w:szCs w:val="22"/>
        </w:rPr>
        <w:t xml:space="preserve"> </w:t>
      </w:r>
    </w:p>
    <w:p w:rsidR="008B070A" w:rsidRDefault="008B070A" w:rsidP="008B070A">
      <w:pPr>
        <w:ind w:left="720"/>
        <w:jc w:val="both"/>
        <w:rPr>
          <w:rFonts w:ascii="Arial" w:hAnsi="Arial" w:cs="Arial"/>
          <w:b/>
          <w:sz w:val="22"/>
          <w:szCs w:val="22"/>
        </w:rPr>
      </w:pPr>
    </w:p>
    <w:sectPr w:rsidR="008B070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5F9" w:rsidRDefault="00D065F9">
      <w:r>
        <w:separator/>
      </w:r>
    </w:p>
    <w:p w:rsidR="00D065F9" w:rsidRDefault="00D065F9"/>
  </w:endnote>
  <w:endnote w:type="continuationSeparator" w:id="0">
    <w:p w:rsidR="00D065F9" w:rsidRDefault="00D065F9">
      <w:r>
        <w:continuationSeparator/>
      </w:r>
    </w:p>
    <w:p w:rsidR="00D065F9" w:rsidRDefault="00D06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F4A00" w:rsidTr="005A3173">
      <w:trPr>
        <w:trHeight w:val="151"/>
      </w:trPr>
      <w:tc>
        <w:tcPr>
          <w:tcW w:w="2250" w:type="pct"/>
          <w:tcBorders>
            <w:top w:val="nil"/>
            <w:left w:val="nil"/>
            <w:bottom w:val="single" w:sz="4" w:space="0" w:color="4F81BD"/>
            <w:right w:val="nil"/>
          </w:tcBorders>
        </w:tcPr>
        <w:p w:rsidR="002F4A00" w:rsidRPr="005A3173" w:rsidRDefault="002F4A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F4A00" w:rsidRPr="005A3173" w:rsidRDefault="002F4A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F4A00" w:rsidRPr="005A3173" w:rsidRDefault="002F4A00" w:rsidP="005A3173">
          <w:pPr>
            <w:pStyle w:val="Header"/>
            <w:spacing w:line="276" w:lineRule="auto"/>
            <w:rPr>
              <w:rFonts w:ascii="Calibri" w:eastAsia="MS Gothic" w:hAnsi="Calibri"/>
              <w:b/>
              <w:bCs/>
              <w:color w:val="4F81BD"/>
            </w:rPr>
          </w:pPr>
        </w:p>
      </w:tc>
    </w:tr>
    <w:tr w:rsidR="002F4A00" w:rsidTr="005A3173">
      <w:trPr>
        <w:trHeight w:val="150"/>
      </w:trPr>
      <w:tc>
        <w:tcPr>
          <w:tcW w:w="2250" w:type="pct"/>
          <w:tcBorders>
            <w:top w:val="single" w:sz="4" w:space="0" w:color="4F81BD"/>
            <w:left w:val="nil"/>
            <w:bottom w:val="nil"/>
            <w:right w:val="nil"/>
          </w:tcBorders>
        </w:tcPr>
        <w:p w:rsidR="002F4A00" w:rsidRPr="005A3173" w:rsidRDefault="002F4A00" w:rsidP="005A3173">
          <w:pPr>
            <w:pStyle w:val="Header"/>
            <w:spacing w:line="276" w:lineRule="auto"/>
            <w:rPr>
              <w:rFonts w:ascii="Calibri" w:eastAsia="MS Gothic" w:hAnsi="Calibri"/>
              <w:b/>
              <w:bCs/>
              <w:color w:val="4F81BD"/>
            </w:rPr>
          </w:pPr>
        </w:p>
      </w:tc>
      <w:tc>
        <w:tcPr>
          <w:tcW w:w="0" w:type="auto"/>
          <w:vMerge/>
          <w:vAlign w:val="center"/>
          <w:hideMark/>
        </w:tcPr>
        <w:p w:rsidR="002F4A00" w:rsidRPr="005A3173" w:rsidRDefault="002F4A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F4A00" w:rsidRPr="005A3173" w:rsidRDefault="002F4A00" w:rsidP="005A3173">
          <w:pPr>
            <w:pStyle w:val="Header"/>
            <w:spacing w:line="276" w:lineRule="auto"/>
            <w:rPr>
              <w:rFonts w:ascii="Calibri" w:eastAsia="MS Gothic" w:hAnsi="Calibri"/>
              <w:b/>
              <w:bCs/>
              <w:color w:val="4F81BD"/>
            </w:rPr>
          </w:pPr>
        </w:p>
      </w:tc>
    </w:tr>
  </w:tbl>
  <w:p w:rsidR="002F4A00" w:rsidRDefault="002F4A0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4A00" w:rsidRDefault="002F4A00">
    <w:pPr>
      <w:pStyle w:val="Footer"/>
    </w:pPr>
  </w:p>
  <w:p w:rsidR="002F4A00" w:rsidRDefault="002F4A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2F4A00" w:rsidRPr="008B070A" w:rsidRDefault="008B070A" w:rsidP="008B070A">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9A6E6C">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F4A00" w:rsidTr="005A3173">
      <w:trPr>
        <w:trHeight w:val="151"/>
      </w:trPr>
      <w:tc>
        <w:tcPr>
          <w:tcW w:w="2250" w:type="pct"/>
          <w:tcBorders>
            <w:top w:val="nil"/>
            <w:left w:val="nil"/>
            <w:bottom w:val="single" w:sz="4" w:space="0" w:color="4F81BD"/>
            <w:right w:val="nil"/>
          </w:tcBorders>
        </w:tcPr>
        <w:p w:rsidR="002F4A00" w:rsidRPr="005A3173" w:rsidRDefault="002F4A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F4A00" w:rsidRPr="005A3173" w:rsidRDefault="002F4A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F4A00" w:rsidRPr="005A3173" w:rsidRDefault="002F4A00" w:rsidP="005A3173">
          <w:pPr>
            <w:pStyle w:val="Header"/>
            <w:spacing w:line="276" w:lineRule="auto"/>
            <w:rPr>
              <w:rFonts w:ascii="Calibri" w:eastAsia="MS Gothic" w:hAnsi="Calibri"/>
              <w:b/>
              <w:bCs/>
              <w:color w:val="4F81BD"/>
            </w:rPr>
          </w:pPr>
        </w:p>
      </w:tc>
    </w:tr>
    <w:tr w:rsidR="002F4A00" w:rsidTr="005A3173">
      <w:trPr>
        <w:trHeight w:val="150"/>
      </w:trPr>
      <w:tc>
        <w:tcPr>
          <w:tcW w:w="2250" w:type="pct"/>
          <w:tcBorders>
            <w:top w:val="single" w:sz="4" w:space="0" w:color="4F81BD"/>
            <w:left w:val="nil"/>
            <w:bottom w:val="nil"/>
            <w:right w:val="nil"/>
          </w:tcBorders>
        </w:tcPr>
        <w:p w:rsidR="002F4A00" w:rsidRPr="005A3173" w:rsidRDefault="002F4A00" w:rsidP="005A3173">
          <w:pPr>
            <w:pStyle w:val="Header"/>
            <w:spacing w:line="276" w:lineRule="auto"/>
            <w:rPr>
              <w:rFonts w:ascii="Calibri" w:eastAsia="MS Gothic" w:hAnsi="Calibri"/>
              <w:b/>
              <w:bCs/>
              <w:color w:val="4F81BD"/>
            </w:rPr>
          </w:pPr>
        </w:p>
      </w:tc>
      <w:tc>
        <w:tcPr>
          <w:tcW w:w="0" w:type="auto"/>
          <w:vMerge/>
          <w:vAlign w:val="center"/>
          <w:hideMark/>
        </w:tcPr>
        <w:p w:rsidR="002F4A00" w:rsidRPr="005A3173" w:rsidRDefault="002F4A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F4A00" w:rsidRPr="005A3173" w:rsidRDefault="002F4A0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F4A00" w:rsidTr="005A3173">
      <w:trPr>
        <w:trHeight w:val="151"/>
      </w:trPr>
      <w:tc>
        <w:tcPr>
          <w:tcW w:w="2250" w:type="pct"/>
          <w:tcBorders>
            <w:top w:val="nil"/>
            <w:left w:val="nil"/>
            <w:bottom w:val="single" w:sz="4" w:space="0" w:color="4F81BD"/>
            <w:right w:val="nil"/>
          </w:tcBorders>
        </w:tcPr>
        <w:p w:rsidR="002F4A00" w:rsidRPr="005A3173" w:rsidRDefault="002F4A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F4A00" w:rsidRPr="005A3173" w:rsidRDefault="002F4A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F4A00" w:rsidRPr="005A3173" w:rsidRDefault="002F4A00" w:rsidP="005A3173">
          <w:pPr>
            <w:pStyle w:val="Header"/>
            <w:spacing w:line="276" w:lineRule="auto"/>
            <w:rPr>
              <w:rFonts w:ascii="Calibri" w:eastAsia="MS Gothic" w:hAnsi="Calibri"/>
              <w:b/>
              <w:bCs/>
              <w:color w:val="4F81BD"/>
            </w:rPr>
          </w:pPr>
        </w:p>
      </w:tc>
    </w:tr>
    <w:tr w:rsidR="002F4A00" w:rsidTr="005A3173">
      <w:trPr>
        <w:trHeight w:val="150"/>
      </w:trPr>
      <w:tc>
        <w:tcPr>
          <w:tcW w:w="2250" w:type="pct"/>
          <w:tcBorders>
            <w:top w:val="single" w:sz="4" w:space="0" w:color="4F81BD"/>
            <w:left w:val="nil"/>
            <w:bottom w:val="nil"/>
            <w:right w:val="nil"/>
          </w:tcBorders>
        </w:tcPr>
        <w:p w:rsidR="002F4A00" w:rsidRPr="005A3173" w:rsidRDefault="002F4A00" w:rsidP="005A3173">
          <w:pPr>
            <w:pStyle w:val="Header"/>
            <w:spacing w:line="276" w:lineRule="auto"/>
            <w:rPr>
              <w:rFonts w:ascii="Calibri" w:eastAsia="MS Gothic" w:hAnsi="Calibri"/>
              <w:b/>
              <w:bCs/>
              <w:color w:val="4F81BD"/>
            </w:rPr>
          </w:pPr>
        </w:p>
      </w:tc>
      <w:tc>
        <w:tcPr>
          <w:tcW w:w="0" w:type="auto"/>
          <w:vMerge/>
          <w:vAlign w:val="center"/>
          <w:hideMark/>
        </w:tcPr>
        <w:p w:rsidR="002F4A00" w:rsidRPr="005A3173" w:rsidRDefault="002F4A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F4A00" w:rsidRPr="005A3173" w:rsidRDefault="002F4A00" w:rsidP="005A3173">
          <w:pPr>
            <w:pStyle w:val="Header"/>
            <w:spacing w:line="276" w:lineRule="auto"/>
            <w:rPr>
              <w:rFonts w:ascii="Calibri" w:eastAsia="MS Gothic" w:hAnsi="Calibri"/>
              <w:b/>
              <w:bCs/>
              <w:color w:val="4F81BD"/>
            </w:rPr>
          </w:pPr>
        </w:p>
      </w:tc>
    </w:tr>
  </w:tbl>
  <w:p w:rsidR="002F4A00" w:rsidRPr="007C0F57" w:rsidRDefault="002F4A0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F4A00" w:rsidRPr="007C0F57" w:rsidRDefault="002F4A00" w:rsidP="007C0F57">
    <w:pPr>
      <w:pStyle w:val="Footer"/>
      <w:jc w:val="center"/>
      <w:rPr>
        <w:b/>
        <w:i/>
        <w:sz w:val="20"/>
        <w:szCs w:val="20"/>
      </w:rPr>
    </w:pPr>
    <w:r w:rsidRPr="007C0F57">
      <w:rPr>
        <w:b/>
        <w:i/>
        <w:sz w:val="20"/>
        <w:szCs w:val="20"/>
      </w:rPr>
      <w:t>Commercial-in-Confidence</w:t>
    </w:r>
  </w:p>
  <w:p w:rsidR="002F4A00" w:rsidRDefault="002F4A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5F9" w:rsidRDefault="00D065F9">
      <w:r>
        <w:separator/>
      </w:r>
    </w:p>
    <w:p w:rsidR="00D065F9" w:rsidRDefault="00D065F9"/>
  </w:footnote>
  <w:footnote w:type="continuationSeparator" w:id="0">
    <w:p w:rsidR="00D065F9" w:rsidRDefault="00D065F9">
      <w:r>
        <w:continuationSeparator/>
      </w:r>
    </w:p>
    <w:p w:rsidR="00D065F9" w:rsidRDefault="00D065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F4A00" w:rsidRPr="008E0D90" w:rsidTr="00A06225">
      <w:trPr>
        <w:trHeight w:val="151"/>
      </w:trPr>
      <w:tc>
        <w:tcPr>
          <w:tcW w:w="2389" w:type="pct"/>
          <w:tcBorders>
            <w:top w:val="nil"/>
            <w:left w:val="nil"/>
            <w:bottom w:val="single" w:sz="4" w:space="0" w:color="4F81BD"/>
            <w:right w:val="nil"/>
          </w:tcBorders>
        </w:tcPr>
        <w:p w:rsidR="002F4A00" w:rsidRPr="00A06225" w:rsidRDefault="002F4A00">
          <w:pPr>
            <w:pStyle w:val="Header"/>
            <w:spacing w:line="276" w:lineRule="auto"/>
            <w:rPr>
              <w:rFonts w:ascii="Cambria" w:eastAsia="MS Gothic" w:hAnsi="Cambria"/>
              <w:b/>
              <w:bCs/>
              <w:color w:val="4F81BD"/>
            </w:rPr>
          </w:pPr>
        </w:p>
      </w:tc>
      <w:tc>
        <w:tcPr>
          <w:tcW w:w="333" w:type="pct"/>
          <w:vMerge w:val="restart"/>
          <w:noWrap/>
          <w:vAlign w:val="center"/>
          <w:hideMark/>
        </w:tcPr>
        <w:p w:rsidR="002F4A00" w:rsidRPr="00A06225" w:rsidRDefault="002F4A0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F4A00" w:rsidRPr="00A06225" w:rsidRDefault="002F4A00">
          <w:pPr>
            <w:pStyle w:val="Header"/>
            <w:spacing w:line="276" w:lineRule="auto"/>
            <w:rPr>
              <w:rFonts w:ascii="Cambria" w:eastAsia="MS Gothic" w:hAnsi="Cambria"/>
              <w:b/>
              <w:bCs/>
              <w:color w:val="4F81BD"/>
            </w:rPr>
          </w:pPr>
        </w:p>
      </w:tc>
    </w:tr>
    <w:tr w:rsidR="002F4A00" w:rsidRPr="008E0D90" w:rsidTr="00A06225">
      <w:trPr>
        <w:trHeight w:val="150"/>
      </w:trPr>
      <w:tc>
        <w:tcPr>
          <w:tcW w:w="2389" w:type="pct"/>
          <w:tcBorders>
            <w:top w:val="single" w:sz="4" w:space="0" w:color="4F81BD"/>
            <w:left w:val="nil"/>
            <w:bottom w:val="nil"/>
            <w:right w:val="nil"/>
          </w:tcBorders>
        </w:tcPr>
        <w:p w:rsidR="002F4A00" w:rsidRPr="00A06225" w:rsidRDefault="002F4A00">
          <w:pPr>
            <w:pStyle w:val="Header"/>
            <w:spacing w:line="276" w:lineRule="auto"/>
            <w:rPr>
              <w:rFonts w:ascii="Cambria" w:eastAsia="MS Gothic" w:hAnsi="Cambria"/>
              <w:b/>
              <w:bCs/>
              <w:color w:val="4F81BD"/>
            </w:rPr>
          </w:pPr>
        </w:p>
      </w:tc>
      <w:tc>
        <w:tcPr>
          <w:tcW w:w="0" w:type="auto"/>
          <w:vMerge/>
          <w:vAlign w:val="center"/>
          <w:hideMark/>
        </w:tcPr>
        <w:p w:rsidR="002F4A00" w:rsidRPr="00A06225" w:rsidRDefault="002F4A00">
          <w:pPr>
            <w:rPr>
              <w:rFonts w:ascii="Cambria" w:hAnsi="Cambria"/>
              <w:color w:val="4F81BD"/>
              <w:sz w:val="22"/>
              <w:szCs w:val="22"/>
            </w:rPr>
          </w:pPr>
        </w:p>
      </w:tc>
      <w:tc>
        <w:tcPr>
          <w:tcW w:w="2278" w:type="pct"/>
          <w:tcBorders>
            <w:top w:val="single" w:sz="4" w:space="0" w:color="4F81BD"/>
            <w:left w:val="nil"/>
            <w:bottom w:val="nil"/>
            <w:right w:val="nil"/>
          </w:tcBorders>
        </w:tcPr>
        <w:p w:rsidR="002F4A00" w:rsidRPr="00A06225" w:rsidRDefault="002F4A00">
          <w:pPr>
            <w:pStyle w:val="Header"/>
            <w:spacing w:line="276" w:lineRule="auto"/>
            <w:rPr>
              <w:rFonts w:ascii="Cambria" w:eastAsia="MS Gothic" w:hAnsi="Cambria"/>
              <w:b/>
              <w:bCs/>
              <w:color w:val="4F81BD"/>
            </w:rPr>
          </w:pPr>
        </w:p>
      </w:tc>
    </w:tr>
  </w:tbl>
  <w:p w:rsidR="002F4A00" w:rsidRDefault="002F4A00">
    <w:pPr>
      <w:pStyle w:val="Header"/>
    </w:pPr>
  </w:p>
  <w:p w:rsidR="002F4A00" w:rsidRDefault="002F4A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2B" w:rsidRPr="00BE15D7" w:rsidRDefault="00731A2B" w:rsidP="00731A2B">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C67BCF" w:rsidRPr="008B070A" w:rsidRDefault="00C67BCF" w:rsidP="008B070A">
    <w:pPr>
      <w:pStyle w:val="Header"/>
      <w:ind w:left="360"/>
      <w:jc w:val="center"/>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F9" w:rsidRDefault="00D06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8205BB8"/>
    <w:multiLevelType w:val="hybridMultilevel"/>
    <w:tmpl w:val="037E779C"/>
    <w:lvl w:ilvl="0" w:tplc="0C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3F06640"/>
    <w:multiLevelType w:val="hybridMultilevel"/>
    <w:tmpl w:val="F89E83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403535"/>
    <w:multiLevelType w:val="hybridMultilevel"/>
    <w:tmpl w:val="1C065F62"/>
    <w:lvl w:ilvl="0" w:tplc="0C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1">
    <w:nsid w:val="784D033C"/>
    <w:multiLevelType w:val="multilevel"/>
    <w:tmpl w:val="27122F02"/>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7"/>
  </w:num>
  <w:num w:numId="3">
    <w:abstractNumId w:val="21"/>
  </w:num>
  <w:num w:numId="4">
    <w:abstractNumId w:val="0"/>
  </w:num>
  <w:num w:numId="5">
    <w:abstractNumId w:val="7"/>
  </w:num>
  <w:num w:numId="6">
    <w:abstractNumId w:val="20"/>
  </w:num>
  <w:num w:numId="7">
    <w:abstractNumId w:val="17"/>
  </w:num>
  <w:num w:numId="8">
    <w:abstractNumId w:val="6"/>
  </w:num>
  <w:num w:numId="9">
    <w:abstractNumId w:val="9"/>
  </w:num>
  <w:num w:numId="10">
    <w:abstractNumId w:val="35"/>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8"/>
  </w:num>
  <w:num w:numId="15">
    <w:abstractNumId w:val="29"/>
  </w:num>
  <w:num w:numId="16">
    <w:abstractNumId w:val="24"/>
  </w:num>
  <w:num w:numId="17">
    <w:abstractNumId w:val="40"/>
  </w:num>
  <w:num w:numId="18">
    <w:abstractNumId w:val="14"/>
  </w:num>
  <w:num w:numId="19">
    <w:abstractNumId w:val="19"/>
  </w:num>
  <w:num w:numId="20">
    <w:abstractNumId w:val="5"/>
  </w:num>
  <w:num w:numId="21">
    <w:abstractNumId w:val="33"/>
  </w:num>
  <w:num w:numId="22">
    <w:abstractNumId w:val="36"/>
  </w:num>
  <w:num w:numId="23">
    <w:abstractNumId w:val="42"/>
  </w:num>
  <w:num w:numId="24">
    <w:abstractNumId w:val="16"/>
  </w:num>
  <w:num w:numId="25">
    <w:abstractNumId w:val="41"/>
  </w:num>
  <w:num w:numId="26">
    <w:abstractNumId w:val="31"/>
  </w:num>
  <w:num w:numId="27">
    <w:abstractNumId w:val="13"/>
  </w:num>
  <w:num w:numId="28">
    <w:abstractNumId w:val="8"/>
  </w:num>
  <w:num w:numId="29">
    <w:abstractNumId w:val="26"/>
  </w:num>
  <w:num w:numId="30">
    <w:abstractNumId w:val="4"/>
  </w:num>
  <w:num w:numId="31">
    <w:abstractNumId w:val="28"/>
  </w:num>
  <w:num w:numId="32">
    <w:abstractNumId w:val="39"/>
  </w:num>
  <w:num w:numId="33">
    <w:abstractNumId w:val="25"/>
  </w:num>
  <w:num w:numId="34">
    <w:abstractNumId w:val="43"/>
  </w:num>
  <w:num w:numId="35">
    <w:abstractNumId w:val="12"/>
  </w:num>
  <w:num w:numId="36">
    <w:abstractNumId w:val="23"/>
  </w:num>
  <w:num w:numId="37">
    <w:abstractNumId w:val="32"/>
  </w:num>
  <w:num w:numId="38">
    <w:abstractNumId w:val="10"/>
  </w:num>
  <w:num w:numId="39">
    <w:abstractNumId w:val="18"/>
  </w:num>
  <w:num w:numId="40">
    <w:abstractNumId w:val="1"/>
  </w:num>
  <w:num w:numId="41">
    <w:abstractNumId w:val="15"/>
  </w:num>
  <w:num w:numId="42">
    <w:abstractNumId w:val="34"/>
  </w:num>
  <w:num w:numId="43">
    <w:abstractNumId w:val="3"/>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3B41"/>
    <w:rsid w:val="00045E26"/>
    <w:rsid w:val="000514B5"/>
    <w:rsid w:val="00060E64"/>
    <w:rsid w:val="000629EA"/>
    <w:rsid w:val="00066755"/>
    <w:rsid w:val="000969AD"/>
    <w:rsid w:val="000A2D01"/>
    <w:rsid w:val="000B558D"/>
    <w:rsid w:val="000C6996"/>
    <w:rsid w:val="000D23BA"/>
    <w:rsid w:val="000E681E"/>
    <w:rsid w:val="000F4E6A"/>
    <w:rsid w:val="001107BF"/>
    <w:rsid w:val="0012417C"/>
    <w:rsid w:val="00142395"/>
    <w:rsid w:val="00142714"/>
    <w:rsid w:val="001452ED"/>
    <w:rsid w:val="0016724F"/>
    <w:rsid w:val="001830CE"/>
    <w:rsid w:val="00196307"/>
    <w:rsid w:val="001B017F"/>
    <w:rsid w:val="001B3746"/>
    <w:rsid w:val="001B5129"/>
    <w:rsid w:val="001C1195"/>
    <w:rsid w:val="00213CFB"/>
    <w:rsid w:val="00233437"/>
    <w:rsid w:val="002543D5"/>
    <w:rsid w:val="00271BA1"/>
    <w:rsid w:val="00277505"/>
    <w:rsid w:val="00280574"/>
    <w:rsid w:val="0028189B"/>
    <w:rsid w:val="0029458F"/>
    <w:rsid w:val="002A104C"/>
    <w:rsid w:val="002A4960"/>
    <w:rsid w:val="002A6C0A"/>
    <w:rsid w:val="002B1AE6"/>
    <w:rsid w:val="002B30F8"/>
    <w:rsid w:val="002C1FBA"/>
    <w:rsid w:val="002C212F"/>
    <w:rsid w:val="002C5195"/>
    <w:rsid w:val="002E3153"/>
    <w:rsid w:val="002E72CA"/>
    <w:rsid w:val="002F4A00"/>
    <w:rsid w:val="002F596A"/>
    <w:rsid w:val="00326E79"/>
    <w:rsid w:val="003367EF"/>
    <w:rsid w:val="00340189"/>
    <w:rsid w:val="00341AE4"/>
    <w:rsid w:val="003872CF"/>
    <w:rsid w:val="0039782C"/>
    <w:rsid w:val="003A5B4A"/>
    <w:rsid w:val="003B06A4"/>
    <w:rsid w:val="003B074D"/>
    <w:rsid w:val="003B23C5"/>
    <w:rsid w:val="003B2A75"/>
    <w:rsid w:val="003C2C13"/>
    <w:rsid w:val="003D4AC4"/>
    <w:rsid w:val="003D63B7"/>
    <w:rsid w:val="003D6DD8"/>
    <w:rsid w:val="003E468B"/>
    <w:rsid w:val="003F5C8C"/>
    <w:rsid w:val="00407574"/>
    <w:rsid w:val="004465BD"/>
    <w:rsid w:val="00466ADA"/>
    <w:rsid w:val="00476245"/>
    <w:rsid w:val="00485940"/>
    <w:rsid w:val="004A2CEB"/>
    <w:rsid w:val="004A5A85"/>
    <w:rsid w:val="004B5640"/>
    <w:rsid w:val="004C179C"/>
    <w:rsid w:val="004C1BD7"/>
    <w:rsid w:val="004C691D"/>
    <w:rsid w:val="004D0E75"/>
    <w:rsid w:val="004D47A0"/>
    <w:rsid w:val="004E692D"/>
    <w:rsid w:val="00501554"/>
    <w:rsid w:val="005072FF"/>
    <w:rsid w:val="00514CD7"/>
    <w:rsid w:val="005319B2"/>
    <w:rsid w:val="00532C74"/>
    <w:rsid w:val="00534E2E"/>
    <w:rsid w:val="00541EAE"/>
    <w:rsid w:val="00542F09"/>
    <w:rsid w:val="00544552"/>
    <w:rsid w:val="00581932"/>
    <w:rsid w:val="005963BB"/>
    <w:rsid w:val="005A286B"/>
    <w:rsid w:val="005A3173"/>
    <w:rsid w:val="005A3223"/>
    <w:rsid w:val="005A3DA3"/>
    <w:rsid w:val="005A52C4"/>
    <w:rsid w:val="005B6ADE"/>
    <w:rsid w:val="005D03AB"/>
    <w:rsid w:val="005D5017"/>
    <w:rsid w:val="005F6E78"/>
    <w:rsid w:val="00601A91"/>
    <w:rsid w:val="00602BA3"/>
    <w:rsid w:val="00614159"/>
    <w:rsid w:val="00617C00"/>
    <w:rsid w:val="00624D14"/>
    <w:rsid w:val="006263BF"/>
    <w:rsid w:val="0062748A"/>
    <w:rsid w:val="00630A2C"/>
    <w:rsid w:val="00647600"/>
    <w:rsid w:val="00651169"/>
    <w:rsid w:val="00653D69"/>
    <w:rsid w:val="00670A76"/>
    <w:rsid w:val="006711AA"/>
    <w:rsid w:val="00672B57"/>
    <w:rsid w:val="00675622"/>
    <w:rsid w:val="006906DB"/>
    <w:rsid w:val="00695F90"/>
    <w:rsid w:val="006A12A5"/>
    <w:rsid w:val="006B0D94"/>
    <w:rsid w:val="006B485D"/>
    <w:rsid w:val="006C708E"/>
    <w:rsid w:val="006D1FAE"/>
    <w:rsid w:val="006D6EC7"/>
    <w:rsid w:val="006F5125"/>
    <w:rsid w:val="007174BB"/>
    <w:rsid w:val="007251BC"/>
    <w:rsid w:val="00731A2B"/>
    <w:rsid w:val="0076420C"/>
    <w:rsid w:val="007753C2"/>
    <w:rsid w:val="00777E8A"/>
    <w:rsid w:val="007838B8"/>
    <w:rsid w:val="007C0F57"/>
    <w:rsid w:val="007C40B6"/>
    <w:rsid w:val="007C729F"/>
    <w:rsid w:val="007E1D28"/>
    <w:rsid w:val="007F2641"/>
    <w:rsid w:val="007F7C36"/>
    <w:rsid w:val="00801129"/>
    <w:rsid w:val="00806796"/>
    <w:rsid w:val="00811CBD"/>
    <w:rsid w:val="00814B90"/>
    <w:rsid w:val="00824605"/>
    <w:rsid w:val="00826F6D"/>
    <w:rsid w:val="00856DDD"/>
    <w:rsid w:val="00863E68"/>
    <w:rsid w:val="00864A5D"/>
    <w:rsid w:val="00882085"/>
    <w:rsid w:val="00883188"/>
    <w:rsid w:val="00897D58"/>
    <w:rsid w:val="008A1956"/>
    <w:rsid w:val="008A477D"/>
    <w:rsid w:val="008A4937"/>
    <w:rsid w:val="008A71FB"/>
    <w:rsid w:val="008B070A"/>
    <w:rsid w:val="008C2B16"/>
    <w:rsid w:val="008D3C82"/>
    <w:rsid w:val="008D447E"/>
    <w:rsid w:val="008D7A41"/>
    <w:rsid w:val="008E3680"/>
    <w:rsid w:val="008E5870"/>
    <w:rsid w:val="008F1434"/>
    <w:rsid w:val="008F7355"/>
    <w:rsid w:val="009067B7"/>
    <w:rsid w:val="00930937"/>
    <w:rsid w:val="00933E6C"/>
    <w:rsid w:val="00942160"/>
    <w:rsid w:val="009602C5"/>
    <w:rsid w:val="00974C21"/>
    <w:rsid w:val="00996176"/>
    <w:rsid w:val="009A6E6C"/>
    <w:rsid w:val="009A7697"/>
    <w:rsid w:val="009B0F67"/>
    <w:rsid w:val="009C703C"/>
    <w:rsid w:val="009D3CAA"/>
    <w:rsid w:val="009D58A6"/>
    <w:rsid w:val="009E46E7"/>
    <w:rsid w:val="009F4E46"/>
    <w:rsid w:val="009F5B65"/>
    <w:rsid w:val="009F5F2E"/>
    <w:rsid w:val="00A06225"/>
    <w:rsid w:val="00A128E6"/>
    <w:rsid w:val="00A21723"/>
    <w:rsid w:val="00A37C8D"/>
    <w:rsid w:val="00A5273B"/>
    <w:rsid w:val="00A53A9D"/>
    <w:rsid w:val="00A55FEE"/>
    <w:rsid w:val="00A5734B"/>
    <w:rsid w:val="00A62C1A"/>
    <w:rsid w:val="00A6426D"/>
    <w:rsid w:val="00A70622"/>
    <w:rsid w:val="00A70977"/>
    <w:rsid w:val="00A824D2"/>
    <w:rsid w:val="00A8390C"/>
    <w:rsid w:val="00A928BD"/>
    <w:rsid w:val="00AA4D1C"/>
    <w:rsid w:val="00AC5206"/>
    <w:rsid w:val="00AE11A5"/>
    <w:rsid w:val="00AE13E2"/>
    <w:rsid w:val="00AF68CC"/>
    <w:rsid w:val="00B16DBC"/>
    <w:rsid w:val="00B205AA"/>
    <w:rsid w:val="00B22E84"/>
    <w:rsid w:val="00B25F75"/>
    <w:rsid w:val="00B43E90"/>
    <w:rsid w:val="00B56118"/>
    <w:rsid w:val="00B6773F"/>
    <w:rsid w:val="00B801BA"/>
    <w:rsid w:val="00BB69F5"/>
    <w:rsid w:val="00BB7EC3"/>
    <w:rsid w:val="00BC4B9A"/>
    <w:rsid w:val="00BD784C"/>
    <w:rsid w:val="00BF4CB6"/>
    <w:rsid w:val="00C00DA7"/>
    <w:rsid w:val="00C12768"/>
    <w:rsid w:val="00C27B58"/>
    <w:rsid w:val="00C35996"/>
    <w:rsid w:val="00C52D79"/>
    <w:rsid w:val="00C5342C"/>
    <w:rsid w:val="00C6256A"/>
    <w:rsid w:val="00C67BCF"/>
    <w:rsid w:val="00C726AF"/>
    <w:rsid w:val="00C90C0C"/>
    <w:rsid w:val="00C91449"/>
    <w:rsid w:val="00C92D10"/>
    <w:rsid w:val="00CD0B22"/>
    <w:rsid w:val="00CE10C4"/>
    <w:rsid w:val="00CE27B5"/>
    <w:rsid w:val="00D0321E"/>
    <w:rsid w:val="00D065F9"/>
    <w:rsid w:val="00D1455A"/>
    <w:rsid w:val="00D3280C"/>
    <w:rsid w:val="00D3406A"/>
    <w:rsid w:val="00D37EF1"/>
    <w:rsid w:val="00D469B2"/>
    <w:rsid w:val="00D65110"/>
    <w:rsid w:val="00D741EB"/>
    <w:rsid w:val="00D74E3A"/>
    <w:rsid w:val="00D84934"/>
    <w:rsid w:val="00D91271"/>
    <w:rsid w:val="00DA2CB5"/>
    <w:rsid w:val="00DA4BAC"/>
    <w:rsid w:val="00DE6D27"/>
    <w:rsid w:val="00DF217D"/>
    <w:rsid w:val="00DF26A7"/>
    <w:rsid w:val="00DF4E63"/>
    <w:rsid w:val="00E164B3"/>
    <w:rsid w:val="00E16910"/>
    <w:rsid w:val="00E65E54"/>
    <w:rsid w:val="00E80155"/>
    <w:rsid w:val="00E848C0"/>
    <w:rsid w:val="00E91B96"/>
    <w:rsid w:val="00E941A1"/>
    <w:rsid w:val="00E95CE3"/>
    <w:rsid w:val="00EA2825"/>
    <w:rsid w:val="00EA6AA3"/>
    <w:rsid w:val="00EB5088"/>
    <w:rsid w:val="00EC67BE"/>
    <w:rsid w:val="00ED1644"/>
    <w:rsid w:val="00EE686A"/>
    <w:rsid w:val="00EF44A0"/>
    <w:rsid w:val="00EF4FED"/>
    <w:rsid w:val="00F050BD"/>
    <w:rsid w:val="00F05657"/>
    <w:rsid w:val="00F25578"/>
    <w:rsid w:val="00F258E5"/>
    <w:rsid w:val="00F300BC"/>
    <w:rsid w:val="00F3334E"/>
    <w:rsid w:val="00F50EC4"/>
    <w:rsid w:val="00F57A6D"/>
    <w:rsid w:val="00F638CC"/>
    <w:rsid w:val="00F64CC1"/>
    <w:rsid w:val="00F8247A"/>
    <w:rsid w:val="00F95AA8"/>
    <w:rsid w:val="00F9629A"/>
    <w:rsid w:val="00FA5883"/>
    <w:rsid w:val="00FA6055"/>
    <w:rsid w:val="00FB048C"/>
    <w:rsid w:val="00FB322F"/>
    <w:rsid w:val="00FB442F"/>
    <w:rsid w:val="00FC1929"/>
    <w:rsid w:val="00FC5B46"/>
    <w:rsid w:val="00FD2F78"/>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996176"/>
    <w:pPr>
      <w:numPr>
        <w:numId w:val="25"/>
      </w:numPr>
      <w:jc w:val="both"/>
      <w:outlineLvl w:val="0"/>
    </w:pPr>
    <w:rPr>
      <w:rFonts w:ascii="Arial" w:hAnsi="Arial"/>
      <w:b/>
      <w:sz w:val="22"/>
      <w:szCs w:val="22"/>
    </w:rPr>
  </w:style>
  <w:style w:type="paragraph" w:styleId="Heading2">
    <w:name w:val="heading 2"/>
    <w:basedOn w:val="Normal"/>
    <w:next w:val="Normal"/>
    <w:qFormat/>
    <w:rsid w:val="00996176"/>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CharCharChar">
    <w:name w:val="Char Char Char"/>
    <w:basedOn w:val="Normal"/>
    <w:autoRedefine/>
    <w:rsid w:val="00801129"/>
    <w:pPr>
      <w:spacing w:after="160" w:line="360" w:lineRule="auto"/>
    </w:pPr>
    <w:rPr>
      <w:rFonts w:ascii="Calibri" w:hAnsi="Calibri" w:cs="Tahoma"/>
      <w:sz w:val="22"/>
      <w:szCs w:val="20"/>
      <w:lang w:val="en-US" w:eastAsia="en-US"/>
    </w:rPr>
  </w:style>
  <w:style w:type="paragraph" w:styleId="Caption">
    <w:name w:val="caption"/>
    <w:basedOn w:val="Normal"/>
    <w:next w:val="Normal"/>
    <w:unhideWhenUsed/>
    <w:qFormat/>
    <w:rsid w:val="008C2B16"/>
    <w:pPr>
      <w:spacing w:after="200"/>
    </w:pPr>
    <w:rPr>
      <w:b/>
      <w:bCs/>
      <w:color w:val="4F81BD" w:themeColor="accent1"/>
      <w:sz w:val="18"/>
      <w:szCs w:val="18"/>
    </w:rPr>
  </w:style>
  <w:style w:type="character" w:styleId="Hyperlink">
    <w:name w:val="Hyperlink"/>
    <w:basedOn w:val="DefaultParagraphFont"/>
    <w:rsid w:val="00777E8A"/>
    <w:rPr>
      <w:color w:val="0000FF" w:themeColor="hyperlink"/>
      <w:u w:val="single"/>
    </w:rPr>
  </w:style>
  <w:style w:type="paragraph" w:customStyle="1" w:styleId="PBACHeading1">
    <w:name w:val="PBAC Heading 1"/>
    <w:qFormat/>
    <w:rsid w:val="00F95AA8"/>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9A6E6C"/>
    <w:pPr>
      <w:ind w:left="720" w:hanging="720"/>
      <w:outlineLvl w:val="0"/>
    </w:pPr>
    <w:rPr>
      <w:rFonts w:ascii="Arial" w:hAnsi="Arial"/>
      <w:b/>
      <w:sz w:val="28"/>
      <w:szCs w:val="28"/>
    </w:rPr>
  </w:style>
  <w:style w:type="character" w:customStyle="1" w:styleId="TitleChar">
    <w:name w:val="Title Char"/>
    <w:basedOn w:val="DefaultParagraphFont"/>
    <w:link w:val="Title"/>
    <w:rsid w:val="009A6E6C"/>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996176"/>
    <w:pPr>
      <w:numPr>
        <w:numId w:val="25"/>
      </w:numPr>
      <w:jc w:val="both"/>
      <w:outlineLvl w:val="0"/>
    </w:pPr>
    <w:rPr>
      <w:rFonts w:ascii="Arial" w:hAnsi="Arial"/>
      <w:b/>
      <w:sz w:val="22"/>
      <w:szCs w:val="22"/>
    </w:rPr>
  </w:style>
  <w:style w:type="paragraph" w:styleId="Heading2">
    <w:name w:val="heading 2"/>
    <w:basedOn w:val="Normal"/>
    <w:next w:val="Normal"/>
    <w:qFormat/>
    <w:rsid w:val="00996176"/>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CharCharChar">
    <w:name w:val="Char Char Char"/>
    <w:basedOn w:val="Normal"/>
    <w:autoRedefine/>
    <w:rsid w:val="00801129"/>
    <w:pPr>
      <w:spacing w:after="160" w:line="360" w:lineRule="auto"/>
    </w:pPr>
    <w:rPr>
      <w:rFonts w:ascii="Calibri" w:hAnsi="Calibri" w:cs="Tahoma"/>
      <w:sz w:val="22"/>
      <w:szCs w:val="20"/>
      <w:lang w:val="en-US" w:eastAsia="en-US"/>
    </w:rPr>
  </w:style>
  <w:style w:type="paragraph" w:styleId="Caption">
    <w:name w:val="caption"/>
    <w:basedOn w:val="Normal"/>
    <w:next w:val="Normal"/>
    <w:unhideWhenUsed/>
    <w:qFormat/>
    <w:rsid w:val="008C2B16"/>
    <w:pPr>
      <w:spacing w:after="200"/>
    </w:pPr>
    <w:rPr>
      <w:b/>
      <w:bCs/>
      <w:color w:val="4F81BD" w:themeColor="accent1"/>
      <w:sz w:val="18"/>
      <w:szCs w:val="18"/>
    </w:rPr>
  </w:style>
  <w:style w:type="character" w:styleId="Hyperlink">
    <w:name w:val="Hyperlink"/>
    <w:basedOn w:val="DefaultParagraphFont"/>
    <w:rsid w:val="00777E8A"/>
    <w:rPr>
      <w:color w:val="0000FF" w:themeColor="hyperlink"/>
      <w:u w:val="single"/>
    </w:rPr>
  </w:style>
  <w:style w:type="paragraph" w:customStyle="1" w:styleId="PBACHeading1">
    <w:name w:val="PBAC Heading 1"/>
    <w:qFormat/>
    <w:rsid w:val="00F95AA8"/>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9A6E6C"/>
    <w:pPr>
      <w:ind w:left="720" w:hanging="720"/>
      <w:outlineLvl w:val="0"/>
    </w:pPr>
    <w:rPr>
      <w:rFonts w:ascii="Arial" w:hAnsi="Arial"/>
      <w:b/>
      <w:sz w:val="28"/>
      <w:szCs w:val="28"/>
    </w:rPr>
  </w:style>
  <w:style w:type="character" w:customStyle="1" w:styleId="TitleChar">
    <w:name w:val="Title Char"/>
    <w:basedOn w:val="DefaultParagraphFont"/>
    <w:link w:val="Title"/>
    <w:rsid w:val="009A6E6C"/>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1506427">
      <w:bodyDiv w:val="1"/>
      <w:marLeft w:val="0"/>
      <w:marRight w:val="0"/>
      <w:marTop w:val="0"/>
      <w:marBottom w:val="0"/>
      <w:divBdr>
        <w:top w:val="none" w:sz="0" w:space="0" w:color="auto"/>
        <w:left w:val="none" w:sz="0" w:space="0" w:color="auto"/>
        <w:bottom w:val="none" w:sz="0" w:space="0" w:color="auto"/>
        <w:right w:val="none" w:sz="0" w:space="0" w:color="auto"/>
      </w:divBdr>
    </w:div>
    <w:div w:id="395662096">
      <w:bodyDiv w:val="1"/>
      <w:marLeft w:val="0"/>
      <w:marRight w:val="0"/>
      <w:marTop w:val="0"/>
      <w:marBottom w:val="0"/>
      <w:divBdr>
        <w:top w:val="none" w:sz="0" w:space="0" w:color="auto"/>
        <w:left w:val="none" w:sz="0" w:space="0" w:color="auto"/>
        <w:bottom w:val="none" w:sz="0" w:space="0" w:color="auto"/>
        <w:right w:val="none" w:sz="0" w:space="0" w:color="auto"/>
      </w:divBdr>
    </w:div>
    <w:div w:id="407927059">
      <w:bodyDiv w:val="1"/>
      <w:marLeft w:val="0"/>
      <w:marRight w:val="0"/>
      <w:marTop w:val="0"/>
      <w:marBottom w:val="0"/>
      <w:divBdr>
        <w:top w:val="none" w:sz="0" w:space="0" w:color="auto"/>
        <w:left w:val="none" w:sz="0" w:space="0" w:color="auto"/>
        <w:bottom w:val="none" w:sz="0" w:space="0" w:color="auto"/>
        <w:right w:val="none" w:sz="0" w:space="0" w:color="auto"/>
      </w:divBdr>
    </w:div>
    <w:div w:id="47194780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6531121">
      <w:bodyDiv w:val="1"/>
      <w:marLeft w:val="0"/>
      <w:marRight w:val="0"/>
      <w:marTop w:val="0"/>
      <w:marBottom w:val="0"/>
      <w:divBdr>
        <w:top w:val="none" w:sz="0" w:space="0" w:color="auto"/>
        <w:left w:val="none" w:sz="0" w:space="0" w:color="auto"/>
        <w:bottom w:val="none" w:sz="0" w:space="0" w:color="auto"/>
        <w:right w:val="none" w:sz="0" w:space="0" w:color="auto"/>
      </w:divBdr>
    </w:div>
    <w:div w:id="1114400767">
      <w:bodyDiv w:val="1"/>
      <w:marLeft w:val="0"/>
      <w:marRight w:val="0"/>
      <w:marTop w:val="0"/>
      <w:marBottom w:val="0"/>
      <w:divBdr>
        <w:top w:val="none" w:sz="0" w:space="0" w:color="auto"/>
        <w:left w:val="none" w:sz="0" w:space="0" w:color="auto"/>
        <w:bottom w:val="none" w:sz="0" w:space="0" w:color="auto"/>
        <w:right w:val="none" w:sz="0" w:space="0" w:color="auto"/>
      </w:divBdr>
    </w:div>
    <w:div w:id="1134637586">
      <w:bodyDiv w:val="1"/>
      <w:marLeft w:val="0"/>
      <w:marRight w:val="0"/>
      <w:marTop w:val="0"/>
      <w:marBottom w:val="0"/>
      <w:divBdr>
        <w:top w:val="none" w:sz="0" w:space="0" w:color="auto"/>
        <w:left w:val="none" w:sz="0" w:space="0" w:color="auto"/>
        <w:bottom w:val="none" w:sz="0" w:space="0" w:color="auto"/>
        <w:right w:val="none" w:sz="0" w:space="0" w:color="auto"/>
      </w:divBdr>
      <w:divsChild>
        <w:div w:id="1391461054">
          <w:marLeft w:val="0"/>
          <w:marRight w:val="0"/>
          <w:marTop w:val="240"/>
          <w:marBottom w:val="480"/>
          <w:divBdr>
            <w:top w:val="none" w:sz="0" w:space="0" w:color="auto"/>
            <w:left w:val="none" w:sz="0" w:space="0" w:color="auto"/>
            <w:bottom w:val="none" w:sz="0" w:space="0" w:color="auto"/>
            <w:right w:val="none" w:sz="0" w:space="0" w:color="auto"/>
          </w:divBdr>
          <w:divsChild>
            <w:div w:id="2105689418">
              <w:marLeft w:val="0"/>
              <w:marRight w:val="0"/>
              <w:marTop w:val="0"/>
              <w:marBottom w:val="0"/>
              <w:divBdr>
                <w:top w:val="none" w:sz="0" w:space="0" w:color="auto"/>
                <w:left w:val="none" w:sz="0" w:space="0" w:color="auto"/>
                <w:bottom w:val="none" w:sz="0" w:space="0" w:color="auto"/>
                <w:right w:val="none" w:sz="0" w:space="0" w:color="auto"/>
              </w:divBdr>
              <w:divsChild>
                <w:div w:id="1968509846">
                  <w:marLeft w:val="0"/>
                  <w:marRight w:val="0"/>
                  <w:marTop w:val="0"/>
                  <w:marBottom w:val="0"/>
                  <w:divBdr>
                    <w:top w:val="none" w:sz="0" w:space="0" w:color="auto"/>
                    <w:left w:val="none" w:sz="0" w:space="0" w:color="auto"/>
                    <w:bottom w:val="none" w:sz="0" w:space="0" w:color="auto"/>
                    <w:right w:val="none" w:sz="0" w:space="0" w:color="auto"/>
                  </w:divBdr>
                </w:div>
                <w:div w:id="50882962">
                  <w:marLeft w:val="0"/>
                  <w:marRight w:val="0"/>
                  <w:marTop w:val="0"/>
                  <w:marBottom w:val="0"/>
                  <w:divBdr>
                    <w:top w:val="none" w:sz="0" w:space="0" w:color="auto"/>
                    <w:left w:val="none" w:sz="0" w:space="0" w:color="auto"/>
                    <w:bottom w:val="none" w:sz="0" w:space="0" w:color="auto"/>
                    <w:right w:val="none" w:sz="0" w:space="0" w:color="auto"/>
                  </w:divBdr>
                  <w:divsChild>
                    <w:div w:id="767309351">
                      <w:marLeft w:val="0"/>
                      <w:marRight w:val="0"/>
                      <w:marTop w:val="0"/>
                      <w:marBottom w:val="0"/>
                      <w:divBdr>
                        <w:top w:val="none" w:sz="0" w:space="0" w:color="auto"/>
                        <w:left w:val="none" w:sz="0" w:space="0" w:color="auto"/>
                        <w:bottom w:val="none" w:sz="0" w:space="0" w:color="auto"/>
                        <w:right w:val="none" w:sz="0" w:space="0" w:color="auto"/>
                      </w:divBdr>
                      <w:divsChild>
                        <w:div w:id="2054428254">
                          <w:marLeft w:val="0"/>
                          <w:marRight w:val="0"/>
                          <w:marTop w:val="0"/>
                          <w:marBottom w:val="0"/>
                          <w:divBdr>
                            <w:top w:val="none" w:sz="0" w:space="0" w:color="auto"/>
                            <w:left w:val="none" w:sz="0" w:space="0" w:color="auto"/>
                            <w:bottom w:val="none" w:sz="0" w:space="0" w:color="auto"/>
                            <w:right w:val="none" w:sz="0" w:space="0" w:color="auto"/>
                          </w:divBdr>
                          <w:divsChild>
                            <w:div w:id="1765343710">
                              <w:marLeft w:val="0"/>
                              <w:marRight w:val="0"/>
                              <w:marTop w:val="0"/>
                              <w:marBottom w:val="0"/>
                              <w:divBdr>
                                <w:top w:val="none" w:sz="0" w:space="0" w:color="auto"/>
                                <w:left w:val="none" w:sz="0" w:space="0" w:color="auto"/>
                                <w:bottom w:val="none" w:sz="0" w:space="0" w:color="auto"/>
                                <w:right w:val="none" w:sz="0" w:space="0" w:color="auto"/>
                              </w:divBdr>
                            </w:div>
                            <w:div w:id="9580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39279">
      <w:bodyDiv w:val="1"/>
      <w:marLeft w:val="0"/>
      <w:marRight w:val="0"/>
      <w:marTop w:val="0"/>
      <w:marBottom w:val="0"/>
      <w:divBdr>
        <w:top w:val="none" w:sz="0" w:space="0" w:color="auto"/>
        <w:left w:val="none" w:sz="0" w:space="0" w:color="auto"/>
        <w:bottom w:val="none" w:sz="0" w:space="0" w:color="auto"/>
        <w:right w:val="none" w:sz="0" w:space="0" w:color="auto"/>
      </w:divBdr>
    </w:div>
    <w:div w:id="1629429715">
      <w:bodyDiv w:val="1"/>
      <w:marLeft w:val="0"/>
      <w:marRight w:val="0"/>
      <w:marTop w:val="0"/>
      <w:marBottom w:val="0"/>
      <w:divBdr>
        <w:top w:val="none" w:sz="0" w:space="0" w:color="auto"/>
        <w:left w:val="none" w:sz="0" w:space="0" w:color="auto"/>
        <w:bottom w:val="none" w:sz="0" w:space="0" w:color="auto"/>
        <w:right w:val="none" w:sz="0" w:space="0" w:color="auto"/>
      </w:divBdr>
    </w:div>
    <w:div w:id="168004217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40623140">
      <w:bodyDiv w:val="1"/>
      <w:marLeft w:val="0"/>
      <w:marRight w:val="0"/>
      <w:marTop w:val="0"/>
      <w:marBottom w:val="0"/>
      <w:divBdr>
        <w:top w:val="none" w:sz="0" w:space="0" w:color="auto"/>
        <w:left w:val="none" w:sz="0" w:space="0" w:color="auto"/>
        <w:bottom w:val="none" w:sz="0" w:space="0" w:color="auto"/>
        <w:right w:val="none" w:sz="0" w:space="0" w:color="auto"/>
      </w:divBdr>
    </w:div>
    <w:div w:id="2045324445">
      <w:bodyDiv w:val="1"/>
      <w:marLeft w:val="0"/>
      <w:marRight w:val="0"/>
      <w:marTop w:val="0"/>
      <w:marBottom w:val="0"/>
      <w:divBdr>
        <w:top w:val="none" w:sz="0" w:space="0" w:color="auto"/>
        <w:left w:val="none" w:sz="0" w:space="0" w:color="auto"/>
        <w:bottom w:val="none" w:sz="0" w:space="0" w:color="auto"/>
        <w:right w:val="none" w:sz="0" w:space="0" w:color="auto"/>
      </w:divBdr>
    </w:div>
    <w:div w:id="2145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40B5-82BD-4464-8DA9-25EE1985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 mesalazine</dc:title>
  <dc:creator/>
  <cp:lastModifiedBy/>
  <cp:revision>1</cp:revision>
  <dcterms:created xsi:type="dcterms:W3CDTF">2016-02-24T03:29:00Z</dcterms:created>
  <dcterms:modified xsi:type="dcterms:W3CDTF">2016-02-25T03:11:00Z</dcterms:modified>
</cp:coreProperties>
</file>