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69D" w:rsidRDefault="008D169D" w:rsidP="008D169D">
      <w:pPr>
        <w:rPr>
          <w:lang w:val="en-GB" w:eastAsia="en-AU"/>
        </w:rPr>
      </w:pPr>
      <w:bookmarkStart w:id="0" w:name="_Toc430010741"/>
    </w:p>
    <w:p w:rsidR="00A302F9" w:rsidRPr="00E975B1" w:rsidRDefault="002738E3" w:rsidP="00E975B1">
      <w:pPr>
        <w:pStyle w:val="Title"/>
        <w:numPr>
          <w:ilvl w:val="0"/>
          <w:numId w:val="0"/>
        </w:numPr>
      </w:pPr>
      <w:r w:rsidRPr="00E975B1">
        <w:t>6.10</w:t>
      </w:r>
      <w:r w:rsidR="00611101" w:rsidRPr="00E975B1">
        <w:tab/>
        <w:t>LANREOTIDE</w:t>
      </w:r>
    </w:p>
    <w:p w:rsidR="00A302F9" w:rsidRPr="00E975B1" w:rsidRDefault="00611101" w:rsidP="00E975B1">
      <w:pPr>
        <w:pStyle w:val="Title"/>
        <w:numPr>
          <w:ilvl w:val="0"/>
          <w:numId w:val="0"/>
        </w:numPr>
        <w:ind w:left="709"/>
      </w:pPr>
      <w:r w:rsidRPr="00E975B1">
        <w:t>120mg injection</w:t>
      </w:r>
    </w:p>
    <w:p w:rsidR="00611101" w:rsidRPr="00E975B1" w:rsidRDefault="00611101" w:rsidP="00E975B1">
      <w:pPr>
        <w:pStyle w:val="Title"/>
        <w:numPr>
          <w:ilvl w:val="0"/>
          <w:numId w:val="0"/>
        </w:numPr>
        <w:ind w:left="709"/>
      </w:pPr>
      <w:proofErr w:type="spellStart"/>
      <w:proofErr w:type="gramStart"/>
      <w:r w:rsidRPr="00E975B1">
        <w:t>Somatuline</w:t>
      </w:r>
      <w:proofErr w:type="spellEnd"/>
      <w:r w:rsidRPr="00E975B1">
        <w:t xml:space="preserve">® </w:t>
      </w:r>
      <w:proofErr w:type="spellStart"/>
      <w:r w:rsidRPr="00E975B1">
        <w:t>Autogel</w:t>
      </w:r>
      <w:proofErr w:type="spellEnd"/>
      <w:r w:rsidRPr="00E975B1">
        <w:t>®</w:t>
      </w:r>
      <w:r w:rsidR="004F2B43" w:rsidRPr="00E975B1">
        <w:t>,</w:t>
      </w:r>
      <w:r w:rsidRPr="00E975B1">
        <w:t xml:space="preserve"> IPSEN.</w:t>
      </w:r>
      <w:bookmarkEnd w:id="0"/>
      <w:proofErr w:type="gramEnd"/>
    </w:p>
    <w:p w:rsidR="00611101" w:rsidRPr="009A64DA" w:rsidRDefault="00611101" w:rsidP="00611101">
      <w:pPr>
        <w:pStyle w:val="BodyText"/>
      </w:pPr>
    </w:p>
    <w:p w:rsidR="00611101" w:rsidRPr="00E975B1" w:rsidRDefault="00611101" w:rsidP="00E975B1">
      <w:pPr>
        <w:pStyle w:val="Heading1"/>
      </w:pPr>
      <w:bookmarkStart w:id="1" w:name="_Toc430010743"/>
      <w:r w:rsidRPr="00E975B1">
        <w:t>Purpose of Application</w:t>
      </w:r>
      <w:bookmarkEnd w:id="1"/>
    </w:p>
    <w:p w:rsidR="00611101" w:rsidRPr="009A64DA" w:rsidRDefault="00611101" w:rsidP="00611101">
      <w:pPr>
        <w:rPr>
          <w:szCs w:val="22"/>
        </w:rPr>
      </w:pPr>
    </w:p>
    <w:p w:rsidR="00BD69F2" w:rsidRPr="009A64DA" w:rsidRDefault="00611101" w:rsidP="0030238C">
      <w:pPr>
        <w:pStyle w:val="ListParagraph"/>
        <w:widowControl/>
        <w:numPr>
          <w:ilvl w:val="1"/>
          <w:numId w:val="2"/>
        </w:numPr>
      </w:pPr>
      <w:r w:rsidRPr="009A64DA">
        <w:rPr>
          <w:szCs w:val="22"/>
        </w:rPr>
        <w:t xml:space="preserve">The submission requested a Section 85 Streamlined Authority PBS listing for </w:t>
      </w:r>
      <w:proofErr w:type="spellStart"/>
      <w:r w:rsidRPr="009A64DA">
        <w:rPr>
          <w:szCs w:val="22"/>
        </w:rPr>
        <w:t>lanreotide</w:t>
      </w:r>
      <w:proofErr w:type="spellEnd"/>
      <w:r w:rsidRPr="009A64DA">
        <w:rPr>
          <w:szCs w:val="22"/>
        </w:rPr>
        <w:t xml:space="preserve"> for the treatment of </w:t>
      </w:r>
      <w:proofErr w:type="spellStart"/>
      <w:r w:rsidRPr="009A64DA">
        <w:t>gastroenteropancreatic</w:t>
      </w:r>
      <w:proofErr w:type="spellEnd"/>
      <w:r w:rsidRPr="009A64DA">
        <w:t xml:space="preserve"> neuroendocrine tumours</w:t>
      </w:r>
      <w:r w:rsidRPr="009A64DA">
        <w:rPr>
          <w:szCs w:val="22"/>
        </w:rPr>
        <w:t xml:space="preserve"> (GEP-NETs).</w:t>
      </w:r>
      <w:r w:rsidR="006A6335" w:rsidRPr="009A64DA">
        <w:rPr>
          <w:szCs w:val="22"/>
        </w:rPr>
        <w:t xml:space="preserve"> The </w:t>
      </w:r>
      <w:r w:rsidR="00380E79" w:rsidRPr="009A64DA">
        <w:rPr>
          <w:szCs w:val="22"/>
        </w:rPr>
        <w:t xml:space="preserve">ESC noted the sponsor’s clarification in the </w:t>
      </w:r>
      <w:r w:rsidR="006A6335" w:rsidRPr="009A64DA">
        <w:rPr>
          <w:szCs w:val="22"/>
        </w:rPr>
        <w:t>PSCR (p</w:t>
      </w:r>
      <w:r w:rsidR="005B2F7E" w:rsidRPr="009A64DA">
        <w:rPr>
          <w:szCs w:val="22"/>
        </w:rPr>
        <w:t>.</w:t>
      </w:r>
      <w:r w:rsidR="006A6335" w:rsidRPr="009A64DA">
        <w:rPr>
          <w:szCs w:val="22"/>
        </w:rPr>
        <w:t xml:space="preserve">1) </w:t>
      </w:r>
      <w:r w:rsidR="00380E79" w:rsidRPr="009A64DA">
        <w:rPr>
          <w:szCs w:val="22"/>
        </w:rPr>
        <w:t xml:space="preserve">requesting </w:t>
      </w:r>
      <w:r w:rsidR="006A6335" w:rsidRPr="009A64DA">
        <w:rPr>
          <w:szCs w:val="22"/>
        </w:rPr>
        <w:t>a Section 100 Highly Specialised Drug</w:t>
      </w:r>
      <w:r w:rsidR="00141FEB" w:rsidRPr="009A64DA">
        <w:rPr>
          <w:szCs w:val="22"/>
        </w:rPr>
        <w:t>s (s100 HSD)</w:t>
      </w:r>
      <w:r w:rsidR="006A6335" w:rsidRPr="009A64DA">
        <w:rPr>
          <w:szCs w:val="22"/>
        </w:rPr>
        <w:t xml:space="preserve"> listing </w:t>
      </w:r>
      <w:r w:rsidR="00380E79" w:rsidRPr="009A64DA">
        <w:rPr>
          <w:szCs w:val="22"/>
        </w:rPr>
        <w:t xml:space="preserve">based on the secretariat comments on the restriction. The ESC considered that the sponsor </w:t>
      </w:r>
      <w:r w:rsidR="00141FEB" w:rsidRPr="009A64DA">
        <w:rPr>
          <w:szCs w:val="22"/>
        </w:rPr>
        <w:t xml:space="preserve">misinterpreted the </w:t>
      </w:r>
      <w:r w:rsidR="00DB7B82" w:rsidRPr="009A64DA">
        <w:rPr>
          <w:szCs w:val="22"/>
        </w:rPr>
        <w:t xml:space="preserve">secretariat </w:t>
      </w:r>
      <w:r w:rsidR="009A64DA" w:rsidRPr="009A64DA">
        <w:rPr>
          <w:szCs w:val="22"/>
        </w:rPr>
        <w:t>comment that</w:t>
      </w:r>
      <w:r w:rsidR="00DB7B82" w:rsidRPr="009A64DA">
        <w:rPr>
          <w:szCs w:val="22"/>
        </w:rPr>
        <w:t xml:space="preserve"> meant to</w:t>
      </w:r>
      <w:r w:rsidR="00141FEB" w:rsidRPr="009A64DA">
        <w:rPr>
          <w:szCs w:val="22"/>
        </w:rPr>
        <w:t xml:space="preserve"> prompt the sponsor to justify whether the proposed listing meets the criteria for s100 HSD “the drug is highly specialised, making administration outside an institutional environment problematic and the patient target group is clearly identifiable.”  </w:t>
      </w:r>
    </w:p>
    <w:p w:rsidR="00BB4281" w:rsidRPr="009A64DA" w:rsidRDefault="00BB4281" w:rsidP="00611101"/>
    <w:p w:rsidR="008D169D" w:rsidRDefault="008D169D">
      <w:pPr>
        <w:widowControl/>
        <w:jc w:val="left"/>
      </w:pPr>
    </w:p>
    <w:p w:rsidR="00611101" w:rsidRPr="009A64DA" w:rsidRDefault="00611101" w:rsidP="00E975B1">
      <w:pPr>
        <w:pStyle w:val="Heading1"/>
      </w:pPr>
      <w:bookmarkStart w:id="2" w:name="_Toc430010744"/>
      <w:r w:rsidRPr="009A64DA">
        <w:t>Requested listing</w:t>
      </w:r>
      <w:bookmarkEnd w:id="2"/>
    </w:p>
    <w:p w:rsidR="00611101" w:rsidRPr="009A64DA" w:rsidRDefault="00611101" w:rsidP="00611101"/>
    <w:tbl>
      <w:tblPr>
        <w:tblW w:w="4604" w:type="pct"/>
        <w:tblInd w:w="737" w:type="dxa"/>
        <w:tblCellMar>
          <w:left w:w="28" w:type="dxa"/>
          <w:right w:w="28" w:type="dxa"/>
        </w:tblCellMar>
        <w:tblLook w:val="0000" w:firstRow="0" w:lastRow="0" w:firstColumn="0" w:lastColumn="0" w:noHBand="0" w:noVBand="0"/>
        <w:tblCaption w:val="Requested listing"/>
      </w:tblPr>
      <w:tblGrid>
        <w:gridCol w:w="3015"/>
        <w:gridCol w:w="491"/>
        <w:gridCol w:w="493"/>
        <w:gridCol w:w="2099"/>
        <w:gridCol w:w="1276"/>
        <w:gridCol w:w="990"/>
      </w:tblGrid>
      <w:tr w:rsidR="00611101" w:rsidRPr="009A64DA" w:rsidTr="00926ADD">
        <w:trPr>
          <w:cantSplit/>
          <w:trHeight w:val="463"/>
        </w:trPr>
        <w:tc>
          <w:tcPr>
            <w:tcW w:w="1802" w:type="pct"/>
            <w:tcBorders>
              <w:bottom w:val="single" w:sz="4" w:space="0" w:color="auto"/>
            </w:tcBorders>
            <w:vAlign w:val="center"/>
          </w:tcPr>
          <w:p w:rsidR="00611101" w:rsidRPr="009A64DA" w:rsidRDefault="00611101" w:rsidP="00611101">
            <w:pPr>
              <w:keepNext/>
              <w:jc w:val="left"/>
              <w:rPr>
                <w:rFonts w:ascii="Arial Narrow" w:hAnsi="Arial Narrow"/>
                <w:sz w:val="20"/>
              </w:rPr>
            </w:pPr>
            <w:r w:rsidRPr="009A64DA">
              <w:rPr>
                <w:rFonts w:ascii="Arial Narrow" w:hAnsi="Arial Narrow"/>
                <w:sz w:val="20"/>
              </w:rPr>
              <w:t>Name, Restriction,</w:t>
            </w:r>
          </w:p>
          <w:p w:rsidR="00611101" w:rsidRPr="009A64DA" w:rsidRDefault="00611101" w:rsidP="00611101">
            <w:pPr>
              <w:keepNext/>
              <w:jc w:val="left"/>
              <w:rPr>
                <w:rFonts w:ascii="Arial Narrow" w:hAnsi="Arial Narrow"/>
                <w:sz w:val="20"/>
              </w:rPr>
            </w:pPr>
            <w:r w:rsidRPr="009A64DA">
              <w:rPr>
                <w:rFonts w:ascii="Arial Narrow" w:hAnsi="Arial Narrow"/>
                <w:sz w:val="20"/>
              </w:rPr>
              <w:t>Manner of administration and form</w:t>
            </w:r>
          </w:p>
        </w:tc>
        <w:tc>
          <w:tcPr>
            <w:tcW w:w="293" w:type="pct"/>
            <w:tcBorders>
              <w:bottom w:val="single" w:sz="4" w:space="0" w:color="auto"/>
            </w:tcBorders>
            <w:vAlign w:val="center"/>
          </w:tcPr>
          <w:p w:rsidR="00611101" w:rsidRPr="009A64DA" w:rsidRDefault="00611101" w:rsidP="00611101">
            <w:pPr>
              <w:keepNext/>
              <w:jc w:val="center"/>
              <w:rPr>
                <w:rFonts w:ascii="Arial Narrow" w:hAnsi="Arial Narrow"/>
                <w:sz w:val="20"/>
              </w:rPr>
            </w:pPr>
            <w:r w:rsidRPr="009A64DA">
              <w:rPr>
                <w:rFonts w:ascii="Arial Narrow" w:hAnsi="Arial Narrow"/>
                <w:sz w:val="20"/>
              </w:rPr>
              <w:t>Max.</w:t>
            </w:r>
          </w:p>
          <w:p w:rsidR="00611101" w:rsidRPr="009A64DA" w:rsidRDefault="00611101" w:rsidP="00611101">
            <w:pPr>
              <w:keepNext/>
              <w:jc w:val="center"/>
              <w:rPr>
                <w:rFonts w:ascii="Arial Narrow" w:hAnsi="Arial Narrow"/>
                <w:sz w:val="20"/>
              </w:rPr>
            </w:pPr>
            <w:proofErr w:type="spellStart"/>
            <w:r w:rsidRPr="009A64DA">
              <w:rPr>
                <w:rFonts w:ascii="Arial Narrow" w:hAnsi="Arial Narrow"/>
                <w:sz w:val="20"/>
              </w:rPr>
              <w:t>Qty</w:t>
            </w:r>
            <w:proofErr w:type="spellEnd"/>
          </w:p>
        </w:tc>
        <w:tc>
          <w:tcPr>
            <w:tcW w:w="295" w:type="pct"/>
            <w:tcBorders>
              <w:bottom w:val="single" w:sz="4" w:space="0" w:color="auto"/>
            </w:tcBorders>
            <w:vAlign w:val="center"/>
          </w:tcPr>
          <w:p w:rsidR="00611101" w:rsidRPr="009A64DA" w:rsidRDefault="00611101" w:rsidP="00611101">
            <w:pPr>
              <w:keepNext/>
              <w:jc w:val="center"/>
              <w:rPr>
                <w:rFonts w:ascii="Arial Narrow" w:hAnsi="Arial Narrow"/>
                <w:sz w:val="20"/>
              </w:rPr>
            </w:pPr>
            <w:r w:rsidRPr="009A64DA">
              <w:rPr>
                <w:rFonts w:ascii="Arial Narrow" w:hAnsi="Arial Narrow"/>
                <w:sz w:val="20"/>
              </w:rPr>
              <w:t>№.of</w:t>
            </w:r>
          </w:p>
          <w:p w:rsidR="00611101" w:rsidRPr="009A64DA" w:rsidRDefault="00611101" w:rsidP="00611101">
            <w:pPr>
              <w:keepNext/>
              <w:jc w:val="center"/>
              <w:rPr>
                <w:rFonts w:ascii="Arial Narrow" w:hAnsi="Arial Narrow"/>
                <w:sz w:val="20"/>
              </w:rPr>
            </w:pPr>
            <w:proofErr w:type="spellStart"/>
            <w:r w:rsidRPr="009A64DA">
              <w:rPr>
                <w:rFonts w:ascii="Arial Narrow" w:hAnsi="Arial Narrow"/>
                <w:sz w:val="20"/>
              </w:rPr>
              <w:t>Rpts</w:t>
            </w:r>
            <w:proofErr w:type="spellEnd"/>
          </w:p>
        </w:tc>
        <w:tc>
          <w:tcPr>
            <w:tcW w:w="1255" w:type="pct"/>
            <w:tcBorders>
              <w:bottom w:val="single" w:sz="4" w:space="0" w:color="auto"/>
            </w:tcBorders>
            <w:vAlign w:val="center"/>
          </w:tcPr>
          <w:p w:rsidR="00611101" w:rsidRPr="009A64DA" w:rsidRDefault="00611101" w:rsidP="00611101">
            <w:pPr>
              <w:keepNext/>
              <w:jc w:val="center"/>
              <w:rPr>
                <w:rFonts w:ascii="Arial Narrow" w:hAnsi="Arial Narrow"/>
                <w:sz w:val="20"/>
              </w:rPr>
            </w:pPr>
            <w:r w:rsidRPr="009A64DA">
              <w:rPr>
                <w:rFonts w:ascii="Arial Narrow" w:hAnsi="Arial Narrow"/>
                <w:sz w:val="20"/>
              </w:rPr>
              <w:t xml:space="preserve">Dispensed Price for Max. </w:t>
            </w:r>
            <w:proofErr w:type="spellStart"/>
            <w:r w:rsidRPr="009A64DA">
              <w:rPr>
                <w:rFonts w:ascii="Arial Narrow" w:hAnsi="Arial Narrow"/>
                <w:sz w:val="20"/>
              </w:rPr>
              <w:t>Qty</w:t>
            </w:r>
            <w:proofErr w:type="spellEnd"/>
          </w:p>
        </w:tc>
        <w:tc>
          <w:tcPr>
            <w:tcW w:w="1356" w:type="pct"/>
            <w:gridSpan w:val="2"/>
            <w:tcBorders>
              <w:bottom w:val="single" w:sz="4" w:space="0" w:color="auto"/>
            </w:tcBorders>
            <w:vAlign w:val="center"/>
          </w:tcPr>
          <w:p w:rsidR="00611101" w:rsidRPr="009A64DA" w:rsidRDefault="00611101" w:rsidP="00611101">
            <w:pPr>
              <w:keepNext/>
              <w:jc w:val="center"/>
              <w:rPr>
                <w:rFonts w:ascii="Arial Narrow" w:hAnsi="Arial Narrow"/>
                <w:sz w:val="20"/>
              </w:rPr>
            </w:pPr>
            <w:r w:rsidRPr="009A64DA">
              <w:rPr>
                <w:rFonts w:ascii="Arial Narrow" w:hAnsi="Arial Narrow"/>
                <w:sz w:val="20"/>
              </w:rPr>
              <w:t>Proprietary Name and Manufacturer</w:t>
            </w:r>
          </w:p>
        </w:tc>
      </w:tr>
      <w:tr w:rsidR="00611101" w:rsidRPr="009A64DA" w:rsidTr="00926ADD">
        <w:trPr>
          <w:cantSplit/>
          <w:trHeight w:val="567"/>
        </w:trPr>
        <w:tc>
          <w:tcPr>
            <w:tcW w:w="1802" w:type="pct"/>
            <w:vAlign w:val="center"/>
          </w:tcPr>
          <w:p w:rsidR="00611101" w:rsidRPr="009A64DA" w:rsidRDefault="00611101" w:rsidP="00611101">
            <w:pPr>
              <w:keepNext/>
              <w:jc w:val="left"/>
              <w:rPr>
                <w:rFonts w:ascii="Arial Narrow" w:hAnsi="Arial Narrow"/>
                <w:sz w:val="20"/>
              </w:rPr>
            </w:pPr>
            <w:proofErr w:type="spellStart"/>
            <w:r w:rsidRPr="009A64DA">
              <w:rPr>
                <w:rFonts w:ascii="Arial Narrow" w:hAnsi="Arial Narrow"/>
                <w:smallCaps/>
                <w:sz w:val="20"/>
              </w:rPr>
              <w:t>Lanreotide</w:t>
            </w:r>
            <w:proofErr w:type="spellEnd"/>
          </w:p>
          <w:p w:rsidR="00611101" w:rsidRPr="009A64DA" w:rsidRDefault="00611101" w:rsidP="00611101">
            <w:pPr>
              <w:keepNext/>
              <w:jc w:val="left"/>
              <w:rPr>
                <w:rFonts w:ascii="Arial Narrow" w:hAnsi="Arial Narrow"/>
                <w:sz w:val="20"/>
              </w:rPr>
            </w:pPr>
            <w:r w:rsidRPr="009A64DA">
              <w:rPr>
                <w:rFonts w:ascii="Arial Narrow" w:hAnsi="Arial Narrow"/>
                <w:sz w:val="20"/>
              </w:rPr>
              <w:t>120mg injection</w:t>
            </w:r>
          </w:p>
        </w:tc>
        <w:tc>
          <w:tcPr>
            <w:tcW w:w="293" w:type="pct"/>
            <w:vAlign w:val="center"/>
          </w:tcPr>
          <w:p w:rsidR="00611101" w:rsidRPr="009A64DA" w:rsidRDefault="00611101" w:rsidP="00611101">
            <w:pPr>
              <w:keepNext/>
              <w:jc w:val="center"/>
              <w:rPr>
                <w:rFonts w:ascii="Arial Narrow" w:hAnsi="Arial Narrow"/>
                <w:sz w:val="20"/>
              </w:rPr>
            </w:pPr>
            <w:r w:rsidRPr="009A64DA">
              <w:rPr>
                <w:rFonts w:ascii="Arial Narrow" w:hAnsi="Arial Narrow"/>
                <w:sz w:val="20"/>
              </w:rPr>
              <w:t>2</w:t>
            </w:r>
          </w:p>
        </w:tc>
        <w:tc>
          <w:tcPr>
            <w:tcW w:w="295" w:type="pct"/>
            <w:vAlign w:val="center"/>
          </w:tcPr>
          <w:p w:rsidR="00611101" w:rsidRPr="009A64DA" w:rsidRDefault="00611101" w:rsidP="00611101">
            <w:pPr>
              <w:keepNext/>
              <w:jc w:val="center"/>
              <w:rPr>
                <w:rFonts w:ascii="Arial Narrow" w:hAnsi="Arial Narrow"/>
                <w:sz w:val="20"/>
              </w:rPr>
            </w:pPr>
            <w:r w:rsidRPr="009A64DA">
              <w:rPr>
                <w:rFonts w:ascii="Arial Narrow" w:hAnsi="Arial Narrow"/>
                <w:sz w:val="20"/>
              </w:rPr>
              <w:t>5</w:t>
            </w:r>
          </w:p>
        </w:tc>
        <w:tc>
          <w:tcPr>
            <w:tcW w:w="1255" w:type="pct"/>
            <w:vAlign w:val="center"/>
          </w:tcPr>
          <w:p w:rsidR="00611101" w:rsidRPr="009A64DA" w:rsidRDefault="00611101" w:rsidP="00611101">
            <w:pPr>
              <w:keepNext/>
              <w:jc w:val="center"/>
              <w:rPr>
                <w:rFonts w:ascii="Arial Narrow" w:hAnsi="Arial Narrow"/>
                <w:sz w:val="20"/>
              </w:rPr>
            </w:pPr>
            <w:r w:rsidRPr="009A64DA">
              <w:rPr>
                <w:rFonts w:ascii="Arial Narrow" w:hAnsi="Arial Narrow"/>
                <w:sz w:val="20"/>
              </w:rPr>
              <w:t>$</w:t>
            </w:r>
            <w:r w:rsidR="00ED7A1E">
              <w:rPr>
                <w:rFonts w:ascii="Arial Narrow" w:hAnsi="Arial Narrow"/>
                <w:noProof/>
                <w:color w:val="000000"/>
                <w:sz w:val="20"/>
                <w:highlight w:val="black"/>
              </w:rPr>
              <w:t>'''''''''''''''''''''</w:t>
            </w:r>
            <w:r w:rsidRPr="009A64DA">
              <w:rPr>
                <w:rFonts w:ascii="Arial Narrow" w:hAnsi="Arial Narrow"/>
                <w:sz w:val="20"/>
              </w:rPr>
              <w:t xml:space="preserve"> (Public)/ $</w:t>
            </w:r>
            <w:r w:rsidR="00ED7A1E">
              <w:rPr>
                <w:rFonts w:ascii="Arial Narrow" w:hAnsi="Arial Narrow"/>
                <w:noProof/>
                <w:color w:val="000000"/>
                <w:sz w:val="20"/>
                <w:highlight w:val="black"/>
              </w:rPr>
              <w:t>''''''''''''''''''''</w:t>
            </w:r>
            <w:r w:rsidRPr="009A64DA">
              <w:rPr>
                <w:rFonts w:ascii="Arial Narrow" w:hAnsi="Arial Narrow"/>
                <w:sz w:val="20"/>
              </w:rPr>
              <w:t xml:space="preserve"> (Private)</w:t>
            </w:r>
          </w:p>
        </w:tc>
        <w:tc>
          <w:tcPr>
            <w:tcW w:w="763" w:type="pct"/>
            <w:vAlign w:val="center"/>
          </w:tcPr>
          <w:p w:rsidR="00611101" w:rsidRPr="009A64DA" w:rsidRDefault="00611101" w:rsidP="00611101">
            <w:pPr>
              <w:keepNext/>
              <w:jc w:val="center"/>
              <w:rPr>
                <w:rFonts w:ascii="Arial Narrow" w:hAnsi="Arial Narrow"/>
                <w:sz w:val="20"/>
              </w:rPr>
            </w:pPr>
            <w:proofErr w:type="spellStart"/>
            <w:r w:rsidRPr="009A64DA">
              <w:rPr>
                <w:rFonts w:ascii="Arial Narrow" w:hAnsi="Arial Narrow"/>
                <w:sz w:val="20"/>
              </w:rPr>
              <w:t>Somatuline</w:t>
            </w:r>
            <w:proofErr w:type="spellEnd"/>
            <w:r w:rsidRPr="009A64DA">
              <w:rPr>
                <w:rFonts w:ascii="Arial Narrow" w:hAnsi="Arial Narrow"/>
                <w:sz w:val="20"/>
                <w:vertAlign w:val="superscript"/>
              </w:rPr>
              <w:t>®</w:t>
            </w:r>
            <w:r w:rsidRPr="009A64DA">
              <w:rPr>
                <w:rFonts w:ascii="Arial Narrow" w:hAnsi="Arial Narrow"/>
                <w:sz w:val="20"/>
              </w:rPr>
              <w:t xml:space="preserve"> </w:t>
            </w:r>
            <w:proofErr w:type="spellStart"/>
            <w:r w:rsidRPr="009A64DA">
              <w:rPr>
                <w:rFonts w:ascii="Arial Narrow" w:hAnsi="Arial Narrow"/>
                <w:sz w:val="20"/>
              </w:rPr>
              <w:t>Autogel</w:t>
            </w:r>
            <w:proofErr w:type="spellEnd"/>
            <w:r w:rsidRPr="009A64DA">
              <w:rPr>
                <w:rFonts w:ascii="Arial Narrow" w:hAnsi="Arial Narrow"/>
                <w:sz w:val="20"/>
                <w:vertAlign w:val="superscript"/>
              </w:rPr>
              <w:t>®</w:t>
            </w:r>
          </w:p>
        </w:tc>
        <w:tc>
          <w:tcPr>
            <w:tcW w:w="593" w:type="pct"/>
            <w:vAlign w:val="center"/>
          </w:tcPr>
          <w:p w:rsidR="00611101" w:rsidRPr="009A64DA" w:rsidRDefault="00611101" w:rsidP="00611101">
            <w:pPr>
              <w:keepNext/>
              <w:jc w:val="center"/>
              <w:rPr>
                <w:rFonts w:ascii="Arial Narrow" w:hAnsi="Arial Narrow"/>
                <w:sz w:val="20"/>
              </w:rPr>
            </w:pPr>
            <w:proofErr w:type="spellStart"/>
            <w:r w:rsidRPr="009A64DA">
              <w:rPr>
                <w:rFonts w:ascii="Arial Narrow" w:hAnsi="Arial Narrow"/>
                <w:sz w:val="20"/>
              </w:rPr>
              <w:t>Ipsen</w:t>
            </w:r>
            <w:proofErr w:type="spellEnd"/>
          </w:p>
        </w:tc>
      </w:tr>
      <w:tr w:rsidR="00611101" w:rsidRPr="009A64DA" w:rsidTr="00611101">
        <w:trPr>
          <w:cantSplit/>
          <w:trHeight w:val="354"/>
        </w:trPr>
        <w:tc>
          <w:tcPr>
            <w:tcW w:w="5000" w:type="pct"/>
            <w:gridSpan w:val="6"/>
            <w:vAlign w:val="center"/>
          </w:tcPr>
          <w:p w:rsidR="00611101" w:rsidRPr="009A64DA" w:rsidRDefault="00611101" w:rsidP="00611101">
            <w:pPr>
              <w:jc w:val="left"/>
              <w:rPr>
                <w:rFonts w:ascii="Arial Narrow" w:hAnsi="Arial Narrow"/>
                <w:b/>
                <w:sz w:val="20"/>
                <w:u w:val="single"/>
              </w:rPr>
            </w:pPr>
            <w:r w:rsidRPr="009A64DA">
              <w:rPr>
                <w:rFonts w:ascii="Arial Narrow" w:hAnsi="Arial Narrow"/>
                <w:b/>
                <w:sz w:val="20"/>
                <w:u w:val="single"/>
              </w:rPr>
              <w:t>Section 85 (Streamlined Authority)</w:t>
            </w:r>
          </w:p>
          <w:p w:rsidR="00611101" w:rsidRPr="009A64DA" w:rsidRDefault="00611101" w:rsidP="00611101">
            <w:pPr>
              <w:jc w:val="left"/>
              <w:rPr>
                <w:rFonts w:ascii="Arial Narrow" w:hAnsi="Arial Narrow"/>
                <w:sz w:val="20"/>
              </w:rPr>
            </w:pPr>
            <w:proofErr w:type="spellStart"/>
            <w:r w:rsidRPr="009A64DA">
              <w:rPr>
                <w:rFonts w:ascii="Arial Narrow" w:hAnsi="Arial Narrow"/>
                <w:sz w:val="20"/>
              </w:rPr>
              <w:t>Gastroenteropancreatic</w:t>
            </w:r>
            <w:proofErr w:type="spellEnd"/>
            <w:r w:rsidRPr="009A64DA">
              <w:rPr>
                <w:rFonts w:ascii="Arial Narrow" w:hAnsi="Arial Narrow"/>
                <w:sz w:val="20"/>
              </w:rPr>
              <w:t xml:space="preserve"> neuroendocrine tumours</w:t>
            </w:r>
          </w:p>
        </w:tc>
      </w:tr>
    </w:tbl>
    <w:p w:rsidR="00611101" w:rsidRPr="009A64DA" w:rsidRDefault="00611101" w:rsidP="00611101"/>
    <w:p w:rsidR="00611101" w:rsidRPr="009A64DA" w:rsidRDefault="00611101" w:rsidP="0030238C">
      <w:pPr>
        <w:pStyle w:val="ListParagraph"/>
        <w:widowControl/>
        <w:numPr>
          <w:ilvl w:val="1"/>
          <w:numId w:val="2"/>
        </w:numPr>
        <w:rPr>
          <w:szCs w:val="22"/>
        </w:rPr>
      </w:pPr>
      <w:r w:rsidRPr="009A64DA">
        <w:rPr>
          <w:szCs w:val="22"/>
        </w:rPr>
        <w:t>Listing was requested on a cost-effectiveness basis compared to placebo</w:t>
      </w:r>
      <w:r w:rsidR="0021776F" w:rsidRPr="009A64DA">
        <w:rPr>
          <w:szCs w:val="22"/>
        </w:rPr>
        <w:t>.</w:t>
      </w:r>
    </w:p>
    <w:p w:rsidR="005D220E" w:rsidRPr="009A64DA" w:rsidRDefault="005D220E" w:rsidP="005D220E">
      <w:pPr>
        <w:pStyle w:val="ListParagraph"/>
        <w:widowControl/>
        <w:rPr>
          <w:szCs w:val="22"/>
        </w:rPr>
      </w:pPr>
    </w:p>
    <w:p w:rsidR="00DB7B82" w:rsidRPr="009A64DA" w:rsidRDefault="00DB7B82" w:rsidP="00DB7B82">
      <w:pPr>
        <w:pStyle w:val="ListParagraph"/>
        <w:rPr>
          <w:i/>
          <w:szCs w:val="22"/>
        </w:rPr>
      </w:pPr>
    </w:p>
    <w:p w:rsidR="005D220E" w:rsidRPr="009A64DA" w:rsidRDefault="00DB7B82" w:rsidP="0030238C">
      <w:pPr>
        <w:pStyle w:val="ListParagraph"/>
        <w:widowControl/>
        <w:numPr>
          <w:ilvl w:val="1"/>
          <w:numId w:val="2"/>
        </w:numPr>
        <w:rPr>
          <w:szCs w:val="22"/>
        </w:rPr>
      </w:pPr>
      <w:r w:rsidRPr="009A64DA">
        <w:rPr>
          <w:szCs w:val="22"/>
        </w:rPr>
        <w:t xml:space="preserve">The PSCR (p.1) further advised that the sponsor is supportive of PBS listing of all dose strengths of </w:t>
      </w:r>
      <w:proofErr w:type="spellStart"/>
      <w:r w:rsidRPr="009A64DA">
        <w:rPr>
          <w:szCs w:val="22"/>
        </w:rPr>
        <w:t>lanreotide</w:t>
      </w:r>
      <w:proofErr w:type="spellEnd"/>
      <w:r w:rsidRPr="009A64DA">
        <w:rPr>
          <w:szCs w:val="22"/>
        </w:rPr>
        <w:t xml:space="preserve">: 60mg, 90mg and 120mg. The Product Information for </w:t>
      </w:r>
      <w:proofErr w:type="spellStart"/>
      <w:r w:rsidRPr="009A64DA">
        <w:rPr>
          <w:szCs w:val="22"/>
        </w:rPr>
        <w:t>lanreotide</w:t>
      </w:r>
      <w:proofErr w:type="spellEnd"/>
      <w:r w:rsidRPr="009A64DA">
        <w:rPr>
          <w:szCs w:val="22"/>
        </w:rPr>
        <w:t xml:space="preserve"> indicates that the recommended dose for the treatment of GEP-NETs is 120 mg administered every 28 days, but the PSCR argue</w:t>
      </w:r>
      <w:r w:rsidR="005B2F7E" w:rsidRPr="009A64DA">
        <w:rPr>
          <w:szCs w:val="22"/>
        </w:rPr>
        <w:t>d</w:t>
      </w:r>
      <w:r w:rsidRPr="009A64DA">
        <w:rPr>
          <w:szCs w:val="22"/>
        </w:rPr>
        <w:t xml:space="preserve"> there may be instances where physicians may wish to tailor treatment to individual patients. </w:t>
      </w:r>
      <w:r w:rsidR="005D220E" w:rsidRPr="009A64DA">
        <w:rPr>
          <w:szCs w:val="22"/>
        </w:rPr>
        <w:t xml:space="preserve">   </w:t>
      </w:r>
    </w:p>
    <w:p w:rsidR="00611101" w:rsidRPr="009A64DA" w:rsidRDefault="00611101" w:rsidP="00611101"/>
    <w:p w:rsidR="00F24623" w:rsidRPr="009A64DA" w:rsidRDefault="00F24623" w:rsidP="00710AF6">
      <w:pPr>
        <w:ind w:firstLine="709"/>
      </w:pPr>
      <w:r w:rsidRPr="009A64DA">
        <w:rPr>
          <w:i/>
          <w:szCs w:val="22"/>
        </w:rPr>
        <w:t>For more detail on PBAC’s view, see section 7 “PBAC outcome”</w:t>
      </w:r>
    </w:p>
    <w:p w:rsidR="00BB4281" w:rsidRPr="009A64DA" w:rsidRDefault="00BB4281" w:rsidP="00611101"/>
    <w:p w:rsidR="00611101" w:rsidRPr="009A64DA" w:rsidRDefault="00611101" w:rsidP="00E975B1">
      <w:pPr>
        <w:pStyle w:val="Heading1"/>
      </w:pPr>
      <w:bookmarkStart w:id="3" w:name="_Toc430010745"/>
      <w:r w:rsidRPr="009A64DA">
        <w:t>Background</w:t>
      </w:r>
      <w:bookmarkEnd w:id="3"/>
    </w:p>
    <w:p w:rsidR="00611101" w:rsidRPr="009A64DA" w:rsidRDefault="00611101" w:rsidP="00611101">
      <w:pPr>
        <w:rPr>
          <w:szCs w:val="22"/>
        </w:rPr>
      </w:pPr>
    </w:p>
    <w:p w:rsidR="00611101" w:rsidRPr="009A64DA" w:rsidRDefault="00611101" w:rsidP="0030238C">
      <w:pPr>
        <w:pStyle w:val="ListParagraph"/>
        <w:widowControl/>
        <w:numPr>
          <w:ilvl w:val="1"/>
          <w:numId w:val="2"/>
        </w:numPr>
        <w:rPr>
          <w:szCs w:val="22"/>
        </w:rPr>
      </w:pPr>
      <w:r w:rsidRPr="009A64DA">
        <w:t xml:space="preserve">The submission was made under </w:t>
      </w:r>
      <w:r w:rsidR="0021776F" w:rsidRPr="009A64DA">
        <w:t xml:space="preserve">the </w:t>
      </w:r>
      <w:r w:rsidRPr="009A64DA">
        <w:t xml:space="preserve">TGA/PBAC Parallel Process. </w:t>
      </w:r>
      <w:proofErr w:type="spellStart"/>
      <w:r w:rsidRPr="009A64DA">
        <w:t>Lanreotide</w:t>
      </w:r>
      <w:proofErr w:type="spellEnd"/>
      <w:r w:rsidRPr="009A64DA">
        <w:t xml:space="preserve"> was approved by the TGA for ‘treatment of GEP-NETs in adult patients with </w:t>
      </w:r>
      <w:proofErr w:type="spellStart"/>
      <w:r w:rsidRPr="009A64DA">
        <w:t>unresectable</w:t>
      </w:r>
      <w:proofErr w:type="spellEnd"/>
      <w:r w:rsidRPr="009A64DA">
        <w:t xml:space="preserve"> locally advanced or metastatic disease’ on 13 July 2015. All relevant documents were available during the evaluation.  </w:t>
      </w:r>
    </w:p>
    <w:p w:rsidR="00611101" w:rsidRPr="009A64DA" w:rsidRDefault="00611101" w:rsidP="00611101">
      <w:pPr>
        <w:pStyle w:val="ListParagraph"/>
        <w:rPr>
          <w:szCs w:val="22"/>
        </w:rPr>
      </w:pPr>
    </w:p>
    <w:p w:rsidR="00611101" w:rsidRPr="009A64DA" w:rsidRDefault="00611101" w:rsidP="0030238C">
      <w:pPr>
        <w:pStyle w:val="ListParagraph"/>
        <w:widowControl/>
        <w:numPr>
          <w:ilvl w:val="1"/>
          <w:numId w:val="2"/>
        </w:numPr>
        <w:rPr>
          <w:szCs w:val="22"/>
        </w:rPr>
      </w:pPr>
      <w:r w:rsidRPr="009A64DA">
        <w:rPr>
          <w:szCs w:val="22"/>
        </w:rPr>
        <w:t xml:space="preserve">The PBAC has previously recommended the use of </w:t>
      </w:r>
      <w:proofErr w:type="spellStart"/>
      <w:r w:rsidRPr="009A64DA">
        <w:rPr>
          <w:szCs w:val="22"/>
        </w:rPr>
        <w:t>lanreotide</w:t>
      </w:r>
      <w:proofErr w:type="spellEnd"/>
      <w:r w:rsidRPr="009A64DA">
        <w:rPr>
          <w:szCs w:val="22"/>
        </w:rPr>
        <w:t xml:space="preserve"> for a subgroup of GEP-NETs (functional carcinoid syndrome) (July 2005 PSD). </w:t>
      </w:r>
    </w:p>
    <w:p w:rsidR="00611101" w:rsidRPr="009A64DA" w:rsidRDefault="00611101" w:rsidP="00611101"/>
    <w:p w:rsidR="00BD69F2" w:rsidRPr="009A64DA" w:rsidRDefault="00BD69F2" w:rsidP="00611101"/>
    <w:p w:rsidR="00110FD1" w:rsidRDefault="00110FD1">
      <w:pPr>
        <w:widowControl/>
        <w:jc w:val="left"/>
        <w:rPr>
          <w:b/>
          <w:szCs w:val="22"/>
        </w:rPr>
      </w:pPr>
      <w:bookmarkStart w:id="4" w:name="_Toc430010746"/>
      <w:r>
        <w:br w:type="page"/>
      </w:r>
    </w:p>
    <w:p w:rsidR="00611101" w:rsidRPr="009A64DA" w:rsidRDefault="00611101" w:rsidP="00E975B1">
      <w:pPr>
        <w:pStyle w:val="Heading1"/>
      </w:pPr>
      <w:r w:rsidRPr="009A64DA">
        <w:lastRenderedPageBreak/>
        <w:t>Clinical place for the proposed therapy</w:t>
      </w:r>
      <w:bookmarkEnd w:id="4"/>
    </w:p>
    <w:p w:rsidR="00611101" w:rsidRPr="009A64DA" w:rsidRDefault="00611101" w:rsidP="00611101">
      <w:pPr>
        <w:rPr>
          <w:szCs w:val="22"/>
        </w:rPr>
      </w:pPr>
    </w:p>
    <w:p w:rsidR="00611101" w:rsidRPr="009A64DA" w:rsidRDefault="00611101" w:rsidP="0030238C">
      <w:pPr>
        <w:pStyle w:val="ListParagraph"/>
        <w:widowControl/>
        <w:numPr>
          <w:ilvl w:val="1"/>
          <w:numId w:val="2"/>
        </w:numPr>
        <w:rPr>
          <w:szCs w:val="22"/>
        </w:rPr>
      </w:pPr>
      <w:r w:rsidRPr="009A64DA">
        <w:t>GEP-NETs represent a highly diverse group of tumours originating from neuroendocrine cells with varying symptoms and prognosis.</w:t>
      </w:r>
    </w:p>
    <w:p w:rsidR="00611101" w:rsidRPr="009A64DA" w:rsidRDefault="00611101" w:rsidP="00611101">
      <w:pPr>
        <w:widowControl/>
        <w:rPr>
          <w:szCs w:val="22"/>
        </w:rPr>
      </w:pPr>
    </w:p>
    <w:p w:rsidR="00611101" w:rsidRPr="009A64DA" w:rsidRDefault="00611101" w:rsidP="0030238C">
      <w:pPr>
        <w:pStyle w:val="ListParagraph"/>
        <w:widowControl/>
        <w:numPr>
          <w:ilvl w:val="1"/>
          <w:numId w:val="2"/>
        </w:numPr>
        <w:rPr>
          <w:szCs w:val="22"/>
        </w:rPr>
      </w:pPr>
      <w:r w:rsidRPr="009A64DA">
        <w:rPr>
          <w:szCs w:val="22"/>
        </w:rPr>
        <w:t>The submission position</w:t>
      </w:r>
      <w:r w:rsidR="00F01489" w:rsidRPr="009A64DA">
        <w:rPr>
          <w:szCs w:val="22"/>
        </w:rPr>
        <w:t>ed</w:t>
      </w:r>
      <w:r w:rsidRPr="009A64DA">
        <w:rPr>
          <w:szCs w:val="22"/>
        </w:rPr>
        <w:t xml:space="preserve"> somatostatin analogues as a first-line treatment alternative to ‘watchful waiting’ in patients with </w:t>
      </w:r>
      <w:proofErr w:type="spellStart"/>
      <w:r w:rsidRPr="009A64DA">
        <w:rPr>
          <w:szCs w:val="22"/>
        </w:rPr>
        <w:t>unresectable</w:t>
      </w:r>
      <w:proofErr w:type="spellEnd"/>
      <w:r w:rsidRPr="009A64DA">
        <w:rPr>
          <w:szCs w:val="22"/>
        </w:rPr>
        <w:t xml:space="preserve"> or metastatic GEP-NETs.</w:t>
      </w:r>
    </w:p>
    <w:p w:rsidR="00611101" w:rsidRPr="009A64DA" w:rsidRDefault="00611101" w:rsidP="00611101">
      <w:pPr>
        <w:pStyle w:val="ListParagraph"/>
        <w:rPr>
          <w:szCs w:val="22"/>
        </w:rPr>
      </w:pPr>
    </w:p>
    <w:p w:rsidR="00611101" w:rsidRPr="009A64DA" w:rsidRDefault="00611101" w:rsidP="0030238C">
      <w:pPr>
        <w:pStyle w:val="ListParagraph"/>
        <w:widowControl/>
        <w:numPr>
          <w:ilvl w:val="1"/>
          <w:numId w:val="2"/>
        </w:numPr>
        <w:rPr>
          <w:szCs w:val="22"/>
        </w:rPr>
      </w:pPr>
      <w:r w:rsidRPr="009A64DA">
        <w:rPr>
          <w:szCs w:val="22"/>
        </w:rPr>
        <w:t xml:space="preserve">The </w:t>
      </w:r>
      <w:r w:rsidR="00C31491" w:rsidRPr="009A64DA">
        <w:rPr>
          <w:szCs w:val="22"/>
        </w:rPr>
        <w:t xml:space="preserve">Evaluation considered the </w:t>
      </w:r>
      <w:r w:rsidRPr="009A64DA">
        <w:rPr>
          <w:szCs w:val="22"/>
        </w:rPr>
        <w:t xml:space="preserve">use of </w:t>
      </w:r>
      <w:proofErr w:type="spellStart"/>
      <w:r w:rsidRPr="009A64DA">
        <w:rPr>
          <w:szCs w:val="22"/>
        </w:rPr>
        <w:t>lanreotide</w:t>
      </w:r>
      <w:proofErr w:type="spellEnd"/>
      <w:r w:rsidRPr="009A64DA">
        <w:rPr>
          <w:szCs w:val="22"/>
        </w:rPr>
        <w:t xml:space="preserve"> as a treatment for functional GEP-NETs and progressive GEP-NETs was not adequately addressed in the submission. Use of </w:t>
      </w:r>
      <w:proofErr w:type="spellStart"/>
      <w:r w:rsidRPr="009A64DA">
        <w:rPr>
          <w:szCs w:val="22"/>
        </w:rPr>
        <w:t>lanreotide</w:t>
      </w:r>
      <w:proofErr w:type="spellEnd"/>
      <w:r w:rsidRPr="009A64DA">
        <w:rPr>
          <w:szCs w:val="22"/>
        </w:rPr>
        <w:t xml:space="preserve"> for these indications would have substantial impacts </w:t>
      </w:r>
      <w:r w:rsidR="0021776F" w:rsidRPr="009A64DA">
        <w:rPr>
          <w:szCs w:val="22"/>
        </w:rPr>
        <w:t>on</w:t>
      </w:r>
      <w:r w:rsidRPr="009A64DA">
        <w:rPr>
          <w:szCs w:val="22"/>
        </w:rPr>
        <w:t xml:space="preserve"> all aspects of the current submission (clinical, economic and financial).</w:t>
      </w:r>
    </w:p>
    <w:p w:rsidR="00B611A6" w:rsidRPr="009A64DA" w:rsidRDefault="00B611A6" w:rsidP="00B611A6">
      <w:pPr>
        <w:pStyle w:val="ListParagraph"/>
        <w:widowControl/>
        <w:rPr>
          <w:szCs w:val="22"/>
        </w:rPr>
      </w:pPr>
    </w:p>
    <w:p w:rsidR="00B611A6" w:rsidRPr="009A64DA" w:rsidRDefault="00B611A6" w:rsidP="0030238C">
      <w:pPr>
        <w:pStyle w:val="ListParagraph"/>
        <w:widowControl/>
        <w:numPr>
          <w:ilvl w:val="1"/>
          <w:numId w:val="2"/>
        </w:numPr>
        <w:rPr>
          <w:szCs w:val="22"/>
        </w:rPr>
      </w:pPr>
      <w:r w:rsidRPr="009A64DA">
        <w:t xml:space="preserve">The submission assumed that the current PBS listing of </w:t>
      </w:r>
      <w:proofErr w:type="spellStart"/>
      <w:r w:rsidRPr="009A64DA">
        <w:t>lanreotide</w:t>
      </w:r>
      <w:proofErr w:type="spellEnd"/>
      <w:r w:rsidRPr="009A64DA">
        <w:t xml:space="preserve"> for the treatment of functional carcinoid tumour already covers the use of </w:t>
      </w:r>
      <w:proofErr w:type="spellStart"/>
      <w:r w:rsidRPr="009A64DA">
        <w:t>lanreotide</w:t>
      </w:r>
      <w:proofErr w:type="spellEnd"/>
      <w:r w:rsidRPr="009A64DA">
        <w:t xml:space="preserve"> for functional GEP-NETs and that the proposed listing would have no impact on this population. This </w:t>
      </w:r>
      <w:r w:rsidR="00C31491" w:rsidRPr="009A64DA">
        <w:t xml:space="preserve">Evaluation considered this </w:t>
      </w:r>
      <w:r w:rsidRPr="009A64DA">
        <w:t xml:space="preserve">assumption was inappropriate. The proposed listing would allow a broader range of functional GEP-NETs to be treated with </w:t>
      </w:r>
      <w:proofErr w:type="spellStart"/>
      <w:r w:rsidRPr="009A64DA">
        <w:t>lanreotide</w:t>
      </w:r>
      <w:proofErr w:type="spellEnd"/>
      <w:r w:rsidRPr="009A64DA">
        <w:t xml:space="preserve"> (e.g. </w:t>
      </w:r>
      <w:proofErr w:type="spellStart"/>
      <w:r w:rsidRPr="009A64DA">
        <w:t>gastrinoma</w:t>
      </w:r>
      <w:proofErr w:type="spellEnd"/>
      <w:r w:rsidRPr="009A64DA">
        <w:t xml:space="preserve">, </w:t>
      </w:r>
      <w:proofErr w:type="spellStart"/>
      <w:r w:rsidRPr="009A64DA">
        <w:t>insulinoma</w:t>
      </w:r>
      <w:proofErr w:type="spellEnd"/>
      <w:r w:rsidRPr="009A64DA">
        <w:t xml:space="preserve">, </w:t>
      </w:r>
      <w:proofErr w:type="spellStart"/>
      <w:r w:rsidRPr="009A64DA">
        <w:t>glucagonoma</w:t>
      </w:r>
      <w:proofErr w:type="spellEnd"/>
      <w:r w:rsidRPr="009A64DA">
        <w:t xml:space="preserve">, </w:t>
      </w:r>
      <w:proofErr w:type="spellStart"/>
      <w:r w:rsidRPr="009A64DA">
        <w:t>VIPoma</w:t>
      </w:r>
      <w:proofErr w:type="spellEnd"/>
      <w:r w:rsidRPr="009A64DA">
        <w:t>). The proposed listing would also allow patients to more easily qualify for treatment compared to the existing functional carcinoid tumour listing which includes detailed initiation and continuation criteria.</w:t>
      </w:r>
      <w:r w:rsidR="008C4FAD" w:rsidRPr="009A64DA">
        <w:t xml:space="preserve"> </w:t>
      </w:r>
      <w:r w:rsidR="00DB7B82" w:rsidRPr="009A64DA">
        <w:t>T</w:t>
      </w:r>
      <w:r w:rsidR="008C4FAD" w:rsidRPr="009A64DA">
        <w:t>he PSCR (p</w:t>
      </w:r>
      <w:r w:rsidR="00DB7B82" w:rsidRPr="009A64DA">
        <w:t>p.</w:t>
      </w:r>
      <w:r w:rsidR="008C4FAD" w:rsidRPr="009A64DA">
        <w:t>1</w:t>
      </w:r>
      <w:r w:rsidR="00DB7B82" w:rsidRPr="009A64DA">
        <w:t>-</w:t>
      </w:r>
      <w:r w:rsidR="008C4FAD" w:rsidRPr="009A64DA">
        <w:t xml:space="preserve">2) </w:t>
      </w:r>
      <w:r w:rsidR="00C96D81" w:rsidRPr="009A64DA">
        <w:t xml:space="preserve">disagreed and </w:t>
      </w:r>
      <w:r w:rsidR="008C4FAD" w:rsidRPr="009A64DA">
        <w:t xml:space="preserve">argued that </w:t>
      </w:r>
      <w:r w:rsidR="00C96D81" w:rsidRPr="009A64DA">
        <w:t xml:space="preserve">these </w:t>
      </w:r>
      <w:r w:rsidR="008C4FAD" w:rsidRPr="009A64DA">
        <w:t xml:space="preserve">functional GEP-NETs are already covered by the current PBS listing for </w:t>
      </w:r>
      <w:proofErr w:type="spellStart"/>
      <w:r w:rsidR="008C4FAD" w:rsidRPr="009A64DA">
        <w:t>lanreotide</w:t>
      </w:r>
      <w:proofErr w:type="spellEnd"/>
      <w:r w:rsidR="008C4FAD" w:rsidRPr="009A64DA">
        <w:t xml:space="preserve">. The ESC </w:t>
      </w:r>
      <w:r w:rsidR="00C96D81" w:rsidRPr="009A64DA">
        <w:t xml:space="preserve">considered </w:t>
      </w:r>
      <w:r w:rsidR="008C4FAD" w:rsidRPr="009A64DA">
        <w:t xml:space="preserve">that oncologist review of the two listings may be required to clarify whether the definitions completely overlap with regard to functional GEP-NETs. </w:t>
      </w:r>
      <w:r w:rsidR="00D54AAC" w:rsidRPr="000F1019">
        <w:t xml:space="preserve">The PBAC agreed with the </w:t>
      </w:r>
      <w:r w:rsidR="001F0D97" w:rsidRPr="000F1019">
        <w:t>pre-PBAC response</w:t>
      </w:r>
      <w:r w:rsidR="000F1019" w:rsidRPr="000F1019">
        <w:t xml:space="preserve"> (p.1)</w:t>
      </w:r>
      <w:r w:rsidR="001F0D97" w:rsidRPr="000F1019">
        <w:t xml:space="preserve"> </w:t>
      </w:r>
      <w:r w:rsidR="00D54AAC" w:rsidRPr="000F1019">
        <w:t xml:space="preserve">that the functional GEP-NETs are covered by the current PBS listing for </w:t>
      </w:r>
      <w:proofErr w:type="spellStart"/>
      <w:r w:rsidR="00D54AAC" w:rsidRPr="000F1019">
        <w:t>lanreotide</w:t>
      </w:r>
      <w:proofErr w:type="spellEnd"/>
      <w:r w:rsidR="00D54AAC" w:rsidRPr="000F1019">
        <w:t xml:space="preserve">. The PBAC also acknowledged that already there was likely to be leakage of </w:t>
      </w:r>
      <w:proofErr w:type="spellStart"/>
      <w:r w:rsidR="00D54AAC" w:rsidRPr="000F1019">
        <w:t>lanreotide</w:t>
      </w:r>
      <w:proofErr w:type="spellEnd"/>
      <w:r w:rsidR="00D54AAC" w:rsidRPr="000F1019">
        <w:t xml:space="preserve"> to non-functional tumours due to generous interpretation of functional tumours.</w:t>
      </w:r>
      <w:r w:rsidR="00D54AAC">
        <w:t xml:space="preserve"> </w:t>
      </w:r>
    </w:p>
    <w:p w:rsidR="00B611A6" w:rsidRPr="009A64DA" w:rsidRDefault="00B611A6" w:rsidP="00B611A6">
      <w:pPr>
        <w:pStyle w:val="ListParagraph"/>
        <w:widowControl/>
        <w:rPr>
          <w:szCs w:val="22"/>
        </w:rPr>
      </w:pPr>
    </w:p>
    <w:p w:rsidR="00B611A6" w:rsidRPr="000E170C" w:rsidRDefault="00B611A6" w:rsidP="0030238C">
      <w:pPr>
        <w:pStyle w:val="ListParagraph"/>
        <w:widowControl/>
        <w:numPr>
          <w:ilvl w:val="1"/>
          <w:numId w:val="2"/>
        </w:numPr>
        <w:rPr>
          <w:szCs w:val="22"/>
        </w:rPr>
      </w:pPr>
      <w:r w:rsidRPr="009A64DA">
        <w:t xml:space="preserve">The proposed listing for </w:t>
      </w:r>
      <w:proofErr w:type="spellStart"/>
      <w:r w:rsidRPr="009A64DA">
        <w:t>lanreotide</w:t>
      </w:r>
      <w:proofErr w:type="spellEnd"/>
      <w:r w:rsidRPr="009A64DA">
        <w:t xml:space="preserve"> may also have flow-on consequences for the current PBS listings of </w:t>
      </w:r>
      <w:proofErr w:type="spellStart"/>
      <w:r w:rsidRPr="009A64DA">
        <w:t>sunitinib</w:t>
      </w:r>
      <w:proofErr w:type="spellEnd"/>
      <w:r w:rsidRPr="009A64DA">
        <w:t xml:space="preserve"> and </w:t>
      </w:r>
      <w:proofErr w:type="spellStart"/>
      <w:r w:rsidRPr="009A64DA">
        <w:t>everolimus</w:t>
      </w:r>
      <w:proofErr w:type="spellEnd"/>
      <w:r w:rsidRPr="009A64DA">
        <w:t xml:space="preserve"> for the treatment of pancreatic neuroendocrine tumours (</w:t>
      </w:r>
      <w:proofErr w:type="spellStart"/>
      <w:r w:rsidRPr="009A64DA">
        <w:t>pNETs</w:t>
      </w:r>
      <w:proofErr w:type="spellEnd"/>
      <w:r w:rsidRPr="009A64DA">
        <w:t xml:space="preserve">). Currently patients can only qualify for these treatments if they experience disease progression or continue to experience symptoms despite treatment with a somatostatin analogue. Therefore broadening the population eligible for </w:t>
      </w:r>
      <w:proofErr w:type="spellStart"/>
      <w:r w:rsidRPr="009A64DA">
        <w:t>lanreotide</w:t>
      </w:r>
      <w:proofErr w:type="spellEnd"/>
      <w:r w:rsidRPr="009A64DA">
        <w:t xml:space="preserve"> may also broaden the population eligible for </w:t>
      </w:r>
      <w:proofErr w:type="spellStart"/>
      <w:r w:rsidRPr="009A64DA">
        <w:t>sunitinib</w:t>
      </w:r>
      <w:proofErr w:type="spellEnd"/>
      <w:r w:rsidRPr="009A64DA">
        <w:t xml:space="preserve"> and </w:t>
      </w:r>
      <w:proofErr w:type="spellStart"/>
      <w:r w:rsidRPr="009A64DA">
        <w:t>everolimus</w:t>
      </w:r>
      <w:proofErr w:type="spellEnd"/>
      <w:r w:rsidRPr="009A64DA">
        <w:t xml:space="preserve">. The current listings for </w:t>
      </w:r>
      <w:proofErr w:type="spellStart"/>
      <w:r w:rsidRPr="009A64DA">
        <w:t>sunitinib</w:t>
      </w:r>
      <w:proofErr w:type="spellEnd"/>
      <w:r w:rsidRPr="009A64DA">
        <w:t xml:space="preserve"> and </w:t>
      </w:r>
      <w:proofErr w:type="spellStart"/>
      <w:r w:rsidRPr="009A64DA">
        <w:t>everolimus</w:t>
      </w:r>
      <w:proofErr w:type="spellEnd"/>
      <w:r w:rsidRPr="009A64DA">
        <w:t xml:space="preserve"> also prevent</w:t>
      </w:r>
      <w:r w:rsidRPr="009A64DA">
        <w:rPr>
          <w:i/>
        </w:rPr>
        <w:t xml:space="preserve"> </w:t>
      </w:r>
      <w:r w:rsidRPr="009A64DA">
        <w:t xml:space="preserve">combination use with other anti-proliferative therapies. Previously, this did not include somatostatin analogues as these therapies have been traditionally used for symptom management. </w:t>
      </w:r>
      <w:r w:rsidR="00F76FD3">
        <w:t xml:space="preserve">The clinical place of the combination of </w:t>
      </w:r>
      <w:proofErr w:type="spellStart"/>
      <w:r w:rsidR="00F76FD3" w:rsidRPr="009A64DA">
        <w:t>sunitinib</w:t>
      </w:r>
      <w:proofErr w:type="spellEnd"/>
      <w:r w:rsidR="00F76FD3">
        <w:t xml:space="preserve"> </w:t>
      </w:r>
      <w:r w:rsidR="00F76FD3" w:rsidRPr="009A64DA">
        <w:t xml:space="preserve">or </w:t>
      </w:r>
      <w:proofErr w:type="spellStart"/>
      <w:r w:rsidR="00F76FD3" w:rsidRPr="009A64DA">
        <w:t>everolimus</w:t>
      </w:r>
      <w:proofErr w:type="spellEnd"/>
      <w:r w:rsidR="00F76FD3">
        <w:t xml:space="preserve"> together with</w:t>
      </w:r>
      <w:r w:rsidR="00F76FD3" w:rsidRPr="009A64DA">
        <w:t xml:space="preserve"> </w:t>
      </w:r>
      <w:proofErr w:type="spellStart"/>
      <w:r w:rsidR="00F76FD3" w:rsidRPr="009A64DA">
        <w:t>lanreotide</w:t>
      </w:r>
      <w:proofErr w:type="spellEnd"/>
      <w:r w:rsidR="00F76FD3">
        <w:t xml:space="preserve"> when used</w:t>
      </w:r>
      <w:r w:rsidR="00F76FD3" w:rsidRPr="009A64DA">
        <w:t xml:space="preserve"> </w:t>
      </w:r>
      <w:r w:rsidR="00F76FD3">
        <w:t xml:space="preserve">only as an </w:t>
      </w:r>
      <w:r w:rsidR="00F76FD3" w:rsidRPr="009A64DA">
        <w:t>anti-proliferative treatment</w:t>
      </w:r>
      <w:r w:rsidR="00F76FD3">
        <w:t xml:space="preserve"> (rather than for control of carcinoid symptoms) was not addressed.</w:t>
      </w:r>
    </w:p>
    <w:p w:rsidR="00C53BCF" w:rsidRPr="000E170C" w:rsidRDefault="00C53BCF" w:rsidP="00611101">
      <w:pPr>
        <w:pStyle w:val="Header"/>
        <w:rPr>
          <w:szCs w:val="22"/>
        </w:rPr>
      </w:pPr>
    </w:p>
    <w:p w:rsidR="00C53BCF" w:rsidRPr="009A64DA" w:rsidRDefault="00C53BCF" w:rsidP="00611101">
      <w:pPr>
        <w:pStyle w:val="Header"/>
        <w:rPr>
          <w:szCs w:val="22"/>
        </w:rPr>
      </w:pPr>
    </w:p>
    <w:p w:rsidR="00611101" w:rsidRPr="009A64DA" w:rsidRDefault="00611101" w:rsidP="00E975B1">
      <w:pPr>
        <w:pStyle w:val="Heading1"/>
      </w:pPr>
      <w:bookmarkStart w:id="5" w:name="_Toc430010747"/>
      <w:r w:rsidRPr="009A64DA">
        <w:t>Comparator</w:t>
      </w:r>
      <w:bookmarkEnd w:id="5"/>
    </w:p>
    <w:p w:rsidR="00611101" w:rsidRPr="009A64DA" w:rsidRDefault="00611101" w:rsidP="00611101"/>
    <w:p w:rsidR="00611101" w:rsidRPr="009A64DA" w:rsidRDefault="00611101" w:rsidP="0030238C">
      <w:pPr>
        <w:pStyle w:val="ListParagraph"/>
        <w:widowControl/>
        <w:numPr>
          <w:ilvl w:val="1"/>
          <w:numId w:val="2"/>
        </w:numPr>
        <w:rPr>
          <w:szCs w:val="22"/>
        </w:rPr>
      </w:pPr>
      <w:r w:rsidRPr="009A64DA">
        <w:t xml:space="preserve">Watchful waiting (placebo). </w:t>
      </w:r>
      <w:r w:rsidR="005B2F7E" w:rsidRPr="009A64DA">
        <w:t>The ESC considered t</w:t>
      </w:r>
      <w:r w:rsidRPr="009A64DA">
        <w:t xml:space="preserve">his was an appropriate comparator. </w:t>
      </w:r>
      <w:r w:rsidR="00C31491" w:rsidRPr="009A64DA">
        <w:t xml:space="preserve">The Evaluation considered </w:t>
      </w:r>
      <w:proofErr w:type="spellStart"/>
      <w:r w:rsidR="00C31491" w:rsidRPr="009A64DA">
        <w:t>o</w:t>
      </w:r>
      <w:r w:rsidRPr="009A64DA">
        <w:t>ctreotide</w:t>
      </w:r>
      <w:proofErr w:type="spellEnd"/>
      <w:r w:rsidRPr="009A64DA">
        <w:t xml:space="preserve"> was also a relevant comparator as it is likely to fulfil a similar role to </w:t>
      </w:r>
      <w:proofErr w:type="spellStart"/>
      <w:r w:rsidRPr="009A64DA">
        <w:t>lanreotide</w:t>
      </w:r>
      <w:proofErr w:type="spellEnd"/>
      <w:r w:rsidRPr="009A64DA">
        <w:t xml:space="preserve"> in clinical practice</w:t>
      </w:r>
      <w:r w:rsidR="0021776F" w:rsidRPr="009A64DA">
        <w:t>.</w:t>
      </w:r>
    </w:p>
    <w:p w:rsidR="00710AF6" w:rsidRPr="009A64DA" w:rsidRDefault="00710AF6" w:rsidP="00710AF6">
      <w:pPr>
        <w:pStyle w:val="Header"/>
        <w:ind w:firstLine="709"/>
        <w:rPr>
          <w:i/>
          <w:szCs w:val="22"/>
          <w:highlight w:val="yellow"/>
        </w:rPr>
      </w:pPr>
    </w:p>
    <w:p w:rsidR="00710AF6" w:rsidRPr="009A64DA" w:rsidRDefault="00710AF6" w:rsidP="00710AF6">
      <w:pPr>
        <w:pStyle w:val="Header"/>
        <w:ind w:firstLine="709"/>
        <w:rPr>
          <w:szCs w:val="22"/>
        </w:rPr>
      </w:pPr>
      <w:r w:rsidRPr="009A64DA">
        <w:rPr>
          <w:i/>
          <w:szCs w:val="22"/>
        </w:rPr>
        <w:lastRenderedPageBreak/>
        <w:t>For more detail on PBAC’s view, see section 7 “PBAC outcome”</w:t>
      </w:r>
    </w:p>
    <w:p w:rsidR="00BD69F2" w:rsidRPr="009A64DA" w:rsidRDefault="00BD69F2" w:rsidP="00611101">
      <w:pPr>
        <w:rPr>
          <w:szCs w:val="22"/>
        </w:rPr>
      </w:pPr>
    </w:p>
    <w:p w:rsidR="00BB4281" w:rsidRPr="009A64DA" w:rsidRDefault="00BB4281" w:rsidP="00611101">
      <w:pPr>
        <w:rPr>
          <w:szCs w:val="22"/>
        </w:rPr>
      </w:pPr>
    </w:p>
    <w:p w:rsidR="00611101" w:rsidRPr="009A64DA" w:rsidRDefault="00611101" w:rsidP="00E975B1">
      <w:pPr>
        <w:pStyle w:val="Heading1"/>
      </w:pPr>
      <w:bookmarkStart w:id="6" w:name="_Toc430010748"/>
      <w:r w:rsidRPr="009A64DA">
        <w:t>Consideration of the evidence</w:t>
      </w:r>
      <w:bookmarkEnd w:id="6"/>
    </w:p>
    <w:p w:rsidR="00611101" w:rsidRPr="009A64DA" w:rsidRDefault="00611101" w:rsidP="00611101"/>
    <w:p w:rsidR="00F24623" w:rsidRPr="00E975B1" w:rsidRDefault="00F24623" w:rsidP="00E975B1">
      <w:pPr>
        <w:pStyle w:val="Heading2"/>
      </w:pPr>
      <w:bookmarkStart w:id="7" w:name="_Toc430010749"/>
      <w:r w:rsidRPr="00E975B1">
        <w:t>Sponsor hearing</w:t>
      </w:r>
    </w:p>
    <w:p w:rsidR="00317A5E" w:rsidRPr="009A64DA" w:rsidRDefault="00D91ADD" w:rsidP="0030238C">
      <w:pPr>
        <w:numPr>
          <w:ilvl w:val="1"/>
          <w:numId w:val="2"/>
        </w:numPr>
        <w:contextualSpacing/>
        <w:rPr>
          <w:bCs/>
          <w:szCs w:val="22"/>
        </w:rPr>
      </w:pPr>
      <w:r w:rsidRPr="009A64DA">
        <w:rPr>
          <w:bCs/>
          <w:szCs w:val="22"/>
        </w:rPr>
        <w:t xml:space="preserve">The sponsor requested a hearing for this item. </w:t>
      </w:r>
    </w:p>
    <w:p w:rsidR="006C58A3" w:rsidRPr="009A64DA" w:rsidRDefault="006C58A3" w:rsidP="006C58A3">
      <w:pPr>
        <w:ind w:left="720"/>
        <w:contextualSpacing/>
        <w:rPr>
          <w:bCs/>
          <w:szCs w:val="22"/>
        </w:rPr>
      </w:pPr>
    </w:p>
    <w:p w:rsidR="006C58A3" w:rsidRPr="009A64DA" w:rsidRDefault="00F24623" w:rsidP="0030238C">
      <w:pPr>
        <w:numPr>
          <w:ilvl w:val="1"/>
          <w:numId w:val="2"/>
        </w:numPr>
        <w:contextualSpacing/>
        <w:rPr>
          <w:bCs/>
          <w:szCs w:val="22"/>
        </w:rPr>
      </w:pPr>
      <w:r w:rsidRPr="009A64DA">
        <w:rPr>
          <w:bCs/>
          <w:szCs w:val="22"/>
        </w:rPr>
        <w:t xml:space="preserve">The clinician </w:t>
      </w:r>
      <w:r w:rsidR="00317A5E" w:rsidRPr="009A64DA">
        <w:rPr>
          <w:bCs/>
          <w:szCs w:val="22"/>
        </w:rPr>
        <w:t xml:space="preserve">emphasised </w:t>
      </w:r>
      <w:r w:rsidR="00563762" w:rsidRPr="009A64DA">
        <w:rPr>
          <w:bCs/>
          <w:szCs w:val="22"/>
        </w:rPr>
        <w:t>there is a</w:t>
      </w:r>
      <w:r w:rsidR="003D2D58" w:rsidRPr="009A64DA">
        <w:rPr>
          <w:bCs/>
          <w:szCs w:val="22"/>
        </w:rPr>
        <w:t>n unmet</w:t>
      </w:r>
      <w:r w:rsidR="00317A5E" w:rsidRPr="009A64DA">
        <w:rPr>
          <w:bCs/>
          <w:szCs w:val="22"/>
        </w:rPr>
        <w:t xml:space="preserve"> </w:t>
      </w:r>
      <w:r w:rsidR="00895025" w:rsidRPr="009A64DA">
        <w:rPr>
          <w:bCs/>
          <w:szCs w:val="22"/>
        </w:rPr>
        <w:t xml:space="preserve">clinical </w:t>
      </w:r>
      <w:r w:rsidR="00317A5E" w:rsidRPr="009A64DA">
        <w:rPr>
          <w:bCs/>
          <w:szCs w:val="22"/>
        </w:rPr>
        <w:t xml:space="preserve">need for </w:t>
      </w:r>
      <w:r w:rsidR="00563762" w:rsidRPr="009A64DA">
        <w:rPr>
          <w:bCs/>
          <w:szCs w:val="22"/>
        </w:rPr>
        <w:t xml:space="preserve">treatment of </w:t>
      </w:r>
      <w:r w:rsidR="00317A5E" w:rsidRPr="009A64DA">
        <w:rPr>
          <w:bCs/>
          <w:szCs w:val="22"/>
        </w:rPr>
        <w:t>GEP NET patients</w:t>
      </w:r>
      <w:r w:rsidR="00563762" w:rsidRPr="009A64DA">
        <w:rPr>
          <w:bCs/>
          <w:szCs w:val="22"/>
        </w:rPr>
        <w:t xml:space="preserve"> with a somatostatin analogue</w:t>
      </w:r>
      <w:r w:rsidR="00317A5E" w:rsidRPr="009A64DA">
        <w:rPr>
          <w:bCs/>
          <w:szCs w:val="22"/>
        </w:rPr>
        <w:t xml:space="preserve">. The clinician discussed </w:t>
      </w:r>
      <w:r w:rsidR="00563762" w:rsidRPr="009A64DA">
        <w:rPr>
          <w:bCs/>
          <w:szCs w:val="22"/>
        </w:rPr>
        <w:t>the importance of progression free survival (PFS) as a relevant outcome, with the aim of treatment to keep patients functioning for longer.</w:t>
      </w:r>
      <w:r w:rsidR="006C58A3" w:rsidRPr="009A64DA">
        <w:rPr>
          <w:bCs/>
          <w:szCs w:val="22"/>
        </w:rPr>
        <w:t xml:space="preserve"> </w:t>
      </w:r>
      <w:r w:rsidR="00563762" w:rsidRPr="009A64DA">
        <w:rPr>
          <w:bCs/>
          <w:szCs w:val="22"/>
        </w:rPr>
        <w:t xml:space="preserve">The clinician further considered treatment should not be withdrawn on disease progression due to potential disease flares. </w:t>
      </w:r>
      <w:r w:rsidR="006C58A3" w:rsidRPr="009A64DA">
        <w:rPr>
          <w:bCs/>
          <w:szCs w:val="22"/>
        </w:rPr>
        <w:t xml:space="preserve">The clinician also discussed that given the rarity of the disease it is difficult to </w:t>
      </w:r>
      <w:r w:rsidR="00317A5E" w:rsidRPr="009A64DA">
        <w:rPr>
          <w:bCs/>
          <w:szCs w:val="22"/>
        </w:rPr>
        <w:t>estimate the prevale</w:t>
      </w:r>
      <w:r w:rsidR="006C58A3" w:rsidRPr="009A64DA">
        <w:rPr>
          <w:bCs/>
          <w:szCs w:val="22"/>
        </w:rPr>
        <w:t>nce of the disease</w:t>
      </w:r>
      <w:r w:rsidR="00843A18" w:rsidRPr="009A64DA">
        <w:rPr>
          <w:bCs/>
          <w:szCs w:val="22"/>
        </w:rPr>
        <w:t>.</w:t>
      </w:r>
    </w:p>
    <w:p w:rsidR="006C58A3" w:rsidRPr="009A64DA" w:rsidRDefault="006C58A3" w:rsidP="006C58A3">
      <w:pPr>
        <w:ind w:left="720"/>
        <w:contextualSpacing/>
        <w:rPr>
          <w:bCs/>
          <w:szCs w:val="22"/>
        </w:rPr>
      </w:pPr>
    </w:p>
    <w:p w:rsidR="00F24623" w:rsidRPr="009A64DA" w:rsidRDefault="00F24623" w:rsidP="0030238C">
      <w:pPr>
        <w:numPr>
          <w:ilvl w:val="1"/>
          <w:numId w:val="2"/>
        </w:numPr>
        <w:contextualSpacing/>
        <w:rPr>
          <w:bCs/>
          <w:szCs w:val="22"/>
        </w:rPr>
      </w:pPr>
      <w:r w:rsidRPr="009A64DA">
        <w:rPr>
          <w:bCs/>
          <w:szCs w:val="22"/>
        </w:rPr>
        <w:t>The PBAC considered that the hearing was informative as it provided a clinical perspective on treating this uncommon disease.</w:t>
      </w:r>
    </w:p>
    <w:p w:rsidR="00F24623" w:rsidRPr="009A64DA" w:rsidRDefault="00F24623" w:rsidP="00E05B8E">
      <w:pPr>
        <w:rPr>
          <w:bCs/>
          <w:szCs w:val="22"/>
          <w:highlight w:val="yellow"/>
        </w:rPr>
      </w:pPr>
    </w:p>
    <w:p w:rsidR="00F24623" w:rsidRPr="009A64DA" w:rsidRDefault="00F24623" w:rsidP="00E975B1">
      <w:pPr>
        <w:pStyle w:val="Heading2"/>
      </w:pPr>
      <w:r w:rsidRPr="009A64DA">
        <w:t>Consumer comments</w:t>
      </w:r>
    </w:p>
    <w:p w:rsidR="00F24623" w:rsidRPr="009A64DA" w:rsidRDefault="00F24623" w:rsidP="0030238C">
      <w:pPr>
        <w:numPr>
          <w:ilvl w:val="1"/>
          <w:numId w:val="2"/>
        </w:numPr>
        <w:contextualSpacing/>
        <w:rPr>
          <w:bCs/>
          <w:szCs w:val="22"/>
        </w:rPr>
      </w:pPr>
      <w:r w:rsidRPr="009A64DA">
        <w:rPr>
          <w:bCs/>
          <w:szCs w:val="22"/>
        </w:rPr>
        <w:t>The PBAC noted and welcomed the input from individuals (</w:t>
      </w:r>
      <w:r w:rsidR="00C31491" w:rsidRPr="009A64DA">
        <w:rPr>
          <w:bCs/>
          <w:szCs w:val="22"/>
        </w:rPr>
        <w:t>22</w:t>
      </w:r>
      <w:r w:rsidRPr="009A64DA">
        <w:rPr>
          <w:bCs/>
          <w:szCs w:val="22"/>
        </w:rPr>
        <w:t>), health care professionals (1</w:t>
      </w:r>
      <w:r w:rsidR="00C31491" w:rsidRPr="009A64DA">
        <w:rPr>
          <w:bCs/>
          <w:szCs w:val="22"/>
        </w:rPr>
        <w:t>) and organisations (1</w:t>
      </w:r>
      <w:r w:rsidRPr="009A64DA">
        <w:rPr>
          <w:bCs/>
          <w:szCs w:val="22"/>
        </w:rPr>
        <w:t>) via the Consumer Comments facility on the PBS website.</w:t>
      </w:r>
      <w:r w:rsidRPr="009A64DA">
        <w:rPr>
          <w:bCs/>
          <w:i/>
          <w:szCs w:val="22"/>
        </w:rPr>
        <w:t xml:space="preserve">  </w:t>
      </w:r>
      <w:r w:rsidRPr="009A64DA">
        <w:rPr>
          <w:bCs/>
          <w:szCs w:val="22"/>
        </w:rPr>
        <w:t xml:space="preserve">The comments described a range of benefits of treatment with </w:t>
      </w:r>
      <w:proofErr w:type="spellStart"/>
      <w:r w:rsidR="00787A44" w:rsidRPr="009A64DA">
        <w:rPr>
          <w:bCs/>
          <w:szCs w:val="22"/>
        </w:rPr>
        <w:t>lanreotide</w:t>
      </w:r>
      <w:proofErr w:type="spellEnd"/>
      <w:r w:rsidRPr="009A64DA">
        <w:rPr>
          <w:bCs/>
          <w:szCs w:val="22"/>
        </w:rPr>
        <w:t xml:space="preserve"> </w:t>
      </w:r>
      <w:r w:rsidR="00F17441" w:rsidRPr="009A64DA">
        <w:rPr>
          <w:bCs/>
          <w:szCs w:val="22"/>
        </w:rPr>
        <w:t>for the requested indication</w:t>
      </w:r>
      <w:r w:rsidR="00F17441" w:rsidRPr="009A64DA">
        <w:rPr>
          <w:bCs/>
          <w:i/>
          <w:szCs w:val="22"/>
        </w:rPr>
        <w:t xml:space="preserve"> </w:t>
      </w:r>
      <w:r w:rsidR="00787A44" w:rsidRPr="009A64DA">
        <w:rPr>
          <w:bCs/>
          <w:szCs w:val="22"/>
        </w:rPr>
        <w:t>including improved quality of life, slower disease progression, and effective control of symptoms.</w:t>
      </w:r>
    </w:p>
    <w:p w:rsidR="00F24623" w:rsidRPr="009A64DA" w:rsidRDefault="00F24623" w:rsidP="00E05B8E">
      <w:pPr>
        <w:contextualSpacing/>
        <w:rPr>
          <w:bCs/>
          <w:szCs w:val="22"/>
          <w:highlight w:val="yellow"/>
        </w:rPr>
      </w:pPr>
    </w:p>
    <w:p w:rsidR="000C7D2C" w:rsidRPr="009A64DA" w:rsidRDefault="00F24623" w:rsidP="0030238C">
      <w:pPr>
        <w:numPr>
          <w:ilvl w:val="1"/>
          <w:numId w:val="2"/>
        </w:numPr>
        <w:contextualSpacing/>
        <w:rPr>
          <w:bCs/>
          <w:szCs w:val="22"/>
        </w:rPr>
      </w:pPr>
      <w:r w:rsidRPr="009A64DA">
        <w:rPr>
          <w:bCs/>
          <w:szCs w:val="22"/>
        </w:rPr>
        <w:t xml:space="preserve">The PBAC </w:t>
      </w:r>
      <w:r w:rsidR="00B7110C" w:rsidRPr="009A64DA">
        <w:rPr>
          <w:bCs/>
          <w:szCs w:val="22"/>
        </w:rPr>
        <w:t xml:space="preserve">noted the advice received from </w:t>
      </w:r>
      <w:r w:rsidR="003D2D58" w:rsidRPr="009A64DA">
        <w:rPr>
          <w:bCs/>
          <w:szCs w:val="22"/>
        </w:rPr>
        <w:t xml:space="preserve">the Medical Oncology Group of Australia </w:t>
      </w:r>
      <w:r w:rsidR="00952796" w:rsidRPr="009A64DA">
        <w:rPr>
          <w:bCs/>
          <w:szCs w:val="22"/>
        </w:rPr>
        <w:t xml:space="preserve">(MOGA) </w:t>
      </w:r>
      <w:r w:rsidR="003D2D58" w:rsidRPr="009A64DA">
        <w:rPr>
          <w:bCs/>
          <w:szCs w:val="22"/>
        </w:rPr>
        <w:t xml:space="preserve">and </w:t>
      </w:r>
      <w:r w:rsidR="00B7110C" w:rsidRPr="009A64DA">
        <w:rPr>
          <w:bCs/>
          <w:szCs w:val="22"/>
        </w:rPr>
        <w:t xml:space="preserve">The Unicorn Foundation </w:t>
      </w:r>
      <w:r w:rsidRPr="009A64DA">
        <w:rPr>
          <w:bCs/>
          <w:szCs w:val="22"/>
        </w:rPr>
        <w:t xml:space="preserve">clarifying the likely use </w:t>
      </w:r>
      <w:r w:rsidR="00B7110C" w:rsidRPr="009A64DA">
        <w:rPr>
          <w:bCs/>
          <w:szCs w:val="22"/>
        </w:rPr>
        <w:t xml:space="preserve">of </w:t>
      </w:r>
      <w:proofErr w:type="spellStart"/>
      <w:r w:rsidR="00B7110C" w:rsidRPr="009A64DA">
        <w:rPr>
          <w:bCs/>
          <w:szCs w:val="22"/>
        </w:rPr>
        <w:t>lanreotide</w:t>
      </w:r>
      <w:proofErr w:type="spellEnd"/>
      <w:r w:rsidRPr="009A64DA">
        <w:rPr>
          <w:bCs/>
          <w:szCs w:val="22"/>
        </w:rPr>
        <w:t xml:space="preserve"> in clinical practice.  The PBAC specifically noted the advice that the use of </w:t>
      </w:r>
      <w:proofErr w:type="spellStart"/>
      <w:r w:rsidR="00F17441" w:rsidRPr="009A64DA">
        <w:rPr>
          <w:bCs/>
          <w:szCs w:val="22"/>
        </w:rPr>
        <w:t>lanreotide</w:t>
      </w:r>
      <w:proofErr w:type="spellEnd"/>
      <w:r w:rsidRPr="009A64DA">
        <w:rPr>
          <w:bCs/>
          <w:szCs w:val="22"/>
        </w:rPr>
        <w:t xml:space="preserve"> </w:t>
      </w:r>
      <w:r w:rsidR="00F17441" w:rsidRPr="009A64DA">
        <w:rPr>
          <w:bCs/>
          <w:szCs w:val="22"/>
        </w:rPr>
        <w:t>for the requested indication will bring Australia into line with international best practice clinical standards and provide therapy for a small group of patients who have limited treatment options. The groups also noted that the drug has an excellent safety profile, and its use in first-line therapy is supported by the strength of recent clinical evidence, in particular the CLARINET trial.</w:t>
      </w:r>
    </w:p>
    <w:p w:rsidR="000C7D2C" w:rsidRPr="009A64DA" w:rsidRDefault="000C7D2C" w:rsidP="000C7D2C">
      <w:pPr>
        <w:ind w:left="720"/>
        <w:contextualSpacing/>
        <w:rPr>
          <w:bCs/>
          <w:szCs w:val="22"/>
        </w:rPr>
      </w:pPr>
    </w:p>
    <w:p w:rsidR="00F24623" w:rsidRPr="009A64DA" w:rsidRDefault="00F24623" w:rsidP="0030238C">
      <w:pPr>
        <w:numPr>
          <w:ilvl w:val="1"/>
          <w:numId w:val="2"/>
        </w:numPr>
        <w:contextualSpacing/>
        <w:rPr>
          <w:bCs/>
          <w:szCs w:val="22"/>
        </w:rPr>
      </w:pPr>
      <w:r w:rsidRPr="009A64DA">
        <w:rPr>
          <w:bCs/>
          <w:szCs w:val="22"/>
        </w:rPr>
        <w:t xml:space="preserve"> The </w:t>
      </w:r>
      <w:r w:rsidR="00F17441" w:rsidRPr="009A64DA">
        <w:rPr>
          <w:bCs/>
          <w:szCs w:val="22"/>
        </w:rPr>
        <w:t xml:space="preserve">PBAC noted </w:t>
      </w:r>
      <w:r w:rsidR="00BD7169" w:rsidRPr="009A64DA">
        <w:rPr>
          <w:bCs/>
          <w:szCs w:val="22"/>
        </w:rPr>
        <w:t>and welcomed the input</w:t>
      </w:r>
      <w:r w:rsidR="00F17441" w:rsidRPr="009A64DA">
        <w:rPr>
          <w:bCs/>
          <w:szCs w:val="22"/>
        </w:rPr>
        <w:t>.</w:t>
      </w:r>
    </w:p>
    <w:p w:rsidR="00F24623" w:rsidRPr="009A64DA" w:rsidRDefault="00F24623" w:rsidP="00E05B8E">
      <w:pPr>
        <w:contextualSpacing/>
        <w:rPr>
          <w:bCs/>
          <w:szCs w:val="22"/>
        </w:rPr>
      </w:pPr>
    </w:p>
    <w:p w:rsidR="00611101" w:rsidRPr="009A64DA" w:rsidRDefault="00611101" w:rsidP="00E975B1">
      <w:pPr>
        <w:pStyle w:val="Heading2"/>
      </w:pPr>
      <w:r w:rsidRPr="009A64DA">
        <w:t>Clinical trials</w:t>
      </w:r>
      <w:bookmarkEnd w:id="7"/>
    </w:p>
    <w:p w:rsidR="00611101" w:rsidRPr="009A64DA" w:rsidRDefault="00611101" w:rsidP="00611101">
      <w:pPr>
        <w:rPr>
          <w:szCs w:val="22"/>
        </w:rPr>
      </w:pPr>
    </w:p>
    <w:p w:rsidR="00611101" w:rsidRPr="009A64DA" w:rsidRDefault="00611101" w:rsidP="0030238C">
      <w:pPr>
        <w:pStyle w:val="ListParagraph"/>
        <w:widowControl/>
        <w:numPr>
          <w:ilvl w:val="1"/>
          <w:numId w:val="2"/>
        </w:numPr>
        <w:rPr>
          <w:szCs w:val="22"/>
        </w:rPr>
      </w:pPr>
      <w:r w:rsidRPr="009A64DA">
        <w:rPr>
          <w:szCs w:val="22"/>
        </w:rPr>
        <w:t xml:space="preserve">The submission </w:t>
      </w:r>
      <w:r w:rsidR="0021776F" w:rsidRPr="009A64DA">
        <w:rPr>
          <w:szCs w:val="22"/>
        </w:rPr>
        <w:t>wa</w:t>
      </w:r>
      <w:r w:rsidRPr="009A64DA">
        <w:rPr>
          <w:szCs w:val="22"/>
        </w:rPr>
        <w:t xml:space="preserve">s based on one head-to-head trial comparing </w:t>
      </w:r>
      <w:proofErr w:type="spellStart"/>
      <w:r w:rsidRPr="009A64DA">
        <w:rPr>
          <w:szCs w:val="22"/>
        </w:rPr>
        <w:t>lanreotide</w:t>
      </w:r>
      <w:proofErr w:type="spellEnd"/>
      <w:r w:rsidRPr="009A64DA">
        <w:rPr>
          <w:szCs w:val="22"/>
        </w:rPr>
        <w:t xml:space="preserve"> to placebo as an anti-proliferative agent in patients with non-functional GEP-NETs (CLARINET), with additional long-term data from an open-label extension (Study 729).</w:t>
      </w:r>
    </w:p>
    <w:p w:rsidR="00611101" w:rsidRPr="009A64DA" w:rsidRDefault="00611101" w:rsidP="00611101">
      <w:pPr>
        <w:widowControl/>
        <w:rPr>
          <w:szCs w:val="22"/>
        </w:rPr>
      </w:pPr>
    </w:p>
    <w:p w:rsidR="00611101" w:rsidRPr="009A64DA" w:rsidRDefault="00611101" w:rsidP="0030238C">
      <w:pPr>
        <w:pStyle w:val="ListParagraph"/>
        <w:widowControl/>
        <w:numPr>
          <w:ilvl w:val="1"/>
          <w:numId w:val="2"/>
        </w:numPr>
        <w:rPr>
          <w:szCs w:val="22"/>
        </w:rPr>
      </w:pPr>
      <w:r w:rsidRPr="009A64DA">
        <w:rPr>
          <w:szCs w:val="22"/>
        </w:rPr>
        <w:t xml:space="preserve">Details of the </w:t>
      </w:r>
      <w:r w:rsidR="0021776F" w:rsidRPr="009A64DA">
        <w:rPr>
          <w:szCs w:val="22"/>
        </w:rPr>
        <w:t>studies</w:t>
      </w:r>
      <w:r w:rsidRPr="009A64DA">
        <w:rPr>
          <w:szCs w:val="22"/>
        </w:rPr>
        <w:t xml:space="preserve"> presented in the submission are provided in the table below. </w:t>
      </w:r>
    </w:p>
    <w:p w:rsidR="00110FD1" w:rsidRDefault="00110FD1">
      <w:pPr>
        <w:widowControl/>
        <w:jc w:val="left"/>
        <w:rPr>
          <w:rFonts w:ascii="Arial Narrow" w:hAnsi="Arial Narrow"/>
          <w:b/>
          <w:sz w:val="20"/>
        </w:rPr>
      </w:pPr>
      <w:r>
        <w:rPr>
          <w:rFonts w:ascii="Arial Narrow" w:hAnsi="Arial Narrow"/>
          <w:b/>
          <w:sz w:val="20"/>
        </w:rPr>
        <w:br w:type="page"/>
      </w:r>
    </w:p>
    <w:p w:rsidR="00611101" w:rsidRPr="009A64DA" w:rsidRDefault="00611101" w:rsidP="00611101">
      <w:pPr>
        <w:ind w:firstLine="720"/>
        <w:rPr>
          <w:rFonts w:ascii="Arial Narrow" w:hAnsi="Arial Narrow"/>
          <w:b/>
          <w:sz w:val="20"/>
        </w:rPr>
      </w:pPr>
      <w:bookmarkStart w:id="8" w:name="_GoBack"/>
      <w:bookmarkEnd w:id="8"/>
      <w:r w:rsidRPr="009A64DA">
        <w:rPr>
          <w:rFonts w:ascii="Arial Narrow" w:hAnsi="Arial Narrow"/>
          <w:b/>
          <w:sz w:val="20"/>
        </w:rPr>
        <w:lastRenderedPageBreak/>
        <w:t>Table 1: Trials and associated reports included in the submission</w:t>
      </w:r>
    </w:p>
    <w:tbl>
      <w:tblPr>
        <w:tblStyle w:val="TableGrid"/>
        <w:tblW w:w="0" w:type="auto"/>
        <w:tblInd w:w="822" w:type="dxa"/>
        <w:tblLook w:val="04A0" w:firstRow="1" w:lastRow="0" w:firstColumn="1" w:lastColumn="0" w:noHBand="0" w:noVBand="1"/>
        <w:tblCaption w:val="Table 1: Trials and associated reports included in the submission"/>
      </w:tblPr>
      <w:tblGrid>
        <w:gridCol w:w="1498"/>
        <w:gridCol w:w="4871"/>
        <w:gridCol w:w="2047"/>
      </w:tblGrid>
      <w:tr w:rsidR="00611101" w:rsidRPr="009A64DA" w:rsidTr="002F09A0">
        <w:trPr>
          <w:tblHeader/>
        </w:trPr>
        <w:tc>
          <w:tcPr>
            <w:tcW w:w="1498" w:type="dxa"/>
            <w:vAlign w:val="center"/>
          </w:tcPr>
          <w:p w:rsidR="00611101" w:rsidRPr="009A64DA" w:rsidRDefault="00611101" w:rsidP="00611101">
            <w:pPr>
              <w:rPr>
                <w:rFonts w:ascii="Arial Narrow" w:hAnsi="Arial Narrow"/>
                <w:b/>
                <w:sz w:val="20"/>
              </w:rPr>
            </w:pPr>
            <w:r w:rsidRPr="009A64DA">
              <w:rPr>
                <w:rFonts w:ascii="Arial Narrow" w:hAnsi="Arial Narrow"/>
                <w:b/>
                <w:sz w:val="20"/>
              </w:rPr>
              <w:t>Trial ID</w:t>
            </w:r>
          </w:p>
        </w:tc>
        <w:tc>
          <w:tcPr>
            <w:tcW w:w="4871" w:type="dxa"/>
            <w:vAlign w:val="center"/>
          </w:tcPr>
          <w:p w:rsidR="00611101" w:rsidRPr="009A64DA" w:rsidRDefault="00611101" w:rsidP="00611101">
            <w:pPr>
              <w:jc w:val="center"/>
              <w:rPr>
                <w:rFonts w:ascii="Arial Narrow" w:hAnsi="Arial Narrow"/>
                <w:b/>
                <w:sz w:val="20"/>
              </w:rPr>
            </w:pPr>
            <w:r w:rsidRPr="009A64DA">
              <w:rPr>
                <w:rFonts w:ascii="Arial Narrow" w:hAnsi="Arial Narrow"/>
                <w:b/>
                <w:sz w:val="20"/>
              </w:rPr>
              <w:t>Protocol title/ Publication title</w:t>
            </w:r>
          </w:p>
        </w:tc>
        <w:tc>
          <w:tcPr>
            <w:tcW w:w="2047" w:type="dxa"/>
            <w:vAlign w:val="center"/>
          </w:tcPr>
          <w:p w:rsidR="00611101" w:rsidRPr="009A64DA" w:rsidRDefault="00611101" w:rsidP="00611101">
            <w:pPr>
              <w:jc w:val="center"/>
              <w:rPr>
                <w:rFonts w:ascii="Arial Narrow" w:hAnsi="Arial Narrow"/>
                <w:b/>
                <w:sz w:val="20"/>
              </w:rPr>
            </w:pPr>
            <w:r w:rsidRPr="009A64DA">
              <w:rPr>
                <w:rFonts w:ascii="Arial Narrow" w:hAnsi="Arial Narrow"/>
                <w:b/>
                <w:sz w:val="20"/>
              </w:rPr>
              <w:t>Publication citation</w:t>
            </w:r>
          </w:p>
        </w:tc>
      </w:tr>
      <w:tr w:rsidR="00611101" w:rsidRPr="009A64DA" w:rsidTr="00611101">
        <w:tc>
          <w:tcPr>
            <w:tcW w:w="1498" w:type="dxa"/>
            <w:vMerge w:val="restart"/>
            <w:vAlign w:val="center"/>
          </w:tcPr>
          <w:p w:rsidR="00611101" w:rsidRPr="009A64DA" w:rsidRDefault="00611101" w:rsidP="00611101">
            <w:pPr>
              <w:rPr>
                <w:rFonts w:ascii="Arial Narrow" w:hAnsi="Arial Narrow"/>
                <w:color w:val="000000"/>
                <w:sz w:val="20"/>
              </w:rPr>
            </w:pPr>
            <w:r w:rsidRPr="009A64DA">
              <w:rPr>
                <w:rFonts w:ascii="Arial Narrow" w:hAnsi="Arial Narrow"/>
                <w:color w:val="000000"/>
                <w:sz w:val="20"/>
              </w:rPr>
              <w:t>2-55-52030-726</w:t>
            </w:r>
          </w:p>
          <w:p w:rsidR="00611101" w:rsidRPr="009A64DA" w:rsidRDefault="00611101" w:rsidP="00611101">
            <w:pPr>
              <w:rPr>
                <w:rFonts w:ascii="Arial Narrow" w:hAnsi="Arial Narrow"/>
                <w:color w:val="000000"/>
                <w:sz w:val="20"/>
              </w:rPr>
            </w:pPr>
            <w:r w:rsidRPr="009A64DA">
              <w:rPr>
                <w:rFonts w:ascii="Arial Narrow" w:hAnsi="Arial Narrow"/>
                <w:color w:val="000000"/>
                <w:sz w:val="20"/>
              </w:rPr>
              <w:t>(CLARINET)</w:t>
            </w:r>
          </w:p>
        </w:tc>
        <w:tc>
          <w:tcPr>
            <w:tcW w:w="4871" w:type="dxa"/>
            <w:vAlign w:val="center"/>
          </w:tcPr>
          <w:p w:rsidR="00611101" w:rsidRPr="009A64DA" w:rsidRDefault="00611101" w:rsidP="00611101">
            <w:pPr>
              <w:rPr>
                <w:rFonts w:ascii="Arial Narrow" w:hAnsi="Arial Narrow"/>
                <w:sz w:val="20"/>
              </w:rPr>
            </w:pPr>
            <w:proofErr w:type="spellStart"/>
            <w:r w:rsidRPr="009A64DA">
              <w:rPr>
                <w:rFonts w:ascii="Arial Narrow" w:hAnsi="Arial Narrow"/>
                <w:sz w:val="20"/>
              </w:rPr>
              <w:t>Ipsen</w:t>
            </w:r>
            <w:proofErr w:type="spellEnd"/>
            <w:r w:rsidRPr="009A64DA">
              <w:rPr>
                <w:rFonts w:ascii="Arial Narrow" w:hAnsi="Arial Narrow"/>
                <w:sz w:val="20"/>
              </w:rPr>
              <w:t xml:space="preserve"> Clinical Study Report (2014). Phase III, randomised, double blind, stratified comparative, placebo controlled, parallel group, multinational trial to assess the effect of deep subcutaneous injections of </w:t>
            </w:r>
            <w:proofErr w:type="spellStart"/>
            <w:r w:rsidRPr="009A64DA">
              <w:rPr>
                <w:rFonts w:ascii="Arial Narrow" w:hAnsi="Arial Narrow"/>
                <w:sz w:val="20"/>
              </w:rPr>
              <w:t>lanreotide</w:t>
            </w:r>
            <w:proofErr w:type="spellEnd"/>
            <w:r w:rsidRPr="009A64DA">
              <w:rPr>
                <w:rFonts w:ascii="Arial Narrow" w:hAnsi="Arial Narrow"/>
                <w:sz w:val="20"/>
              </w:rPr>
              <w:t xml:space="preserve"> 120 mg administered every 28 days on tumour progression free survival in patients with non-functioning GEP-NETs.</w:t>
            </w:r>
          </w:p>
        </w:tc>
        <w:tc>
          <w:tcPr>
            <w:tcW w:w="2047" w:type="dxa"/>
            <w:vAlign w:val="center"/>
          </w:tcPr>
          <w:p w:rsidR="00611101" w:rsidRPr="009A64DA" w:rsidRDefault="00611101" w:rsidP="00611101">
            <w:pPr>
              <w:jc w:val="left"/>
              <w:rPr>
                <w:rFonts w:ascii="Arial Narrow" w:hAnsi="Arial Narrow"/>
                <w:sz w:val="20"/>
              </w:rPr>
            </w:pPr>
            <w:r w:rsidRPr="009A64DA">
              <w:rPr>
                <w:rFonts w:ascii="Arial Narrow" w:hAnsi="Arial Narrow"/>
                <w:sz w:val="20"/>
              </w:rPr>
              <w:t>Internal study report</w:t>
            </w:r>
          </w:p>
        </w:tc>
      </w:tr>
      <w:tr w:rsidR="00611101" w:rsidRPr="009A64DA" w:rsidTr="00611101">
        <w:tc>
          <w:tcPr>
            <w:tcW w:w="1498" w:type="dxa"/>
            <w:vMerge/>
            <w:vAlign w:val="center"/>
          </w:tcPr>
          <w:p w:rsidR="00611101" w:rsidRPr="009A64DA" w:rsidRDefault="00611101" w:rsidP="00611101">
            <w:pPr>
              <w:rPr>
                <w:rFonts w:ascii="Arial Narrow" w:hAnsi="Arial Narrow"/>
                <w:color w:val="000000"/>
                <w:sz w:val="20"/>
              </w:rPr>
            </w:pPr>
          </w:p>
        </w:tc>
        <w:tc>
          <w:tcPr>
            <w:tcW w:w="4871" w:type="dxa"/>
            <w:vAlign w:val="center"/>
          </w:tcPr>
          <w:p w:rsidR="00611101" w:rsidRPr="009A64DA" w:rsidRDefault="00611101" w:rsidP="00611101">
            <w:pPr>
              <w:rPr>
                <w:rFonts w:ascii="Arial Narrow" w:hAnsi="Arial Narrow"/>
                <w:sz w:val="20"/>
              </w:rPr>
            </w:pPr>
            <w:proofErr w:type="spellStart"/>
            <w:r w:rsidRPr="009A64DA">
              <w:rPr>
                <w:rFonts w:ascii="Arial Narrow" w:hAnsi="Arial Narrow"/>
                <w:sz w:val="20"/>
              </w:rPr>
              <w:t>Caplin</w:t>
            </w:r>
            <w:proofErr w:type="spellEnd"/>
            <w:r w:rsidRPr="009A64DA">
              <w:rPr>
                <w:rFonts w:ascii="Arial Narrow" w:hAnsi="Arial Narrow"/>
                <w:sz w:val="20"/>
              </w:rPr>
              <w:t xml:space="preserve"> ME et al (2014). </w:t>
            </w:r>
            <w:proofErr w:type="spellStart"/>
            <w:r w:rsidRPr="009A64DA">
              <w:rPr>
                <w:rFonts w:ascii="Arial Narrow" w:hAnsi="Arial Narrow"/>
                <w:sz w:val="20"/>
              </w:rPr>
              <w:t>Lanreotide</w:t>
            </w:r>
            <w:proofErr w:type="spellEnd"/>
            <w:r w:rsidRPr="009A64DA">
              <w:rPr>
                <w:rFonts w:ascii="Arial Narrow" w:hAnsi="Arial Narrow"/>
                <w:sz w:val="20"/>
              </w:rPr>
              <w:t xml:space="preserve"> in Metastatic </w:t>
            </w:r>
            <w:proofErr w:type="spellStart"/>
            <w:r w:rsidRPr="009A64DA">
              <w:rPr>
                <w:rFonts w:ascii="Arial Narrow" w:hAnsi="Arial Narrow"/>
                <w:sz w:val="20"/>
              </w:rPr>
              <w:t>Enteropancreatic</w:t>
            </w:r>
            <w:proofErr w:type="spellEnd"/>
            <w:r w:rsidRPr="009A64DA">
              <w:rPr>
                <w:rFonts w:ascii="Arial Narrow" w:hAnsi="Arial Narrow"/>
                <w:sz w:val="20"/>
              </w:rPr>
              <w:t xml:space="preserve"> Neuroendocrine Tumours </w:t>
            </w:r>
          </w:p>
        </w:tc>
        <w:tc>
          <w:tcPr>
            <w:tcW w:w="2047" w:type="dxa"/>
            <w:vAlign w:val="center"/>
          </w:tcPr>
          <w:p w:rsidR="00611101" w:rsidRPr="009A64DA" w:rsidRDefault="00611101" w:rsidP="00611101">
            <w:pPr>
              <w:jc w:val="left"/>
              <w:rPr>
                <w:rFonts w:ascii="Arial Narrow" w:hAnsi="Arial Narrow"/>
                <w:sz w:val="20"/>
              </w:rPr>
            </w:pPr>
            <w:r w:rsidRPr="009A64DA">
              <w:rPr>
                <w:rFonts w:ascii="Arial Narrow" w:hAnsi="Arial Narrow"/>
                <w:sz w:val="20"/>
              </w:rPr>
              <w:t>New England Journal of Medicine 371:224-233</w:t>
            </w:r>
          </w:p>
        </w:tc>
      </w:tr>
      <w:tr w:rsidR="00611101" w:rsidRPr="009A64DA" w:rsidTr="00611101">
        <w:tc>
          <w:tcPr>
            <w:tcW w:w="1498" w:type="dxa"/>
            <w:vMerge w:val="restart"/>
            <w:vAlign w:val="center"/>
          </w:tcPr>
          <w:p w:rsidR="00611101" w:rsidRPr="009A64DA" w:rsidRDefault="005C0DC1" w:rsidP="00611101">
            <w:pPr>
              <w:rPr>
                <w:rFonts w:ascii="Arial Narrow" w:hAnsi="Arial Narrow"/>
                <w:color w:val="000000"/>
                <w:sz w:val="20"/>
              </w:rPr>
            </w:pPr>
            <w:r w:rsidRPr="009A64DA">
              <w:rPr>
                <w:rFonts w:ascii="Arial Narrow" w:hAnsi="Arial Narrow"/>
                <w:color w:val="000000"/>
                <w:sz w:val="20"/>
              </w:rPr>
              <w:t>2-55-52030-729</w:t>
            </w:r>
          </w:p>
          <w:p w:rsidR="00611101" w:rsidRPr="009A64DA" w:rsidRDefault="00611101" w:rsidP="00611101">
            <w:pPr>
              <w:rPr>
                <w:rFonts w:ascii="Arial Narrow" w:hAnsi="Arial Narrow"/>
                <w:color w:val="000000"/>
                <w:sz w:val="20"/>
              </w:rPr>
            </w:pPr>
            <w:r w:rsidRPr="009A64DA">
              <w:rPr>
                <w:rFonts w:ascii="Arial Narrow" w:hAnsi="Arial Narrow"/>
                <w:color w:val="000000"/>
                <w:sz w:val="20"/>
              </w:rPr>
              <w:t>(CLARINET extension)</w:t>
            </w:r>
          </w:p>
        </w:tc>
        <w:tc>
          <w:tcPr>
            <w:tcW w:w="4871" w:type="dxa"/>
            <w:vAlign w:val="center"/>
          </w:tcPr>
          <w:p w:rsidR="00611101" w:rsidRPr="009A64DA" w:rsidRDefault="00611101" w:rsidP="00611101">
            <w:pPr>
              <w:rPr>
                <w:rFonts w:ascii="Arial Narrow" w:hAnsi="Arial Narrow"/>
                <w:sz w:val="20"/>
              </w:rPr>
            </w:pPr>
            <w:proofErr w:type="spellStart"/>
            <w:r w:rsidRPr="009A64DA">
              <w:rPr>
                <w:rFonts w:ascii="Arial Narrow" w:hAnsi="Arial Narrow"/>
                <w:sz w:val="20"/>
              </w:rPr>
              <w:t>Ipsen</w:t>
            </w:r>
            <w:proofErr w:type="spellEnd"/>
            <w:r w:rsidRPr="009A64DA">
              <w:rPr>
                <w:rFonts w:ascii="Arial Narrow" w:hAnsi="Arial Narrow"/>
                <w:sz w:val="20"/>
              </w:rPr>
              <w:t xml:space="preserve"> Clinical Study Report (2014). Phase III, nonrandomised, multinational, open-label extension trial to assess the long-term safety of </w:t>
            </w:r>
            <w:proofErr w:type="spellStart"/>
            <w:r w:rsidRPr="009A64DA">
              <w:rPr>
                <w:rFonts w:ascii="Arial Narrow" w:hAnsi="Arial Narrow"/>
                <w:sz w:val="20"/>
              </w:rPr>
              <w:t>lanreotide</w:t>
            </w:r>
            <w:proofErr w:type="spellEnd"/>
            <w:r w:rsidRPr="009A64DA">
              <w:rPr>
                <w:rFonts w:ascii="Arial Narrow" w:hAnsi="Arial Narrow"/>
                <w:sz w:val="20"/>
              </w:rPr>
              <w:t xml:space="preserve"> 120mg administered every 28 days in patients with non-functioning GEP-NETs.</w:t>
            </w:r>
          </w:p>
        </w:tc>
        <w:tc>
          <w:tcPr>
            <w:tcW w:w="2047" w:type="dxa"/>
            <w:vAlign w:val="center"/>
          </w:tcPr>
          <w:p w:rsidR="00611101" w:rsidRPr="009A64DA" w:rsidRDefault="00611101" w:rsidP="00611101">
            <w:pPr>
              <w:jc w:val="left"/>
              <w:rPr>
                <w:rFonts w:ascii="Arial Narrow" w:hAnsi="Arial Narrow"/>
                <w:sz w:val="20"/>
              </w:rPr>
            </w:pPr>
            <w:r w:rsidRPr="009A64DA">
              <w:rPr>
                <w:rFonts w:ascii="Arial Narrow" w:hAnsi="Arial Narrow"/>
                <w:sz w:val="20"/>
              </w:rPr>
              <w:t>Internal study report</w:t>
            </w:r>
          </w:p>
        </w:tc>
      </w:tr>
      <w:tr w:rsidR="00611101" w:rsidRPr="009A64DA" w:rsidTr="00611101">
        <w:tc>
          <w:tcPr>
            <w:tcW w:w="1498" w:type="dxa"/>
            <w:vMerge/>
            <w:vAlign w:val="center"/>
          </w:tcPr>
          <w:p w:rsidR="00611101" w:rsidRPr="009A64DA" w:rsidRDefault="00611101" w:rsidP="00611101">
            <w:pPr>
              <w:rPr>
                <w:rFonts w:ascii="Arial Narrow" w:hAnsi="Arial Narrow"/>
                <w:sz w:val="20"/>
              </w:rPr>
            </w:pPr>
          </w:p>
        </w:tc>
        <w:tc>
          <w:tcPr>
            <w:tcW w:w="4871" w:type="dxa"/>
            <w:vAlign w:val="center"/>
          </w:tcPr>
          <w:p w:rsidR="00611101" w:rsidRPr="009A64DA" w:rsidRDefault="00611101" w:rsidP="00611101">
            <w:pPr>
              <w:rPr>
                <w:rFonts w:ascii="Arial Narrow" w:hAnsi="Arial Narrow"/>
                <w:sz w:val="20"/>
              </w:rPr>
            </w:pPr>
            <w:proofErr w:type="spellStart"/>
            <w:r w:rsidRPr="009A64DA">
              <w:rPr>
                <w:rFonts w:ascii="Arial Narrow" w:hAnsi="Arial Narrow"/>
                <w:sz w:val="20"/>
              </w:rPr>
              <w:t>Caplin</w:t>
            </w:r>
            <w:proofErr w:type="spellEnd"/>
            <w:r w:rsidRPr="009A64DA">
              <w:rPr>
                <w:rFonts w:ascii="Arial Narrow" w:hAnsi="Arial Narrow"/>
                <w:sz w:val="20"/>
              </w:rPr>
              <w:t xml:space="preserve"> ME et al (2015). </w:t>
            </w:r>
            <w:proofErr w:type="spellStart"/>
            <w:r w:rsidRPr="009A64DA">
              <w:rPr>
                <w:rFonts w:ascii="Arial Narrow" w:hAnsi="Arial Narrow"/>
                <w:sz w:val="20"/>
              </w:rPr>
              <w:t>Lanreotide</w:t>
            </w:r>
            <w:proofErr w:type="spellEnd"/>
            <w:r w:rsidRPr="009A64DA">
              <w:rPr>
                <w:rFonts w:ascii="Arial Narrow" w:hAnsi="Arial Narrow"/>
                <w:sz w:val="20"/>
              </w:rPr>
              <w:t xml:space="preserve"> </w:t>
            </w:r>
            <w:proofErr w:type="spellStart"/>
            <w:r w:rsidRPr="009A64DA">
              <w:rPr>
                <w:rFonts w:ascii="Arial Narrow" w:hAnsi="Arial Narrow"/>
                <w:sz w:val="20"/>
              </w:rPr>
              <w:t>Autogel</w:t>
            </w:r>
            <w:proofErr w:type="spellEnd"/>
            <w:r w:rsidRPr="009A64DA">
              <w:rPr>
                <w:rFonts w:ascii="Arial Narrow" w:hAnsi="Arial Narrow"/>
                <w:sz w:val="20"/>
              </w:rPr>
              <w:t xml:space="preserve"> 120 mg in patients with progressive </w:t>
            </w:r>
            <w:proofErr w:type="spellStart"/>
            <w:r w:rsidRPr="009A64DA">
              <w:rPr>
                <w:rFonts w:ascii="Arial Narrow" w:hAnsi="Arial Narrow"/>
                <w:sz w:val="20"/>
              </w:rPr>
              <w:t>enteropancreatic</w:t>
            </w:r>
            <w:proofErr w:type="spellEnd"/>
            <w:r w:rsidRPr="009A64DA">
              <w:rPr>
                <w:rFonts w:ascii="Arial Narrow" w:hAnsi="Arial Narrow"/>
                <w:sz w:val="20"/>
              </w:rPr>
              <w:t xml:space="preserve"> neuroendocrine tumours: data from the CLARINET open-label extension study</w:t>
            </w:r>
          </w:p>
        </w:tc>
        <w:tc>
          <w:tcPr>
            <w:tcW w:w="2047" w:type="dxa"/>
            <w:vAlign w:val="center"/>
          </w:tcPr>
          <w:p w:rsidR="00611101" w:rsidRPr="009A64DA" w:rsidRDefault="00611101" w:rsidP="00611101">
            <w:pPr>
              <w:jc w:val="left"/>
              <w:rPr>
                <w:rFonts w:ascii="Arial Narrow" w:hAnsi="Arial Narrow"/>
                <w:sz w:val="20"/>
              </w:rPr>
            </w:pPr>
            <w:r w:rsidRPr="009A64DA">
              <w:rPr>
                <w:rFonts w:ascii="Arial Narrow" w:hAnsi="Arial Narrow"/>
                <w:sz w:val="20"/>
              </w:rPr>
              <w:t>12th Annual ENETS Conference, Barcelona, Spain, March 11–13, 2015 [Abstract only]</w:t>
            </w:r>
          </w:p>
        </w:tc>
      </w:tr>
    </w:tbl>
    <w:p w:rsidR="00611101" w:rsidRPr="009A64DA" w:rsidRDefault="00611101" w:rsidP="00611101">
      <w:pPr>
        <w:widowControl/>
        <w:rPr>
          <w:szCs w:val="22"/>
        </w:rPr>
      </w:pPr>
    </w:p>
    <w:p w:rsidR="00611101" w:rsidRPr="009A64DA" w:rsidRDefault="00611101" w:rsidP="0030238C">
      <w:pPr>
        <w:pStyle w:val="ListParagraph"/>
        <w:widowControl/>
        <w:numPr>
          <w:ilvl w:val="1"/>
          <w:numId w:val="2"/>
        </w:numPr>
        <w:rPr>
          <w:szCs w:val="22"/>
        </w:rPr>
      </w:pPr>
      <w:r w:rsidRPr="009A64DA">
        <w:rPr>
          <w:szCs w:val="22"/>
        </w:rPr>
        <w:t xml:space="preserve">The key features of the included studies are summarised in the table below.  </w:t>
      </w:r>
    </w:p>
    <w:p w:rsidR="00611101" w:rsidRPr="009A64DA" w:rsidRDefault="00611101" w:rsidP="00611101">
      <w:pPr>
        <w:ind w:firstLine="720"/>
        <w:rPr>
          <w:rStyle w:val="CommentReference"/>
        </w:rPr>
      </w:pPr>
      <w:r w:rsidRPr="009A64DA">
        <w:rPr>
          <w:rStyle w:val="CommentReference"/>
        </w:rPr>
        <w:t>Table 2: 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 Key features of the included evidence"/>
      </w:tblPr>
      <w:tblGrid>
        <w:gridCol w:w="1134"/>
        <w:gridCol w:w="552"/>
        <w:gridCol w:w="1749"/>
        <w:gridCol w:w="910"/>
        <w:gridCol w:w="1752"/>
        <w:gridCol w:w="1133"/>
        <w:gridCol w:w="1115"/>
      </w:tblGrid>
      <w:tr w:rsidR="00611101" w:rsidRPr="009A64DA" w:rsidTr="00611101">
        <w:tc>
          <w:tcPr>
            <w:tcW w:w="679" w:type="pct"/>
            <w:shd w:val="clear" w:color="auto" w:fill="auto"/>
            <w:vAlign w:val="center"/>
          </w:tcPr>
          <w:p w:rsidR="00611101" w:rsidRPr="009A64DA" w:rsidRDefault="00611101" w:rsidP="00611101">
            <w:pPr>
              <w:jc w:val="left"/>
              <w:rPr>
                <w:rFonts w:ascii="Arial Narrow" w:hAnsi="Arial Narrow"/>
                <w:b/>
                <w:sz w:val="20"/>
              </w:rPr>
            </w:pPr>
            <w:r w:rsidRPr="009A64DA">
              <w:rPr>
                <w:rFonts w:ascii="Arial Narrow" w:hAnsi="Arial Narrow"/>
                <w:b/>
                <w:sz w:val="20"/>
              </w:rPr>
              <w:t>Trial</w:t>
            </w:r>
          </w:p>
        </w:tc>
        <w:tc>
          <w:tcPr>
            <w:tcW w:w="331" w:type="pct"/>
            <w:shd w:val="clear" w:color="auto" w:fill="auto"/>
            <w:vAlign w:val="center"/>
          </w:tcPr>
          <w:p w:rsidR="00611101" w:rsidRPr="009A64DA" w:rsidRDefault="00611101" w:rsidP="00611101">
            <w:pPr>
              <w:jc w:val="center"/>
              <w:rPr>
                <w:rFonts w:ascii="Arial Narrow" w:hAnsi="Arial Narrow"/>
                <w:b/>
                <w:sz w:val="20"/>
              </w:rPr>
            </w:pPr>
            <w:r w:rsidRPr="009A64DA">
              <w:rPr>
                <w:rFonts w:ascii="Arial Narrow" w:hAnsi="Arial Narrow"/>
                <w:b/>
                <w:sz w:val="20"/>
              </w:rPr>
              <w:t>N</w:t>
            </w:r>
          </w:p>
        </w:tc>
        <w:tc>
          <w:tcPr>
            <w:tcW w:w="1048" w:type="pct"/>
            <w:shd w:val="clear" w:color="auto" w:fill="auto"/>
            <w:vAlign w:val="center"/>
          </w:tcPr>
          <w:p w:rsidR="00611101" w:rsidRPr="009A64DA" w:rsidRDefault="00611101" w:rsidP="00611101">
            <w:pPr>
              <w:jc w:val="center"/>
              <w:rPr>
                <w:rFonts w:ascii="Arial Narrow" w:hAnsi="Arial Narrow"/>
                <w:b/>
                <w:sz w:val="20"/>
              </w:rPr>
            </w:pPr>
            <w:r w:rsidRPr="009A64DA">
              <w:rPr>
                <w:rFonts w:ascii="Arial Narrow" w:hAnsi="Arial Narrow"/>
                <w:b/>
                <w:sz w:val="20"/>
              </w:rPr>
              <w:t>Design/ duration</w:t>
            </w:r>
          </w:p>
        </w:tc>
        <w:tc>
          <w:tcPr>
            <w:tcW w:w="545" w:type="pct"/>
            <w:shd w:val="clear" w:color="auto" w:fill="auto"/>
            <w:vAlign w:val="center"/>
          </w:tcPr>
          <w:p w:rsidR="00611101" w:rsidRPr="009A64DA" w:rsidRDefault="00611101" w:rsidP="00611101">
            <w:pPr>
              <w:jc w:val="center"/>
              <w:rPr>
                <w:rFonts w:ascii="Arial Narrow" w:hAnsi="Arial Narrow"/>
                <w:b/>
                <w:sz w:val="20"/>
              </w:rPr>
            </w:pPr>
            <w:r w:rsidRPr="009A64DA">
              <w:rPr>
                <w:rFonts w:ascii="Arial Narrow" w:hAnsi="Arial Narrow"/>
                <w:b/>
                <w:sz w:val="20"/>
              </w:rPr>
              <w:t>Risk of bias</w:t>
            </w:r>
          </w:p>
        </w:tc>
        <w:tc>
          <w:tcPr>
            <w:tcW w:w="1050" w:type="pct"/>
            <w:shd w:val="clear" w:color="auto" w:fill="auto"/>
            <w:vAlign w:val="center"/>
          </w:tcPr>
          <w:p w:rsidR="00611101" w:rsidRPr="009A64DA" w:rsidRDefault="00611101" w:rsidP="00611101">
            <w:pPr>
              <w:jc w:val="center"/>
              <w:rPr>
                <w:rFonts w:ascii="Arial Narrow" w:hAnsi="Arial Narrow"/>
                <w:b/>
                <w:sz w:val="20"/>
              </w:rPr>
            </w:pPr>
            <w:r w:rsidRPr="009A64DA">
              <w:rPr>
                <w:rFonts w:ascii="Arial Narrow" w:hAnsi="Arial Narrow"/>
                <w:b/>
                <w:sz w:val="20"/>
              </w:rPr>
              <w:t>Patient population</w:t>
            </w:r>
          </w:p>
        </w:tc>
        <w:tc>
          <w:tcPr>
            <w:tcW w:w="679" w:type="pct"/>
            <w:shd w:val="clear" w:color="auto" w:fill="auto"/>
            <w:vAlign w:val="center"/>
          </w:tcPr>
          <w:p w:rsidR="00611101" w:rsidRPr="009A64DA" w:rsidRDefault="00611101" w:rsidP="00611101">
            <w:pPr>
              <w:jc w:val="center"/>
              <w:rPr>
                <w:rFonts w:ascii="Arial Narrow" w:hAnsi="Arial Narrow"/>
                <w:b/>
                <w:sz w:val="20"/>
              </w:rPr>
            </w:pPr>
            <w:r w:rsidRPr="009A64DA">
              <w:rPr>
                <w:rFonts w:ascii="Arial Narrow" w:hAnsi="Arial Narrow"/>
                <w:b/>
                <w:sz w:val="20"/>
              </w:rPr>
              <w:t>Outcomes</w:t>
            </w:r>
          </w:p>
        </w:tc>
        <w:tc>
          <w:tcPr>
            <w:tcW w:w="668" w:type="pct"/>
            <w:shd w:val="clear" w:color="auto" w:fill="auto"/>
            <w:vAlign w:val="center"/>
          </w:tcPr>
          <w:p w:rsidR="00611101" w:rsidRPr="009A64DA" w:rsidRDefault="00611101" w:rsidP="00611101">
            <w:pPr>
              <w:jc w:val="center"/>
              <w:rPr>
                <w:rFonts w:ascii="Arial Narrow" w:hAnsi="Arial Narrow"/>
                <w:b/>
                <w:sz w:val="20"/>
              </w:rPr>
            </w:pPr>
            <w:r w:rsidRPr="009A64DA">
              <w:rPr>
                <w:rFonts w:ascii="Arial Narrow" w:hAnsi="Arial Narrow"/>
                <w:b/>
                <w:sz w:val="20"/>
              </w:rPr>
              <w:t>Use in modelled evaluation</w:t>
            </w:r>
          </w:p>
        </w:tc>
      </w:tr>
      <w:tr w:rsidR="00611101" w:rsidRPr="009A64DA" w:rsidTr="00611101">
        <w:tc>
          <w:tcPr>
            <w:tcW w:w="5000" w:type="pct"/>
            <w:gridSpan w:val="7"/>
            <w:shd w:val="clear" w:color="auto" w:fill="auto"/>
            <w:vAlign w:val="center"/>
          </w:tcPr>
          <w:p w:rsidR="00611101" w:rsidRPr="009A64DA" w:rsidRDefault="00611101" w:rsidP="00611101">
            <w:pPr>
              <w:jc w:val="left"/>
              <w:rPr>
                <w:rFonts w:ascii="Arial Narrow" w:hAnsi="Arial Narrow"/>
                <w:b/>
                <w:sz w:val="20"/>
              </w:rPr>
            </w:pPr>
            <w:proofErr w:type="spellStart"/>
            <w:r w:rsidRPr="009A64DA">
              <w:rPr>
                <w:rFonts w:ascii="Arial Narrow" w:hAnsi="Arial Narrow"/>
                <w:b/>
                <w:sz w:val="20"/>
              </w:rPr>
              <w:t>Lanreotide</w:t>
            </w:r>
            <w:proofErr w:type="spellEnd"/>
            <w:r w:rsidRPr="009A64DA">
              <w:rPr>
                <w:rFonts w:ascii="Arial Narrow" w:hAnsi="Arial Narrow"/>
                <w:b/>
                <w:sz w:val="20"/>
              </w:rPr>
              <w:t xml:space="preserve"> vs. placebo</w:t>
            </w:r>
          </w:p>
        </w:tc>
      </w:tr>
      <w:tr w:rsidR="00611101" w:rsidRPr="009A64DA" w:rsidTr="00611101">
        <w:tc>
          <w:tcPr>
            <w:tcW w:w="679" w:type="pct"/>
            <w:shd w:val="clear" w:color="auto" w:fill="auto"/>
            <w:vAlign w:val="center"/>
          </w:tcPr>
          <w:p w:rsidR="00611101" w:rsidRPr="009A64DA" w:rsidRDefault="00611101" w:rsidP="00611101">
            <w:pPr>
              <w:jc w:val="left"/>
              <w:rPr>
                <w:rFonts w:ascii="Arial Narrow" w:hAnsi="Arial Narrow"/>
                <w:sz w:val="20"/>
              </w:rPr>
            </w:pPr>
            <w:r w:rsidRPr="009A64DA">
              <w:rPr>
                <w:rFonts w:ascii="Arial Narrow" w:hAnsi="Arial Narrow"/>
                <w:sz w:val="20"/>
              </w:rPr>
              <w:t>CLARINET</w:t>
            </w:r>
          </w:p>
        </w:tc>
        <w:tc>
          <w:tcPr>
            <w:tcW w:w="331" w:type="pct"/>
            <w:shd w:val="clear" w:color="auto" w:fill="auto"/>
            <w:vAlign w:val="center"/>
          </w:tcPr>
          <w:p w:rsidR="00611101" w:rsidRPr="009A64DA" w:rsidRDefault="00611101" w:rsidP="00611101">
            <w:pPr>
              <w:jc w:val="center"/>
              <w:rPr>
                <w:rFonts w:ascii="Arial Narrow" w:hAnsi="Arial Narrow"/>
                <w:sz w:val="20"/>
              </w:rPr>
            </w:pPr>
            <w:r w:rsidRPr="009A64DA">
              <w:rPr>
                <w:rFonts w:ascii="Arial Narrow" w:hAnsi="Arial Narrow"/>
                <w:sz w:val="20"/>
              </w:rPr>
              <w:t>204</w:t>
            </w:r>
          </w:p>
        </w:tc>
        <w:tc>
          <w:tcPr>
            <w:tcW w:w="1048" w:type="pct"/>
            <w:shd w:val="clear" w:color="auto" w:fill="auto"/>
            <w:vAlign w:val="center"/>
          </w:tcPr>
          <w:p w:rsidR="00611101" w:rsidRPr="009A64DA" w:rsidRDefault="00611101" w:rsidP="00611101">
            <w:pPr>
              <w:jc w:val="center"/>
              <w:rPr>
                <w:rFonts w:ascii="Arial Narrow" w:hAnsi="Arial Narrow"/>
                <w:sz w:val="20"/>
              </w:rPr>
            </w:pPr>
            <w:r w:rsidRPr="009A64DA">
              <w:rPr>
                <w:rFonts w:ascii="Arial Narrow" w:hAnsi="Arial Narrow"/>
                <w:sz w:val="20"/>
              </w:rPr>
              <w:t>MC, R, DB, PG</w:t>
            </w:r>
          </w:p>
          <w:p w:rsidR="00611101" w:rsidRPr="009A64DA" w:rsidRDefault="00611101" w:rsidP="00611101">
            <w:pPr>
              <w:jc w:val="center"/>
              <w:rPr>
                <w:rFonts w:ascii="Arial Narrow" w:hAnsi="Arial Narrow"/>
                <w:sz w:val="20"/>
              </w:rPr>
            </w:pPr>
            <w:r w:rsidRPr="009A64DA">
              <w:rPr>
                <w:rFonts w:ascii="Arial Narrow" w:hAnsi="Arial Narrow"/>
                <w:sz w:val="20"/>
              </w:rPr>
              <w:t>96 weeks + extension</w:t>
            </w:r>
          </w:p>
        </w:tc>
        <w:tc>
          <w:tcPr>
            <w:tcW w:w="545" w:type="pct"/>
            <w:shd w:val="clear" w:color="auto" w:fill="auto"/>
            <w:vAlign w:val="center"/>
          </w:tcPr>
          <w:p w:rsidR="00611101" w:rsidRPr="009A64DA" w:rsidRDefault="00611101" w:rsidP="00611101">
            <w:pPr>
              <w:jc w:val="center"/>
              <w:rPr>
                <w:rFonts w:ascii="Arial Narrow" w:hAnsi="Arial Narrow"/>
                <w:sz w:val="20"/>
              </w:rPr>
            </w:pPr>
            <w:r w:rsidRPr="009A64DA">
              <w:rPr>
                <w:rFonts w:ascii="Arial Narrow" w:hAnsi="Arial Narrow"/>
                <w:sz w:val="20"/>
              </w:rPr>
              <w:t>Low</w:t>
            </w:r>
          </w:p>
        </w:tc>
        <w:tc>
          <w:tcPr>
            <w:tcW w:w="1050" w:type="pct"/>
            <w:shd w:val="clear" w:color="auto" w:fill="auto"/>
            <w:vAlign w:val="center"/>
          </w:tcPr>
          <w:p w:rsidR="00611101" w:rsidRPr="009A64DA" w:rsidRDefault="00611101" w:rsidP="00611101">
            <w:pPr>
              <w:jc w:val="center"/>
              <w:rPr>
                <w:rFonts w:ascii="Arial Narrow" w:hAnsi="Arial Narrow"/>
                <w:sz w:val="20"/>
              </w:rPr>
            </w:pPr>
            <w:r w:rsidRPr="009A64DA">
              <w:rPr>
                <w:rFonts w:ascii="Arial Narrow" w:hAnsi="Arial Narrow"/>
                <w:sz w:val="20"/>
              </w:rPr>
              <w:t>Stable non-functional GEP-NETs</w:t>
            </w:r>
          </w:p>
        </w:tc>
        <w:tc>
          <w:tcPr>
            <w:tcW w:w="679" w:type="pct"/>
            <w:shd w:val="clear" w:color="auto" w:fill="auto"/>
            <w:vAlign w:val="center"/>
          </w:tcPr>
          <w:p w:rsidR="00611101" w:rsidRPr="009A64DA" w:rsidRDefault="00611101" w:rsidP="00611101">
            <w:pPr>
              <w:jc w:val="center"/>
              <w:rPr>
                <w:rFonts w:ascii="Arial Narrow" w:hAnsi="Arial Narrow"/>
                <w:sz w:val="20"/>
              </w:rPr>
            </w:pPr>
            <w:r w:rsidRPr="009A64DA">
              <w:rPr>
                <w:rFonts w:ascii="Arial Narrow" w:hAnsi="Arial Narrow"/>
                <w:sz w:val="20"/>
              </w:rPr>
              <w:t>PFS, OS</w:t>
            </w:r>
          </w:p>
        </w:tc>
        <w:tc>
          <w:tcPr>
            <w:tcW w:w="668" w:type="pct"/>
            <w:shd w:val="clear" w:color="auto" w:fill="auto"/>
            <w:vAlign w:val="center"/>
          </w:tcPr>
          <w:p w:rsidR="00611101" w:rsidRPr="009A64DA" w:rsidRDefault="00611101" w:rsidP="00611101">
            <w:pPr>
              <w:jc w:val="center"/>
              <w:rPr>
                <w:rFonts w:ascii="Arial Narrow" w:hAnsi="Arial Narrow"/>
                <w:sz w:val="20"/>
              </w:rPr>
            </w:pPr>
            <w:r w:rsidRPr="009A64DA">
              <w:rPr>
                <w:rFonts w:ascii="Arial Narrow" w:hAnsi="Arial Narrow"/>
                <w:sz w:val="20"/>
              </w:rPr>
              <w:t>Extrapolated survival gain</w:t>
            </w:r>
          </w:p>
        </w:tc>
      </w:tr>
    </w:tbl>
    <w:p w:rsidR="00611101" w:rsidRPr="009A64DA" w:rsidRDefault="00611101" w:rsidP="00611101">
      <w:pPr>
        <w:pStyle w:val="TableFooter"/>
        <w:ind w:left="720"/>
      </w:pPr>
      <w:r w:rsidRPr="009A64DA">
        <w:t>Abbreviations: DB, double blind; MC, multi-centre; PG, parallel-group; OS, overall survival; PFS, progression</w:t>
      </w:r>
      <w:r w:rsidR="00396C30">
        <w:t xml:space="preserve"> </w:t>
      </w:r>
      <w:r w:rsidRPr="009A64DA">
        <w:t>free survival; R, randomised.</w:t>
      </w:r>
    </w:p>
    <w:p w:rsidR="00611101" w:rsidRPr="009A64DA" w:rsidRDefault="00611101" w:rsidP="00611101"/>
    <w:p w:rsidR="00611101" w:rsidRPr="009A64DA" w:rsidRDefault="00611101" w:rsidP="00611101">
      <w:pPr>
        <w:ind w:left="720"/>
      </w:pPr>
      <w:r w:rsidRPr="009A64DA">
        <w:t xml:space="preserve">The trial population of </w:t>
      </w:r>
      <w:r w:rsidR="0021776F" w:rsidRPr="009A64DA">
        <w:t xml:space="preserve">patients with </w:t>
      </w:r>
      <w:r w:rsidRPr="009A64DA">
        <w:t>stable non-functional GEP-NETs represent</w:t>
      </w:r>
      <w:r w:rsidR="00175479" w:rsidRPr="009A64DA">
        <w:t>ed</w:t>
      </w:r>
      <w:r w:rsidRPr="009A64DA">
        <w:t xml:space="preserve"> only a subset of the patient population who would be eligible for </w:t>
      </w:r>
      <w:proofErr w:type="spellStart"/>
      <w:r w:rsidRPr="009A64DA">
        <w:t>lanreotide</w:t>
      </w:r>
      <w:proofErr w:type="spellEnd"/>
      <w:r w:rsidRPr="009A64DA">
        <w:t xml:space="preserve"> treatment under the proposed PBS restriction. It </w:t>
      </w:r>
      <w:r w:rsidR="0021776F" w:rsidRPr="009A64DA">
        <w:t>wa</w:t>
      </w:r>
      <w:r w:rsidRPr="009A64DA">
        <w:t>s unclear whether the results of the</w:t>
      </w:r>
      <w:r w:rsidRPr="009A64DA">
        <w:rPr>
          <w:i/>
        </w:rPr>
        <w:t xml:space="preserve"> </w:t>
      </w:r>
      <w:r w:rsidRPr="009A64DA">
        <w:t>CLARINET trial can be extrapolated to the broader PBS population (particularly patients with functional GEP-NETs and patients with progressive GEP-NETs</w:t>
      </w:r>
      <w:r w:rsidRPr="009A64DA">
        <w:rPr>
          <w:i/>
        </w:rPr>
        <w:t>).</w:t>
      </w:r>
      <w:r w:rsidR="00261BE2" w:rsidRPr="009A64DA">
        <w:rPr>
          <w:i/>
        </w:rPr>
        <w:t xml:space="preserve"> </w:t>
      </w:r>
    </w:p>
    <w:p w:rsidR="00277B3F" w:rsidRPr="009A64DA" w:rsidRDefault="00277B3F" w:rsidP="00611101">
      <w:pPr>
        <w:ind w:left="720"/>
      </w:pPr>
    </w:p>
    <w:p w:rsidR="00611101" w:rsidRPr="009A64DA" w:rsidRDefault="00611101" w:rsidP="00611101">
      <w:pPr>
        <w:ind w:left="720"/>
      </w:pPr>
      <w:r w:rsidRPr="009A64DA">
        <w:t xml:space="preserve">The trial included a mixed population of </w:t>
      </w:r>
      <w:r w:rsidR="0021776F" w:rsidRPr="009A64DA">
        <w:t xml:space="preserve">patients with </w:t>
      </w:r>
      <w:r w:rsidRPr="009A64DA">
        <w:t xml:space="preserve">non-functional GEP-NETs with varying prognoses. Differences in prognosis between the trial population and PBS population </w:t>
      </w:r>
      <w:r w:rsidR="00480781" w:rsidRPr="009A64DA">
        <w:t>may</w:t>
      </w:r>
      <w:r w:rsidRPr="009A64DA">
        <w:t xml:space="preserve"> translate into differences in absolute </w:t>
      </w:r>
      <w:r w:rsidR="009A64DA" w:rsidRPr="009A64DA">
        <w:t>survival that</w:t>
      </w:r>
      <w:r w:rsidRPr="009A64DA">
        <w:t xml:space="preserve"> will affect the magnitude of benefit captured in the economic model.</w:t>
      </w:r>
      <w:r w:rsidR="00480781" w:rsidRPr="009A64DA">
        <w:t xml:space="preserve"> The ESC considered that the size of th</w:t>
      </w:r>
      <w:r w:rsidR="005C0DC1" w:rsidRPr="009A64DA">
        <w:t>e</w:t>
      </w:r>
      <w:r w:rsidR="00480781" w:rsidRPr="009A64DA">
        <w:t xml:space="preserve"> difference</w:t>
      </w:r>
      <w:r w:rsidR="005C0DC1" w:rsidRPr="009A64DA">
        <w:t>s</w:t>
      </w:r>
      <w:r w:rsidR="00480781" w:rsidRPr="009A64DA">
        <w:t xml:space="preserve"> in absolute survival gain and their likely direction are difficult to estimate.</w:t>
      </w:r>
    </w:p>
    <w:p w:rsidR="00611101" w:rsidRPr="009A64DA" w:rsidRDefault="00611101" w:rsidP="00611101">
      <w:pPr>
        <w:rPr>
          <w:szCs w:val="22"/>
        </w:rPr>
      </w:pPr>
    </w:p>
    <w:p w:rsidR="00611101" w:rsidRPr="009A64DA" w:rsidRDefault="00611101" w:rsidP="00E975B1">
      <w:pPr>
        <w:pStyle w:val="Heading2"/>
      </w:pPr>
      <w:bookmarkStart w:id="9" w:name="_Toc430010750"/>
      <w:r w:rsidRPr="009A64DA">
        <w:t>Comparative effectiveness</w:t>
      </w:r>
      <w:bookmarkEnd w:id="9"/>
    </w:p>
    <w:p w:rsidR="00B9436C" w:rsidRPr="009A64DA" w:rsidRDefault="00B9436C" w:rsidP="00B9436C">
      <w:pPr>
        <w:pStyle w:val="ListParagraph"/>
        <w:widowControl/>
        <w:rPr>
          <w:szCs w:val="22"/>
        </w:rPr>
      </w:pPr>
    </w:p>
    <w:p w:rsidR="00611101" w:rsidRPr="009A64DA" w:rsidRDefault="00611101" w:rsidP="0030238C">
      <w:pPr>
        <w:pStyle w:val="ListParagraph"/>
        <w:widowControl/>
        <w:numPr>
          <w:ilvl w:val="1"/>
          <w:numId w:val="2"/>
        </w:numPr>
        <w:rPr>
          <w:szCs w:val="22"/>
        </w:rPr>
      </w:pPr>
      <w:r w:rsidRPr="009A64DA">
        <w:rPr>
          <w:szCs w:val="22"/>
        </w:rPr>
        <w:t>Progression</w:t>
      </w:r>
      <w:r w:rsidR="00396C30">
        <w:rPr>
          <w:szCs w:val="22"/>
        </w:rPr>
        <w:t xml:space="preserve"> </w:t>
      </w:r>
      <w:r w:rsidRPr="009A64DA">
        <w:rPr>
          <w:szCs w:val="22"/>
        </w:rPr>
        <w:t>free survival</w:t>
      </w:r>
      <w:r w:rsidR="00BE02BE" w:rsidRPr="009A64DA">
        <w:rPr>
          <w:szCs w:val="22"/>
        </w:rPr>
        <w:t xml:space="preserve"> (PFS)</w:t>
      </w:r>
      <w:r w:rsidRPr="009A64DA">
        <w:rPr>
          <w:szCs w:val="22"/>
        </w:rPr>
        <w:t xml:space="preserve"> (primary outcome) with </w:t>
      </w:r>
      <w:proofErr w:type="spellStart"/>
      <w:r w:rsidRPr="009A64DA">
        <w:rPr>
          <w:szCs w:val="22"/>
        </w:rPr>
        <w:t>lanreotide</w:t>
      </w:r>
      <w:proofErr w:type="spellEnd"/>
      <w:r w:rsidRPr="009A64DA">
        <w:rPr>
          <w:szCs w:val="22"/>
        </w:rPr>
        <w:t xml:space="preserve"> and placebo is summarised in Figure </w:t>
      </w:r>
      <w:r w:rsidR="0021776F" w:rsidRPr="009A64DA">
        <w:rPr>
          <w:szCs w:val="22"/>
        </w:rPr>
        <w:t xml:space="preserve">1 </w:t>
      </w:r>
      <w:r w:rsidRPr="009A64DA">
        <w:rPr>
          <w:szCs w:val="22"/>
        </w:rPr>
        <w:t>below.</w:t>
      </w:r>
    </w:p>
    <w:p w:rsidR="00360C61" w:rsidRPr="009A64DA" w:rsidRDefault="00360C61" w:rsidP="00360C61">
      <w:pPr>
        <w:pStyle w:val="ListParagraph"/>
        <w:widowControl/>
        <w:rPr>
          <w:szCs w:val="22"/>
        </w:rPr>
      </w:pPr>
    </w:p>
    <w:p w:rsidR="00611101" w:rsidRPr="009A64DA" w:rsidRDefault="00611101" w:rsidP="00B23481">
      <w:pPr>
        <w:ind w:firstLine="720"/>
        <w:jc w:val="left"/>
        <w:rPr>
          <w:rStyle w:val="CommentReference"/>
        </w:rPr>
      </w:pPr>
      <w:r w:rsidRPr="009A64DA">
        <w:rPr>
          <w:rStyle w:val="CommentReference"/>
          <w:noProof/>
          <w:lang w:eastAsia="en-AU"/>
        </w:rPr>
        <w:lastRenderedPageBreak/>
        <w:drawing>
          <wp:inline distT="0" distB="0" distL="0" distR="0" wp14:anchorId="4DE63C04" wp14:editId="1499345B">
            <wp:extent cx="5249543" cy="2504374"/>
            <wp:effectExtent l="0" t="0" r="8890" b="0"/>
            <wp:docPr id="3" name="Picture 3" title="Figure 1: Kaplan-Meier curves of progression free survival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49543" cy="2504374"/>
                    </a:xfrm>
                    <a:prstGeom prst="rect">
                      <a:avLst/>
                    </a:prstGeom>
                  </pic:spPr>
                </pic:pic>
              </a:graphicData>
            </a:graphic>
          </wp:inline>
        </w:drawing>
      </w:r>
    </w:p>
    <w:p w:rsidR="00611101" w:rsidRPr="009A64DA" w:rsidRDefault="00FA05D9" w:rsidP="0021776F">
      <w:pPr>
        <w:ind w:firstLine="720"/>
        <w:rPr>
          <w:rFonts w:ascii="Arial Narrow" w:hAnsi="Arial Narrow"/>
          <w:b/>
          <w:sz w:val="20"/>
          <w:szCs w:val="16"/>
        </w:rPr>
      </w:pPr>
      <w:r w:rsidRPr="009A64DA">
        <w:rPr>
          <w:rStyle w:val="CommentReference"/>
        </w:rPr>
        <w:t>Figure 1: Kaplan-Meier curves of progression free survival (ITT population)</w:t>
      </w:r>
    </w:p>
    <w:p w:rsidR="00611101" w:rsidRPr="009A64DA" w:rsidRDefault="00611101" w:rsidP="00611101">
      <w:pPr>
        <w:pStyle w:val="ListParagraph"/>
        <w:widowControl/>
        <w:rPr>
          <w:szCs w:val="22"/>
        </w:rPr>
      </w:pPr>
    </w:p>
    <w:p w:rsidR="00611101" w:rsidRPr="009A64DA" w:rsidRDefault="00611101" w:rsidP="0030238C">
      <w:pPr>
        <w:pStyle w:val="ListParagraph"/>
        <w:widowControl/>
        <w:numPr>
          <w:ilvl w:val="1"/>
          <w:numId w:val="2"/>
        </w:numPr>
        <w:rPr>
          <w:szCs w:val="22"/>
        </w:rPr>
      </w:pPr>
      <w:r w:rsidRPr="009A64DA">
        <w:rPr>
          <w:szCs w:val="22"/>
        </w:rPr>
        <w:t xml:space="preserve">Treatment with </w:t>
      </w:r>
      <w:proofErr w:type="spellStart"/>
      <w:r w:rsidRPr="009A64DA">
        <w:rPr>
          <w:szCs w:val="22"/>
        </w:rPr>
        <w:t>lanreotide</w:t>
      </w:r>
      <w:proofErr w:type="spellEnd"/>
      <w:r w:rsidRPr="009A64DA">
        <w:rPr>
          <w:szCs w:val="22"/>
        </w:rPr>
        <w:t xml:space="preserve"> was associated with a statistically significant increase in progression free survival compared </w:t>
      </w:r>
      <w:r w:rsidR="00F76FD3">
        <w:rPr>
          <w:szCs w:val="22"/>
        </w:rPr>
        <w:t>with</w:t>
      </w:r>
      <w:r w:rsidRPr="009A64DA">
        <w:rPr>
          <w:szCs w:val="22"/>
        </w:rPr>
        <w:t xml:space="preserve"> placebo (median survival not reached vs. 72 weeks with placebo; HR 0.47, 95% CI 0.30, 0.73).</w:t>
      </w:r>
    </w:p>
    <w:p w:rsidR="005C0DC1" w:rsidRPr="009A64DA" w:rsidRDefault="005C0DC1" w:rsidP="005C0DC1">
      <w:pPr>
        <w:pStyle w:val="ListParagraph"/>
        <w:widowControl/>
        <w:rPr>
          <w:szCs w:val="22"/>
        </w:rPr>
      </w:pPr>
    </w:p>
    <w:p w:rsidR="00E256FB" w:rsidRPr="009A64DA" w:rsidRDefault="00E256FB" w:rsidP="0030238C">
      <w:pPr>
        <w:pStyle w:val="ListParagraph"/>
        <w:widowControl/>
        <w:numPr>
          <w:ilvl w:val="1"/>
          <w:numId w:val="2"/>
        </w:numPr>
        <w:rPr>
          <w:szCs w:val="22"/>
        </w:rPr>
      </w:pPr>
      <w:r w:rsidRPr="009A64DA">
        <w:rPr>
          <w:szCs w:val="22"/>
        </w:rPr>
        <w:t>Tumour progression was assessed using the Response Evaluation Criteria in Solid Tumours (RECIST) criteria with a progression event defined as a &gt; 20% increase in tumour size from baseline or the appearance of new tumours on repeat imaging. The ESC agreed with the Commentary that the patient relevance of this outcome was unclear as disease progression may represent a significant milestone in terms of disease management, but a progression event assessed by imaging may not necessarily be accompanied with the development of further symptoms.</w:t>
      </w:r>
    </w:p>
    <w:p w:rsidR="00E256FB" w:rsidRPr="009A64DA" w:rsidRDefault="00E256FB" w:rsidP="00E256FB">
      <w:pPr>
        <w:widowControl/>
        <w:jc w:val="left"/>
        <w:rPr>
          <w:rStyle w:val="CommentReference"/>
        </w:rPr>
      </w:pPr>
    </w:p>
    <w:p w:rsidR="005C0DC1" w:rsidRPr="000E170C" w:rsidRDefault="005C0DC1" w:rsidP="0030238C">
      <w:pPr>
        <w:pStyle w:val="ListParagraph"/>
        <w:numPr>
          <w:ilvl w:val="1"/>
          <w:numId w:val="2"/>
        </w:numPr>
        <w:rPr>
          <w:szCs w:val="22"/>
        </w:rPr>
      </w:pPr>
      <w:r w:rsidRPr="009A64DA">
        <w:rPr>
          <w:szCs w:val="22"/>
        </w:rPr>
        <w:t xml:space="preserve">The </w:t>
      </w:r>
      <w:r w:rsidR="00E256FB" w:rsidRPr="009A64DA">
        <w:rPr>
          <w:szCs w:val="22"/>
        </w:rPr>
        <w:t>PSCR (</w:t>
      </w:r>
      <w:r w:rsidRPr="009A64DA">
        <w:rPr>
          <w:szCs w:val="22"/>
        </w:rPr>
        <w:t xml:space="preserve">p.2) highlighted that Study 729 allowed for patients in the placebo arm with disease progression to receive </w:t>
      </w:r>
      <w:proofErr w:type="spellStart"/>
      <w:r w:rsidRPr="009A64DA">
        <w:rPr>
          <w:szCs w:val="22"/>
        </w:rPr>
        <w:t>lanreotide</w:t>
      </w:r>
      <w:proofErr w:type="spellEnd"/>
      <w:r w:rsidRPr="009A64DA">
        <w:rPr>
          <w:szCs w:val="22"/>
        </w:rPr>
        <w:t xml:space="preserve"> and median time to further progression was 14 months (95% CI: 10.1, NR). </w:t>
      </w:r>
      <w:r w:rsidR="00E256FB" w:rsidRPr="009A64DA">
        <w:rPr>
          <w:szCs w:val="22"/>
        </w:rPr>
        <w:t xml:space="preserve">The </w:t>
      </w:r>
      <w:r w:rsidRPr="009A64DA">
        <w:rPr>
          <w:szCs w:val="22"/>
        </w:rPr>
        <w:t>ESC noted that there was no control arm to</w:t>
      </w:r>
      <w:r w:rsidRPr="009A64DA">
        <w:rPr>
          <w:i/>
          <w:szCs w:val="22"/>
        </w:rPr>
        <w:t xml:space="preserve"> </w:t>
      </w:r>
      <w:r w:rsidRPr="009A64DA">
        <w:rPr>
          <w:szCs w:val="22"/>
        </w:rPr>
        <w:t xml:space="preserve">determine extent of benefit, there is a risk of selection bias for the patients that switched to </w:t>
      </w:r>
      <w:proofErr w:type="spellStart"/>
      <w:r w:rsidRPr="009A64DA">
        <w:rPr>
          <w:szCs w:val="22"/>
        </w:rPr>
        <w:t>lanreotide</w:t>
      </w:r>
      <w:proofErr w:type="spellEnd"/>
      <w:r w:rsidRPr="009A64DA">
        <w:rPr>
          <w:szCs w:val="22"/>
        </w:rPr>
        <w:t xml:space="preserve"> versus those that didn’t, and the size of </w:t>
      </w:r>
      <w:r w:rsidR="00142280" w:rsidRPr="009A64DA">
        <w:rPr>
          <w:szCs w:val="22"/>
        </w:rPr>
        <w:t xml:space="preserve">any </w:t>
      </w:r>
      <w:r w:rsidRPr="009A64DA">
        <w:rPr>
          <w:szCs w:val="22"/>
        </w:rPr>
        <w:t xml:space="preserve">benefit is likely significantly reduced compared </w:t>
      </w:r>
      <w:r w:rsidR="00F76FD3">
        <w:rPr>
          <w:szCs w:val="22"/>
        </w:rPr>
        <w:t>with</w:t>
      </w:r>
      <w:r w:rsidRPr="009A64DA">
        <w:rPr>
          <w:szCs w:val="22"/>
        </w:rPr>
        <w:t xml:space="preserve"> individuals without prior progression (14 months vs 22 months). If the size of the progressed population accessing </w:t>
      </w:r>
      <w:proofErr w:type="spellStart"/>
      <w:r w:rsidRPr="009A64DA">
        <w:rPr>
          <w:szCs w:val="22"/>
        </w:rPr>
        <w:t>lanreotide</w:t>
      </w:r>
      <w:proofErr w:type="spellEnd"/>
      <w:r w:rsidRPr="009A64DA">
        <w:rPr>
          <w:szCs w:val="22"/>
        </w:rPr>
        <w:t xml:space="preserve"> was significant then it is likely the modelled incremental benefit is biased in favour of </w:t>
      </w:r>
      <w:proofErr w:type="spellStart"/>
      <w:r w:rsidRPr="009A64DA">
        <w:rPr>
          <w:szCs w:val="22"/>
        </w:rPr>
        <w:t>lanreotide</w:t>
      </w:r>
      <w:proofErr w:type="spellEnd"/>
      <w:r w:rsidRPr="000E170C">
        <w:rPr>
          <w:szCs w:val="22"/>
        </w:rPr>
        <w:t xml:space="preserve">. </w:t>
      </w:r>
    </w:p>
    <w:p w:rsidR="00611101" w:rsidRPr="009A64DA" w:rsidRDefault="00611101" w:rsidP="00611101">
      <w:pPr>
        <w:pStyle w:val="ListParagraph"/>
        <w:widowControl/>
        <w:rPr>
          <w:szCs w:val="22"/>
        </w:rPr>
      </w:pPr>
    </w:p>
    <w:p w:rsidR="00B23481" w:rsidRPr="009A64DA" w:rsidRDefault="00611101" w:rsidP="0030238C">
      <w:pPr>
        <w:pStyle w:val="ListParagraph"/>
        <w:widowControl/>
        <w:numPr>
          <w:ilvl w:val="1"/>
          <w:numId w:val="2"/>
        </w:numPr>
        <w:rPr>
          <w:szCs w:val="22"/>
        </w:rPr>
      </w:pPr>
      <w:r w:rsidRPr="009A64DA">
        <w:rPr>
          <w:szCs w:val="22"/>
        </w:rPr>
        <w:t xml:space="preserve">Overall survival </w:t>
      </w:r>
      <w:r w:rsidR="00BE02BE" w:rsidRPr="009A64DA">
        <w:rPr>
          <w:szCs w:val="22"/>
        </w:rPr>
        <w:t xml:space="preserve">(OS) </w:t>
      </w:r>
      <w:r w:rsidRPr="009A64DA">
        <w:rPr>
          <w:szCs w:val="22"/>
        </w:rPr>
        <w:t xml:space="preserve">with </w:t>
      </w:r>
      <w:proofErr w:type="spellStart"/>
      <w:r w:rsidRPr="009A64DA">
        <w:rPr>
          <w:szCs w:val="22"/>
        </w:rPr>
        <w:t>lanreotide</w:t>
      </w:r>
      <w:proofErr w:type="spellEnd"/>
      <w:r w:rsidRPr="009A64DA">
        <w:rPr>
          <w:szCs w:val="22"/>
        </w:rPr>
        <w:t xml:space="preserve"> and placebo is summarised in Figure</w:t>
      </w:r>
      <w:r w:rsidR="0021776F" w:rsidRPr="009A64DA">
        <w:rPr>
          <w:szCs w:val="22"/>
        </w:rPr>
        <w:t xml:space="preserve"> 2</w:t>
      </w:r>
      <w:r w:rsidRPr="009A64DA">
        <w:rPr>
          <w:szCs w:val="22"/>
        </w:rPr>
        <w:t xml:space="preserve"> below.</w:t>
      </w:r>
    </w:p>
    <w:p w:rsidR="00EC1A16" w:rsidRPr="009A64DA" w:rsidRDefault="00EC1A16" w:rsidP="00EC1A16">
      <w:pPr>
        <w:pStyle w:val="ListParagraph"/>
        <w:widowControl/>
        <w:rPr>
          <w:szCs w:val="22"/>
        </w:rPr>
      </w:pPr>
    </w:p>
    <w:p w:rsidR="00611101" w:rsidRPr="009A64DA" w:rsidRDefault="00611101" w:rsidP="00EC1A16">
      <w:pPr>
        <w:ind w:firstLine="709"/>
        <w:rPr>
          <w:color w:val="3366FF"/>
        </w:rPr>
      </w:pPr>
      <w:r w:rsidRPr="00843054">
        <w:rPr>
          <w:noProof/>
          <w:snapToGrid/>
          <w:color w:val="3366FF"/>
          <w:lang w:eastAsia="en-AU"/>
        </w:rPr>
        <w:lastRenderedPageBreak/>
        <w:drawing>
          <wp:inline distT="0" distB="0" distL="0" distR="0" wp14:anchorId="547A44CC" wp14:editId="71AE39B9">
            <wp:extent cx="5358810" cy="2636246"/>
            <wp:effectExtent l="0" t="0" r="0" b="0"/>
            <wp:docPr id="7" name="Picture 7" title="Figure 2: Kaplan-Meier curves of overall survival (ITT population) during the pivotal trial and annual post-trial follow-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54962" cy="2634353"/>
                    </a:xfrm>
                    <a:prstGeom prst="rect">
                      <a:avLst/>
                    </a:prstGeom>
                  </pic:spPr>
                </pic:pic>
              </a:graphicData>
            </a:graphic>
          </wp:inline>
        </w:drawing>
      </w:r>
    </w:p>
    <w:p w:rsidR="00611101" w:rsidRPr="009A64DA" w:rsidRDefault="00FA05D9" w:rsidP="00EC1A16">
      <w:pPr>
        <w:ind w:left="709"/>
        <w:rPr>
          <w:rFonts w:ascii="Arial Narrow" w:hAnsi="Arial Narrow"/>
          <w:b/>
          <w:sz w:val="20"/>
        </w:rPr>
      </w:pPr>
      <w:r w:rsidRPr="009A64DA">
        <w:rPr>
          <w:rStyle w:val="CommentReference"/>
        </w:rPr>
        <w:t xml:space="preserve">Figure 2: Kaplan-Meier curves of overall survival (ITT population) </w:t>
      </w:r>
      <w:r w:rsidRPr="009A64DA">
        <w:rPr>
          <w:rFonts w:ascii="Arial Narrow" w:hAnsi="Arial Narrow"/>
          <w:b/>
          <w:sz w:val="20"/>
        </w:rPr>
        <w:t>during the pivotal trial and annual post-trial follow-up</w:t>
      </w:r>
    </w:p>
    <w:p w:rsidR="00EC1A16" w:rsidRPr="009A64DA" w:rsidRDefault="00EC1A16" w:rsidP="00EC1A16">
      <w:pPr>
        <w:ind w:left="709"/>
        <w:rPr>
          <w:rFonts w:ascii="Arial Narrow" w:hAnsi="Arial Narrow"/>
          <w:b/>
          <w:sz w:val="20"/>
        </w:rPr>
      </w:pPr>
    </w:p>
    <w:p w:rsidR="00611101" w:rsidRPr="009A64DA" w:rsidRDefault="00611101" w:rsidP="0030238C">
      <w:pPr>
        <w:pStyle w:val="ListParagraph"/>
        <w:widowControl/>
        <w:numPr>
          <w:ilvl w:val="1"/>
          <w:numId w:val="2"/>
        </w:numPr>
        <w:rPr>
          <w:szCs w:val="22"/>
        </w:rPr>
      </w:pPr>
      <w:r w:rsidRPr="009A64DA">
        <w:rPr>
          <w:szCs w:val="22"/>
        </w:rPr>
        <w:t>There was no statistically significant difference in overall survival between treatment arms during the pivotal trial or during additional post-trial monitoring (HR 1.05; 95% CI 0.55, 2.03).</w:t>
      </w:r>
    </w:p>
    <w:p w:rsidR="00611101" w:rsidRPr="009A64DA" w:rsidRDefault="00611101" w:rsidP="00611101">
      <w:pPr>
        <w:widowControl/>
        <w:rPr>
          <w:szCs w:val="22"/>
        </w:rPr>
      </w:pPr>
    </w:p>
    <w:p w:rsidR="00611101" w:rsidRPr="009A64DA" w:rsidRDefault="00611101" w:rsidP="0030238C">
      <w:pPr>
        <w:pStyle w:val="ListParagraph"/>
        <w:widowControl/>
        <w:numPr>
          <w:ilvl w:val="1"/>
          <w:numId w:val="2"/>
        </w:numPr>
        <w:rPr>
          <w:szCs w:val="22"/>
        </w:rPr>
      </w:pPr>
      <w:r w:rsidRPr="009A64DA">
        <w:rPr>
          <w:szCs w:val="22"/>
        </w:rPr>
        <w:t xml:space="preserve">The overall survival results were of limited reliability due to incomplete reporting (overall survival </w:t>
      </w:r>
      <w:r w:rsidR="0021776F" w:rsidRPr="009A64DA">
        <w:rPr>
          <w:szCs w:val="22"/>
        </w:rPr>
        <w:t xml:space="preserve">was </w:t>
      </w:r>
      <w:r w:rsidRPr="009A64DA">
        <w:rPr>
          <w:szCs w:val="22"/>
        </w:rPr>
        <w:t>added as an outcome after some patients had already finished the trial), insufficient follow-up time (given the indolent nature of the disease) and patient crossover (from placebo to active treatment after disease progression).</w:t>
      </w:r>
      <w:r w:rsidR="005C0DC1" w:rsidRPr="009A64DA">
        <w:rPr>
          <w:szCs w:val="22"/>
        </w:rPr>
        <w:t xml:space="preserve"> ESC considered that cross-over cannot completely explain why there is no signal of an OS benefit.</w:t>
      </w:r>
    </w:p>
    <w:p w:rsidR="00611101" w:rsidRPr="009A64DA" w:rsidRDefault="00611101" w:rsidP="00611101">
      <w:pPr>
        <w:pStyle w:val="ListParagraph"/>
        <w:widowControl/>
        <w:rPr>
          <w:szCs w:val="22"/>
        </w:rPr>
      </w:pPr>
    </w:p>
    <w:p w:rsidR="00611101" w:rsidRPr="009A64DA" w:rsidRDefault="00611101" w:rsidP="00E975B1">
      <w:pPr>
        <w:pStyle w:val="Heading2"/>
      </w:pPr>
      <w:bookmarkStart w:id="10" w:name="_Toc430010751"/>
      <w:r w:rsidRPr="009A64DA">
        <w:t>Comparative harms</w:t>
      </w:r>
      <w:bookmarkEnd w:id="10"/>
    </w:p>
    <w:p w:rsidR="00611101" w:rsidRPr="009A64DA" w:rsidRDefault="00611101" w:rsidP="00611101">
      <w:pPr>
        <w:ind w:left="720" w:hanging="720"/>
        <w:rPr>
          <w:szCs w:val="22"/>
        </w:rPr>
      </w:pPr>
    </w:p>
    <w:p w:rsidR="00611101" w:rsidRPr="009A64DA" w:rsidRDefault="00611101" w:rsidP="0030238C">
      <w:pPr>
        <w:pStyle w:val="ListParagraph"/>
        <w:widowControl/>
        <w:numPr>
          <w:ilvl w:val="1"/>
          <w:numId w:val="2"/>
        </w:numPr>
        <w:rPr>
          <w:szCs w:val="22"/>
        </w:rPr>
      </w:pPr>
      <w:proofErr w:type="spellStart"/>
      <w:r w:rsidRPr="009A64DA">
        <w:t>Lanreotide</w:t>
      </w:r>
      <w:proofErr w:type="spellEnd"/>
      <w:r w:rsidRPr="009A64DA">
        <w:t xml:space="preserve"> was associated with a higher incidence of treatment-related events (primarily diarrhoea, abdominal pain, flatulence, vomiting, nausea, injection-site pain, </w:t>
      </w:r>
      <w:proofErr w:type="spellStart"/>
      <w:r w:rsidRPr="009A64DA">
        <w:t>cholelithiasis</w:t>
      </w:r>
      <w:proofErr w:type="spellEnd"/>
      <w:r w:rsidRPr="009A64DA">
        <w:t xml:space="preserve">, headache, lethargy, hyperglycaemia and decreased pancreatic enzymes) compared to placebo. The majority of adverse events were mild to moderate in severity and were consistent with the known safety profile of </w:t>
      </w:r>
      <w:proofErr w:type="spellStart"/>
      <w:r w:rsidRPr="009A64DA">
        <w:t>lanreotide</w:t>
      </w:r>
      <w:proofErr w:type="spellEnd"/>
      <w:r w:rsidRPr="009A64DA">
        <w:t xml:space="preserve">. Three patients treated with </w:t>
      </w:r>
      <w:proofErr w:type="spellStart"/>
      <w:r w:rsidRPr="009A64DA">
        <w:t>lanreotide</w:t>
      </w:r>
      <w:proofErr w:type="spellEnd"/>
      <w:r w:rsidRPr="009A64DA">
        <w:t xml:space="preserve"> experienced serious treatment-related events including </w:t>
      </w:r>
      <w:proofErr w:type="spellStart"/>
      <w:r w:rsidRPr="009A64DA">
        <w:t>cholelithiasis</w:t>
      </w:r>
      <w:proofErr w:type="spellEnd"/>
      <w:r w:rsidRPr="009A64DA">
        <w:t>, diabetes mellitus, hyperglycaemia, biliary fistula, abdominal pain, nausea and vomiting.</w:t>
      </w:r>
    </w:p>
    <w:p w:rsidR="00611101" w:rsidRPr="009A64DA" w:rsidRDefault="00611101" w:rsidP="00611101">
      <w:pPr>
        <w:pStyle w:val="ListParagraph"/>
        <w:ind w:left="0"/>
        <w:rPr>
          <w:szCs w:val="22"/>
        </w:rPr>
      </w:pPr>
    </w:p>
    <w:p w:rsidR="00611101" w:rsidRPr="009A64DA" w:rsidRDefault="00611101" w:rsidP="00E975B1">
      <w:pPr>
        <w:pStyle w:val="Heading2"/>
      </w:pPr>
      <w:bookmarkStart w:id="11" w:name="_Toc430010752"/>
      <w:r w:rsidRPr="009A64DA">
        <w:t>Benefits/harms</w:t>
      </w:r>
      <w:bookmarkEnd w:id="11"/>
    </w:p>
    <w:p w:rsidR="00611101" w:rsidRPr="009A64DA" w:rsidRDefault="00611101" w:rsidP="00611101"/>
    <w:p w:rsidR="00611101" w:rsidRPr="009A64DA" w:rsidRDefault="00611101" w:rsidP="0030238C">
      <w:pPr>
        <w:pStyle w:val="ListParagraph"/>
        <w:widowControl/>
        <w:numPr>
          <w:ilvl w:val="1"/>
          <w:numId w:val="2"/>
        </w:numPr>
        <w:rPr>
          <w:szCs w:val="22"/>
        </w:rPr>
      </w:pPr>
      <w:r w:rsidRPr="009A64DA">
        <w:rPr>
          <w:szCs w:val="22"/>
        </w:rPr>
        <w:t xml:space="preserve">A summary of the comparative benefits and harms for </w:t>
      </w:r>
      <w:proofErr w:type="spellStart"/>
      <w:r w:rsidRPr="009A64DA">
        <w:rPr>
          <w:szCs w:val="22"/>
        </w:rPr>
        <w:t>lanreotide</w:t>
      </w:r>
      <w:proofErr w:type="spellEnd"/>
      <w:r w:rsidRPr="009A64DA">
        <w:rPr>
          <w:szCs w:val="22"/>
        </w:rPr>
        <w:t xml:space="preserve"> versus placebo is presented in the table below. </w:t>
      </w:r>
    </w:p>
    <w:p w:rsidR="006C58A3" w:rsidRPr="009A64DA" w:rsidRDefault="006C58A3" w:rsidP="001B000E">
      <w:pPr>
        <w:widowControl/>
        <w:spacing w:line="1440" w:lineRule="auto"/>
        <w:jc w:val="left"/>
        <w:rPr>
          <w:rStyle w:val="CommentReference"/>
        </w:rPr>
      </w:pPr>
    </w:p>
    <w:p w:rsidR="00611101" w:rsidRPr="009A64DA" w:rsidRDefault="00611101" w:rsidP="00611101">
      <w:pPr>
        <w:ind w:left="720"/>
      </w:pPr>
      <w:r w:rsidRPr="009A64DA">
        <w:rPr>
          <w:rStyle w:val="CommentReference"/>
        </w:rPr>
        <w:lastRenderedPageBreak/>
        <w:t xml:space="preserve">Table 3: Summary of comparative benefits and harms for </w:t>
      </w:r>
      <w:proofErr w:type="spellStart"/>
      <w:r w:rsidRPr="009A64DA">
        <w:rPr>
          <w:rStyle w:val="CommentReference"/>
        </w:rPr>
        <w:t>lanreotide</w:t>
      </w:r>
      <w:proofErr w:type="spellEnd"/>
      <w:r w:rsidRPr="009A64DA">
        <w:rPr>
          <w:rStyle w:val="CommentReference"/>
        </w:rPr>
        <w:t xml:space="preserve"> and placebo</w:t>
      </w:r>
    </w:p>
    <w:tbl>
      <w:tblPr>
        <w:tblStyle w:val="TableGrid"/>
        <w:tblW w:w="4604" w:type="pct"/>
        <w:tblInd w:w="737" w:type="dxa"/>
        <w:tblLayout w:type="fixed"/>
        <w:tblCellMar>
          <w:left w:w="28" w:type="dxa"/>
          <w:right w:w="28" w:type="dxa"/>
        </w:tblCellMar>
        <w:tblLook w:val="04A0" w:firstRow="1" w:lastRow="0" w:firstColumn="1" w:lastColumn="0" w:noHBand="0" w:noVBand="1"/>
        <w:tblCaption w:val="Table 3: Summary of comparative benefits and harms for lanreotide and placebo"/>
      </w:tblPr>
      <w:tblGrid>
        <w:gridCol w:w="1832"/>
        <w:gridCol w:w="1713"/>
        <w:gridCol w:w="1559"/>
        <w:gridCol w:w="1703"/>
        <w:gridCol w:w="1557"/>
      </w:tblGrid>
      <w:tr w:rsidR="00611101" w:rsidRPr="009A64DA" w:rsidTr="002F09A0">
        <w:trPr>
          <w:tblHeader/>
        </w:trPr>
        <w:tc>
          <w:tcPr>
            <w:tcW w:w="1095" w:type="pct"/>
            <w:shd w:val="clear" w:color="auto" w:fill="auto"/>
            <w:vAlign w:val="center"/>
          </w:tcPr>
          <w:p w:rsidR="00611101" w:rsidRPr="009A64DA" w:rsidRDefault="00611101" w:rsidP="00611101">
            <w:pPr>
              <w:jc w:val="left"/>
              <w:rPr>
                <w:rFonts w:ascii="Arial Narrow" w:hAnsi="Arial Narrow"/>
                <w:b/>
                <w:color w:val="000000"/>
                <w:sz w:val="20"/>
              </w:rPr>
            </w:pPr>
            <w:r w:rsidRPr="009A64DA">
              <w:rPr>
                <w:rFonts w:ascii="Arial Narrow" w:hAnsi="Arial Narrow"/>
                <w:b/>
                <w:color w:val="000000"/>
                <w:sz w:val="20"/>
              </w:rPr>
              <w:t>Benefits</w:t>
            </w:r>
          </w:p>
        </w:tc>
        <w:tc>
          <w:tcPr>
            <w:tcW w:w="1024" w:type="pct"/>
            <w:vAlign w:val="center"/>
          </w:tcPr>
          <w:p w:rsidR="00611101" w:rsidRPr="009A64DA" w:rsidRDefault="00611101" w:rsidP="00611101">
            <w:pPr>
              <w:jc w:val="center"/>
              <w:rPr>
                <w:rFonts w:ascii="Arial Narrow" w:hAnsi="Arial Narrow"/>
                <w:b/>
                <w:color w:val="000000"/>
                <w:sz w:val="20"/>
              </w:rPr>
            </w:pPr>
            <w:proofErr w:type="spellStart"/>
            <w:r w:rsidRPr="009A64DA">
              <w:rPr>
                <w:rFonts w:ascii="Arial Narrow" w:hAnsi="Arial Narrow"/>
                <w:b/>
                <w:color w:val="000000"/>
                <w:sz w:val="20"/>
              </w:rPr>
              <w:t>Lanreotide</w:t>
            </w:r>
            <w:proofErr w:type="spellEnd"/>
          </w:p>
        </w:tc>
        <w:tc>
          <w:tcPr>
            <w:tcW w:w="932" w:type="pct"/>
            <w:vAlign w:val="center"/>
          </w:tcPr>
          <w:p w:rsidR="00611101" w:rsidRPr="009A64DA" w:rsidRDefault="00611101" w:rsidP="00611101">
            <w:pPr>
              <w:jc w:val="center"/>
              <w:rPr>
                <w:rFonts w:ascii="Arial Narrow" w:hAnsi="Arial Narrow"/>
                <w:b/>
                <w:color w:val="000000"/>
                <w:sz w:val="20"/>
              </w:rPr>
            </w:pPr>
            <w:r w:rsidRPr="009A64DA">
              <w:rPr>
                <w:rFonts w:ascii="Arial Narrow" w:hAnsi="Arial Narrow"/>
                <w:b/>
                <w:color w:val="000000"/>
                <w:sz w:val="20"/>
              </w:rPr>
              <w:t>Placebo</w:t>
            </w:r>
          </w:p>
        </w:tc>
        <w:tc>
          <w:tcPr>
            <w:tcW w:w="1018" w:type="pct"/>
            <w:vAlign w:val="center"/>
          </w:tcPr>
          <w:p w:rsidR="00611101" w:rsidRPr="009A64DA" w:rsidRDefault="00611101" w:rsidP="00611101">
            <w:pPr>
              <w:jc w:val="center"/>
              <w:rPr>
                <w:rFonts w:ascii="Arial Narrow" w:hAnsi="Arial Narrow"/>
                <w:b/>
                <w:color w:val="000000"/>
                <w:sz w:val="20"/>
              </w:rPr>
            </w:pPr>
            <w:r w:rsidRPr="009A64DA">
              <w:rPr>
                <w:rFonts w:ascii="Arial Narrow" w:hAnsi="Arial Narrow"/>
                <w:b/>
                <w:color w:val="000000"/>
                <w:sz w:val="20"/>
              </w:rPr>
              <w:t>Absolute Difference</w:t>
            </w:r>
          </w:p>
        </w:tc>
        <w:tc>
          <w:tcPr>
            <w:tcW w:w="931" w:type="pct"/>
            <w:vAlign w:val="center"/>
          </w:tcPr>
          <w:p w:rsidR="00611101" w:rsidRPr="009A64DA" w:rsidRDefault="00611101" w:rsidP="00611101">
            <w:pPr>
              <w:jc w:val="center"/>
              <w:rPr>
                <w:rFonts w:ascii="Arial Narrow" w:hAnsi="Arial Narrow"/>
                <w:b/>
                <w:color w:val="000000"/>
                <w:sz w:val="20"/>
              </w:rPr>
            </w:pPr>
            <w:r w:rsidRPr="009A64DA">
              <w:rPr>
                <w:rFonts w:ascii="Arial Narrow" w:hAnsi="Arial Narrow"/>
                <w:b/>
                <w:color w:val="000000"/>
                <w:sz w:val="20"/>
              </w:rPr>
              <w:t>HR (95% CI)</w:t>
            </w:r>
          </w:p>
        </w:tc>
      </w:tr>
      <w:tr w:rsidR="00611101" w:rsidRPr="009A64DA" w:rsidTr="00681268">
        <w:tc>
          <w:tcPr>
            <w:tcW w:w="5000" w:type="pct"/>
            <w:gridSpan w:val="5"/>
            <w:shd w:val="clear" w:color="auto" w:fill="auto"/>
            <w:vAlign w:val="center"/>
          </w:tcPr>
          <w:p w:rsidR="00611101" w:rsidRPr="009A64DA" w:rsidRDefault="00611101" w:rsidP="00611101">
            <w:pPr>
              <w:jc w:val="left"/>
              <w:rPr>
                <w:rFonts w:ascii="Arial Narrow" w:hAnsi="Arial Narrow"/>
                <w:b/>
                <w:sz w:val="20"/>
              </w:rPr>
            </w:pPr>
            <w:r w:rsidRPr="009A64DA">
              <w:rPr>
                <w:rFonts w:ascii="Arial Narrow" w:hAnsi="Arial Narrow"/>
                <w:b/>
                <w:color w:val="000000"/>
                <w:sz w:val="20"/>
              </w:rPr>
              <w:t>Progression free survival</w:t>
            </w:r>
          </w:p>
        </w:tc>
      </w:tr>
      <w:tr w:rsidR="00611101" w:rsidRPr="009A64DA" w:rsidTr="00681268">
        <w:tc>
          <w:tcPr>
            <w:tcW w:w="1095" w:type="pct"/>
            <w:shd w:val="clear" w:color="auto" w:fill="auto"/>
            <w:vAlign w:val="center"/>
          </w:tcPr>
          <w:p w:rsidR="00611101" w:rsidRPr="009A64DA" w:rsidRDefault="00611101" w:rsidP="00611101">
            <w:pPr>
              <w:rPr>
                <w:rFonts w:ascii="Arial Narrow" w:hAnsi="Arial Narrow"/>
                <w:color w:val="000000"/>
                <w:sz w:val="20"/>
              </w:rPr>
            </w:pPr>
            <w:r w:rsidRPr="009A64DA">
              <w:rPr>
                <w:rFonts w:ascii="Arial Narrow" w:hAnsi="Arial Narrow"/>
                <w:color w:val="000000"/>
                <w:sz w:val="20"/>
              </w:rPr>
              <w:t>Progressed</w:t>
            </w:r>
          </w:p>
        </w:tc>
        <w:tc>
          <w:tcPr>
            <w:tcW w:w="1024" w:type="pct"/>
            <w:vAlign w:val="center"/>
          </w:tcPr>
          <w:p w:rsidR="00611101" w:rsidRPr="009A64DA" w:rsidRDefault="00611101" w:rsidP="00611101">
            <w:pPr>
              <w:jc w:val="center"/>
              <w:rPr>
                <w:rFonts w:ascii="Arial Narrow" w:hAnsi="Arial Narrow"/>
                <w:sz w:val="20"/>
              </w:rPr>
            </w:pPr>
            <w:r w:rsidRPr="009A64DA">
              <w:rPr>
                <w:rFonts w:ascii="Arial Narrow" w:hAnsi="Arial Narrow"/>
                <w:sz w:val="20"/>
              </w:rPr>
              <w:t>32/101 (31.7%)</w:t>
            </w:r>
          </w:p>
        </w:tc>
        <w:tc>
          <w:tcPr>
            <w:tcW w:w="932" w:type="pct"/>
            <w:vAlign w:val="center"/>
          </w:tcPr>
          <w:p w:rsidR="00611101" w:rsidRPr="009A64DA" w:rsidRDefault="00611101" w:rsidP="00611101">
            <w:pPr>
              <w:jc w:val="center"/>
              <w:rPr>
                <w:rFonts w:ascii="Arial Narrow" w:hAnsi="Arial Narrow"/>
                <w:sz w:val="20"/>
              </w:rPr>
            </w:pPr>
            <w:r w:rsidRPr="009A64DA">
              <w:rPr>
                <w:rFonts w:ascii="Arial Narrow" w:hAnsi="Arial Narrow"/>
                <w:sz w:val="20"/>
              </w:rPr>
              <w:t>60/103 (58.3%)</w:t>
            </w:r>
          </w:p>
        </w:tc>
        <w:tc>
          <w:tcPr>
            <w:tcW w:w="1018" w:type="pct"/>
            <w:vMerge w:val="restart"/>
            <w:vAlign w:val="center"/>
          </w:tcPr>
          <w:p w:rsidR="00611101" w:rsidRPr="009A64DA" w:rsidRDefault="00611101" w:rsidP="00611101">
            <w:pPr>
              <w:jc w:val="center"/>
              <w:rPr>
                <w:rFonts w:ascii="Arial Narrow" w:hAnsi="Arial Narrow"/>
                <w:color w:val="000000"/>
                <w:sz w:val="20"/>
              </w:rPr>
            </w:pPr>
            <w:r w:rsidRPr="009A64DA">
              <w:rPr>
                <w:rFonts w:ascii="Arial Narrow" w:hAnsi="Arial Narrow"/>
                <w:color w:val="000000"/>
                <w:sz w:val="20"/>
              </w:rPr>
              <w:t>-</w:t>
            </w:r>
          </w:p>
        </w:tc>
        <w:tc>
          <w:tcPr>
            <w:tcW w:w="931" w:type="pct"/>
            <w:vMerge w:val="restart"/>
            <w:vAlign w:val="center"/>
          </w:tcPr>
          <w:p w:rsidR="00611101" w:rsidRPr="009A64DA" w:rsidRDefault="00611101" w:rsidP="00611101">
            <w:pPr>
              <w:jc w:val="center"/>
              <w:rPr>
                <w:rFonts w:ascii="Arial Narrow" w:hAnsi="Arial Narrow"/>
                <w:color w:val="000000"/>
                <w:sz w:val="20"/>
              </w:rPr>
            </w:pPr>
            <w:r w:rsidRPr="009A64DA">
              <w:rPr>
                <w:rFonts w:ascii="Arial Narrow" w:hAnsi="Arial Narrow"/>
                <w:sz w:val="20"/>
              </w:rPr>
              <w:t>0.47 (0.30, 0.73)</w:t>
            </w:r>
          </w:p>
        </w:tc>
      </w:tr>
      <w:tr w:rsidR="00611101" w:rsidRPr="009A64DA" w:rsidTr="00681268">
        <w:tc>
          <w:tcPr>
            <w:tcW w:w="1095" w:type="pct"/>
            <w:shd w:val="clear" w:color="auto" w:fill="auto"/>
            <w:vAlign w:val="center"/>
          </w:tcPr>
          <w:p w:rsidR="00611101" w:rsidRPr="009A64DA" w:rsidRDefault="00611101" w:rsidP="00611101">
            <w:pPr>
              <w:rPr>
                <w:rFonts w:ascii="Arial Narrow" w:hAnsi="Arial Narrow"/>
                <w:color w:val="000000"/>
                <w:sz w:val="20"/>
              </w:rPr>
            </w:pPr>
            <w:r w:rsidRPr="009A64DA">
              <w:rPr>
                <w:rFonts w:ascii="Arial Narrow" w:hAnsi="Arial Narrow"/>
                <w:color w:val="000000"/>
                <w:sz w:val="20"/>
              </w:rPr>
              <w:t>Median PFS (weeks)</w:t>
            </w:r>
          </w:p>
        </w:tc>
        <w:tc>
          <w:tcPr>
            <w:tcW w:w="1024" w:type="pct"/>
            <w:vAlign w:val="center"/>
          </w:tcPr>
          <w:p w:rsidR="00611101" w:rsidRPr="009A64DA" w:rsidRDefault="00611101" w:rsidP="00611101">
            <w:pPr>
              <w:jc w:val="center"/>
              <w:rPr>
                <w:rFonts w:ascii="Arial Narrow" w:hAnsi="Arial Narrow"/>
                <w:sz w:val="20"/>
              </w:rPr>
            </w:pPr>
            <w:r w:rsidRPr="009A64DA">
              <w:rPr>
                <w:rFonts w:ascii="Arial Narrow" w:hAnsi="Arial Narrow"/>
                <w:sz w:val="20"/>
              </w:rPr>
              <w:t>Not reached</w:t>
            </w:r>
          </w:p>
        </w:tc>
        <w:tc>
          <w:tcPr>
            <w:tcW w:w="932" w:type="pct"/>
            <w:vAlign w:val="center"/>
          </w:tcPr>
          <w:p w:rsidR="00611101" w:rsidRPr="009A64DA" w:rsidRDefault="00611101" w:rsidP="00611101">
            <w:pPr>
              <w:jc w:val="center"/>
              <w:rPr>
                <w:rFonts w:ascii="Arial Narrow" w:hAnsi="Arial Narrow"/>
                <w:sz w:val="20"/>
              </w:rPr>
            </w:pPr>
            <w:r w:rsidRPr="009A64DA">
              <w:rPr>
                <w:rFonts w:ascii="Arial Narrow" w:hAnsi="Arial Narrow"/>
                <w:sz w:val="20"/>
              </w:rPr>
              <w:t>72.0</w:t>
            </w:r>
          </w:p>
        </w:tc>
        <w:tc>
          <w:tcPr>
            <w:tcW w:w="1018" w:type="pct"/>
            <w:vMerge/>
            <w:vAlign w:val="center"/>
          </w:tcPr>
          <w:p w:rsidR="00611101" w:rsidRPr="009A64DA" w:rsidRDefault="00611101" w:rsidP="00611101">
            <w:pPr>
              <w:jc w:val="center"/>
              <w:rPr>
                <w:rFonts w:ascii="Arial Narrow" w:hAnsi="Arial Narrow"/>
                <w:color w:val="000000"/>
                <w:sz w:val="20"/>
              </w:rPr>
            </w:pPr>
          </w:p>
        </w:tc>
        <w:tc>
          <w:tcPr>
            <w:tcW w:w="931" w:type="pct"/>
            <w:vMerge/>
            <w:vAlign w:val="center"/>
          </w:tcPr>
          <w:p w:rsidR="00611101" w:rsidRPr="009A64DA" w:rsidRDefault="00611101" w:rsidP="00611101">
            <w:pPr>
              <w:jc w:val="center"/>
              <w:rPr>
                <w:rFonts w:ascii="Arial Narrow" w:hAnsi="Arial Narrow"/>
                <w:color w:val="000000"/>
                <w:sz w:val="20"/>
              </w:rPr>
            </w:pPr>
          </w:p>
        </w:tc>
      </w:tr>
      <w:tr w:rsidR="00611101" w:rsidRPr="009A64DA" w:rsidTr="00681268">
        <w:tc>
          <w:tcPr>
            <w:tcW w:w="5000" w:type="pct"/>
            <w:gridSpan w:val="5"/>
            <w:shd w:val="clear" w:color="auto" w:fill="auto"/>
            <w:vAlign w:val="center"/>
          </w:tcPr>
          <w:p w:rsidR="00611101" w:rsidRPr="009A64DA" w:rsidRDefault="00611101" w:rsidP="00611101">
            <w:pPr>
              <w:jc w:val="left"/>
              <w:rPr>
                <w:rFonts w:ascii="Arial Narrow" w:hAnsi="Arial Narrow"/>
                <w:b/>
                <w:color w:val="000000"/>
                <w:sz w:val="20"/>
              </w:rPr>
            </w:pPr>
            <w:r w:rsidRPr="009A64DA">
              <w:rPr>
                <w:rFonts w:ascii="Arial Narrow" w:hAnsi="Arial Narrow"/>
                <w:b/>
                <w:color w:val="000000"/>
                <w:sz w:val="20"/>
              </w:rPr>
              <w:t>Overall survival</w:t>
            </w:r>
          </w:p>
        </w:tc>
      </w:tr>
      <w:tr w:rsidR="00611101" w:rsidRPr="009A64DA" w:rsidTr="00681268">
        <w:tc>
          <w:tcPr>
            <w:tcW w:w="1095" w:type="pct"/>
            <w:shd w:val="clear" w:color="auto" w:fill="auto"/>
            <w:vAlign w:val="center"/>
          </w:tcPr>
          <w:p w:rsidR="00611101" w:rsidRPr="009A64DA" w:rsidRDefault="00611101" w:rsidP="00611101">
            <w:pPr>
              <w:rPr>
                <w:rFonts w:ascii="Arial Narrow" w:hAnsi="Arial Narrow"/>
                <w:color w:val="000000"/>
                <w:sz w:val="20"/>
              </w:rPr>
            </w:pPr>
            <w:r w:rsidRPr="009A64DA">
              <w:rPr>
                <w:rFonts w:ascii="Arial Narrow" w:hAnsi="Arial Narrow"/>
                <w:color w:val="000000"/>
                <w:sz w:val="20"/>
              </w:rPr>
              <w:t>Died</w:t>
            </w:r>
          </w:p>
        </w:tc>
        <w:tc>
          <w:tcPr>
            <w:tcW w:w="1024" w:type="pct"/>
          </w:tcPr>
          <w:p w:rsidR="00611101" w:rsidRPr="009A64DA" w:rsidRDefault="00611101" w:rsidP="00611101">
            <w:pPr>
              <w:jc w:val="center"/>
              <w:rPr>
                <w:rFonts w:ascii="Arial Narrow" w:hAnsi="Arial Narrow"/>
                <w:sz w:val="20"/>
              </w:rPr>
            </w:pPr>
            <w:r w:rsidRPr="009A64DA">
              <w:rPr>
                <w:rFonts w:ascii="Arial Narrow" w:hAnsi="Arial Narrow"/>
                <w:sz w:val="20"/>
              </w:rPr>
              <w:t>19/101 (18.8%)</w:t>
            </w:r>
          </w:p>
        </w:tc>
        <w:tc>
          <w:tcPr>
            <w:tcW w:w="932" w:type="pct"/>
          </w:tcPr>
          <w:p w:rsidR="00611101" w:rsidRPr="009A64DA" w:rsidRDefault="00611101" w:rsidP="00611101">
            <w:pPr>
              <w:jc w:val="center"/>
              <w:rPr>
                <w:rFonts w:ascii="Arial Narrow" w:hAnsi="Arial Narrow"/>
                <w:sz w:val="20"/>
              </w:rPr>
            </w:pPr>
            <w:r w:rsidRPr="009A64DA">
              <w:rPr>
                <w:rFonts w:ascii="Arial Narrow" w:hAnsi="Arial Narrow"/>
                <w:sz w:val="20"/>
              </w:rPr>
              <w:t>17/103 (16.5%)</w:t>
            </w:r>
          </w:p>
        </w:tc>
        <w:tc>
          <w:tcPr>
            <w:tcW w:w="1018" w:type="pct"/>
            <w:vMerge w:val="restart"/>
            <w:vAlign w:val="center"/>
          </w:tcPr>
          <w:p w:rsidR="00611101" w:rsidRPr="009A64DA" w:rsidRDefault="00611101" w:rsidP="00611101">
            <w:pPr>
              <w:jc w:val="center"/>
              <w:rPr>
                <w:rFonts w:ascii="Arial Narrow" w:hAnsi="Arial Narrow"/>
                <w:color w:val="000000"/>
                <w:sz w:val="20"/>
              </w:rPr>
            </w:pPr>
            <w:r w:rsidRPr="009A64DA">
              <w:rPr>
                <w:rFonts w:ascii="Arial Narrow" w:hAnsi="Arial Narrow"/>
                <w:color w:val="000000"/>
                <w:sz w:val="20"/>
              </w:rPr>
              <w:t>-</w:t>
            </w:r>
          </w:p>
        </w:tc>
        <w:tc>
          <w:tcPr>
            <w:tcW w:w="931" w:type="pct"/>
            <w:vMerge w:val="restart"/>
            <w:vAlign w:val="center"/>
          </w:tcPr>
          <w:p w:rsidR="00611101" w:rsidRPr="009A64DA" w:rsidRDefault="00611101" w:rsidP="00611101">
            <w:pPr>
              <w:jc w:val="center"/>
              <w:rPr>
                <w:rFonts w:ascii="Arial Narrow" w:hAnsi="Arial Narrow"/>
                <w:color w:val="000000"/>
                <w:sz w:val="20"/>
              </w:rPr>
            </w:pPr>
            <w:r w:rsidRPr="009A64DA">
              <w:rPr>
                <w:rFonts w:ascii="Arial Narrow" w:hAnsi="Arial Narrow"/>
                <w:sz w:val="20"/>
              </w:rPr>
              <w:t>1.05 (0.55, 2.03)</w:t>
            </w:r>
          </w:p>
        </w:tc>
      </w:tr>
      <w:tr w:rsidR="00611101" w:rsidRPr="009A64DA" w:rsidTr="00681268">
        <w:tc>
          <w:tcPr>
            <w:tcW w:w="1095" w:type="pct"/>
            <w:shd w:val="clear" w:color="auto" w:fill="auto"/>
            <w:vAlign w:val="center"/>
          </w:tcPr>
          <w:p w:rsidR="00611101" w:rsidRPr="009A64DA" w:rsidRDefault="00611101" w:rsidP="00611101">
            <w:pPr>
              <w:rPr>
                <w:rFonts w:ascii="Arial Narrow" w:hAnsi="Arial Narrow"/>
                <w:color w:val="000000"/>
                <w:sz w:val="20"/>
              </w:rPr>
            </w:pPr>
            <w:r w:rsidRPr="009A64DA">
              <w:rPr>
                <w:rFonts w:ascii="Arial Narrow" w:hAnsi="Arial Narrow"/>
                <w:color w:val="000000"/>
                <w:sz w:val="20"/>
              </w:rPr>
              <w:t>Median OS (weeks)</w:t>
            </w:r>
          </w:p>
        </w:tc>
        <w:tc>
          <w:tcPr>
            <w:tcW w:w="1024" w:type="pct"/>
            <w:vAlign w:val="center"/>
          </w:tcPr>
          <w:p w:rsidR="00611101" w:rsidRPr="009A64DA" w:rsidRDefault="00611101" w:rsidP="00611101">
            <w:pPr>
              <w:jc w:val="center"/>
              <w:rPr>
                <w:rFonts w:ascii="Arial Narrow" w:hAnsi="Arial Narrow"/>
                <w:sz w:val="20"/>
              </w:rPr>
            </w:pPr>
            <w:r w:rsidRPr="009A64DA">
              <w:rPr>
                <w:rFonts w:ascii="Arial Narrow" w:hAnsi="Arial Narrow"/>
                <w:sz w:val="20"/>
              </w:rPr>
              <w:t>Not reached</w:t>
            </w:r>
          </w:p>
        </w:tc>
        <w:tc>
          <w:tcPr>
            <w:tcW w:w="932" w:type="pct"/>
            <w:vAlign w:val="center"/>
          </w:tcPr>
          <w:p w:rsidR="00611101" w:rsidRPr="009A64DA" w:rsidRDefault="00611101" w:rsidP="00611101">
            <w:pPr>
              <w:jc w:val="center"/>
              <w:rPr>
                <w:rFonts w:ascii="Arial Narrow" w:hAnsi="Arial Narrow"/>
                <w:sz w:val="20"/>
              </w:rPr>
            </w:pPr>
            <w:r w:rsidRPr="009A64DA">
              <w:rPr>
                <w:rFonts w:ascii="Arial Narrow" w:hAnsi="Arial Narrow"/>
                <w:sz w:val="20"/>
              </w:rPr>
              <w:t>292.4</w:t>
            </w:r>
          </w:p>
        </w:tc>
        <w:tc>
          <w:tcPr>
            <w:tcW w:w="1018" w:type="pct"/>
            <w:vMerge/>
            <w:vAlign w:val="center"/>
          </w:tcPr>
          <w:p w:rsidR="00611101" w:rsidRPr="009A64DA" w:rsidRDefault="00611101" w:rsidP="00611101">
            <w:pPr>
              <w:jc w:val="center"/>
              <w:rPr>
                <w:rFonts w:ascii="Arial Narrow" w:hAnsi="Arial Narrow"/>
                <w:color w:val="000000"/>
                <w:sz w:val="20"/>
              </w:rPr>
            </w:pPr>
          </w:p>
        </w:tc>
        <w:tc>
          <w:tcPr>
            <w:tcW w:w="931" w:type="pct"/>
            <w:vMerge/>
            <w:vAlign w:val="center"/>
          </w:tcPr>
          <w:p w:rsidR="00611101" w:rsidRPr="009A64DA" w:rsidRDefault="00611101" w:rsidP="00611101">
            <w:pPr>
              <w:jc w:val="center"/>
              <w:rPr>
                <w:rFonts w:ascii="Arial Narrow" w:hAnsi="Arial Narrow"/>
                <w:color w:val="000000"/>
                <w:sz w:val="20"/>
              </w:rPr>
            </w:pPr>
          </w:p>
        </w:tc>
      </w:tr>
      <w:tr w:rsidR="00611101" w:rsidRPr="009A64DA" w:rsidTr="00681268">
        <w:tc>
          <w:tcPr>
            <w:tcW w:w="1095" w:type="pct"/>
            <w:vMerge w:val="restart"/>
            <w:shd w:val="clear" w:color="auto" w:fill="auto"/>
            <w:vAlign w:val="center"/>
          </w:tcPr>
          <w:p w:rsidR="00611101" w:rsidRPr="009A64DA" w:rsidRDefault="00611101" w:rsidP="00611101">
            <w:pPr>
              <w:rPr>
                <w:rFonts w:ascii="Arial Narrow" w:hAnsi="Arial Narrow"/>
                <w:b/>
                <w:color w:val="000000"/>
                <w:sz w:val="20"/>
              </w:rPr>
            </w:pPr>
            <w:r w:rsidRPr="009A64DA">
              <w:rPr>
                <w:rFonts w:ascii="Arial Narrow" w:hAnsi="Arial Narrow"/>
                <w:b/>
                <w:color w:val="000000"/>
                <w:sz w:val="20"/>
              </w:rPr>
              <w:t>Harms</w:t>
            </w:r>
          </w:p>
        </w:tc>
        <w:tc>
          <w:tcPr>
            <w:tcW w:w="1024" w:type="pct"/>
            <w:vMerge w:val="restart"/>
            <w:vAlign w:val="center"/>
          </w:tcPr>
          <w:p w:rsidR="00611101" w:rsidRPr="009A64DA" w:rsidRDefault="00611101" w:rsidP="00611101">
            <w:pPr>
              <w:jc w:val="center"/>
              <w:rPr>
                <w:rFonts w:ascii="Arial Narrow" w:hAnsi="Arial Narrow"/>
                <w:b/>
                <w:sz w:val="20"/>
              </w:rPr>
            </w:pPr>
            <w:proofErr w:type="spellStart"/>
            <w:r w:rsidRPr="009A64DA">
              <w:rPr>
                <w:rFonts w:ascii="Arial Narrow" w:hAnsi="Arial Narrow"/>
                <w:b/>
                <w:sz w:val="20"/>
              </w:rPr>
              <w:t>Lanreotide</w:t>
            </w:r>
            <w:proofErr w:type="spellEnd"/>
          </w:p>
        </w:tc>
        <w:tc>
          <w:tcPr>
            <w:tcW w:w="932" w:type="pct"/>
            <w:vMerge w:val="restart"/>
            <w:vAlign w:val="center"/>
          </w:tcPr>
          <w:p w:rsidR="00611101" w:rsidRPr="009A64DA" w:rsidRDefault="00611101" w:rsidP="00611101">
            <w:pPr>
              <w:jc w:val="center"/>
              <w:rPr>
                <w:rFonts w:ascii="Arial Narrow" w:hAnsi="Arial Narrow"/>
                <w:b/>
                <w:sz w:val="20"/>
              </w:rPr>
            </w:pPr>
            <w:r w:rsidRPr="009A64DA">
              <w:rPr>
                <w:rFonts w:ascii="Arial Narrow" w:hAnsi="Arial Narrow"/>
                <w:b/>
                <w:sz w:val="20"/>
              </w:rPr>
              <w:t>Placebo</w:t>
            </w:r>
          </w:p>
        </w:tc>
        <w:tc>
          <w:tcPr>
            <w:tcW w:w="1949" w:type="pct"/>
            <w:gridSpan w:val="2"/>
            <w:vAlign w:val="center"/>
          </w:tcPr>
          <w:p w:rsidR="00611101" w:rsidRPr="009A64DA" w:rsidRDefault="00611101" w:rsidP="00611101">
            <w:pPr>
              <w:jc w:val="center"/>
              <w:rPr>
                <w:rFonts w:ascii="Arial Narrow" w:hAnsi="Arial Narrow"/>
                <w:b/>
                <w:color w:val="000000"/>
                <w:sz w:val="20"/>
              </w:rPr>
            </w:pPr>
            <w:r w:rsidRPr="009A64DA">
              <w:rPr>
                <w:rFonts w:ascii="Arial Narrow" w:hAnsi="Arial Narrow"/>
                <w:b/>
                <w:color w:val="000000"/>
                <w:sz w:val="20"/>
              </w:rPr>
              <w:t>Event rate per 100 patients</w:t>
            </w:r>
          </w:p>
        </w:tc>
      </w:tr>
      <w:tr w:rsidR="00611101" w:rsidRPr="009A64DA" w:rsidTr="00681268">
        <w:tc>
          <w:tcPr>
            <w:tcW w:w="1095" w:type="pct"/>
            <w:vMerge/>
            <w:shd w:val="clear" w:color="auto" w:fill="auto"/>
            <w:vAlign w:val="center"/>
          </w:tcPr>
          <w:p w:rsidR="00611101" w:rsidRPr="009A64DA" w:rsidRDefault="00611101" w:rsidP="00611101">
            <w:pPr>
              <w:rPr>
                <w:rFonts w:ascii="Arial Narrow" w:hAnsi="Arial Narrow"/>
                <w:b/>
                <w:color w:val="000000"/>
                <w:sz w:val="20"/>
              </w:rPr>
            </w:pPr>
          </w:p>
        </w:tc>
        <w:tc>
          <w:tcPr>
            <w:tcW w:w="1024" w:type="pct"/>
            <w:vMerge/>
            <w:vAlign w:val="center"/>
          </w:tcPr>
          <w:p w:rsidR="00611101" w:rsidRPr="009A64DA" w:rsidRDefault="00611101" w:rsidP="00611101">
            <w:pPr>
              <w:jc w:val="center"/>
              <w:rPr>
                <w:rFonts w:ascii="Arial Narrow" w:hAnsi="Arial Narrow"/>
                <w:b/>
                <w:sz w:val="20"/>
              </w:rPr>
            </w:pPr>
          </w:p>
        </w:tc>
        <w:tc>
          <w:tcPr>
            <w:tcW w:w="932" w:type="pct"/>
            <w:vMerge/>
            <w:vAlign w:val="center"/>
          </w:tcPr>
          <w:p w:rsidR="00611101" w:rsidRPr="009A64DA" w:rsidRDefault="00611101" w:rsidP="00611101">
            <w:pPr>
              <w:jc w:val="center"/>
              <w:rPr>
                <w:rFonts w:ascii="Arial Narrow" w:hAnsi="Arial Narrow"/>
                <w:b/>
                <w:sz w:val="20"/>
              </w:rPr>
            </w:pPr>
          </w:p>
        </w:tc>
        <w:tc>
          <w:tcPr>
            <w:tcW w:w="1018" w:type="pct"/>
            <w:vAlign w:val="center"/>
          </w:tcPr>
          <w:p w:rsidR="00611101" w:rsidRPr="009A64DA" w:rsidRDefault="00611101" w:rsidP="00611101">
            <w:pPr>
              <w:jc w:val="center"/>
              <w:rPr>
                <w:rFonts w:ascii="Arial Narrow" w:hAnsi="Arial Narrow"/>
                <w:b/>
                <w:sz w:val="20"/>
              </w:rPr>
            </w:pPr>
            <w:proofErr w:type="spellStart"/>
            <w:r w:rsidRPr="009A64DA">
              <w:rPr>
                <w:rFonts w:ascii="Arial Narrow" w:hAnsi="Arial Narrow"/>
                <w:b/>
                <w:sz w:val="20"/>
              </w:rPr>
              <w:t>Lanreotide</w:t>
            </w:r>
            <w:proofErr w:type="spellEnd"/>
          </w:p>
        </w:tc>
        <w:tc>
          <w:tcPr>
            <w:tcW w:w="931" w:type="pct"/>
            <w:vAlign w:val="center"/>
          </w:tcPr>
          <w:p w:rsidR="00611101" w:rsidRPr="009A64DA" w:rsidRDefault="00611101" w:rsidP="00611101">
            <w:pPr>
              <w:jc w:val="center"/>
              <w:rPr>
                <w:rFonts w:ascii="Arial Narrow" w:hAnsi="Arial Narrow"/>
                <w:b/>
                <w:sz w:val="20"/>
              </w:rPr>
            </w:pPr>
            <w:r w:rsidRPr="009A64DA">
              <w:rPr>
                <w:rFonts w:ascii="Arial Narrow" w:hAnsi="Arial Narrow"/>
                <w:b/>
                <w:sz w:val="20"/>
              </w:rPr>
              <w:t>Placebo</w:t>
            </w:r>
          </w:p>
        </w:tc>
      </w:tr>
      <w:tr w:rsidR="00611101" w:rsidRPr="009A64DA" w:rsidTr="00681268">
        <w:tc>
          <w:tcPr>
            <w:tcW w:w="1095" w:type="pct"/>
            <w:shd w:val="clear" w:color="auto" w:fill="auto"/>
            <w:vAlign w:val="center"/>
          </w:tcPr>
          <w:p w:rsidR="00611101" w:rsidRPr="009A64DA" w:rsidRDefault="00611101" w:rsidP="00611101">
            <w:pPr>
              <w:rPr>
                <w:rFonts w:ascii="Arial Narrow" w:hAnsi="Arial Narrow"/>
                <w:color w:val="000000"/>
                <w:sz w:val="20"/>
              </w:rPr>
            </w:pPr>
            <w:r w:rsidRPr="009A64DA">
              <w:rPr>
                <w:rFonts w:ascii="Arial Narrow" w:hAnsi="Arial Narrow"/>
                <w:color w:val="000000"/>
                <w:sz w:val="20"/>
              </w:rPr>
              <w:t>Gastrointestinal disorders</w:t>
            </w:r>
          </w:p>
        </w:tc>
        <w:tc>
          <w:tcPr>
            <w:tcW w:w="1024" w:type="pct"/>
            <w:vAlign w:val="center"/>
          </w:tcPr>
          <w:p w:rsidR="00611101" w:rsidRPr="009A64DA" w:rsidRDefault="00611101" w:rsidP="00611101">
            <w:pPr>
              <w:jc w:val="center"/>
              <w:rPr>
                <w:rFonts w:ascii="Arial Narrow" w:hAnsi="Arial Narrow"/>
                <w:sz w:val="20"/>
              </w:rPr>
            </w:pPr>
            <w:r w:rsidRPr="009A64DA">
              <w:rPr>
                <w:rFonts w:ascii="Arial Narrow" w:hAnsi="Arial Narrow"/>
                <w:sz w:val="20"/>
              </w:rPr>
              <w:t>37/101</w:t>
            </w:r>
          </w:p>
        </w:tc>
        <w:tc>
          <w:tcPr>
            <w:tcW w:w="932" w:type="pct"/>
            <w:vAlign w:val="center"/>
          </w:tcPr>
          <w:p w:rsidR="00611101" w:rsidRPr="009A64DA" w:rsidRDefault="00611101" w:rsidP="00611101">
            <w:pPr>
              <w:jc w:val="center"/>
              <w:rPr>
                <w:rFonts w:ascii="Arial Narrow" w:hAnsi="Arial Narrow"/>
                <w:sz w:val="20"/>
              </w:rPr>
            </w:pPr>
            <w:r w:rsidRPr="009A64DA">
              <w:rPr>
                <w:rFonts w:ascii="Arial Narrow" w:hAnsi="Arial Narrow"/>
                <w:sz w:val="20"/>
              </w:rPr>
              <w:t>20/103</w:t>
            </w:r>
          </w:p>
        </w:tc>
        <w:tc>
          <w:tcPr>
            <w:tcW w:w="1018" w:type="pct"/>
            <w:vAlign w:val="center"/>
          </w:tcPr>
          <w:p w:rsidR="00611101" w:rsidRPr="009A64DA" w:rsidRDefault="00611101" w:rsidP="00611101">
            <w:pPr>
              <w:jc w:val="center"/>
              <w:rPr>
                <w:rFonts w:ascii="Arial Narrow" w:hAnsi="Arial Narrow"/>
                <w:sz w:val="20"/>
              </w:rPr>
            </w:pPr>
            <w:r w:rsidRPr="009A64DA">
              <w:rPr>
                <w:rFonts w:ascii="Arial Narrow" w:hAnsi="Arial Narrow"/>
                <w:sz w:val="20"/>
              </w:rPr>
              <w:t>36.6</w:t>
            </w:r>
          </w:p>
        </w:tc>
        <w:tc>
          <w:tcPr>
            <w:tcW w:w="931" w:type="pct"/>
            <w:vAlign w:val="center"/>
          </w:tcPr>
          <w:p w:rsidR="00611101" w:rsidRPr="009A64DA" w:rsidRDefault="00611101" w:rsidP="00611101">
            <w:pPr>
              <w:jc w:val="center"/>
              <w:rPr>
                <w:rFonts w:ascii="Arial Narrow" w:hAnsi="Arial Narrow"/>
                <w:sz w:val="20"/>
              </w:rPr>
            </w:pPr>
            <w:r w:rsidRPr="009A64DA">
              <w:rPr>
                <w:rFonts w:ascii="Arial Narrow" w:hAnsi="Arial Narrow"/>
                <w:sz w:val="20"/>
              </w:rPr>
              <w:t>19.4</w:t>
            </w:r>
          </w:p>
        </w:tc>
      </w:tr>
      <w:tr w:rsidR="00611101" w:rsidRPr="009A64DA" w:rsidTr="00681268">
        <w:tc>
          <w:tcPr>
            <w:tcW w:w="1095" w:type="pct"/>
            <w:shd w:val="clear" w:color="auto" w:fill="auto"/>
            <w:vAlign w:val="center"/>
          </w:tcPr>
          <w:p w:rsidR="00611101" w:rsidRPr="009A64DA" w:rsidRDefault="00611101" w:rsidP="00611101">
            <w:pPr>
              <w:rPr>
                <w:rFonts w:ascii="Arial Narrow" w:hAnsi="Arial Narrow"/>
                <w:color w:val="000000"/>
                <w:sz w:val="20"/>
              </w:rPr>
            </w:pPr>
            <w:r w:rsidRPr="009A64DA">
              <w:rPr>
                <w:rFonts w:ascii="Arial Narrow" w:hAnsi="Arial Narrow"/>
                <w:color w:val="000000"/>
                <w:sz w:val="20"/>
              </w:rPr>
              <w:t>Injection site pain</w:t>
            </w:r>
          </w:p>
        </w:tc>
        <w:tc>
          <w:tcPr>
            <w:tcW w:w="1024" w:type="pct"/>
            <w:vAlign w:val="center"/>
          </w:tcPr>
          <w:p w:rsidR="00611101" w:rsidRPr="009A64DA" w:rsidRDefault="00611101" w:rsidP="00611101">
            <w:pPr>
              <w:tabs>
                <w:tab w:val="left" w:pos="720"/>
              </w:tabs>
              <w:jc w:val="center"/>
              <w:rPr>
                <w:rFonts w:ascii="Arial Narrow" w:hAnsi="Arial Narrow"/>
                <w:sz w:val="20"/>
              </w:rPr>
            </w:pPr>
            <w:r w:rsidRPr="009A64DA">
              <w:rPr>
                <w:rFonts w:ascii="Arial Narrow" w:hAnsi="Arial Narrow"/>
                <w:sz w:val="20"/>
              </w:rPr>
              <w:t xml:space="preserve">7/101 </w:t>
            </w:r>
          </w:p>
        </w:tc>
        <w:tc>
          <w:tcPr>
            <w:tcW w:w="932" w:type="pct"/>
            <w:vAlign w:val="center"/>
          </w:tcPr>
          <w:p w:rsidR="00611101" w:rsidRPr="009A64DA" w:rsidRDefault="00611101" w:rsidP="00611101">
            <w:pPr>
              <w:tabs>
                <w:tab w:val="left" w:pos="720"/>
              </w:tabs>
              <w:jc w:val="center"/>
              <w:rPr>
                <w:rFonts w:ascii="Arial Narrow" w:hAnsi="Arial Narrow"/>
                <w:sz w:val="20"/>
              </w:rPr>
            </w:pPr>
            <w:r w:rsidRPr="009A64DA">
              <w:rPr>
                <w:rFonts w:ascii="Arial Narrow" w:hAnsi="Arial Narrow"/>
                <w:sz w:val="20"/>
              </w:rPr>
              <w:t>Not relevant in practice</w:t>
            </w:r>
          </w:p>
        </w:tc>
        <w:tc>
          <w:tcPr>
            <w:tcW w:w="1018" w:type="pct"/>
            <w:vAlign w:val="center"/>
          </w:tcPr>
          <w:p w:rsidR="00611101" w:rsidRPr="009A64DA" w:rsidRDefault="00611101" w:rsidP="00611101">
            <w:pPr>
              <w:jc w:val="center"/>
              <w:rPr>
                <w:rFonts w:ascii="Arial Narrow" w:hAnsi="Arial Narrow"/>
                <w:color w:val="000000"/>
                <w:sz w:val="20"/>
              </w:rPr>
            </w:pPr>
            <w:r w:rsidRPr="009A64DA">
              <w:rPr>
                <w:rFonts w:ascii="Arial Narrow" w:hAnsi="Arial Narrow"/>
                <w:color w:val="000000"/>
                <w:sz w:val="20"/>
              </w:rPr>
              <w:t>6.9</w:t>
            </w:r>
          </w:p>
        </w:tc>
        <w:tc>
          <w:tcPr>
            <w:tcW w:w="931" w:type="pct"/>
            <w:vAlign w:val="center"/>
          </w:tcPr>
          <w:p w:rsidR="00611101" w:rsidRPr="009A64DA" w:rsidRDefault="00611101" w:rsidP="00611101">
            <w:pPr>
              <w:jc w:val="center"/>
              <w:rPr>
                <w:rFonts w:ascii="Arial Narrow" w:hAnsi="Arial Narrow"/>
                <w:color w:val="000000"/>
                <w:sz w:val="20"/>
              </w:rPr>
            </w:pPr>
            <w:r w:rsidRPr="009A64DA">
              <w:rPr>
                <w:rFonts w:ascii="Arial Narrow" w:hAnsi="Arial Narrow"/>
                <w:color w:val="000000"/>
                <w:sz w:val="20"/>
              </w:rPr>
              <w:t xml:space="preserve">Not relevant in </w:t>
            </w:r>
          </w:p>
          <w:p w:rsidR="00611101" w:rsidRPr="009A64DA" w:rsidRDefault="00611101" w:rsidP="00611101">
            <w:pPr>
              <w:jc w:val="center"/>
              <w:rPr>
                <w:rFonts w:ascii="Arial Narrow" w:hAnsi="Arial Narrow"/>
                <w:color w:val="000000"/>
                <w:sz w:val="20"/>
              </w:rPr>
            </w:pPr>
            <w:r w:rsidRPr="009A64DA">
              <w:rPr>
                <w:rFonts w:ascii="Arial Narrow" w:hAnsi="Arial Narrow"/>
                <w:color w:val="000000"/>
                <w:sz w:val="20"/>
              </w:rPr>
              <w:t>practice</w:t>
            </w:r>
          </w:p>
        </w:tc>
      </w:tr>
      <w:tr w:rsidR="00611101" w:rsidRPr="009A64DA" w:rsidTr="00681268">
        <w:tc>
          <w:tcPr>
            <w:tcW w:w="1095" w:type="pct"/>
            <w:shd w:val="clear" w:color="auto" w:fill="auto"/>
            <w:vAlign w:val="center"/>
          </w:tcPr>
          <w:p w:rsidR="00611101" w:rsidRPr="009A64DA" w:rsidRDefault="00611101" w:rsidP="00611101">
            <w:pPr>
              <w:rPr>
                <w:rFonts w:ascii="Arial Narrow" w:hAnsi="Arial Narrow"/>
                <w:color w:val="000000"/>
                <w:sz w:val="20"/>
              </w:rPr>
            </w:pPr>
            <w:proofErr w:type="spellStart"/>
            <w:r w:rsidRPr="009A64DA">
              <w:rPr>
                <w:rFonts w:ascii="Arial Narrow" w:hAnsi="Arial Narrow"/>
                <w:color w:val="000000"/>
                <w:sz w:val="20"/>
              </w:rPr>
              <w:t>Cholelithiasis</w:t>
            </w:r>
            <w:r w:rsidRPr="009A64DA">
              <w:rPr>
                <w:rFonts w:ascii="Arial Narrow" w:hAnsi="Arial Narrow"/>
                <w:color w:val="000000"/>
                <w:sz w:val="20"/>
                <w:vertAlign w:val="superscript"/>
              </w:rPr>
              <w:t>a</w:t>
            </w:r>
            <w:proofErr w:type="spellEnd"/>
          </w:p>
        </w:tc>
        <w:tc>
          <w:tcPr>
            <w:tcW w:w="1024" w:type="pct"/>
            <w:vAlign w:val="center"/>
          </w:tcPr>
          <w:p w:rsidR="00611101" w:rsidRPr="009A64DA" w:rsidRDefault="00611101" w:rsidP="00611101">
            <w:pPr>
              <w:jc w:val="center"/>
              <w:rPr>
                <w:rFonts w:ascii="Arial Narrow" w:hAnsi="Arial Narrow"/>
                <w:sz w:val="20"/>
              </w:rPr>
            </w:pPr>
            <w:r w:rsidRPr="009A64DA">
              <w:rPr>
                <w:rFonts w:ascii="Arial Narrow" w:hAnsi="Arial Narrow"/>
                <w:sz w:val="20"/>
              </w:rPr>
              <w:t>10/60</w:t>
            </w:r>
          </w:p>
        </w:tc>
        <w:tc>
          <w:tcPr>
            <w:tcW w:w="932" w:type="pct"/>
            <w:vAlign w:val="center"/>
          </w:tcPr>
          <w:p w:rsidR="00611101" w:rsidRPr="009A64DA" w:rsidRDefault="00611101" w:rsidP="00611101">
            <w:pPr>
              <w:jc w:val="center"/>
              <w:rPr>
                <w:rFonts w:ascii="Arial Narrow" w:hAnsi="Arial Narrow"/>
                <w:sz w:val="20"/>
              </w:rPr>
            </w:pPr>
            <w:r w:rsidRPr="009A64DA">
              <w:rPr>
                <w:rFonts w:ascii="Arial Narrow" w:hAnsi="Arial Narrow"/>
                <w:sz w:val="20"/>
              </w:rPr>
              <w:t>3/67</w:t>
            </w:r>
          </w:p>
        </w:tc>
        <w:tc>
          <w:tcPr>
            <w:tcW w:w="1018" w:type="pct"/>
            <w:vAlign w:val="center"/>
          </w:tcPr>
          <w:p w:rsidR="00611101" w:rsidRPr="009A64DA" w:rsidRDefault="00611101" w:rsidP="00611101">
            <w:pPr>
              <w:jc w:val="center"/>
              <w:rPr>
                <w:rFonts w:ascii="Arial Narrow" w:hAnsi="Arial Narrow"/>
                <w:color w:val="000000"/>
                <w:sz w:val="20"/>
              </w:rPr>
            </w:pPr>
            <w:r w:rsidRPr="009A64DA">
              <w:rPr>
                <w:rFonts w:ascii="Arial Narrow" w:hAnsi="Arial Narrow"/>
                <w:color w:val="000000"/>
                <w:sz w:val="20"/>
              </w:rPr>
              <w:t>16.7</w:t>
            </w:r>
          </w:p>
        </w:tc>
        <w:tc>
          <w:tcPr>
            <w:tcW w:w="931" w:type="pct"/>
            <w:vAlign w:val="center"/>
          </w:tcPr>
          <w:p w:rsidR="00611101" w:rsidRPr="009A64DA" w:rsidRDefault="00611101" w:rsidP="00611101">
            <w:pPr>
              <w:jc w:val="center"/>
              <w:rPr>
                <w:rFonts w:ascii="Arial Narrow" w:hAnsi="Arial Narrow"/>
                <w:color w:val="000000"/>
                <w:sz w:val="20"/>
              </w:rPr>
            </w:pPr>
            <w:r w:rsidRPr="009A64DA">
              <w:rPr>
                <w:rFonts w:ascii="Arial Narrow" w:hAnsi="Arial Narrow"/>
                <w:color w:val="000000"/>
                <w:sz w:val="20"/>
              </w:rPr>
              <w:t>4.5</w:t>
            </w:r>
          </w:p>
        </w:tc>
      </w:tr>
    </w:tbl>
    <w:p w:rsidR="00611101" w:rsidRPr="009A64DA" w:rsidRDefault="00611101" w:rsidP="00611101">
      <w:pPr>
        <w:ind w:left="709"/>
        <w:rPr>
          <w:rFonts w:ascii="Arial Narrow" w:hAnsi="Arial Narrow"/>
          <w:sz w:val="18"/>
        </w:rPr>
      </w:pPr>
      <w:r w:rsidRPr="009A64DA">
        <w:rPr>
          <w:rFonts w:ascii="Arial Narrow" w:hAnsi="Arial Narrow"/>
          <w:sz w:val="18"/>
        </w:rPr>
        <w:t>Abbreviations: HR, hazard ratio; OS, overall survival; PFS, progression</w:t>
      </w:r>
      <w:r w:rsidR="00396C30">
        <w:rPr>
          <w:rFonts w:ascii="Arial Narrow" w:hAnsi="Arial Narrow"/>
          <w:sz w:val="18"/>
        </w:rPr>
        <w:t xml:space="preserve"> </w:t>
      </w:r>
      <w:r w:rsidRPr="009A64DA">
        <w:rPr>
          <w:rFonts w:ascii="Arial Narrow" w:hAnsi="Arial Narrow"/>
          <w:sz w:val="18"/>
        </w:rPr>
        <w:t>free survival</w:t>
      </w:r>
    </w:p>
    <w:p w:rsidR="00611101" w:rsidRPr="009A64DA" w:rsidRDefault="00611101" w:rsidP="00611101">
      <w:pPr>
        <w:ind w:left="709"/>
        <w:rPr>
          <w:rFonts w:ascii="Arial Narrow" w:hAnsi="Arial Narrow"/>
          <w:i/>
          <w:sz w:val="18"/>
        </w:rPr>
      </w:pPr>
      <w:proofErr w:type="gramStart"/>
      <w:r w:rsidRPr="009A64DA">
        <w:rPr>
          <w:rFonts w:ascii="Arial Narrow" w:hAnsi="Arial Narrow"/>
          <w:sz w:val="18"/>
          <w:vertAlign w:val="superscript"/>
        </w:rPr>
        <w:t>a</w:t>
      </w:r>
      <w:proofErr w:type="gramEnd"/>
      <w:r w:rsidRPr="009A64DA">
        <w:rPr>
          <w:rFonts w:ascii="Arial Narrow" w:hAnsi="Arial Narrow"/>
          <w:sz w:val="18"/>
        </w:rPr>
        <w:t xml:space="preserve"> Denominator adjusted for the proportion of patients who had undergone a cholecystectomy prior to study entry</w:t>
      </w:r>
    </w:p>
    <w:p w:rsidR="00611101" w:rsidRPr="009A64DA" w:rsidRDefault="00611101" w:rsidP="00611101">
      <w:pPr>
        <w:pStyle w:val="PBACHeading1"/>
        <w:numPr>
          <w:ilvl w:val="0"/>
          <w:numId w:val="0"/>
        </w:numPr>
        <w:ind w:left="720"/>
      </w:pPr>
    </w:p>
    <w:p w:rsidR="00611101" w:rsidRPr="009A64DA" w:rsidRDefault="00611101" w:rsidP="00611101">
      <w:pPr>
        <w:ind w:left="709"/>
      </w:pPr>
      <w:r w:rsidRPr="009A64DA">
        <w:t xml:space="preserve">On the basis of the direct evidence presented in the submission, </w:t>
      </w:r>
      <w:proofErr w:type="spellStart"/>
      <w:r w:rsidRPr="009A64DA">
        <w:t>lanreotide</w:t>
      </w:r>
      <w:proofErr w:type="spellEnd"/>
      <w:r w:rsidRPr="009A64DA">
        <w:t xml:space="preserve"> compared with placebo (for watchful waiting) resulted in:</w:t>
      </w:r>
    </w:p>
    <w:p w:rsidR="00611101" w:rsidRPr="009A64DA" w:rsidRDefault="00611101" w:rsidP="0030238C">
      <w:pPr>
        <w:pStyle w:val="ListParagraph"/>
        <w:numPr>
          <w:ilvl w:val="0"/>
          <w:numId w:val="3"/>
        </w:numPr>
      </w:pPr>
      <w:r w:rsidRPr="009A64DA">
        <w:t>A statistically significant increase in progression free survival. While substantial, the difference in progression</w:t>
      </w:r>
      <w:r w:rsidR="00396C30">
        <w:t xml:space="preserve"> </w:t>
      </w:r>
      <w:r w:rsidRPr="009A64DA">
        <w:t xml:space="preserve">free survival was unable to be quantified as insufficient patients treated with </w:t>
      </w:r>
      <w:proofErr w:type="spellStart"/>
      <w:r w:rsidRPr="009A64DA">
        <w:t>lanreotide</w:t>
      </w:r>
      <w:proofErr w:type="spellEnd"/>
      <w:r w:rsidRPr="009A64DA">
        <w:t xml:space="preserve"> had experienced disease progression by the end of the trial (at 96-weeks);</w:t>
      </w:r>
    </w:p>
    <w:p w:rsidR="00611101" w:rsidRPr="009A64DA" w:rsidRDefault="00611101" w:rsidP="0030238C">
      <w:pPr>
        <w:pStyle w:val="ListParagraph"/>
        <w:numPr>
          <w:ilvl w:val="0"/>
          <w:numId w:val="3"/>
        </w:numPr>
      </w:pPr>
      <w:r w:rsidRPr="009A64DA">
        <w:t>No statistically significant difference in overall survival;</w:t>
      </w:r>
    </w:p>
    <w:p w:rsidR="00611101" w:rsidRPr="009A64DA" w:rsidRDefault="00611101" w:rsidP="0030238C">
      <w:pPr>
        <w:pStyle w:val="ListParagraph"/>
        <w:numPr>
          <w:ilvl w:val="0"/>
          <w:numId w:val="3"/>
        </w:numPr>
      </w:pPr>
      <w:r w:rsidRPr="009A64DA">
        <w:t>Approximately 17 additional patients experiencing gastrointestinal disorders for every 100 patients treated;</w:t>
      </w:r>
    </w:p>
    <w:p w:rsidR="00611101" w:rsidRPr="009A64DA" w:rsidRDefault="00611101" w:rsidP="0030238C">
      <w:pPr>
        <w:pStyle w:val="ListParagraph"/>
        <w:numPr>
          <w:ilvl w:val="0"/>
          <w:numId w:val="3"/>
        </w:numPr>
      </w:pPr>
      <w:r w:rsidRPr="009A64DA">
        <w:t>Approximately 7 patients experiencing injection site pain for every 100 patients treated; and</w:t>
      </w:r>
    </w:p>
    <w:p w:rsidR="00611101" w:rsidRPr="009A64DA" w:rsidRDefault="00611101" w:rsidP="0030238C">
      <w:pPr>
        <w:pStyle w:val="ListParagraph"/>
        <w:numPr>
          <w:ilvl w:val="0"/>
          <w:numId w:val="3"/>
        </w:numPr>
      </w:pPr>
      <w:r w:rsidRPr="009A64DA">
        <w:t xml:space="preserve">Approximately 12 additional patients experiencing </w:t>
      </w:r>
      <w:proofErr w:type="spellStart"/>
      <w:r w:rsidRPr="009A64DA">
        <w:t>cholelithiasis</w:t>
      </w:r>
      <w:proofErr w:type="spellEnd"/>
      <w:r w:rsidRPr="009A64DA">
        <w:t xml:space="preserve"> (gallstones) for every 100 patients with an intact gallbladder.</w:t>
      </w:r>
    </w:p>
    <w:p w:rsidR="000A3295" w:rsidRPr="009A64DA" w:rsidRDefault="000A3295" w:rsidP="00617ECC">
      <w:r w:rsidRPr="009A64DA">
        <w:t xml:space="preserve"> </w:t>
      </w:r>
    </w:p>
    <w:p w:rsidR="00611101" w:rsidRPr="009A64DA" w:rsidRDefault="00611101" w:rsidP="00E975B1">
      <w:pPr>
        <w:pStyle w:val="Heading2"/>
      </w:pPr>
      <w:bookmarkStart w:id="12" w:name="_Toc430010753"/>
      <w:r w:rsidRPr="009A64DA">
        <w:t>Clinical claim</w:t>
      </w:r>
      <w:bookmarkEnd w:id="12"/>
    </w:p>
    <w:p w:rsidR="00611101" w:rsidRPr="009A64DA" w:rsidRDefault="00611101" w:rsidP="00611101">
      <w:pPr>
        <w:ind w:left="720" w:hanging="720"/>
        <w:rPr>
          <w:szCs w:val="22"/>
        </w:rPr>
      </w:pPr>
    </w:p>
    <w:p w:rsidR="00611101" w:rsidRPr="009A64DA" w:rsidRDefault="00611101" w:rsidP="0030238C">
      <w:pPr>
        <w:pStyle w:val="ListParagraph"/>
        <w:widowControl/>
        <w:numPr>
          <w:ilvl w:val="1"/>
          <w:numId w:val="2"/>
        </w:numPr>
        <w:rPr>
          <w:szCs w:val="22"/>
        </w:rPr>
      </w:pPr>
      <w:r w:rsidRPr="009A64DA">
        <w:rPr>
          <w:szCs w:val="22"/>
        </w:rPr>
        <w:t>The submission describe</w:t>
      </w:r>
      <w:r w:rsidR="0021776F" w:rsidRPr="009A64DA">
        <w:rPr>
          <w:szCs w:val="22"/>
        </w:rPr>
        <w:t>d</w:t>
      </w:r>
      <w:r w:rsidRPr="009A64DA">
        <w:rPr>
          <w:szCs w:val="22"/>
        </w:rPr>
        <w:t xml:space="preserve"> </w:t>
      </w:r>
      <w:proofErr w:type="spellStart"/>
      <w:r w:rsidRPr="009A64DA">
        <w:rPr>
          <w:szCs w:val="22"/>
        </w:rPr>
        <w:t>lanreotide</w:t>
      </w:r>
      <w:proofErr w:type="spellEnd"/>
      <w:r w:rsidRPr="009A64DA">
        <w:rPr>
          <w:szCs w:val="22"/>
        </w:rPr>
        <w:t xml:space="preserve"> as superior in terms of eff</w:t>
      </w:r>
      <w:r w:rsidR="00D84EB5" w:rsidRPr="009A64DA">
        <w:rPr>
          <w:szCs w:val="22"/>
        </w:rPr>
        <w:t>ectiveness</w:t>
      </w:r>
      <w:r w:rsidRPr="009A64DA">
        <w:rPr>
          <w:szCs w:val="22"/>
        </w:rPr>
        <w:t xml:space="preserve"> and non-inferior in terms of safety compared </w:t>
      </w:r>
      <w:r w:rsidR="00F76FD3">
        <w:rPr>
          <w:szCs w:val="22"/>
        </w:rPr>
        <w:t>with</w:t>
      </w:r>
      <w:r w:rsidRPr="009A64DA">
        <w:rPr>
          <w:szCs w:val="22"/>
        </w:rPr>
        <w:t xml:space="preserve"> placebo. </w:t>
      </w:r>
      <w:r w:rsidR="00E256FB" w:rsidRPr="009A64DA">
        <w:rPr>
          <w:szCs w:val="22"/>
        </w:rPr>
        <w:t>The ESC considered</w:t>
      </w:r>
      <w:r w:rsidR="00E256FB" w:rsidRPr="009A64DA">
        <w:rPr>
          <w:i/>
          <w:szCs w:val="22"/>
        </w:rPr>
        <w:t xml:space="preserve"> </w:t>
      </w:r>
      <w:r w:rsidR="00E256FB" w:rsidRPr="009A64DA">
        <w:rPr>
          <w:szCs w:val="22"/>
        </w:rPr>
        <w:t>t</w:t>
      </w:r>
      <w:r w:rsidRPr="009A64DA">
        <w:rPr>
          <w:szCs w:val="22"/>
        </w:rPr>
        <w:t xml:space="preserve">his claim </w:t>
      </w:r>
      <w:r w:rsidR="0021776F" w:rsidRPr="009A64DA">
        <w:rPr>
          <w:szCs w:val="22"/>
        </w:rPr>
        <w:t>wa</w:t>
      </w:r>
      <w:r w:rsidRPr="009A64DA">
        <w:rPr>
          <w:szCs w:val="22"/>
        </w:rPr>
        <w:t>s reasonable in terms of eff</w:t>
      </w:r>
      <w:r w:rsidR="00D84EB5" w:rsidRPr="009A64DA">
        <w:rPr>
          <w:szCs w:val="22"/>
        </w:rPr>
        <w:t>ectiveness</w:t>
      </w:r>
      <w:r w:rsidR="00E256FB" w:rsidRPr="009A64DA">
        <w:rPr>
          <w:szCs w:val="22"/>
        </w:rPr>
        <w:t xml:space="preserve"> </w:t>
      </w:r>
      <w:r w:rsidRPr="009A64DA">
        <w:rPr>
          <w:szCs w:val="22"/>
        </w:rPr>
        <w:t>but not in terms of safety.</w:t>
      </w:r>
    </w:p>
    <w:p w:rsidR="00D84EB5" w:rsidRPr="009A64DA" w:rsidRDefault="00D84EB5" w:rsidP="00D84EB5">
      <w:pPr>
        <w:pStyle w:val="ListParagraph"/>
        <w:widowControl/>
        <w:rPr>
          <w:szCs w:val="22"/>
        </w:rPr>
      </w:pPr>
    </w:p>
    <w:p w:rsidR="00D84EB5" w:rsidRPr="009A64DA" w:rsidRDefault="00D84EB5" w:rsidP="00D84EB5">
      <w:pPr>
        <w:pStyle w:val="ListParagraph"/>
        <w:widowControl/>
        <w:numPr>
          <w:ilvl w:val="1"/>
          <w:numId w:val="2"/>
        </w:numPr>
        <w:rPr>
          <w:szCs w:val="22"/>
        </w:rPr>
      </w:pPr>
      <w:r w:rsidRPr="009A64DA">
        <w:rPr>
          <w:szCs w:val="22"/>
        </w:rPr>
        <w:t>The PBAC considered the superior effectiveness claim valid, although difficult to interpret, and that safety was inferior compared to placebo.</w:t>
      </w:r>
    </w:p>
    <w:p w:rsidR="00710AF6" w:rsidRPr="009A64DA" w:rsidRDefault="00710AF6" w:rsidP="00710AF6">
      <w:pPr>
        <w:pStyle w:val="Header"/>
        <w:ind w:firstLine="709"/>
        <w:rPr>
          <w:i/>
          <w:szCs w:val="22"/>
        </w:rPr>
      </w:pPr>
    </w:p>
    <w:p w:rsidR="00710AF6" w:rsidRPr="009A64DA" w:rsidRDefault="00710AF6" w:rsidP="00710AF6">
      <w:pPr>
        <w:pStyle w:val="Header"/>
        <w:ind w:firstLine="709"/>
        <w:rPr>
          <w:szCs w:val="22"/>
        </w:rPr>
      </w:pPr>
      <w:r w:rsidRPr="009A64DA">
        <w:rPr>
          <w:i/>
          <w:szCs w:val="22"/>
        </w:rPr>
        <w:t>For more detail on PBAC’s view, see section 7 “PBAC outcome”</w:t>
      </w:r>
    </w:p>
    <w:p w:rsidR="00E256FB" w:rsidRPr="009A64DA" w:rsidRDefault="00E256FB" w:rsidP="00611101">
      <w:pPr>
        <w:ind w:left="720" w:hanging="720"/>
        <w:rPr>
          <w:szCs w:val="22"/>
        </w:rPr>
      </w:pPr>
    </w:p>
    <w:p w:rsidR="00611101" w:rsidRPr="009A64DA" w:rsidRDefault="00611101" w:rsidP="00E975B1">
      <w:pPr>
        <w:pStyle w:val="Heading2"/>
      </w:pPr>
      <w:bookmarkStart w:id="13" w:name="_Toc430010754"/>
      <w:r w:rsidRPr="009A64DA">
        <w:t>Economic analysis</w:t>
      </w:r>
      <w:bookmarkEnd w:id="13"/>
      <w:r w:rsidRPr="009A64DA">
        <w:t xml:space="preserve"> </w:t>
      </w:r>
    </w:p>
    <w:p w:rsidR="00611101" w:rsidRPr="009A64DA" w:rsidRDefault="00611101" w:rsidP="00611101">
      <w:pPr>
        <w:ind w:left="720" w:hanging="720"/>
        <w:rPr>
          <w:szCs w:val="22"/>
        </w:rPr>
      </w:pPr>
    </w:p>
    <w:p w:rsidR="00611101" w:rsidRPr="009A64DA" w:rsidRDefault="00611101" w:rsidP="0030238C">
      <w:pPr>
        <w:pStyle w:val="ListParagraph"/>
        <w:widowControl/>
        <w:numPr>
          <w:ilvl w:val="1"/>
          <w:numId w:val="2"/>
        </w:numPr>
        <w:rPr>
          <w:szCs w:val="22"/>
        </w:rPr>
      </w:pPr>
      <w:r w:rsidRPr="009A64DA">
        <w:rPr>
          <w:szCs w:val="22"/>
        </w:rPr>
        <w:t xml:space="preserve">The submission presented a modelled cost-effectiveness/cost-utility analysis comparing </w:t>
      </w:r>
      <w:proofErr w:type="spellStart"/>
      <w:r w:rsidRPr="009A64DA">
        <w:rPr>
          <w:szCs w:val="22"/>
        </w:rPr>
        <w:t>lanreotide</w:t>
      </w:r>
      <w:proofErr w:type="spellEnd"/>
      <w:r w:rsidRPr="009A64DA">
        <w:rPr>
          <w:szCs w:val="22"/>
        </w:rPr>
        <w:t xml:space="preserve"> </w:t>
      </w:r>
      <w:r w:rsidR="00F76FD3">
        <w:rPr>
          <w:szCs w:val="22"/>
        </w:rPr>
        <w:t>with</w:t>
      </w:r>
      <w:r w:rsidRPr="009A64DA">
        <w:rPr>
          <w:szCs w:val="22"/>
        </w:rPr>
        <w:t xml:space="preserve"> watchful waiting (placebo) as an anti-proliferative agent for the treatment of patients with GEP-NETs.</w:t>
      </w:r>
    </w:p>
    <w:p w:rsidR="00611101" w:rsidRPr="009A64DA" w:rsidRDefault="00611101" w:rsidP="00611101">
      <w:pPr>
        <w:widowControl/>
        <w:rPr>
          <w:szCs w:val="22"/>
        </w:rPr>
      </w:pPr>
    </w:p>
    <w:p w:rsidR="00611101" w:rsidRPr="009A64DA" w:rsidRDefault="00611101" w:rsidP="0030238C">
      <w:pPr>
        <w:pStyle w:val="ListParagraph"/>
        <w:widowControl/>
        <w:numPr>
          <w:ilvl w:val="1"/>
          <w:numId w:val="2"/>
        </w:numPr>
        <w:rPr>
          <w:szCs w:val="22"/>
        </w:rPr>
      </w:pPr>
      <w:r w:rsidRPr="009A64DA">
        <w:rPr>
          <w:szCs w:val="22"/>
        </w:rPr>
        <w:t>A summary of the model structure and rationale is presented in the table below</w:t>
      </w:r>
      <w:r w:rsidR="0021776F" w:rsidRPr="009A64DA">
        <w:rPr>
          <w:szCs w:val="22"/>
        </w:rPr>
        <w:t>.</w:t>
      </w:r>
    </w:p>
    <w:p w:rsidR="00BD69F2" w:rsidRPr="009A64DA" w:rsidRDefault="00BD69F2" w:rsidP="001B000E">
      <w:pPr>
        <w:widowControl/>
        <w:spacing w:line="720" w:lineRule="auto"/>
        <w:jc w:val="left"/>
        <w:rPr>
          <w:rStyle w:val="CommentReference"/>
        </w:rPr>
      </w:pPr>
    </w:p>
    <w:p w:rsidR="00611101" w:rsidRPr="009A64DA" w:rsidRDefault="00611101" w:rsidP="00F24623">
      <w:pPr>
        <w:widowControl/>
        <w:ind w:firstLine="720"/>
        <w:jc w:val="left"/>
        <w:rPr>
          <w:rStyle w:val="CommentReference"/>
        </w:rPr>
      </w:pPr>
      <w:r w:rsidRPr="009A64DA">
        <w:rPr>
          <w:rStyle w:val="CommentReference"/>
        </w:rPr>
        <w:t xml:space="preserve">Table </w:t>
      </w:r>
      <w:r w:rsidR="00AD5DCC" w:rsidRPr="009A64DA">
        <w:rPr>
          <w:rStyle w:val="CommentReference"/>
        </w:rPr>
        <w:t>4</w:t>
      </w:r>
      <w:r w:rsidRPr="009A64DA">
        <w:rPr>
          <w:rStyle w:val="CommentReference"/>
        </w:rPr>
        <w:t>: Summary of model structure and rationale</w:t>
      </w:r>
    </w:p>
    <w:tbl>
      <w:tblPr>
        <w:tblW w:w="8330" w:type="dxa"/>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4: Summary of model structure and rationale"/>
      </w:tblPr>
      <w:tblGrid>
        <w:gridCol w:w="2548"/>
        <w:gridCol w:w="5782"/>
      </w:tblGrid>
      <w:tr w:rsidR="00611101" w:rsidRPr="009A64DA" w:rsidTr="00611101">
        <w:tc>
          <w:tcPr>
            <w:tcW w:w="2548" w:type="dxa"/>
            <w:shd w:val="clear" w:color="auto" w:fill="auto"/>
          </w:tcPr>
          <w:p w:rsidR="00611101" w:rsidRPr="009A64DA" w:rsidRDefault="00611101" w:rsidP="00611101">
            <w:pPr>
              <w:rPr>
                <w:rFonts w:ascii="Arial Narrow" w:hAnsi="Arial Narrow"/>
                <w:sz w:val="20"/>
              </w:rPr>
            </w:pPr>
            <w:r w:rsidRPr="009A64DA">
              <w:rPr>
                <w:rFonts w:ascii="Arial Narrow" w:hAnsi="Arial Narrow"/>
                <w:sz w:val="20"/>
              </w:rPr>
              <w:t>Methods used to generate results</w:t>
            </w:r>
          </w:p>
        </w:tc>
        <w:tc>
          <w:tcPr>
            <w:tcW w:w="5782" w:type="dxa"/>
            <w:shd w:val="clear" w:color="auto" w:fill="auto"/>
          </w:tcPr>
          <w:p w:rsidR="00611101" w:rsidRPr="009A64DA" w:rsidRDefault="00611101" w:rsidP="00611101">
            <w:pPr>
              <w:rPr>
                <w:rFonts w:ascii="Arial Narrow" w:hAnsi="Arial Narrow"/>
                <w:sz w:val="20"/>
              </w:rPr>
            </w:pPr>
            <w:r w:rsidRPr="009A64DA">
              <w:rPr>
                <w:rFonts w:ascii="Arial Narrow" w:hAnsi="Arial Narrow"/>
                <w:sz w:val="20"/>
              </w:rPr>
              <w:t>Markov cohort expected value analysis (1,000 patients)</w:t>
            </w:r>
          </w:p>
        </w:tc>
      </w:tr>
      <w:tr w:rsidR="00611101" w:rsidRPr="009A64DA" w:rsidTr="00611101">
        <w:tc>
          <w:tcPr>
            <w:tcW w:w="2548" w:type="dxa"/>
            <w:shd w:val="clear" w:color="auto" w:fill="auto"/>
          </w:tcPr>
          <w:p w:rsidR="00611101" w:rsidRPr="009A64DA" w:rsidRDefault="00611101" w:rsidP="00611101">
            <w:pPr>
              <w:rPr>
                <w:rFonts w:ascii="Arial Narrow" w:hAnsi="Arial Narrow"/>
                <w:sz w:val="20"/>
              </w:rPr>
            </w:pPr>
            <w:r w:rsidRPr="009A64DA">
              <w:rPr>
                <w:rFonts w:ascii="Arial Narrow" w:hAnsi="Arial Narrow"/>
                <w:sz w:val="20"/>
              </w:rPr>
              <w:t>Time horizon</w:t>
            </w:r>
          </w:p>
        </w:tc>
        <w:tc>
          <w:tcPr>
            <w:tcW w:w="5782" w:type="dxa"/>
            <w:shd w:val="clear" w:color="auto" w:fill="auto"/>
          </w:tcPr>
          <w:p w:rsidR="00611101" w:rsidRPr="009A64DA" w:rsidRDefault="00611101" w:rsidP="00611101">
            <w:pPr>
              <w:rPr>
                <w:rFonts w:ascii="Arial Narrow" w:hAnsi="Arial Narrow"/>
                <w:sz w:val="20"/>
              </w:rPr>
            </w:pPr>
            <w:r w:rsidRPr="009A64DA">
              <w:rPr>
                <w:rFonts w:ascii="Arial Narrow" w:hAnsi="Arial Narrow"/>
                <w:sz w:val="20"/>
              </w:rPr>
              <w:t>20 years</w:t>
            </w:r>
          </w:p>
        </w:tc>
      </w:tr>
      <w:tr w:rsidR="00611101" w:rsidRPr="009A64DA" w:rsidTr="00611101">
        <w:tc>
          <w:tcPr>
            <w:tcW w:w="2548" w:type="dxa"/>
            <w:shd w:val="clear" w:color="auto" w:fill="auto"/>
          </w:tcPr>
          <w:p w:rsidR="00611101" w:rsidRPr="009A64DA" w:rsidRDefault="00611101" w:rsidP="00611101">
            <w:pPr>
              <w:rPr>
                <w:rFonts w:ascii="Arial Narrow" w:hAnsi="Arial Narrow"/>
                <w:sz w:val="20"/>
              </w:rPr>
            </w:pPr>
            <w:r w:rsidRPr="009A64DA">
              <w:rPr>
                <w:rFonts w:ascii="Arial Narrow" w:hAnsi="Arial Narrow"/>
                <w:sz w:val="20"/>
              </w:rPr>
              <w:t>Cycle length</w:t>
            </w:r>
          </w:p>
        </w:tc>
        <w:tc>
          <w:tcPr>
            <w:tcW w:w="5782" w:type="dxa"/>
            <w:shd w:val="clear" w:color="auto" w:fill="auto"/>
          </w:tcPr>
          <w:p w:rsidR="00611101" w:rsidRPr="009A64DA" w:rsidRDefault="00611101" w:rsidP="00611101">
            <w:pPr>
              <w:rPr>
                <w:rFonts w:ascii="Arial Narrow" w:hAnsi="Arial Narrow"/>
                <w:sz w:val="20"/>
              </w:rPr>
            </w:pPr>
            <w:r w:rsidRPr="009A64DA">
              <w:rPr>
                <w:rFonts w:ascii="Arial Narrow" w:hAnsi="Arial Narrow"/>
                <w:sz w:val="20"/>
              </w:rPr>
              <w:t>12 weeks; no half-cycle correction</w:t>
            </w:r>
          </w:p>
        </w:tc>
      </w:tr>
      <w:tr w:rsidR="00611101" w:rsidRPr="009A64DA" w:rsidTr="00611101">
        <w:tc>
          <w:tcPr>
            <w:tcW w:w="2548" w:type="dxa"/>
            <w:shd w:val="clear" w:color="auto" w:fill="auto"/>
          </w:tcPr>
          <w:p w:rsidR="00611101" w:rsidRPr="009A64DA" w:rsidRDefault="00611101" w:rsidP="00611101">
            <w:pPr>
              <w:rPr>
                <w:rFonts w:ascii="Arial Narrow" w:hAnsi="Arial Narrow"/>
                <w:sz w:val="20"/>
              </w:rPr>
            </w:pPr>
            <w:r w:rsidRPr="009A64DA">
              <w:rPr>
                <w:rFonts w:ascii="Arial Narrow" w:hAnsi="Arial Narrow"/>
                <w:sz w:val="20"/>
              </w:rPr>
              <w:t>Treatments</w:t>
            </w:r>
          </w:p>
        </w:tc>
        <w:tc>
          <w:tcPr>
            <w:tcW w:w="5782" w:type="dxa"/>
            <w:shd w:val="clear" w:color="auto" w:fill="auto"/>
          </w:tcPr>
          <w:p w:rsidR="00611101" w:rsidRPr="009A64DA" w:rsidRDefault="00611101" w:rsidP="00611101">
            <w:pPr>
              <w:rPr>
                <w:rFonts w:ascii="Arial Narrow" w:hAnsi="Arial Narrow"/>
                <w:sz w:val="20"/>
              </w:rPr>
            </w:pPr>
            <w:proofErr w:type="spellStart"/>
            <w:r w:rsidRPr="009A64DA">
              <w:rPr>
                <w:rFonts w:ascii="Arial Narrow" w:hAnsi="Arial Narrow"/>
                <w:sz w:val="20"/>
              </w:rPr>
              <w:t>Lanreotide</w:t>
            </w:r>
            <w:proofErr w:type="spellEnd"/>
            <w:r w:rsidRPr="009A64DA">
              <w:rPr>
                <w:rFonts w:ascii="Arial Narrow" w:hAnsi="Arial Narrow"/>
                <w:sz w:val="20"/>
              </w:rPr>
              <w:t>, watchful waiting</w:t>
            </w:r>
          </w:p>
        </w:tc>
      </w:tr>
      <w:tr w:rsidR="00611101" w:rsidRPr="009A64DA" w:rsidTr="00611101">
        <w:tc>
          <w:tcPr>
            <w:tcW w:w="2548" w:type="dxa"/>
            <w:shd w:val="clear" w:color="auto" w:fill="auto"/>
          </w:tcPr>
          <w:p w:rsidR="00611101" w:rsidRPr="009A64DA" w:rsidRDefault="00611101" w:rsidP="00611101">
            <w:pPr>
              <w:rPr>
                <w:rFonts w:ascii="Arial Narrow" w:hAnsi="Arial Narrow"/>
                <w:sz w:val="20"/>
              </w:rPr>
            </w:pPr>
            <w:r w:rsidRPr="009A64DA">
              <w:rPr>
                <w:rFonts w:ascii="Arial Narrow" w:hAnsi="Arial Narrow"/>
                <w:sz w:val="20"/>
              </w:rPr>
              <w:t>Health states</w:t>
            </w:r>
          </w:p>
        </w:tc>
        <w:tc>
          <w:tcPr>
            <w:tcW w:w="5782" w:type="dxa"/>
            <w:shd w:val="clear" w:color="auto" w:fill="auto"/>
          </w:tcPr>
          <w:p w:rsidR="00611101" w:rsidRPr="009A64DA" w:rsidRDefault="00611101" w:rsidP="00611101">
            <w:pPr>
              <w:rPr>
                <w:rFonts w:ascii="Arial Narrow" w:hAnsi="Arial Narrow"/>
                <w:sz w:val="20"/>
              </w:rPr>
            </w:pPr>
            <w:r w:rsidRPr="009A64DA">
              <w:rPr>
                <w:rFonts w:ascii="Arial Narrow" w:hAnsi="Arial Narrow"/>
                <w:sz w:val="20"/>
              </w:rPr>
              <w:t>Stable disease, progressive disease, death</w:t>
            </w:r>
          </w:p>
        </w:tc>
      </w:tr>
      <w:tr w:rsidR="00611101" w:rsidRPr="009A64DA" w:rsidTr="00611101">
        <w:tc>
          <w:tcPr>
            <w:tcW w:w="2548" w:type="dxa"/>
            <w:shd w:val="clear" w:color="auto" w:fill="auto"/>
          </w:tcPr>
          <w:p w:rsidR="00611101" w:rsidRPr="009A64DA" w:rsidRDefault="00611101" w:rsidP="00611101">
            <w:pPr>
              <w:rPr>
                <w:rFonts w:ascii="Arial Narrow" w:hAnsi="Arial Narrow"/>
                <w:sz w:val="20"/>
              </w:rPr>
            </w:pPr>
            <w:r w:rsidRPr="009A64DA">
              <w:rPr>
                <w:rFonts w:ascii="Arial Narrow" w:hAnsi="Arial Narrow"/>
                <w:sz w:val="20"/>
              </w:rPr>
              <w:t>Outcomes</w:t>
            </w:r>
          </w:p>
        </w:tc>
        <w:tc>
          <w:tcPr>
            <w:tcW w:w="5782" w:type="dxa"/>
            <w:shd w:val="clear" w:color="auto" w:fill="auto"/>
          </w:tcPr>
          <w:p w:rsidR="00611101" w:rsidRPr="009A64DA" w:rsidRDefault="00611101" w:rsidP="00611101">
            <w:pPr>
              <w:rPr>
                <w:rFonts w:ascii="Arial Narrow" w:hAnsi="Arial Narrow"/>
                <w:sz w:val="20"/>
              </w:rPr>
            </w:pPr>
            <w:r w:rsidRPr="009A64DA">
              <w:rPr>
                <w:rFonts w:ascii="Arial Narrow" w:hAnsi="Arial Narrow"/>
                <w:sz w:val="20"/>
              </w:rPr>
              <w:t>Quality-adjusted life years, life years</w:t>
            </w:r>
          </w:p>
        </w:tc>
      </w:tr>
      <w:tr w:rsidR="00611101" w:rsidRPr="009A64DA" w:rsidTr="00611101">
        <w:tc>
          <w:tcPr>
            <w:tcW w:w="2548" w:type="dxa"/>
            <w:shd w:val="clear" w:color="auto" w:fill="auto"/>
          </w:tcPr>
          <w:p w:rsidR="00611101" w:rsidRPr="009A64DA" w:rsidRDefault="00611101" w:rsidP="00611101">
            <w:pPr>
              <w:rPr>
                <w:rFonts w:ascii="Arial Narrow" w:hAnsi="Arial Narrow"/>
                <w:sz w:val="20"/>
              </w:rPr>
            </w:pPr>
            <w:r w:rsidRPr="009A64DA">
              <w:rPr>
                <w:rFonts w:ascii="Arial Narrow" w:hAnsi="Arial Narrow"/>
                <w:sz w:val="20"/>
              </w:rPr>
              <w:t>Transition probabilities</w:t>
            </w:r>
          </w:p>
        </w:tc>
        <w:tc>
          <w:tcPr>
            <w:tcW w:w="5782" w:type="dxa"/>
            <w:shd w:val="clear" w:color="auto" w:fill="auto"/>
          </w:tcPr>
          <w:p w:rsidR="00611101" w:rsidRPr="009A64DA" w:rsidRDefault="00611101" w:rsidP="00396C30">
            <w:pPr>
              <w:rPr>
                <w:rFonts w:ascii="Arial Narrow" w:hAnsi="Arial Narrow"/>
                <w:sz w:val="20"/>
              </w:rPr>
            </w:pPr>
            <w:r w:rsidRPr="009A64DA">
              <w:rPr>
                <w:rFonts w:ascii="Arial Narrow" w:hAnsi="Arial Narrow"/>
                <w:sz w:val="20"/>
              </w:rPr>
              <w:t>Progression</w:t>
            </w:r>
            <w:r w:rsidR="00396C30">
              <w:rPr>
                <w:rFonts w:ascii="Arial Narrow" w:hAnsi="Arial Narrow"/>
                <w:sz w:val="20"/>
              </w:rPr>
              <w:t xml:space="preserve"> </w:t>
            </w:r>
            <w:r w:rsidRPr="009A64DA">
              <w:rPr>
                <w:rFonts w:ascii="Arial Narrow" w:hAnsi="Arial Narrow"/>
                <w:sz w:val="20"/>
              </w:rPr>
              <w:t>free and overall survival probabilities derived from extrapolated survival curves from the CLARINET trial (see Section C.1).</w:t>
            </w:r>
          </w:p>
        </w:tc>
      </w:tr>
      <w:tr w:rsidR="00611101" w:rsidRPr="009A64DA" w:rsidTr="00611101">
        <w:tc>
          <w:tcPr>
            <w:tcW w:w="2548" w:type="dxa"/>
            <w:shd w:val="clear" w:color="auto" w:fill="auto"/>
          </w:tcPr>
          <w:p w:rsidR="00611101" w:rsidRPr="009A64DA" w:rsidRDefault="00611101" w:rsidP="00611101">
            <w:pPr>
              <w:rPr>
                <w:rFonts w:ascii="Arial Narrow" w:hAnsi="Arial Narrow"/>
                <w:sz w:val="20"/>
              </w:rPr>
            </w:pPr>
            <w:r w:rsidRPr="009A64DA">
              <w:rPr>
                <w:rFonts w:ascii="Arial Narrow" w:hAnsi="Arial Narrow"/>
                <w:sz w:val="20"/>
              </w:rPr>
              <w:t>Discount rate</w:t>
            </w:r>
          </w:p>
        </w:tc>
        <w:tc>
          <w:tcPr>
            <w:tcW w:w="5782" w:type="dxa"/>
            <w:shd w:val="clear" w:color="auto" w:fill="auto"/>
          </w:tcPr>
          <w:p w:rsidR="00611101" w:rsidRPr="009A64DA" w:rsidRDefault="00611101" w:rsidP="00611101">
            <w:pPr>
              <w:rPr>
                <w:rFonts w:ascii="Arial Narrow" w:hAnsi="Arial Narrow"/>
                <w:sz w:val="20"/>
              </w:rPr>
            </w:pPr>
            <w:r w:rsidRPr="009A64DA">
              <w:rPr>
                <w:rFonts w:ascii="Arial Narrow" w:hAnsi="Arial Narrow"/>
                <w:sz w:val="20"/>
              </w:rPr>
              <w:t>5% for costs and outcomes</w:t>
            </w:r>
          </w:p>
        </w:tc>
      </w:tr>
      <w:tr w:rsidR="00611101" w:rsidRPr="009A64DA" w:rsidTr="00611101">
        <w:tc>
          <w:tcPr>
            <w:tcW w:w="2548" w:type="dxa"/>
            <w:shd w:val="clear" w:color="auto" w:fill="auto"/>
          </w:tcPr>
          <w:p w:rsidR="00611101" w:rsidRPr="009A64DA" w:rsidRDefault="00611101" w:rsidP="00611101">
            <w:pPr>
              <w:rPr>
                <w:rFonts w:ascii="Arial Narrow" w:hAnsi="Arial Narrow"/>
                <w:sz w:val="20"/>
              </w:rPr>
            </w:pPr>
            <w:r w:rsidRPr="009A64DA">
              <w:rPr>
                <w:rFonts w:ascii="Arial Narrow" w:hAnsi="Arial Narrow"/>
                <w:sz w:val="20"/>
              </w:rPr>
              <w:t>Software package</w:t>
            </w:r>
          </w:p>
        </w:tc>
        <w:tc>
          <w:tcPr>
            <w:tcW w:w="5782" w:type="dxa"/>
            <w:shd w:val="clear" w:color="auto" w:fill="auto"/>
          </w:tcPr>
          <w:p w:rsidR="00611101" w:rsidRPr="009A64DA" w:rsidRDefault="00611101" w:rsidP="00611101">
            <w:pPr>
              <w:rPr>
                <w:rFonts w:ascii="Arial Narrow" w:hAnsi="Arial Narrow"/>
                <w:sz w:val="20"/>
              </w:rPr>
            </w:pPr>
            <w:r w:rsidRPr="009A64DA">
              <w:rPr>
                <w:rFonts w:ascii="Arial Narrow" w:hAnsi="Arial Narrow"/>
                <w:sz w:val="20"/>
              </w:rPr>
              <w:t>Excel 2013</w:t>
            </w:r>
          </w:p>
        </w:tc>
      </w:tr>
    </w:tbl>
    <w:p w:rsidR="00611101" w:rsidRPr="009A64DA" w:rsidRDefault="00611101" w:rsidP="00611101">
      <w:pPr>
        <w:widowControl/>
        <w:rPr>
          <w:szCs w:val="22"/>
        </w:rPr>
      </w:pPr>
    </w:p>
    <w:p w:rsidR="00B9436C" w:rsidRPr="009A64DA" w:rsidRDefault="00611101" w:rsidP="0030238C">
      <w:pPr>
        <w:pStyle w:val="ListParagraph"/>
        <w:widowControl/>
        <w:numPr>
          <w:ilvl w:val="1"/>
          <w:numId w:val="2"/>
        </w:numPr>
        <w:rPr>
          <w:szCs w:val="22"/>
        </w:rPr>
      </w:pPr>
      <w:r w:rsidRPr="009A64DA">
        <w:rPr>
          <w:szCs w:val="22"/>
        </w:rPr>
        <w:t xml:space="preserve">The economic model </w:t>
      </w:r>
      <w:r w:rsidR="0021776F" w:rsidRPr="009A64DA">
        <w:rPr>
          <w:szCs w:val="22"/>
        </w:rPr>
        <w:t>wa</w:t>
      </w:r>
      <w:r w:rsidRPr="009A64DA">
        <w:rPr>
          <w:szCs w:val="22"/>
        </w:rPr>
        <w:t xml:space="preserve">s based on patients with stable non-functional GEP-NETs which represent only a subset of the patient population who would be eligible for </w:t>
      </w:r>
      <w:proofErr w:type="spellStart"/>
      <w:r w:rsidRPr="009A64DA">
        <w:rPr>
          <w:szCs w:val="22"/>
        </w:rPr>
        <w:t>lanreotide</w:t>
      </w:r>
      <w:proofErr w:type="spellEnd"/>
      <w:r w:rsidRPr="009A64DA">
        <w:rPr>
          <w:szCs w:val="22"/>
        </w:rPr>
        <w:t xml:space="preserve"> treatment under the proposed PBS restriction (which also include patients with functional GEP-NETs and patients with progressive GEP-NETs). Differences in patient populations are likely to translate into differences in absolute survival time.</w:t>
      </w:r>
      <w:r w:rsidR="00B9436C" w:rsidRPr="009A64DA">
        <w:rPr>
          <w:szCs w:val="22"/>
        </w:rPr>
        <w:t xml:space="preserve"> As noted above, the PSCR (p.2) disputes this and suggested that including patients with functional GEP-NETs in the modelled population wou</w:t>
      </w:r>
      <w:r w:rsidR="00B9436C" w:rsidRPr="000F1019">
        <w:rPr>
          <w:szCs w:val="22"/>
        </w:rPr>
        <w:t xml:space="preserve">ld not be appropriate as they are currently able to access treatment with </w:t>
      </w:r>
      <w:proofErr w:type="spellStart"/>
      <w:r w:rsidR="00B9436C" w:rsidRPr="000F1019">
        <w:rPr>
          <w:szCs w:val="22"/>
        </w:rPr>
        <w:t>lanreotide</w:t>
      </w:r>
      <w:proofErr w:type="spellEnd"/>
      <w:r w:rsidR="00B9436C" w:rsidRPr="000F1019">
        <w:rPr>
          <w:szCs w:val="22"/>
        </w:rPr>
        <w:t xml:space="preserve"> through the PBS.</w:t>
      </w:r>
      <w:r w:rsidR="009928C2" w:rsidRPr="000F1019">
        <w:rPr>
          <w:szCs w:val="22"/>
        </w:rPr>
        <w:t xml:space="preserve"> The PBAC agreed with the </w:t>
      </w:r>
      <w:r w:rsidR="00504E55" w:rsidRPr="000F1019">
        <w:rPr>
          <w:szCs w:val="22"/>
        </w:rPr>
        <w:t>sponsor</w:t>
      </w:r>
      <w:r w:rsidR="009928C2" w:rsidRPr="000F1019">
        <w:rPr>
          <w:szCs w:val="22"/>
        </w:rPr>
        <w:t>.</w:t>
      </w:r>
    </w:p>
    <w:p w:rsidR="00611101" w:rsidRPr="009A64DA" w:rsidRDefault="00611101" w:rsidP="00611101">
      <w:pPr>
        <w:pStyle w:val="ListParagraph"/>
        <w:widowControl/>
        <w:rPr>
          <w:szCs w:val="22"/>
        </w:rPr>
      </w:pPr>
    </w:p>
    <w:p w:rsidR="00611101" w:rsidRPr="009A64DA" w:rsidRDefault="00611101" w:rsidP="0030238C">
      <w:pPr>
        <w:pStyle w:val="ListParagraph"/>
        <w:widowControl/>
        <w:numPr>
          <w:ilvl w:val="1"/>
          <w:numId w:val="2"/>
        </w:numPr>
        <w:rPr>
          <w:szCs w:val="22"/>
        </w:rPr>
      </w:pPr>
      <w:r w:rsidRPr="009A64DA">
        <w:rPr>
          <w:szCs w:val="22"/>
        </w:rPr>
        <w:t>The model d</w:t>
      </w:r>
      <w:r w:rsidR="0021776F" w:rsidRPr="009A64DA">
        <w:rPr>
          <w:szCs w:val="22"/>
        </w:rPr>
        <w:t>id</w:t>
      </w:r>
      <w:r w:rsidRPr="009A64DA">
        <w:rPr>
          <w:szCs w:val="22"/>
        </w:rPr>
        <w:t xml:space="preserve"> not reflect the underlying argument made throughout </w:t>
      </w:r>
      <w:r w:rsidR="00396C30">
        <w:rPr>
          <w:szCs w:val="22"/>
        </w:rPr>
        <w:t xml:space="preserve">the submission that progression </w:t>
      </w:r>
      <w:r w:rsidRPr="009A64DA">
        <w:rPr>
          <w:szCs w:val="22"/>
        </w:rPr>
        <w:t>free survival is a surrogate marker for overall survival as the model d</w:t>
      </w:r>
      <w:r w:rsidR="0021776F" w:rsidRPr="009A64DA">
        <w:rPr>
          <w:szCs w:val="22"/>
        </w:rPr>
        <w:t>id</w:t>
      </w:r>
      <w:r w:rsidRPr="009A64DA">
        <w:rPr>
          <w:szCs w:val="22"/>
        </w:rPr>
        <w:t xml:space="preserve"> not factor in an increased risk of death in the progressive state (compared to the stable </w:t>
      </w:r>
      <w:r w:rsidR="00396C30">
        <w:rPr>
          <w:szCs w:val="22"/>
        </w:rPr>
        <w:t xml:space="preserve">state). However, if progression </w:t>
      </w:r>
      <w:r w:rsidRPr="009A64DA">
        <w:rPr>
          <w:szCs w:val="22"/>
        </w:rPr>
        <w:t xml:space="preserve">free survival is not a surrogate for overall survival then it is not reasonable to assume a difference in overall survival between treatment arms in the economic model. This inconsistency in approach </w:t>
      </w:r>
      <w:r w:rsidR="0021776F" w:rsidRPr="009A64DA">
        <w:rPr>
          <w:szCs w:val="22"/>
        </w:rPr>
        <w:t xml:space="preserve">was considered </w:t>
      </w:r>
      <w:r w:rsidRPr="009A64DA">
        <w:rPr>
          <w:szCs w:val="22"/>
        </w:rPr>
        <w:t>a fundamental issue of structural uncertainty with the economic model.</w:t>
      </w:r>
    </w:p>
    <w:p w:rsidR="00611101" w:rsidRPr="009A64DA" w:rsidRDefault="00611101" w:rsidP="00611101">
      <w:pPr>
        <w:pStyle w:val="ListParagraph"/>
        <w:widowControl/>
        <w:rPr>
          <w:szCs w:val="22"/>
        </w:rPr>
      </w:pPr>
    </w:p>
    <w:p w:rsidR="00611101" w:rsidRPr="009A64DA" w:rsidRDefault="00611101" w:rsidP="0030238C">
      <w:pPr>
        <w:pStyle w:val="ListParagraph"/>
        <w:widowControl/>
        <w:numPr>
          <w:ilvl w:val="1"/>
          <w:numId w:val="2"/>
        </w:numPr>
        <w:rPr>
          <w:szCs w:val="22"/>
        </w:rPr>
      </w:pPr>
      <w:r w:rsidRPr="009A64DA">
        <w:rPr>
          <w:szCs w:val="22"/>
        </w:rPr>
        <w:t xml:space="preserve">The key drivers of the model </w:t>
      </w:r>
      <w:r w:rsidR="0021776F" w:rsidRPr="009A64DA">
        <w:rPr>
          <w:szCs w:val="22"/>
        </w:rPr>
        <w:t>we</w:t>
      </w:r>
      <w:r w:rsidRPr="009A64DA">
        <w:rPr>
          <w:szCs w:val="22"/>
        </w:rPr>
        <w:t xml:space="preserve">re the extrapolated survival estimates and the costs associated with post-progression treatment. </w:t>
      </w:r>
    </w:p>
    <w:p w:rsidR="0051667E" w:rsidRPr="009A64DA" w:rsidRDefault="0051667E" w:rsidP="0051667E">
      <w:pPr>
        <w:ind w:firstLine="720"/>
        <w:rPr>
          <w:rStyle w:val="CommentReference"/>
        </w:rPr>
      </w:pPr>
    </w:p>
    <w:p w:rsidR="0051667E" w:rsidRPr="009A64DA" w:rsidRDefault="000C7821" w:rsidP="0051667E">
      <w:pPr>
        <w:ind w:firstLine="720"/>
        <w:rPr>
          <w:rStyle w:val="CommentReference"/>
        </w:rPr>
      </w:pPr>
      <w:r w:rsidRPr="009A64DA">
        <w:rPr>
          <w:rFonts w:ascii="Arial Narrow" w:hAnsi="Arial Narrow"/>
          <w:b/>
          <w:sz w:val="20"/>
          <w:szCs w:val="16"/>
        </w:rPr>
        <w:t>Table 5: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5: Key drivers of the model"/>
      </w:tblPr>
      <w:tblGrid>
        <w:gridCol w:w="1985"/>
        <w:gridCol w:w="4678"/>
        <w:gridCol w:w="1682"/>
      </w:tblGrid>
      <w:tr w:rsidR="000C7821" w:rsidRPr="009A64DA" w:rsidTr="00EA2D61">
        <w:trPr>
          <w:tblHeader/>
        </w:trPr>
        <w:tc>
          <w:tcPr>
            <w:tcW w:w="1189" w:type="pct"/>
            <w:shd w:val="clear" w:color="auto" w:fill="auto"/>
            <w:vAlign w:val="center"/>
          </w:tcPr>
          <w:p w:rsidR="000C7821" w:rsidRPr="009A64DA" w:rsidRDefault="000C7821" w:rsidP="00EA2D61">
            <w:pPr>
              <w:jc w:val="left"/>
              <w:rPr>
                <w:rFonts w:ascii="Arial Narrow" w:hAnsi="Arial Narrow"/>
                <w:b/>
                <w:sz w:val="20"/>
              </w:rPr>
            </w:pPr>
            <w:r w:rsidRPr="009A64DA">
              <w:rPr>
                <w:rFonts w:ascii="Arial Narrow" w:hAnsi="Arial Narrow"/>
                <w:b/>
                <w:sz w:val="20"/>
              </w:rPr>
              <w:t>Description</w:t>
            </w:r>
          </w:p>
        </w:tc>
        <w:tc>
          <w:tcPr>
            <w:tcW w:w="2803" w:type="pct"/>
            <w:shd w:val="clear" w:color="auto" w:fill="auto"/>
            <w:vAlign w:val="center"/>
          </w:tcPr>
          <w:p w:rsidR="000C7821" w:rsidRPr="009A64DA" w:rsidRDefault="000C7821" w:rsidP="00EA2D61">
            <w:pPr>
              <w:jc w:val="center"/>
              <w:rPr>
                <w:rFonts w:ascii="Arial Narrow" w:hAnsi="Arial Narrow"/>
                <w:b/>
                <w:sz w:val="20"/>
              </w:rPr>
            </w:pPr>
            <w:r w:rsidRPr="009A64DA">
              <w:rPr>
                <w:rFonts w:ascii="Arial Narrow" w:hAnsi="Arial Narrow"/>
                <w:b/>
                <w:sz w:val="20"/>
              </w:rPr>
              <w:t>Method/Value</w:t>
            </w:r>
          </w:p>
        </w:tc>
        <w:tc>
          <w:tcPr>
            <w:tcW w:w="1008" w:type="pct"/>
            <w:shd w:val="clear" w:color="auto" w:fill="auto"/>
            <w:vAlign w:val="center"/>
          </w:tcPr>
          <w:p w:rsidR="000C7821" w:rsidRPr="009A64DA" w:rsidRDefault="000C7821" w:rsidP="00EA2D61">
            <w:pPr>
              <w:jc w:val="center"/>
              <w:rPr>
                <w:rFonts w:ascii="Arial Narrow" w:hAnsi="Arial Narrow"/>
                <w:b/>
                <w:sz w:val="20"/>
              </w:rPr>
            </w:pPr>
            <w:r w:rsidRPr="009A64DA">
              <w:rPr>
                <w:rFonts w:ascii="Arial Narrow" w:hAnsi="Arial Narrow"/>
                <w:b/>
                <w:sz w:val="20"/>
              </w:rPr>
              <w:t>Impact</w:t>
            </w:r>
          </w:p>
        </w:tc>
      </w:tr>
      <w:tr w:rsidR="000C7821" w:rsidRPr="009A64DA" w:rsidTr="00EA2D61">
        <w:tc>
          <w:tcPr>
            <w:tcW w:w="1189" w:type="pct"/>
            <w:shd w:val="clear" w:color="auto" w:fill="auto"/>
            <w:vAlign w:val="center"/>
          </w:tcPr>
          <w:p w:rsidR="000C7821" w:rsidRPr="009A64DA" w:rsidRDefault="000C7821" w:rsidP="00EA2D61">
            <w:pPr>
              <w:jc w:val="left"/>
              <w:rPr>
                <w:rFonts w:ascii="Arial Narrow" w:hAnsi="Arial Narrow"/>
                <w:sz w:val="20"/>
              </w:rPr>
            </w:pPr>
            <w:r w:rsidRPr="009A64DA">
              <w:rPr>
                <w:rFonts w:ascii="Arial Narrow" w:hAnsi="Arial Narrow"/>
                <w:sz w:val="20"/>
              </w:rPr>
              <w:t>Extrapolated survival curves</w:t>
            </w:r>
          </w:p>
        </w:tc>
        <w:tc>
          <w:tcPr>
            <w:tcW w:w="2803" w:type="pct"/>
            <w:shd w:val="clear" w:color="auto" w:fill="auto"/>
            <w:vAlign w:val="center"/>
          </w:tcPr>
          <w:p w:rsidR="000C7821" w:rsidRPr="009A64DA" w:rsidRDefault="000C7821" w:rsidP="00EA2D61">
            <w:pPr>
              <w:jc w:val="left"/>
              <w:rPr>
                <w:rFonts w:ascii="Arial Narrow" w:hAnsi="Arial Narrow"/>
                <w:sz w:val="20"/>
              </w:rPr>
            </w:pPr>
            <w:r w:rsidRPr="009A64DA">
              <w:rPr>
                <w:rFonts w:ascii="Arial Narrow" w:hAnsi="Arial Narrow"/>
                <w:sz w:val="20"/>
              </w:rPr>
              <w:t>Poorly justified extrapolation; implausible result that progression free survival greater than overall survival in later years; crude adjustment inappropriate.</w:t>
            </w:r>
          </w:p>
        </w:tc>
        <w:tc>
          <w:tcPr>
            <w:tcW w:w="1008" w:type="pct"/>
            <w:shd w:val="clear" w:color="auto" w:fill="auto"/>
            <w:vAlign w:val="center"/>
          </w:tcPr>
          <w:p w:rsidR="000C7821" w:rsidRPr="009A64DA" w:rsidRDefault="000C7821" w:rsidP="00EA2D61">
            <w:pPr>
              <w:jc w:val="center"/>
              <w:rPr>
                <w:rFonts w:ascii="Arial Narrow" w:hAnsi="Arial Narrow"/>
                <w:sz w:val="20"/>
              </w:rPr>
            </w:pPr>
            <w:r w:rsidRPr="009A64DA">
              <w:rPr>
                <w:rFonts w:ascii="Arial Narrow" w:hAnsi="Arial Narrow"/>
                <w:sz w:val="20"/>
              </w:rPr>
              <w:t xml:space="preserve">High, favours </w:t>
            </w:r>
            <w:proofErr w:type="spellStart"/>
            <w:r w:rsidRPr="009A64DA">
              <w:rPr>
                <w:rFonts w:ascii="Arial Narrow" w:hAnsi="Arial Narrow"/>
                <w:sz w:val="20"/>
              </w:rPr>
              <w:t>lanreotide</w:t>
            </w:r>
            <w:proofErr w:type="spellEnd"/>
          </w:p>
        </w:tc>
      </w:tr>
      <w:tr w:rsidR="000C7821" w:rsidRPr="009A64DA" w:rsidTr="00EA2D61">
        <w:tc>
          <w:tcPr>
            <w:tcW w:w="1189" w:type="pct"/>
            <w:shd w:val="clear" w:color="auto" w:fill="auto"/>
            <w:vAlign w:val="center"/>
          </w:tcPr>
          <w:p w:rsidR="000C7821" w:rsidRPr="009A64DA" w:rsidRDefault="000C7821" w:rsidP="00EA2D61">
            <w:pPr>
              <w:jc w:val="left"/>
              <w:rPr>
                <w:rFonts w:ascii="Arial Narrow" w:hAnsi="Arial Narrow"/>
                <w:sz w:val="20"/>
              </w:rPr>
            </w:pPr>
            <w:r w:rsidRPr="009A64DA">
              <w:rPr>
                <w:rFonts w:ascii="Arial Narrow" w:hAnsi="Arial Narrow"/>
                <w:sz w:val="20"/>
              </w:rPr>
              <w:t>Costs of post-progression treatment</w:t>
            </w:r>
          </w:p>
        </w:tc>
        <w:tc>
          <w:tcPr>
            <w:tcW w:w="2803" w:type="pct"/>
            <w:shd w:val="clear" w:color="auto" w:fill="auto"/>
            <w:vAlign w:val="center"/>
          </w:tcPr>
          <w:p w:rsidR="000C7821" w:rsidRPr="009A64DA" w:rsidRDefault="000C7821" w:rsidP="00EA2D61">
            <w:pPr>
              <w:jc w:val="left"/>
              <w:rPr>
                <w:rFonts w:ascii="Arial Narrow" w:hAnsi="Arial Narrow"/>
                <w:sz w:val="20"/>
              </w:rPr>
            </w:pPr>
            <w:r w:rsidRPr="009A64DA">
              <w:rPr>
                <w:rFonts w:ascii="Arial Narrow" w:hAnsi="Arial Narrow"/>
                <w:sz w:val="20"/>
              </w:rPr>
              <w:t xml:space="preserve">Use of post-progression treatments based on limited information and arbitrary assumptions; assumes no use of somatostatin analogues beyond progression; </w:t>
            </w:r>
            <w:proofErr w:type="spellStart"/>
            <w:r w:rsidRPr="009A64DA">
              <w:rPr>
                <w:rFonts w:ascii="Arial Narrow" w:hAnsi="Arial Narrow"/>
                <w:sz w:val="20"/>
              </w:rPr>
              <w:t>sunitinib</w:t>
            </w:r>
            <w:proofErr w:type="spellEnd"/>
            <w:r w:rsidRPr="009A64DA">
              <w:rPr>
                <w:rFonts w:ascii="Arial Narrow" w:hAnsi="Arial Narrow"/>
                <w:sz w:val="20"/>
              </w:rPr>
              <w:t xml:space="preserve"> and </w:t>
            </w:r>
            <w:proofErr w:type="spellStart"/>
            <w:r w:rsidRPr="009A64DA">
              <w:rPr>
                <w:rFonts w:ascii="Arial Narrow" w:hAnsi="Arial Narrow"/>
                <w:sz w:val="20"/>
              </w:rPr>
              <w:t>everolimus</w:t>
            </w:r>
            <w:proofErr w:type="spellEnd"/>
            <w:r w:rsidRPr="009A64DA">
              <w:rPr>
                <w:rFonts w:ascii="Arial Narrow" w:hAnsi="Arial Narrow"/>
                <w:sz w:val="20"/>
              </w:rPr>
              <w:t xml:space="preserve"> subject to special pricing arrangements.</w:t>
            </w:r>
          </w:p>
        </w:tc>
        <w:tc>
          <w:tcPr>
            <w:tcW w:w="1008" w:type="pct"/>
            <w:shd w:val="clear" w:color="auto" w:fill="auto"/>
            <w:vAlign w:val="center"/>
          </w:tcPr>
          <w:p w:rsidR="000C7821" w:rsidRPr="009A64DA" w:rsidRDefault="000C7821" w:rsidP="00EA2D61">
            <w:pPr>
              <w:jc w:val="center"/>
              <w:rPr>
                <w:rFonts w:ascii="Arial Narrow" w:hAnsi="Arial Narrow"/>
                <w:sz w:val="20"/>
              </w:rPr>
            </w:pPr>
            <w:r w:rsidRPr="009A64DA">
              <w:rPr>
                <w:rFonts w:ascii="Arial Narrow" w:hAnsi="Arial Narrow"/>
                <w:sz w:val="20"/>
              </w:rPr>
              <w:t xml:space="preserve">High, favours </w:t>
            </w:r>
            <w:proofErr w:type="spellStart"/>
            <w:r w:rsidRPr="009A64DA">
              <w:rPr>
                <w:rFonts w:ascii="Arial Narrow" w:hAnsi="Arial Narrow"/>
                <w:sz w:val="20"/>
              </w:rPr>
              <w:t>lanreotide</w:t>
            </w:r>
            <w:proofErr w:type="spellEnd"/>
          </w:p>
        </w:tc>
      </w:tr>
      <w:tr w:rsidR="000C7821" w:rsidRPr="009A64DA" w:rsidTr="00EA2D61">
        <w:tc>
          <w:tcPr>
            <w:tcW w:w="1189" w:type="pct"/>
            <w:shd w:val="clear" w:color="auto" w:fill="auto"/>
            <w:vAlign w:val="center"/>
          </w:tcPr>
          <w:p w:rsidR="000C7821" w:rsidRPr="009A64DA" w:rsidRDefault="000C7821" w:rsidP="00EA2D61">
            <w:pPr>
              <w:jc w:val="left"/>
              <w:rPr>
                <w:rFonts w:ascii="Arial Narrow" w:hAnsi="Arial Narrow"/>
                <w:sz w:val="20"/>
              </w:rPr>
            </w:pPr>
            <w:r w:rsidRPr="009A64DA">
              <w:rPr>
                <w:rFonts w:ascii="Arial Narrow" w:hAnsi="Arial Narrow"/>
                <w:sz w:val="20"/>
              </w:rPr>
              <w:t>Utility values</w:t>
            </w:r>
          </w:p>
        </w:tc>
        <w:tc>
          <w:tcPr>
            <w:tcW w:w="2803" w:type="pct"/>
            <w:shd w:val="clear" w:color="auto" w:fill="auto"/>
            <w:vAlign w:val="center"/>
          </w:tcPr>
          <w:p w:rsidR="000C7821" w:rsidRPr="009A64DA" w:rsidRDefault="000C7821" w:rsidP="00EA2D61">
            <w:pPr>
              <w:jc w:val="left"/>
              <w:rPr>
                <w:rFonts w:ascii="Arial Narrow" w:hAnsi="Arial Narrow"/>
                <w:sz w:val="20"/>
              </w:rPr>
            </w:pPr>
            <w:r w:rsidRPr="009A64DA">
              <w:rPr>
                <w:rFonts w:ascii="Arial Narrow" w:hAnsi="Arial Narrow"/>
                <w:sz w:val="20"/>
              </w:rPr>
              <w:t>Limited details provided for derivation of utilities for stable and progressive disease; unclear representativeness to proposed PBS population; inadequate justification for additional utility loss for post-progression treatments.</w:t>
            </w:r>
          </w:p>
        </w:tc>
        <w:tc>
          <w:tcPr>
            <w:tcW w:w="1008" w:type="pct"/>
            <w:shd w:val="clear" w:color="auto" w:fill="auto"/>
            <w:vAlign w:val="center"/>
          </w:tcPr>
          <w:p w:rsidR="000C7821" w:rsidRPr="009A64DA" w:rsidRDefault="000C7821" w:rsidP="00EA2D61">
            <w:pPr>
              <w:jc w:val="center"/>
              <w:rPr>
                <w:rFonts w:ascii="Arial Narrow" w:hAnsi="Arial Narrow"/>
                <w:sz w:val="20"/>
              </w:rPr>
            </w:pPr>
            <w:r w:rsidRPr="009A64DA">
              <w:rPr>
                <w:rFonts w:ascii="Arial Narrow" w:hAnsi="Arial Narrow"/>
                <w:sz w:val="20"/>
              </w:rPr>
              <w:t xml:space="preserve">High, favours </w:t>
            </w:r>
            <w:proofErr w:type="spellStart"/>
            <w:r w:rsidRPr="009A64DA">
              <w:rPr>
                <w:rFonts w:ascii="Arial Narrow" w:hAnsi="Arial Narrow"/>
                <w:sz w:val="20"/>
              </w:rPr>
              <w:t>lanreotide</w:t>
            </w:r>
            <w:proofErr w:type="spellEnd"/>
          </w:p>
        </w:tc>
      </w:tr>
    </w:tbl>
    <w:p w:rsidR="000C7821" w:rsidRPr="009A64DA" w:rsidRDefault="000C7821" w:rsidP="000C7821">
      <w:pPr>
        <w:pStyle w:val="TableFooter"/>
        <w:ind w:firstLine="709"/>
      </w:pPr>
      <w:r w:rsidRPr="009A64DA">
        <w:t>Source: compiled during the evaluation</w:t>
      </w:r>
    </w:p>
    <w:p w:rsidR="000C7821" w:rsidRPr="009A64DA" w:rsidRDefault="000C7821" w:rsidP="0051667E">
      <w:pPr>
        <w:pStyle w:val="TableFooter"/>
        <w:ind w:firstLine="720"/>
      </w:pPr>
    </w:p>
    <w:p w:rsidR="00611101" w:rsidRPr="009A64DA" w:rsidRDefault="00611101" w:rsidP="00F15A7A">
      <w:pPr>
        <w:pStyle w:val="ListParagraph"/>
        <w:widowControl/>
        <w:numPr>
          <w:ilvl w:val="1"/>
          <w:numId w:val="2"/>
        </w:numPr>
        <w:rPr>
          <w:szCs w:val="22"/>
        </w:rPr>
      </w:pPr>
      <w:r w:rsidRPr="009A64DA">
        <w:rPr>
          <w:szCs w:val="22"/>
        </w:rPr>
        <w:t xml:space="preserve">The transition probabilities used in the model </w:t>
      </w:r>
      <w:r w:rsidR="0021776F" w:rsidRPr="009A64DA">
        <w:rPr>
          <w:szCs w:val="22"/>
        </w:rPr>
        <w:t>we</w:t>
      </w:r>
      <w:r w:rsidRPr="009A64DA">
        <w:rPr>
          <w:szCs w:val="22"/>
        </w:rPr>
        <w:t>re ba</w:t>
      </w:r>
      <w:r w:rsidR="00396C30">
        <w:rPr>
          <w:szCs w:val="22"/>
        </w:rPr>
        <w:t xml:space="preserve">sed on extrapolated progression </w:t>
      </w:r>
      <w:r w:rsidRPr="009A64DA">
        <w:rPr>
          <w:szCs w:val="22"/>
        </w:rPr>
        <w:t xml:space="preserve">free survival and overall survival from the CLARINET trial. However, the </w:t>
      </w:r>
      <w:r w:rsidRPr="009A64DA">
        <w:rPr>
          <w:szCs w:val="22"/>
        </w:rPr>
        <w:lastRenderedPageBreak/>
        <w:t xml:space="preserve">extrapolated survival estimates </w:t>
      </w:r>
      <w:r w:rsidR="0021776F" w:rsidRPr="009A64DA">
        <w:rPr>
          <w:szCs w:val="22"/>
        </w:rPr>
        <w:t>we</w:t>
      </w:r>
      <w:r w:rsidRPr="009A64DA">
        <w:rPr>
          <w:szCs w:val="22"/>
        </w:rPr>
        <w:t>re implausible as progression</w:t>
      </w:r>
      <w:r w:rsidR="00396C30">
        <w:rPr>
          <w:szCs w:val="22"/>
        </w:rPr>
        <w:t xml:space="preserve"> </w:t>
      </w:r>
      <w:r w:rsidRPr="009A64DA">
        <w:rPr>
          <w:szCs w:val="22"/>
        </w:rPr>
        <w:t xml:space="preserve">free survival exceeds overall survival at later years. The submission addressed this issue by artificially inflating overall survival estimates in the </w:t>
      </w:r>
      <w:proofErr w:type="spellStart"/>
      <w:r w:rsidRPr="009A64DA">
        <w:rPr>
          <w:szCs w:val="22"/>
        </w:rPr>
        <w:t>lanreotide</w:t>
      </w:r>
      <w:proofErr w:type="spellEnd"/>
      <w:r w:rsidRPr="009A64DA">
        <w:rPr>
          <w:szCs w:val="22"/>
        </w:rPr>
        <w:t xml:space="preserve"> arm to </w:t>
      </w:r>
      <w:r w:rsidR="0021776F" w:rsidRPr="009A64DA">
        <w:rPr>
          <w:szCs w:val="22"/>
        </w:rPr>
        <w:t xml:space="preserve">equal </w:t>
      </w:r>
      <w:r w:rsidR="00396C30">
        <w:rPr>
          <w:szCs w:val="22"/>
        </w:rPr>
        <w:t xml:space="preserve">extrapolated progression </w:t>
      </w:r>
      <w:r w:rsidRPr="009A64DA">
        <w:rPr>
          <w:szCs w:val="22"/>
        </w:rPr>
        <w:t>free survival estimates. However, this calculation result</w:t>
      </w:r>
      <w:r w:rsidR="0021776F" w:rsidRPr="009A64DA">
        <w:rPr>
          <w:szCs w:val="22"/>
        </w:rPr>
        <w:t>ed</w:t>
      </w:r>
      <w:r w:rsidRPr="009A64DA">
        <w:rPr>
          <w:szCs w:val="22"/>
        </w:rPr>
        <w:t xml:space="preserve"> in the equally implausible situation in which patients in the </w:t>
      </w:r>
      <w:proofErr w:type="spellStart"/>
      <w:r w:rsidRPr="009A64DA">
        <w:rPr>
          <w:szCs w:val="22"/>
        </w:rPr>
        <w:t>lanreotide</w:t>
      </w:r>
      <w:proofErr w:type="spellEnd"/>
      <w:r w:rsidRPr="009A64DA">
        <w:rPr>
          <w:szCs w:val="22"/>
        </w:rPr>
        <w:t xml:space="preserve"> arm can no longer experience disease progression in later years (as overall survival matche</w:t>
      </w:r>
      <w:r w:rsidR="0021776F" w:rsidRPr="009A64DA">
        <w:rPr>
          <w:szCs w:val="22"/>
        </w:rPr>
        <w:t>d</w:t>
      </w:r>
      <w:r w:rsidRPr="009A64DA">
        <w:rPr>
          <w:szCs w:val="22"/>
        </w:rPr>
        <w:t xml:space="preserve"> progression</w:t>
      </w:r>
      <w:r w:rsidR="00396C30">
        <w:rPr>
          <w:szCs w:val="22"/>
        </w:rPr>
        <w:t xml:space="preserve"> </w:t>
      </w:r>
      <w:r w:rsidRPr="009A64DA">
        <w:rPr>
          <w:szCs w:val="22"/>
        </w:rPr>
        <w:t>free survival).</w:t>
      </w:r>
      <w:r w:rsidR="00B9436C" w:rsidRPr="009A64DA">
        <w:rPr>
          <w:i/>
        </w:rPr>
        <w:t xml:space="preserve"> </w:t>
      </w:r>
      <w:r w:rsidR="00B9436C" w:rsidRPr="009A64DA">
        <w:t>The PSCR (p.3) acknowledged that an artefact of the extrapolation of OS and PFS data was that at 20 years PFS (10.4%) was higher than OS (4.7%). The PSCR further provide</w:t>
      </w:r>
      <w:r w:rsidR="00FF2BC7" w:rsidRPr="009A64DA">
        <w:t>d</w:t>
      </w:r>
      <w:r w:rsidR="00B9436C" w:rsidRPr="009A64DA">
        <w:t xml:space="preserve"> a ‘conservative’ sensitivity analysis whereby all patients without progressive disease at the time point when the PFS and OS curves cross simultaneously experience progression and the model is driven by OS only, resulting in an ICER</w:t>
      </w:r>
      <w:r w:rsidR="00AC5392">
        <w:t xml:space="preserve"> of</w:t>
      </w:r>
      <w:r w:rsidR="00F15A7A" w:rsidRPr="00F15A7A">
        <w:t xml:space="preserve"> $45,000</w:t>
      </w:r>
      <w:r w:rsidR="0085474D">
        <w:t>/QALY</w:t>
      </w:r>
      <w:r w:rsidR="00F15A7A" w:rsidRPr="00F15A7A">
        <w:t xml:space="preserve"> – $75,000 </w:t>
      </w:r>
      <w:r w:rsidR="00E01409" w:rsidRPr="009A64DA">
        <w:t xml:space="preserve">/QALY instead of </w:t>
      </w:r>
      <w:r w:rsidR="00F15A7A" w:rsidRPr="00F15A7A">
        <w:t>$45,000</w:t>
      </w:r>
      <w:r w:rsidR="0085474D">
        <w:t>/QALY</w:t>
      </w:r>
      <w:r w:rsidR="00F15A7A" w:rsidRPr="00F15A7A">
        <w:t xml:space="preserve"> – $75,000 </w:t>
      </w:r>
      <w:r w:rsidR="00B9436C" w:rsidRPr="009A64DA">
        <w:t>/QALY. The ESC strongly disagreed that this was conservative because it still assumes that the relationship between PFS and OS is exactly as modelled up to that time point i.e. that progressed patients do not have lower survival.</w:t>
      </w:r>
    </w:p>
    <w:p w:rsidR="00611101" w:rsidRPr="009A64DA" w:rsidRDefault="00611101" w:rsidP="00611101">
      <w:pPr>
        <w:pStyle w:val="ListParagraph"/>
        <w:rPr>
          <w:szCs w:val="22"/>
        </w:rPr>
      </w:pPr>
    </w:p>
    <w:p w:rsidR="00611101" w:rsidRPr="009A64DA" w:rsidRDefault="00611101" w:rsidP="0030238C">
      <w:pPr>
        <w:pStyle w:val="ListParagraph"/>
        <w:widowControl/>
        <w:numPr>
          <w:ilvl w:val="1"/>
          <w:numId w:val="2"/>
        </w:numPr>
        <w:rPr>
          <w:szCs w:val="22"/>
        </w:rPr>
      </w:pPr>
      <w:r w:rsidRPr="009A64DA">
        <w:rPr>
          <w:szCs w:val="22"/>
        </w:rPr>
        <w:t xml:space="preserve">Post-progression treatment costs </w:t>
      </w:r>
      <w:r w:rsidR="0021776F" w:rsidRPr="009A64DA">
        <w:rPr>
          <w:szCs w:val="22"/>
        </w:rPr>
        <w:t>we</w:t>
      </w:r>
      <w:r w:rsidRPr="009A64DA">
        <w:rPr>
          <w:szCs w:val="22"/>
        </w:rPr>
        <w:t xml:space="preserve">re highly uncertain as they </w:t>
      </w:r>
      <w:r w:rsidR="0021776F" w:rsidRPr="009A64DA">
        <w:rPr>
          <w:szCs w:val="22"/>
        </w:rPr>
        <w:t>we</w:t>
      </w:r>
      <w:r w:rsidRPr="009A64DA">
        <w:rPr>
          <w:szCs w:val="22"/>
        </w:rPr>
        <w:t xml:space="preserve">re based on limited information and rely heavily on arbitrary assumptions. The two main issues </w:t>
      </w:r>
      <w:r w:rsidR="0021776F" w:rsidRPr="009A64DA">
        <w:rPr>
          <w:szCs w:val="22"/>
        </w:rPr>
        <w:t>we</w:t>
      </w:r>
      <w:r w:rsidRPr="009A64DA">
        <w:rPr>
          <w:szCs w:val="22"/>
        </w:rPr>
        <w:t xml:space="preserve">re uncertainty regarding the use of </w:t>
      </w:r>
      <w:proofErr w:type="spellStart"/>
      <w:r w:rsidRPr="009A64DA">
        <w:rPr>
          <w:szCs w:val="22"/>
        </w:rPr>
        <w:t>lanreotide</w:t>
      </w:r>
      <w:proofErr w:type="spellEnd"/>
      <w:r w:rsidRPr="009A64DA">
        <w:rPr>
          <w:szCs w:val="22"/>
        </w:rPr>
        <w:t xml:space="preserve"> post-progression as well as the existence of special pricing arrangement</w:t>
      </w:r>
      <w:r w:rsidR="0021776F" w:rsidRPr="009A64DA">
        <w:rPr>
          <w:szCs w:val="22"/>
        </w:rPr>
        <w:t>s</w:t>
      </w:r>
      <w:r w:rsidRPr="009A64DA">
        <w:rPr>
          <w:szCs w:val="22"/>
        </w:rPr>
        <w:t xml:space="preserve"> for </w:t>
      </w:r>
      <w:proofErr w:type="spellStart"/>
      <w:r w:rsidRPr="009A64DA">
        <w:rPr>
          <w:szCs w:val="22"/>
        </w:rPr>
        <w:t>sunitinib</w:t>
      </w:r>
      <w:proofErr w:type="spellEnd"/>
      <w:r w:rsidRPr="009A64DA">
        <w:rPr>
          <w:szCs w:val="22"/>
        </w:rPr>
        <w:t xml:space="preserve"> and </w:t>
      </w:r>
      <w:proofErr w:type="spellStart"/>
      <w:r w:rsidRPr="009A64DA">
        <w:rPr>
          <w:szCs w:val="22"/>
        </w:rPr>
        <w:t>everolimus</w:t>
      </w:r>
      <w:proofErr w:type="spellEnd"/>
      <w:r w:rsidRPr="009A64DA">
        <w:rPr>
          <w:szCs w:val="22"/>
        </w:rPr>
        <w:t>.</w:t>
      </w:r>
    </w:p>
    <w:p w:rsidR="00611101" w:rsidRPr="009A64DA" w:rsidRDefault="00611101" w:rsidP="00611101">
      <w:pPr>
        <w:pStyle w:val="ListParagraph"/>
        <w:rPr>
          <w:szCs w:val="22"/>
        </w:rPr>
      </w:pPr>
    </w:p>
    <w:p w:rsidR="00B9436C" w:rsidRPr="009A64DA" w:rsidRDefault="0021776F" w:rsidP="0030238C">
      <w:pPr>
        <w:pStyle w:val="ListParagraph"/>
        <w:widowControl/>
        <w:numPr>
          <w:ilvl w:val="1"/>
          <w:numId w:val="2"/>
        </w:numPr>
        <w:rPr>
          <w:szCs w:val="22"/>
        </w:rPr>
      </w:pPr>
      <w:r w:rsidRPr="009A64DA">
        <w:rPr>
          <w:szCs w:val="22"/>
        </w:rPr>
        <w:t>Additionally, there wa</w:t>
      </w:r>
      <w:r w:rsidR="00611101" w:rsidRPr="009A64DA">
        <w:rPr>
          <w:szCs w:val="22"/>
        </w:rPr>
        <w:t>s limited justification to support the health state and post-progression treatment utility values used in the submission.</w:t>
      </w:r>
      <w:r w:rsidR="00AD2893" w:rsidRPr="009A64DA">
        <w:rPr>
          <w:szCs w:val="22"/>
        </w:rPr>
        <w:t xml:space="preserve"> </w:t>
      </w:r>
      <w:r w:rsidR="00B9436C" w:rsidRPr="009A64DA">
        <w:rPr>
          <w:szCs w:val="22"/>
        </w:rPr>
        <w:t xml:space="preserve">No detailed description of the vignettes for the time-trade-off (TTO) were provided and directly measured trial results for QLQC30 could have been transformed into EQ-5D values for stable and progressive disease. </w:t>
      </w:r>
      <w:r w:rsidR="00FF2BC7" w:rsidRPr="009A64DA">
        <w:rPr>
          <w:szCs w:val="22"/>
        </w:rPr>
        <w:t>Notably</w:t>
      </w:r>
      <w:r w:rsidR="00B9436C" w:rsidRPr="009A64DA">
        <w:rPr>
          <w:szCs w:val="22"/>
        </w:rPr>
        <w:t xml:space="preserve">, </w:t>
      </w:r>
      <w:r w:rsidR="002F048C" w:rsidRPr="009A64DA">
        <w:rPr>
          <w:szCs w:val="22"/>
        </w:rPr>
        <w:t xml:space="preserve">the CLARINET trial did not capture quality of life changes and/or utility loss due to disease progression and therefore </w:t>
      </w:r>
      <w:r w:rsidR="00B9436C" w:rsidRPr="009A64DA">
        <w:rPr>
          <w:szCs w:val="22"/>
        </w:rPr>
        <w:t>the</w:t>
      </w:r>
      <w:r w:rsidR="002F048C" w:rsidRPr="009A64DA">
        <w:rPr>
          <w:szCs w:val="22"/>
        </w:rPr>
        <w:t xml:space="preserve"> </w:t>
      </w:r>
      <w:r w:rsidR="00B9436C" w:rsidRPr="009A64DA">
        <w:rPr>
          <w:szCs w:val="22"/>
        </w:rPr>
        <w:t xml:space="preserve">patient relevance </w:t>
      </w:r>
      <w:r w:rsidR="002F048C" w:rsidRPr="009A64DA">
        <w:rPr>
          <w:szCs w:val="22"/>
        </w:rPr>
        <w:t xml:space="preserve">of </w:t>
      </w:r>
      <w:r w:rsidR="00B9436C" w:rsidRPr="009A64DA">
        <w:rPr>
          <w:szCs w:val="22"/>
        </w:rPr>
        <w:t>a progression event assessed by imaging not accompanied with the development of further symptoms</w:t>
      </w:r>
      <w:r w:rsidR="002F048C" w:rsidRPr="009A64DA">
        <w:rPr>
          <w:szCs w:val="22"/>
        </w:rPr>
        <w:t xml:space="preserve"> is questionable</w:t>
      </w:r>
      <w:r w:rsidR="00B9436C" w:rsidRPr="009A64DA">
        <w:rPr>
          <w:szCs w:val="22"/>
        </w:rPr>
        <w:t>.</w:t>
      </w:r>
    </w:p>
    <w:p w:rsidR="00611101" w:rsidRPr="009A64DA" w:rsidRDefault="00611101" w:rsidP="00611101">
      <w:pPr>
        <w:widowControl/>
        <w:rPr>
          <w:szCs w:val="22"/>
        </w:rPr>
      </w:pPr>
    </w:p>
    <w:p w:rsidR="00611101" w:rsidRPr="009A64DA" w:rsidRDefault="00611101" w:rsidP="0030238C">
      <w:pPr>
        <w:pStyle w:val="ListParagraph"/>
        <w:numPr>
          <w:ilvl w:val="1"/>
          <w:numId w:val="2"/>
        </w:numPr>
      </w:pPr>
      <w:r w:rsidRPr="009A64DA">
        <w:t>The results of the economic model are summarised below.</w:t>
      </w:r>
    </w:p>
    <w:p w:rsidR="00BD69F2" w:rsidRPr="009A64DA" w:rsidRDefault="00BD69F2">
      <w:pPr>
        <w:widowControl/>
        <w:jc w:val="left"/>
        <w:rPr>
          <w:rStyle w:val="CommentReference"/>
        </w:rPr>
      </w:pPr>
    </w:p>
    <w:p w:rsidR="00611101" w:rsidRPr="009A64DA" w:rsidRDefault="00611101" w:rsidP="00611101">
      <w:pPr>
        <w:ind w:firstLine="720"/>
        <w:rPr>
          <w:rStyle w:val="CommentReference"/>
        </w:rPr>
      </w:pPr>
      <w:r w:rsidRPr="009A64DA">
        <w:rPr>
          <w:rStyle w:val="CommentReference"/>
        </w:rPr>
        <w:t xml:space="preserve">Table </w:t>
      </w:r>
      <w:r w:rsidR="00240987" w:rsidRPr="009A64DA">
        <w:rPr>
          <w:rStyle w:val="CommentReference"/>
        </w:rPr>
        <w:t>6</w:t>
      </w:r>
      <w:r w:rsidRPr="009A64DA">
        <w:rPr>
          <w:rStyle w:val="CommentReference"/>
        </w:rPr>
        <w:t>: Results of the modelled economic evaluation</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6: Results of the modelled economic evaluation"/>
      </w:tblPr>
      <w:tblGrid>
        <w:gridCol w:w="3338"/>
        <w:gridCol w:w="1663"/>
        <w:gridCol w:w="1668"/>
        <w:gridCol w:w="1678"/>
      </w:tblGrid>
      <w:tr w:rsidR="00611101" w:rsidRPr="009A64DA" w:rsidTr="00611101">
        <w:tc>
          <w:tcPr>
            <w:tcW w:w="2000" w:type="pct"/>
          </w:tcPr>
          <w:p w:rsidR="00611101" w:rsidRPr="009A64DA" w:rsidRDefault="00611101" w:rsidP="00611101">
            <w:pPr>
              <w:rPr>
                <w:rFonts w:ascii="Arial Narrow" w:hAnsi="Arial Narrow"/>
                <w:b/>
                <w:sz w:val="20"/>
              </w:rPr>
            </w:pPr>
            <w:r w:rsidRPr="009A64DA">
              <w:rPr>
                <w:rFonts w:ascii="Arial Narrow" w:hAnsi="Arial Narrow"/>
                <w:b/>
                <w:sz w:val="20"/>
              </w:rPr>
              <w:t>Component</w:t>
            </w:r>
          </w:p>
        </w:tc>
        <w:tc>
          <w:tcPr>
            <w:tcW w:w="996" w:type="pct"/>
          </w:tcPr>
          <w:p w:rsidR="00611101" w:rsidRPr="009A64DA" w:rsidRDefault="00611101" w:rsidP="00611101">
            <w:pPr>
              <w:jc w:val="center"/>
              <w:rPr>
                <w:rFonts w:ascii="Arial Narrow" w:hAnsi="Arial Narrow"/>
                <w:b/>
                <w:sz w:val="20"/>
              </w:rPr>
            </w:pPr>
            <w:proofErr w:type="spellStart"/>
            <w:r w:rsidRPr="009A64DA">
              <w:rPr>
                <w:rFonts w:ascii="Arial Narrow" w:hAnsi="Arial Narrow"/>
                <w:b/>
                <w:sz w:val="20"/>
              </w:rPr>
              <w:t>Lanreotide</w:t>
            </w:r>
            <w:proofErr w:type="spellEnd"/>
          </w:p>
        </w:tc>
        <w:tc>
          <w:tcPr>
            <w:tcW w:w="999" w:type="pct"/>
          </w:tcPr>
          <w:p w:rsidR="00611101" w:rsidRPr="009A64DA" w:rsidRDefault="00611101" w:rsidP="00611101">
            <w:pPr>
              <w:jc w:val="center"/>
              <w:rPr>
                <w:rFonts w:ascii="Arial Narrow" w:hAnsi="Arial Narrow"/>
                <w:b/>
                <w:sz w:val="20"/>
              </w:rPr>
            </w:pPr>
            <w:r w:rsidRPr="009A64DA">
              <w:rPr>
                <w:rFonts w:ascii="Arial Narrow" w:hAnsi="Arial Narrow"/>
                <w:b/>
                <w:sz w:val="20"/>
              </w:rPr>
              <w:t>Watchful waiting</w:t>
            </w:r>
          </w:p>
        </w:tc>
        <w:tc>
          <w:tcPr>
            <w:tcW w:w="1005" w:type="pct"/>
          </w:tcPr>
          <w:p w:rsidR="00611101" w:rsidRPr="009A64DA" w:rsidRDefault="00611101" w:rsidP="00611101">
            <w:pPr>
              <w:jc w:val="center"/>
              <w:rPr>
                <w:rFonts w:ascii="Arial Narrow" w:hAnsi="Arial Narrow"/>
                <w:b/>
                <w:sz w:val="20"/>
              </w:rPr>
            </w:pPr>
            <w:r w:rsidRPr="009A64DA">
              <w:rPr>
                <w:rFonts w:ascii="Arial Narrow" w:hAnsi="Arial Narrow"/>
                <w:b/>
                <w:sz w:val="20"/>
              </w:rPr>
              <w:t>Increment</w:t>
            </w:r>
          </w:p>
        </w:tc>
      </w:tr>
      <w:tr w:rsidR="00611101" w:rsidRPr="009A64DA" w:rsidTr="00611101">
        <w:tc>
          <w:tcPr>
            <w:tcW w:w="2000" w:type="pct"/>
          </w:tcPr>
          <w:p w:rsidR="00611101" w:rsidRPr="009A64DA" w:rsidRDefault="00611101" w:rsidP="00611101">
            <w:pPr>
              <w:rPr>
                <w:rFonts w:ascii="Arial Narrow" w:hAnsi="Arial Narrow"/>
                <w:sz w:val="20"/>
              </w:rPr>
            </w:pPr>
            <w:r w:rsidRPr="009A64DA">
              <w:rPr>
                <w:rFonts w:ascii="Arial Narrow" w:hAnsi="Arial Narrow"/>
                <w:sz w:val="20"/>
              </w:rPr>
              <w:t>Costs</w:t>
            </w:r>
          </w:p>
        </w:tc>
        <w:tc>
          <w:tcPr>
            <w:tcW w:w="996" w:type="pct"/>
            <w:vAlign w:val="center"/>
          </w:tcPr>
          <w:p w:rsidR="00611101" w:rsidRPr="009A64DA" w:rsidRDefault="00611101" w:rsidP="00611101">
            <w:pPr>
              <w:jc w:val="center"/>
              <w:rPr>
                <w:rFonts w:ascii="Arial Narrow" w:hAnsi="Arial Narrow"/>
                <w:sz w:val="20"/>
              </w:rPr>
            </w:pPr>
            <w:r w:rsidRPr="009A64DA">
              <w:rPr>
                <w:rFonts w:ascii="Arial Narrow" w:hAnsi="Arial Narrow" w:cs="Times New Roman"/>
                <w:sz w:val="20"/>
              </w:rPr>
              <w:t>$</w:t>
            </w:r>
            <w:r w:rsidR="00ED7A1E">
              <w:rPr>
                <w:rFonts w:ascii="Arial Narrow" w:hAnsi="Arial Narrow" w:cs="Times New Roman"/>
                <w:noProof/>
                <w:color w:val="000000"/>
                <w:sz w:val="20"/>
                <w:highlight w:val="black"/>
              </w:rPr>
              <w:t>'''''''''''''''''''''</w:t>
            </w:r>
          </w:p>
        </w:tc>
        <w:tc>
          <w:tcPr>
            <w:tcW w:w="999" w:type="pct"/>
            <w:vAlign w:val="center"/>
          </w:tcPr>
          <w:p w:rsidR="00611101" w:rsidRPr="009A64DA" w:rsidRDefault="00611101" w:rsidP="00611101">
            <w:pPr>
              <w:jc w:val="center"/>
              <w:rPr>
                <w:rFonts w:ascii="Arial Narrow" w:hAnsi="Arial Narrow"/>
                <w:sz w:val="20"/>
              </w:rPr>
            </w:pPr>
            <w:r w:rsidRPr="009A64DA">
              <w:rPr>
                <w:rFonts w:ascii="Arial Narrow" w:hAnsi="Arial Narrow" w:cs="Times New Roman"/>
                <w:sz w:val="20"/>
              </w:rPr>
              <w:t>$163,393</w:t>
            </w:r>
          </w:p>
        </w:tc>
        <w:tc>
          <w:tcPr>
            <w:tcW w:w="1005" w:type="pct"/>
            <w:vAlign w:val="center"/>
          </w:tcPr>
          <w:p w:rsidR="00611101" w:rsidRPr="009A64DA" w:rsidRDefault="00611101" w:rsidP="00611101">
            <w:pPr>
              <w:jc w:val="center"/>
              <w:rPr>
                <w:rFonts w:ascii="Arial Narrow" w:hAnsi="Arial Narrow"/>
                <w:sz w:val="20"/>
              </w:rPr>
            </w:pPr>
            <w:r w:rsidRPr="009A64DA">
              <w:rPr>
                <w:rFonts w:ascii="Arial Narrow" w:hAnsi="Arial Narrow" w:cs="Times New Roman"/>
                <w:sz w:val="20"/>
              </w:rPr>
              <w:t>$</w:t>
            </w:r>
            <w:r w:rsidR="00ED7A1E">
              <w:rPr>
                <w:rFonts w:ascii="Arial Narrow" w:hAnsi="Arial Narrow" w:cs="Times New Roman"/>
                <w:noProof/>
                <w:color w:val="000000"/>
                <w:sz w:val="20"/>
                <w:highlight w:val="black"/>
              </w:rPr>
              <w:t>''''''''''''''''</w:t>
            </w:r>
          </w:p>
        </w:tc>
      </w:tr>
      <w:tr w:rsidR="00611101" w:rsidRPr="009A64DA" w:rsidTr="00611101">
        <w:tc>
          <w:tcPr>
            <w:tcW w:w="2000" w:type="pct"/>
          </w:tcPr>
          <w:p w:rsidR="00611101" w:rsidRPr="009A64DA" w:rsidRDefault="00611101" w:rsidP="00611101">
            <w:pPr>
              <w:rPr>
                <w:rFonts w:ascii="Arial Narrow" w:hAnsi="Arial Narrow"/>
                <w:sz w:val="20"/>
              </w:rPr>
            </w:pPr>
            <w:r w:rsidRPr="009A64DA">
              <w:rPr>
                <w:rFonts w:ascii="Arial Narrow" w:hAnsi="Arial Narrow"/>
                <w:sz w:val="20"/>
              </w:rPr>
              <w:t>LYs</w:t>
            </w:r>
          </w:p>
        </w:tc>
        <w:tc>
          <w:tcPr>
            <w:tcW w:w="996" w:type="pct"/>
            <w:vAlign w:val="center"/>
          </w:tcPr>
          <w:p w:rsidR="00611101" w:rsidRPr="009A64DA" w:rsidRDefault="00611101" w:rsidP="00611101">
            <w:pPr>
              <w:jc w:val="center"/>
              <w:rPr>
                <w:rFonts w:ascii="Arial Narrow" w:hAnsi="Arial Narrow"/>
                <w:sz w:val="20"/>
              </w:rPr>
            </w:pPr>
            <w:r w:rsidRPr="009A64DA">
              <w:rPr>
                <w:rFonts w:ascii="Arial Narrow" w:hAnsi="Arial Narrow"/>
                <w:sz w:val="20"/>
              </w:rPr>
              <w:t>6.664</w:t>
            </w:r>
          </w:p>
        </w:tc>
        <w:tc>
          <w:tcPr>
            <w:tcW w:w="999" w:type="pct"/>
            <w:vAlign w:val="center"/>
          </w:tcPr>
          <w:p w:rsidR="00611101" w:rsidRPr="009A64DA" w:rsidRDefault="00611101" w:rsidP="00611101">
            <w:pPr>
              <w:jc w:val="center"/>
              <w:rPr>
                <w:rFonts w:ascii="Arial Narrow" w:hAnsi="Arial Narrow"/>
                <w:sz w:val="20"/>
              </w:rPr>
            </w:pPr>
            <w:r w:rsidRPr="009A64DA">
              <w:rPr>
                <w:rFonts w:ascii="Arial Narrow" w:hAnsi="Arial Narrow"/>
                <w:sz w:val="20"/>
              </w:rPr>
              <w:t>6.234</w:t>
            </w:r>
          </w:p>
        </w:tc>
        <w:tc>
          <w:tcPr>
            <w:tcW w:w="1005" w:type="pct"/>
            <w:vAlign w:val="center"/>
          </w:tcPr>
          <w:p w:rsidR="00611101" w:rsidRPr="009A64DA" w:rsidRDefault="00611101" w:rsidP="00611101">
            <w:pPr>
              <w:jc w:val="center"/>
              <w:rPr>
                <w:rFonts w:ascii="Arial Narrow" w:hAnsi="Arial Narrow"/>
                <w:sz w:val="20"/>
              </w:rPr>
            </w:pPr>
            <w:r w:rsidRPr="009A64DA">
              <w:rPr>
                <w:rFonts w:ascii="Arial Narrow" w:hAnsi="Arial Narrow"/>
                <w:sz w:val="20"/>
              </w:rPr>
              <w:t>0.406</w:t>
            </w:r>
          </w:p>
        </w:tc>
      </w:tr>
      <w:tr w:rsidR="00611101" w:rsidRPr="009A64DA" w:rsidTr="00611101">
        <w:tc>
          <w:tcPr>
            <w:tcW w:w="3995" w:type="pct"/>
            <w:gridSpan w:val="3"/>
          </w:tcPr>
          <w:p w:rsidR="00611101" w:rsidRPr="009A64DA" w:rsidRDefault="00611101" w:rsidP="00611101">
            <w:pPr>
              <w:rPr>
                <w:rFonts w:ascii="Arial Narrow" w:hAnsi="Arial Narrow"/>
                <w:b/>
                <w:sz w:val="20"/>
              </w:rPr>
            </w:pPr>
            <w:r w:rsidRPr="009A64DA">
              <w:rPr>
                <w:rFonts w:ascii="Arial Narrow" w:hAnsi="Arial Narrow"/>
                <w:b/>
                <w:sz w:val="20"/>
              </w:rPr>
              <w:t>Incremental cost per LY gained</w:t>
            </w:r>
          </w:p>
        </w:tc>
        <w:tc>
          <w:tcPr>
            <w:tcW w:w="1005" w:type="pct"/>
          </w:tcPr>
          <w:p w:rsidR="00611101" w:rsidRPr="009A64DA" w:rsidRDefault="00611101" w:rsidP="00611101">
            <w:pPr>
              <w:jc w:val="center"/>
              <w:rPr>
                <w:rFonts w:ascii="Arial Narrow" w:hAnsi="Arial Narrow"/>
                <w:b/>
                <w:sz w:val="20"/>
              </w:rPr>
            </w:pPr>
            <w:r w:rsidRPr="009A64DA">
              <w:rPr>
                <w:rFonts w:ascii="Arial Narrow" w:hAnsi="Arial Narrow"/>
                <w:b/>
                <w:sz w:val="20"/>
              </w:rPr>
              <w:t>$</w:t>
            </w:r>
            <w:r w:rsidR="00ED7A1E">
              <w:rPr>
                <w:rFonts w:ascii="Arial Narrow" w:hAnsi="Arial Narrow"/>
                <w:b/>
                <w:noProof/>
                <w:color w:val="000000"/>
                <w:sz w:val="20"/>
                <w:highlight w:val="black"/>
              </w:rPr>
              <w:t>''''''''''''</w:t>
            </w:r>
          </w:p>
        </w:tc>
      </w:tr>
      <w:tr w:rsidR="00611101" w:rsidRPr="009A64DA" w:rsidTr="00611101">
        <w:tc>
          <w:tcPr>
            <w:tcW w:w="2000" w:type="pct"/>
          </w:tcPr>
          <w:p w:rsidR="00611101" w:rsidRPr="009A64DA" w:rsidRDefault="00611101" w:rsidP="00611101">
            <w:pPr>
              <w:rPr>
                <w:rFonts w:ascii="Arial Narrow" w:hAnsi="Arial Narrow"/>
                <w:sz w:val="20"/>
              </w:rPr>
            </w:pPr>
            <w:r w:rsidRPr="009A64DA">
              <w:rPr>
                <w:rFonts w:ascii="Arial Narrow" w:hAnsi="Arial Narrow"/>
                <w:sz w:val="20"/>
              </w:rPr>
              <w:t>Costs</w:t>
            </w:r>
          </w:p>
        </w:tc>
        <w:tc>
          <w:tcPr>
            <w:tcW w:w="996" w:type="pct"/>
            <w:vAlign w:val="center"/>
          </w:tcPr>
          <w:p w:rsidR="00611101" w:rsidRPr="009A64DA" w:rsidRDefault="00611101" w:rsidP="00611101">
            <w:pPr>
              <w:jc w:val="center"/>
              <w:rPr>
                <w:rFonts w:ascii="Arial Narrow" w:hAnsi="Arial Narrow"/>
                <w:sz w:val="20"/>
              </w:rPr>
            </w:pPr>
            <w:r w:rsidRPr="009A64DA">
              <w:rPr>
                <w:rFonts w:ascii="Arial Narrow" w:hAnsi="Arial Narrow" w:cs="Times New Roman"/>
                <w:sz w:val="20"/>
              </w:rPr>
              <w:t>$</w:t>
            </w:r>
            <w:r w:rsidR="00ED7A1E">
              <w:rPr>
                <w:rFonts w:ascii="Arial Narrow" w:hAnsi="Arial Narrow" w:cs="Times New Roman"/>
                <w:noProof/>
                <w:color w:val="000000"/>
                <w:sz w:val="20"/>
                <w:highlight w:val="black"/>
              </w:rPr>
              <w:t>'''''''''''''''''''</w:t>
            </w:r>
          </w:p>
        </w:tc>
        <w:tc>
          <w:tcPr>
            <w:tcW w:w="999" w:type="pct"/>
            <w:vAlign w:val="center"/>
          </w:tcPr>
          <w:p w:rsidR="00611101" w:rsidRPr="009A64DA" w:rsidRDefault="00611101" w:rsidP="00611101">
            <w:pPr>
              <w:jc w:val="center"/>
              <w:rPr>
                <w:rFonts w:ascii="Arial Narrow" w:hAnsi="Arial Narrow"/>
                <w:sz w:val="20"/>
              </w:rPr>
            </w:pPr>
            <w:r w:rsidRPr="009A64DA">
              <w:rPr>
                <w:rFonts w:ascii="Arial Narrow" w:hAnsi="Arial Narrow" w:cs="Times New Roman"/>
                <w:sz w:val="20"/>
              </w:rPr>
              <w:t>$163,393</w:t>
            </w:r>
          </w:p>
        </w:tc>
        <w:tc>
          <w:tcPr>
            <w:tcW w:w="1005" w:type="pct"/>
            <w:vAlign w:val="center"/>
          </w:tcPr>
          <w:p w:rsidR="00611101" w:rsidRPr="009A64DA" w:rsidRDefault="00611101" w:rsidP="00611101">
            <w:pPr>
              <w:jc w:val="center"/>
              <w:rPr>
                <w:rFonts w:ascii="Arial Narrow" w:hAnsi="Arial Narrow"/>
                <w:sz w:val="20"/>
              </w:rPr>
            </w:pPr>
            <w:r w:rsidRPr="009A64DA">
              <w:rPr>
                <w:rFonts w:ascii="Arial Narrow" w:hAnsi="Arial Narrow" w:cs="Times New Roman"/>
                <w:sz w:val="20"/>
              </w:rPr>
              <w:t>$</w:t>
            </w:r>
            <w:r w:rsidR="00ED7A1E">
              <w:rPr>
                <w:rFonts w:ascii="Arial Narrow" w:hAnsi="Arial Narrow" w:cs="Times New Roman"/>
                <w:noProof/>
                <w:color w:val="000000"/>
                <w:sz w:val="20"/>
                <w:highlight w:val="black"/>
              </w:rPr>
              <w:t>''''''''''''''''</w:t>
            </w:r>
          </w:p>
        </w:tc>
      </w:tr>
      <w:tr w:rsidR="00611101" w:rsidRPr="009A64DA" w:rsidTr="00611101">
        <w:tc>
          <w:tcPr>
            <w:tcW w:w="2000" w:type="pct"/>
          </w:tcPr>
          <w:p w:rsidR="00611101" w:rsidRPr="009A64DA" w:rsidRDefault="00611101" w:rsidP="00611101">
            <w:pPr>
              <w:rPr>
                <w:rFonts w:ascii="Arial Narrow" w:hAnsi="Arial Narrow"/>
                <w:sz w:val="20"/>
              </w:rPr>
            </w:pPr>
            <w:r w:rsidRPr="009A64DA">
              <w:rPr>
                <w:rFonts w:ascii="Arial Narrow" w:hAnsi="Arial Narrow"/>
                <w:sz w:val="20"/>
              </w:rPr>
              <w:t>QALYs</w:t>
            </w:r>
          </w:p>
        </w:tc>
        <w:tc>
          <w:tcPr>
            <w:tcW w:w="996" w:type="pct"/>
            <w:vAlign w:val="center"/>
          </w:tcPr>
          <w:p w:rsidR="00611101" w:rsidRPr="009A64DA" w:rsidRDefault="00611101" w:rsidP="00611101">
            <w:pPr>
              <w:jc w:val="center"/>
              <w:rPr>
                <w:rFonts w:ascii="Arial Narrow" w:hAnsi="Arial Narrow"/>
                <w:sz w:val="20"/>
              </w:rPr>
            </w:pPr>
            <w:r w:rsidRPr="009A64DA">
              <w:rPr>
                <w:rFonts w:ascii="Arial Narrow" w:hAnsi="Arial Narrow"/>
                <w:sz w:val="20"/>
              </w:rPr>
              <w:t>4.718</w:t>
            </w:r>
          </w:p>
        </w:tc>
        <w:tc>
          <w:tcPr>
            <w:tcW w:w="999" w:type="pct"/>
            <w:vAlign w:val="center"/>
          </w:tcPr>
          <w:p w:rsidR="00611101" w:rsidRPr="009A64DA" w:rsidRDefault="00611101" w:rsidP="00611101">
            <w:pPr>
              <w:jc w:val="center"/>
              <w:rPr>
                <w:rFonts w:ascii="Arial Narrow" w:hAnsi="Arial Narrow"/>
                <w:sz w:val="20"/>
              </w:rPr>
            </w:pPr>
            <w:r w:rsidRPr="009A64DA">
              <w:rPr>
                <w:rFonts w:ascii="Arial Narrow" w:hAnsi="Arial Narrow"/>
                <w:sz w:val="20"/>
              </w:rPr>
              <w:t>3.961</w:t>
            </w:r>
          </w:p>
        </w:tc>
        <w:tc>
          <w:tcPr>
            <w:tcW w:w="1005" w:type="pct"/>
            <w:vAlign w:val="center"/>
          </w:tcPr>
          <w:p w:rsidR="00611101" w:rsidRPr="009A64DA" w:rsidRDefault="00611101" w:rsidP="00611101">
            <w:pPr>
              <w:jc w:val="center"/>
              <w:rPr>
                <w:rFonts w:ascii="Arial Narrow" w:hAnsi="Arial Narrow"/>
                <w:sz w:val="20"/>
              </w:rPr>
            </w:pPr>
            <w:r w:rsidRPr="009A64DA">
              <w:rPr>
                <w:rFonts w:ascii="Arial Narrow" w:hAnsi="Arial Narrow"/>
                <w:sz w:val="20"/>
              </w:rPr>
              <w:t>0.757</w:t>
            </w:r>
          </w:p>
        </w:tc>
      </w:tr>
      <w:tr w:rsidR="00611101" w:rsidRPr="009A64DA" w:rsidTr="00611101">
        <w:tc>
          <w:tcPr>
            <w:tcW w:w="3995" w:type="pct"/>
            <w:gridSpan w:val="3"/>
          </w:tcPr>
          <w:p w:rsidR="00611101" w:rsidRPr="009A64DA" w:rsidRDefault="00611101" w:rsidP="00611101">
            <w:pPr>
              <w:rPr>
                <w:rFonts w:ascii="Arial Narrow" w:hAnsi="Arial Narrow"/>
                <w:b/>
                <w:sz w:val="20"/>
              </w:rPr>
            </w:pPr>
            <w:r w:rsidRPr="009A64DA">
              <w:rPr>
                <w:rFonts w:ascii="Arial Narrow" w:hAnsi="Arial Narrow"/>
                <w:b/>
                <w:sz w:val="20"/>
              </w:rPr>
              <w:t>Incremental cost per QALY gained</w:t>
            </w:r>
          </w:p>
        </w:tc>
        <w:tc>
          <w:tcPr>
            <w:tcW w:w="1005" w:type="pct"/>
          </w:tcPr>
          <w:p w:rsidR="00611101" w:rsidRPr="009A64DA" w:rsidRDefault="00611101" w:rsidP="00611101">
            <w:pPr>
              <w:jc w:val="center"/>
              <w:rPr>
                <w:rFonts w:ascii="Arial Narrow" w:hAnsi="Arial Narrow"/>
                <w:b/>
                <w:sz w:val="20"/>
              </w:rPr>
            </w:pPr>
            <w:r w:rsidRPr="009A64DA">
              <w:rPr>
                <w:rFonts w:ascii="Arial Narrow" w:hAnsi="Arial Narrow"/>
                <w:b/>
                <w:sz w:val="20"/>
              </w:rPr>
              <w:t>$</w:t>
            </w:r>
            <w:r w:rsidR="00ED7A1E">
              <w:rPr>
                <w:rFonts w:ascii="Arial Narrow" w:hAnsi="Arial Narrow"/>
                <w:b/>
                <w:noProof/>
                <w:color w:val="000000"/>
                <w:sz w:val="20"/>
                <w:highlight w:val="black"/>
              </w:rPr>
              <w:t>''''''''''''''</w:t>
            </w:r>
          </w:p>
        </w:tc>
      </w:tr>
    </w:tbl>
    <w:p w:rsidR="00611101" w:rsidRPr="009A64DA" w:rsidRDefault="00611101" w:rsidP="00611101">
      <w:pPr>
        <w:pStyle w:val="TableFooter"/>
        <w:ind w:firstLine="720"/>
      </w:pPr>
      <w:r w:rsidRPr="009A64DA">
        <w:t>Abbreviations: LYs, life years; QALYs, quality-adjusted life years</w:t>
      </w:r>
    </w:p>
    <w:p w:rsidR="00611101" w:rsidRPr="009A64DA" w:rsidRDefault="00611101" w:rsidP="00611101">
      <w:pPr>
        <w:widowControl/>
        <w:rPr>
          <w:szCs w:val="22"/>
        </w:rPr>
      </w:pPr>
    </w:p>
    <w:p w:rsidR="00611101" w:rsidRPr="009A64DA" w:rsidRDefault="00611101" w:rsidP="00F15A7A">
      <w:pPr>
        <w:pStyle w:val="ListParagraph"/>
        <w:widowControl/>
        <w:numPr>
          <w:ilvl w:val="1"/>
          <w:numId w:val="2"/>
        </w:numPr>
        <w:rPr>
          <w:szCs w:val="22"/>
        </w:rPr>
      </w:pPr>
      <w:r w:rsidRPr="009A64DA">
        <w:rPr>
          <w:szCs w:val="22"/>
        </w:rPr>
        <w:t xml:space="preserve">Based on the economic model, treatment with </w:t>
      </w:r>
      <w:proofErr w:type="spellStart"/>
      <w:r w:rsidRPr="009A64DA">
        <w:rPr>
          <w:szCs w:val="22"/>
        </w:rPr>
        <w:t>lanreotide</w:t>
      </w:r>
      <w:proofErr w:type="spellEnd"/>
      <w:r w:rsidRPr="009A64DA">
        <w:rPr>
          <w:szCs w:val="22"/>
        </w:rPr>
        <w:t xml:space="preserve"> was associated with a cost per QALY gained of </w:t>
      </w:r>
      <w:r w:rsidR="00F15A7A" w:rsidRPr="00F15A7A">
        <w:rPr>
          <w:szCs w:val="22"/>
        </w:rPr>
        <w:t xml:space="preserve">$45,000 – $75,000 </w:t>
      </w:r>
      <w:r w:rsidRPr="009A64DA">
        <w:rPr>
          <w:szCs w:val="22"/>
        </w:rPr>
        <w:t>compared to watchful waiting. The submission noted that the estimated ICER was within the range ($</w:t>
      </w:r>
      <w:r w:rsidRPr="00F15A7A">
        <w:rPr>
          <w:szCs w:val="22"/>
        </w:rPr>
        <w:t>45,000</w:t>
      </w:r>
      <w:r w:rsidRPr="009A64DA">
        <w:rPr>
          <w:szCs w:val="22"/>
        </w:rPr>
        <w:t>-$</w:t>
      </w:r>
      <w:r w:rsidRPr="00F15A7A">
        <w:rPr>
          <w:szCs w:val="22"/>
        </w:rPr>
        <w:t xml:space="preserve">75,000 </w:t>
      </w:r>
      <w:r w:rsidRPr="009A64DA">
        <w:rPr>
          <w:szCs w:val="22"/>
        </w:rPr>
        <w:t xml:space="preserve">per QALY gained) accepted by the PBAC in previous considerations of </w:t>
      </w:r>
      <w:proofErr w:type="spellStart"/>
      <w:r w:rsidRPr="009A64DA">
        <w:rPr>
          <w:szCs w:val="22"/>
        </w:rPr>
        <w:t>sunitinib</w:t>
      </w:r>
      <w:proofErr w:type="spellEnd"/>
      <w:r w:rsidRPr="009A64DA">
        <w:rPr>
          <w:szCs w:val="22"/>
        </w:rPr>
        <w:t xml:space="preserve"> for </w:t>
      </w:r>
      <w:proofErr w:type="spellStart"/>
      <w:r w:rsidRPr="009A64DA">
        <w:rPr>
          <w:szCs w:val="22"/>
        </w:rPr>
        <w:t>pNETs</w:t>
      </w:r>
      <w:proofErr w:type="spellEnd"/>
      <w:r w:rsidRPr="009A64DA">
        <w:rPr>
          <w:szCs w:val="22"/>
        </w:rPr>
        <w:t xml:space="preserve"> (August 2013 PSD).</w:t>
      </w:r>
    </w:p>
    <w:p w:rsidR="00611101" w:rsidRPr="009A64DA" w:rsidRDefault="00611101" w:rsidP="00611101">
      <w:pPr>
        <w:pStyle w:val="ListParagraph"/>
        <w:widowControl/>
        <w:rPr>
          <w:szCs w:val="22"/>
        </w:rPr>
      </w:pPr>
    </w:p>
    <w:p w:rsidR="00611101" w:rsidRPr="009A64DA" w:rsidRDefault="00FF2BC7" w:rsidP="0030238C">
      <w:pPr>
        <w:pStyle w:val="ListParagraph"/>
        <w:widowControl/>
        <w:numPr>
          <w:ilvl w:val="1"/>
          <w:numId w:val="2"/>
        </w:numPr>
        <w:rPr>
          <w:szCs w:val="22"/>
        </w:rPr>
      </w:pPr>
      <w:r w:rsidRPr="009A64DA">
        <w:rPr>
          <w:szCs w:val="22"/>
        </w:rPr>
        <w:t>The ESC agreed</w:t>
      </w:r>
      <w:r w:rsidRPr="009A64DA">
        <w:rPr>
          <w:i/>
          <w:szCs w:val="22"/>
        </w:rPr>
        <w:t xml:space="preserve"> </w:t>
      </w:r>
      <w:r w:rsidRPr="009A64DA">
        <w:rPr>
          <w:szCs w:val="22"/>
        </w:rPr>
        <w:t>t</w:t>
      </w:r>
      <w:r w:rsidR="00611101" w:rsidRPr="009A64DA">
        <w:rPr>
          <w:szCs w:val="22"/>
        </w:rPr>
        <w:t xml:space="preserve">he estimated ICER should not be considered reliable given major concerns regarding the representativeness of the modelled population to PBS </w:t>
      </w:r>
      <w:r w:rsidR="00611101" w:rsidRPr="009A64DA">
        <w:rPr>
          <w:szCs w:val="22"/>
        </w:rPr>
        <w:lastRenderedPageBreak/>
        <w:t>population as well as fundamental issues with the model structure (inconsistently modelled relationship between progression</w:t>
      </w:r>
      <w:r w:rsidR="00396C30">
        <w:rPr>
          <w:szCs w:val="22"/>
        </w:rPr>
        <w:t xml:space="preserve"> </w:t>
      </w:r>
      <w:r w:rsidR="00611101" w:rsidRPr="009A64DA">
        <w:rPr>
          <w:szCs w:val="22"/>
        </w:rPr>
        <w:t>free and overall survival). The economic model was sensitive to time horizon, survival curves, utility values, compliance and the cost of downstream therapies.</w:t>
      </w:r>
    </w:p>
    <w:p w:rsidR="00710AF6" w:rsidRPr="009A64DA" w:rsidRDefault="00710AF6" w:rsidP="00710AF6">
      <w:pPr>
        <w:pStyle w:val="ListParagraph"/>
        <w:widowControl/>
        <w:rPr>
          <w:szCs w:val="22"/>
        </w:rPr>
      </w:pPr>
    </w:p>
    <w:p w:rsidR="00611101" w:rsidRPr="009A64DA" w:rsidRDefault="00710AF6" w:rsidP="00710AF6">
      <w:pPr>
        <w:widowControl/>
        <w:ind w:firstLine="709"/>
        <w:rPr>
          <w:i/>
          <w:szCs w:val="22"/>
        </w:rPr>
      </w:pPr>
      <w:r w:rsidRPr="009A64DA">
        <w:rPr>
          <w:i/>
          <w:szCs w:val="22"/>
        </w:rPr>
        <w:t>For more detail on PBAC’s view, see section 7 “PBAC outcome”</w:t>
      </w:r>
    </w:p>
    <w:p w:rsidR="001B000E" w:rsidRDefault="001B000E" w:rsidP="00E975B1">
      <w:pPr>
        <w:pStyle w:val="BodyText"/>
      </w:pPr>
      <w:bookmarkStart w:id="14" w:name="_Toc430010755"/>
    </w:p>
    <w:p w:rsidR="00611101" w:rsidRPr="009A64DA" w:rsidRDefault="00611101" w:rsidP="00E975B1">
      <w:pPr>
        <w:pStyle w:val="Heading2"/>
      </w:pPr>
      <w:r w:rsidRPr="009A64DA">
        <w:t>Drug cost/patient/year</w:t>
      </w:r>
      <w:bookmarkEnd w:id="14"/>
    </w:p>
    <w:p w:rsidR="00611101" w:rsidRPr="009A64DA" w:rsidRDefault="00611101" w:rsidP="00611101">
      <w:pPr>
        <w:widowControl/>
        <w:rPr>
          <w:szCs w:val="22"/>
        </w:rPr>
      </w:pPr>
    </w:p>
    <w:p w:rsidR="00611101" w:rsidRPr="009A64DA" w:rsidRDefault="00611101" w:rsidP="0030238C">
      <w:pPr>
        <w:pStyle w:val="ListParagraph"/>
        <w:widowControl/>
        <w:numPr>
          <w:ilvl w:val="1"/>
          <w:numId w:val="2"/>
        </w:numPr>
        <w:rPr>
          <w:szCs w:val="22"/>
        </w:rPr>
      </w:pPr>
      <w:r w:rsidRPr="009A64DA">
        <w:rPr>
          <w:szCs w:val="22"/>
        </w:rPr>
        <w:t xml:space="preserve">The annual costs for </w:t>
      </w:r>
      <w:proofErr w:type="spellStart"/>
      <w:r w:rsidRPr="009A64DA">
        <w:rPr>
          <w:szCs w:val="22"/>
        </w:rPr>
        <w:t>lanreotide</w:t>
      </w:r>
      <w:proofErr w:type="spellEnd"/>
      <w:r w:rsidRPr="009A64DA">
        <w:rPr>
          <w:szCs w:val="22"/>
        </w:rPr>
        <w:t xml:space="preserve"> were $</w:t>
      </w:r>
      <w:r w:rsidR="00ED7A1E">
        <w:rPr>
          <w:noProof/>
          <w:color w:val="000000"/>
          <w:szCs w:val="22"/>
          <w:highlight w:val="black"/>
        </w:rPr>
        <w:t>'''''''''''''''</w:t>
      </w:r>
      <w:r w:rsidRPr="009A64DA">
        <w:rPr>
          <w:szCs w:val="22"/>
        </w:rPr>
        <w:t xml:space="preserve"> (Section 100 public hospital), $</w:t>
      </w:r>
      <w:r w:rsidR="00ED7A1E">
        <w:rPr>
          <w:noProof/>
          <w:color w:val="000000"/>
          <w:szCs w:val="22"/>
          <w:highlight w:val="black"/>
        </w:rPr>
        <w:t>''''''''''''''''</w:t>
      </w:r>
      <w:r w:rsidRPr="009A64DA">
        <w:rPr>
          <w:szCs w:val="22"/>
        </w:rPr>
        <w:t xml:space="preserve"> (Section 100 private hospital) or $</w:t>
      </w:r>
      <w:r w:rsidR="00ED7A1E">
        <w:rPr>
          <w:noProof/>
          <w:color w:val="000000"/>
          <w:szCs w:val="22"/>
          <w:highlight w:val="black"/>
        </w:rPr>
        <w:t>'''''''''''''''</w:t>
      </w:r>
      <w:r w:rsidRPr="009A64DA">
        <w:rPr>
          <w:szCs w:val="22"/>
        </w:rPr>
        <w:t xml:space="preserve"> (Section 85) based on 13 injections per year and assuming the mandatory 5% price reduction policy is implemented.</w:t>
      </w:r>
    </w:p>
    <w:p w:rsidR="00611101" w:rsidRPr="009A64DA" w:rsidRDefault="00611101" w:rsidP="00611101">
      <w:pPr>
        <w:pStyle w:val="ListParagraph"/>
        <w:widowControl/>
        <w:rPr>
          <w:szCs w:val="22"/>
        </w:rPr>
      </w:pPr>
    </w:p>
    <w:p w:rsidR="00611101" w:rsidRPr="009A64DA" w:rsidRDefault="00611101" w:rsidP="0030238C">
      <w:pPr>
        <w:pStyle w:val="ListParagraph"/>
        <w:widowControl/>
        <w:numPr>
          <w:ilvl w:val="1"/>
          <w:numId w:val="2"/>
        </w:numPr>
        <w:rPr>
          <w:szCs w:val="22"/>
        </w:rPr>
      </w:pPr>
      <w:r w:rsidRPr="009A64DA">
        <w:rPr>
          <w:szCs w:val="22"/>
        </w:rPr>
        <w:t xml:space="preserve">The annual costs for </w:t>
      </w:r>
      <w:proofErr w:type="spellStart"/>
      <w:r w:rsidRPr="009A64DA">
        <w:rPr>
          <w:szCs w:val="22"/>
        </w:rPr>
        <w:t>lanreotide</w:t>
      </w:r>
      <w:proofErr w:type="spellEnd"/>
      <w:r w:rsidRPr="009A64DA">
        <w:rPr>
          <w:szCs w:val="22"/>
        </w:rPr>
        <w:t xml:space="preserve"> were $</w:t>
      </w:r>
      <w:r w:rsidR="00ED7A1E">
        <w:rPr>
          <w:noProof/>
          <w:color w:val="000000"/>
          <w:szCs w:val="22"/>
          <w:highlight w:val="black"/>
        </w:rPr>
        <w:t>''''''''''''''''''</w:t>
      </w:r>
      <w:r w:rsidRPr="009A64DA">
        <w:rPr>
          <w:szCs w:val="22"/>
        </w:rPr>
        <w:t xml:space="preserve"> (Section 100 public hospital), $</w:t>
      </w:r>
      <w:r w:rsidR="00ED7A1E">
        <w:rPr>
          <w:noProof/>
          <w:color w:val="000000"/>
          <w:szCs w:val="22"/>
          <w:highlight w:val="black"/>
        </w:rPr>
        <w:t>'''''''''''''''</w:t>
      </w:r>
      <w:r w:rsidRPr="009A64DA">
        <w:rPr>
          <w:szCs w:val="22"/>
        </w:rPr>
        <w:t xml:space="preserve"> (Section 100 private hospital) or $</w:t>
      </w:r>
      <w:r w:rsidR="00ED7A1E">
        <w:rPr>
          <w:noProof/>
          <w:color w:val="000000"/>
          <w:szCs w:val="22"/>
          <w:highlight w:val="black"/>
        </w:rPr>
        <w:t>''''''''''''''''''</w:t>
      </w:r>
      <w:r w:rsidRPr="009A64DA">
        <w:rPr>
          <w:szCs w:val="22"/>
        </w:rPr>
        <w:t xml:space="preserve"> (Section 85) based on 13 injection</w:t>
      </w:r>
      <w:r w:rsidR="00413D62" w:rsidRPr="009A64DA">
        <w:rPr>
          <w:szCs w:val="22"/>
        </w:rPr>
        <w:t>s</w:t>
      </w:r>
      <w:r w:rsidRPr="009A64DA">
        <w:rPr>
          <w:szCs w:val="22"/>
        </w:rPr>
        <w:t xml:space="preserve"> per year without the 5% price reduction.</w:t>
      </w:r>
    </w:p>
    <w:p w:rsidR="00611101" w:rsidRPr="009A64DA" w:rsidRDefault="00611101" w:rsidP="00611101">
      <w:pPr>
        <w:rPr>
          <w:szCs w:val="22"/>
        </w:rPr>
      </w:pPr>
    </w:p>
    <w:p w:rsidR="00611101" w:rsidRPr="009A64DA" w:rsidRDefault="00611101" w:rsidP="00E975B1">
      <w:pPr>
        <w:pStyle w:val="Heading2"/>
      </w:pPr>
      <w:bookmarkStart w:id="15" w:name="_Toc430010756"/>
      <w:r w:rsidRPr="009A64DA">
        <w:t>Estimated PBS usage &amp; financial implications</w:t>
      </w:r>
      <w:bookmarkEnd w:id="15"/>
    </w:p>
    <w:p w:rsidR="00611101" w:rsidRPr="009A64DA" w:rsidRDefault="00611101" w:rsidP="00611101">
      <w:pPr>
        <w:ind w:left="720" w:hanging="720"/>
        <w:rPr>
          <w:b/>
          <w:i/>
          <w:szCs w:val="22"/>
        </w:rPr>
      </w:pPr>
    </w:p>
    <w:p w:rsidR="00611101" w:rsidRPr="009A64DA" w:rsidRDefault="00611101" w:rsidP="0030238C">
      <w:pPr>
        <w:pStyle w:val="ListParagraph"/>
        <w:widowControl/>
        <w:numPr>
          <w:ilvl w:val="1"/>
          <w:numId w:val="2"/>
        </w:numPr>
        <w:rPr>
          <w:szCs w:val="22"/>
        </w:rPr>
      </w:pPr>
      <w:r w:rsidRPr="009A64DA">
        <w:t>Th</w:t>
      </w:r>
      <w:r w:rsidR="005573FD" w:rsidRPr="009A64DA">
        <w:t>e</w:t>
      </w:r>
      <w:r w:rsidRPr="009A64DA">
        <w:t xml:space="preserve"> submission </w:t>
      </w:r>
      <w:r w:rsidR="0021776F" w:rsidRPr="009A64DA">
        <w:t>wa</w:t>
      </w:r>
      <w:r w:rsidRPr="009A64DA">
        <w:t>s not considered by DUSC</w:t>
      </w:r>
      <w:r w:rsidRPr="009A64DA">
        <w:rPr>
          <w:color w:val="0070C0"/>
        </w:rPr>
        <w:t xml:space="preserve">. </w:t>
      </w:r>
    </w:p>
    <w:p w:rsidR="00611101" w:rsidRPr="009A64DA" w:rsidRDefault="00611101" w:rsidP="00611101">
      <w:pPr>
        <w:pStyle w:val="ListParagraph"/>
        <w:widowControl/>
        <w:rPr>
          <w:szCs w:val="22"/>
        </w:rPr>
      </w:pPr>
    </w:p>
    <w:p w:rsidR="00611101" w:rsidRPr="009A64DA" w:rsidRDefault="00611101" w:rsidP="0030238C">
      <w:pPr>
        <w:pStyle w:val="ListParagraph"/>
        <w:widowControl/>
        <w:numPr>
          <w:ilvl w:val="1"/>
          <w:numId w:val="2"/>
        </w:numPr>
        <w:rPr>
          <w:szCs w:val="22"/>
        </w:rPr>
      </w:pPr>
      <w:r w:rsidRPr="009A64DA">
        <w:t xml:space="preserve">The submission used an epidemiology approach to estimate the utilisation/financial implications associated with the PBS listing of </w:t>
      </w:r>
      <w:proofErr w:type="spellStart"/>
      <w:r w:rsidRPr="009A64DA">
        <w:t>lanreotide</w:t>
      </w:r>
      <w:proofErr w:type="spellEnd"/>
      <w:r w:rsidRPr="009A64DA">
        <w:t xml:space="preserve"> for the treatment of GEP-NETs. </w:t>
      </w:r>
    </w:p>
    <w:p w:rsidR="00BD69F2" w:rsidRPr="009A64DA" w:rsidRDefault="00BD69F2">
      <w:pPr>
        <w:widowControl/>
        <w:jc w:val="left"/>
        <w:rPr>
          <w:rFonts w:ascii="Arial Narrow" w:hAnsi="Arial Narrow"/>
          <w:b/>
          <w:sz w:val="20"/>
        </w:rPr>
      </w:pPr>
    </w:p>
    <w:p w:rsidR="00611101" w:rsidRPr="0085474D" w:rsidRDefault="00611101" w:rsidP="00611101">
      <w:pPr>
        <w:ind w:firstLine="720"/>
        <w:rPr>
          <w:rFonts w:ascii="Arial Narrow" w:hAnsi="Arial Narrow"/>
          <w:b/>
          <w:sz w:val="20"/>
        </w:rPr>
      </w:pPr>
      <w:r w:rsidRPr="0085474D">
        <w:rPr>
          <w:rFonts w:ascii="Arial Narrow" w:hAnsi="Arial Narrow"/>
          <w:b/>
          <w:sz w:val="20"/>
        </w:rPr>
        <w:t xml:space="preserve">Table </w:t>
      </w:r>
      <w:r w:rsidR="00240987" w:rsidRPr="0085474D">
        <w:rPr>
          <w:rFonts w:ascii="Arial Narrow" w:hAnsi="Arial Narrow"/>
          <w:b/>
          <w:sz w:val="20"/>
        </w:rPr>
        <w:t>7</w:t>
      </w:r>
      <w:r w:rsidRPr="0085474D">
        <w:rPr>
          <w:rFonts w:ascii="Arial Narrow" w:hAnsi="Arial Narrow"/>
          <w:b/>
          <w:sz w:val="20"/>
        </w:rPr>
        <w:t xml:space="preserve">: Estimated utilisation and cost to the PBS in the first five years of listing </w:t>
      </w:r>
    </w:p>
    <w:tbl>
      <w:tblPr>
        <w:tblW w:w="4581" w:type="pct"/>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Caption w:val="Table 7: Estimated utilisation and cost to the PBS in the first five years of listing "/>
      </w:tblPr>
      <w:tblGrid>
        <w:gridCol w:w="3265"/>
        <w:gridCol w:w="1022"/>
        <w:gridCol w:w="1022"/>
        <w:gridCol w:w="1022"/>
        <w:gridCol w:w="1022"/>
        <w:gridCol w:w="1022"/>
      </w:tblGrid>
      <w:tr w:rsidR="00611101" w:rsidRPr="0085474D" w:rsidTr="00611101">
        <w:trPr>
          <w:tblHeader/>
        </w:trPr>
        <w:tc>
          <w:tcPr>
            <w:tcW w:w="1950" w:type="pct"/>
            <w:tcBorders>
              <w:left w:val="single" w:sz="4" w:space="0" w:color="auto"/>
              <w:bottom w:val="single" w:sz="4" w:space="0" w:color="auto"/>
            </w:tcBorders>
            <w:shd w:val="clear" w:color="auto" w:fill="auto"/>
            <w:vAlign w:val="bottom"/>
            <w:hideMark/>
          </w:tcPr>
          <w:p w:rsidR="00611101" w:rsidRPr="0085474D" w:rsidRDefault="00611101" w:rsidP="00611101">
            <w:pPr>
              <w:rPr>
                <w:rFonts w:ascii="Arial Narrow" w:hAnsi="Arial Narrow"/>
                <w:sz w:val="20"/>
                <w:lang w:eastAsia="en-AU"/>
              </w:rPr>
            </w:pPr>
          </w:p>
        </w:tc>
        <w:tc>
          <w:tcPr>
            <w:tcW w:w="610" w:type="pct"/>
            <w:tcBorders>
              <w:bottom w:val="single" w:sz="4" w:space="0" w:color="auto"/>
            </w:tcBorders>
            <w:shd w:val="clear" w:color="auto" w:fill="auto"/>
            <w:vAlign w:val="bottom"/>
            <w:hideMark/>
          </w:tcPr>
          <w:p w:rsidR="00611101" w:rsidRPr="0085474D" w:rsidRDefault="00611101" w:rsidP="00611101">
            <w:pPr>
              <w:jc w:val="center"/>
              <w:rPr>
                <w:rFonts w:ascii="Arial Narrow" w:hAnsi="Arial Narrow"/>
                <w:b/>
                <w:bCs/>
                <w:sz w:val="20"/>
                <w:lang w:eastAsia="en-AU"/>
              </w:rPr>
            </w:pPr>
            <w:r w:rsidRPr="0085474D">
              <w:rPr>
                <w:rFonts w:ascii="Arial Narrow" w:hAnsi="Arial Narrow"/>
                <w:b/>
                <w:bCs/>
                <w:sz w:val="20"/>
                <w:lang w:eastAsia="en-AU"/>
              </w:rPr>
              <w:t>Year 1</w:t>
            </w:r>
          </w:p>
          <w:p w:rsidR="00611101" w:rsidRPr="0085474D" w:rsidRDefault="00611101" w:rsidP="00611101">
            <w:pPr>
              <w:jc w:val="center"/>
              <w:rPr>
                <w:rFonts w:ascii="Arial Narrow" w:hAnsi="Arial Narrow"/>
                <w:b/>
                <w:bCs/>
                <w:sz w:val="20"/>
                <w:lang w:eastAsia="en-AU"/>
              </w:rPr>
            </w:pPr>
            <w:r w:rsidRPr="0085474D">
              <w:rPr>
                <w:rFonts w:ascii="Arial Narrow" w:hAnsi="Arial Narrow"/>
                <w:b/>
                <w:bCs/>
                <w:sz w:val="20"/>
                <w:lang w:eastAsia="en-AU"/>
              </w:rPr>
              <w:t>(2016)</w:t>
            </w:r>
          </w:p>
        </w:tc>
        <w:tc>
          <w:tcPr>
            <w:tcW w:w="610" w:type="pct"/>
            <w:tcBorders>
              <w:bottom w:val="single" w:sz="4" w:space="0" w:color="auto"/>
            </w:tcBorders>
            <w:shd w:val="clear" w:color="auto" w:fill="auto"/>
            <w:vAlign w:val="bottom"/>
            <w:hideMark/>
          </w:tcPr>
          <w:p w:rsidR="00611101" w:rsidRPr="0085474D" w:rsidRDefault="00611101" w:rsidP="00611101">
            <w:pPr>
              <w:jc w:val="center"/>
              <w:rPr>
                <w:rFonts w:ascii="Arial Narrow" w:hAnsi="Arial Narrow"/>
                <w:b/>
                <w:bCs/>
                <w:sz w:val="20"/>
                <w:lang w:eastAsia="en-AU"/>
              </w:rPr>
            </w:pPr>
            <w:r w:rsidRPr="0085474D">
              <w:rPr>
                <w:rFonts w:ascii="Arial Narrow" w:hAnsi="Arial Narrow"/>
                <w:b/>
                <w:bCs/>
                <w:sz w:val="20"/>
                <w:lang w:eastAsia="en-AU"/>
              </w:rPr>
              <w:t>Year 2</w:t>
            </w:r>
          </w:p>
          <w:p w:rsidR="00611101" w:rsidRPr="0085474D" w:rsidRDefault="00611101" w:rsidP="00611101">
            <w:pPr>
              <w:jc w:val="center"/>
              <w:rPr>
                <w:rFonts w:ascii="Arial Narrow" w:hAnsi="Arial Narrow"/>
                <w:b/>
                <w:bCs/>
                <w:sz w:val="20"/>
                <w:lang w:eastAsia="en-AU"/>
              </w:rPr>
            </w:pPr>
            <w:r w:rsidRPr="0085474D">
              <w:rPr>
                <w:rFonts w:ascii="Arial Narrow" w:hAnsi="Arial Narrow"/>
                <w:b/>
                <w:bCs/>
                <w:sz w:val="20"/>
                <w:lang w:eastAsia="en-AU"/>
              </w:rPr>
              <w:t>(2017)</w:t>
            </w:r>
          </w:p>
        </w:tc>
        <w:tc>
          <w:tcPr>
            <w:tcW w:w="610" w:type="pct"/>
            <w:tcBorders>
              <w:bottom w:val="single" w:sz="4" w:space="0" w:color="auto"/>
            </w:tcBorders>
            <w:shd w:val="clear" w:color="auto" w:fill="auto"/>
            <w:vAlign w:val="bottom"/>
            <w:hideMark/>
          </w:tcPr>
          <w:p w:rsidR="00611101" w:rsidRPr="0085474D" w:rsidRDefault="00611101" w:rsidP="00611101">
            <w:pPr>
              <w:jc w:val="center"/>
              <w:rPr>
                <w:rFonts w:ascii="Arial Narrow" w:hAnsi="Arial Narrow"/>
                <w:b/>
                <w:bCs/>
                <w:sz w:val="20"/>
                <w:lang w:eastAsia="en-AU"/>
              </w:rPr>
            </w:pPr>
            <w:r w:rsidRPr="0085474D">
              <w:rPr>
                <w:rFonts w:ascii="Arial Narrow" w:hAnsi="Arial Narrow"/>
                <w:b/>
                <w:bCs/>
                <w:sz w:val="20"/>
                <w:lang w:eastAsia="en-AU"/>
              </w:rPr>
              <w:t>Year 3</w:t>
            </w:r>
            <w:r w:rsidRPr="0085474D">
              <w:rPr>
                <w:rFonts w:ascii="Arial Narrow" w:hAnsi="Arial Narrow"/>
                <w:b/>
                <w:bCs/>
                <w:sz w:val="20"/>
                <w:lang w:eastAsia="en-AU"/>
              </w:rPr>
              <w:br/>
              <w:t>(2018)</w:t>
            </w:r>
          </w:p>
        </w:tc>
        <w:tc>
          <w:tcPr>
            <w:tcW w:w="610" w:type="pct"/>
            <w:tcBorders>
              <w:bottom w:val="single" w:sz="4" w:space="0" w:color="auto"/>
            </w:tcBorders>
            <w:shd w:val="clear" w:color="auto" w:fill="auto"/>
            <w:vAlign w:val="bottom"/>
            <w:hideMark/>
          </w:tcPr>
          <w:p w:rsidR="00611101" w:rsidRPr="0085474D" w:rsidRDefault="00611101" w:rsidP="00611101">
            <w:pPr>
              <w:jc w:val="center"/>
              <w:rPr>
                <w:rFonts w:ascii="Arial Narrow" w:hAnsi="Arial Narrow"/>
                <w:b/>
                <w:bCs/>
                <w:sz w:val="20"/>
                <w:lang w:eastAsia="en-AU"/>
              </w:rPr>
            </w:pPr>
            <w:r w:rsidRPr="0085474D">
              <w:rPr>
                <w:rFonts w:ascii="Arial Narrow" w:hAnsi="Arial Narrow"/>
                <w:b/>
                <w:bCs/>
                <w:sz w:val="20"/>
                <w:lang w:eastAsia="en-AU"/>
              </w:rPr>
              <w:t>Year 4</w:t>
            </w:r>
          </w:p>
          <w:p w:rsidR="00611101" w:rsidRPr="0085474D" w:rsidRDefault="00611101" w:rsidP="00611101">
            <w:pPr>
              <w:jc w:val="center"/>
              <w:rPr>
                <w:rFonts w:ascii="Arial Narrow" w:hAnsi="Arial Narrow"/>
                <w:b/>
                <w:bCs/>
                <w:sz w:val="20"/>
                <w:lang w:eastAsia="en-AU"/>
              </w:rPr>
            </w:pPr>
            <w:r w:rsidRPr="0085474D">
              <w:rPr>
                <w:rFonts w:ascii="Arial Narrow" w:hAnsi="Arial Narrow"/>
                <w:b/>
                <w:bCs/>
                <w:sz w:val="20"/>
                <w:lang w:eastAsia="en-AU"/>
              </w:rPr>
              <w:t>(2019)</w:t>
            </w:r>
          </w:p>
        </w:tc>
        <w:tc>
          <w:tcPr>
            <w:tcW w:w="610" w:type="pct"/>
            <w:tcBorders>
              <w:bottom w:val="single" w:sz="4" w:space="0" w:color="auto"/>
              <w:right w:val="single" w:sz="4" w:space="0" w:color="auto"/>
            </w:tcBorders>
            <w:shd w:val="clear" w:color="auto" w:fill="auto"/>
            <w:vAlign w:val="bottom"/>
            <w:hideMark/>
          </w:tcPr>
          <w:p w:rsidR="00611101" w:rsidRPr="0085474D" w:rsidRDefault="00611101" w:rsidP="00611101">
            <w:pPr>
              <w:jc w:val="center"/>
              <w:rPr>
                <w:rFonts w:ascii="Arial Narrow" w:hAnsi="Arial Narrow"/>
                <w:b/>
                <w:bCs/>
                <w:sz w:val="20"/>
                <w:lang w:eastAsia="en-AU"/>
              </w:rPr>
            </w:pPr>
            <w:r w:rsidRPr="0085474D">
              <w:rPr>
                <w:rFonts w:ascii="Arial Narrow" w:hAnsi="Arial Narrow"/>
                <w:b/>
                <w:bCs/>
                <w:sz w:val="20"/>
                <w:lang w:eastAsia="en-AU"/>
              </w:rPr>
              <w:t>Year 5</w:t>
            </w:r>
          </w:p>
          <w:p w:rsidR="00611101" w:rsidRPr="0085474D" w:rsidRDefault="00611101" w:rsidP="00611101">
            <w:pPr>
              <w:jc w:val="center"/>
              <w:rPr>
                <w:rFonts w:ascii="Arial Narrow" w:hAnsi="Arial Narrow"/>
                <w:b/>
                <w:bCs/>
                <w:sz w:val="20"/>
                <w:lang w:eastAsia="en-AU"/>
              </w:rPr>
            </w:pPr>
            <w:r w:rsidRPr="0085474D">
              <w:rPr>
                <w:rFonts w:ascii="Arial Narrow" w:hAnsi="Arial Narrow"/>
                <w:b/>
                <w:bCs/>
                <w:sz w:val="20"/>
                <w:lang w:eastAsia="en-AU"/>
              </w:rPr>
              <w:t>(2020)</w:t>
            </w:r>
          </w:p>
        </w:tc>
      </w:tr>
      <w:tr w:rsidR="00611101" w:rsidRPr="0085474D" w:rsidTr="00611101">
        <w:tc>
          <w:tcPr>
            <w:tcW w:w="1950" w:type="pct"/>
            <w:tcBorders>
              <w:left w:val="single" w:sz="4" w:space="0" w:color="auto"/>
              <w:bottom w:val="single" w:sz="4" w:space="0" w:color="auto"/>
            </w:tcBorders>
            <w:shd w:val="clear" w:color="auto" w:fill="auto"/>
            <w:vAlign w:val="bottom"/>
            <w:hideMark/>
          </w:tcPr>
          <w:p w:rsidR="00611101" w:rsidRPr="0085474D" w:rsidRDefault="00611101" w:rsidP="00611101">
            <w:pPr>
              <w:jc w:val="left"/>
              <w:rPr>
                <w:rFonts w:ascii="Arial Narrow" w:hAnsi="Arial Narrow"/>
                <w:sz w:val="20"/>
                <w:lang w:eastAsia="en-AU"/>
              </w:rPr>
            </w:pPr>
            <w:r w:rsidRPr="0085474D">
              <w:rPr>
                <w:rFonts w:ascii="Arial Narrow" w:hAnsi="Arial Narrow"/>
                <w:sz w:val="20"/>
                <w:lang w:eastAsia="en-AU"/>
              </w:rPr>
              <w:t>Adult Australian population</w:t>
            </w:r>
          </w:p>
        </w:tc>
        <w:tc>
          <w:tcPr>
            <w:tcW w:w="610" w:type="pct"/>
            <w:shd w:val="clear" w:color="auto" w:fill="auto"/>
            <w:vAlign w:val="center"/>
          </w:tcPr>
          <w:p w:rsidR="00611101" w:rsidRPr="0085474D" w:rsidRDefault="00611101" w:rsidP="00611101">
            <w:pPr>
              <w:jc w:val="center"/>
              <w:rPr>
                <w:rFonts w:ascii="Arial Narrow" w:hAnsi="Arial Narrow"/>
                <w:sz w:val="20"/>
              </w:rPr>
            </w:pPr>
            <w:r w:rsidRPr="0085474D">
              <w:rPr>
                <w:rFonts w:ascii="Arial Narrow" w:hAnsi="Arial Narrow"/>
                <w:sz w:val="20"/>
              </w:rPr>
              <w:t>18,871,777</w:t>
            </w:r>
          </w:p>
        </w:tc>
        <w:tc>
          <w:tcPr>
            <w:tcW w:w="610" w:type="pct"/>
            <w:shd w:val="clear" w:color="auto" w:fill="auto"/>
            <w:vAlign w:val="center"/>
          </w:tcPr>
          <w:p w:rsidR="00611101" w:rsidRPr="0085474D" w:rsidRDefault="00611101" w:rsidP="00611101">
            <w:pPr>
              <w:jc w:val="center"/>
              <w:rPr>
                <w:rFonts w:ascii="Arial Narrow" w:hAnsi="Arial Narrow"/>
                <w:sz w:val="20"/>
              </w:rPr>
            </w:pPr>
            <w:r w:rsidRPr="0085474D">
              <w:rPr>
                <w:rFonts w:ascii="Arial Narrow" w:hAnsi="Arial Narrow"/>
                <w:sz w:val="20"/>
              </w:rPr>
              <w:t>19,201,809</w:t>
            </w:r>
          </w:p>
        </w:tc>
        <w:tc>
          <w:tcPr>
            <w:tcW w:w="610" w:type="pct"/>
            <w:shd w:val="clear" w:color="auto" w:fill="auto"/>
            <w:vAlign w:val="center"/>
          </w:tcPr>
          <w:p w:rsidR="00611101" w:rsidRPr="0085474D" w:rsidRDefault="00611101" w:rsidP="00611101">
            <w:pPr>
              <w:jc w:val="center"/>
              <w:rPr>
                <w:rFonts w:ascii="Arial Narrow" w:hAnsi="Arial Narrow"/>
                <w:sz w:val="20"/>
              </w:rPr>
            </w:pPr>
            <w:r w:rsidRPr="0085474D">
              <w:rPr>
                <w:rFonts w:ascii="Arial Narrow" w:hAnsi="Arial Narrow"/>
                <w:sz w:val="20"/>
              </w:rPr>
              <w:t>19,529,153</w:t>
            </w:r>
          </w:p>
        </w:tc>
        <w:tc>
          <w:tcPr>
            <w:tcW w:w="610" w:type="pct"/>
            <w:shd w:val="clear" w:color="auto" w:fill="auto"/>
            <w:vAlign w:val="center"/>
          </w:tcPr>
          <w:p w:rsidR="00611101" w:rsidRPr="0085474D" w:rsidRDefault="00611101" w:rsidP="00611101">
            <w:pPr>
              <w:jc w:val="center"/>
              <w:rPr>
                <w:rFonts w:ascii="Arial Narrow" w:hAnsi="Arial Narrow"/>
                <w:sz w:val="20"/>
              </w:rPr>
            </w:pPr>
            <w:r w:rsidRPr="0085474D">
              <w:rPr>
                <w:rFonts w:ascii="Arial Narrow" w:hAnsi="Arial Narrow"/>
                <w:sz w:val="20"/>
              </w:rPr>
              <w:t>19,853,831</w:t>
            </w:r>
          </w:p>
        </w:tc>
        <w:tc>
          <w:tcPr>
            <w:tcW w:w="610" w:type="pct"/>
            <w:tcBorders>
              <w:right w:val="single" w:sz="4" w:space="0" w:color="auto"/>
            </w:tcBorders>
            <w:shd w:val="clear" w:color="auto" w:fill="auto"/>
            <w:vAlign w:val="center"/>
          </w:tcPr>
          <w:p w:rsidR="00611101" w:rsidRPr="0085474D" w:rsidRDefault="00611101" w:rsidP="00611101">
            <w:pPr>
              <w:jc w:val="center"/>
              <w:rPr>
                <w:rFonts w:ascii="Arial Narrow" w:hAnsi="Arial Narrow"/>
                <w:sz w:val="20"/>
              </w:rPr>
            </w:pPr>
            <w:r w:rsidRPr="0085474D">
              <w:rPr>
                <w:rFonts w:ascii="Arial Narrow" w:hAnsi="Arial Narrow"/>
                <w:sz w:val="20"/>
              </w:rPr>
              <w:t>20,173,593</w:t>
            </w:r>
          </w:p>
        </w:tc>
      </w:tr>
      <w:tr w:rsidR="00611101" w:rsidRPr="0085474D" w:rsidTr="00611101">
        <w:tc>
          <w:tcPr>
            <w:tcW w:w="1950" w:type="pct"/>
            <w:tcBorders>
              <w:left w:val="single" w:sz="4" w:space="0" w:color="auto"/>
              <w:bottom w:val="single" w:sz="4" w:space="0" w:color="auto"/>
            </w:tcBorders>
            <w:shd w:val="clear" w:color="auto" w:fill="auto"/>
            <w:noWrap/>
            <w:vAlign w:val="bottom"/>
            <w:hideMark/>
          </w:tcPr>
          <w:p w:rsidR="00611101" w:rsidRPr="0085474D" w:rsidRDefault="00611101" w:rsidP="00611101">
            <w:pPr>
              <w:ind w:right="-122"/>
              <w:jc w:val="left"/>
              <w:rPr>
                <w:rFonts w:ascii="Arial Narrow" w:hAnsi="Arial Narrow"/>
                <w:sz w:val="20"/>
                <w:lang w:eastAsia="en-AU"/>
              </w:rPr>
            </w:pPr>
            <w:r w:rsidRPr="0085474D">
              <w:rPr>
                <w:rFonts w:ascii="Arial Narrow" w:hAnsi="Arial Narrow"/>
                <w:sz w:val="20"/>
                <w:lang w:eastAsia="en-AU"/>
              </w:rPr>
              <w:t xml:space="preserve">Incidence of non-functional </w:t>
            </w:r>
          </w:p>
          <w:p w:rsidR="00611101" w:rsidRPr="0085474D" w:rsidRDefault="00611101" w:rsidP="00611101">
            <w:pPr>
              <w:ind w:right="-122"/>
              <w:jc w:val="left"/>
              <w:rPr>
                <w:rFonts w:ascii="Arial Narrow" w:hAnsi="Arial Narrow"/>
                <w:sz w:val="20"/>
                <w:lang w:eastAsia="en-AU"/>
              </w:rPr>
            </w:pPr>
            <w:r w:rsidRPr="0085474D">
              <w:rPr>
                <w:rFonts w:ascii="Arial Narrow" w:hAnsi="Arial Narrow"/>
                <w:sz w:val="20"/>
                <w:lang w:eastAsia="en-AU"/>
              </w:rPr>
              <w:t>GEP-NETs (13 cases: 100,000 population)</w:t>
            </w:r>
          </w:p>
        </w:tc>
        <w:tc>
          <w:tcPr>
            <w:tcW w:w="610" w:type="pct"/>
            <w:tcBorders>
              <w:bottom w:val="single" w:sz="4" w:space="0" w:color="auto"/>
            </w:tcBorders>
            <w:shd w:val="clear" w:color="auto" w:fill="auto"/>
            <w:vAlign w:val="center"/>
          </w:tcPr>
          <w:p w:rsidR="00611101" w:rsidRPr="00ED7A1E" w:rsidRDefault="00ED7A1E" w:rsidP="00611101">
            <w:pPr>
              <w:jc w:val="center"/>
              <w:rPr>
                <w:rFonts w:ascii="Arial Narrow" w:hAnsi="Arial Narrow"/>
                <w:iCs/>
                <w:sz w:val="20"/>
                <w:highlight w:val="black"/>
                <w:lang w:eastAsia="en-AU"/>
              </w:rPr>
            </w:pPr>
            <w:r>
              <w:rPr>
                <w:rFonts w:ascii="Arial Narrow" w:hAnsi="Arial Narrow"/>
                <w:iCs/>
                <w:noProof/>
                <w:color w:val="000000"/>
                <w:sz w:val="20"/>
                <w:highlight w:val="black"/>
                <w:lang w:eastAsia="en-AU"/>
              </w:rPr>
              <w:t>''''''''''</w:t>
            </w:r>
          </w:p>
        </w:tc>
        <w:tc>
          <w:tcPr>
            <w:tcW w:w="610" w:type="pct"/>
            <w:tcBorders>
              <w:bottom w:val="single" w:sz="4" w:space="0" w:color="auto"/>
            </w:tcBorders>
            <w:shd w:val="clear" w:color="auto" w:fill="auto"/>
            <w:vAlign w:val="center"/>
          </w:tcPr>
          <w:p w:rsidR="00611101" w:rsidRPr="00ED7A1E" w:rsidRDefault="00ED7A1E" w:rsidP="00611101">
            <w:pPr>
              <w:jc w:val="center"/>
              <w:rPr>
                <w:rFonts w:ascii="Arial Narrow" w:hAnsi="Arial Narrow"/>
                <w:iCs/>
                <w:sz w:val="20"/>
                <w:highlight w:val="black"/>
                <w:lang w:eastAsia="en-AU"/>
              </w:rPr>
            </w:pPr>
            <w:r>
              <w:rPr>
                <w:rFonts w:ascii="Arial Narrow" w:hAnsi="Arial Narrow"/>
                <w:iCs/>
                <w:noProof/>
                <w:color w:val="000000"/>
                <w:sz w:val="20"/>
                <w:highlight w:val="black"/>
                <w:lang w:eastAsia="en-AU"/>
              </w:rPr>
              <w:t>''''''''''</w:t>
            </w:r>
          </w:p>
        </w:tc>
        <w:tc>
          <w:tcPr>
            <w:tcW w:w="610" w:type="pct"/>
            <w:tcBorders>
              <w:bottom w:val="single" w:sz="4" w:space="0" w:color="auto"/>
            </w:tcBorders>
            <w:shd w:val="clear" w:color="auto" w:fill="auto"/>
            <w:vAlign w:val="center"/>
          </w:tcPr>
          <w:p w:rsidR="00611101" w:rsidRPr="00ED7A1E" w:rsidRDefault="00ED7A1E" w:rsidP="00611101">
            <w:pPr>
              <w:jc w:val="center"/>
              <w:rPr>
                <w:rFonts w:ascii="Arial Narrow" w:hAnsi="Arial Narrow"/>
                <w:iCs/>
                <w:sz w:val="20"/>
                <w:highlight w:val="black"/>
                <w:lang w:eastAsia="en-AU"/>
              </w:rPr>
            </w:pPr>
            <w:r>
              <w:rPr>
                <w:rFonts w:ascii="Arial Narrow" w:hAnsi="Arial Narrow"/>
                <w:iCs/>
                <w:noProof/>
                <w:color w:val="000000"/>
                <w:sz w:val="20"/>
                <w:highlight w:val="black"/>
                <w:lang w:eastAsia="en-AU"/>
              </w:rPr>
              <w:t>''''''''''</w:t>
            </w:r>
          </w:p>
        </w:tc>
        <w:tc>
          <w:tcPr>
            <w:tcW w:w="610" w:type="pct"/>
            <w:tcBorders>
              <w:bottom w:val="single" w:sz="4" w:space="0" w:color="auto"/>
            </w:tcBorders>
            <w:shd w:val="clear" w:color="auto" w:fill="auto"/>
            <w:vAlign w:val="center"/>
          </w:tcPr>
          <w:p w:rsidR="00611101" w:rsidRPr="00ED7A1E" w:rsidRDefault="00ED7A1E" w:rsidP="00611101">
            <w:pPr>
              <w:jc w:val="center"/>
              <w:rPr>
                <w:rFonts w:ascii="Arial Narrow" w:hAnsi="Arial Narrow"/>
                <w:iCs/>
                <w:sz w:val="20"/>
                <w:highlight w:val="black"/>
                <w:lang w:eastAsia="en-AU"/>
              </w:rPr>
            </w:pPr>
            <w:r>
              <w:rPr>
                <w:rFonts w:ascii="Arial Narrow" w:hAnsi="Arial Narrow"/>
                <w:iCs/>
                <w:noProof/>
                <w:color w:val="000000"/>
                <w:sz w:val="20"/>
                <w:highlight w:val="black"/>
                <w:lang w:eastAsia="en-AU"/>
              </w:rPr>
              <w:t>'''''''''</w:t>
            </w:r>
          </w:p>
        </w:tc>
        <w:tc>
          <w:tcPr>
            <w:tcW w:w="610" w:type="pct"/>
            <w:tcBorders>
              <w:bottom w:val="single" w:sz="4" w:space="0" w:color="auto"/>
              <w:right w:val="single" w:sz="4" w:space="0" w:color="auto"/>
            </w:tcBorders>
            <w:shd w:val="clear" w:color="auto" w:fill="auto"/>
            <w:vAlign w:val="center"/>
          </w:tcPr>
          <w:p w:rsidR="00611101" w:rsidRPr="00ED7A1E" w:rsidRDefault="00ED7A1E" w:rsidP="00611101">
            <w:pPr>
              <w:jc w:val="center"/>
              <w:rPr>
                <w:rFonts w:ascii="Arial Narrow" w:hAnsi="Arial Narrow"/>
                <w:iCs/>
                <w:sz w:val="20"/>
                <w:highlight w:val="black"/>
                <w:lang w:eastAsia="en-AU"/>
              </w:rPr>
            </w:pPr>
            <w:r>
              <w:rPr>
                <w:rFonts w:ascii="Arial Narrow" w:hAnsi="Arial Narrow"/>
                <w:iCs/>
                <w:noProof/>
                <w:color w:val="000000"/>
                <w:sz w:val="20"/>
                <w:highlight w:val="black"/>
                <w:lang w:eastAsia="en-AU"/>
              </w:rPr>
              <w:t>''''''''''</w:t>
            </w:r>
          </w:p>
        </w:tc>
      </w:tr>
      <w:tr w:rsidR="00611101" w:rsidRPr="0085474D" w:rsidTr="00611101">
        <w:tc>
          <w:tcPr>
            <w:tcW w:w="1950" w:type="pct"/>
            <w:tcBorders>
              <w:top w:val="single" w:sz="4" w:space="0" w:color="auto"/>
              <w:left w:val="single" w:sz="4" w:space="0" w:color="auto"/>
              <w:bottom w:val="single" w:sz="4" w:space="0" w:color="auto"/>
            </w:tcBorders>
            <w:shd w:val="clear" w:color="auto" w:fill="auto"/>
            <w:noWrap/>
            <w:vAlign w:val="bottom"/>
            <w:hideMark/>
          </w:tcPr>
          <w:p w:rsidR="00611101" w:rsidRPr="0085474D" w:rsidRDefault="00611101" w:rsidP="00611101">
            <w:pPr>
              <w:jc w:val="left"/>
              <w:rPr>
                <w:rFonts w:ascii="Arial Narrow" w:hAnsi="Arial Narrow"/>
                <w:sz w:val="20"/>
                <w:lang w:eastAsia="en-AU"/>
              </w:rPr>
            </w:pPr>
            <w:r w:rsidRPr="0085474D">
              <w:rPr>
                <w:rFonts w:ascii="Arial Narrow" w:hAnsi="Arial Narrow"/>
                <w:sz w:val="20"/>
                <w:lang w:eastAsia="en-AU"/>
              </w:rPr>
              <w:t xml:space="preserve">Uptake rate of </w:t>
            </w:r>
            <w:proofErr w:type="spellStart"/>
            <w:r w:rsidRPr="0085474D">
              <w:rPr>
                <w:rFonts w:ascii="Arial Narrow" w:hAnsi="Arial Narrow"/>
                <w:sz w:val="20"/>
                <w:lang w:eastAsia="en-AU"/>
              </w:rPr>
              <w:t>lanreotide</w:t>
            </w:r>
            <w:proofErr w:type="spellEnd"/>
          </w:p>
        </w:tc>
        <w:tc>
          <w:tcPr>
            <w:tcW w:w="610" w:type="pct"/>
            <w:tcBorders>
              <w:top w:val="single" w:sz="4" w:space="0" w:color="auto"/>
              <w:bottom w:val="single" w:sz="4" w:space="0" w:color="auto"/>
            </w:tcBorders>
            <w:shd w:val="clear" w:color="auto" w:fill="auto"/>
            <w:vAlign w:val="center"/>
          </w:tcPr>
          <w:p w:rsidR="00611101" w:rsidRPr="0085474D" w:rsidRDefault="00611101" w:rsidP="00611101">
            <w:pPr>
              <w:jc w:val="center"/>
              <w:rPr>
                <w:rFonts w:ascii="Arial Narrow" w:hAnsi="Arial Narrow"/>
                <w:sz w:val="20"/>
              </w:rPr>
            </w:pPr>
            <w:r w:rsidRPr="0085474D">
              <w:rPr>
                <w:rFonts w:ascii="Arial Narrow" w:hAnsi="Arial Narrow"/>
                <w:sz w:val="20"/>
              </w:rPr>
              <w:t>65%</w:t>
            </w:r>
          </w:p>
        </w:tc>
        <w:tc>
          <w:tcPr>
            <w:tcW w:w="610" w:type="pct"/>
            <w:tcBorders>
              <w:top w:val="single" w:sz="4" w:space="0" w:color="auto"/>
              <w:bottom w:val="single" w:sz="4" w:space="0" w:color="auto"/>
            </w:tcBorders>
            <w:shd w:val="clear" w:color="auto" w:fill="auto"/>
            <w:vAlign w:val="center"/>
          </w:tcPr>
          <w:p w:rsidR="00611101" w:rsidRPr="0085474D" w:rsidRDefault="00611101" w:rsidP="00611101">
            <w:pPr>
              <w:jc w:val="center"/>
              <w:rPr>
                <w:rFonts w:ascii="Arial Narrow" w:hAnsi="Arial Narrow"/>
                <w:sz w:val="20"/>
              </w:rPr>
            </w:pPr>
            <w:r w:rsidRPr="0085474D">
              <w:rPr>
                <w:rFonts w:ascii="Arial Narrow" w:hAnsi="Arial Narrow"/>
                <w:sz w:val="20"/>
              </w:rPr>
              <w:t>70%</w:t>
            </w:r>
          </w:p>
        </w:tc>
        <w:tc>
          <w:tcPr>
            <w:tcW w:w="610" w:type="pct"/>
            <w:tcBorders>
              <w:top w:val="single" w:sz="4" w:space="0" w:color="auto"/>
              <w:bottom w:val="single" w:sz="4" w:space="0" w:color="auto"/>
            </w:tcBorders>
            <w:shd w:val="clear" w:color="auto" w:fill="auto"/>
            <w:vAlign w:val="center"/>
          </w:tcPr>
          <w:p w:rsidR="00611101" w:rsidRPr="0085474D" w:rsidRDefault="00611101" w:rsidP="00611101">
            <w:pPr>
              <w:jc w:val="center"/>
              <w:rPr>
                <w:rFonts w:ascii="Arial Narrow" w:hAnsi="Arial Narrow"/>
                <w:sz w:val="20"/>
              </w:rPr>
            </w:pPr>
            <w:r w:rsidRPr="0085474D">
              <w:rPr>
                <w:rFonts w:ascii="Arial Narrow" w:hAnsi="Arial Narrow"/>
                <w:sz w:val="20"/>
              </w:rPr>
              <w:t>75%</w:t>
            </w:r>
          </w:p>
        </w:tc>
        <w:tc>
          <w:tcPr>
            <w:tcW w:w="610" w:type="pct"/>
            <w:tcBorders>
              <w:top w:val="single" w:sz="4" w:space="0" w:color="auto"/>
              <w:bottom w:val="single" w:sz="4" w:space="0" w:color="auto"/>
            </w:tcBorders>
            <w:shd w:val="clear" w:color="auto" w:fill="auto"/>
            <w:vAlign w:val="center"/>
          </w:tcPr>
          <w:p w:rsidR="00611101" w:rsidRPr="0085474D" w:rsidRDefault="00611101" w:rsidP="00611101">
            <w:pPr>
              <w:jc w:val="center"/>
              <w:rPr>
                <w:rFonts w:ascii="Arial Narrow" w:hAnsi="Arial Narrow"/>
                <w:sz w:val="20"/>
              </w:rPr>
            </w:pPr>
            <w:r w:rsidRPr="0085474D">
              <w:rPr>
                <w:rFonts w:ascii="Arial Narrow" w:hAnsi="Arial Narrow"/>
                <w:sz w:val="20"/>
              </w:rPr>
              <w:t>80%</w:t>
            </w:r>
          </w:p>
        </w:tc>
        <w:tc>
          <w:tcPr>
            <w:tcW w:w="610" w:type="pct"/>
            <w:tcBorders>
              <w:top w:val="single" w:sz="4" w:space="0" w:color="auto"/>
              <w:bottom w:val="single" w:sz="4" w:space="0" w:color="auto"/>
              <w:right w:val="single" w:sz="4" w:space="0" w:color="auto"/>
            </w:tcBorders>
            <w:shd w:val="clear" w:color="auto" w:fill="auto"/>
            <w:vAlign w:val="center"/>
          </w:tcPr>
          <w:p w:rsidR="00611101" w:rsidRPr="0085474D" w:rsidRDefault="00611101" w:rsidP="00611101">
            <w:pPr>
              <w:jc w:val="center"/>
              <w:rPr>
                <w:rFonts w:ascii="Arial Narrow" w:hAnsi="Arial Narrow"/>
                <w:sz w:val="20"/>
              </w:rPr>
            </w:pPr>
            <w:r w:rsidRPr="0085474D">
              <w:rPr>
                <w:rFonts w:ascii="Arial Narrow" w:hAnsi="Arial Narrow"/>
                <w:sz w:val="20"/>
              </w:rPr>
              <w:t>80%</w:t>
            </w:r>
          </w:p>
        </w:tc>
      </w:tr>
      <w:tr w:rsidR="00611101" w:rsidRPr="0085474D" w:rsidTr="00611101">
        <w:tc>
          <w:tcPr>
            <w:tcW w:w="1950" w:type="pct"/>
            <w:tcBorders>
              <w:left w:val="single" w:sz="4" w:space="0" w:color="auto"/>
              <w:bottom w:val="single" w:sz="4" w:space="0" w:color="auto"/>
            </w:tcBorders>
            <w:shd w:val="clear" w:color="auto" w:fill="auto"/>
            <w:noWrap/>
            <w:vAlign w:val="bottom"/>
          </w:tcPr>
          <w:p w:rsidR="00611101" w:rsidRPr="0085474D" w:rsidRDefault="00611101" w:rsidP="00611101">
            <w:pPr>
              <w:jc w:val="left"/>
              <w:rPr>
                <w:rFonts w:ascii="Arial Narrow" w:hAnsi="Arial Narrow"/>
                <w:sz w:val="20"/>
                <w:lang w:eastAsia="en-AU"/>
              </w:rPr>
            </w:pPr>
            <w:r w:rsidRPr="0085474D">
              <w:rPr>
                <w:rFonts w:ascii="Arial Narrow" w:hAnsi="Arial Narrow"/>
                <w:sz w:val="20"/>
                <w:lang w:eastAsia="en-AU"/>
              </w:rPr>
              <w:t>Treated patients</w:t>
            </w:r>
          </w:p>
        </w:tc>
        <w:tc>
          <w:tcPr>
            <w:tcW w:w="610" w:type="pct"/>
            <w:tcBorders>
              <w:bottom w:val="single" w:sz="4" w:space="0" w:color="auto"/>
            </w:tcBorders>
            <w:shd w:val="clear" w:color="auto" w:fill="auto"/>
            <w:vAlign w:val="center"/>
          </w:tcPr>
          <w:p w:rsidR="00611101" w:rsidRPr="00ED7A1E" w:rsidRDefault="00ED7A1E" w:rsidP="00611101">
            <w:pPr>
              <w:jc w:val="center"/>
              <w:rPr>
                <w:rFonts w:ascii="Arial Narrow" w:hAnsi="Arial Narrow"/>
                <w:iCs/>
                <w:sz w:val="20"/>
                <w:highlight w:val="black"/>
              </w:rPr>
            </w:pPr>
            <w:r>
              <w:rPr>
                <w:rFonts w:ascii="Arial Narrow" w:hAnsi="Arial Narrow"/>
                <w:iCs/>
                <w:noProof/>
                <w:color w:val="000000"/>
                <w:sz w:val="20"/>
                <w:highlight w:val="black"/>
              </w:rPr>
              <w:t>'''''''''</w:t>
            </w:r>
          </w:p>
        </w:tc>
        <w:tc>
          <w:tcPr>
            <w:tcW w:w="610" w:type="pct"/>
            <w:tcBorders>
              <w:bottom w:val="single" w:sz="4" w:space="0" w:color="auto"/>
            </w:tcBorders>
            <w:shd w:val="clear" w:color="auto" w:fill="auto"/>
            <w:vAlign w:val="center"/>
          </w:tcPr>
          <w:p w:rsidR="00611101" w:rsidRPr="00ED7A1E" w:rsidRDefault="00ED7A1E" w:rsidP="00611101">
            <w:pPr>
              <w:jc w:val="center"/>
              <w:rPr>
                <w:rFonts w:ascii="Arial Narrow" w:hAnsi="Arial Narrow"/>
                <w:iCs/>
                <w:sz w:val="20"/>
                <w:highlight w:val="black"/>
              </w:rPr>
            </w:pPr>
            <w:r>
              <w:rPr>
                <w:rFonts w:ascii="Arial Narrow" w:hAnsi="Arial Narrow"/>
                <w:iCs/>
                <w:noProof/>
                <w:color w:val="000000"/>
                <w:sz w:val="20"/>
                <w:highlight w:val="black"/>
              </w:rPr>
              <w:t>''''''''''</w:t>
            </w:r>
          </w:p>
        </w:tc>
        <w:tc>
          <w:tcPr>
            <w:tcW w:w="610" w:type="pct"/>
            <w:tcBorders>
              <w:bottom w:val="single" w:sz="4" w:space="0" w:color="auto"/>
            </w:tcBorders>
            <w:shd w:val="clear" w:color="auto" w:fill="auto"/>
            <w:vAlign w:val="center"/>
          </w:tcPr>
          <w:p w:rsidR="00611101" w:rsidRPr="00ED7A1E" w:rsidRDefault="00ED7A1E" w:rsidP="00611101">
            <w:pPr>
              <w:jc w:val="center"/>
              <w:rPr>
                <w:rFonts w:ascii="Arial Narrow" w:hAnsi="Arial Narrow"/>
                <w:iCs/>
                <w:sz w:val="20"/>
                <w:highlight w:val="black"/>
              </w:rPr>
            </w:pPr>
            <w:r>
              <w:rPr>
                <w:rFonts w:ascii="Arial Narrow" w:hAnsi="Arial Narrow"/>
                <w:iCs/>
                <w:noProof/>
                <w:color w:val="000000"/>
                <w:sz w:val="20"/>
                <w:highlight w:val="black"/>
              </w:rPr>
              <w:t>'''''''''</w:t>
            </w:r>
          </w:p>
        </w:tc>
        <w:tc>
          <w:tcPr>
            <w:tcW w:w="610" w:type="pct"/>
            <w:tcBorders>
              <w:bottom w:val="single" w:sz="4" w:space="0" w:color="auto"/>
            </w:tcBorders>
            <w:shd w:val="clear" w:color="auto" w:fill="auto"/>
            <w:vAlign w:val="center"/>
          </w:tcPr>
          <w:p w:rsidR="00611101" w:rsidRPr="00ED7A1E" w:rsidRDefault="00ED7A1E" w:rsidP="00611101">
            <w:pPr>
              <w:jc w:val="center"/>
              <w:rPr>
                <w:rFonts w:ascii="Arial Narrow" w:hAnsi="Arial Narrow"/>
                <w:iCs/>
                <w:sz w:val="20"/>
                <w:highlight w:val="black"/>
              </w:rPr>
            </w:pPr>
            <w:r>
              <w:rPr>
                <w:rFonts w:ascii="Arial Narrow" w:hAnsi="Arial Narrow"/>
                <w:iCs/>
                <w:noProof/>
                <w:color w:val="000000"/>
                <w:sz w:val="20"/>
                <w:highlight w:val="black"/>
              </w:rPr>
              <w:t>''''''''''</w:t>
            </w:r>
          </w:p>
        </w:tc>
        <w:tc>
          <w:tcPr>
            <w:tcW w:w="610" w:type="pct"/>
            <w:tcBorders>
              <w:bottom w:val="single" w:sz="4" w:space="0" w:color="auto"/>
              <w:right w:val="single" w:sz="4" w:space="0" w:color="auto"/>
            </w:tcBorders>
            <w:shd w:val="clear" w:color="auto" w:fill="auto"/>
            <w:vAlign w:val="center"/>
          </w:tcPr>
          <w:p w:rsidR="00611101" w:rsidRPr="00ED7A1E" w:rsidRDefault="00ED7A1E" w:rsidP="00611101">
            <w:pPr>
              <w:jc w:val="center"/>
              <w:rPr>
                <w:rFonts w:ascii="Arial Narrow" w:hAnsi="Arial Narrow"/>
                <w:iCs/>
                <w:sz w:val="20"/>
                <w:highlight w:val="black"/>
              </w:rPr>
            </w:pPr>
            <w:r>
              <w:rPr>
                <w:rFonts w:ascii="Arial Narrow" w:hAnsi="Arial Narrow"/>
                <w:iCs/>
                <w:noProof/>
                <w:color w:val="000000"/>
                <w:sz w:val="20"/>
                <w:highlight w:val="black"/>
              </w:rPr>
              <w:t>'''''''''</w:t>
            </w:r>
          </w:p>
        </w:tc>
      </w:tr>
      <w:tr w:rsidR="00611101" w:rsidRPr="0085474D" w:rsidTr="00611101">
        <w:tc>
          <w:tcPr>
            <w:tcW w:w="1950" w:type="pct"/>
            <w:tcBorders>
              <w:left w:val="single" w:sz="4" w:space="0" w:color="auto"/>
              <w:bottom w:val="single" w:sz="4" w:space="0" w:color="auto"/>
            </w:tcBorders>
            <w:shd w:val="clear" w:color="auto" w:fill="auto"/>
            <w:noWrap/>
            <w:vAlign w:val="bottom"/>
          </w:tcPr>
          <w:p w:rsidR="00611101" w:rsidRPr="0085474D" w:rsidRDefault="00611101" w:rsidP="00611101">
            <w:pPr>
              <w:jc w:val="left"/>
              <w:rPr>
                <w:rFonts w:ascii="Arial Narrow" w:hAnsi="Arial Narrow"/>
                <w:sz w:val="20"/>
                <w:lang w:eastAsia="en-AU"/>
              </w:rPr>
            </w:pPr>
            <w:r w:rsidRPr="0085474D">
              <w:rPr>
                <w:rFonts w:ascii="Arial Narrow" w:hAnsi="Arial Narrow"/>
                <w:sz w:val="20"/>
                <w:lang w:eastAsia="en-AU"/>
              </w:rPr>
              <w:t>Total number of packs dispensed</w:t>
            </w:r>
          </w:p>
        </w:tc>
        <w:tc>
          <w:tcPr>
            <w:tcW w:w="610" w:type="pct"/>
            <w:tcBorders>
              <w:bottom w:val="single" w:sz="4" w:space="0" w:color="auto"/>
            </w:tcBorders>
            <w:shd w:val="clear" w:color="auto" w:fill="auto"/>
            <w:vAlign w:val="center"/>
          </w:tcPr>
          <w:p w:rsidR="00611101" w:rsidRPr="00ED7A1E" w:rsidRDefault="00ED7A1E" w:rsidP="00611101">
            <w:pPr>
              <w:jc w:val="center"/>
              <w:rPr>
                <w:rFonts w:ascii="Arial Narrow" w:hAnsi="Arial Narrow"/>
                <w:sz w:val="20"/>
                <w:highlight w:val="black"/>
              </w:rPr>
            </w:pPr>
            <w:r>
              <w:rPr>
                <w:rFonts w:ascii="Arial Narrow" w:hAnsi="Arial Narrow"/>
                <w:noProof/>
                <w:color w:val="000000"/>
                <w:sz w:val="20"/>
                <w:highlight w:val="black"/>
              </w:rPr>
              <w:t>'''''''''''''</w:t>
            </w:r>
          </w:p>
        </w:tc>
        <w:tc>
          <w:tcPr>
            <w:tcW w:w="610" w:type="pct"/>
            <w:tcBorders>
              <w:bottom w:val="single" w:sz="4" w:space="0" w:color="auto"/>
            </w:tcBorders>
            <w:shd w:val="clear" w:color="auto" w:fill="auto"/>
            <w:vAlign w:val="center"/>
          </w:tcPr>
          <w:p w:rsidR="00611101" w:rsidRPr="00ED7A1E" w:rsidRDefault="00ED7A1E" w:rsidP="00611101">
            <w:pPr>
              <w:jc w:val="center"/>
              <w:rPr>
                <w:rFonts w:ascii="Arial Narrow" w:hAnsi="Arial Narrow"/>
                <w:sz w:val="20"/>
                <w:highlight w:val="black"/>
              </w:rPr>
            </w:pPr>
            <w:r>
              <w:rPr>
                <w:rFonts w:ascii="Arial Narrow" w:hAnsi="Arial Narrow"/>
                <w:noProof/>
                <w:color w:val="000000"/>
                <w:sz w:val="20"/>
                <w:highlight w:val="black"/>
              </w:rPr>
              <w:t>'''''''''''''''</w:t>
            </w:r>
          </w:p>
        </w:tc>
        <w:tc>
          <w:tcPr>
            <w:tcW w:w="610" w:type="pct"/>
            <w:tcBorders>
              <w:bottom w:val="single" w:sz="4" w:space="0" w:color="auto"/>
            </w:tcBorders>
            <w:shd w:val="clear" w:color="auto" w:fill="auto"/>
            <w:vAlign w:val="center"/>
          </w:tcPr>
          <w:p w:rsidR="00611101" w:rsidRPr="00ED7A1E" w:rsidRDefault="00ED7A1E" w:rsidP="00611101">
            <w:pPr>
              <w:jc w:val="center"/>
              <w:rPr>
                <w:rFonts w:ascii="Arial Narrow" w:hAnsi="Arial Narrow"/>
                <w:sz w:val="20"/>
                <w:highlight w:val="black"/>
              </w:rPr>
            </w:pPr>
            <w:r>
              <w:rPr>
                <w:rFonts w:ascii="Arial Narrow" w:hAnsi="Arial Narrow"/>
                <w:noProof/>
                <w:color w:val="000000"/>
                <w:sz w:val="20"/>
                <w:highlight w:val="black"/>
              </w:rPr>
              <w:t>'''''''''''''''</w:t>
            </w:r>
          </w:p>
        </w:tc>
        <w:tc>
          <w:tcPr>
            <w:tcW w:w="610" w:type="pct"/>
            <w:tcBorders>
              <w:bottom w:val="single" w:sz="4" w:space="0" w:color="auto"/>
            </w:tcBorders>
            <w:shd w:val="clear" w:color="auto" w:fill="auto"/>
            <w:vAlign w:val="center"/>
          </w:tcPr>
          <w:p w:rsidR="00611101" w:rsidRPr="00ED7A1E" w:rsidRDefault="00ED7A1E" w:rsidP="00611101">
            <w:pPr>
              <w:jc w:val="center"/>
              <w:rPr>
                <w:rFonts w:ascii="Arial Narrow" w:hAnsi="Arial Narrow"/>
                <w:sz w:val="20"/>
                <w:highlight w:val="black"/>
              </w:rPr>
            </w:pPr>
            <w:r>
              <w:rPr>
                <w:rFonts w:ascii="Arial Narrow" w:hAnsi="Arial Narrow"/>
                <w:noProof/>
                <w:color w:val="000000"/>
                <w:sz w:val="20"/>
                <w:highlight w:val="black"/>
              </w:rPr>
              <w:t>'''''''''''''''</w:t>
            </w:r>
          </w:p>
        </w:tc>
        <w:tc>
          <w:tcPr>
            <w:tcW w:w="610" w:type="pct"/>
            <w:tcBorders>
              <w:bottom w:val="single" w:sz="4" w:space="0" w:color="auto"/>
              <w:right w:val="single" w:sz="4" w:space="0" w:color="auto"/>
            </w:tcBorders>
            <w:shd w:val="clear" w:color="auto" w:fill="auto"/>
            <w:vAlign w:val="center"/>
          </w:tcPr>
          <w:p w:rsidR="00611101" w:rsidRPr="00ED7A1E" w:rsidRDefault="00ED7A1E" w:rsidP="00611101">
            <w:pPr>
              <w:jc w:val="center"/>
              <w:rPr>
                <w:rFonts w:ascii="Arial Narrow" w:hAnsi="Arial Narrow"/>
                <w:sz w:val="20"/>
                <w:highlight w:val="black"/>
              </w:rPr>
            </w:pPr>
            <w:r>
              <w:rPr>
                <w:rFonts w:ascii="Arial Narrow" w:hAnsi="Arial Narrow"/>
                <w:noProof/>
                <w:color w:val="000000"/>
                <w:sz w:val="20"/>
                <w:highlight w:val="black"/>
              </w:rPr>
              <w:t>''''''''''''''</w:t>
            </w:r>
          </w:p>
        </w:tc>
      </w:tr>
      <w:tr w:rsidR="00611101" w:rsidRPr="0085474D" w:rsidTr="00611101">
        <w:tc>
          <w:tcPr>
            <w:tcW w:w="1950" w:type="pct"/>
            <w:tcBorders>
              <w:left w:val="single" w:sz="4" w:space="0" w:color="auto"/>
            </w:tcBorders>
            <w:shd w:val="clear" w:color="auto" w:fill="auto"/>
            <w:noWrap/>
            <w:vAlign w:val="bottom"/>
          </w:tcPr>
          <w:p w:rsidR="00611101" w:rsidRPr="0085474D" w:rsidRDefault="00611101" w:rsidP="00611101">
            <w:pPr>
              <w:rPr>
                <w:rFonts w:ascii="Arial Narrow" w:hAnsi="Arial Narrow"/>
                <w:b/>
                <w:sz w:val="20"/>
                <w:lang w:eastAsia="en-AU"/>
              </w:rPr>
            </w:pPr>
            <w:r w:rsidRPr="0085474D">
              <w:rPr>
                <w:rFonts w:ascii="Arial Narrow" w:hAnsi="Arial Narrow"/>
                <w:b/>
                <w:sz w:val="20"/>
                <w:lang w:eastAsia="en-AU"/>
              </w:rPr>
              <w:t>Net cost to PBS/RPBS</w:t>
            </w:r>
          </w:p>
        </w:tc>
        <w:tc>
          <w:tcPr>
            <w:tcW w:w="610" w:type="pct"/>
            <w:shd w:val="clear" w:color="auto" w:fill="auto"/>
            <w:vAlign w:val="center"/>
          </w:tcPr>
          <w:p w:rsidR="00611101" w:rsidRPr="0085474D" w:rsidRDefault="00611101" w:rsidP="00611101">
            <w:pPr>
              <w:jc w:val="center"/>
              <w:rPr>
                <w:rFonts w:ascii="Arial Narrow" w:hAnsi="Arial Narrow"/>
                <w:b/>
                <w:sz w:val="20"/>
              </w:rPr>
            </w:pPr>
            <w:r w:rsidRPr="0085474D">
              <w:rPr>
                <w:rFonts w:ascii="Arial Narrow" w:hAnsi="Arial Narrow"/>
                <w:b/>
                <w:sz w:val="20"/>
              </w:rPr>
              <w:t>$</w:t>
            </w:r>
            <w:r w:rsidR="00ED7A1E">
              <w:rPr>
                <w:rFonts w:ascii="Arial Narrow" w:hAnsi="Arial Narrow"/>
                <w:b/>
                <w:noProof/>
                <w:color w:val="000000"/>
                <w:sz w:val="20"/>
                <w:highlight w:val="black"/>
              </w:rPr>
              <w:t>''''''''''''''''''</w:t>
            </w:r>
          </w:p>
        </w:tc>
        <w:tc>
          <w:tcPr>
            <w:tcW w:w="610" w:type="pct"/>
            <w:shd w:val="clear" w:color="auto" w:fill="auto"/>
            <w:vAlign w:val="center"/>
          </w:tcPr>
          <w:p w:rsidR="00611101" w:rsidRPr="0085474D" w:rsidRDefault="00611101" w:rsidP="00611101">
            <w:pPr>
              <w:jc w:val="center"/>
              <w:rPr>
                <w:rFonts w:ascii="Arial Narrow" w:hAnsi="Arial Narrow"/>
                <w:b/>
                <w:sz w:val="20"/>
              </w:rPr>
            </w:pPr>
            <w:r w:rsidRPr="0085474D">
              <w:rPr>
                <w:rFonts w:ascii="Arial Narrow" w:hAnsi="Arial Narrow"/>
                <w:b/>
                <w:sz w:val="20"/>
              </w:rPr>
              <w:t>$</w:t>
            </w:r>
            <w:r w:rsidR="00ED7A1E">
              <w:rPr>
                <w:rFonts w:ascii="Arial Narrow" w:hAnsi="Arial Narrow"/>
                <w:b/>
                <w:noProof/>
                <w:color w:val="000000"/>
                <w:sz w:val="20"/>
                <w:highlight w:val="black"/>
              </w:rPr>
              <w:t>'''''''''''''''''''</w:t>
            </w:r>
          </w:p>
        </w:tc>
        <w:tc>
          <w:tcPr>
            <w:tcW w:w="610" w:type="pct"/>
            <w:shd w:val="clear" w:color="auto" w:fill="auto"/>
            <w:vAlign w:val="center"/>
          </w:tcPr>
          <w:p w:rsidR="00611101" w:rsidRPr="0085474D" w:rsidRDefault="00611101" w:rsidP="00611101">
            <w:pPr>
              <w:jc w:val="center"/>
              <w:rPr>
                <w:rFonts w:ascii="Arial Narrow" w:hAnsi="Arial Narrow"/>
                <w:b/>
                <w:sz w:val="20"/>
              </w:rPr>
            </w:pPr>
            <w:r w:rsidRPr="0085474D">
              <w:rPr>
                <w:rFonts w:ascii="Arial Narrow" w:hAnsi="Arial Narrow"/>
                <w:b/>
                <w:sz w:val="20"/>
              </w:rPr>
              <w:t>$</w:t>
            </w:r>
            <w:r w:rsidR="00ED7A1E">
              <w:rPr>
                <w:rFonts w:ascii="Arial Narrow" w:hAnsi="Arial Narrow"/>
                <w:b/>
                <w:noProof/>
                <w:color w:val="000000"/>
                <w:sz w:val="20"/>
                <w:highlight w:val="black"/>
              </w:rPr>
              <w:t>'''''''''''''''''''''</w:t>
            </w:r>
          </w:p>
        </w:tc>
        <w:tc>
          <w:tcPr>
            <w:tcW w:w="610" w:type="pct"/>
            <w:shd w:val="clear" w:color="auto" w:fill="auto"/>
            <w:vAlign w:val="center"/>
          </w:tcPr>
          <w:p w:rsidR="00611101" w:rsidRPr="0085474D" w:rsidRDefault="00611101" w:rsidP="00611101">
            <w:pPr>
              <w:jc w:val="center"/>
              <w:rPr>
                <w:rFonts w:ascii="Arial Narrow" w:hAnsi="Arial Narrow"/>
                <w:b/>
                <w:sz w:val="20"/>
              </w:rPr>
            </w:pPr>
            <w:r w:rsidRPr="0085474D">
              <w:rPr>
                <w:rFonts w:ascii="Arial Narrow" w:hAnsi="Arial Narrow"/>
                <w:b/>
                <w:sz w:val="20"/>
              </w:rPr>
              <w:t>$</w:t>
            </w:r>
            <w:r w:rsidR="00ED7A1E">
              <w:rPr>
                <w:rFonts w:ascii="Arial Narrow" w:hAnsi="Arial Narrow"/>
                <w:b/>
                <w:noProof/>
                <w:color w:val="000000"/>
                <w:sz w:val="20"/>
                <w:highlight w:val="black"/>
              </w:rPr>
              <w:t>''''''''''''''''''</w:t>
            </w:r>
          </w:p>
        </w:tc>
        <w:tc>
          <w:tcPr>
            <w:tcW w:w="610" w:type="pct"/>
            <w:tcBorders>
              <w:right w:val="single" w:sz="4" w:space="0" w:color="auto"/>
            </w:tcBorders>
            <w:shd w:val="clear" w:color="auto" w:fill="auto"/>
            <w:vAlign w:val="center"/>
          </w:tcPr>
          <w:p w:rsidR="00611101" w:rsidRPr="0085474D" w:rsidRDefault="00611101" w:rsidP="00611101">
            <w:pPr>
              <w:jc w:val="center"/>
              <w:rPr>
                <w:rFonts w:ascii="Arial Narrow" w:hAnsi="Arial Narrow"/>
                <w:b/>
                <w:sz w:val="20"/>
              </w:rPr>
            </w:pPr>
            <w:r w:rsidRPr="0085474D">
              <w:rPr>
                <w:rFonts w:ascii="Arial Narrow" w:hAnsi="Arial Narrow"/>
                <w:b/>
                <w:sz w:val="20"/>
              </w:rPr>
              <w:t>$</w:t>
            </w:r>
            <w:r w:rsidR="00ED7A1E">
              <w:rPr>
                <w:rFonts w:ascii="Arial Narrow" w:hAnsi="Arial Narrow"/>
                <w:b/>
                <w:noProof/>
                <w:color w:val="000000"/>
                <w:sz w:val="20"/>
                <w:highlight w:val="black"/>
              </w:rPr>
              <w:t>'''''''''''''''''''''</w:t>
            </w:r>
          </w:p>
        </w:tc>
      </w:tr>
      <w:tr w:rsidR="00611101" w:rsidRPr="0085474D" w:rsidTr="00611101">
        <w:tc>
          <w:tcPr>
            <w:tcW w:w="1950" w:type="pct"/>
            <w:tcBorders>
              <w:left w:val="single" w:sz="4" w:space="0" w:color="auto"/>
            </w:tcBorders>
            <w:shd w:val="clear" w:color="auto" w:fill="auto"/>
            <w:noWrap/>
            <w:vAlign w:val="bottom"/>
          </w:tcPr>
          <w:p w:rsidR="00611101" w:rsidRPr="0085474D" w:rsidRDefault="00611101" w:rsidP="00611101">
            <w:pPr>
              <w:rPr>
                <w:rFonts w:ascii="Arial Narrow" w:hAnsi="Arial Narrow"/>
                <w:sz w:val="20"/>
                <w:lang w:eastAsia="en-AU"/>
              </w:rPr>
            </w:pPr>
            <w:r w:rsidRPr="0085474D">
              <w:rPr>
                <w:rFonts w:ascii="Arial Narrow" w:hAnsi="Arial Narrow"/>
                <w:sz w:val="20"/>
                <w:lang w:eastAsia="en-AU"/>
              </w:rPr>
              <w:t xml:space="preserve">Cost of administration </w:t>
            </w:r>
          </w:p>
        </w:tc>
        <w:tc>
          <w:tcPr>
            <w:tcW w:w="610" w:type="pct"/>
            <w:shd w:val="clear" w:color="auto" w:fill="auto"/>
            <w:vAlign w:val="center"/>
          </w:tcPr>
          <w:p w:rsidR="00611101" w:rsidRPr="0085474D" w:rsidRDefault="00611101" w:rsidP="00611101">
            <w:pPr>
              <w:jc w:val="center"/>
              <w:rPr>
                <w:rFonts w:ascii="Arial Narrow" w:hAnsi="Arial Narrow"/>
                <w:sz w:val="20"/>
              </w:rPr>
            </w:pPr>
            <w:r w:rsidRPr="0085474D">
              <w:rPr>
                <w:rFonts w:ascii="Arial Narrow" w:hAnsi="Arial Narrow"/>
                <w:sz w:val="20"/>
              </w:rPr>
              <w:t>$73,791</w:t>
            </w:r>
          </w:p>
        </w:tc>
        <w:tc>
          <w:tcPr>
            <w:tcW w:w="610" w:type="pct"/>
            <w:shd w:val="clear" w:color="auto" w:fill="auto"/>
            <w:vAlign w:val="center"/>
          </w:tcPr>
          <w:p w:rsidR="00611101" w:rsidRPr="0085474D" w:rsidRDefault="00611101" w:rsidP="00611101">
            <w:pPr>
              <w:jc w:val="center"/>
              <w:rPr>
                <w:rFonts w:ascii="Arial Narrow" w:hAnsi="Arial Narrow"/>
                <w:sz w:val="20"/>
              </w:rPr>
            </w:pPr>
            <w:r w:rsidRPr="0085474D">
              <w:rPr>
                <w:rFonts w:ascii="Arial Narrow" w:hAnsi="Arial Narrow"/>
                <w:sz w:val="20"/>
              </w:rPr>
              <w:t>$81,040</w:t>
            </w:r>
          </w:p>
        </w:tc>
        <w:tc>
          <w:tcPr>
            <w:tcW w:w="610" w:type="pct"/>
            <w:shd w:val="clear" w:color="auto" w:fill="auto"/>
            <w:vAlign w:val="center"/>
          </w:tcPr>
          <w:p w:rsidR="00611101" w:rsidRPr="0085474D" w:rsidRDefault="00611101" w:rsidP="00611101">
            <w:pPr>
              <w:jc w:val="center"/>
              <w:rPr>
                <w:rFonts w:ascii="Arial Narrow" w:hAnsi="Arial Narrow"/>
                <w:sz w:val="20"/>
              </w:rPr>
            </w:pPr>
            <w:r w:rsidRPr="0085474D">
              <w:rPr>
                <w:rFonts w:ascii="Arial Narrow" w:hAnsi="Arial Narrow"/>
                <w:sz w:val="20"/>
              </w:rPr>
              <w:t>$88,292</w:t>
            </w:r>
          </w:p>
        </w:tc>
        <w:tc>
          <w:tcPr>
            <w:tcW w:w="610" w:type="pct"/>
            <w:shd w:val="clear" w:color="auto" w:fill="auto"/>
            <w:vAlign w:val="center"/>
          </w:tcPr>
          <w:p w:rsidR="00611101" w:rsidRPr="0085474D" w:rsidRDefault="00611101" w:rsidP="00611101">
            <w:pPr>
              <w:jc w:val="center"/>
              <w:rPr>
                <w:rFonts w:ascii="Arial Narrow" w:hAnsi="Arial Narrow"/>
                <w:sz w:val="20"/>
              </w:rPr>
            </w:pPr>
            <w:r w:rsidRPr="0085474D">
              <w:rPr>
                <w:rFonts w:ascii="Arial Narrow" w:hAnsi="Arial Narrow"/>
                <w:sz w:val="20"/>
              </w:rPr>
              <w:t>$95,729</w:t>
            </w:r>
          </w:p>
        </w:tc>
        <w:tc>
          <w:tcPr>
            <w:tcW w:w="610" w:type="pct"/>
            <w:tcBorders>
              <w:right w:val="single" w:sz="4" w:space="0" w:color="auto"/>
            </w:tcBorders>
            <w:shd w:val="clear" w:color="auto" w:fill="auto"/>
            <w:vAlign w:val="center"/>
          </w:tcPr>
          <w:p w:rsidR="00611101" w:rsidRPr="0085474D" w:rsidRDefault="00611101" w:rsidP="00611101">
            <w:pPr>
              <w:jc w:val="center"/>
              <w:rPr>
                <w:rFonts w:ascii="Arial Narrow" w:hAnsi="Arial Narrow"/>
                <w:sz w:val="20"/>
              </w:rPr>
            </w:pPr>
            <w:r w:rsidRPr="0085474D">
              <w:rPr>
                <w:rFonts w:ascii="Arial Narrow" w:hAnsi="Arial Narrow"/>
                <w:sz w:val="20"/>
              </w:rPr>
              <w:t>$97,268</w:t>
            </w:r>
          </w:p>
        </w:tc>
      </w:tr>
      <w:tr w:rsidR="00611101" w:rsidRPr="0085474D" w:rsidTr="00611101">
        <w:tc>
          <w:tcPr>
            <w:tcW w:w="1950" w:type="pct"/>
            <w:tcBorders>
              <w:left w:val="single" w:sz="4" w:space="0" w:color="auto"/>
            </w:tcBorders>
            <w:shd w:val="clear" w:color="auto" w:fill="auto"/>
            <w:noWrap/>
            <w:vAlign w:val="bottom"/>
          </w:tcPr>
          <w:p w:rsidR="00611101" w:rsidRPr="0085474D" w:rsidRDefault="00611101" w:rsidP="00611101">
            <w:pPr>
              <w:rPr>
                <w:rFonts w:ascii="Arial Narrow" w:hAnsi="Arial Narrow"/>
                <w:b/>
                <w:sz w:val="20"/>
                <w:lang w:eastAsia="en-AU"/>
              </w:rPr>
            </w:pPr>
            <w:r w:rsidRPr="0085474D">
              <w:rPr>
                <w:rFonts w:ascii="Arial Narrow" w:hAnsi="Arial Narrow"/>
                <w:b/>
                <w:sz w:val="20"/>
                <w:lang w:eastAsia="en-AU"/>
              </w:rPr>
              <w:t>Total cost to government</w:t>
            </w:r>
          </w:p>
        </w:tc>
        <w:tc>
          <w:tcPr>
            <w:tcW w:w="610" w:type="pct"/>
            <w:shd w:val="clear" w:color="auto" w:fill="auto"/>
            <w:vAlign w:val="center"/>
          </w:tcPr>
          <w:p w:rsidR="00611101" w:rsidRPr="0085474D" w:rsidRDefault="00611101" w:rsidP="00611101">
            <w:pPr>
              <w:jc w:val="center"/>
              <w:rPr>
                <w:rFonts w:ascii="Arial Narrow" w:hAnsi="Arial Narrow"/>
                <w:b/>
                <w:sz w:val="20"/>
              </w:rPr>
            </w:pPr>
            <w:r w:rsidRPr="0085474D">
              <w:rPr>
                <w:rFonts w:ascii="Arial Narrow" w:hAnsi="Arial Narrow"/>
                <w:b/>
                <w:sz w:val="20"/>
              </w:rPr>
              <w:t>$</w:t>
            </w:r>
            <w:r w:rsidR="00ED7A1E">
              <w:rPr>
                <w:rFonts w:ascii="Arial Narrow" w:hAnsi="Arial Narrow"/>
                <w:b/>
                <w:noProof/>
                <w:color w:val="000000"/>
                <w:sz w:val="20"/>
                <w:highlight w:val="black"/>
              </w:rPr>
              <w:t>''''''''''''''''''</w:t>
            </w:r>
          </w:p>
        </w:tc>
        <w:tc>
          <w:tcPr>
            <w:tcW w:w="610" w:type="pct"/>
            <w:shd w:val="clear" w:color="auto" w:fill="auto"/>
            <w:vAlign w:val="center"/>
          </w:tcPr>
          <w:p w:rsidR="00611101" w:rsidRPr="0085474D" w:rsidRDefault="00611101" w:rsidP="00611101">
            <w:pPr>
              <w:jc w:val="center"/>
              <w:rPr>
                <w:rFonts w:ascii="Arial Narrow" w:hAnsi="Arial Narrow"/>
                <w:b/>
                <w:sz w:val="20"/>
              </w:rPr>
            </w:pPr>
            <w:r w:rsidRPr="0085474D">
              <w:rPr>
                <w:rFonts w:ascii="Arial Narrow" w:hAnsi="Arial Narrow"/>
                <w:b/>
                <w:sz w:val="20"/>
              </w:rPr>
              <w:t>$</w:t>
            </w:r>
            <w:r w:rsidR="00ED7A1E">
              <w:rPr>
                <w:rFonts w:ascii="Arial Narrow" w:hAnsi="Arial Narrow"/>
                <w:b/>
                <w:noProof/>
                <w:color w:val="000000"/>
                <w:sz w:val="20"/>
                <w:highlight w:val="black"/>
              </w:rPr>
              <w:t>'''''''''''''''''''</w:t>
            </w:r>
          </w:p>
        </w:tc>
        <w:tc>
          <w:tcPr>
            <w:tcW w:w="610" w:type="pct"/>
            <w:shd w:val="clear" w:color="auto" w:fill="auto"/>
            <w:vAlign w:val="center"/>
          </w:tcPr>
          <w:p w:rsidR="00611101" w:rsidRPr="0085474D" w:rsidRDefault="00611101" w:rsidP="00611101">
            <w:pPr>
              <w:jc w:val="center"/>
              <w:rPr>
                <w:rFonts w:ascii="Arial Narrow" w:hAnsi="Arial Narrow"/>
                <w:b/>
                <w:sz w:val="20"/>
              </w:rPr>
            </w:pPr>
            <w:r w:rsidRPr="0085474D">
              <w:rPr>
                <w:rFonts w:ascii="Arial Narrow" w:hAnsi="Arial Narrow"/>
                <w:b/>
                <w:sz w:val="20"/>
              </w:rPr>
              <w:t>$</w:t>
            </w:r>
            <w:r w:rsidR="00ED7A1E">
              <w:rPr>
                <w:rFonts w:ascii="Arial Narrow" w:hAnsi="Arial Narrow"/>
                <w:b/>
                <w:noProof/>
                <w:color w:val="000000"/>
                <w:sz w:val="20"/>
                <w:highlight w:val="black"/>
              </w:rPr>
              <w:t>'''''''''''''''''''</w:t>
            </w:r>
          </w:p>
        </w:tc>
        <w:tc>
          <w:tcPr>
            <w:tcW w:w="610" w:type="pct"/>
            <w:shd w:val="clear" w:color="auto" w:fill="auto"/>
            <w:vAlign w:val="center"/>
          </w:tcPr>
          <w:p w:rsidR="00611101" w:rsidRPr="0085474D" w:rsidRDefault="00611101" w:rsidP="00611101">
            <w:pPr>
              <w:jc w:val="center"/>
              <w:rPr>
                <w:rFonts w:ascii="Arial Narrow" w:hAnsi="Arial Narrow"/>
                <w:b/>
                <w:sz w:val="20"/>
              </w:rPr>
            </w:pPr>
            <w:r w:rsidRPr="0085474D">
              <w:rPr>
                <w:rFonts w:ascii="Arial Narrow" w:hAnsi="Arial Narrow"/>
                <w:b/>
                <w:sz w:val="20"/>
              </w:rPr>
              <w:t>$</w:t>
            </w:r>
            <w:r w:rsidR="00ED7A1E">
              <w:rPr>
                <w:rFonts w:ascii="Arial Narrow" w:hAnsi="Arial Narrow"/>
                <w:b/>
                <w:noProof/>
                <w:color w:val="000000"/>
                <w:sz w:val="20"/>
                <w:highlight w:val="black"/>
              </w:rPr>
              <w:t>'''''''''''''''''''</w:t>
            </w:r>
          </w:p>
        </w:tc>
        <w:tc>
          <w:tcPr>
            <w:tcW w:w="610" w:type="pct"/>
            <w:tcBorders>
              <w:right w:val="single" w:sz="4" w:space="0" w:color="auto"/>
            </w:tcBorders>
            <w:shd w:val="clear" w:color="auto" w:fill="auto"/>
            <w:vAlign w:val="center"/>
          </w:tcPr>
          <w:p w:rsidR="00611101" w:rsidRPr="0085474D" w:rsidRDefault="00611101" w:rsidP="00611101">
            <w:pPr>
              <w:jc w:val="center"/>
              <w:rPr>
                <w:rFonts w:ascii="Arial Narrow" w:hAnsi="Arial Narrow"/>
                <w:b/>
                <w:sz w:val="20"/>
              </w:rPr>
            </w:pPr>
            <w:r w:rsidRPr="0085474D">
              <w:rPr>
                <w:rFonts w:ascii="Arial Narrow" w:hAnsi="Arial Narrow"/>
                <w:b/>
                <w:sz w:val="20"/>
              </w:rPr>
              <w:t>$</w:t>
            </w:r>
            <w:r w:rsidR="00ED7A1E">
              <w:rPr>
                <w:rFonts w:ascii="Arial Narrow" w:hAnsi="Arial Narrow"/>
                <w:b/>
                <w:noProof/>
                <w:color w:val="000000"/>
                <w:sz w:val="20"/>
                <w:highlight w:val="black"/>
              </w:rPr>
              <w:t>'''''''''''''''''''''</w:t>
            </w:r>
          </w:p>
        </w:tc>
      </w:tr>
    </w:tbl>
    <w:p w:rsidR="00611101" w:rsidRPr="0085474D" w:rsidRDefault="00611101" w:rsidP="00611101">
      <w:pPr>
        <w:widowControl/>
        <w:rPr>
          <w:szCs w:val="22"/>
        </w:rPr>
      </w:pPr>
    </w:p>
    <w:p w:rsidR="0085474D" w:rsidRDefault="0085474D" w:rsidP="0085474D">
      <w:pPr>
        <w:widowControl/>
        <w:ind w:left="720"/>
        <w:rPr>
          <w:i/>
          <w:szCs w:val="22"/>
        </w:rPr>
      </w:pPr>
      <w:r>
        <w:rPr>
          <w:i/>
          <w:szCs w:val="22"/>
        </w:rPr>
        <w:t xml:space="preserve">The redacted table above shows that the number of patients treated with </w:t>
      </w:r>
      <w:proofErr w:type="spellStart"/>
      <w:r>
        <w:rPr>
          <w:i/>
          <w:szCs w:val="22"/>
        </w:rPr>
        <w:t>lanreotide</w:t>
      </w:r>
      <w:proofErr w:type="spellEnd"/>
      <w:r>
        <w:rPr>
          <w:i/>
          <w:szCs w:val="22"/>
        </w:rPr>
        <w:t xml:space="preserve"> is estimated to be less than 10,000 per year at a net cost to the PBS of less than $10 million per year.</w:t>
      </w:r>
    </w:p>
    <w:p w:rsidR="0085474D" w:rsidRPr="0085474D" w:rsidRDefault="0085474D" w:rsidP="00611101">
      <w:pPr>
        <w:widowControl/>
        <w:rPr>
          <w:i/>
          <w:szCs w:val="22"/>
        </w:rPr>
      </w:pPr>
      <w:r>
        <w:rPr>
          <w:i/>
          <w:szCs w:val="22"/>
        </w:rPr>
        <w:t xml:space="preserve">  </w:t>
      </w:r>
      <w:r>
        <w:rPr>
          <w:szCs w:val="22"/>
        </w:rPr>
        <w:tab/>
      </w:r>
    </w:p>
    <w:p w:rsidR="00611101" w:rsidRPr="009A64DA" w:rsidRDefault="00611101" w:rsidP="0030238C">
      <w:pPr>
        <w:pStyle w:val="ListParagraph"/>
        <w:widowControl/>
        <w:numPr>
          <w:ilvl w:val="1"/>
          <w:numId w:val="2"/>
        </w:numPr>
        <w:rPr>
          <w:szCs w:val="22"/>
        </w:rPr>
      </w:pPr>
      <w:r w:rsidRPr="009A64DA">
        <w:rPr>
          <w:szCs w:val="22"/>
        </w:rPr>
        <w:t xml:space="preserve">During the </w:t>
      </w:r>
      <w:r w:rsidR="009A64DA" w:rsidRPr="009A64DA">
        <w:rPr>
          <w:szCs w:val="22"/>
        </w:rPr>
        <w:t>evaluation,</w:t>
      </w:r>
      <w:r w:rsidRPr="009A64DA">
        <w:rPr>
          <w:szCs w:val="22"/>
        </w:rPr>
        <w:t xml:space="preserve"> an error was identified in the utilisation calculations that excluded the first 11 packs used by patients continuing </w:t>
      </w:r>
      <w:proofErr w:type="spellStart"/>
      <w:r w:rsidRPr="009A64DA">
        <w:rPr>
          <w:szCs w:val="22"/>
        </w:rPr>
        <w:t>lanreotide</w:t>
      </w:r>
      <w:proofErr w:type="spellEnd"/>
      <w:r w:rsidRPr="009A64DA">
        <w:rPr>
          <w:szCs w:val="22"/>
        </w:rPr>
        <w:t xml:space="preserve"> therapy beyond one year. Estimates presented in the commentary were corrected for this error.</w:t>
      </w:r>
    </w:p>
    <w:p w:rsidR="00611101" w:rsidRPr="009A64DA" w:rsidRDefault="00611101" w:rsidP="00611101">
      <w:pPr>
        <w:pStyle w:val="ListParagraph"/>
        <w:widowControl/>
        <w:rPr>
          <w:szCs w:val="22"/>
        </w:rPr>
      </w:pPr>
    </w:p>
    <w:p w:rsidR="00611101" w:rsidRPr="009A64DA" w:rsidRDefault="00611101" w:rsidP="0030238C">
      <w:pPr>
        <w:pStyle w:val="ListParagraph"/>
        <w:widowControl/>
        <w:numPr>
          <w:ilvl w:val="1"/>
          <w:numId w:val="2"/>
        </w:numPr>
        <w:rPr>
          <w:szCs w:val="22"/>
        </w:rPr>
      </w:pPr>
      <w:r w:rsidRPr="009A64DA">
        <w:rPr>
          <w:szCs w:val="22"/>
        </w:rPr>
        <w:lastRenderedPageBreak/>
        <w:t>The estimated financial implications were high</w:t>
      </w:r>
      <w:r w:rsidR="0021776F" w:rsidRPr="009A64DA">
        <w:rPr>
          <w:szCs w:val="22"/>
        </w:rPr>
        <w:t xml:space="preserve">ly </w:t>
      </w:r>
      <w:r w:rsidR="009A64DA" w:rsidRPr="009A64DA">
        <w:rPr>
          <w:szCs w:val="22"/>
        </w:rPr>
        <w:t>uncertain,</w:t>
      </w:r>
      <w:r w:rsidR="0021776F" w:rsidRPr="009A64DA">
        <w:rPr>
          <w:szCs w:val="22"/>
        </w:rPr>
        <w:t xml:space="preserve"> as the estimates did</w:t>
      </w:r>
      <w:r w:rsidRPr="009A64DA">
        <w:rPr>
          <w:szCs w:val="22"/>
        </w:rPr>
        <w:t xml:space="preserve"> not account for </w:t>
      </w:r>
      <w:r w:rsidR="0021776F" w:rsidRPr="009A64DA">
        <w:rPr>
          <w:szCs w:val="22"/>
        </w:rPr>
        <w:t xml:space="preserve">treatment of patients with </w:t>
      </w:r>
      <w:r w:rsidRPr="009A64DA">
        <w:rPr>
          <w:szCs w:val="22"/>
        </w:rPr>
        <w:t>functional GEP-NETs and progressive GEP-NETs and incorporate</w:t>
      </w:r>
      <w:r w:rsidR="0021776F" w:rsidRPr="009A64DA">
        <w:rPr>
          <w:szCs w:val="22"/>
        </w:rPr>
        <w:t>d</w:t>
      </w:r>
      <w:r w:rsidRPr="009A64DA">
        <w:rPr>
          <w:szCs w:val="22"/>
        </w:rPr>
        <w:t xml:space="preserve"> unrealistically short treatment durations. </w:t>
      </w:r>
    </w:p>
    <w:p w:rsidR="00611101" w:rsidRPr="009A64DA" w:rsidRDefault="00611101" w:rsidP="00611101">
      <w:pPr>
        <w:pStyle w:val="ListParagraph"/>
        <w:rPr>
          <w:szCs w:val="22"/>
        </w:rPr>
      </w:pPr>
    </w:p>
    <w:p w:rsidR="00611101" w:rsidRPr="009A64DA" w:rsidRDefault="00611101" w:rsidP="0030238C">
      <w:pPr>
        <w:pStyle w:val="ListParagraph"/>
        <w:widowControl/>
        <w:numPr>
          <w:ilvl w:val="1"/>
          <w:numId w:val="2"/>
        </w:numPr>
        <w:rPr>
          <w:szCs w:val="22"/>
        </w:rPr>
      </w:pPr>
      <w:r w:rsidRPr="009A64DA">
        <w:rPr>
          <w:szCs w:val="22"/>
        </w:rPr>
        <w:t xml:space="preserve">Overall, the net cost of listing </w:t>
      </w:r>
      <w:proofErr w:type="spellStart"/>
      <w:r w:rsidRPr="009A64DA">
        <w:rPr>
          <w:szCs w:val="22"/>
        </w:rPr>
        <w:t>lanreotide</w:t>
      </w:r>
      <w:proofErr w:type="spellEnd"/>
      <w:r w:rsidRPr="009A64DA">
        <w:rPr>
          <w:szCs w:val="22"/>
        </w:rPr>
        <w:t xml:space="preserve"> on the PBS/RPBS for the treatment of GEP-NETs has the potential to exceed $20 million per year.</w:t>
      </w:r>
      <w:r w:rsidR="002F048C" w:rsidRPr="009A64DA">
        <w:rPr>
          <w:szCs w:val="22"/>
        </w:rPr>
        <w:t xml:space="preserve"> </w:t>
      </w:r>
      <w:r w:rsidR="002F048C" w:rsidRPr="009A64DA">
        <w:t xml:space="preserve">The PSCR (p.5) proposed a risk share arrangement whereby the sponsor will rebate the Australian Government 100% of the cost of </w:t>
      </w:r>
      <w:proofErr w:type="spellStart"/>
      <w:r w:rsidR="002F048C" w:rsidRPr="009A64DA">
        <w:t>lanreotide</w:t>
      </w:r>
      <w:proofErr w:type="spellEnd"/>
      <w:r w:rsidR="002F048C" w:rsidRPr="009A64DA">
        <w:t xml:space="preserve"> beyond $20 million in any given year.</w:t>
      </w:r>
    </w:p>
    <w:p w:rsidR="00611101" w:rsidRPr="009A64DA" w:rsidRDefault="00611101" w:rsidP="00611101">
      <w:pPr>
        <w:widowControl/>
        <w:rPr>
          <w:szCs w:val="22"/>
        </w:rPr>
      </w:pPr>
    </w:p>
    <w:p w:rsidR="00611101" w:rsidRPr="009A64DA" w:rsidRDefault="00F24623" w:rsidP="00710AF6">
      <w:pPr>
        <w:widowControl/>
        <w:ind w:firstLine="709"/>
        <w:jc w:val="left"/>
        <w:rPr>
          <w:i/>
          <w:szCs w:val="22"/>
        </w:rPr>
      </w:pPr>
      <w:r w:rsidRPr="009A64DA">
        <w:rPr>
          <w:i/>
          <w:szCs w:val="22"/>
        </w:rPr>
        <w:t>For more detail on PBAC’s view, see section 7 “PBAC outcome”</w:t>
      </w:r>
    </w:p>
    <w:p w:rsidR="00F24623" w:rsidRPr="009A64DA" w:rsidRDefault="00F24623" w:rsidP="001B000E">
      <w:pPr>
        <w:widowControl/>
        <w:spacing w:line="720" w:lineRule="auto"/>
        <w:jc w:val="left"/>
        <w:rPr>
          <w:i/>
          <w:szCs w:val="22"/>
        </w:rPr>
      </w:pPr>
    </w:p>
    <w:p w:rsidR="003103D2" w:rsidRPr="009A64DA" w:rsidRDefault="003103D2" w:rsidP="00E975B1">
      <w:pPr>
        <w:pStyle w:val="Heading1"/>
      </w:pPr>
      <w:r w:rsidRPr="009A64DA">
        <w:t>PBAC Outcome</w:t>
      </w:r>
    </w:p>
    <w:p w:rsidR="00F24623" w:rsidRPr="009A64DA" w:rsidRDefault="00F24623" w:rsidP="00611101">
      <w:pPr>
        <w:widowControl/>
        <w:jc w:val="left"/>
        <w:rPr>
          <w:szCs w:val="22"/>
        </w:rPr>
      </w:pPr>
    </w:p>
    <w:p w:rsidR="00E4243C" w:rsidRPr="009A64DA" w:rsidRDefault="003103D2" w:rsidP="0030238C">
      <w:pPr>
        <w:pStyle w:val="ListParagraph"/>
        <w:widowControl/>
        <w:numPr>
          <w:ilvl w:val="1"/>
          <w:numId w:val="2"/>
        </w:numPr>
        <w:rPr>
          <w:szCs w:val="22"/>
        </w:rPr>
      </w:pPr>
      <w:r w:rsidRPr="009A64DA">
        <w:rPr>
          <w:szCs w:val="22"/>
        </w:rPr>
        <w:t>The PBAC rejected the request</w:t>
      </w:r>
      <w:r w:rsidR="007E711F" w:rsidRPr="009A64DA">
        <w:rPr>
          <w:szCs w:val="22"/>
        </w:rPr>
        <w:t xml:space="preserve"> to list </w:t>
      </w:r>
      <w:proofErr w:type="spellStart"/>
      <w:r w:rsidR="007E711F" w:rsidRPr="009A64DA">
        <w:rPr>
          <w:szCs w:val="22"/>
        </w:rPr>
        <w:t>lanreotide</w:t>
      </w:r>
      <w:proofErr w:type="spellEnd"/>
      <w:r w:rsidR="007E711F" w:rsidRPr="009A64DA">
        <w:rPr>
          <w:szCs w:val="22"/>
        </w:rPr>
        <w:t xml:space="preserve"> on the </w:t>
      </w:r>
      <w:r w:rsidRPr="009A64DA">
        <w:rPr>
          <w:szCs w:val="22"/>
        </w:rPr>
        <w:t xml:space="preserve">PBS </w:t>
      </w:r>
      <w:r w:rsidR="007E711F" w:rsidRPr="009A64DA">
        <w:rPr>
          <w:szCs w:val="22"/>
        </w:rPr>
        <w:t xml:space="preserve">for the treatment of </w:t>
      </w:r>
      <w:proofErr w:type="spellStart"/>
      <w:r w:rsidR="007E711F" w:rsidRPr="009A64DA">
        <w:rPr>
          <w:szCs w:val="22"/>
        </w:rPr>
        <w:t>gastroenteropancreatic</w:t>
      </w:r>
      <w:proofErr w:type="spellEnd"/>
      <w:r w:rsidR="007E711F" w:rsidRPr="009A64DA">
        <w:rPr>
          <w:szCs w:val="22"/>
        </w:rPr>
        <w:t xml:space="preserve"> neuroendocrine tumours (GEP-NETs) on the basis of </w:t>
      </w:r>
      <w:r w:rsidR="004E02DC" w:rsidRPr="009A64DA">
        <w:rPr>
          <w:szCs w:val="22"/>
        </w:rPr>
        <w:t>uncertainty</w:t>
      </w:r>
      <w:r w:rsidR="007E711F" w:rsidRPr="009A64DA">
        <w:rPr>
          <w:szCs w:val="22"/>
        </w:rPr>
        <w:t xml:space="preserve"> </w:t>
      </w:r>
      <w:r w:rsidR="00CA4D34" w:rsidRPr="009A64DA">
        <w:rPr>
          <w:szCs w:val="22"/>
        </w:rPr>
        <w:t xml:space="preserve">around the clinical significance of the </w:t>
      </w:r>
      <w:r w:rsidR="007E711F" w:rsidRPr="009A64DA">
        <w:rPr>
          <w:szCs w:val="22"/>
        </w:rPr>
        <w:t>progression free survival</w:t>
      </w:r>
      <w:r w:rsidR="00CA4D34" w:rsidRPr="009A64DA">
        <w:rPr>
          <w:szCs w:val="22"/>
        </w:rPr>
        <w:t xml:space="preserve"> results from the CLARINET study</w:t>
      </w:r>
      <w:r w:rsidR="007E711F" w:rsidRPr="009A64DA">
        <w:rPr>
          <w:szCs w:val="22"/>
        </w:rPr>
        <w:t xml:space="preserve">; </w:t>
      </w:r>
      <w:r w:rsidR="00CA4D34" w:rsidRPr="009A64DA">
        <w:rPr>
          <w:szCs w:val="22"/>
        </w:rPr>
        <w:t xml:space="preserve">and that the economic model used to estimate the ICER </w:t>
      </w:r>
      <w:r w:rsidR="00E4243C" w:rsidRPr="009A64DA">
        <w:rPr>
          <w:szCs w:val="22"/>
        </w:rPr>
        <w:t>was not reliable given fundamental issues with the model</w:t>
      </w:r>
      <w:r w:rsidR="001B3F16" w:rsidRPr="009A64DA">
        <w:rPr>
          <w:szCs w:val="22"/>
        </w:rPr>
        <w:t xml:space="preserve"> structure</w:t>
      </w:r>
      <w:r w:rsidR="00E4243C" w:rsidRPr="009A64DA">
        <w:rPr>
          <w:szCs w:val="22"/>
        </w:rPr>
        <w:t>.</w:t>
      </w:r>
    </w:p>
    <w:p w:rsidR="00DF4329" w:rsidRPr="009A64DA" w:rsidRDefault="00DF4329" w:rsidP="00DF4329">
      <w:pPr>
        <w:pStyle w:val="ListParagraph"/>
        <w:widowControl/>
        <w:rPr>
          <w:szCs w:val="22"/>
        </w:rPr>
      </w:pPr>
    </w:p>
    <w:p w:rsidR="00952796" w:rsidRPr="009A64DA" w:rsidRDefault="00952796" w:rsidP="00491C76">
      <w:pPr>
        <w:pStyle w:val="ListParagraph"/>
        <w:widowControl/>
        <w:numPr>
          <w:ilvl w:val="1"/>
          <w:numId w:val="2"/>
        </w:numPr>
        <w:rPr>
          <w:szCs w:val="22"/>
        </w:rPr>
      </w:pPr>
      <w:r w:rsidRPr="009A64DA">
        <w:rPr>
          <w:szCs w:val="22"/>
        </w:rPr>
        <w:t xml:space="preserve">The PBAC accepted the clinical place of </w:t>
      </w:r>
      <w:proofErr w:type="spellStart"/>
      <w:r w:rsidRPr="009A64DA">
        <w:rPr>
          <w:szCs w:val="22"/>
        </w:rPr>
        <w:t>lanreotide</w:t>
      </w:r>
      <w:proofErr w:type="spellEnd"/>
      <w:r w:rsidRPr="009A64DA">
        <w:rPr>
          <w:szCs w:val="22"/>
        </w:rPr>
        <w:t xml:space="preserve"> for patients with non-functional tumour, noting the comments from MOGA</w:t>
      </w:r>
      <w:r w:rsidR="00235762" w:rsidRPr="009A64DA">
        <w:rPr>
          <w:szCs w:val="22"/>
        </w:rPr>
        <w:t>,</w:t>
      </w:r>
      <w:r w:rsidRPr="009A64DA">
        <w:rPr>
          <w:szCs w:val="22"/>
        </w:rPr>
        <w:t xml:space="preserve"> The Unicorn Foundation </w:t>
      </w:r>
      <w:r w:rsidR="00235762" w:rsidRPr="009A64DA">
        <w:rPr>
          <w:szCs w:val="22"/>
        </w:rPr>
        <w:t>and</w:t>
      </w:r>
      <w:r w:rsidRPr="009A64DA">
        <w:rPr>
          <w:szCs w:val="22"/>
        </w:rPr>
        <w:t xml:space="preserve"> the sponsor hearing supported the use of </w:t>
      </w:r>
      <w:r w:rsidR="00A75A0F" w:rsidRPr="009A64DA">
        <w:rPr>
          <w:szCs w:val="22"/>
        </w:rPr>
        <w:t xml:space="preserve">a </w:t>
      </w:r>
      <w:r w:rsidRPr="009A64DA">
        <w:rPr>
          <w:szCs w:val="22"/>
        </w:rPr>
        <w:t>somatostatin analogue</w:t>
      </w:r>
      <w:r w:rsidR="00A75A0F" w:rsidRPr="009A64DA">
        <w:rPr>
          <w:szCs w:val="22"/>
        </w:rPr>
        <w:t xml:space="preserve"> in this setting</w:t>
      </w:r>
      <w:r w:rsidRPr="009A64DA">
        <w:rPr>
          <w:szCs w:val="22"/>
        </w:rPr>
        <w:t>.</w:t>
      </w:r>
      <w:r w:rsidR="00854C3F" w:rsidRPr="009A64DA">
        <w:rPr>
          <w:szCs w:val="22"/>
        </w:rPr>
        <w:t xml:space="preserve"> </w:t>
      </w:r>
      <w:r w:rsidR="00490FC1">
        <w:rPr>
          <w:szCs w:val="22"/>
        </w:rPr>
        <w:t xml:space="preserve">The </w:t>
      </w:r>
      <w:r w:rsidR="00490FC1" w:rsidRPr="00490FC1">
        <w:rPr>
          <w:szCs w:val="22"/>
        </w:rPr>
        <w:t xml:space="preserve">PBAC recognised that patients with functional GEP-NETs were currently able to access treatment with </w:t>
      </w:r>
      <w:proofErr w:type="spellStart"/>
      <w:r w:rsidR="00490FC1" w:rsidRPr="00490FC1">
        <w:rPr>
          <w:szCs w:val="22"/>
        </w:rPr>
        <w:t>lanreotide</w:t>
      </w:r>
      <w:proofErr w:type="spellEnd"/>
      <w:r w:rsidR="00490FC1" w:rsidRPr="00490FC1">
        <w:rPr>
          <w:szCs w:val="22"/>
        </w:rPr>
        <w:t xml:space="preserve"> through the PBS. The PBAC accepted the advice of the clinician at the hearing that for the proposed new indication, </w:t>
      </w:r>
      <w:proofErr w:type="spellStart"/>
      <w:r w:rsidR="00490FC1" w:rsidRPr="00490FC1">
        <w:rPr>
          <w:szCs w:val="22"/>
        </w:rPr>
        <w:t>lanreotide</w:t>
      </w:r>
      <w:proofErr w:type="spellEnd"/>
      <w:r w:rsidR="00490FC1" w:rsidRPr="00490FC1">
        <w:rPr>
          <w:szCs w:val="22"/>
        </w:rPr>
        <w:t xml:space="preserve"> would be continued post-progression (indefinitely).</w:t>
      </w:r>
      <w:r w:rsidR="00854C3F" w:rsidRPr="009A64DA">
        <w:rPr>
          <w:szCs w:val="22"/>
        </w:rPr>
        <w:t xml:space="preserve"> </w:t>
      </w:r>
    </w:p>
    <w:p w:rsidR="00952796" w:rsidRPr="009A64DA" w:rsidRDefault="00952796" w:rsidP="00952796">
      <w:pPr>
        <w:pStyle w:val="ListParagraph"/>
        <w:widowControl/>
        <w:rPr>
          <w:szCs w:val="22"/>
        </w:rPr>
      </w:pPr>
    </w:p>
    <w:p w:rsidR="007E7F27" w:rsidRPr="009A64DA" w:rsidRDefault="00F2062F" w:rsidP="007E7F27">
      <w:pPr>
        <w:pStyle w:val="ListParagraph"/>
        <w:widowControl/>
        <w:numPr>
          <w:ilvl w:val="1"/>
          <w:numId w:val="2"/>
        </w:numPr>
        <w:rPr>
          <w:szCs w:val="22"/>
        </w:rPr>
      </w:pPr>
      <w:r w:rsidRPr="009A64DA">
        <w:rPr>
          <w:szCs w:val="22"/>
        </w:rPr>
        <w:t xml:space="preserve">The PBAC considered the proposed PBS restriction for </w:t>
      </w:r>
      <w:proofErr w:type="spellStart"/>
      <w:r w:rsidRPr="009A64DA">
        <w:rPr>
          <w:szCs w:val="22"/>
        </w:rPr>
        <w:t>gastroenteropancreatic</w:t>
      </w:r>
      <w:proofErr w:type="spellEnd"/>
      <w:r w:rsidRPr="009A64DA">
        <w:rPr>
          <w:szCs w:val="22"/>
        </w:rPr>
        <w:t xml:space="preserve"> neuroendocrine tumours should be tightened</w:t>
      </w:r>
      <w:r w:rsidR="007E7F27" w:rsidRPr="009A64DA">
        <w:rPr>
          <w:szCs w:val="22"/>
        </w:rPr>
        <w:t xml:space="preserve"> to better distinguish from carcinoid tumours. The PBAC suggested </w:t>
      </w:r>
      <w:r w:rsidR="00235762" w:rsidRPr="009A64DA">
        <w:rPr>
          <w:szCs w:val="22"/>
        </w:rPr>
        <w:t xml:space="preserve">the restriction should include </w:t>
      </w:r>
      <w:r w:rsidR="007E7F27" w:rsidRPr="009A64DA">
        <w:rPr>
          <w:szCs w:val="22"/>
        </w:rPr>
        <w:t xml:space="preserve">criteria describing well or moderately differentiated, </w:t>
      </w:r>
      <w:proofErr w:type="spellStart"/>
      <w:r w:rsidR="007E7F27" w:rsidRPr="009A64DA">
        <w:rPr>
          <w:szCs w:val="22"/>
        </w:rPr>
        <w:t>unresectable</w:t>
      </w:r>
      <w:proofErr w:type="spellEnd"/>
      <w:r w:rsidR="007E7F27" w:rsidRPr="009A64DA">
        <w:rPr>
          <w:szCs w:val="22"/>
        </w:rPr>
        <w:t xml:space="preserve"> or metastatic non-functional </w:t>
      </w:r>
      <w:proofErr w:type="spellStart"/>
      <w:r w:rsidR="007E7F27" w:rsidRPr="009A64DA">
        <w:rPr>
          <w:szCs w:val="22"/>
        </w:rPr>
        <w:t>gastroenteropancreatic</w:t>
      </w:r>
      <w:proofErr w:type="spellEnd"/>
      <w:r w:rsidR="007E7F27" w:rsidRPr="009A64DA">
        <w:rPr>
          <w:szCs w:val="22"/>
        </w:rPr>
        <w:t xml:space="preserve"> neuroendocrine tumours. Further suggestions included:</w:t>
      </w:r>
    </w:p>
    <w:p w:rsidR="007E7F27" w:rsidRPr="009A64DA" w:rsidRDefault="007E7F27" w:rsidP="007E7F27">
      <w:pPr>
        <w:pStyle w:val="ListParagraph"/>
        <w:rPr>
          <w:szCs w:val="22"/>
        </w:rPr>
      </w:pPr>
    </w:p>
    <w:p w:rsidR="00F2062F" w:rsidRPr="009A64DA" w:rsidRDefault="007E7F27" w:rsidP="007E7F27">
      <w:pPr>
        <w:pStyle w:val="ListParagraph"/>
        <w:widowControl/>
        <w:numPr>
          <w:ilvl w:val="1"/>
          <w:numId w:val="9"/>
        </w:numPr>
        <w:ind w:left="1134" w:hanging="425"/>
        <w:rPr>
          <w:szCs w:val="22"/>
        </w:rPr>
      </w:pPr>
      <w:proofErr w:type="gramStart"/>
      <w:r w:rsidRPr="009A64DA">
        <w:rPr>
          <w:szCs w:val="22"/>
        </w:rPr>
        <w:t>not</w:t>
      </w:r>
      <w:proofErr w:type="gramEnd"/>
      <w:r w:rsidRPr="009A64DA">
        <w:rPr>
          <w:szCs w:val="22"/>
        </w:rPr>
        <w:t xml:space="preserve"> in combination with </w:t>
      </w:r>
      <w:proofErr w:type="spellStart"/>
      <w:r w:rsidRPr="009A64DA">
        <w:rPr>
          <w:szCs w:val="22"/>
        </w:rPr>
        <w:t>everolimus</w:t>
      </w:r>
      <w:proofErr w:type="spellEnd"/>
      <w:r w:rsidRPr="009A64DA">
        <w:rPr>
          <w:szCs w:val="22"/>
        </w:rPr>
        <w:t xml:space="preserve"> and/or </w:t>
      </w:r>
      <w:proofErr w:type="spellStart"/>
      <w:r w:rsidRPr="009A64DA">
        <w:rPr>
          <w:szCs w:val="22"/>
        </w:rPr>
        <w:t>sunitinib</w:t>
      </w:r>
      <w:proofErr w:type="spellEnd"/>
      <w:r w:rsidR="00490FC1">
        <w:rPr>
          <w:szCs w:val="22"/>
        </w:rPr>
        <w:t>.</w:t>
      </w:r>
    </w:p>
    <w:p w:rsidR="007E7F27" w:rsidRPr="009A64DA" w:rsidRDefault="007E7F27" w:rsidP="007E7F27">
      <w:pPr>
        <w:pStyle w:val="ListParagraph"/>
        <w:widowControl/>
        <w:numPr>
          <w:ilvl w:val="1"/>
          <w:numId w:val="9"/>
        </w:numPr>
        <w:ind w:left="1134" w:hanging="425"/>
        <w:rPr>
          <w:szCs w:val="22"/>
        </w:rPr>
      </w:pPr>
      <w:proofErr w:type="gramStart"/>
      <w:r w:rsidRPr="009A64DA">
        <w:rPr>
          <w:szCs w:val="22"/>
        </w:rPr>
        <w:t>not</w:t>
      </w:r>
      <w:proofErr w:type="gramEnd"/>
      <w:r w:rsidRPr="009A64DA">
        <w:rPr>
          <w:szCs w:val="22"/>
        </w:rPr>
        <w:t xml:space="preserve"> suitable for watchful waiting (</w:t>
      </w:r>
      <w:proofErr w:type="spellStart"/>
      <w:r w:rsidRPr="009A64DA">
        <w:rPr>
          <w:szCs w:val="22"/>
        </w:rPr>
        <w:t>eg</w:t>
      </w:r>
      <w:proofErr w:type="spellEnd"/>
      <w:r w:rsidRPr="009A64DA">
        <w:rPr>
          <w:szCs w:val="22"/>
        </w:rPr>
        <w:t xml:space="preserve"> asymptomatic, indolent, low volume disease</w:t>
      </w:r>
      <w:r w:rsidR="00F76FD3">
        <w:rPr>
          <w:szCs w:val="22"/>
        </w:rPr>
        <w:t>.</w:t>
      </w:r>
      <w:r w:rsidRPr="009A64DA">
        <w:rPr>
          <w:szCs w:val="22"/>
        </w:rPr>
        <w:t xml:space="preserve"> </w:t>
      </w:r>
      <w:r w:rsidR="00F76FD3">
        <w:rPr>
          <w:szCs w:val="22"/>
        </w:rPr>
        <w:t xml:space="preserve">These patients </w:t>
      </w:r>
      <w:r w:rsidRPr="009A64DA">
        <w:rPr>
          <w:szCs w:val="22"/>
        </w:rPr>
        <w:t>should be watched,</w:t>
      </w:r>
      <w:r w:rsidR="00F76FD3">
        <w:rPr>
          <w:szCs w:val="22"/>
        </w:rPr>
        <w:t xml:space="preserve"> rather than</w:t>
      </w:r>
      <w:r w:rsidRPr="009A64DA">
        <w:rPr>
          <w:szCs w:val="22"/>
        </w:rPr>
        <w:t xml:space="preserve"> not treated)</w:t>
      </w:r>
      <w:r w:rsidR="00490FC1">
        <w:rPr>
          <w:szCs w:val="22"/>
        </w:rPr>
        <w:t>.</w:t>
      </w:r>
    </w:p>
    <w:p w:rsidR="00F2062F" w:rsidRPr="009A64DA" w:rsidRDefault="00F2062F" w:rsidP="00F2062F">
      <w:pPr>
        <w:pStyle w:val="ListParagraph"/>
        <w:rPr>
          <w:szCs w:val="22"/>
        </w:rPr>
      </w:pPr>
    </w:p>
    <w:p w:rsidR="00952796" w:rsidRPr="009A64DA" w:rsidRDefault="00952796" w:rsidP="00952796">
      <w:pPr>
        <w:pStyle w:val="ListParagraph"/>
        <w:widowControl/>
        <w:numPr>
          <w:ilvl w:val="1"/>
          <w:numId w:val="2"/>
        </w:numPr>
        <w:rPr>
          <w:szCs w:val="22"/>
        </w:rPr>
      </w:pPr>
      <w:r w:rsidRPr="009A64DA">
        <w:rPr>
          <w:szCs w:val="22"/>
        </w:rPr>
        <w:t xml:space="preserve">The PBAC accepted that watchful waiting (placebo) </w:t>
      </w:r>
      <w:r w:rsidR="00A75A0F" w:rsidRPr="009A64DA">
        <w:rPr>
          <w:szCs w:val="22"/>
        </w:rPr>
        <w:t xml:space="preserve">was the </w:t>
      </w:r>
      <w:r w:rsidRPr="009A64DA">
        <w:rPr>
          <w:szCs w:val="22"/>
        </w:rPr>
        <w:t>appropriate comparator</w:t>
      </w:r>
      <w:r w:rsidR="00A75A0F" w:rsidRPr="009A64DA">
        <w:rPr>
          <w:szCs w:val="22"/>
        </w:rPr>
        <w:t xml:space="preserve"> for establishing </w:t>
      </w:r>
      <w:r w:rsidR="00020CD7" w:rsidRPr="009A64DA">
        <w:rPr>
          <w:szCs w:val="22"/>
        </w:rPr>
        <w:t xml:space="preserve">clinical and cost </w:t>
      </w:r>
      <w:r w:rsidR="00A75A0F" w:rsidRPr="009A64DA">
        <w:rPr>
          <w:szCs w:val="22"/>
        </w:rPr>
        <w:t xml:space="preserve">effectiveness of </w:t>
      </w:r>
      <w:proofErr w:type="spellStart"/>
      <w:r w:rsidR="00020CD7" w:rsidRPr="009A64DA">
        <w:rPr>
          <w:szCs w:val="22"/>
        </w:rPr>
        <w:t>lanreotide</w:t>
      </w:r>
      <w:proofErr w:type="spellEnd"/>
      <w:r w:rsidR="00817622" w:rsidRPr="009A64DA">
        <w:rPr>
          <w:szCs w:val="22"/>
        </w:rPr>
        <w:t xml:space="preserve"> for </w:t>
      </w:r>
      <w:r w:rsidR="00490FC1">
        <w:rPr>
          <w:szCs w:val="22"/>
        </w:rPr>
        <w:t>the treatment of non</w:t>
      </w:r>
      <w:r w:rsidR="00490FC1">
        <w:rPr>
          <w:szCs w:val="22"/>
        </w:rPr>
        <w:noBreakHyphen/>
        <w:t xml:space="preserve">functional </w:t>
      </w:r>
      <w:r w:rsidR="00817622" w:rsidRPr="009A64DA">
        <w:rPr>
          <w:szCs w:val="22"/>
        </w:rPr>
        <w:t>GEP-NETs</w:t>
      </w:r>
      <w:r w:rsidR="00490FC1">
        <w:rPr>
          <w:szCs w:val="22"/>
        </w:rPr>
        <w:t>.</w:t>
      </w:r>
      <w:r w:rsidR="00817622" w:rsidRPr="009A64DA">
        <w:rPr>
          <w:szCs w:val="22"/>
        </w:rPr>
        <w:t xml:space="preserve"> </w:t>
      </w:r>
    </w:p>
    <w:p w:rsidR="00952796" w:rsidRPr="009A64DA" w:rsidRDefault="00952796" w:rsidP="00952796">
      <w:pPr>
        <w:pStyle w:val="ListParagraph"/>
        <w:widowControl/>
        <w:rPr>
          <w:szCs w:val="22"/>
        </w:rPr>
      </w:pPr>
    </w:p>
    <w:p w:rsidR="00F2062F" w:rsidRPr="009A64DA" w:rsidRDefault="00F2062F" w:rsidP="00F2062F">
      <w:pPr>
        <w:pStyle w:val="ListParagraph"/>
        <w:widowControl/>
        <w:numPr>
          <w:ilvl w:val="1"/>
          <w:numId w:val="2"/>
        </w:numPr>
        <w:rPr>
          <w:szCs w:val="22"/>
        </w:rPr>
      </w:pPr>
      <w:r w:rsidRPr="009A64DA">
        <w:rPr>
          <w:szCs w:val="22"/>
        </w:rPr>
        <w:t xml:space="preserve">The PBAC noted the submission presented one head-to-head trial (CLARINET, n=204) comparing </w:t>
      </w:r>
      <w:proofErr w:type="spellStart"/>
      <w:r w:rsidRPr="009A64DA">
        <w:rPr>
          <w:szCs w:val="22"/>
        </w:rPr>
        <w:t>lanreotide</w:t>
      </w:r>
      <w:proofErr w:type="spellEnd"/>
      <w:r w:rsidRPr="009A64DA">
        <w:rPr>
          <w:szCs w:val="22"/>
        </w:rPr>
        <w:t xml:space="preserve"> to placebo in patients with non-functional GEP-NETs, with additional long-term data from an open-label extension (Study 729).</w:t>
      </w:r>
    </w:p>
    <w:p w:rsidR="00F2062F" w:rsidRPr="009A64DA" w:rsidRDefault="00F2062F" w:rsidP="00F2062F">
      <w:pPr>
        <w:pStyle w:val="ListParagraph"/>
        <w:rPr>
          <w:szCs w:val="22"/>
        </w:rPr>
      </w:pPr>
    </w:p>
    <w:p w:rsidR="00952796" w:rsidRPr="009A64DA" w:rsidRDefault="00952796" w:rsidP="0037637D">
      <w:pPr>
        <w:pStyle w:val="ListParagraph"/>
        <w:widowControl/>
        <w:numPr>
          <w:ilvl w:val="1"/>
          <w:numId w:val="2"/>
        </w:numPr>
        <w:rPr>
          <w:szCs w:val="22"/>
        </w:rPr>
      </w:pPr>
      <w:r w:rsidRPr="009A64DA">
        <w:rPr>
          <w:szCs w:val="22"/>
        </w:rPr>
        <w:t xml:space="preserve">The PBAC noted that the clinical data from the CLARINET trial did not support </w:t>
      </w:r>
      <w:r w:rsidR="00854C3F" w:rsidRPr="009A64DA">
        <w:rPr>
          <w:szCs w:val="22"/>
        </w:rPr>
        <w:t xml:space="preserve">a </w:t>
      </w:r>
      <w:r w:rsidRPr="009A64DA">
        <w:rPr>
          <w:szCs w:val="22"/>
        </w:rPr>
        <w:t xml:space="preserve">difference in OS between treatment arms </w:t>
      </w:r>
      <w:r w:rsidRPr="009A64DA">
        <w:rPr>
          <w:i/>
          <w:iCs/>
          <w:szCs w:val="22"/>
        </w:rPr>
        <w:t>(</w:t>
      </w:r>
      <w:r w:rsidRPr="009A64DA">
        <w:rPr>
          <w:iCs/>
          <w:szCs w:val="22"/>
        </w:rPr>
        <w:t>HR 1.05; 95% CI 0.55, 2.03; favouring placebo).</w:t>
      </w:r>
      <w:r w:rsidR="0037637D" w:rsidRPr="009A64DA">
        <w:rPr>
          <w:iCs/>
          <w:szCs w:val="22"/>
        </w:rPr>
        <w:t xml:space="preserve"> However, a statistically significant difference in PFS was observed (HR 0.47; 95% CI 0.30, 0.73).</w:t>
      </w:r>
    </w:p>
    <w:p w:rsidR="00952796" w:rsidRPr="009A64DA" w:rsidRDefault="00952796" w:rsidP="00952796">
      <w:pPr>
        <w:pStyle w:val="ListParagraph"/>
        <w:widowControl/>
        <w:rPr>
          <w:szCs w:val="22"/>
        </w:rPr>
      </w:pPr>
    </w:p>
    <w:p w:rsidR="0064762C" w:rsidRPr="009A64DA" w:rsidRDefault="0037637D" w:rsidP="00952796">
      <w:pPr>
        <w:pStyle w:val="ListParagraph"/>
        <w:widowControl/>
        <w:numPr>
          <w:ilvl w:val="1"/>
          <w:numId w:val="2"/>
        </w:numPr>
        <w:rPr>
          <w:szCs w:val="22"/>
        </w:rPr>
      </w:pPr>
      <w:r w:rsidRPr="009A64DA">
        <w:rPr>
          <w:szCs w:val="22"/>
        </w:rPr>
        <w:t xml:space="preserve">The PBAC noted </w:t>
      </w:r>
      <w:r w:rsidR="00490FC1">
        <w:rPr>
          <w:szCs w:val="22"/>
        </w:rPr>
        <w:t xml:space="preserve">that a number of factors contributed to the </w:t>
      </w:r>
      <w:r w:rsidRPr="009A64DA">
        <w:rPr>
          <w:szCs w:val="22"/>
        </w:rPr>
        <w:t>considerable uncertainty in the interpretation of the PFS results from CLARINET</w:t>
      </w:r>
      <w:r w:rsidR="0064762C" w:rsidRPr="009A64DA">
        <w:rPr>
          <w:szCs w:val="22"/>
        </w:rPr>
        <w:t>:</w:t>
      </w:r>
      <w:r w:rsidRPr="009A64DA">
        <w:rPr>
          <w:szCs w:val="22"/>
        </w:rPr>
        <w:t xml:space="preserve"> </w:t>
      </w:r>
    </w:p>
    <w:p w:rsidR="0064762C" w:rsidRPr="009A64DA" w:rsidRDefault="0064762C" w:rsidP="0064762C">
      <w:pPr>
        <w:pStyle w:val="ListParagraph"/>
        <w:rPr>
          <w:szCs w:val="22"/>
        </w:rPr>
      </w:pPr>
    </w:p>
    <w:p w:rsidR="0064762C" w:rsidRPr="009A64DA" w:rsidRDefault="0064762C" w:rsidP="0064762C">
      <w:pPr>
        <w:pStyle w:val="ListParagraph"/>
        <w:widowControl/>
        <w:numPr>
          <w:ilvl w:val="1"/>
          <w:numId w:val="11"/>
        </w:numPr>
        <w:tabs>
          <w:tab w:val="left" w:pos="1134"/>
        </w:tabs>
        <w:ind w:left="1134" w:hanging="425"/>
        <w:rPr>
          <w:szCs w:val="22"/>
        </w:rPr>
      </w:pPr>
      <w:r w:rsidRPr="009A64DA">
        <w:rPr>
          <w:szCs w:val="22"/>
        </w:rPr>
        <w:t>G</w:t>
      </w:r>
      <w:r w:rsidR="00952796" w:rsidRPr="009A64DA">
        <w:rPr>
          <w:szCs w:val="22"/>
        </w:rPr>
        <w:t xml:space="preserve">iven the indolent and variable nature of the disease, the study included patients who </w:t>
      </w:r>
      <w:r w:rsidR="00854C3F" w:rsidRPr="009A64DA">
        <w:rPr>
          <w:szCs w:val="22"/>
        </w:rPr>
        <w:t>may have been</w:t>
      </w:r>
      <w:r w:rsidR="00952796" w:rsidRPr="009A64DA">
        <w:rPr>
          <w:szCs w:val="22"/>
        </w:rPr>
        <w:t xml:space="preserve"> be better served by watchful waiting. </w:t>
      </w:r>
      <w:r w:rsidRPr="009A64DA">
        <w:rPr>
          <w:szCs w:val="22"/>
        </w:rPr>
        <w:t>A</w:t>
      </w:r>
      <w:r w:rsidR="00952796" w:rsidRPr="009A64DA">
        <w:rPr>
          <w:szCs w:val="22"/>
        </w:rPr>
        <w:t xml:space="preserve">t study entry, the mean time since diagnosis was 33.45 months but </w:t>
      </w:r>
      <w:r w:rsidRPr="009A64DA">
        <w:rPr>
          <w:szCs w:val="22"/>
        </w:rPr>
        <w:t xml:space="preserve">the </w:t>
      </w:r>
      <w:r w:rsidR="00952796" w:rsidRPr="009A64DA">
        <w:rPr>
          <w:szCs w:val="22"/>
        </w:rPr>
        <w:t>standard deviation was 43.65 m</w:t>
      </w:r>
      <w:r w:rsidRPr="009A64DA">
        <w:rPr>
          <w:szCs w:val="22"/>
        </w:rPr>
        <w:t>on</w:t>
      </w:r>
      <w:r w:rsidR="00952796" w:rsidRPr="009A64DA">
        <w:rPr>
          <w:szCs w:val="22"/>
        </w:rPr>
        <w:t>ths. Overall 95.6% of subjects didn’t have progression at baseline and 84.3% were naïve to any medical treatment for their disease.</w:t>
      </w:r>
      <w:r w:rsidRPr="009A64DA">
        <w:rPr>
          <w:szCs w:val="22"/>
        </w:rPr>
        <w:t xml:space="preserve"> T</w:t>
      </w:r>
      <w:r w:rsidR="00952796" w:rsidRPr="009A64DA">
        <w:rPr>
          <w:szCs w:val="22"/>
        </w:rPr>
        <w:t>he PFS curves do not start to separate until week 36</w:t>
      </w:r>
      <w:r w:rsidR="00854C3F" w:rsidRPr="009A64DA">
        <w:rPr>
          <w:szCs w:val="22"/>
        </w:rPr>
        <w:t>,</w:t>
      </w:r>
      <w:r w:rsidR="00952796" w:rsidRPr="009A64DA">
        <w:rPr>
          <w:szCs w:val="22"/>
        </w:rPr>
        <w:t xml:space="preserve"> and </w:t>
      </w:r>
      <w:r w:rsidR="000E3818" w:rsidRPr="009A64DA">
        <w:rPr>
          <w:szCs w:val="22"/>
        </w:rPr>
        <w:t xml:space="preserve">approximately </w:t>
      </w:r>
      <w:r w:rsidR="00952796" w:rsidRPr="009A64DA">
        <w:rPr>
          <w:szCs w:val="22"/>
        </w:rPr>
        <w:t xml:space="preserve">40% </w:t>
      </w:r>
      <w:r w:rsidR="00854C3F" w:rsidRPr="009A64DA">
        <w:rPr>
          <w:szCs w:val="22"/>
        </w:rPr>
        <w:t xml:space="preserve">of </w:t>
      </w:r>
      <w:r w:rsidR="00952796" w:rsidRPr="009A64DA">
        <w:rPr>
          <w:szCs w:val="22"/>
        </w:rPr>
        <w:t xml:space="preserve">patients in the </w:t>
      </w:r>
      <w:r w:rsidR="00854C3F" w:rsidRPr="009A64DA">
        <w:rPr>
          <w:szCs w:val="22"/>
        </w:rPr>
        <w:t>placebo</w:t>
      </w:r>
      <w:r w:rsidR="00952796" w:rsidRPr="009A64DA">
        <w:rPr>
          <w:szCs w:val="22"/>
        </w:rPr>
        <w:t xml:space="preserve"> arm did not show tumour progression until </w:t>
      </w:r>
      <w:r w:rsidRPr="009A64DA">
        <w:rPr>
          <w:szCs w:val="22"/>
        </w:rPr>
        <w:t xml:space="preserve">the </w:t>
      </w:r>
      <w:r w:rsidR="00952796" w:rsidRPr="009A64DA">
        <w:rPr>
          <w:szCs w:val="22"/>
        </w:rPr>
        <w:t xml:space="preserve">second year. </w:t>
      </w:r>
      <w:r w:rsidRPr="009A64DA">
        <w:rPr>
          <w:szCs w:val="22"/>
        </w:rPr>
        <w:t>Thus, the</w:t>
      </w:r>
      <w:r w:rsidR="00952796" w:rsidRPr="009A64DA">
        <w:rPr>
          <w:szCs w:val="22"/>
        </w:rPr>
        <w:t xml:space="preserve"> PBAC considered that 40% of the treated arm probably did not need treatment </w:t>
      </w:r>
      <w:r w:rsidR="00854C3F" w:rsidRPr="009A64DA">
        <w:rPr>
          <w:szCs w:val="22"/>
        </w:rPr>
        <w:t xml:space="preserve">for </w:t>
      </w:r>
      <w:r w:rsidR="00952796" w:rsidRPr="009A64DA">
        <w:rPr>
          <w:szCs w:val="22"/>
        </w:rPr>
        <w:t>at least 2 years.</w:t>
      </w:r>
    </w:p>
    <w:p w:rsidR="00E76016" w:rsidRPr="009A64DA" w:rsidRDefault="00854C3F" w:rsidP="00D84EB5">
      <w:pPr>
        <w:pStyle w:val="ListParagraph"/>
        <w:widowControl/>
        <w:numPr>
          <w:ilvl w:val="1"/>
          <w:numId w:val="11"/>
        </w:numPr>
        <w:tabs>
          <w:tab w:val="left" w:pos="1134"/>
        </w:tabs>
        <w:ind w:left="1134" w:hanging="425"/>
        <w:rPr>
          <w:szCs w:val="22"/>
        </w:rPr>
      </w:pPr>
      <w:r w:rsidRPr="009A64DA">
        <w:rPr>
          <w:szCs w:val="22"/>
        </w:rPr>
        <w:t xml:space="preserve">There was no survival gain, with </w:t>
      </w:r>
      <w:r w:rsidR="005C103F" w:rsidRPr="009A64DA">
        <w:rPr>
          <w:szCs w:val="22"/>
        </w:rPr>
        <w:t>only four</w:t>
      </w:r>
      <w:r w:rsidRPr="009A64DA">
        <w:rPr>
          <w:szCs w:val="22"/>
        </w:rPr>
        <w:t xml:space="preserve"> deaths in the study (</w:t>
      </w:r>
      <w:r w:rsidR="005C103F" w:rsidRPr="009A64DA">
        <w:rPr>
          <w:szCs w:val="22"/>
        </w:rPr>
        <w:t>two</w:t>
      </w:r>
      <w:r w:rsidRPr="009A64DA">
        <w:rPr>
          <w:szCs w:val="22"/>
        </w:rPr>
        <w:t xml:space="preserve"> in each arm). T</w:t>
      </w:r>
      <w:r w:rsidR="00952796" w:rsidRPr="009A64DA">
        <w:rPr>
          <w:szCs w:val="22"/>
        </w:rPr>
        <w:t xml:space="preserve">umour progressions were </w:t>
      </w:r>
      <w:r w:rsidR="0064762C" w:rsidRPr="009A64DA">
        <w:rPr>
          <w:szCs w:val="22"/>
        </w:rPr>
        <w:t xml:space="preserve">all radiological, assessed </w:t>
      </w:r>
      <w:r w:rsidR="00952796" w:rsidRPr="009A64DA">
        <w:rPr>
          <w:szCs w:val="22"/>
        </w:rPr>
        <w:t>using RECIST criteria</w:t>
      </w:r>
      <w:r w:rsidR="0064762C" w:rsidRPr="009A64DA">
        <w:rPr>
          <w:szCs w:val="22"/>
        </w:rPr>
        <w:t>.</w:t>
      </w:r>
      <w:r w:rsidR="00952796" w:rsidRPr="009A64DA">
        <w:rPr>
          <w:szCs w:val="22"/>
        </w:rPr>
        <w:t xml:space="preserve"> </w:t>
      </w:r>
      <w:r w:rsidR="00E76016" w:rsidRPr="009A64DA">
        <w:rPr>
          <w:szCs w:val="22"/>
        </w:rPr>
        <w:t>The health gain based on the Kaplan</w:t>
      </w:r>
      <w:r w:rsidR="005C103F" w:rsidRPr="009A64DA">
        <w:rPr>
          <w:szCs w:val="22"/>
        </w:rPr>
        <w:t>-</w:t>
      </w:r>
      <w:r w:rsidR="00E76016" w:rsidRPr="009A64DA">
        <w:rPr>
          <w:szCs w:val="22"/>
        </w:rPr>
        <w:t>Meier curves of PFS w</w:t>
      </w:r>
      <w:r w:rsidR="005C103F" w:rsidRPr="009A64DA">
        <w:rPr>
          <w:szCs w:val="22"/>
        </w:rPr>
        <w:t>a</w:t>
      </w:r>
      <w:r w:rsidR="00E76016" w:rsidRPr="009A64DA">
        <w:rPr>
          <w:szCs w:val="22"/>
        </w:rPr>
        <w:t>s</w:t>
      </w:r>
      <w:r w:rsidR="005C103F" w:rsidRPr="009A64DA">
        <w:rPr>
          <w:szCs w:val="22"/>
        </w:rPr>
        <w:t xml:space="preserve"> not quantifiable.</w:t>
      </w:r>
    </w:p>
    <w:p w:rsidR="00D84EB5" w:rsidRPr="009A64DA" w:rsidRDefault="005C103F" w:rsidP="00D84EB5">
      <w:pPr>
        <w:pStyle w:val="ListParagraph"/>
        <w:widowControl/>
        <w:numPr>
          <w:ilvl w:val="1"/>
          <w:numId w:val="11"/>
        </w:numPr>
        <w:tabs>
          <w:tab w:val="left" w:pos="1134"/>
        </w:tabs>
        <w:ind w:left="1134" w:hanging="425"/>
        <w:rPr>
          <w:szCs w:val="22"/>
        </w:rPr>
      </w:pPr>
      <w:r w:rsidRPr="009A64DA">
        <w:rPr>
          <w:szCs w:val="22"/>
        </w:rPr>
        <w:t>C</w:t>
      </w:r>
      <w:r w:rsidR="00854C3F" w:rsidRPr="009A64DA">
        <w:rPr>
          <w:szCs w:val="22"/>
        </w:rPr>
        <w:t xml:space="preserve">onfidence intervals on the </w:t>
      </w:r>
      <w:r w:rsidRPr="009A64DA">
        <w:rPr>
          <w:szCs w:val="22"/>
        </w:rPr>
        <w:t xml:space="preserve">Kaplan-Meier </w:t>
      </w:r>
      <w:r w:rsidR="00854C3F" w:rsidRPr="009A64DA">
        <w:rPr>
          <w:szCs w:val="22"/>
        </w:rPr>
        <w:t>curves for PFS</w:t>
      </w:r>
      <w:r w:rsidRPr="009A64DA">
        <w:rPr>
          <w:szCs w:val="22"/>
        </w:rPr>
        <w:t xml:space="preserve"> would be informative</w:t>
      </w:r>
      <w:r w:rsidR="00854C3F" w:rsidRPr="009A64DA">
        <w:rPr>
          <w:szCs w:val="22"/>
        </w:rPr>
        <w:t xml:space="preserve">. In the placebo </w:t>
      </w:r>
      <w:r w:rsidR="009A64DA" w:rsidRPr="009A64DA">
        <w:rPr>
          <w:szCs w:val="22"/>
        </w:rPr>
        <w:t>arm,</w:t>
      </w:r>
      <w:r w:rsidR="00854C3F" w:rsidRPr="009A64DA">
        <w:rPr>
          <w:szCs w:val="22"/>
        </w:rPr>
        <w:t xml:space="preserve"> </w:t>
      </w:r>
      <w:r w:rsidR="00952796" w:rsidRPr="009A64DA">
        <w:rPr>
          <w:szCs w:val="22"/>
        </w:rPr>
        <w:t>1</w:t>
      </w:r>
      <w:r w:rsidR="000E3818" w:rsidRPr="009A64DA">
        <w:rPr>
          <w:szCs w:val="22"/>
        </w:rPr>
        <w:t>7.8</w:t>
      </w:r>
      <w:r w:rsidR="00952796" w:rsidRPr="009A64DA">
        <w:rPr>
          <w:szCs w:val="22"/>
        </w:rPr>
        <w:t xml:space="preserve">% </w:t>
      </w:r>
      <w:r w:rsidR="00854C3F" w:rsidRPr="009A64DA">
        <w:rPr>
          <w:szCs w:val="22"/>
        </w:rPr>
        <w:t xml:space="preserve">of patients </w:t>
      </w:r>
      <w:r w:rsidR="00952796" w:rsidRPr="009A64DA">
        <w:rPr>
          <w:szCs w:val="22"/>
        </w:rPr>
        <w:t>had reduction</w:t>
      </w:r>
      <w:r w:rsidR="00854C3F" w:rsidRPr="009A64DA">
        <w:rPr>
          <w:szCs w:val="22"/>
        </w:rPr>
        <w:t>s</w:t>
      </w:r>
      <w:r w:rsidR="00952796" w:rsidRPr="009A64DA">
        <w:rPr>
          <w:szCs w:val="22"/>
        </w:rPr>
        <w:t xml:space="preserve"> in tumour size.</w:t>
      </w:r>
    </w:p>
    <w:p w:rsidR="00D84EB5" w:rsidRPr="009A64DA" w:rsidRDefault="00D84EB5" w:rsidP="00817622">
      <w:pPr>
        <w:pStyle w:val="ListParagraph"/>
        <w:rPr>
          <w:szCs w:val="22"/>
        </w:rPr>
      </w:pPr>
    </w:p>
    <w:p w:rsidR="00817622" w:rsidRPr="009A64DA" w:rsidRDefault="00D84EB5" w:rsidP="00D84EB5">
      <w:pPr>
        <w:pStyle w:val="ListParagraph"/>
        <w:widowControl/>
        <w:numPr>
          <w:ilvl w:val="1"/>
          <w:numId w:val="2"/>
        </w:numPr>
        <w:rPr>
          <w:szCs w:val="22"/>
        </w:rPr>
      </w:pPr>
      <w:r w:rsidRPr="009A64DA">
        <w:rPr>
          <w:szCs w:val="22"/>
        </w:rPr>
        <w:t xml:space="preserve">The PBAC also noted quality of life, as measured by </w:t>
      </w:r>
      <w:r w:rsidRPr="009A64DA">
        <w:t xml:space="preserve">EORTC QLQ-C30, </w:t>
      </w:r>
      <w:r w:rsidR="001B3F16" w:rsidRPr="009A64DA">
        <w:t>was not</w:t>
      </w:r>
      <w:r w:rsidRPr="009A64DA">
        <w:t xml:space="preserve"> statistically significant differen</w:t>
      </w:r>
      <w:r w:rsidR="001B3F16" w:rsidRPr="009A64DA">
        <w:t>t</w:t>
      </w:r>
      <w:r w:rsidRPr="009A64DA">
        <w:t xml:space="preserve"> between </w:t>
      </w:r>
      <w:proofErr w:type="spellStart"/>
      <w:r w:rsidRPr="009A64DA">
        <w:t>lanreotide</w:t>
      </w:r>
      <w:proofErr w:type="spellEnd"/>
      <w:r w:rsidRPr="009A64DA">
        <w:t xml:space="preserve"> and placebo</w:t>
      </w:r>
      <w:r w:rsidRPr="009A64DA">
        <w:rPr>
          <w:szCs w:val="22"/>
        </w:rPr>
        <w:t>.</w:t>
      </w:r>
    </w:p>
    <w:p w:rsidR="00D84EB5" w:rsidRPr="009A64DA" w:rsidRDefault="00D84EB5" w:rsidP="00D84EB5">
      <w:pPr>
        <w:pStyle w:val="ListParagraph"/>
        <w:widowControl/>
        <w:rPr>
          <w:szCs w:val="22"/>
        </w:rPr>
      </w:pPr>
    </w:p>
    <w:p w:rsidR="002629AB" w:rsidRDefault="00D84EB5" w:rsidP="002629AB">
      <w:pPr>
        <w:pStyle w:val="ListParagraph"/>
        <w:widowControl/>
        <w:numPr>
          <w:ilvl w:val="1"/>
          <w:numId w:val="2"/>
        </w:numPr>
        <w:rPr>
          <w:szCs w:val="22"/>
        </w:rPr>
      </w:pPr>
      <w:r w:rsidRPr="009A64DA">
        <w:rPr>
          <w:szCs w:val="22"/>
        </w:rPr>
        <w:t xml:space="preserve">The PBAC considered </w:t>
      </w:r>
      <w:proofErr w:type="spellStart"/>
      <w:r w:rsidRPr="009A64DA">
        <w:rPr>
          <w:szCs w:val="22"/>
        </w:rPr>
        <w:t>lanreotide</w:t>
      </w:r>
      <w:proofErr w:type="spellEnd"/>
      <w:r w:rsidRPr="009A64DA">
        <w:rPr>
          <w:szCs w:val="22"/>
        </w:rPr>
        <w:t xml:space="preserve"> inferior </w:t>
      </w:r>
      <w:r w:rsidR="005C103F" w:rsidRPr="009A64DA">
        <w:rPr>
          <w:szCs w:val="22"/>
        </w:rPr>
        <w:t xml:space="preserve">compared to placebo </w:t>
      </w:r>
      <w:r w:rsidRPr="009A64DA">
        <w:rPr>
          <w:szCs w:val="22"/>
        </w:rPr>
        <w:t xml:space="preserve">in terms of safety. </w:t>
      </w:r>
      <w:r w:rsidR="002629AB" w:rsidRPr="009A64DA">
        <w:rPr>
          <w:szCs w:val="22"/>
        </w:rPr>
        <w:t xml:space="preserve">Exposure to </w:t>
      </w:r>
      <w:proofErr w:type="spellStart"/>
      <w:r w:rsidR="002629AB" w:rsidRPr="009A64DA">
        <w:rPr>
          <w:szCs w:val="22"/>
        </w:rPr>
        <w:t>lanreotide</w:t>
      </w:r>
      <w:proofErr w:type="spellEnd"/>
      <w:r w:rsidR="002629AB" w:rsidRPr="009A64DA">
        <w:rPr>
          <w:szCs w:val="22"/>
        </w:rPr>
        <w:t xml:space="preserve"> will be years of monthly injections</w:t>
      </w:r>
      <w:r w:rsidR="005C103F" w:rsidRPr="009A64DA">
        <w:rPr>
          <w:szCs w:val="22"/>
        </w:rPr>
        <w:t>, with</w:t>
      </w:r>
      <w:r w:rsidR="002629AB" w:rsidRPr="009A64DA">
        <w:rPr>
          <w:szCs w:val="22"/>
        </w:rPr>
        <w:t xml:space="preserve"> </w:t>
      </w:r>
      <w:r w:rsidRPr="009A64DA">
        <w:rPr>
          <w:szCs w:val="22"/>
        </w:rPr>
        <w:t>s</w:t>
      </w:r>
      <w:r w:rsidR="002629AB" w:rsidRPr="009A64DA">
        <w:rPr>
          <w:szCs w:val="22"/>
        </w:rPr>
        <w:t xml:space="preserve">ide effects </w:t>
      </w:r>
      <w:r w:rsidR="005C103F" w:rsidRPr="009A64DA">
        <w:rPr>
          <w:szCs w:val="22"/>
        </w:rPr>
        <w:t>such as</w:t>
      </w:r>
      <w:r w:rsidRPr="009A64DA">
        <w:rPr>
          <w:szCs w:val="22"/>
        </w:rPr>
        <w:t>:</w:t>
      </w:r>
      <w:r w:rsidR="002629AB" w:rsidRPr="009A64DA">
        <w:rPr>
          <w:szCs w:val="22"/>
        </w:rPr>
        <w:t xml:space="preserve"> d</w:t>
      </w:r>
      <w:r w:rsidRPr="009A64DA">
        <w:rPr>
          <w:szCs w:val="22"/>
        </w:rPr>
        <w:t xml:space="preserve">iarrhoea (25.7%), abdominal pain (13.9%) and </w:t>
      </w:r>
      <w:proofErr w:type="spellStart"/>
      <w:r w:rsidR="002629AB" w:rsidRPr="009A64DA">
        <w:rPr>
          <w:szCs w:val="22"/>
        </w:rPr>
        <w:t>cholelithiasis</w:t>
      </w:r>
      <w:proofErr w:type="spellEnd"/>
      <w:r w:rsidRPr="009A64DA">
        <w:rPr>
          <w:szCs w:val="22"/>
        </w:rPr>
        <w:t xml:space="preserve"> (9.9%)</w:t>
      </w:r>
      <w:r w:rsidR="002629AB" w:rsidRPr="009A64DA">
        <w:rPr>
          <w:szCs w:val="22"/>
        </w:rPr>
        <w:t xml:space="preserve">.  </w:t>
      </w:r>
    </w:p>
    <w:p w:rsidR="00490FC1" w:rsidRDefault="00490FC1" w:rsidP="00490FC1">
      <w:pPr>
        <w:pStyle w:val="ListParagraph"/>
        <w:widowControl/>
        <w:rPr>
          <w:szCs w:val="22"/>
        </w:rPr>
      </w:pPr>
    </w:p>
    <w:p w:rsidR="00490FC1" w:rsidRPr="009A64DA" w:rsidRDefault="00490FC1" w:rsidP="002629AB">
      <w:pPr>
        <w:pStyle w:val="ListParagraph"/>
        <w:widowControl/>
        <w:numPr>
          <w:ilvl w:val="1"/>
          <w:numId w:val="2"/>
        </w:numPr>
        <w:rPr>
          <w:szCs w:val="22"/>
        </w:rPr>
      </w:pPr>
      <w:r>
        <w:rPr>
          <w:szCs w:val="22"/>
        </w:rPr>
        <w:t xml:space="preserve">Despite these sources of uncertainty, the PBAC did recognise that </w:t>
      </w:r>
      <w:proofErr w:type="spellStart"/>
      <w:r>
        <w:rPr>
          <w:szCs w:val="22"/>
        </w:rPr>
        <w:t>lanreotide</w:t>
      </w:r>
      <w:proofErr w:type="spellEnd"/>
      <w:r>
        <w:rPr>
          <w:szCs w:val="22"/>
        </w:rPr>
        <w:t xml:space="preserve"> was included in various practice guidelines as a first line agent.</w:t>
      </w:r>
    </w:p>
    <w:p w:rsidR="00952796" w:rsidRPr="009A64DA" w:rsidRDefault="00952796" w:rsidP="00952796">
      <w:pPr>
        <w:pStyle w:val="ListParagraph"/>
        <w:widowControl/>
        <w:rPr>
          <w:szCs w:val="22"/>
        </w:rPr>
      </w:pPr>
    </w:p>
    <w:p w:rsidR="00E76016" w:rsidRPr="009A64DA" w:rsidRDefault="00226857" w:rsidP="00952796">
      <w:pPr>
        <w:pStyle w:val="ListParagraph"/>
        <w:numPr>
          <w:ilvl w:val="1"/>
          <w:numId w:val="2"/>
        </w:numPr>
        <w:rPr>
          <w:szCs w:val="22"/>
        </w:rPr>
      </w:pPr>
      <w:r w:rsidRPr="009A64DA">
        <w:rPr>
          <w:szCs w:val="22"/>
        </w:rPr>
        <w:t xml:space="preserve">In making this recommendation, the PBAC considered that </w:t>
      </w:r>
      <w:r w:rsidR="00AC5392">
        <w:rPr>
          <w:szCs w:val="22"/>
        </w:rPr>
        <w:t xml:space="preserve">the cost effectiveness ratio of </w:t>
      </w:r>
      <w:r w:rsidR="00E17454" w:rsidRPr="00F15A7A">
        <w:rPr>
          <w:szCs w:val="22"/>
        </w:rPr>
        <w:t>$45,000</w:t>
      </w:r>
      <w:r w:rsidR="00E17454">
        <w:rPr>
          <w:szCs w:val="22"/>
        </w:rPr>
        <w:t>/QALY</w:t>
      </w:r>
      <w:r w:rsidR="00E17454" w:rsidRPr="00F15A7A">
        <w:rPr>
          <w:szCs w:val="22"/>
        </w:rPr>
        <w:t xml:space="preserve"> – $75,000</w:t>
      </w:r>
      <w:r w:rsidR="00E17454">
        <w:rPr>
          <w:szCs w:val="22"/>
        </w:rPr>
        <w:t xml:space="preserve">/QALY </w:t>
      </w:r>
      <w:r w:rsidRPr="009A64DA">
        <w:rPr>
          <w:szCs w:val="22"/>
        </w:rPr>
        <w:t xml:space="preserve">was uncertain given that the incremental benefit is based on the assumption that 0.406 life-years (and 0.757 QALYs) </w:t>
      </w:r>
      <w:r w:rsidR="009A64DA" w:rsidRPr="009A64DA">
        <w:rPr>
          <w:szCs w:val="22"/>
        </w:rPr>
        <w:t>would</w:t>
      </w:r>
      <w:r w:rsidRPr="009A64DA">
        <w:rPr>
          <w:szCs w:val="22"/>
        </w:rPr>
        <w:t xml:space="preserve"> be delivered. This calculation was based on </w:t>
      </w:r>
      <w:r w:rsidRPr="009A64DA">
        <w:t>implausibl</w:t>
      </w:r>
      <w:r w:rsidR="00396C30">
        <w:t xml:space="preserve">e extrapolations of progression </w:t>
      </w:r>
      <w:r w:rsidRPr="009A64DA">
        <w:t>free and overall survival</w:t>
      </w:r>
      <w:r w:rsidRPr="009A64DA">
        <w:rPr>
          <w:szCs w:val="22"/>
        </w:rPr>
        <w:t xml:space="preserve"> which in resulted a higher PFS (10.4%) at 20 years than OS (4.7%) in the model. </w:t>
      </w:r>
    </w:p>
    <w:p w:rsidR="00E76016" w:rsidRPr="009A64DA" w:rsidRDefault="00E76016" w:rsidP="00E76016">
      <w:pPr>
        <w:pStyle w:val="ListParagraph"/>
        <w:rPr>
          <w:szCs w:val="22"/>
        </w:rPr>
      </w:pPr>
    </w:p>
    <w:p w:rsidR="00226857" w:rsidRPr="009A64DA" w:rsidRDefault="00E76016" w:rsidP="00952796">
      <w:pPr>
        <w:pStyle w:val="ListParagraph"/>
        <w:numPr>
          <w:ilvl w:val="1"/>
          <w:numId w:val="2"/>
        </w:numPr>
        <w:rPr>
          <w:szCs w:val="22"/>
        </w:rPr>
      </w:pPr>
      <w:r w:rsidRPr="009A64DA">
        <w:rPr>
          <w:szCs w:val="22"/>
        </w:rPr>
        <w:t>T</w:t>
      </w:r>
      <w:r w:rsidR="00226857" w:rsidRPr="009A64DA">
        <w:rPr>
          <w:szCs w:val="22"/>
        </w:rPr>
        <w:t xml:space="preserve">he PBAC also noted the ESC’s </w:t>
      </w:r>
      <w:r w:rsidRPr="009A64DA">
        <w:rPr>
          <w:szCs w:val="22"/>
        </w:rPr>
        <w:t>advice regarding</w:t>
      </w:r>
      <w:r w:rsidR="00226857" w:rsidRPr="009A64DA">
        <w:rPr>
          <w:szCs w:val="22"/>
        </w:rPr>
        <w:t xml:space="preserve"> </w:t>
      </w:r>
      <w:r w:rsidRPr="009A64DA">
        <w:rPr>
          <w:szCs w:val="22"/>
        </w:rPr>
        <w:t xml:space="preserve">the inadequately justified </w:t>
      </w:r>
      <w:r w:rsidR="00226857" w:rsidRPr="009A64DA">
        <w:rPr>
          <w:szCs w:val="22"/>
        </w:rPr>
        <w:t>utilities</w:t>
      </w:r>
      <w:r w:rsidRPr="009A64DA">
        <w:rPr>
          <w:szCs w:val="22"/>
        </w:rPr>
        <w:t xml:space="preserve"> and given the</w:t>
      </w:r>
      <w:r w:rsidR="00226857" w:rsidRPr="009A64DA">
        <w:rPr>
          <w:szCs w:val="22"/>
        </w:rPr>
        <w:t xml:space="preserve"> </w:t>
      </w:r>
      <w:r w:rsidRPr="009A64DA">
        <w:rPr>
          <w:szCs w:val="22"/>
        </w:rPr>
        <w:t>CLARINET trial did not capture quality of life changes and/or utility loss due to disease progression, the patient relevance of a progression event assessed by imaging but not accompanied with the development of further symptoms is questionable. The PBAC further noted the uncertainty with the</w:t>
      </w:r>
      <w:r w:rsidR="00226857" w:rsidRPr="009A64DA">
        <w:rPr>
          <w:szCs w:val="22"/>
        </w:rPr>
        <w:t xml:space="preserve"> post-progression treatment costs</w:t>
      </w:r>
      <w:r w:rsidR="00490FC1">
        <w:rPr>
          <w:szCs w:val="22"/>
        </w:rPr>
        <w:t xml:space="preserve"> (which would need to include use of </w:t>
      </w:r>
      <w:proofErr w:type="spellStart"/>
      <w:r w:rsidR="00490FC1">
        <w:rPr>
          <w:szCs w:val="22"/>
        </w:rPr>
        <w:t>lanreotide</w:t>
      </w:r>
      <w:proofErr w:type="spellEnd"/>
      <w:r w:rsidR="00490FC1">
        <w:rPr>
          <w:szCs w:val="22"/>
        </w:rPr>
        <w:t xml:space="preserve"> despite progression)</w:t>
      </w:r>
      <w:r w:rsidR="00226857" w:rsidRPr="009A64DA">
        <w:rPr>
          <w:szCs w:val="22"/>
        </w:rPr>
        <w:t>.</w:t>
      </w:r>
    </w:p>
    <w:p w:rsidR="00226857" w:rsidRPr="009A64DA" w:rsidRDefault="00226857" w:rsidP="00226857">
      <w:pPr>
        <w:pStyle w:val="ListParagraph"/>
        <w:rPr>
          <w:szCs w:val="22"/>
        </w:rPr>
      </w:pPr>
    </w:p>
    <w:p w:rsidR="00817622" w:rsidRPr="009A64DA" w:rsidRDefault="00817622" w:rsidP="00952796">
      <w:pPr>
        <w:pStyle w:val="ListParagraph"/>
        <w:widowControl/>
        <w:numPr>
          <w:ilvl w:val="1"/>
          <w:numId w:val="2"/>
        </w:numPr>
        <w:rPr>
          <w:szCs w:val="22"/>
        </w:rPr>
      </w:pPr>
      <w:r w:rsidRPr="009A64DA">
        <w:rPr>
          <w:szCs w:val="22"/>
        </w:rPr>
        <w:t xml:space="preserve">The PBAC considered </w:t>
      </w:r>
      <w:r w:rsidR="005C103F" w:rsidRPr="009A64DA">
        <w:rPr>
          <w:szCs w:val="22"/>
        </w:rPr>
        <w:t>it</w:t>
      </w:r>
      <w:r w:rsidRPr="009A64DA">
        <w:rPr>
          <w:szCs w:val="22"/>
        </w:rPr>
        <w:t xml:space="preserve"> likely </w:t>
      </w:r>
      <w:r w:rsidR="005C103F" w:rsidRPr="009A64DA">
        <w:rPr>
          <w:szCs w:val="22"/>
        </w:rPr>
        <w:t xml:space="preserve">that </w:t>
      </w:r>
      <w:r w:rsidR="00490FC1">
        <w:rPr>
          <w:szCs w:val="22"/>
        </w:rPr>
        <w:t xml:space="preserve">already there was likely to be </w:t>
      </w:r>
      <w:r w:rsidRPr="009A64DA">
        <w:rPr>
          <w:szCs w:val="22"/>
        </w:rPr>
        <w:t xml:space="preserve">leakage of </w:t>
      </w:r>
      <w:proofErr w:type="spellStart"/>
      <w:r w:rsidRPr="009A64DA">
        <w:rPr>
          <w:szCs w:val="22"/>
        </w:rPr>
        <w:t>lanreotide</w:t>
      </w:r>
      <w:proofErr w:type="spellEnd"/>
      <w:r w:rsidRPr="009A64DA">
        <w:rPr>
          <w:szCs w:val="22"/>
        </w:rPr>
        <w:t xml:space="preserve"> </w:t>
      </w:r>
      <w:r w:rsidR="005C103F" w:rsidRPr="009A64DA">
        <w:rPr>
          <w:szCs w:val="22"/>
        </w:rPr>
        <w:t>into the proposed PBS population</w:t>
      </w:r>
      <w:r w:rsidR="00490FC1">
        <w:rPr>
          <w:szCs w:val="22"/>
        </w:rPr>
        <w:t>.</w:t>
      </w:r>
      <w:r w:rsidRPr="009A64DA">
        <w:rPr>
          <w:szCs w:val="22"/>
        </w:rPr>
        <w:t xml:space="preserve">  </w:t>
      </w:r>
    </w:p>
    <w:p w:rsidR="00952796" w:rsidRPr="009A64DA" w:rsidRDefault="00952796" w:rsidP="00952796">
      <w:pPr>
        <w:pStyle w:val="ListParagraph"/>
        <w:widowControl/>
        <w:rPr>
          <w:szCs w:val="22"/>
        </w:rPr>
      </w:pPr>
    </w:p>
    <w:p w:rsidR="00952796" w:rsidRDefault="00952796" w:rsidP="00952796">
      <w:pPr>
        <w:pStyle w:val="ListParagraph"/>
        <w:widowControl/>
        <w:numPr>
          <w:ilvl w:val="1"/>
          <w:numId w:val="2"/>
        </w:numPr>
        <w:rPr>
          <w:szCs w:val="22"/>
        </w:rPr>
      </w:pPr>
      <w:r w:rsidRPr="009A64DA">
        <w:rPr>
          <w:szCs w:val="22"/>
        </w:rPr>
        <w:t xml:space="preserve">The PBAC considered it was reasonable to accept 80% uptake of </w:t>
      </w:r>
      <w:proofErr w:type="spellStart"/>
      <w:r w:rsidRPr="009A64DA">
        <w:rPr>
          <w:szCs w:val="22"/>
        </w:rPr>
        <w:t>lanreotide</w:t>
      </w:r>
      <w:proofErr w:type="spellEnd"/>
      <w:r w:rsidRPr="009A64DA">
        <w:rPr>
          <w:szCs w:val="22"/>
        </w:rPr>
        <w:t xml:space="preserve"> in appropriate patients excluding those who may be better in watchful waiting group. The PBAC advised that the financial estimates need to be justified based on patients who need treatment.</w:t>
      </w:r>
    </w:p>
    <w:p w:rsidR="00840CA8" w:rsidRPr="00840CA8" w:rsidRDefault="00840CA8" w:rsidP="00840CA8">
      <w:pPr>
        <w:pStyle w:val="ListParagraph"/>
        <w:rPr>
          <w:szCs w:val="22"/>
        </w:rPr>
      </w:pPr>
    </w:p>
    <w:p w:rsidR="00840CA8" w:rsidRDefault="00840CA8" w:rsidP="00840CA8">
      <w:pPr>
        <w:pStyle w:val="ListParagraph"/>
        <w:widowControl/>
        <w:numPr>
          <w:ilvl w:val="1"/>
          <w:numId w:val="2"/>
        </w:numPr>
      </w:pPr>
      <w:r>
        <w:lastRenderedPageBreak/>
        <w:t xml:space="preserve">The PBAC noted that the submission is eligible for an Independent Review. </w:t>
      </w:r>
    </w:p>
    <w:p w:rsidR="00840CA8" w:rsidRPr="009A64DA" w:rsidRDefault="00840CA8" w:rsidP="00840CA8">
      <w:pPr>
        <w:pStyle w:val="ListParagraph"/>
        <w:widowControl/>
        <w:rPr>
          <w:szCs w:val="22"/>
        </w:rPr>
      </w:pPr>
    </w:p>
    <w:p w:rsidR="00E4243C" w:rsidRPr="009A64DA" w:rsidRDefault="00E4243C" w:rsidP="00E975B1">
      <w:pPr>
        <w:pStyle w:val="Heading2"/>
      </w:pPr>
      <w:r w:rsidRPr="009A64DA">
        <w:t>Outcome</w:t>
      </w:r>
      <w:r w:rsidR="00E975B1">
        <w:t>:</w:t>
      </w:r>
    </w:p>
    <w:p w:rsidR="003103D2" w:rsidRPr="009A64DA" w:rsidRDefault="00E4243C" w:rsidP="00E4243C">
      <w:pPr>
        <w:pStyle w:val="PBACHeading1"/>
        <w:numPr>
          <w:ilvl w:val="0"/>
          <w:numId w:val="0"/>
        </w:numPr>
        <w:ind w:left="720" w:hanging="720"/>
      </w:pPr>
      <w:r w:rsidRPr="009A64DA">
        <w:rPr>
          <w:b w:val="0"/>
          <w:bCs/>
        </w:rPr>
        <w:t>Rejected</w:t>
      </w:r>
      <w:r w:rsidR="00CA4D34" w:rsidRPr="009A64DA">
        <w:t xml:space="preserve"> </w:t>
      </w:r>
    </w:p>
    <w:p w:rsidR="0030238C" w:rsidRPr="009A64DA" w:rsidRDefault="0030238C" w:rsidP="0030238C">
      <w:pPr>
        <w:pStyle w:val="PBACHeading1"/>
        <w:numPr>
          <w:ilvl w:val="0"/>
          <w:numId w:val="0"/>
        </w:numPr>
        <w:ind w:left="720"/>
      </w:pPr>
    </w:p>
    <w:p w:rsidR="006A1EE8" w:rsidRPr="0009229E" w:rsidRDefault="006A1EE8" w:rsidP="006A1EE8">
      <w:pPr>
        <w:rPr>
          <w:bCs/>
          <w:szCs w:val="22"/>
        </w:rPr>
      </w:pPr>
    </w:p>
    <w:p w:rsidR="006A1EE8" w:rsidRDefault="006A1EE8" w:rsidP="00E975B1">
      <w:pPr>
        <w:pStyle w:val="Heading1"/>
        <w:rPr>
          <w:rFonts w:eastAsia="SimSun"/>
        </w:rPr>
      </w:pPr>
      <w:r>
        <w:rPr>
          <w:rFonts w:eastAsia="SimSun"/>
        </w:rPr>
        <w:t>Context for Decision</w:t>
      </w:r>
    </w:p>
    <w:p w:rsidR="006A1EE8" w:rsidRDefault="006A1EE8" w:rsidP="006A1EE8">
      <w:pPr>
        <w:ind w:left="720"/>
        <w:contextualSpacing/>
        <w:rPr>
          <w:b/>
        </w:rPr>
      </w:pPr>
    </w:p>
    <w:p w:rsidR="006A1EE8" w:rsidRDefault="006A1EE8" w:rsidP="006A1EE8">
      <w:pPr>
        <w:ind w:left="720"/>
        <w:rPr>
          <w:bCs/>
          <w:szCs w:val="22"/>
        </w:rPr>
      </w:pPr>
      <w:r>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725EF" w:rsidRDefault="003725EF" w:rsidP="003725EF">
      <w:pPr>
        <w:pStyle w:val="ListParagraph"/>
        <w:widowControl/>
        <w:rPr>
          <w:rFonts w:eastAsia="SimSun"/>
          <w:b/>
          <w:szCs w:val="22"/>
        </w:rPr>
      </w:pPr>
    </w:p>
    <w:p w:rsidR="006A1EE8" w:rsidRDefault="006A1EE8" w:rsidP="00E975B1">
      <w:pPr>
        <w:pStyle w:val="Heading1"/>
        <w:rPr>
          <w:rFonts w:eastAsia="SimSun"/>
        </w:rPr>
      </w:pPr>
      <w:r>
        <w:rPr>
          <w:rFonts w:eastAsia="SimSun"/>
        </w:rPr>
        <w:t>Sponsor’s Comment</w:t>
      </w:r>
    </w:p>
    <w:p w:rsidR="006A1EE8" w:rsidRDefault="006A1EE8" w:rsidP="006A1EE8">
      <w:pPr>
        <w:tabs>
          <w:tab w:val="left" w:pos="2940"/>
        </w:tabs>
        <w:rPr>
          <w:szCs w:val="22"/>
        </w:rPr>
      </w:pPr>
    </w:p>
    <w:p w:rsidR="003725EF" w:rsidRPr="003725EF" w:rsidRDefault="003725EF" w:rsidP="003725EF">
      <w:pPr>
        <w:ind w:left="720"/>
        <w:rPr>
          <w:lang w:val="en-US"/>
        </w:rPr>
      </w:pPr>
      <w:r w:rsidRPr="003725EF">
        <w:rPr>
          <w:iCs/>
          <w:lang w:val="en-US"/>
        </w:rPr>
        <w:t xml:space="preserve">The sponsor is disappointed but looks forward to working with the PBAC and Department of Health and remains committed to ensuring </w:t>
      </w:r>
      <w:proofErr w:type="spellStart"/>
      <w:r w:rsidRPr="003725EF">
        <w:rPr>
          <w:iCs/>
          <w:lang w:val="en-US"/>
        </w:rPr>
        <w:t>Somatuline</w:t>
      </w:r>
      <w:proofErr w:type="spellEnd"/>
      <w:r w:rsidRPr="003725EF">
        <w:rPr>
          <w:iCs/>
          <w:lang w:val="en-US"/>
        </w:rPr>
        <w:t xml:space="preserve"> is available for patients in Australia</w:t>
      </w:r>
      <w:r w:rsidRPr="003725EF">
        <w:rPr>
          <w:lang w:val="en-US"/>
        </w:rPr>
        <w:t>.</w:t>
      </w:r>
    </w:p>
    <w:p w:rsidR="006A1EE8" w:rsidRPr="003725EF" w:rsidRDefault="006A1EE8" w:rsidP="006A1EE8">
      <w:pPr>
        <w:widowControl/>
        <w:rPr>
          <w:szCs w:val="22"/>
        </w:rPr>
      </w:pPr>
    </w:p>
    <w:p w:rsidR="00F24623" w:rsidRPr="000A550C" w:rsidRDefault="00F24623" w:rsidP="000A550C">
      <w:pPr>
        <w:widowControl/>
        <w:jc w:val="left"/>
        <w:rPr>
          <w:rStyle w:val="IntenseReference"/>
          <w:bCs w:val="0"/>
          <w:i w:val="0"/>
          <w:smallCaps w:val="0"/>
          <w:color w:val="auto"/>
          <w:spacing w:val="0"/>
          <w:szCs w:val="22"/>
        </w:rPr>
      </w:pPr>
    </w:p>
    <w:sectPr w:rsidR="00F24623" w:rsidRPr="000A550C" w:rsidSect="005D6432">
      <w:headerReference w:type="default" r:id="rId11"/>
      <w:footerReference w:type="default" r:id="rId12"/>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7A1E" w:rsidRDefault="00ED7A1E" w:rsidP="00124A51">
      <w:r>
        <w:separator/>
      </w:r>
    </w:p>
  </w:endnote>
  <w:endnote w:type="continuationSeparator" w:id="0">
    <w:p w:rsidR="00ED7A1E" w:rsidRDefault="00ED7A1E"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565189"/>
      <w:docPartObj>
        <w:docPartGallery w:val="Page Numbers (Bottom of Page)"/>
        <w:docPartUnique/>
      </w:docPartObj>
    </w:sdtPr>
    <w:sdtEndPr>
      <w:rPr>
        <w:noProof/>
      </w:rPr>
    </w:sdtEndPr>
    <w:sdtContent>
      <w:p w:rsidR="00F76FD3" w:rsidRDefault="00F76FD3">
        <w:pPr>
          <w:pStyle w:val="Footer"/>
          <w:jc w:val="center"/>
        </w:pPr>
        <w:r>
          <w:fldChar w:fldCharType="begin"/>
        </w:r>
        <w:r>
          <w:instrText xml:space="preserve"> PAGE   \* MERGEFORMAT </w:instrText>
        </w:r>
        <w:r>
          <w:fldChar w:fldCharType="separate"/>
        </w:r>
        <w:r w:rsidR="00110FD1">
          <w:rPr>
            <w:noProof/>
          </w:rPr>
          <w:t>12</w:t>
        </w:r>
        <w:r>
          <w:rPr>
            <w:noProof/>
          </w:rPr>
          <w:fldChar w:fldCharType="end"/>
        </w:r>
      </w:p>
    </w:sdtContent>
  </w:sdt>
  <w:p w:rsidR="00F76FD3" w:rsidRDefault="00F76F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7A1E" w:rsidRDefault="00ED7A1E" w:rsidP="00124A51">
      <w:r>
        <w:separator/>
      </w:r>
    </w:p>
  </w:footnote>
  <w:footnote w:type="continuationSeparator" w:id="0">
    <w:p w:rsidR="00ED7A1E" w:rsidRDefault="00ED7A1E"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1EE8" w:rsidRPr="00DF217D" w:rsidRDefault="006A1EE8" w:rsidP="006A1EE8">
    <w:pPr>
      <w:pStyle w:val="Header"/>
      <w:ind w:left="360"/>
      <w:jc w:val="center"/>
      <w:rPr>
        <w:i/>
        <w:color w:val="808080"/>
      </w:rPr>
    </w:pPr>
    <w:r w:rsidRPr="00E810C7">
      <w:rPr>
        <w:i/>
        <w:color w:val="808080"/>
        <w:szCs w:val="22"/>
      </w:rPr>
      <w:t>Public Summary Document –</w:t>
    </w:r>
    <w:r w:rsidRPr="00DF217D">
      <w:rPr>
        <w:i/>
        <w:color w:val="808080"/>
      </w:rPr>
      <w:t xml:space="preserve"> </w:t>
    </w:r>
    <w:r>
      <w:rPr>
        <w:i/>
        <w:color w:val="808080"/>
      </w:rPr>
      <w:t xml:space="preserve">November 2015 </w:t>
    </w:r>
    <w:r w:rsidRPr="00DF217D">
      <w:rPr>
        <w:i/>
        <w:color w:val="808080"/>
      </w:rPr>
      <w:t>PBAC</w:t>
    </w:r>
    <w:r>
      <w:rPr>
        <w:i/>
        <w:color w:val="808080"/>
      </w:rPr>
      <w:t xml:space="preserve"> </w:t>
    </w:r>
    <w:r w:rsidRPr="00DF217D">
      <w:rPr>
        <w:i/>
        <w:color w:val="808080"/>
      </w:rPr>
      <w:t>Meeting</w:t>
    </w:r>
  </w:p>
  <w:p w:rsidR="00F76FD3" w:rsidRDefault="00F76F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46346"/>
    <w:multiLevelType w:val="multilevel"/>
    <w:tmpl w:val="822072A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20EF2DEB"/>
    <w:multiLevelType w:val="hybridMultilevel"/>
    <w:tmpl w:val="24206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8C2488E"/>
    <w:multiLevelType w:val="multilevel"/>
    <w:tmpl w:val="822072A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32A05CEB"/>
    <w:multiLevelType w:val="singleLevel"/>
    <w:tmpl w:val="0C090011"/>
    <w:lvl w:ilvl="0">
      <w:start w:val="1"/>
      <w:numFmt w:val="decimal"/>
      <w:lvlText w:val="%1)"/>
      <w:lvlJc w:val="left"/>
      <w:pPr>
        <w:tabs>
          <w:tab w:val="num" w:pos="360"/>
        </w:tabs>
        <w:ind w:left="360" w:hanging="360"/>
      </w:pPr>
      <w:rPr>
        <w:rFonts w:hint="default"/>
      </w:rPr>
    </w:lvl>
  </w:abstractNum>
  <w:abstractNum w:abstractNumId="4">
    <w:nsid w:val="358C06A5"/>
    <w:multiLevelType w:val="multilevel"/>
    <w:tmpl w:val="822072A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4FDA1C15"/>
    <w:multiLevelType w:val="hybridMultilevel"/>
    <w:tmpl w:val="08C82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1973A21"/>
    <w:multiLevelType w:val="hybridMultilevel"/>
    <w:tmpl w:val="9528AC00"/>
    <w:lvl w:ilvl="0" w:tplc="8156535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84D033C"/>
    <w:multiLevelType w:val="multilevel"/>
    <w:tmpl w:val="5806622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7E317988"/>
    <w:multiLevelType w:val="hybridMultilevel"/>
    <w:tmpl w:val="4A52BBCC"/>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num w:numId="1">
    <w:abstractNumId w:val="6"/>
  </w:num>
  <w:num w:numId="2">
    <w:abstractNumId w:val="8"/>
  </w:num>
  <w:num w:numId="3">
    <w:abstractNumId w:val="9"/>
  </w:num>
  <w:num w:numId="4">
    <w:abstractNumId w:val="7"/>
  </w:num>
  <w:num w:numId="5">
    <w:abstractNumId w:val="5"/>
  </w:num>
  <w:num w:numId="6">
    <w:abstractNumId w:val="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4"/>
  </w:num>
  <w:num w:numId="1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27E4"/>
    <w:rsid w:val="00002EC3"/>
    <w:rsid w:val="00003499"/>
    <w:rsid w:val="00004546"/>
    <w:rsid w:val="00006B8C"/>
    <w:rsid w:val="00007BD7"/>
    <w:rsid w:val="00010185"/>
    <w:rsid w:val="000121AD"/>
    <w:rsid w:val="000129F0"/>
    <w:rsid w:val="00013140"/>
    <w:rsid w:val="00013247"/>
    <w:rsid w:val="000135F8"/>
    <w:rsid w:val="00013A6A"/>
    <w:rsid w:val="00014DF0"/>
    <w:rsid w:val="00015886"/>
    <w:rsid w:val="000162EF"/>
    <w:rsid w:val="0001763D"/>
    <w:rsid w:val="0002064D"/>
    <w:rsid w:val="00020CD7"/>
    <w:rsid w:val="00021059"/>
    <w:rsid w:val="00021F2E"/>
    <w:rsid w:val="0002225F"/>
    <w:rsid w:val="0002312E"/>
    <w:rsid w:val="00023763"/>
    <w:rsid w:val="000248A1"/>
    <w:rsid w:val="00025145"/>
    <w:rsid w:val="000302F1"/>
    <w:rsid w:val="0003038B"/>
    <w:rsid w:val="00030CD2"/>
    <w:rsid w:val="00034600"/>
    <w:rsid w:val="00034F00"/>
    <w:rsid w:val="000350EA"/>
    <w:rsid w:val="00036D7F"/>
    <w:rsid w:val="00037934"/>
    <w:rsid w:val="00040895"/>
    <w:rsid w:val="00041E21"/>
    <w:rsid w:val="00043C37"/>
    <w:rsid w:val="000450FB"/>
    <w:rsid w:val="00046F77"/>
    <w:rsid w:val="00047391"/>
    <w:rsid w:val="0005072C"/>
    <w:rsid w:val="0005081D"/>
    <w:rsid w:val="00050F9F"/>
    <w:rsid w:val="000522DD"/>
    <w:rsid w:val="0005282D"/>
    <w:rsid w:val="00053CD1"/>
    <w:rsid w:val="000546D7"/>
    <w:rsid w:val="00057701"/>
    <w:rsid w:val="000578A4"/>
    <w:rsid w:val="00060832"/>
    <w:rsid w:val="00061369"/>
    <w:rsid w:val="00061F3C"/>
    <w:rsid w:val="0006232D"/>
    <w:rsid w:val="00063416"/>
    <w:rsid w:val="00063758"/>
    <w:rsid w:val="000647E8"/>
    <w:rsid w:val="00064A69"/>
    <w:rsid w:val="00066AA1"/>
    <w:rsid w:val="00067E20"/>
    <w:rsid w:val="000708BA"/>
    <w:rsid w:val="00071248"/>
    <w:rsid w:val="000714B2"/>
    <w:rsid w:val="0007156D"/>
    <w:rsid w:val="0007192F"/>
    <w:rsid w:val="000720B9"/>
    <w:rsid w:val="00072B64"/>
    <w:rsid w:val="00072FBB"/>
    <w:rsid w:val="000738B8"/>
    <w:rsid w:val="000747E5"/>
    <w:rsid w:val="00075EFA"/>
    <w:rsid w:val="00077235"/>
    <w:rsid w:val="000808CE"/>
    <w:rsid w:val="000812CA"/>
    <w:rsid w:val="00081A4D"/>
    <w:rsid w:val="00082BAE"/>
    <w:rsid w:val="0008498F"/>
    <w:rsid w:val="00085281"/>
    <w:rsid w:val="00090C7E"/>
    <w:rsid w:val="00091A5A"/>
    <w:rsid w:val="0009209F"/>
    <w:rsid w:val="00092B9D"/>
    <w:rsid w:val="00094A1E"/>
    <w:rsid w:val="00095AA5"/>
    <w:rsid w:val="000962BE"/>
    <w:rsid w:val="000A095A"/>
    <w:rsid w:val="000A14A4"/>
    <w:rsid w:val="000A2E36"/>
    <w:rsid w:val="000A3295"/>
    <w:rsid w:val="000A3417"/>
    <w:rsid w:val="000A3617"/>
    <w:rsid w:val="000A3E18"/>
    <w:rsid w:val="000A5168"/>
    <w:rsid w:val="000A532D"/>
    <w:rsid w:val="000A550C"/>
    <w:rsid w:val="000A5FCC"/>
    <w:rsid w:val="000A7A0D"/>
    <w:rsid w:val="000B04FB"/>
    <w:rsid w:val="000B1B83"/>
    <w:rsid w:val="000B254C"/>
    <w:rsid w:val="000B37B5"/>
    <w:rsid w:val="000B4626"/>
    <w:rsid w:val="000B4704"/>
    <w:rsid w:val="000B6919"/>
    <w:rsid w:val="000C1997"/>
    <w:rsid w:val="000C2BA3"/>
    <w:rsid w:val="000C37D1"/>
    <w:rsid w:val="000C4B2F"/>
    <w:rsid w:val="000C614E"/>
    <w:rsid w:val="000C7821"/>
    <w:rsid w:val="000C7D2C"/>
    <w:rsid w:val="000D087A"/>
    <w:rsid w:val="000D1BFC"/>
    <w:rsid w:val="000D1EFF"/>
    <w:rsid w:val="000D2F48"/>
    <w:rsid w:val="000D42EA"/>
    <w:rsid w:val="000D5D87"/>
    <w:rsid w:val="000D6383"/>
    <w:rsid w:val="000E170C"/>
    <w:rsid w:val="000E30F9"/>
    <w:rsid w:val="000E3818"/>
    <w:rsid w:val="000E445E"/>
    <w:rsid w:val="000E50BB"/>
    <w:rsid w:val="000E5A4D"/>
    <w:rsid w:val="000E5BA9"/>
    <w:rsid w:val="000E68CB"/>
    <w:rsid w:val="000E7238"/>
    <w:rsid w:val="000F0B05"/>
    <w:rsid w:val="000F0C5C"/>
    <w:rsid w:val="000F1019"/>
    <w:rsid w:val="000F394E"/>
    <w:rsid w:val="000F4BB8"/>
    <w:rsid w:val="000F5AC2"/>
    <w:rsid w:val="000F6C9A"/>
    <w:rsid w:val="000F7127"/>
    <w:rsid w:val="000F7B85"/>
    <w:rsid w:val="00100D3A"/>
    <w:rsid w:val="00100F8A"/>
    <w:rsid w:val="00104404"/>
    <w:rsid w:val="00104DFF"/>
    <w:rsid w:val="00104FBF"/>
    <w:rsid w:val="0010579F"/>
    <w:rsid w:val="00106C83"/>
    <w:rsid w:val="0011032E"/>
    <w:rsid w:val="00110AAF"/>
    <w:rsid w:val="00110FD1"/>
    <w:rsid w:val="00111A44"/>
    <w:rsid w:val="00112304"/>
    <w:rsid w:val="001125CC"/>
    <w:rsid w:val="00112A82"/>
    <w:rsid w:val="001131ED"/>
    <w:rsid w:val="0011348B"/>
    <w:rsid w:val="00113FFB"/>
    <w:rsid w:val="0011526C"/>
    <w:rsid w:val="00116144"/>
    <w:rsid w:val="001174DD"/>
    <w:rsid w:val="001210E2"/>
    <w:rsid w:val="0012164C"/>
    <w:rsid w:val="00121799"/>
    <w:rsid w:val="001222FC"/>
    <w:rsid w:val="00124940"/>
    <w:rsid w:val="00124A51"/>
    <w:rsid w:val="0012608B"/>
    <w:rsid w:val="00126621"/>
    <w:rsid w:val="00126F1B"/>
    <w:rsid w:val="001301E9"/>
    <w:rsid w:val="00130690"/>
    <w:rsid w:val="00130D9E"/>
    <w:rsid w:val="001356C5"/>
    <w:rsid w:val="0013612C"/>
    <w:rsid w:val="00137482"/>
    <w:rsid w:val="00137645"/>
    <w:rsid w:val="00137A48"/>
    <w:rsid w:val="0014015A"/>
    <w:rsid w:val="001407CD"/>
    <w:rsid w:val="00140E99"/>
    <w:rsid w:val="001412ED"/>
    <w:rsid w:val="00141FEB"/>
    <w:rsid w:val="00142280"/>
    <w:rsid w:val="00145540"/>
    <w:rsid w:val="001456B0"/>
    <w:rsid w:val="00145E4C"/>
    <w:rsid w:val="001507CF"/>
    <w:rsid w:val="00153C11"/>
    <w:rsid w:val="001546FA"/>
    <w:rsid w:val="00156CF4"/>
    <w:rsid w:val="00156D3A"/>
    <w:rsid w:val="00157130"/>
    <w:rsid w:val="001622E5"/>
    <w:rsid w:val="00162913"/>
    <w:rsid w:val="00163EFF"/>
    <w:rsid w:val="00164BCB"/>
    <w:rsid w:val="001651E4"/>
    <w:rsid w:val="001661FB"/>
    <w:rsid w:val="00170705"/>
    <w:rsid w:val="00170E4E"/>
    <w:rsid w:val="00171332"/>
    <w:rsid w:val="001717DB"/>
    <w:rsid w:val="00172284"/>
    <w:rsid w:val="00172524"/>
    <w:rsid w:val="00174725"/>
    <w:rsid w:val="00175479"/>
    <w:rsid w:val="00176C6C"/>
    <w:rsid w:val="00181D5B"/>
    <w:rsid w:val="001820EA"/>
    <w:rsid w:val="00186222"/>
    <w:rsid w:val="00187528"/>
    <w:rsid w:val="0018752F"/>
    <w:rsid w:val="00193161"/>
    <w:rsid w:val="00193367"/>
    <w:rsid w:val="00195222"/>
    <w:rsid w:val="00195EC5"/>
    <w:rsid w:val="001964F6"/>
    <w:rsid w:val="00196722"/>
    <w:rsid w:val="001975D8"/>
    <w:rsid w:val="001A2380"/>
    <w:rsid w:val="001A4C78"/>
    <w:rsid w:val="001A55B4"/>
    <w:rsid w:val="001A5C06"/>
    <w:rsid w:val="001A5D1A"/>
    <w:rsid w:val="001A61E0"/>
    <w:rsid w:val="001A6A5A"/>
    <w:rsid w:val="001A7443"/>
    <w:rsid w:val="001B000E"/>
    <w:rsid w:val="001B1CE3"/>
    <w:rsid w:val="001B3443"/>
    <w:rsid w:val="001B3F16"/>
    <w:rsid w:val="001B4B07"/>
    <w:rsid w:val="001B6A3F"/>
    <w:rsid w:val="001B7B91"/>
    <w:rsid w:val="001C1129"/>
    <w:rsid w:val="001C37FC"/>
    <w:rsid w:val="001C3C8D"/>
    <w:rsid w:val="001C48B4"/>
    <w:rsid w:val="001C4CFF"/>
    <w:rsid w:val="001C4EF1"/>
    <w:rsid w:val="001C5A38"/>
    <w:rsid w:val="001C5B07"/>
    <w:rsid w:val="001C6E66"/>
    <w:rsid w:val="001D0120"/>
    <w:rsid w:val="001D1A09"/>
    <w:rsid w:val="001D211E"/>
    <w:rsid w:val="001D2A6B"/>
    <w:rsid w:val="001D38CC"/>
    <w:rsid w:val="001D4C20"/>
    <w:rsid w:val="001D7A2F"/>
    <w:rsid w:val="001E1488"/>
    <w:rsid w:val="001E238E"/>
    <w:rsid w:val="001E29C5"/>
    <w:rsid w:val="001E2B1E"/>
    <w:rsid w:val="001E444B"/>
    <w:rsid w:val="001E52EB"/>
    <w:rsid w:val="001E740C"/>
    <w:rsid w:val="001E7E0B"/>
    <w:rsid w:val="001F0D97"/>
    <w:rsid w:val="001F1235"/>
    <w:rsid w:val="001F1CB3"/>
    <w:rsid w:val="001F2727"/>
    <w:rsid w:val="001F7361"/>
    <w:rsid w:val="001F784E"/>
    <w:rsid w:val="001F7A33"/>
    <w:rsid w:val="00202DF2"/>
    <w:rsid w:val="0020385F"/>
    <w:rsid w:val="002038D7"/>
    <w:rsid w:val="0020674D"/>
    <w:rsid w:val="00207021"/>
    <w:rsid w:val="002072E1"/>
    <w:rsid w:val="00207D00"/>
    <w:rsid w:val="002105C1"/>
    <w:rsid w:val="00211E4A"/>
    <w:rsid w:val="00211F64"/>
    <w:rsid w:val="002160C6"/>
    <w:rsid w:val="00216147"/>
    <w:rsid w:val="00217250"/>
    <w:rsid w:val="0021776F"/>
    <w:rsid w:val="0022102E"/>
    <w:rsid w:val="0022373F"/>
    <w:rsid w:val="00223B49"/>
    <w:rsid w:val="00223D12"/>
    <w:rsid w:val="00224DD4"/>
    <w:rsid w:val="00226857"/>
    <w:rsid w:val="00226E5F"/>
    <w:rsid w:val="00227CFD"/>
    <w:rsid w:val="0023034F"/>
    <w:rsid w:val="002309CC"/>
    <w:rsid w:val="00230F40"/>
    <w:rsid w:val="00232D7E"/>
    <w:rsid w:val="002349C4"/>
    <w:rsid w:val="00235762"/>
    <w:rsid w:val="00236B98"/>
    <w:rsid w:val="002378D9"/>
    <w:rsid w:val="00237FDC"/>
    <w:rsid w:val="00240480"/>
    <w:rsid w:val="0024073F"/>
    <w:rsid w:val="00240987"/>
    <w:rsid w:val="00242157"/>
    <w:rsid w:val="00242968"/>
    <w:rsid w:val="0024386F"/>
    <w:rsid w:val="00243D1F"/>
    <w:rsid w:val="00244E8D"/>
    <w:rsid w:val="0024554C"/>
    <w:rsid w:val="00245BB6"/>
    <w:rsid w:val="002510CB"/>
    <w:rsid w:val="002512E0"/>
    <w:rsid w:val="00251F29"/>
    <w:rsid w:val="00251F93"/>
    <w:rsid w:val="0025232E"/>
    <w:rsid w:val="002526CF"/>
    <w:rsid w:val="0025341E"/>
    <w:rsid w:val="00254DCF"/>
    <w:rsid w:val="0025534B"/>
    <w:rsid w:val="00255BB7"/>
    <w:rsid w:val="00256BA3"/>
    <w:rsid w:val="00256FE2"/>
    <w:rsid w:val="00260A69"/>
    <w:rsid w:val="00261341"/>
    <w:rsid w:val="00261BE2"/>
    <w:rsid w:val="00262378"/>
    <w:rsid w:val="00262724"/>
    <w:rsid w:val="002629AB"/>
    <w:rsid w:val="00262A87"/>
    <w:rsid w:val="00263418"/>
    <w:rsid w:val="00265B2B"/>
    <w:rsid w:val="00265DED"/>
    <w:rsid w:val="002671DE"/>
    <w:rsid w:val="0027189B"/>
    <w:rsid w:val="002738E3"/>
    <w:rsid w:val="00275C5A"/>
    <w:rsid w:val="00277B3F"/>
    <w:rsid w:val="00281014"/>
    <w:rsid w:val="00281035"/>
    <w:rsid w:val="00285C01"/>
    <w:rsid w:val="002877B5"/>
    <w:rsid w:val="00287850"/>
    <w:rsid w:val="00290CB6"/>
    <w:rsid w:val="00292B3E"/>
    <w:rsid w:val="00292ED7"/>
    <w:rsid w:val="0029533A"/>
    <w:rsid w:val="00296EB8"/>
    <w:rsid w:val="002979E2"/>
    <w:rsid w:val="00297CCD"/>
    <w:rsid w:val="002A14AB"/>
    <w:rsid w:val="002A3315"/>
    <w:rsid w:val="002A67DC"/>
    <w:rsid w:val="002B0C45"/>
    <w:rsid w:val="002B1B5A"/>
    <w:rsid w:val="002B1C1F"/>
    <w:rsid w:val="002B432F"/>
    <w:rsid w:val="002B600F"/>
    <w:rsid w:val="002B63D8"/>
    <w:rsid w:val="002B6CCE"/>
    <w:rsid w:val="002B76F3"/>
    <w:rsid w:val="002B7D97"/>
    <w:rsid w:val="002C0CD6"/>
    <w:rsid w:val="002C2775"/>
    <w:rsid w:val="002C27C1"/>
    <w:rsid w:val="002C4A12"/>
    <w:rsid w:val="002C6070"/>
    <w:rsid w:val="002C6356"/>
    <w:rsid w:val="002D10A7"/>
    <w:rsid w:val="002D1BA3"/>
    <w:rsid w:val="002D43B4"/>
    <w:rsid w:val="002E0B3C"/>
    <w:rsid w:val="002E20D0"/>
    <w:rsid w:val="002E25B8"/>
    <w:rsid w:val="002E3649"/>
    <w:rsid w:val="002E395E"/>
    <w:rsid w:val="002E3E82"/>
    <w:rsid w:val="002E5A73"/>
    <w:rsid w:val="002E6A81"/>
    <w:rsid w:val="002F048C"/>
    <w:rsid w:val="002F09A0"/>
    <w:rsid w:val="002F3199"/>
    <w:rsid w:val="002F3F14"/>
    <w:rsid w:val="002F5BD3"/>
    <w:rsid w:val="002F72DB"/>
    <w:rsid w:val="002F7784"/>
    <w:rsid w:val="0030031E"/>
    <w:rsid w:val="0030077C"/>
    <w:rsid w:val="00301017"/>
    <w:rsid w:val="0030142F"/>
    <w:rsid w:val="0030238C"/>
    <w:rsid w:val="0030250D"/>
    <w:rsid w:val="00302E6A"/>
    <w:rsid w:val="00304609"/>
    <w:rsid w:val="0030638E"/>
    <w:rsid w:val="0030786C"/>
    <w:rsid w:val="00307A7A"/>
    <w:rsid w:val="00307B2D"/>
    <w:rsid w:val="0031031A"/>
    <w:rsid w:val="003103D2"/>
    <w:rsid w:val="00310981"/>
    <w:rsid w:val="00312502"/>
    <w:rsid w:val="003139AA"/>
    <w:rsid w:val="00315498"/>
    <w:rsid w:val="00315E46"/>
    <w:rsid w:val="00317A5E"/>
    <w:rsid w:val="00321FD0"/>
    <w:rsid w:val="00324ABC"/>
    <w:rsid w:val="00324E74"/>
    <w:rsid w:val="0033140B"/>
    <w:rsid w:val="00331626"/>
    <w:rsid w:val="003352B2"/>
    <w:rsid w:val="00336229"/>
    <w:rsid w:val="003366C9"/>
    <w:rsid w:val="0033710E"/>
    <w:rsid w:val="003371B0"/>
    <w:rsid w:val="003372AD"/>
    <w:rsid w:val="0034144A"/>
    <w:rsid w:val="003425E8"/>
    <w:rsid w:val="0034302E"/>
    <w:rsid w:val="00344245"/>
    <w:rsid w:val="003450AF"/>
    <w:rsid w:val="003457DE"/>
    <w:rsid w:val="003460ED"/>
    <w:rsid w:val="00346EE6"/>
    <w:rsid w:val="00350C17"/>
    <w:rsid w:val="00350E52"/>
    <w:rsid w:val="00351331"/>
    <w:rsid w:val="003514D7"/>
    <w:rsid w:val="0035394C"/>
    <w:rsid w:val="00354188"/>
    <w:rsid w:val="00354AFC"/>
    <w:rsid w:val="00355D1B"/>
    <w:rsid w:val="0035620E"/>
    <w:rsid w:val="003607D0"/>
    <w:rsid w:val="00360C61"/>
    <w:rsid w:val="00361503"/>
    <w:rsid w:val="00362E28"/>
    <w:rsid w:val="00364ADB"/>
    <w:rsid w:val="003656E8"/>
    <w:rsid w:val="00371C63"/>
    <w:rsid w:val="003721F1"/>
    <w:rsid w:val="003725EF"/>
    <w:rsid w:val="00373788"/>
    <w:rsid w:val="0037414A"/>
    <w:rsid w:val="00374EE2"/>
    <w:rsid w:val="00375513"/>
    <w:rsid w:val="00375BD6"/>
    <w:rsid w:val="00375D91"/>
    <w:rsid w:val="00375F42"/>
    <w:rsid w:val="0037637D"/>
    <w:rsid w:val="00380125"/>
    <w:rsid w:val="00380B7E"/>
    <w:rsid w:val="00380E79"/>
    <w:rsid w:val="003813FF"/>
    <w:rsid w:val="003816DA"/>
    <w:rsid w:val="003830D6"/>
    <w:rsid w:val="0038365C"/>
    <w:rsid w:val="0038486C"/>
    <w:rsid w:val="0039236D"/>
    <w:rsid w:val="00393630"/>
    <w:rsid w:val="003950D5"/>
    <w:rsid w:val="0039551A"/>
    <w:rsid w:val="00396C30"/>
    <w:rsid w:val="00396FD0"/>
    <w:rsid w:val="00397D4C"/>
    <w:rsid w:val="003A0C55"/>
    <w:rsid w:val="003A0F0C"/>
    <w:rsid w:val="003A1A7A"/>
    <w:rsid w:val="003A2EE5"/>
    <w:rsid w:val="003A3B1B"/>
    <w:rsid w:val="003A3C55"/>
    <w:rsid w:val="003A5AB1"/>
    <w:rsid w:val="003A6D40"/>
    <w:rsid w:val="003A6F1A"/>
    <w:rsid w:val="003A6F65"/>
    <w:rsid w:val="003A7247"/>
    <w:rsid w:val="003A7A9E"/>
    <w:rsid w:val="003B09B0"/>
    <w:rsid w:val="003B25D4"/>
    <w:rsid w:val="003B3995"/>
    <w:rsid w:val="003B3E7B"/>
    <w:rsid w:val="003B614B"/>
    <w:rsid w:val="003B7AB2"/>
    <w:rsid w:val="003B7AEF"/>
    <w:rsid w:val="003B7D90"/>
    <w:rsid w:val="003C007D"/>
    <w:rsid w:val="003C089F"/>
    <w:rsid w:val="003C14AA"/>
    <w:rsid w:val="003C1E16"/>
    <w:rsid w:val="003C62A4"/>
    <w:rsid w:val="003D1828"/>
    <w:rsid w:val="003D2422"/>
    <w:rsid w:val="003D29AE"/>
    <w:rsid w:val="003D2BDA"/>
    <w:rsid w:val="003D2D58"/>
    <w:rsid w:val="003D6839"/>
    <w:rsid w:val="003D7093"/>
    <w:rsid w:val="003E3017"/>
    <w:rsid w:val="003E44EF"/>
    <w:rsid w:val="003E4A14"/>
    <w:rsid w:val="003F18D7"/>
    <w:rsid w:val="003F4156"/>
    <w:rsid w:val="003F5299"/>
    <w:rsid w:val="003F5666"/>
    <w:rsid w:val="003F69D0"/>
    <w:rsid w:val="00401073"/>
    <w:rsid w:val="00401999"/>
    <w:rsid w:val="004022FC"/>
    <w:rsid w:val="004037B0"/>
    <w:rsid w:val="00403FA0"/>
    <w:rsid w:val="00404538"/>
    <w:rsid w:val="0040523E"/>
    <w:rsid w:val="004054A9"/>
    <w:rsid w:val="00405610"/>
    <w:rsid w:val="00406600"/>
    <w:rsid w:val="0040732B"/>
    <w:rsid w:val="00407512"/>
    <w:rsid w:val="00407923"/>
    <w:rsid w:val="0041056B"/>
    <w:rsid w:val="00410708"/>
    <w:rsid w:val="0041073A"/>
    <w:rsid w:val="00410EC7"/>
    <w:rsid w:val="00411D52"/>
    <w:rsid w:val="004133EE"/>
    <w:rsid w:val="00413D62"/>
    <w:rsid w:val="00414476"/>
    <w:rsid w:val="00414DA2"/>
    <w:rsid w:val="004209D2"/>
    <w:rsid w:val="00420B9F"/>
    <w:rsid w:val="00422F0E"/>
    <w:rsid w:val="00423955"/>
    <w:rsid w:val="00423C3A"/>
    <w:rsid w:val="00425444"/>
    <w:rsid w:val="00425E52"/>
    <w:rsid w:val="00431783"/>
    <w:rsid w:val="004319F8"/>
    <w:rsid w:val="00433044"/>
    <w:rsid w:val="00433EE9"/>
    <w:rsid w:val="00434685"/>
    <w:rsid w:val="00435153"/>
    <w:rsid w:val="00435BD0"/>
    <w:rsid w:val="00443047"/>
    <w:rsid w:val="00443475"/>
    <w:rsid w:val="00443AA8"/>
    <w:rsid w:val="004443A7"/>
    <w:rsid w:val="00444D75"/>
    <w:rsid w:val="004464EB"/>
    <w:rsid w:val="00447E47"/>
    <w:rsid w:val="00450FAB"/>
    <w:rsid w:val="004531C4"/>
    <w:rsid w:val="00453DFE"/>
    <w:rsid w:val="00454AC9"/>
    <w:rsid w:val="00455089"/>
    <w:rsid w:val="00455D45"/>
    <w:rsid w:val="00460836"/>
    <w:rsid w:val="004619A1"/>
    <w:rsid w:val="00461EE2"/>
    <w:rsid w:val="004626A6"/>
    <w:rsid w:val="00464595"/>
    <w:rsid w:val="00466F1A"/>
    <w:rsid w:val="004705AA"/>
    <w:rsid w:val="00472413"/>
    <w:rsid w:val="00475BE4"/>
    <w:rsid w:val="00476246"/>
    <w:rsid w:val="00476795"/>
    <w:rsid w:val="00477F0B"/>
    <w:rsid w:val="004803A6"/>
    <w:rsid w:val="004803BE"/>
    <w:rsid w:val="00480749"/>
    <w:rsid w:val="00480781"/>
    <w:rsid w:val="004830B3"/>
    <w:rsid w:val="00483507"/>
    <w:rsid w:val="004835AF"/>
    <w:rsid w:val="00484075"/>
    <w:rsid w:val="00484556"/>
    <w:rsid w:val="0048467E"/>
    <w:rsid w:val="00485717"/>
    <w:rsid w:val="004867E2"/>
    <w:rsid w:val="004869AE"/>
    <w:rsid w:val="00486DAE"/>
    <w:rsid w:val="0048757A"/>
    <w:rsid w:val="00487C80"/>
    <w:rsid w:val="00490FC1"/>
    <w:rsid w:val="00491B3A"/>
    <w:rsid w:val="00491C76"/>
    <w:rsid w:val="00492CFD"/>
    <w:rsid w:val="004962D2"/>
    <w:rsid w:val="00497896"/>
    <w:rsid w:val="004A0DA1"/>
    <w:rsid w:val="004A227A"/>
    <w:rsid w:val="004A3C2F"/>
    <w:rsid w:val="004A5512"/>
    <w:rsid w:val="004A5A14"/>
    <w:rsid w:val="004A5E76"/>
    <w:rsid w:val="004A60A4"/>
    <w:rsid w:val="004A6597"/>
    <w:rsid w:val="004A6A3F"/>
    <w:rsid w:val="004B1CB4"/>
    <w:rsid w:val="004B274F"/>
    <w:rsid w:val="004B2F18"/>
    <w:rsid w:val="004B3803"/>
    <w:rsid w:val="004B3DDB"/>
    <w:rsid w:val="004B44FD"/>
    <w:rsid w:val="004B5CFC"/>
    <w:rsid w:val="004B728F"/>
    <w:rsid w:val="004C0E01"/>
    <w:rsid w:val="004C3CEB"/>
    <w:rsid w:val="004C484D"/>
    <w:rsid w:val="004C48DE"/>
    <w:rsid w:val="004C4AED"/>
    <w:rsid w:val="004C5470"/>
    <w:rsid w:val="004C6144"/>
    <w:rsid w:val="004D0C70"/>
    <w:rsid w:val="004D199E"/>
    <w:rsid w:val="004D1E72"/>
    <w:rsid w:val="004D211A"/>
    <w:rsid w:val="004D4A67"/>
    <w:rsid w:val="004D4F3E"/>
    <w:rsid w:val="004D5705"/>
    <w:rsid w:val="004D5E13"/>
    <w:rsid w:val="004D693D"/>
    <w:rsid w:val="004D7A1A"/>
    <w:rsid w:val="004D7B99"/>
    <w:rsid w:val="004E02DC"/>
    <w:rsid w:val="004E0EB8"/>
    <w:rsid w:val="004E22A1"/>
    <w:rsid w:val="004E2336"/>
    <w:rsid w:val="004E2ADC"/>
    <w:rsid w:val="004E2DE7"/>
    <w:rsid w:val="004E43B2"/>
    <w:rsid w:val="004E62D0"/>
    <w:rsid w:val="004F03DB"/>
    <w:rsid w:val="004F075A"/>
    <w:rsid w:val="004F1D02"/>
    <w:rsid w:val="004F2679"/>
    <w:rsid w:val="004F2AC7"/>
    <w:rsid w:val="004F2B43"/>
    <w:rsid w:val="004F353D"/>
    <w:rsid w:val="004F379C"/>
    <w:rsid w:val="004F7865"/>
    <w:rsid w:val="0050235C"/>
    <w:rsid w:val="00503844"/>
    <w:rsid w:val="00503A32"/>
    <w:rsid w:val="00504E55"/>
    <w:rsid w:val="00504FB1"/>
    <w:rsid w:val="00505836"/>
    <w:rsid w:val="00506928"/>
    <w:rsid w:val="00507D12"/>
    <w:rsid w:val="00510058"/>
    <w:rsid w:val="00512151"/>
    <w:rsid w:val="00512613"/>
    <w:rsid w:val="00512A14"/>
    <w:rsid w:val="005152B5"/>
    <w:rsid w:val="0051667E"/>
    <w:rsid w:val="00520012"/>
    <w:rsid w:val="00521319"/>
    <w:rsid w:val="005216F4"/>
    <w:rsid w:val="00521B29"/>
    <w:rsid w:val="00522E57"/>
    <w:rsid w:val="005235E3"/>
    <w:rsid w:val="00523C28"/>
    <w:rsid w:val="00524B07"/>
    <w:rsid w:val="00527FA4"/>
    <w:rsid w:val="005306C6"/>
    <w:rsid w:val="00531A80"/>
    <w:rsid w:val="00534FD0"/>
    <w:rsid w:val="005352C5"/>
    <w:rsid w:val="00537774"/>
    <w:rsid w:val="0054184C"/>
    <w:rsid w:val="00543CB6"/>
    <w:rsid w:val="00545509"/>
    <w:rsid w:val="005466FC"/>
    <w:rsid w:val="00546AD3"/>
    <w:rsid w:val="00546C0F"/>
    <w:rsid w:val="00551AFD"/>
    <w:rsid w:val="00552BD3"/>
    <w:rsid w:val="0055344A"/>
    <w:rsid w:val="00553B1D"/>
    <w:rsid w:val="00555109"/>
    <w:rsid w:val="005573FD"/>
    <w:rsid w:val="00560876"/>
    <w:rsid w:val="00563762"/>
    <w:rsid w:val="005657F9"/>
    <w:rsid w:val="00565E5A"/>
    <w:rsid w:val="0056696F"/>
    <w:rsid w:val="00567988"/>
    <w:rsid w:val="00572F79"/>
    <w:rsid w:val="0057463E"/>
    <w:rsid w:val="00575D8D"/>
    <w:rsid w:val="0057696C"/>
    <w:rsid w:val="00576972"/>
    <w:rsid w:val="00576BD5"/>
    <w:rsid w:val="00581AD6"/>
    <w:rsid w:val="00582AF0"/>
    <w:rsid w:val="0058328B"/>
    <w:rsid w:val="00583699"/>
    <w:rsid w:val="00585C3D"/>
    <w:rsid w:val="00591B7B"/>
    <w:rsid w:val="005922BE"/>
    <w:rsid w:val="00597C98"/>
    <w:rsid w:val="005A2420"/>
    <w:rsid w:val="005A2F59"/>
    <w:rsid w:val="005A3D0A"/>
    <w:rsid w:val="005A4204"/>
    <w:rsid w:val="005A7149"/>
    <w:rsid w:val="005B03D7"/>
    <w:rsid w:val="005B1EF9"/>
    <w:rsid w:val="005B2F7E"/>
    <w:rsid w:val="005B3058"/>
    <w:rsid w:val="005B38B1"/>
    <w:rsid w:val="005B39B7"/>
    <w:rsid w:val="005B5857"/>
    <w:rsid w:val="005B79E4"/>
    <w:rsid w:val="005C0812"/>
    <w:rsid w:val="005C0DC1"/>
    <w:rsid w:val="005C103F"/>
    <w:rsid w:val="005C1B83"/>
    <w:rsid w:val="005C2005"/>
    <w:rsid w:val="005C346B"/>
    <w:rsid w:val="005C4BE5"/>
    <w:rsid w:val="005C59F4"/>
    <w:rsid w:val="005C61A6"/>
    <w:rsid w:val="005C69F0"/>
    <w:rsid w:val="005D016A"/>
    <w:rsid w:val="005D044D"/>
    <w:rsid w:val="005D0D7C"/>
    <w:rsid w:val="005D18AD"/>
    <w:rsid w:val="005D220E"/>
    <w:rsid w:val="005D2766"/>
    <w:rsid w:val="005D34CE"/>
    <w:rsid w:val="005D4D0F"/>
    <w:rsid w:val="005D56BC"/>
    <w:rsid w:val="005D6432"/>
    <w:rsid w:val="005E0335"/>
    <w:rsid w:val="005E0444"/>
    <w:rsid w:val="005E09A0"/>
    <w:rsid w:val="005E0F4F"/>
    <w:rsid w:val="005E16B7"/>
    <w:rsid w:val="005E4EE0"/>
    <w:rsid w:val="005E54FB"/>
    <w:rsid w:val="005E560F"/>
    <w:rsid w:val="005E5FDF"/>
    <w:rsid w:val="005E6595"/>
    <w:rsid w:val="005E6A65"/>
    <w:rsid w:val="005E73C0"/>
    <w:rsid w:val="005F177E"/>
    <w:rsid w:val="005F2706"/>
    <w:rsid w:val="005F55E9"/>
    <w:rsid w:val="005F56FE"/>
    <w:rsid w:val="005F656B"/>
    <w:rsid w:val="005F6A8F"/>
    <w:rsid w:val="005F7629"/>
    <w:rsid w:val="00600B62"/>
    <w:rsid w:val="00602DCE"/>
    <w:rsid w:val="0060310B"/>
    <w:rsid w:val="006035C2"/>
    <w:rsid w:val="00604B2E"/>
    <w:rsid w:val="00604BE5"/>
    <w:rsid w:val="00604F7D"/>
    <w:rsid w:val="006064B9"/>
    <w:rsid w:val="00607669"/>
    <w:rsid w:val="006100ED"/>
    <w:rsid w:val="00611101"/>
    <w:rsid w:val="00611DB3"/>
    <w:rsid w:val="00612256"/>
    <w:rsid w:val="006128B9"/>
    <w:rsid w:val="00612957"/>
    <w:rsid w:val="00612D50"/>
    <w:rsid w:val="00612F97"/>
    <w:rsid w:val="006162F0"/>
    <w:rsid w:val="00616351"/>
    <w:rsid w:val="00616802"/>
    <w:rsid w:val="00616BE1"/>
    <w:rsid w:val="00617315"/>
    <w:rsid w:val="00617C4E"/>
    <w:rsid w:val="00617E12"/>
    <w:rsid w:val="00617ECC"/>
    <w:rsid w:val="006213CF"/>
    <w:rsid w:val="00621477"/>
    <w:rsid w:val="006223A1"/>
    <w:rsid w:val="0062409D"/>
    <w:rsid w:val="00630B98"/>
    <w:rsid w:val="00631B3D"/>
    <w:rsid w:val="00631D6A"/>
    <w:rsid w:val="00631D6B"/>
    <w:rsid w:val="00632263"/>
    <w:rsid w:val="00632ADD"/>
    <w:rsid w:val="006346EF"/>
    <w:rsid w:val="0063479F"/>
    <w:rsid w:val="00634AD9"/>
    <w:rsid w:val="006364A1"/>
    <w:rsid w:val="00637BFD"/>
    <w:rsid w:val="00637DBF"/>
    <w:rsid w:val="0064090F"/>
    <w:rsid w:val="006410A0"/>
    <w:rsid w:val="0064353F"/>
    <w:rsid w:val="00643E92"/>
    <w:rsid w:val="00645242"/>
    <w:rsid w:val="00645DCF"/>
    <w:rsid w:val="00646C4A"/>
    <w:rsid w:val="006471CC"/>
    <w:rsid w:val="0064762C"/>
    <w:rsid w:val="00647F43"/>
    <w:rsid w:val="0065079F"/>
    <w:rsid w:val="00654155"/>
    <w:rsid w:val="00655F53"/>
    <w:rsid w:val="0065670B"/>
    <w:rsid w:val="00657D25"/>
    <w:rsid w:val="006636D7"/>
    <w:rsid w:val="006641B0"/>
    <w:rsid w:val="006670C4"/>
    <w:rsid w:val="006677F6"/>
    <w:rsid w:val="00672366"/>
    <w:rsid w:val="0067361B"/>
    <w:rsid w:val="0067499B"/>
    <w:rsid w:val="00674E42"/>
    <w:rsid w:val="006801C3"/>
    <w:rsid w:val="00680670"/>
    <w:rsid w:val="00681268"/>
    <w:rsid w:val="00681362"/>
    <w:rsid w:val="00681BBF"/>
    <w:rsid w:val="00682112"/>
    <w:rsid w:val="00682D48"/>
    <w:rsid w:val="00683E46"/>
    <w:rsid w:val="00683E7F"/>
    <w:rsid w:val="00684190"/>
    <w:rsid w:val="006842CE"/>
    <w:rsid w:val="00684E11"/>
    <w:rsid w:val="006872BA"/>
    <w:rsid w:val="00687E27"/>
    <w:rsid w:val="006917D7"/>
    <w:rsid w:val="006941FC"/>
    <w:rsid w:val="006949B8"/>
    <w:rsid w:val="00694F44"/>
    <w:rsid w:val="00697025"/>
    <w:rsid w:val="0069738A"/>
    <w:rsid w:val="006A0DC6"/>
    <w:rsid w:val="006A1972"/>
    <w:rsid w:val="006A1EE8"/>
    <w:rsid w:val="006A2611"/>
    <w:rsid w:val="006A58C1"/>
    <w:rsid w:val="006A6335"/>
    <w:rsid w:val="006A65C5"/>
    <w:rsid w:val="006A66E6"/>
    <w:rsid w:val="006A780B"/>
    <w:rsid w:val="006B02D5"/>
    <w:rsid w:val="006B2578"/>
    <w:rsid w:val="006B2D6F"/>
    <w:rsid w:val="006B42DC"/>
    <w:rsid w:val="006B492A"/>
    <w:rsid w:val="006B5895"/>
    <w:rsid w:val="006B60A7"/>
    <w:rsid w:val="006B6FC8"/>
    <w:rsid w:val="006B741A"/>
    <w:rsid w:val="006C1DAC"/>
    <w:rsid w:val="006C2A8E"/>
    <w:rsid w:val="006C3F86"/>
    <w:rsid w:val="006C461D"/>
    <w:rsid w:val="006C58A3"/>
    <w:rsid w:val="006C5C48"/>
    <w:rsid w:val="006C674B"/>
    <w:rsid w:val="006D146A"/>
    <w:rsid w:val="006D1651"/>
    <w:rsid w:val="006D2294"/>
    <w:rsid w:val="006D3C7D"/>
    <w:rsid w:val="006D5D5F"/>
    <w:rsid w:val="006D6C99"/>
    <w:rsid w:val="006D6F1C"/>
    <w:rsid w:val="006D6F80"/>
    <w:rsid w:val="006D70A9"/>
    <w:rsid w:val="006E034A"/>
    <w:rsid w:val="006E09E5"/>
    <w:rsid w:val="006E3140"/>
    <w:rsid w:val="006E33D7"/>
    <w:rsid w:val="006E4687"/>
    <w:rsid w:val="006E79BE"/>
    <w:rsid w:val="006E7D5D"/>
    <w:rsid w:val="006F0B03"/>
    <w:rsid w:val="006F12DA"/>
    <w:rsid w:val="006F166E"/>
    <w:rsid w:val="006F1AB8"/>
    <w:rsid w:val="006F1FC9"/>
    <w:rsid w:val="006F207F"/>
    <w:rsid w:val="006F22EF"/>
    <w:rsid w:val="006F2515"/>
    <w:rsid w:val="006F283B"/>
    <w:rsid w:val="006F63A5"/>
    <w:rsid w:val="00700A88"/>
    <w:rsid w:val="00700F78"/>
    <w:rsid w:val="00700FE0"/>
    <w:rsid w:val="0070276E"/>
    <w:rsid w:val="00702F8F"/>
    <w:rsid w:val="007052BF"/>
    <w:rsid w:val="00706F85"/>
    <w:rsid w:val="00710AF6"/>
    <w:rsid w:val="00710C0E"/>
    <w:rsid w:val="00711A36"/>
    <w:rsid w:val="00712520"/>
    <w:rsid w:val="0071435D"/>
    <w:rsid w:val="007149BC"/>
    <w:rsid w:val="00715F57"/>
    <w:rsid w:val="0071609D"/>
    <w:rsid w:val="007172AD"/>
    <w:rsid w:val="007212FB"/>
    <w:rsid w:val="0072416F"/>
    <w:rsid w:val="00731679"/>
    <w:rsid w:val="00731ECA"/>
    <w:rsid w:val="007338E1"/>
    <w:rsid w:val="0073463C"/>
    <w:rsid w:val="00735328"/>
    <w:rsid w:val="007362C1"/>
    <w:rsid w:val="0073685B"/>
    <w:rsid w:val="00736DC0"/>
    <w:rsid w:val="00737888"/>
    <w:rsid w:val="00741352"/>
    <w:rsid w:val="007430BE"/>
    <w:rsid w:val="00743411"/>
    <w:rsid w:val="00745982"/>
    <w:rsid w:val="00747E66"/>
    <w:rsid w:val="00751BD2"/>
    <w:rsid w:val="00751F00"/>
    <w:rsid w:val="0075428B"/>
    <w:rsid w:val="00755BE5"/>
    <w:rsid w:val="00755F59"/>
    <w:rsid w:val="0075735F"/>
    <w:rsid w:val="00757E7E"/>
    <w:rsid w:val="0076363A"/>
    <w:rsid w:val="0076363B"/>
    <w:rsid w:val="00764604"/>
    <w:rsid w:val="00764D2B"/>
    <w:rsid w:val="0076598F"/>
    <w:rsid w:val="00766690"/>
    <w:rsid w:val="00770902"/>
    <w:rsid w:val="007717BC"/>
    <w:rsid w:val="007725AF"/>
    <w:rsid w:val="00774530"/>
    <w:rsid w:val="00775000"/>
    <w:rsid w:val="00776441"/>
    <w:rsid w:val="0078045B"/>
    <w:rsid w:val="00781258"/>
    <w:rsid w:val="00783497"/>
    <w:rsid w:val="007838D7"/>
    <w:rsid w:val="007839B3"/>
    <w:rsid w:val="00786A49"/>
    <w:rsid w:val="007875E8"/>
    <w:rsid w:val="00787A44"/>
    <w:rsid w:val="00790E2F"/>
    <w:rsid w:val="007934B1"/>
    <w:rsid w:val="00793812"/>
    <w:rsid w:val="00793A7C"/>
    <w:rsid w:val="00794C8A"/>
    <w:rsid w:val="00796853"/>
    <w:rsid w:val="00796E37"/>
    <w:rsid w:val="00796F40"/>
    <w:rsid w:val="007974FD"/>
    <w:rsid w:val="007A0A12"/>
    <w:rsid w:val="007A0B9B"/>
    <w:rsid w:val="007A0FDA"/>
    <w:rsid w:val="007A1D5E"/>
    <w:rsid w:val="007A1F49"/>
    <w:rsid w:val="007A3311"/>
    <w:rsid w:val="007A5793"/>
    <w:rsid w:val="007B1015"/>
    <w:rsid w:val="007B1827"/>
    <w:rsid w:val="007B1916"/>
    <w:rsid w:val="007B251D"/>
    <w:rsid w:val="007B4257"/>
    <w:rsid w:val="007B77D1"/>
    <w:rsid w:val="007C3321"/>
    <w:rsid w:val="007C361D"/>
    <w:rsid w:val="007C5322"/>
    <w:rsid w:val="007D0B38"/>
    <w:rsid w:val="007D0E89"/>
    <w:rsid w:val="007D13DB"/>
    <w:rsid w:val="007D173C"/>
    <w:rsid w:val="007D2A06"/>
    <w:rsid w:val="007D2E21"/>
    <w:rsid w:val="007D342B"/>
    <w:rsid w:val="007D3D68"/>
    <w:rsid w:val="007D5B8B"/>
    <w:rsid w:val="007E2510"/>
    <w:rsid w:val="007E2EBC"/>
    <w:rsid w:val="007E405F"/>
    <w:rsid w:val="007E4783"/>
    <w:rsid w:val="007E4FB5"/>
    <w:rsid w:val="007E711F"/>
    <w:rsid w:val="007E76E9"/>
    <w:rsid w:val="007E7F27"/>
    <w:rsid w:val="007F00CB"/>
    <w:rsid w:val="007F1017"/>
    <w:rsid w:val="007F1D17"/>
    <w:rsid w:val="007F1E1E"/>
    <w:rsid w:val="007F2207"/>
    <w:rsid w:val="007F4A3F"/>
    <w:rsid w:val="007F5FAC"/>
    <w:rsid w:val="007F726B"/>
    <w:rsid w:val="007F7E71"/>
    <w:rsid w:val="008023BB"/>
    <w:rsid w:val="008035FD"/>
    <w:rsid w:val="00804EC8"/>
    <w:rsid w:val="00805142"/>
    <w:rsid w:val="008063F3"/>
    <w:rsid w:val="008068ED"/>
    <w:rsid w:val="00806C78"/>
    <w:rsid w:val="008076D7"/>
    <w:rsid w:val="0080793B"/>
    <w:rsid w:val="00807A8B"/>
    <w:rsid w:val="00812149"/>
    <w:rsid w:val="0081364C"/>
    <w:rsid w:val="00815ADC"/>
    <w:rsid w:val="008166EF"/>
    <w:rsid w:val="00817622"/>
    <w:rsid w:val="00820F2D"/>
    <w:rsid w:val="008223B6"/>
    <w:rsid w:val="008230E1"/>
    <w:rsid w:val="0082357F"/>
    <w:rsid w:val="00825162"/>
    <w:rsid w:val="008264EB"/>
    <w:rsid w:val="00833B05"/>
    <w:rsid w:val="00834948"/>
    <w:rsid w:val="008352FA"/>
    <w:rsid w:val="00835AD9"/>
    <w:rsid w:val="00840266"/>
    <w:rsid w:val="00840CA2"/>
    <w:rsid w:val="00840CA8"/>
    <w:rsid w:val="00843054"/>
    <w:rsid w:val="0084390D"/>
    <w:rsid w:val="00843A18"/>
    <w:rsid w:val="00843A68"/>
    <w:rsid w:val="00843DCC"/>
    <w:rsid w:val="008450D1"/>
    <w:rsid w:val="00847CC5"/>
    <w:rsid w:val="00852C2B"/>
    <w:rsid w:val="00852DA9"/>
    <w:rsid w:val="00853470"/>
    <w:rsid w:val="00853F91"/>
    <w:rsid w:val="0085474D"/>
    <w:rsid w:val="00854B70"/>
    <w:rsid w:val="00854B82"/>
    <w:rsid w:val="00854C3F"/>
    <w:rsid w:val="008558A3"/>
    <w:rsid w:val="008558C9"/>
    <w:rsid w:val="00856E9A"/>
    <w:rsid w:val="008576BA"/>
    <w:rsid w:val="00860050"/>
    <w:rsid w:val="00861414"/>
    <w:rsid w:val="00861754"/>
    <w:rsid w:val="00862502"/>
    <w:rsid w:val="00863D07"/>
    <w:rsid w:val="00864066"/>
    <w:rsid w:val="00864CE5"/>
    <w:rsid w:val="00865069"/>
    <w:rsid w:val="00865C57"/>
    <w:rsid w:val="00867853"/>
    <w:rsid w:val="00873E5C"/>
    <w:rsid w:val="008743FB"/>
    <w:rsid w:val="00875637"/>
    <w:rsid w:val="008757D9"/>
    <w:rsid w:val="0087642F"/>
    <w:rsid w:val="00876EE8"/>
    <w:rsid w:val="00877062"/>
    <w:rsid w:val="008810F7"/>
    <w:rsid w:val="00882874"/>
    <w:rsid w:val="00883787"/>
    <w:rsid w:val="00883E04"/>
    <w:rsid w:val="0089128A"/>
    <w:rsid w:val="00894451"/>
    <w:rsid w:val="00894489"/>
    <w:rsid w:val="00895025"/>
    <w:rsid w:val="008963A5"/>
    <w:rsid w:val="008A2299"/>
    <w:rsid w:val="008A2E03"/>
    <w:rsid w:val="008A3C3E"/>
    <w:rsid w:val="008A79DE"/>
    <w:rsid w:val="008B4301"/>
    <w:rsid w:val="008B7A7E"/>
    <w:rsid w:val="008B7D7E"/>
    <w:rsid w:val="008B7F1F"/>
    <w:rsid w:val="008C1247"/>
    <w:rsid w:val="008C357D"/>
    <w:rsid w:val="008C3754"/>
    <w:rsid w:val="008C4FAD"/>
    <w:rsid w:val="008C5EB8"/>
    <w:rsid w:val="008C7652"/>
    <w:rsid w:val="008C7ECB"/>
    <w:rsid w:val="008D169D"/>
    <w:rsid w:val="008D17C0"/>
    <w:rsid w:val="008D3D3C"/>
    <w:rsid w:val="008D3EBF"/>
    <w:rsid w:val="008D4AFB"/>
    <w:rsid w:val="008E1B9E"/>
    <w:rsid w:val="008E20E2"/>
    <w:rsid w:val="008E29FF"/>
    <w:rsid w:val="008E54C4"/>
    <w:rsid w:val="008E6E85"/>
    <w:rsid w:val="008F120A"/>
    <w:rsid w:val="008F2E29"/>
    <w:rsid w:val="008F2E57"/>
    <w:rsid w:val="008F48EB"/>
    <w:rsid w:val="008F493F"/>
    <w:rsid w:val="008F4F0B"/>
    <w:rsid w:val="008F6386"/>
    <w:rsid w:val="00900680"/>
    <w:rsid w:val="0090459D"/>
    <w:rsid w:val="00904E58"/>
    <w:rsid w:val="009062A5"/>
    <w:rsid w:val="00906D09"/>
    <w:rsid w:val="00907DDA"/>
    <w:rsid w:val="00911272"/>
    <w:rsid w:val="00911B90"/>
    <w:rsid w:val="009123AB"/>
    <w:rsid w:val="00913168"/>
    <w:rsid w:val="00914167"/>
    <w:rsid w:val="00916311"/>
    <w:rsid w:val="00917FB9"/>
    <w:rsid w:val="009201BC"/>
    <w:rsid w:val="009228CC"/>
    <w:rsid w:val="009245B8"/>
    <w:rsid w:val="00924887"/>
    <w:rsid w:val="0092541E"/>
    <w:rsid w:val="00926ADD"/>
    <w:rsid w:val="00927A93"/>
    <w:rsid w:val="00927D34"/>
    <w:rsid w:val="009300F8"/>
    <w:rsid w:val="00932151"/>
    <w:rsid w:val="009351A5"/>
    <w:rsid w:val="00936C67"/>
    <w:rsid w:val="00936D6E"/>
    <w:rsid w:val="00937135"/>
    <w:rsid w:val="00937E98"/>
    <w:rsid w:val="0094385E"/>
    <w:rsid w:val="00947AAF"/>
    <w:rsid w:val="00950809"/>
    <w:rsid w:val="0095129A"/>
    <w:rsid w:val="00951A08"/>
    <w:rsid w:val="00951F2D"/>
    <w:rsid w:val="00952796"/>
    <w:rsid w:val="00952CB3"/>
    <w:rsid w:val="00953F09"/>
    <w:rsid w:val="00955780"/>
    <w:rsid w:val="009560C3"/>
    <w:rsid w:val="00960862"/>
    <w:rsid w:val="009623E7"/>
    <w:rsid w:val="00962CB9"/>
    <w:rsid w:val="00964312"/>
    <w:rsid w:val="009643B5"/>
    <w:rsid w:val="00964EE8"/>
    <w:rsid w:val="00965BB1"/>
    <w:rsid w:val="00965F61"/>
    <w:rsid w:val="00966BB5"/>
    <w:rsid w:val="009679DF"/>
    <w:rsid w:val="00967F12"/>
    <w:rsid w:val="00970857"/>
    <w:rsid w:val="009716CA"/>
    <w:rsid w:val="00972B9D"/>
    <w:rsid w:val="00972E9E"/>
    <w:rsid w:val="00973FCA"/>
    <w:rsid w:val="00974464"/>
    <w:rsid w:val="00974A91"/>
    <w:rsid w:val="00975BE1"/>
    <w:rsid w:val="00975FAA"/>
    <w:rsid w:val="00976B21"/>
    <w:rsid w:val="00977721"/>
    <w:rsid w:val="00977BBC"/>
    <w:rsid w:val="00981F03"/>
    <w:rsid w:val="00982021"/>
    <w:rsid w:val="00983373"/>
    <w:rsid w:val="00983552"/>
    <w:rsid w:val="00983E57"/>
    <w:rsid w:val="009856C1"/>
    <w:rsid w:val="00987CD9"/>
    <w:rsid w:val="00990A62"/>
    <w:rsid w:val="00992538"/>
    <w:rsid w:val="009928C2"/>
    <w:rsid w:val="00993AA4"/>
    <w:rsid w:val="0099533B"/>
    <w:rsid w:val="0099692C"/>
    <w:rsid w:val="00996B1A"/>
    <w:rsid w:val="009975C7"/>
    <w:rsid w:val="009A1197"/>
    <w:rsid w:val="009A2C0E"/>
    <w:rsid w:val="009A2FF3"/>
    <w:rsid w:val="009A4EC3"/>
    <w:rsid w:val="009A64DA"/>
    <w:rsid w:val="009A6513"/>
    <w:rsid w:val="009A73E8"/>
    <w:rsid w:val="009A7736"/>
    <w:rsid w:val="009A7E0C"/>
    <w:rsid w:val="009B1C65"/>
    <w:rsid w:val="009B1DD3"/>
    <w:rsid w:val="009B228C"/>
    <w:rsid w:val="009B3E26"/>
    <w:rsid w:val="009B423F"/>
    <w:rsid w:val="009B6A17"/>
    <w:rsid w:val="009B7D83"/>
    <w:rsid w:val="009B7EE7"/>
    <w:rsid w:val="009B7FB3"/>
    <w:rsid w:val="009C0ABF"/>
    <w:rsid w:val="009C0F9C"/>
    <w:rsid w:val="009C1CDE"/>
    <w:rsid w:val="009C53FF"/>
    <w:rsid w:val="009C614B"/>
    <w:rsid w:val="009C6B6C"/>
    <w:rsid w:val="009C79B0"/>
    <w:rsid w:val="009D2C2E"/>
    <w:rsid w:val="009D35A7"/>
    <w:rsid w:val="009D42A5"/>
    <w:rsid w:val="009D5B91"/>
    <w:rsid w:val="009D6644"/>
    <w:rsid w:val="009D6A5E"/>
    <w:rsid w:val="009D7CFF"/>
    <w:rsid w:val="009E0CEA"/>
    <w:rsid w:val="009E1141"/>
    <w:rsid w:val="009E1199"/>
    <w:rsid w:val="009E4C07"/>
    <w:rsid w:val="009E5731"/>
    <w:rsid w:val="009E5E84"/>
    <w:rsid w:val="009E69E7"/>
    <w:rsid w:val="009E7E17"/>
    <w:rsid w:val="009F205F"/>
    <w:rsid w:val="009F240C"/>
    <w:rsid w:val="009F284E"/>
    <w:rsid w:val="009F4601"/>
    <w:rsid w:val="009F4D18"/>
    <w:rsid w:val="009F6B42"/>
    <w:rsid w:val="009F7C39"/>
    <w:rsid w:val="00A00A82"/>
    <w:rsid w:val="00A01799"/>
    <w:rsid w:val="00A01AB7"/>
    <w:rsid w:val="00A036CF"/>
    <w:rsid w:val="00A03D43"/>
    <w:rsid w:val="00A04380"/>
    <w:rsid w:val="00A06755"/>
    <w:rsid w:val="00A07B65"/>
    <w:rsid w:val="00A10D21"/>
    <w:rsid w:val="00A130AB"/>
    <w:rsid w:val="00A13948"/>
    <w:rsid w:val="00A14CF8"/>
    <w:rsid w:val="00A1719D"/>
    <w:rsid w:val="00A171C7"/>
    <w:rsid w:val="00A179A0"/>
    <w:rsid w:val="00A20BAF"/>
    <w:rsid w:val="00A242B7"/>
    <w:rsid w:val="00A25433"/>
    <w:rsid w:val="00A2546F"/>
    <w:rsid w:val="00A25890"/>
    <w:rsid w:val="00A2665F"/>
    <w:rsid w:val="00A2674F"/>
    <w:rsid w:val="00A275B6"/>
    <w:rsid w:val="00A27AEC"/>
    <w:rsid w:val="00A302F9"/>
    <w:rsid w:val="00A312C7"/>
    <w:rsid w:val="00A334C9"/>
    <w:rsid w:val="00A339BF"/>
    <w:rsid w:val="00A35C32"/>
    <w:rsid w:val="00A35D16"/>
    <w:rsid w:val="00A3729A"/>
    <w:rsid w:val="00A40905"/>
    <w:rsid w:val="00A40C9F"/>
    <w:rsid w:val="00A43718"/>
    <w:rsid w:val="00A43BBE"/>
    <w:rsid w:val="00A43C59"/>
    <w:rsid w:val="00A45944"/>
    <w:rsid w:val="00A50ECD"/>
    <w:rsid w:val="00A51A11"/>
    <w:rsid w:val="00A52028"/>
    <w:rsid w:val="00A52715"/>
    <w:rsid w:val="00A52729"/>
    <w:rsid w:val="00A52855"/>
    <w:rsid w:val="00A52B52"/>
    <w:rsid w:val="00A52C55"/>
    <w:rsid w:val="00A53675"/>
    <w:rsid w:val="00A55DBB"/>
    <w:rsid w:val="00A56B6A"/>
    <w:rsid w:val="00A578DC"/>
    <w:rsid w:val="00A60476"/>
    <w:rsid w:val="00A614D0"/>
    <w:rsid w:val="00A61CB3"/>
    <w:rsid w:val="00A61F04"/>
    <w:rsid w:val="00A62080"/>
    <w:rsid w:val="00A62CCB"/>
    <w:rsid w:val="00A62F92"/>
    <w:rsid w:val="00A63B79"/>
    <w:rsid w:val="00A6522F"/>
    <w:rsid w:val="00A66CA5"/>
    <w:rsid w:val="00A6725B"/>
    <w:rsid w:val="00A67C3A"/>
    <w:rsid w:val="00A70088"/>
    <w:rsid w:val="00A705E9"/>
    <w:rsid w:val="00A7148B"/>
    <w:rsid w:val="00A71C6A"/>
    <w:rsid w:val="00A721F8"/>
    <w:rsid w:val="00A724A8"/>
    <w:rsid w:val="00A72CDD"/>
    <w:rsid w:val="00A7370C"/>
    <w:rsid w:val="00A75093"/>
    <w:rsid w:val="00A75A0F"/>
    <w:rsid w:val="00A77356"/>
    <w:rsid w:val="00A80A26"/>
    <w:rsid w:val="00A81208"/>
    <w:rsid w:val="00A83158"/>
    <w:rsid w:val="00A8318D"/>
    <w:rsid w:val="00A83CB6"/>
    <w:rsid w:val="00A86E8B"/>
    <w:rsid w:val="00A92034"/>
    <w:rsid w:val="00A93072"/>
    <w:rsid w:val="00A944FF"/>
    <w:rsid w:val="00A94A2C"/>
    <w:rsid w:val="00A95236"/>
    <w:rsid w:val="00A959D8"/>
    <w:rsid w:val="00A96397"/>
    <w:rsid w:val="00A96A9D"/>
    <w:rsid w:val="00AA0E33"/>
    <w:rsid w:val="00AA0E5B"/>
    <w:rsid w:val="00AA2227"/>
    <w:rsid w:val="00AA30CA"/>
    <w:rsid w:val="00AA3490"/>
    <w:rsid w:val="00AA3C74"/>
    <w:rsid w:val="00AA3D07"/>
    <w:rsid w:val="00AA3F91"/>
    <w:rsid w:val="00AA4E4A"/>
    <w:rsid w:val="00AB042A"/>
    <w:rsid w:val="00AB15CE"/>
    <w:rsid w:val="00AB15E5"/>
    <w:rsid w:val="00AB1C7A"/>
    <w:rsid w:val="00AB2D34"/>
    <w:rsid w:val="00AB3430"/>
    <w:rsid w:val="00AB45DB"/>
    <w:rsid w:val="00AB55F7"/>
    <w:rsid w:val="00AB6025"/>
    <w:rsid w:val="00AB78B5"/>
    <w:rsid w:val="00AB7CFA"/>
    <w:rsid w:val="00AC06BC"/>
    <w:rsid w:val="00AC3B08"/>
    <w:rsid w:val="00AC3E96"/>
    <w:rsid w:val="00AC3FE0"/>
    <w:rsid w:val="00AC4BC4"/>
    <w:rsid w:val="00AC5392"/>
    <w:rsid w:val="00AC6505"/>
    <w:rsid w:val="00AD02F0"/>
    <w:rsid w:val="00AD2893"/>
    <w:rsid w:val="00AD2941"/>
    <w:rsid w:val="00AD36D2"/>
    <w:rsid w:val="00AD3D34"/>
    <w:rsid w:val="00AD5627"/>
    <w:rsid w:val="00AD5DCC"/>
    <w:rsid w:val="00AD66AE"/>
    <w:rsid w:val="00AE2D51"/>
    <w:rsid w:val="00AE3D05"/>
    <w:rsid w:val="00AE47AB"/>
    <w:rsid w:val="00AE567C"/>
    <w:rsid w:val="00AE6C36"/>
    <w:rsid w:val="00AF0C72"/>
    <w:rsid w:val="00AF17F7"/>
    <w:rsid w:val="00AF2197"/>
    <w:rsid w:val="00AF35F5"/>
    <w:rsid w:val="00AF3AA2"/>
    <w:rsid w:val="00AF3C8F"/>
    <w:rsid w:val="00AF41DC"/>
    <w:rsid w:val="00AF563F"/>
    <w:rsid w:val="00AF5CB9"/>
    <w:rsid w:val="00AF796D"/>
    <w:rsid w:val="00B01921"/>
    <w:rsid w:val="00B02086"/>
    <w:rsid w:val="00B0273B"/>
    <w:rsid w:val="00B04419"/>
    <w:rsid w:val="00B047A3"/>
    <w:rsid w:val="00B04B3C"/>
    <w:rsid w:val="00B0655D"/>
    <w:rsid w:val="00B0686C"/>
    <w:rsid w:val="00B073AB"/>
    <w:rsid w:val="00B12B69"/>
    <w:rsid w:val="00B16635"/>
    <w:rsid w:val="00B1675A"/>
    <w:rsid w:val="00B1739A"/>
    <w:rsid w:val="00B17E2E"/>
    <w:rsid w:val="00B23481"/>
    <w:rsid w:val="00B24AA6"/>
    <w:rsid w:val="00B26B71"/>
    <w:rsid w:val="00B304E5"/>
    <w:rsid w:val="00B311F4"/>
    <w:rsid w:val="00B31551"/>
    <w:rsid w:val="00B31C8C"/>
    <w:rsid w:val="00B323B0"/>
    <w:rsid w:val="00B32E45"/>
    <w:rsid w:val="00B37353"/>
    <w:rsid w:val="00B4063D"/>
    <w:rsid w:val="00B415E4"/>
    <w:rsid w:val="00B42851"/>
    <w:rsid w:val="00B4634E"/>
    <w:rsid w:val="00B476E9"/>
    <w:rsid w:val="00B50DB8"/>
    <w:rsid w:val="00B53752"/>
    <w:rsid w:val="00B53905"/>
    <w:rsid w:val="00B53AA8"/>
    <w:rsid w:val="00B54B5B"/>
    <w:rsid w:val="00B5562E"/>
    <w:rsid w:val="00B55A4E"/>
    <w:rsid w:val="00B57000"/>
    <w:rsid w:val="00B6064B"/>
    <w:rsid w:val="00B60939"/>
    <w:rsid w:val="00B60AFD"/>
    <w:rsid w:val="00B611A6"/>
    <w:rsid w:val="00B61EE5"/>
    <w:rsid w:val="00B626CC"/>
    <w:rsid w:val="00B62715"/>
    <w:rsid w:val="00B64875"/>
    <w:rsid w:val="00B64FBE"/>
    <w:rsid w:val="00B70D0F"/>
    <w:rsid w:val="00B7110C"/>
    <w:rsid w:val="00B769D4"/>
    <w:rsid w:val="00B774BE"/>
    <w:rsid w:val="00B77D14"/>
    <w:rsid w:val="00B818A4"/>
    <w:rsid w:val="00B8247C"/>
    <w:rsid w:val="00B8390D"/>
    <w:rsid w:val="00B84F67"/>
    <w:rsid w:val="00B851E9"/>
    <w:rsid w:val="00B8649C"/>
    <w:rsid w:val="00B87348"/>
    <w:rsid w:val="00B90620"/>
    <w:rsid w:val="00B92944"/>
    <w:rsid w:val="00B92D0B"/>
    <w:rsid w:val="00B939CC"/>
    <w:rsid w:val="00B9436C"/>
    <w:rsid w:val="00B94945"/>
    <w:rsid w:val="00B95A62"/>
    <w:rsid w:val="00B97551"/>
    <w:rsid w:val="00B97639"/>
    <w:rsid w:val="00BA5FE6"/>
    <w:rsid w:val="00BA6B1E"/>
    <w:rsid w:val="00BA70A3"/>
    <w:rsid w:val="00BA747C"/>
    <w:rsid w:val="00BA7BBC"/>
    <w:rsid w:val="00BA7D28"/>
    <w:rsid w:val="00BA7D8F"/>
    <w:rsid w:val="00BB1896"/>
    <w:rsid w:val="00BB25D3"/>
    <w:rsid w:val="00BB4281"/>
    <w:rsid w:val="00BB42C9"/>
    <w:rsid w:val="00BB48FE"/>
    <w:rsid w:val="00BB7405"/>
    <w:rsid w:val="00BB74D4"/>
    <w:rsid w:val="00BC0F2E"/>
    <w:rsid w:val="00BC435F"/>
    <w:rsid w:val="00BC7031"/>
    <w:rsid w:val="00BD1588"/>
    <w:rsid w:val="00BD39B6"/>
    <w:rsid w:val="00BD4063"/>
    <w:rsid w:val="00BD5EB1"/>
    <w:rsid w:val="00BD69F2"/>
    <w:rsid w:val="00BD6CF3"/>
    <w:rsid w:val="00BD6CF7"/>
    <w:rsid w:val="00BD7169"/>
    <w:rsid w:val="00BE02BE"/>
    <w:rsid w:val="00BE14A9"/>
    <w:rsid w:val="00BE2180"/>
    <w:rsid w:val="00BE266B"/>
    <w:rsid w:val="00BE3DCE"/>
    <w:rsid w:val="00BE4247"/>
    <w:rsid w:val="00BE4275"/>
    <w:rsid w:val="00BE4705"/>
    <w:rsid w:val="00BE5A07"/>
    <w:rsid w:val="00BF02F6"/>
    <w:rsid w:val="00BF031D"/>
    <w:rsid w:val="00BF2433"/>
    <w:rsid w:val="00BF5DA6"/>
    <w:rsid w:val="00BF61C9"/>
    <w:rsid w:val="00BF6768"/>
    <w:rsid w:val="00C009F1"/>
    <w:rsid w:val="00C01AC6"/>
    <w:rsid w:val="00C01D6B"/>
    <w:rsid w:val="00C02085"/>
    <w:rsid w:val="00C035B7"/>
    <w:rsid w:val="00C03975"/>
    <w:rsid w:val="00C03E2E"/>
    <w:rsid w:val="00C052EB"/>
    <w:rsid w:val="00C06BC0"/>
    <w:rsid w:val="00C074BB"/>
    <w:rsid w:val="00C10757"/>
    <w:rsid w:val="00C11D3D"/>
    <w:rsid w:val="00C12D97"/>
    <w:rsid w:val="00C22E56"/>
    <w:rsid w:val="00C2360A"/>
    <w:rsid w:val="00C25380"/>
    <w:rsid w:val="00C25418"/>
    <w:rsid w:val="00C25D9C"/>
    <w:rsid w:val="00C30B31"/>
    <w:rsid w:val="00C31009"/>
    <w:rsid w:val="00C31491"/>
    <w:rsid w:val="00C31649"/>
    <w:rsid w:val="00C345FD"/>
    <w:rsid w:val="00C3623E"/>
    <w:rsid w:val="00C40385"/>
    <w:rsid w:val="00C4138E"/>
    <w:rsid w:val="00C4139F"/>
    <w:rsid w:val="00C43768"/>
    <w:rsid w:val="00C44F6F"/>
    <w:rsid w:val="00C50A00"/>
    <w:rsid w:val="00C50CB1"/>
    <w:rsid w:val="00C5168F"/>
    <w:rsid w:val="00C53BCF"/>
    <w:rsid w:val="00C53D70"/>
    <w:rsid w:val="00C56067"/>
    <w:rsid w:val="00C57ABA"/>
    <w:rsid w:val="00C606A6"/>
    <w:rsid w:val="00C61085"/>
    <w:rsid w:val="00C610E9"/>
    <w:rsid w:val="00C618AE"/>
    <w:rsid w:val="00C63D51"/>
    <w:rsid w:val="00C64D07"/>
    <w:rsid w:val="00C64E8A"/>
    <w:rsid w:val="00C65576"/>
    <w:rsid w:val="00C66165"/>
    <w:rsid w:val="00C66421"/>
    <w:rsid w:val="00C6659A"/>
    <w:rsid w:val="00C67A42"/>
    <w:rsid w:val="00C71A68"/>
    <w:rsid w:val="00C71EDF"/>
    <w:rsid w:val="00C720FE"/>
    <w:rsid w:val="00C72978"/>
    <w:rsid w:val="00C72F1E"/>
    <w:rsid w:val="00C74838"/>
    <w:rsid w:val="00C750C8"/>
    <w:rsid w:val="00C755AD"/>
    <w:rsid w:val="00C815B7"/>
    <w:rsid w:val="00C81D87"/>
    <w:rsid w:val="00C8213F"/>
    <w:rsid w:val="00C82ED1"/>
    <w:rsid w:val="00C85857"/>
    <w:rsid w:val="00C86BE2"/>
    <w:rsid w:val="00C8797A"/>
    <w:rsid w:val="00C87DB3"/>
    <w:rsid w:val="00C91369"/>
    <w:rsid w:val="00C915A5"/>
    <w:rsid w:val="00C920E6"/>
    <w:rsid w:val="00C938CF"/>
    <w:rsid w:val="00C94661"/>
    <w:rsid w:val="00C94C65"/>
    <w:rsid w:val="00C96C27"/>
    <w:rsid w:val="00C96D81"/>
    <w:rsid w:val="00CA1B7B"/>
    <w:rsid w:val="00CA22A8"/>
    <w:rsid w:val="00CA3345"/>
    <w:rsid w:val="00CA3D54"/>
    <w:rsid w:val="00CA41EB"/>
    <w:rsid w:val="00CA47CB"/>
    <w:rsid w:val="00CA4D34"/>
    <w:rsid w:val="00CA4DC1"/>
    <w:rsid w:val="00CA5245"/>
    <w:rsid w:val="00CA59DA"/>
    <w:rsid w:val="00CA5B37"/>
    <w:rsid w:val="00CA5E0A"/>
    <w:rsid w:val="00CA6054"/>
    <w:rsid w:val="00CA6493"/>
    <w:rsid w:val="00CA7B09"/>
    <w:rsid w:val="00CB01B1"/>
    <w:rsid w:val="00CB0349"/>
    <w:rsid w:val="00CB0424"/>
    <w:rsid w:val="00CB0B5C"/>
    <w:rsid w:val="00CB204B"/>
    <w:rsid w:val="00CB3EA2"/>
    <w:rsid w:val="00CB482D"/>
    <w:rsid w:val="00CB5B1A"/>
    <w:rsid w:val="00CB5BAA"/>
    <w:rsid w:val="00CB5C7A"/>
    <w:rsid w:val="00CB6A68"/>
    <w:rsid w:val="00CB6BD5"/>
    <w:rsid w:val="00CC19CF"/>
    <w:rsid w:val="00CC211D"/>
    <w:rsid w:val="00CC2B4C"/>
    <w:rsid w:val="00CC2BFA"/>
    <w:rsid w:val="00CC3982"/>
    <w:rsid w:val="00CC4CDB"/>
    <w:rsid w:val="00CC6A7F"/>
    <w:rsid w:val="00CC7215"/>
    <w:rsid w:val="00CD16F7"/>
    <w:rsid w:val="00CD4435"/>
    <w:rsid w:val="00CD4819"/>
    <w:rsid w:val="00CD6ADC"/>
    <w:rsid w:val="00CE1484"/>
    <w:rsid w:val="00CE2FBE"/>
    <w:rsid w:val="00CE6274"/>
    <w:rsid w:val="00CF0886"/>
    <w:rsid w:val="00CF456B"/>
    <w:rsid w:val="00CF4A5C"/>
    <w:rsid w:val="00CF5899"/>
    <w:rsid w:val="00CF5A22"/>
    <w:rsid w:val="00CF5B44"/>
    <w:rsid w:val="00CF6690"/>
    <w:rsid w:val="00CF6DDB"/>
    <w:rsid w:val="00CF75AE"/>
    <w:rsid w:val="00D0262E"/>
    <w:rsid w:val="00D02B10"/>
    <w:rsid w:val="00D034E4"/>
    <w:rsid w:val="00D03D8D"/>
    <w:rsid w:val="00D040E6"/>
    <w:rsid w:val="00D0427C"/>
    <w:rsid w:val="00D0642D"/>
    <w:rsid w:val="00D06519"/>
    <w:rsid w:val="00D10C69"/>
    <w:rsid w:val="00D110BD"/>
    <w:rsid w:val="00D12192"/>
    <w:rsid w:val="00D12805"/>
    <w:rsid w:val="00D13112"/>
    <w:rsid w:val="00D1445B"/>
    <w:rsid w:val="00D15B6E"/>
    <w:rsid w:val="00D163D9"/>
    <w:rsid w:val="00D16742"/>
    <w:rsid w:val="00D17221"/>
    <w:rsid w:val="00D17941"/>
    <w:rsid w:val="00D17D6C"/>
    <w:rsid w:val="00D20B99"/>
    <w:rsid w:val="00D22C8E"/>
    <w:rsid w:val="00D22D40"/>
    <w:rsid w:val="00D2442E"/>
    <w:rsid w:val="00D30CEF"/>
    <w:rsid w:val="00D3257B"/>
    <w:rsid w:val="00D3318B"/>
    <w:rsid w:val="00D3474A"/>
    <w:rsid w:val="00D34869"/>
    <w:rsid w:val="00D35397"/>
    <w:rsid w:val="00D357FF"/>
    <w:rsid w:val="00D367FD"/>
    <w:rsid w:val="00D37E7A"/>
    <w:rsid w:val="00D4296E"/>
    <w:rsid w:val="00D45BA7"/>
    <w:rsid w:val="00D478FE"/>
    <w:rsid w:val="00D50289"/>
    <w:rsid w:val="00D50E32"/>
    <w:rsid w:val="00D53500"/>
    <w:rsid w:val="00D543A0"/>
    <w:rsid w:val="00D5494B"/>
    <w:rsid w:val="00D54A12"/>
    <w:rsid w:val="00D54AAC"/>
    <w:rsid w:val="00D608A1"/>
    <w:rsid w:val="00D63B22"/>
    <w:rsid w:val="00D6454D"/>
    <w:rsid w:val="00D65C40"/>
    <w:rsid w:val="00D65FBD"/>
    <w:rsid w:val="00D675C0"/>
    <w:rsid w:val="00D70F26"/>
    <w:rsid w:val="00D71A99"/>
    <w:rsid w:val="00D71BA3"/>
    <w:rsid w:val="00D73979"/>
    <w:rsid w:val="00D745F6"/>
    <w:rsid w:val="00D74B69"/>
    <w:rsid w:val="00D74BA6"/>
    <w:rsid w:val="00D76A44"/>
    <w:rsid w:val="00D80EA8"/>
    <w:rsid w:val="00D812A7"/>
    <w:rsid w:val="00D81DD5"/>
    <w:rsid w:val="00D83BF2"/>
    <w:rsid w:val="00D84D1E"/>
    <w:rsid w:val="00D84EB5"/>
    <w:rsid w:val="00D85E3C"/>
    <w:rsid w:val="00D90899"/>
    <w:rsid w:val="00D9112C"/>
    <w:rsid w:val="00D91ADD"/>
    <w:rsid w:val="00D92278"/>
    <w:rsid w:val="00D93753"/>
    <w:rsid w:val="00D93C33"/>
    <w:rsid w:val="00D9634D"/>
    <w:rsid w:val="00DA1C39"/>
    <w:rsid w:val="00DA2234"/>
    <w:rsid w:val="00DA346B"/>
    <w:rsid w:val="00DA4EFA"/>
    <w:rsid w:val="00DA5473"/>
    <w:rsid w:val="00DA77A5"/>
    <w:rsid w:val="00DA7C3F"/>
    <w:rsid w:val="00DB07A8"/>
    <w:rsid w:val="00DB64E1"/>
    <w:rsid w:val="00DB64FD"/>
    <w:rsid w:val="00DB6965"/>
    <w:rsid w:val="00DB7530"/>
    <w:rsid w:val="00DB7B82"/>
    <w:rsid w:val="00DC201F"/>
    <w:rsid w:val="00DC26DC"/>
    <w:rsid w:val="00DC362B"/>
    <w:rsid w:val="00DC387A"/>
    <w:rsid w:val="00DC3D3F"/>
    <w:rsid w:val="00DC5501"/>
    <w:rsid w:val="00DC627E"/>
    <w:rsid w:val="00DC7460"/>
    <w:rsid w:val="00DD1B1F"/>
    <w:rsid w:val="00DD3363"/>
    <w:rsid w:val="00DD3443"/>
    <w:rsid w:val="00DD37C6"/>
    <w:rsid w:val="00DD3F28"/>
    <w:rsid w:val="00DD4537"/>
    <w:rsid w:val="00DD4E15"/>
    <w:rsid w:val="00DD6694"/>
    <w:rsid w:val="00DD6DB4"/>
    <w:rsid w:val="00DE008F"/>
    <w:rsid w:val="00DE018B"/>
    <w:rsid w:val="00DE187C"/>
    <w:rsid w:val="00DE266B"/>
    <w:rsid w:val="00DE3B3B"/>
    <w:rsid w:val="00DE494F"/>
    <w:rsid w:val="00DE4FCB"/>
    <w:rsid w:val="00DE55C7"/>
    <w:rsid w:val="00DE563A"/>
    <w:rsid w:val="00DE6DA1"/>
    <w:rsid w:val="00DF0D3A"/>
    <w:rsid w:val="00DF167D"/>
    <w:rsid w:val="00DF1804"/>
    <w:rsid w:val="00DF20CA"/>
    <w:rsid w:val="00DF4329"/>
    <w:rsid w:val="00DF5D2B"/>
    <w:rsid w:val="00DF5D80"/>
    <w:rsid w:val="00DF72BA"/>
    <w:rsid w:val="00E0105E"/>
    <w:rsid w:val="00E01409"/>
    <w:rsid w:val="00E05B8E"/>
    <w:rsid w:val="00E07476"/>
    <w:rsid w:val="00E07D1D"/>
    <w:rsid w:val="00E10149"/>
    <w:rsid w:val="00E11D60"/>
    <w:rsid w:val="00E13732"/>
    <w:rsid w:val="00E154DA"/>
    <w:rsid w:val="00E1605B"/>
    <w:rsid w:val="00E16372"/>
    <w:rsid w:val="00E17454"/>
    <w:rsid w:val="00E17FED"/>
    <w:rsid w:val="00E2052C"/>
    <w:rsid w:val="00E20ED6"/>
    <w:rsid w:val="00E21358"/>
    <w:rsid w:val="00E2249B"/>
    <w:rsid w:val="00E22A0D"/>
    <w:rsid w:val="00E23794"/>
    <w:rsid w:val="00E24D1F"/>
    <w:rsid w:val="00E24EC8"/>
    <w:rsid w:val="00E253DB"/>
    <w:rsid w:val="00E256FB"/>
    <w:rsid w:val="00E263A8"/>
    <w:rsid w:val="00E2771E"/>
    <w:rsid w:val="00E2795C"/>
    <w:rsid w:val="00E30A1E"/>
    <w:rsid w:val="00E30C7B"/>
    <w:rsid w:val="00E338B3"/>
    <w:rsid w:val="00E33BFE"/>
    <w:rsid w:val="00E35226"/>
    <w:rsid w:val="00E36237"/>
    <w:rsid w:val="00E36D66"/>
    <w:rsid w:val="00E37569"/>
    <w:rsid w:val="00E401B1"/>
    <w:rsid w:val="00E4028E"/>
    <w:rsid w:val="00E41E30"/>
    <w:rsid w:val="00E4243C"/>
    <w:rsid w:val="00E42618"/>
    <w:rsid w:val="00E43D70"/>
    <w:rsid w:val="00E44605"/>
    <w:rsid w:val="00E451A2"/>
    <w:rsid w:val="00E47B2C"/>
    <w:rsid w:val="00E501AB"/>
    <w:rsid w:val="00E51560"/>
    <w:rsid w:val="00E53686"/>
    <w:rsid w:val="00E551CD"/>
    <w:rsid w:val="00E55424"/>
    <w:rsid w:val="00E55BB5"/>
    <w:rsid w:val="00E60CDD"/>
    <w:rsid w:val="00E61CFE"/>
    <w:rsid w:val="00E622FF"/>
    <w:rsid w:val="00E65E79"/>
    <w:rsid w:val="00E67416"/>
    <w:rsid w:val="00E67B06"/>
    <w:rsid w:val="00E70025"/>
    <w:rsid w:val="00E718B6"/>
    <w:rsid w:val="00E724F4"/>
    <w:rsid w:val="00E73581"/>
    <w:rsid w:val="00E73694"/>
    <w:rsid w:val="00E73C5A"/>
    <w:rsid w:val="00E75212"/>
    <w:rsid w:val="00E76016"/>
    <w:rsid w:val="00E76342"/>
    <w:rsid w:val="00E82126"/>
    <w:rsid w:val="00E83885"/>
    <w:rsid w:val="00E83BDF"/>
    <w:rsid w:val="00E86BDC"/>
    <w:rsid w:val="00E872D9"/>
    <w:rsid w:val="00E908C4"/>
    <w:rsid w:val="00E915D9"/>
    <w:rsid w:val="00E91B78"/>
    <w:rsid w:val="00E922AC"/>
    <w:rsid w:val="00E92C27"/>
    <w:rsid w:val="00E951B2"/>
    <w:rsid w:val="00E9706A"/>
    <w:rsid w:val="00E975B1"/>
    <w:rsid w:val="00EA1AF3"/>
    <w:rsid w:val="00EA2D61"/>
    <w:rsid w:val="00EA2D93"/>
    <w:rsid w:val="00EA3864"/>
    <w:rsid w:val="00EA51B1"/>
    <w:rsid w:val="00EA5712"/>
    <w:rsid w:val="00EA7B8B"/>
    <w:rsid w:val="00EB04C0"/>
    <w:rsid w:val="00EB15B6"/>
    <w:rsid w:val="00EB26C6"/>
    <w:rsid w:val="00EB465B"/>
    <w:rsid w:val="00EB4916"/>
    <w:rsid w:val="00EB51DF"/>
    <w:rsid w:val="00EB7D5F"/>
    <w:rsid w:val="00EB7E87"/>
    <w:rsid w:val="00EC00C9"/>
    <w:rsid w:val="00EC1117"/>
    <w:rsid w:val="00EC1A16"/>
    <w:rsid w:val="00EC1DC7"/>
    <w:rsid w:val="00EC6961"/>
    <w:rsid w:val="00EC6A68"/>
    <w:rsid w:val="00ED0975"/>
    <w:rsid w:val="00ED150C"/>
    <w:rsid w:val="00ED1590"/>
    <w:rsid w:val="00ED1B97"/>
    <w:rsid w:val="00ED26A2"/>
    <w:rsid w:val="00ED2A7B"/>
    <w:rsid w:val="00ED377B"/>
    <w:rsid w:val="00ED382B"/>
    <w:rsid w:val="00ED3BEA"/>
    <w:rsid w:val="00ED451E"/>
    <w:rsid w:val="00ED47F4"/>
    <w:rsid w:val="00ED778F"/>
    <w:rsid w:val="00ED7A1E"/>
    <w:rsid w:val="00EE03A0"/>
    <w:rsid w:val="00EE07D3"/>
    <w:rsid w:val="00EE18A2"/>
    <w:rsid w:val="00EE1C51"/>
    <w:rsid w:val="00EE25E9"/>
    <w:rsid w:val="00EE34A7"/>
    <w:rsid w:val="00EE492E"/>
    <w:rsid w:val="00EE5051"/>
    <w:rsid w:val="00EE6A70"/>
    <w:rsid w:val="00EF02F0"/>
    <w:rsid w:val="00EF0A09"/>
    <w:rsid w:val="00EF2737"/>
    <w:rsid w:val="00EF3AE5"/>
    <w:rsid w:val="00EF621D"/>
    <w:rsid w:val="00F01489"/>
    <w:rsid w:val="00F02B48"/>
    <w:rsid w:val="00F03082"/>
    <w:rsid w:val="00F03B41"/>
    <w:rsid w:val="00F067A2"/>
    <w:rsid w:val="00F105C4"/>
    <w:rsid w:val="00F13A53"/>
    <w:rsid w:val="00F1447D"/>
    <w:rsid w:val="00F15A7A"/>
    <w:rsid w:val="00F17441"/>
    <w:rsid w:val="00F2062F"/>
    <w:rsid w:val="00F22DBC"/>
    <w:rsid w:val="00F23FC4"/>
    <w:rsid w:val="00F24623"/>
    <w:rsid w:val="00F24837"/>
    <w:rsid w:val="00F2575F"/>
    <w:rsid w:val="00F262D6"/>
    <w:rsid w:val="00F303A4"/>
    <w:rsid w:val="00F33DE9"/>
    <w:rsid w:val="00F3561F"/>
    <w:rsid w:val="00F3619A"/>
    <w:rsid w:val="00F36A8F"/>
    <w:rsid w:val="00F36F72"/>
    <w:rsid w:val="00F409C6"/>
    <w:rsid w:val="00F413BA"/>
    <w:rsid w:val="00F41D9A"/>
    <w:rsid w:val="00F42DA1"/>
    <w:rsid w:val="00F43436"/>
    <w:rsid w:val="00F440D0"/>
    <w:rsid w:val="00F44A40"/>
    <w:rsid w:val="00F44FFC"/>
    <w:rsid w:val="00F46CB6"/>
    <w:rsid w:val="00F54C37"/>
    <w:rsid w:val="00F550A1"/>
    <w:rsid w:val="00F5512C"/>
    <w:rsid w:val="00F55E73"/>
    <w:rsid w:val="00F57512"/>
    <w:rsid w:val="00F60092"/>
    <w:rsid w:val="00F60738"/>
    <w:rsid w:val="00F6279A"/>
    <w:rsid w:val="00F66931"/>
    <w:rsid w:val="00F70A53"/>
    <w:rsid w:val="00F70BD8"/>
    <w:rsid w:val="00F7113F"/>
    <w:rsid w:val="00F71C5A"/>
    <w:rsid w:val="00F7401C"/>
    <w:rsid w:val="00F761CE"/>
    <w:rsid w:val="00F76FD3"/>
    <w:rsid w:val="00F80267"/>
    <w:rsid w:val="00F8061E"/>
    <w:rsid w:val="00F80E5D"/>
    <w:rsid w:val="00F81E29"/>
    <w:rsid w:val="00F82015"/>
    <w:rsid w:val="00F82BB2"/>
    <w:rsid w:val="00F8309E"/>
    <w:rsid w:val="00F83A3F"/>
    <w:rsid w:val="00F851CE"/>
    <w:rsid w:val="00F87612"/>
    <w:rsid w:val="00F92ECA"/>
    <w:rsid w:val="00F92FED"/>
    <w:rsid w:val="00F94581"/>
    <w:rsid w:val="00F95C73"/>
    <w:rsid w:val="00F97465"/>
    <w:rsid w:val="00F97A78"/>
    <w:rsid w:val="00FA05D9"/>
    <w:rsid w:val="00FA067F"/>
    <w:rsid w:val="00FA0E3D"/>
    <w:rsid w:val="00FA24E7"/>
    <w:rsid w:val="00FA4451"/>
    <w:rsid w:val="00FA4DFE"/>
    <w:rsid w:val="00FA5535"/>
    <w:rsid w:val="00FA632C"/>
    <w:rsid w:val="00FB00EC"/>
    <w:rsid w:val="00FB209E"/>
    <w:rsid w:val="00FB2846"/>
    <w:rsid w:val="00FB2FCB"/>
    <w:rsid w:val="00FB3144"/>
    <w:rsid w:val="00FB5207"/>
    <w:rsid w:val="00FB6789"/>
    <w:rsid w:val="00FC1074"/>
    <w:rsid w:val="00FC1884"/>
    <w:rsid w:val="00FC2085"/>
    <w:rsid w:val="00FC5336"/>
    <w:rsid w:val="00FC5607"/>
    <w:rsid w:val="00FC799F"/>
    <w:rsid w:val="00FD1546"/>
    <w:rsid w:val="00FD2100"/>
    <w:rsid w:val="00FD26A8"/>
    <w:rsid w:val="00FD2AE6"/>
    <w:rsid w:val="00FD2F1D"/>
    <w:rsid w:val="00FD446D"/>
    <w:rsid w:val="00FD52E0"/>
    <w:rsid w:val="00FD5A17"/>
    <w:rsid w:val="00FD64DF"/>
    <w:rsid w:val="00FE0771"/>
    <w:rsid w:val="00FE2B1E"/>
    <w:rsid w:val="00FE2E90"/>
    <w:rsid w:val="00FE3F30"/>
    <w:rsid w:val="00FE43E5"/>
    <w:rsid w:val="00FF0098"/>
    <w:rsid w:val="00FF048F"/>
    <w:rsid w:val="00FF1F16"/>
    <w:rsid w:val="00FF2934"/>
    <w:rsid w:val="00FF2BC7"/>
    <w:rsid w:val="00FF3967"/>
    <w:rsid w:val="00FF3DCF"/>
    <w:rsid w:val="00FF527C"/>
    <w:rsid w:val="00FF5AA3"/>
    <w:rsid w:val="00FF61F3"/>
    <w:rsid w:val="00FF6AD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PBACHeading1"/>
    <w:next w:val="Normal"/>
    <w:qFormat/>
    <w:rsid w:val="00E975B1"/>
    <w:pPr>
      <w:outlineLvl w:val="0"/>
    </w:pPr>
  </w:style>
  <w:style w:type="paragraph" w:styleId="Heading2">
    <w:name w:val="heading 2"/>
    <w:basedOn w:val="Normal"/>
    <w:next w:val="Normal"/>
    <w:link w:val="Heading2Char"/>
    <w:qFormat/>
    <w:rsid w:val="00E975B1"/>
    <w:pPr>
      <w:spacing w:after="200" w:line="276" w:lineRule="auto"/>
      <w:outlineLvl w:val="1"/>
    </w:pPr>
    <w:rPr>
      <w:b/>
      <w:bCs/>
      <w:szCs w:val="22"/>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E975B1"/>
    <w:rPr>
      <w:rFonts w:ascii="Arial" w:hAnsi="Arial" w:cs="Arial"/>
      <w:b/>
      <w:bCs/>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E975B1"/>
    <w:rPr>
      <w:sz w:val="28"/>
    </w:rPr>
  </w:style>
  <w:style w:type="character" w:customStyle="1" w:styleId="TitleChar">
    <w:name w:val="Title Char"/>
    <w:basedOn w:val="DefaultParagraphFont"/>
    <w:link w:val="Title"/>
    <w:rsid w:val="00E975B1"/>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aliases w:val="Comment Text Char Char Char,Comment Text Char Char"/>
    <w:basedOn w:val="Normal"/>
    <w:link w:val="CommentTextChar"/>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2"/>
      </w:numPr>
    </w:pPr>
    <w:rPr>
      <w:rFonts w:ascii="Arial" w:hAnsi="Arial" w:cs="Arial"/>
      <w:b/>
      <w:snapToGrid w:val="0"/>
      <w:sz w:val="22"/>
      <w:szCs w:val="22"/>
      <w:lang w:eastAsia="en-US"/>
    </w:rPr>
  </w:style>
  <w:style w:type="paragraph" w:customStyle="1" w:styleId="COMBody">
    <w:name w:val="COMBody"/>
    <w:basedOn w:val="Normal"/>
    <w:link w:val="COMBodyChar"/>
    <w:qFormat/>
    <w:rsid w:val="006801C3"/>
  </w:style>
  <w:style w:type="character" w:customStyle="1" w:styleId="COMBodyChar">
    <w:name w:val="COMBody Char"/>
    <w:basedOn w:val="DefaultParagraphFont"/>
    <w:link w:val="COMBody"/>
    <w:rsid w:val="006801C3"/>
    <w:rPr>
      <w:rFonts w:ascii="Arial" w:hAnsi="Arial" w:cs="Arial"/>
      <w:snapToGrid w:val="0"/>
      <w:sz w:val="22"/>
      <w:lang w:eastAsia="en-US"/>
    </w:rPr>
  </w:style>
  <w:style w:type="paragraph" w:styleId="FootnoteText">
    <w:name w:val="footnote text"/>
    <w:basedOn w:val="Normal"/>
    <w:link w:val="FootnoteTextChar"/>
    <w:semiHidden/>
    <w:unhideWhenUsed/>
    <w:rsid w:val="00D65FBD"/>
    <w:rPr>
      <w:sz w:val="20"/>
    </w:rPr>
  </w:style>
  <w:style w:type="character" w:customStyle="1" w:styleId="FootnoteTextChar">
    <w:name w:val="Footnote Text Char"/>
    <w:basedOn w:val="DefaultParagraphFont"/>
    <w:link w:val="FootnoteText"/>
    <w:semiHidden/>
    <w:rsid w:val="00D65FBD"/>
    <w:rPr>
      <w:rFonts w:ascii="Arial" w:hAnsi="Arial" w:cs="Arial"/>
      <w:snapToGrid w:val="0"/>
      <w:lang w:eastAsia="en-US"/>
    </w:rPr>
  </w:style>
  <w:style w:type="character" w:styleId="FootnoteReference">
    <w:name w:val="footnote reference"/>
    <w:basedOn w:val="DefaultParagraphFont"/>
    <w:semiHidden/>
    <w:unhideWhenUsed/>
    <w:rsid w:val="00D65FBD"/>
    <w:rPr>
      <w:vertAlign w:val="superscript"/>
    </w:rPr>
  </w:style>
  <w:style w:type="paragraph" w:customStyle="1" w:styleId="Table">
    <w:name w:val="Table"/>
    <w:basedOn w:val="Normal"/>
    <w:link w:val="TableChar"/>
    <w:qFormat/>
    <w:rsid w:val="00CC4CDB"/>
    <w:pPr>
      <w:widowControl/>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CC4CDB"/>
    <w:rPr>
      <w:rFonts w:ascii="Candara" w:eastAsiaTheme="majorEastAsia" w:hAnsi="Candara" w:cstheme="majorBidi"/>
      <w:szCs w:val="22"/>
      <w:lang w:eastAsia="en-US" w:bidi="en-US"/>
    </w:rPr>
  </w:style>
  <w:style w:type="paragraph" w:customStyle="1" w:styleId="COMtbl-HEADLeftAligned">
    <w:name w:val="COMtbl-HEAD Left Aligned"/>
    <w:basedOn w:val="Normal"/>
    <w:qFormat/>
    <w:rsid w:val="00977BBC"/>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977BBC"/>
    <w:pPr>
      <w:jc w:val="center"/>
    </w:pPr>
  </w:style>
  <w:style w:type="paragraph" w:customStyle="1" w:styleId="COMTbl-foot">
    <w:name w:val="COMTbl-foot"/>
    <w:basedOn w:val="TableFooter"/>
    <w:link w:val="COMTbl-footChar"/>
    <w:qFormat/>
    <w:rsid w:val="00977BBC"/>
    <w:rPr>
      <w:rFonts w:ascii="Arial" w:hAnsi="Arial"/>
    </w:rPr>
  </w:style>
  <w:style w:type="character" w:customStyle="1" w:styleId="COMTbl-footChar">
    <w:name w:val="COMTbl-foot Char"/>
    <w:basedOn w:val="DefaultParagraphFont"/>
    <w:link w:val="COMTbl-foot"/>
    <w:rsid w:val="00977BBC"/>
    <w:rPr>
      <w:rFonts w:ascii="Arial" w:hAnsi="Arial" w:cs="Arial"/>
      <w:snapToGrid w:val="0"/>
      <w:sz w:val="18"/>
      <w:lang w:eastAsia="en-US"/>
    </w:rPr>
  </w:style>
  <w:style w:type="paragraph" w:customStyle="1" w:styleId="COMtbl-textLeftAligned">
    <w:name w:val="COMtbl-text Left Aligned"/>
    <w:basedOn w:val="COMtbl-HEADLeftAligned"/>
    <w:qFormat/>
    <w:rsid w:val="00977BBC"/>
    <w:rPr>
      <w:b w:val="0"/>
    </w:rPr>
  </w:style>
  <w:style w:type="paragraph" w:customStyle="1" w:styleId="COMtbl-textCentred">
    <w:name w:val="COMtbl-text Centred"/>
    <w:basedOn w:val="COMtbl-HEADCentred"/>
    <w:qFormat/>
    <w:rsid w:val="00977BBC"/>
    <w:rPr>
      <w:b w:val="0"/>
    </w:rPr>
  </w:style>
  <w:style w:type="table" w:customStyle="1" w:styleId="TableGrid1">
    <w:name w:val="Table Grid1"/>
    <w:basedOn w:val="TableNormal"/>
    <w:next w:val="TableGrid"/>
    <w:uiPriority w:val="39"/>
    <w:rsid w:val="00A07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223B6"/>
    <w:pPr>
      <w:widowControl/>
      <w:spacing w:after="160" w:line="240" w:lineRule="exact"/>
      <w:jc w:val="left"/>
    </w:pPr>
    <w:rPr>
      <w:rFonts w:ascii="Verdana" w:eastAsia="MS Mincho" w:hAnsi="Verdana" w:cs="Verdana"/>
      <w:snapToGrid/>
      <w:sz w:val="20"/>
      <w:lang w:val="en-US"/>
    </w:rPr>
  </w:style>
  <w:style w:type="character" w:styleId="IntenseReference">
    <w:name w:val="Intense Reference"/>
    <w:basedOn w:val="DefaultParagraphFont"/>
    <w:uiPriority w:val="32"/>
    <w:qFormat/>
    <w:rsid w:val="00F24623"/>
    <w:rPr>
      <w:b/>
      <w:bCs/>
      <w:i/>
      <w:smallCaps/>
      <w:color w:val="C0504D" w:themeColor="accent2"/>
      <w:spacing w:val="5"/>
      <w:u w:val="none"/>
    </w:rPr>
  </w:style>
  <w:style w:type="character" w:customStyle="1" w:styleId="ListParagraphChar">
    <w:name w:val="List Paragraph Char"/>
    <w:basedOn w:val="DefaultParagraphFont"/>
    <w:link w:val="ListParagraph"/>
    <w:uiPriority w:val="72"/>
    <w:rsid w:val="006A1EE8"/>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PBACHeading1"/>
    <w:next w:val="Normal"/>
    <w:qFormat/>
    <w:rsid w:val="00E975B1"/>
    <w:pPr>
      <w:outlineLvl w:val="0"/>
    </w:pPr>
  </w:style>
  <w:style w:type="paragraph" w:styleId="Heading2">
    <w:name w:val="heading 2"/>
    <w:basedOn w:val="Normal"/>
    <w:next w:val="Normal"/>
    <w:link w:val="Heading2Char"/>
    <w:qFormat/>
    <w:rsid w:val="00E975B1"/>
    <w:pPr>
      <w:spacing w:after="200" w:line="276" w:lineRule="auto"/>
      <w:outlineLvl w:val="1"/>
    </w:pPr>
    <w:rPr>
      <w:b/>
      <w:bCs/>
      <w:szCs w:val="22"/>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E975B1"/>
    <w:rPr>
      <w:rFonts w:ascii="Arial" w:hAnsi="Arial" w:cs="Arial"/>
      <w:b/>
      <w:bCs/>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E975B1"/>
    <w:rPr>
      <w:sz w:val="28"/>
    </w:rPr>
  </w:style>
  <w:style w:type="character" w:customStyle="1" w:styleId="TitleChar">
    <w:name w:val="Title Char"/>
    <w:basedOn w:val="DefaultParagraphFont"/>
    <w:link w:val="Title"/>
    <w:rsid w:val="00E975B1"/>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aliases w:val="Comment Text Char Char Char,Comment Text Char Char"/>
    <w:basedOn w:val="Normal"/>
    <w:link w:val="CommentTextChar"/>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2"/>
      </w:numPr>
    </w:pPr>
    <w:rPr>
      <w:rFonts w:ascii="Arial" w:hAnsi="Arial" w:cs="Arial"/>
      <w:b/>
      <w:snapToGrid w:val="0"/>
      <w:sz w:val="22"/>
      <w:szCs w:val="22"/>
      <w:lang w:eastAsia="en-US"/>
    </w:rPr>
  </w:style>
  <w:style w:type="paragraph" w:customStyle="1" w:styleId="COMBody">
    <w:name w:val="COMBody"/>
    <w:basedOn w:val="Normal"/>
    <w:link w:val="COMBodyChar"/>
    <w:qFormat/>
    <w:rsid w:val="006801C3"/>
  </w:style>
  <w:style w:type="character" w:customStyle="1" w:styleId="COMBodyChar">
    <w:name w:val="COMBody Char"/>
    <w:basedOn w:val="DefaultParagraphFont"/>
    <w:link w:val="COMBody"/>
    <w:rsid w:val="006801C3"/>
    <w:rPr>
      <w:rFonts w:ascii="Arial" w:hAnsi="Arial" w:cs="Arial"/>
      <w:snapToGrid w:val="0"/>
      <w:sz w:val="22"/>
      <w:lang w:eastAsia="en-US"/>
    </w:rPr>
  </w:style>
  <w:style w:type="paragraph" w:styleId="FootnoteText">
    <w:name w:val="footnote text"/>
    <w:basedOn w:val="Normal"/>
    <w:link w:val="FootnoteTextChar"/>
    <w:semiHidden/>
    <w:unhideWhenUsed/>
    <w:rsid w:val="00D65FBD"/>
    <w:rPr>
      <w:sz w:val="20"/>
    </w:rPr>
  </w:style>
  <w:style w:type="character" w:customStyle="1" w:styleId="FootnoteTextChar">
    <w:name w:val="Footnote Text Char"/>
    <w:basedOn w:val="DefaultParagraphFont"/>
    <w:link w:val="FootnoteText"/>
    <w:semiHidden/>
    <w:rsid w:val="00D65FBD"/>
    <w:rPr>
      <w:rFonts w:ascii="Arial" w:hAnsi="Arial" w:cs="Arial"/>
      <w:snapToGrid w:val="0"/>
      <w:lang w:eastAsia="en-US"/>
    </w:rPr>
  </w:style>
  <w:style w:type="character" w:styleId="FootnoteReference">
    <w:name w:val="footnote reference"/>
    <w:basedOn w:val="DefaultParagraphFont"/>
    <w:semiHidden/>
    <w:unhideWhenUsed/>
    <w:rsid w:val="00D65FBD"/>
    <w:rPr>
      <w:vertAlign w:val="superscript"/>
    </w:rPr>
  </w:style>
  <w:style w:type="paragraph" w:customStyle="1" w:styleId="Table">
    <w:name w:val="Table"/>
    <w:basedOn w:val="Normal"/>
    <w:link w:val="TableChar"/>
    <w:qFormat/>
    <w:rsid w:val="00CC4CDB"/>
    <w:pPr>
      <w:widowControl/>
    </w:pPr>
    <w:rPr>
      <w:rFonts w:ascii="Candara" w:eastAsiaTheme="majorEastAsia" w:hAnsi="Candara" w:cstheme="majorBidi"/>
      <w:snapToGrid/>
      <w:sz w:val="20"/>
      <w:szCs w:val="22"/>
      <w:lang w:bidi="en-US"/>
    </w:rPr>
  </w:style>
  <w:style w:type="character" w:customStyle="1" w:styleId="TableChar">
    <w:name w:val="Table Char"/>
    <w:basedOn w:val="DefaultParagraphFont"/>
    <w:link w:val="Table"/>
    <w:locked/>
    <w:rsid w:val="00CC4CDB"/>
    <w:rPr>
      <w:rFonts w:ascii="Candara" w:eastAsiaTheme="majorEastAsia" w:hAnsi="Candara" w:cstheme="majorBidi"/>
      <w:szCs w:val="22"/>
      <w:lang w:eastAsia="en-US" w:bidi="en-US"/>
    </w:rPr>
  </w:style>
  <w:style w:type="paragraph" w:customStyle="1" w:styleId="COMtbl-HEADLeftAligned">
    <w:name w:val="COMtbl-HEAD Left Aligned"/>
    <w:basedOn w:val="Normal"/>
    <w:qFormat/>
    <w:rsid w:val="00977BBC"/>
    <w:pPr>
      <w:tabs>
        <w:tab w:val="left" w:pos="720"/>
      </w:tabs>
      <w:jc w:val="left"/>
    </w:pPr>
    <w:rPr>
      <w:rFonts w:ascii="Arial Narrow" w:hAnsi="Arial Narrow"/>
      <w:b/>
      <w:sz w:val="20"/>
    </w:rPr>
  </w:style>
  <w:style w:type="paragraph" w:customStyle="1" w:styleId="COMtbl-HEADCentred">
    <w:name w:val="COMtbl-HEAD Centred"/>
    <w:basedOn w:val="COMtbl-HEADLeftAligned"/>
    <w:qFormat/>
    <w:rsid w:val="00977BBC"/>
    <w:pPr>
      <w:jc w:val="center"/>
    </w:pPr>
  </w:style>
  <w:style w:type="paragraph" w:customStyle="1" w:styleId="COMTbl-foot">
    <w:name w:val="COMTbl-foot"/>
    <w:basedOn w:val="TableFooter"/>
    <w:link w:val="COMTbl-footChar"/>
    <w:qFormat/>
    <w:rsid w:val="00977BBC"/>
    <w:rPr>
      <w:rFonts w:ascii="Arial" w:hAnsi="Arial"/>
    </w:rPr>
  </w:style>
  <w:style w:type="character" w:customStyle="1" w:styleId="COMTbl-footChar">
    <w:name w:val="COMTbl-foot Char"/>
    <w:basedOn w:val="DefaultParagraphFont"/>
    <w:link w:val="COMTbl-foot"/>
    <w:rsid w:val="00977BBC"/>
    <w:rPr>
      <w:rFonts w:ascii="Arial" w:hAnsi="Arial" w:cs="Arial"/>
      <w:snapToGrid w:val="0"/>
      <w:sz w:val="18"/>
      <w:lang w:eastAsia="en-US"/>
    </w:rPr>
  </w:style>
  <w:style w:type="paragraph" w:customStyle="1" w:styleId="COMtbl-textLeftAligned">
    <w:name w:val="COMtbl-text Left Aligned"/>
    <w:basedOn w:val="COMtbl-HEADLeftAligned"/>
    <w:qFormat/>
    <w:rsid w:val="00977BBC"/>
    <w:rPr>
      <w:b w:val="0"/>
    </w:rPr>
  </w:style>
  <w:style w:type="paragraph" w:customStyle="1" w:styleId="COMtbl-textCentred">
    <w:name w:val="COMtbl-text Centred"/>
    <w:basedOn w:val="COMtbl-HEADCentred"/>
    <w:qFormat/>
    <w:rsid w:val="00977BBC"/>
    <w:rPr>
      <w:b w:val="0"/>
    </w:rPr>
  </w:style>
  <w:style w:type="table" w:customStyle="1" w:styleId="TableGrid1">
    <w:name w:val="Table Grid1"/>
    <w:basedOn w:val="TableNormal"/>
    <w:next w:val="TableGrid"/>
    <w:uiPriority w:val="39"/>
    <w:rsid w:val="00A07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8223B6"/>
    <w:pPr>
      <w:widowControl/>
      <w:spacing w:after="160" w:line="240" w:lineRule="exact"/>
      <w:jc w:val="left"/>
    </w:pPr>
    <w:rPr>
      <w:rFonts w:ascii="Verdana" w:eastAsia="MS Mincho" w:hAnsi="Verdana" w:cs="Verdana"/>
      <w:snapToGrid/>
      <w:sz w:val="20"/>
      <w:lang w:val="en-US"/>
    </w:rPr>
  </w:style>
  <w:style w:type="character" w:styleId="IntenseReference">
    <w:name w:val="Intense Reference"/>
    <w:basedOn w:val="DefaultParagraphFont"/>
    <w:uiPriority w:val="32"/>
    <w:qFormat/>
    <w:rsid w:val="00F24623"/>
    <w:rPr>
      <w:b/>
      <w:bCs/>
      <w:i/>
      <w:smallCaps/>
      <w:color w:val="C0504D" w:themeColor="accent2"/>
      <w:spacing w:val="5"/>
      <w:u w:val="none"/>
    </w:rPr>
  </w:style>
  <w:style w:type="character" w:customStyle="1" w:styleId="ListParagraphChar">
    <w:name w:val="List Paragraph Char"/>
    <w:basedOn w:val="DefaultParagraphFont"/>
    <w:link w:val="ListParagraph"/>
    <w:uiPriority w:val="72"/>
    <w:rsid w:val="006A1EE8"/>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2276">
      <w:bodyDiv w:val="1"/>
      <w:marLeft w:val="0"/>
      <w:marRight w:val="0"/>
      <w:marTop w:val="0"/>
      <w:marBottom w:val="0"/>
      <w:divBdr>
        <w:top w:val="none" w:sz="0" w:space="0" w:color="auto"/>
        <w:left w:val="none" w:sz="0" w:space="0" w:color="auto"/>
        <w:bottom w:val="none" w:sz="0" w:space="0" w:color="auto"/>
        <w:right w:val="none" w:sz="0" w:space="0" w:color="auto"/>
      </w:divBdr>
    </w:div>
    <w:div w:id="135803744">
      <w:bodyDiv w:val="1"/>
      <w:marLeft w:val="0"/>
      <w:marRight w:val="0"/>
      <w:marTop w:val="0"/>
      <w:marBottom w:val="0"/>
      <w:divBdr>
        <w:top w:val="none" w:sz="0" w:space="0" w:color="auto"/>
        <w:left w:val="none" w:sz="0" w:space="0" w:color="auto"/>
        <w:bottom w:val="none" w:sz="0" w:space="0" w:color="auto"/>
        <w:right w:val="none" w:sz="0" w:space="0" w:color="auto"/>
      </w:divBdr>
    </w:div>
    <w:div w:id="222957076">
      <w:bodyDiv w:val="1"/>
      <w:marLeft w:val="0"/>
      <w:marRight w:val="0"/>
      <w:marTop w:val="0"/>
      <w:marBottom w:val="0"/>
      <w:divBdr>
        <w:top w:val="none" w:sz="0" w:space="0" w:color="auto"/>
        <w:left w:val="none" w:sz="0" w:space="0" w:color="auto"/>
        <w:bottom w:val="none" w:sz="0" w:space="0" w:color="auto"/>
        <w:right w:val="none" w:sz="0" w:space="0" w:color="auto"/>
      </w:divBdr>
    </w:div>
    <w:div w:id="302277272">
      <w:bodyDiv w:val="1"/>
      <w:marLeft w:val="0"/>
      <w:marRight w:val="0"/>
      <w:marTop w:val="0"/>
      <w:marBottom w:val="0"/>
      <w:divBdr>
        <w:top w:val="none" w:sz="0" w:space="0" w:color="auto"/>
        <w:left w:val="none" w:sz="0" w:space="0" w:color="auto"/>
        <w:bottom w:val="none" w:sz="0" w:space="0" w:color="auto"/>
        <w:right w:val="none" w:sz="0" w:space="0" w:color="auto"/>
      </w:divBdr>
    </w:div>
    <w:div w:id="450637186">
      <w:bodyDiv w:val="1"/>
      <w:marLeft w:val="0"/>
      <w:marRight w:val="0"/>
      <w:marTop w:val="0"/>
      <w:marBottom w:val="0"/>
      <w:divBdr>
        <w:top w:val="none" w:sz="0" w:space="0" w:color="auto"/>
        <w:left w:val="none" w:sz="0" w:space="0" w:color="auto"/>
        <w:bottom w:val="none" w:sz="0" w:space="0" w:color="auto"/>
        <w:right w:val="none" w:sz="0" w:space="0" w:color="auto"/>
      </w:divBdr>
    </w:div>
    <w:div w:id="581721609">
      <w:bodyDiv w:val="1"/>
      <w:marLeft w:val="0"/>
      <w:marRight w:val="0"/>
      <w:marTop w:val="0"/>
      <w:marBottom w:val="0"/>
      <w:divBdr>
        <w:top w:val="none" w:sz="0" w:space="0" w:color="auto"/>
        <w:left w:val="none" w:sz="0" w:space="0" w:color="auto"/>
        <w:bottom w:val="none" w:sz="0" w:space="0" w:color="auto"/>
        <w:right w:val="none" w:sz="0" w:space="0" w:color="auto"/>
      </w:divBdr>
    </w:div>
    <w:div w:id="613096980">
      <w:bodyDiv w:val="1"/>
      <w:marLeft w:val="0"/>
      <w:marRight w:val="0"/>
      <w:marTop w:val="0"/>
      <w:marBottom w:val="0"/>
      <w:divBdr>
        <w:top w:val="none" w:sz="0" w:space="0" w:color="auto"/>
        <w:left w:val="none" w:sz="0" w:space="0" w:color="auto"/>
        <w:bottom w:val="none" w:sz="0" w:space="0" w:color="auto"/>
        <w:right w:val="none" w:sz="0" w:space="0" w:color="auto"/>
      </w:divBdr>
    </w:div>
    <w:div w:id="777598978">
      <w:bodyDiv w:val="1"/>
      <w:marLeft w:val="0"/>
      <w:marRight w:val="0"/>
      <w:marTop w:val="0"/>
      <w:marBottom w:val="0"/>
      <w:divBdr>
        <w:top w:val="none" w:sz="0" w:space="0" w:color="auto"/>
        <w:left w:val="none" w:sz="0" w:space="0" w:color="auto"/>
        <w:bottom w:val="none" w:sz="0" w:space="0" w:color="auto"/>
        <w:right w:val="none" w:sz="0" w:space="0" w:color="auto"/>
      </w:divBdr>
    </w:div>
    <w:div w:id="1015226673">
      <w:bodyDiv w:val="1"/>
      <w:marLeft w:val="0"/>
      <w:marRight w:val="0"/>
      <w:marTop w:val="0"/>
      <w:marBottom w:val="0"/>
      <w:divBdr>
        <w:top w:val="none" w:sz="0" w:space="0" w:color="auto"/>
        <w:left w:val="none" w:sz="0" w:space="0" w:color="auto"/>
        <w:bottom w:val="none" w:sz="0" w:space="0" w:color="auto"/>
        <w:right w:val="none" w:sz="0" w:space="0" w:color="auto"/>
      </w:divBdr>
    </w:div>
    <w:div w:id="1016224827">
      <w:bodyDiv w:val="1"/>
      <w:marLeft w:val="0"/>
      <w:marRight w:val="0"/>
      <w:marTop w:val="0"/>
      <w:marBottom w:val="0"/>
      <w:divBdr>
        <w:top w:val="none" w:sz="0" w:space="0" w:color="auto"/>
        <w:left w:val="none" w:sz="0" w:space="0" w:color="auto"/>
        <w:bottom w:val="none" w:sz="0" w:space="0" w:color="auto"/>
        <w:right w:val="none" w:sz="0" w:space="0" w:color="auto"/>
      </w:divBdr>
    </w:div>
    <w:div w:id="1482621533">
      <w:bodyDiv w:val="1"/>
      <w:marLeft w:val="0"/>
      <w:marRight w:val="0"/>
      <w:marTop w:val="0"/>
      <w:marBottom w:val="0"/>
      <w:divBdr>
        <w:top w:val="none" w:sz="0" w:space="0" w:color="auto"/>
        <w:left w:val="none" w:sz="0" w:space="0" w:color="auto"/>
        <w:bottom w:val="none" w:sz="0" w:space="0" w:color="auto"/>
        <w:right w:val="none" w:sz="0" w:space="0" w:color="auto"/>
      </w:divBdr>
    </w:div>
    <w:div w:id="1489637733">
      <w:bodyDiv w:val="1"/>
      <w:marLeft w:val="0"/>
      <w:marRight w:val="0"/>
      <w:marTop w:val="0"/>
      <w:marBottom w:val="0"/>
      <w:divBdr>
        <w:top w:val="none" w:sz="0" w:space="0" w:color="auto"/>
        <w:left w:val="none" w:sz="0" w:space="0" w:color="auto"/>
        <w:bottom w:val="none" w:sz="0" w:space="0" w:color="auto"/>
        <w:right w:val="none" w:sz="0" w:space="0" w:color="auto"/>
      </w:divBdr>
    </w:div>
    <w:div w:id="168867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80C94-C849-4024-B03D-780F383FA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4464</Words>
  <Characters>26358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6.10 LANREOTIDE</vt:lpstr>
    </vt:vector>
  </TitlesOfParts>
  <LinksUpToDate>false</LinksUpToDate>
  <CharactersWithSpaces>30761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6.10 LANREOTIDE</dc:title>
  <dc:creator/>
  <cp:lastModifiedBy/>
  <cp:revision>1</cp:revision>
  <dcterms:created xsi:type="dcterms:W3CDTF">2016-02-24T03:21:00Z</dcterms:created>
  <dcterms:modified xsi:type="dcterms:W3CDTF">2016-02-26T00:26:00Z</dcterms:modified>
</cp:coreProperties>
</file>