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F555AB" w:rsidRDefault="0031016E" w:rsidP="00F555AB">
      <w:pPr>
        <w:pStyle w:val="Title"/>
      </w:pPr>
      <w:r w:rsidRPr="00F555AB">
        <w:t>7.11</w:t>
      </w:r>
      <w:r w:rsidR="007C0F57" w:rsidRPr="00F555AB">
        <w:tab/>
      </w:r>
      <w:r w:rsidRPr="00F555AB">
        <w:t>ITRACONAZOLE</w:t>
      </w:r>
    </w:p>
    <w:p w:rsidR="004A27CE" w:rsidRPr="00F555AB" w:rsidRDefault="004A27CE" w:rsidP="00F555AB">
      <w:pPr>
        <w:pStyle w:val="Title"/>
        <w:ind w:hanging="11"/>
      </w:pPr>
      <w:r w:rsidRPr="00F555AB">
        <w:t>50 mg capsule, 60,</w:t>
      </w:r>
    </w:p>
    <w:p w:rsidR="00D3280C" w:rsidRPr="00F555AB" w:rsidRDefault="004A27CE" w:rsidP="00F555AB">
      <w:pPr>
        <w:pStyle w:val="Title"/>
        <w:ind w:hanging="11"/>
      </w:pPr>
      <w:proofErr w:type="spellStart"/>
      <w:r w:rsidRPr="00F555AB">
        <w:t>Lozanoc</w:t>
      </w:r>
      <w:proofErr w:type="spellEnd"/>
      <w:r w:rsidRPr="00F555AB">
        <w:t>®, Mayne Pharma International Ltd</w:t>
      </w:r>
    </w:p>
    <w:p w:rsidR="00C27B58" w:rsidRPr="0040045E" w:rsidRDefault="00C27B58" w:rsidP="00C27B58">
      <w:pPr>
        <w:pStyle w:val="NoSpacing"/>
      </w:pPr>
    </w:p>
    <w:p w:rsidR="00CE10C4" w:rsidRPr="00F555AB" w:rsidRDefault="00CE10C4" w:rsidP="00F555AB">
      <w:pPr>
        <w:pStyle w:val="Heading1"/>
      </w:pPr>
      <w:r w:rsidRPr="00F555AB">
        <w:t xml:space="preserve">Purpose of </w:t>
      </w:r>
      <w:r w:rsidR="0004240E" w:rsidRPr="00F555AB">
        <w:t>Application</w:t>
      </w:r>
    </w:p>
    <w:p w:rsidR="006A12A5" w:rsidRPr="0040045E" w:rsidRDefault="006A12A5" w:rsidP="00882085">
      <w:pPr>
        <w:jc w:val="both"/>
        <w:rPr>
          <w:rFonts w:ascii="Arial" w:hAnsi="Arial"/>
          <w:sz w:val="22"/>
          <w:szCs w:val="22"/>
        </w:rPr>
      </w:pPr>
    </w:p>
    <w:p w:rsidR="006A12A5" w:rsidRPr="0040045E" w:rsidRDefault="00EF44A0" w:rsidP="00882085">
      <w:pPr>
        <w:pStyle w:val="ListParagraph"/>
        <w:numPr>
          <w:ilvl w:val="1"/>
          <w:numId w:val="25"/>
        </w:numPr>
        <w:jc w:val="both"/>
        <w:rPr>
          <w:rFonts w:ascii="Arial" w:hAnsi="Arial"/>
          <w:b/>
          <w:sz w:val="22"/>
          <w:szCs w:val="22"/>
        </w:rPr>
      </w:pPr>
      <w:r w:rsidRPr="0040045E">
        <w:rPr>
          <w:rFonts w:ascii="Arial" w:hAnsi="Arial"/>
          <w:sz w:val="22"/>
          <w:szCs w:val="22"/>
        </w:rPr>
        <w:t>The mi</w:t>
      </w:r>
      <w:r w:rsidR="00FF2801" w:rsidRPr="0040045E">
        <w:rPr>
          <w:rFonts w:ascii="Arial" w:hAnsi="Arial"/>
          <w:sz w:val="22"/>
          <w:szCs w:val="22"/>
        </w:rPr>
        <w:t xml:space="preserve">nor </w:t>
      </w:r>
      <w:r w:rsidR="004A27CE" w:rsidRPr="0040045E">
        <w:rPr>
          <w:rFonts w:ascii="Arial" w:hAnsi="Arial"/>
          <w:sz w:val="22"/>
          <w:szCs w:val="22"/>
        </w:rPr>
        <w:t>re-submission r</w:t>
      </w:r>
      <w:r w:rsidR="00FF2801" w:rsidRPr="0040045E">
        <w:rPr>
          <w:rFonts w:ascii="Arial" w:hAnsi="Arial"/>
          <w:sz w:val="22"/>
          <w:szCs w:val="22"/>
        </w:rPr>
        <w:t>equested</w:t>
      </w:r>
      <w:r w:rsidR="004A27CE" w:rsidRPr="0040045E">
        <w:rPr>
          <w:rFonts w:ascii="Arial" w:hAnsi="Arial"/>
          <w:sz w:val="22"/>
          <w:szCs w:val="22"/>
        </w:rPr>
        <w:t xml:space="preserve"> Authority Required (STREAMLINED) listing of </w:t>
      </w:r>
      <w:proofErr w:type="spellStart"/>
      <w:r w:rsidR="004A27CE" w:rsidRPr="0040045E">
        <w:rPr>
          <w:rFonts w:ascii="Arial" w:hAnsi="Arial"/>
          <w:sz w:val="22"/>
          <w:szCs w:val="22"/>
        </w:rPr>
        <w:t>itraconazole</w:t>
      </w:r>
      <w:proofErr w:type="spellEnd"/>
      <w:r w:rsidR="004A27CE" w:rsidRPr="0040045E">
        <w:rPr>
          <w:rFonts w:ascii="Arial" w:hAnsi="Arial"/>
          <w:sz w:val="22"/>
          <w:szCs w:val="22"/>
        </w:rPr>
        <w:t xml:space="preserve"> 50 mg capsule (</w:t>
      </w:r>
      <w:proofErr w:type="spellStart"/>
      <w:r w:rsidR="004A27CE" w:rsidRPr="0040045E">
        <w:rPr>
          <w:rFonts w:ascii="Arial" w:hAnsi="Arial"/>
          <w:sz w:val="22"/>
          <w:szCs w:val="22"/>
        </w:rPr>
        <w:t>Lozanoc</w:t>
      </w:r>
      <w:proofErr w:type="spellEnd"/>
      <w:r w:rsidR="004A27CE" w:rsidRPr="0040045E">
        <w:rPr>
          <w:rFonts w:ascii="Arial" w:hAnsi="Arial"/>
          <w:sz w:val="22"/>
          <w:szCs w:val="22"/>
          <w:vertAlign w:val="superscript"/>
        </w:rPr>
        <w:t>®</w:t>
      </w:r>
      <w:r w:rsidR="004A27CE" w:rsidRPr="0040045E">
        <w:rPr>
          <w:rFonts w:ascii="Arial" w:hAnsi="Arial"/>
          <w:sz w:val="22"/>
          <w:szCs w:val="22"/>
        </w:rPr>
        <w:t xml:space="preserve">) for the same indications as the currently PBS-listed </w:t>
      </w:r>
      <w:proofErr w:type="spellStart"/>
      <w:r w:rsidR="004A27CE" w:rsidRPr="0040045E">
        <w:rPr>
          <w:rFonts w:ascii="Arial" w:hAnsi="Arial"/>
          <w:sz w:val="22"/>
          <w:szCs w:val="22"/>
        </w:rPr>
        <w:t>itraconazole</w:t>
      </w:r>
      <w:proofErr w:type="spellEnd"/>
      <w:r w:rsidR="004A27CE" w:rsidRPr="0040045E">
        <w:rPr>
          <w:rFonts w:ascii="Arial" w:hAnsi="Arial"/>
          <w:sz w:val="22"/>
          <w:szCs w:val="22"/>
        </w:rPr>
        <w:t xml:space="preserve"> 100 mg capsule (</w:t>
      </w:r>
      <w:proofErr w:type="spellStart"/>
      <w:r w:rsidR="004A27CE" w:rsidRPr="0040045E">
        <w:rPr>
          <w:rFonts w:ascii="Arial" w:hAnsi="Arial"/>
          <w:sz w:val="22"/>
          <w:szCs w:val="22"/>
        </w:rPr>
        <w:t>Sporanox</w:t>
      </w:r>
      <w:proofErr w:type="spellEnd"/>
      <w:r w:rsidR="004A27CE" w:rsidRPr="0040045E">
        <w:rPr>
          <w:rFonts w:ascii="Arial" w:hAnsi="Arial"/>
          <w:sz w:val="22"/>
          <w:szCs w:val="22"/>
          <w:vertAlign w:val="superscript"/>
        </w:rPr>
        <w:t>®</w:t>
      </w:r>
      <w:r w:rsidR="004A27CE" w:rsidRPr="0040045E">
        <w:rPr>
          <w:rFonts w:ascii="Arial" w:hAnsi="Arial"/>
          <w:sz w:val="22"/>
          <w:szCs w:val="22"/>
        </w:rPr>
        <w:t>).</w:t>
      </w:r>
    </w:p>
    <w:p w:rsidR="00EF44A0" w:rsidRPr="0040045E" w:rsidRDefault="00EF44A0" w:rsidP="00C27B58">
      <w:pPr>
        <w:pStyle w:val="NoSpacing"/>
      </w:pPr>
    </w:p>
    <w:p w:rsidR="00614159" w:rsidRPr="0040045E" w:rsidRDefault="006A12A5" w:rsidP="00F555AB">
      <w:pPr>
        <w:pStyle w:val="Heading1"/>
      </w:pPr>
      <w:r w:rsidRPr="0040045E">
        <w:t>Requested listing</w:t>
      </w:r>
    </w:p>
    <w:p w:rsidR="006A12A5" w:rsidRPr="0040045E" w:rsidRDefault="006A12A5" w:rsidP="00882085">
      <w:pPr>
        <w:jc w:val="both"/>
        <w:rPr>
          <w:rFonts w:ascii="Arial" w:hAnsi="Arial"/>
          <w:b/>
          <w:sz w:val="22"/>
          <w:szCs w:val="22"/>
        </w:rPr>
      </w:pPr>
    </w:p>
    <w:p w:rsidR="001A2666" w:rsidRPr="0040045E" w:rsidRDefault="00EE4B15" w:rsidP="001A2666">
      <w:pPr>
        <w:pStyle w:val="ListParagraph"/>
        <w:numPr>
          <w:ilvl w:val="1"/>
          <w:numId w:val="25"/>
        </w:numPr>
        <w:jc w:val="both"/>
        <w:rPr>
          <w:rFonts w:ascii="Arial" w:hAnsi="Arial"/>
          <w:sz w:val="22"/>
          <w:szCs w:val="22"/>
        </w:rPr>
      </w:pPr>
      <w:r w:rsidRPr="0040045E">
        <w:rPr>
          <w:rFonts w:ascii="Arial" w:hAnsi="Arial"/>
          <w:sz w:val="22"/>
          <w:szCs w:val="22"/>
        </w:rPr>
        <w:t>The submission sought the following new listing</w:t>
      </w:r>
      <w:r w:rsidR="00321EF1" w:rsidRPr="0040045E">
        <w:rPr>
          <w:rFonts w:ascii="Arial" w:hAnsi="Arial"/>
          <w:sz w:val="22"/>
          <w:szCs w:val="22"/>
        </w:rPr>
        <w:t>s</w:t>
      </w:r>
      <w:r w:rsidRPr="0040045E">
        <w:rPr>
          <w:rFonts w:ascii="Arial" w:hAnsi="Arial"/>
          <w:sz w:val="22"/>
          <w:szCs w:val="22"/>
        </w:rPr>
        <w:t xml:space="preserve">, in line with the indications of the current PBS-listing for </w:t>
      </w:r>
      <w:proofErr w:type="spellStart"/>
      <w:r w:rsidRPr="0040045E">
        <w:rPr>
          <w:rFonts w:ascii="Arial" w:hAnsi="Arial"/>
          <w:sz w:val="22"/>
          <w:szCs w:val="22"/>
        </w:rPr>
        <w:t>itraconazole</w:t>
      </w:r>
      <w:proofErr w:type="spellEnd"/>
      <w:r w:rsidRPr="0040045E">
        <w:rPr>
          <w:rFonts w:ascii="Arial" w:hAnsi="Arial"/>
          <w:sz w:val="22"/>
          <w:szCs w:val="22"/>
        </w:rPr>
        <w:t xml:space="preserve"> 100 mg</w:t>
      </w:r>
      <w:r w:rsidR="004A27CE" w:rsidRPr="0040045E">
        <w:rPr>
          <w:rFonts w:ascii="Arial" w:hAnsi="Arial"/>
          <w:sz w:val="22"/>
          <w:szCs w:val="22"/>
        </w:rPr>
        <w:t>.</w:t>
      </w:r>
      <w:r w:rsidR="001A2666" w:rsidRPr="0040045E">
        <w:rPr>
          <w:rFonts w:ascii="Arial" w:hAnsi="Arial"/>
          <w:sz w:val="22"/>
          <w:szCs w:val="22"/>
        </w:rPr>
        <w:t xml:space="preserve"> </w:t>
      </w:r>
    </w:p>
    <w:tbl>
      <w:tblPr>
        <w:tblW w:w="8789" w:type="dxa"/>
        <w:tblInd w:w="108" w:type="dxa"/>
        <w:tblLayout w:type="fixed"/>
        <w:tblLook w:val="0000" w:firstRow="0" w:lastRow="0" w:firstColumn="0" w:lastColumn="0" w:noHBand="0" w:noVBand="0"/>
        <w:tblCaption w:val="Requested PBS listing - systemic aspergillosis"/>
      </w:tblPr>
      <w:tblGrid>
        <w:gridCol w:w="2835"/>
        <w:gridCol w:w="426"/>
        <w:gridCol w:w="567"/>
        <w:gridCol w:w="850"/>
        <w:gridCol w:w="1701"/>
        <w:gridCol w:w="1559"/>
        <w:gridCol w:w="851"/>
      </w:tblGrid>
      <w:tr w:rsidR="002F4D10" w:rsidRPr="0040045E" w:rsidTr="001A2666">
        <w:trPr>
          <w:cantSplit/>
          <w:trHeight w:val="471"/>
        </w:trPr>
        <w:tc>
          <w:tcPr>
            <w:tcW w:w="3261"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Name, Restriction,</w:t>
            </w:r>
          </w:p>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Max.</w:t>
            </w:r>
          </w:p>
          <w:p w:rsidR="002F4D10" w:rsidRPr="0040045E" w:rsidRDefault="002F4D10" w:rsidP="001A2666">
            <w:pPr>
              <w:keepNext/>
              <w:ind w:left="-108"/>
              <w:rPr>
                <w:rFonts w:ascii="Arial Narrow" w:hAnsi="Arial Narrow" w:cs="Arial"/>
                <w:sz w:val="20"/>
                <w:szCs w:val="20"/>
              </w:rPr>
            </w:pPr>
            <w:proofErr w:type="spellStart"/>
            <w:r w:rsidRPr="0040045E">
              <w:rPr>
                <w:rFonts w:ascii="Arial Narrow" w:hAnsi="Arial Narrow" w:cs="Arial"/>
                <w:sz w:val="20"/>
                <w:szCs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№.of</w:t>
            </w:r>
          </w:p>
          <w:p w:rsidR="002F4D10" w:rsidRPr="0040045E" w:rsidRDefault="002F4D10" w:rsidP="001A2666">
            <w:pPr>
              <w:keepNext/>
              <w:ind w:left="-108"/>
              <w:rPr>
                <w:rFonts w:ascii="Arial Narrow" w:hAnsi="Arial Narrow" w:cs="Arial"/>
                <w:sz w:val="20"/>
                <w:szCs w:val="20"/>
              </w:rPr>
            </w:pPr>
            <w:proofErr w:type="spellStart"/>
            <w:r w:rsidRPr="0040045E">
              <w:rPr>
                <w:rFonts w:ascii="Arial Narrow" w:hAnsi="Arial Narrow" w:cs="Arial"/>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 xml:space="preserve">Dispensed Price for Max. </w:t>
            </w:r>
            <w:proofErr w:type="spellStart"/>
            <w:r w:rsidRPr="0040045E">
              <w:rPr>
                <w:rFonts w:ascii="Arial Narrow" w:hAnsi="Arial Narrow" w:cs="Arial"/>
                <w:sz w:val="20"/>
                <w:szCs w:val="20"/>
              </w:rPr>
              <w:t>Qty</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Proprietary Name and Manufacturer</w:t>
            </w:r>
          </w:p>
        </w:tc>
      </w:tr>
      <w:tr w:rsidR="002F4D10" w:rsidRPr="0040045E" w:rsidTr="001A2666">
        <w:trPr>
          <w:cantSplit/>
          <w:trHeight w:val="577"/>
        </w:trPr>
        <w:tc>
          <w:tcPr>
            <w:tcW w:w="3261"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jc w:val="both"/>
              <w:rPr>
                <w:rFonts w:ascii="Arial Narrow" w:hAnsi="Arial Narrow" w:cs="Arial"/>
                <w:sz w:val="20"/>
                <w:szCs w:val="20"/>
              </w:rPr>
            </w:pPr>
            <w:r w:rsidRPr="0040045E">
              <w:rPr>
                <w:rFonts w:ascii="Arial Narrow" w:hAnsi="Arial Narrow" w:cs="Arial"/>
                <w:smallCaps/>
                <w:sz w:val="20"/>
                <w:szCs w:val="20"/>
              </w:rPr>
              <w:t>ITRACONAZOLE</w:t>
            </w:r>
          </w:p>
          <w:p w:rsidR="002F4D10" w:rsidRPr="0040045E" w:rsidRDefault="002F4D10" w:rsidP="001A2666">
            <w:pPr>
              <w:keepNext/>
              <w:ind w:left="-108"/>
              <w:jc w:val="both"/>
              <w:rPr>
                <w:rFonts w:ascii="Arial Narrow" w:hAnsi="Arial Narrow" w:cs="Arial"/>
                <w:sz w:val="20"/>
                <w:szCs w:val="20"/>
              </w:rPr>
            </w:pPr>
            <w:r w:rsidRPr="0040045E">
              <w:rPr>
                <w:rFonts w:ascii="Arial Narrow" w:hAnsi="Arial Narrow" w:cs="Arial"/>
                <w:sz w:val="20"/>
                <w:szCs w:val="20"/>
              </w:rPr>
              <w:t>Capsule, 50mg, 60</w:t>
            </w:r>
          </w:p>
        </w:tc>
        <w:tc>
          <w:tcPr>
            <w:tcW w:w="567"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ind w:left="-108"/>
              <w:jc w:val="center"/>
              <w:rPr>
                <w:rFonts w:ascii="Arial Narrow" w:hAnsi="Arial Narrow" w:cs="Arial"/>
                <w:sz w:val="20"/>
                <w:szCs w:val="20"/>
              </w:rPr>
            </w:pPr>
            <w:r w:rsidRPr="0040045E">
              <w:rPr>
                <w:rFonts w:ascii="Arial Narrow"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ind w:left="-108"/>
              <w:jc w:val="center"/>
              <w:rPr>
                <w:rFonts w:ascii="Arial Narrow" w:hAnsi="Arial Narrow" w:cs="Arial"/>
                <w:sz w:val="20"/>
                <w:szCs w:val="20"/>
              </w:rPr>
            </w:pPr>
            <w:r w:rsidRPr="0040045E">
              <w:rPr>
                <w:rFonts w:ascii="Arial Narrow" w:hAnsi="Arial Narrow" w:cs="Arial"/>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ind w:left="-108"/>
              <w:jc w:val="center"/>
              <w:rPr>
                <w:rFonts w:ascii="Arial Narrow" w:hAnsi="Arial Narrow" w:cs="Arial"/>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559"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proofErr w:type="spellStart"/>
            <w:r w:rsidRPr="0040045E">
              <w:rPr>
                <w:rFonts w:ascii="Arial Narrow" w:hAnsi="Arial Narrow" w:cs="Arial"/>
                <w:sz w:val="20"/>
                <w:szCs w:val="20"/>
              </w:rPr>
              <w:t>Lozanoc</w:t>
            </w:r>
            <w:proofErr w:type="spellEnd"/>
            <w:r w:rsidRPr="0040045E">
              <w:rPr>
                <w:rFonts w:ascii="Arial Narrow" w:hAnsi="Arial Narrow" w:cs="Arial"/>
                <w:sz w:val="20"/>
                <w:szCs w:val="20"/>
                <w:vertAlign w:val="superscript"/>
              </w:rPr>
              <w:t>®</w:t>
            </w:r>
          </w:p>
        </w:tc>
        <w:tc>
          <w:tcPr>
            <w:tcW w:w="851"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r w:rsidRPr="0040045E">
              <w:rPr>
                <w:rFonts w:ascii="Arial Narrow" w:hAnsi="Arial Narrow" w:cs="Arial"/>
                <w:sz w:val="20"/>
                <w:szCs w:val="20"/>
              </w:rPr>
              <w:t>Mayne Pharma</w:t>
            </w:r>
          </w:p>
        </w:tc>
      </w:tr>
      <w:tr w:rsidR="002F4D10" w:rsidRPr="0040045E" w:rsidTr="001A2666">
        <w:trPr>
          <w:cantSplit/>
          <w:trHeight w:val="360"/>
        </w:trPr>
        <w:tc>
          <w:tcPr>
            <w:tcW w:w="8789" w:type="dxa"/>
            <w:gridSpan w:val="7"/>
            <w:tcBorders>
              <w:top w:val="single" w:sz="4" w:space="0" w:color="auto"/>
              <w:bottom w:val="single" w:sz="4" w:space="0" w:color="auto"/>
            </w:tcBorders>
          </w:tcPr>
          <w:p w:rsidR="002F4D10" w:rsidRPr="0040045E" w:rsidRDefault="002F4D10" w:rsidP="001A2666">
            <w:pPr>
              <w:keepNext/>
              <w:jc w:val="both"/>
              <w:rPr>
                <w:rFonts w:ascii="Arial Narrow" w:hAnsi="Arial Narrow" w:cs="Arial"/>
                <w:sz w:val="20"/>
                <w:szCs w:val="20"/>
              </w:rPr>
            </w:pP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Category / Program</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GENERAL – General Schedule (Code GE)</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Prescriber type:</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Dental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Medical Practitioners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Nurse practitioners  </w:t>
            </w: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Optometrists</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Midwives</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Condition:</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 xml:space="preserve">Systemic </w:t>
            </w:r>
            <w:proofErr w:type="spellStart"/>
            <w:r w:rsidRPr="0040045E">
              <w:rPr>
                <w:rFonts w:ascii="Arial Narrow" w:hAnsi="Arial Narrow" w:cs="Arial"/>
                <w:sz w:val="20"/>
                <w:szCs w:val="20"/>
              </w:rPr>
              <w:t>aspergillosis</w:t>
            </w:r>
            <w:proofErr w:type="spellEnd"/>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PBS Indication:</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 xml:space="preserve">Systemic </w:t>
            </w:r>
            <w:proofErr w:type="spellStart"/>
            <w:r w:rsidRPr="0040045E">
              <w:rPr>
                <w:rFonts w:ascii="Arial Narrow" w:hAnsi="Arial Narrow" w:cs="Arial"/>
                <w:sz w:val="20"/>
                <w:szCs w:val="20"/>
              </w:rPr>
              <w:t>aspergillosis</w:t>
            </w:r>
            <w:proofErr w:type="spellEnd"/>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Restriction Level / Method:</w:t>
            </w:r>
          </w:p>
          <w:p w:rsidR="002F4D10" w:rsidRPr="0040045E" w:rsidRDefault="002F4D10" w:rsidP="001A2666">
            <w:pPr>
              <w:keepNext/>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Restricted benefit</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In Writing</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3"/>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Telephone</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Emergency</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Electronic</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1"/>
                  </w:checkBox>
                </w:ffData>
              </w:fldChar>
            </w:r>
            <w:bookmarkStart w:id="0" w:name="Check5"/>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bookmarkEnd w:id="0"/>
            <w:r w:rsidRPr="0040045E">
              <w:rPr>
                <w:rFonts w:ascii="Arial Narrow" w:hAnsi="Arial Narrow" w:cs="Arial"/>
                <w:sz w:val="20"/>
                <w:szCs w:val="20"/>
              </w:rPr>
              <w:t>Streamlined</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Administrative Advice</w:t>
            </w:r>
          </w:p>
          <w:p w:rsidR="002F4D10" w:rsidRPr="0040045E" w:rsidRDefault="002F4D10" w:rsidP="001A2666">
            <w:pPr>
              <w:keepNext/>
              <w:jc w:val="both"/>
              <w:rPr>
                <w:rFonts w:ascii="Arial Narrow" w:hAnsi="Arial Narrow" w:cs="Arial"/>
                <w:i/>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 xml:space="preserve">One capsule of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50 mg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therapeutically equivalent to one 100 mg capsule of conventional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 xml:space="preserve">The recommended dose of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therefore half the recommended dose for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50 mg capsules and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100 mg capsules are not interchangeable.</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Shared Care Model:</w:t>
            </w: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2F4D10" w:rsidRPr="0040045E" w:rsidRDefault="002F4D10" w:rsidP="002F4D10">
      <w:pPr>
        <w:rPr>
          <w:rFonts w:ascii="Arial" w:hAnsi="Arial" w:cs="Arial"/>
          <w:sz w:val="22"/>
          <w:szCs w:val="22"/>
        </w:rPr>
      </w:pPr>
    </w:p>
    <w:p w:rsidR="002F4D10" w:rsidRPr="0040045E" w:rsidRDefault="002F4D10" w:rsidP="002F4D10">
      <w:pPr>
        <w:rPr>
          <w:rFonts w:ascii="Arial" w:hAnsi="Arial" w:cs="Arial"/>
          <w:sz w:val="22"/>
          <w:szCs w:val="22"/>
        </w:rPr>
      </w:pPr>
    </w:p>
    <w:p w:rsidR="00557112" w:rsidRPr="0040045E" w:rsidRDefault="00557112">
      <w:pPr>
        <w:rPr>
          <w:rFonts w:ascii="Arial" w:hAnsi="Arial" w:cs="Arial"/>
          <w:sz w:val="22"/>
          <w:szCs w:val="22"/>
        </w:rPr>
      </w:pPr>
      <w:r w:rsidRPr="0040045E">
        <w:rPr>
          <w:rFonts w:ascii="Arial" w:hAnsi="Arial" w:cs="Arial"/>
          <w:sz w:val="22"/>
          <w:szCs w:val="22"/>
        </w:rPr>
        <w:br w:type="page"/>
      </w:r>
    </w:p>
    <w:p w:rsidR="002F4D10" w:rsidRPr="0040045E" w:rsidRDefault="002F4D10" w:rsidP="002F4D10">
      <w:pPr>
        <w:rPr>
          <w:rFonts w:ascii="Arial" w:hAnsi="Arial" w:cs="Arial"/>
          <w:sz w:val="22"/>
          <w:szCs w:val="22"/>
        </w:rPr>
      </w:pPr>
    </w:p>
    <w:tbl>
      <w:tblPr>
        <w:tblW w:w="8789" w:type="dxa"/>
        <w:tblInd w:w="108" w:type="dxa"/>
        <w:tblLayout w:type="fixed"/>
        <w:tblLook w:val="0000" w:firstRow="0" w:lastRow="0" w:firstColumn="0" w:lastColumn="0" w:noHBand="0" w:noVBand="0"/>
        <w:tblCaption w:val="Requested PBS listing - Systemic sporotrichosis"/>
      </w:tblPr>
      <w:tblGrid>
        <w:gridCol w:w="2835"/>
        <w:gridCol w:w="426"/>
        <w:gridCol w:w="567"/>
        <w:gridCol w:w="850"/>
        <w:gridCol w:w="1701"/>
        <w:gridCol w:w="1559"/>
        <w:gridCol w:w="851"/>
      </w:tblGrid>
      <w:tr w:rsidR="002F4D10" w:rsidRPr="0040045E" w:rsidTr="001A2666">
        <w:trPr>
          <w:cantSplit/>
          <w:trHeight w:val="471"/>
        </w:trPr>
        <w:tc>
          <w:tcPr>
            <w:tcW w:w="3261"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Name, Restriction,</w:t>
            </w:r>
          </w:p>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Max.</w:t>
            </w:r>
          </w:p>
          <w:p w:rsidR="002F4D10" w:rsidRPr="0040045E" w:rsidRDefault="002F4D10" w:rsidP="001A2666">
            <w:pPr>
              <w:ind w:left="-108"/>
              <w:rPr>
                <w:rFonts w:ascii="Arial Narrow" w:hAnsi="Arial Narrow" w:cs="Arial"/>
                <w:sz w:val="20"/>
                <w:szCs w:val="20"/>
              </w:rPr>
            </w:pPr>
            <w:proofErr w:type="spellStart"/>
            <w:r w:rsidRPr="0040045E">
              <w:rPr>
                <w:rFonts w:ascii="Arial Narrow" w:hAnsi="Arial Narrow" w:cs="Arial"/>
                <w:sz w:val="20"/>
                <w:szCs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№.of</w:t>
            </w:r>
          </w:p>
          <w:p w:rsidR="002F4D10" w:rsidRPr="0040045E" w:rsidRDefault="002F4D10" w:rsidP="001A2666">
            <w:pPr>
              <w:ind w:left="-108"/>
              <w:rPr>
                <w:rFonts w:ascii="Arial Narrow" w:hAnsi="Arial Narrow" w:cs="Arial"/>
                <w:sz w:val="20"/>
                <w:szCs w:val="20"/>
              </w:rPr>
            </w:pPr>
            <w:proofErr w:type="spellStart"/>
            <w:r w:rsidRPr="0040045E">
              <w:rPr>
                <w:rFonts w:ascii="Arial Narrow" w:hAnsi="Arial Narrow" w:cs="Arial"/>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 xml:space="preserve">Dispensed Price for Max. </w:t>
            </w:r>
            <w:proofErr w:type="spellStart"/>
            <w:r w:rsidRPr="0040045E">
              <w:rPr>
                <w:rFonts w:ascii="Arial Narrow" w:hAnsi="Arial Narrow" w:cs="Arial"/>
                <w:sz w:val="20"/>
                <w:szCs w:val="20"/>
              </w:rPr>
              <w:t>Qty</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t>Proprietary Name and Manufacturer</w:t>
            </w:r>
          </w:p>
        </w:tc>
      </w:tr>
      <w:tr w:rsidR="002F4D10" w:rsidRPr="0040045E" w:rsidTr="001A2666">
        <w:trPr>
          <w:cantSplit/>
          <w:trHeight w:val="577"/>
        </w:trPr>
        <w:tc>
          <w:tcPr>
            <w:tcW w:w="3261"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jc w:val="both"/>
              <w:rPr>
                <w:rFonts w:ascii="Arial Narrow" w:hAnsi="Arial Narrow" w:cs="Arial"/>
                <w:sz w:val="20"/>
                <w:szCs w:val="20"/>
              </w:rPr>
            </w:pPr>
            <w:r w:rsidRPr="0040045E">
              <w:rPr>
                <w:rFonts w:ascii="Arial Narrow" w:hAnsi="Arial Narrow" w:cs="Arial"/>
                <w:smallCaps/>
                <w:sz w:val="20"/>
                <w:szCs w:val="20"/>
              </w:rPr>
              <w:t>ITRACONAZOLE</w:t>
            </w:r>
          </w:p>
          <w:p w:rsidR="002F4D10" w:rsidRPr="0040045E" w:rsidRDefault="002F4D10" w:rsidP="001A2666">
            <w:pPr>
              <w:ind w:left="-108"/>
              <w:jc w:val="both"/>
              <w:rPr>
                <w:rFonts w:ascii="Arial Narrow" w:hAnsi="Arial Narrow" w:cs="Arial"/>
                <w:sz w:val="20"/>
                <w:szCs w:val="20"/>
              </w:rPr>
            </w:pPr>
            <w:r w:rsidRPr="0040045E">
              <w:rPr>
                <w:rFonts w:ascii="Arial Narrow" w:hAnsi="Arial Narrow" w:cs="Arial"/>
                <w:sz w:val="20"/>
                <w:szCs w:val="20"/>
              </w:rPr>
              <w:t>Capsule, 50mg, 60</w:t>
            </w:r>
          </w:p>
        </w:tc>
        <w:tc>
          <w:tcPr>
            <w:tcW w:w="567"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jc w:val="center"/>
              <w:rPr>
                <w:rFonts w:ascii="Arial Narrow" w:hAnsi="Arial Narrow" w:cs="Arial"/>
                <w:sz w:val="20"/>
                <w:szCs w:val="20"/>
              </w:rPr>
            </w:pPr>
            <w:r w:rsidRPr="0040045E">
              <w:rPr>
                <w:rFonts w:ascii="Arial Narrow"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jc w:val="center"/>
              <w:rPr>
                <w:rFonts w:ascii="Arial Narrow" w:hAnsi="Arial Narrow" w:cs="Arial"/>
                <w:sz w:val="20"/>
                <w:szCs w:val="20"/>
              </w:rPr>
            </w:pPr>
            <w:r w:rsidRPr="0040045E">
              <w:rPr>
                <w:rFonts w:ascii="Arial Narrow" w:hAnsi="Arial Narrow" w:cs="Arial"/>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jc w:val="center"/>
              <w:rPr>
                <w:rFonts w:ascii="Arial Narrow" w:hAnsi="Arial Narrow" w:cs="Arial"/>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559"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jc w:val="center"/>
              <w:rPr>
                <w:rFonts w:ascii="Arial Narrow" w:hAnsi="Arial Narrow" w:cs="Arial"/>
                <w:sz w:val="20"/>
                <w:szCs w:val="20"/>
              </w:rPr>
            </w:pPr>
            <w:proofErr w:type="spellStart"/>
            <w:r w:rsidRPr="0040045E">
              <w:rPr>
                <w:rFonts w:ascii="Arial Narrow" w:hAnsi="Arial Narrow" w:cs="Arial"/>
                <w:sz w:val="20"/>
                <w:szCs w:val="20"/>
              </w:rPr>
              <w:t>Lozanoc</w:t>
            </w:r>
            <w:proofErr w:type="spellEnd"/>
            <w:r w:rsidRPr="0040045E">
              <w:rPr>
                <w:rFonts w:ascii="Arial Narrow" w:hAnsi="Arial Narrow" w:cs="Arial"/>
                <w:sz w:val="20"/>
                <w:szCs w:val="20"/>
                <w:vertAlign w:val="superscript"/>
              </w:rPr>
              <w:t>®</w:t>
            </w:r>
          </w:p>
        </w:tc>
        <w:tc>
          <w:tcPr>
            <w:tcW w:w="851"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jc w:val="center"/>
              <w:rPr>
                <w:rFonts w:ascii="Arial Narrow" w:hAnsi="Arial Narrow" w:cs="Arial"/>
                <w:sz w:val="20"/>
                <w:szCs w:val="20"/>
              </w:rPr>
            </w:pPr>
            <w:r w:rsidRPr="0040045E">
              <w:rPr>
                <w:rFonts w:ascii="Arial Narrow" w:hAnsi="Arial Narrow" w:cs="Arial"/>
                <w:sz w:val="20"/>
                <w:szCs w:val="20"/>
              </w:rPr>
              <w:t>Mayne Pharma</w:t>
            </w:r>
          </w:p>
        </w:tc>
      </w:tr>
      <w:tr w:rsidR="002F4D10" w:rsidRPr="0040045E" w:rsidTr="001A2666">
        <w:trPr>
          <w:cantSplit/>
          <w:trHeight w:val="360"/>
        </w:trPr>
        <w:tc>
          <w:tcPr>
            <w:tcW w:w="8789" w:type="dxa"/>
            <w:gridSpan w:val="7"/>
            <w:tcBorders>
              <w:top w:val="single" w:sz="4" w:space="0" w:color="auto"/>
              <w:bottom w:val="single" w:sz="4" w:space="0" w:color="auto"/>
            </w:tcBorders>
          </w:tcPr>
          <w:p w:rsidR="002F4D10" w:rsidRPr="0040045E" w:rsidRDefault="002F4D10" w:rsidP="001A2666">
            <w:pPr>
              <w:jc w:val="both"/>
              <w:rPr>
                <w:rFonts w:ascii="Arial Narrow" w:hAnsi="Arial Narrow" w:cs="Arial"/>
                <w:sz w:val="20"/>
                <w:szCs w:val="20"/>
              </w:rPr>
            </w:pP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 xml:space="preserve">Category / </w:t>
            </w:r>
          </w:p>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Program</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t>GENERAL – General Schedule (Code GE)</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Prescriber type:</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Dental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Medical Practitioners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Nurse practitioners  </w:t>
            </w: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Optometrists</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Midwives</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Condition:</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t xml:space="preserve">Systemic </w:t>
            </w:r>
            <w:proofErr w:type="spellStart"/>
            <w:r w:rsidRPr="0040045E">
              <w:rPr>
                <w:rFonts w:ascii="Arial Narrow" w:hAnsi="Arial Narrow" w:cs="Arial"/>
                <w:sz w:val="20"/>
                <w:szCs w:val="20"/>
              </w:rPr>
              <w:t>sporotrichosis</w:t>
            </w:r>
            <w:proofErr w:type="spellEnd"/>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PBS Indication:</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t xml:space="preserve">Systemic </w:t>
            </w:r>
            <w:proofErr w:type="spellStart"/>
            <w:r w:rsidRPr="0040045E">
              <w:rPr>
                <w:rFonts w:ascii="Arial Narrow" w:hAnsi="Arial Narrow" w:cs="Arial"/>
                <w:sz w:val="20"/>
                <w:szCs w:val="20"/>
              </w:rPr>
              <w:t>sporotrichosis</w:t>
            </w:r>
            <w:proofErr w:type="spellEnd"/>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Restriction Level / Method:</w:t>
            </w:r>
          </w:p>
          <w:p w:rsidR="002F4D10" w:rsidRPr="0040045E" w:rsidRDefault="002F4D10" w:rsidP="001A2666">
            <w:pPr>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Restricted benefit</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In Writing</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3"/>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Telephone</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Emergency</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Electronic</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Streamlined</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Administrative Advice</w:t>
            </w:r>
          </w:p>
          <w:p w:rsidR="002F4D10" w:rsidRPr="0040045E" w:rsidRDefault="002F4D10" w:rsidP="001A2666">
            <w:pPr>
              <w:jc w:val="both"/>
              <w:rPr>
                <w:rFonts w:ascii="Arial Narrow" w:hAnsi="Arial Narrow" w:cs="Arial"/>
                <w:i/>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 xml:space="preserve">One capsule of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50 mg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therapeutically equivalent to one 100 mg capsule of conventional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 xml:space="preserve">The recommended dose of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therefore half the recommended dose for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50 mg capsules and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100 mg capsules are not interchangeable.</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Shared Care Model:</w:t>
            </w:r>
          </w:p>
          <w:p w:rsidR="002F4D10" w:rsidRPr="0040045E" w:rsidRDefault="002F4D10" w:rsidP="001A2666">
            <w:pPr>
              <w:rPr>
                <w:rFonts w:ascii="Arial Narrow" w:hAnsi="Arial Narrow" w:cs="Arial"/>
                <w:i/>
                <w:sz w:val="20"/>
                <w:szCs w:val="20"/>
              </w:rPr>
            </w:pPr>
            <w:r w:rsidRPr="0040045E">
              <w:rPr>
                <w:rFonts w:ascii="Arial Narrow" w:hAnsi="Arial Narrow" w:cs="Arial"/>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2F4D10" w:rsidRPr="0040045E" w:rsidRDefault="002F4D10" w:rsidP="002F4D10">
      <w:pPr>
        <w:rPr>
          <w:rFonts w:ascii="Arial" w:hAnsi="Arial" w:cs="Arial"/>
          <w:sz w:val="22"/>
          <w:szCs w:val="22"/>
        </w:rPr>
      </w:pPr>
    </w:p>
    <w:p w:rsidR="002F4D10" w:rsidRPr="0040045E" w:rsidRDefault="002F4D10" w:rsidP="002F4D10">
      <w:pPr>
        <w:rPr>
          <w:rFonts w:ascii="Arial" w:hAnsi="Arial" w:cs="Arial"/>
          <w:sz w:val="22"/>
          <w:szCs w:val="22"/>
        </w:rPr>
      </w:pPr>
      <w:r w:rsidRPr="0040045E">
        <w:rPr>
          <w:rFonts w:ascii="Arial" w:hAnsi="Arial" w:cs="Arial"/>
          <w:sz w:val="22"/>
          <w:szCs w:val="22"/>
        </w:rPr>
        <w:br w:type="page"/>
      </w:r>
    </w:p>
    <w:p w:rsidR="002F4D10" w:rsidRPr="0040045E" w:rsidRDefault="002F4D10" w:rsidP="002F4D10">
      <w:pPr>
        <w:rPr>
          <w:rFonts w:ascii="Arial" w:hAnsi="Arial" w:cs="Arial"/>
          <w:sz w:val="22"/>
          <w:szCs w:val="22"/>
        </w:rPr>
      </w:pPr>
    </w:p>
    <w:tbl>
      <w:tblPr>
        <w:tblW w:w="8789" w:type="dxa"/>
        <w:tblInd w:w="108" w:type="dxa"/>
        <w:tblLayout w:type="fixed"/>
        <w:tblLook w:val="0000" w:firstRow="0" w:lastRow="0" w:firstColumn="0" w:lastColumn="0" w:noHBand="0" w:noVBand="0"/>
        <w:tblCaption w:val="Requested PBS listing - Systemic histoplasmosis"/>
      </w:tblPr>
      <w:tblGrid>
        <w:gridCol w:w="2835"/>
        <w:gridCol w:w="426"/>
        <w:gridCol w:w="567"/>
        <w:gridCol w:w="850"/>
        <w:gridCol w:w="1701"/>
        <w:gridCol w:w="1559"/>
        <w:gridCol w:w="851"/>
      </w:tblGrid>
      <w:tr w:rsidR="002F4D10" w:rsidRPr="0040045E" w:rsidTr="001A2666">
        <w:trPr>
          <w:cantSplit/>
          <w:trHeight w:val="471"/>
        </w:trPr>
        <w:tc>
          <w:tcPr>
            <w:tcW w:w="3261"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Name, Restriction,</w:t>
            </w:r>
          </w:p>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Max.</w:t>
            </w:r>
          </w:p>
          <w:p w:rsidR="002F4D10" w:rsidRPr="0040045E" w:rsidRDefault="002F4D10" w:rsidP="001A2666">
            <w:pPr>
              <w:ind w:left="-108"/>
              <w:rPr>
                <w:rFonts w:ascii="Arial Narrow" w:hAnsi="Arial Narrow" w:cs="Arial"/>
                <w:sz w:val="20"/>
                <w:szCs w:val="20"/>
              </w:rPr>
            </w:pPr>
            <w:proofErr w:type="spellStart"/>
            <w:r w:rsidRPr="0040045E">
              <w:rPr>
                <w:rFonts w:ascii="Arial Narrow" w:hAnsi="Arial Narrow" w:cs="Arial"/>
                <w:sz w:val="20"/>
                <w:szCs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№.of</w:t>
            </w:r>
          </w:p>
          <w:p w:rsidR="002F4D10" w:rsidRPr="0040045E" w:rsidRDefault="002F4D10" w:rsidP="001A2666">
            <w:pPr>
              <w:ind w:left="-108"/>
              <w:rPr>
                <w:rFonts w:ascii="Arial Narrow" w:hAnsi="Arial Narrow" w:cs="Arial"/>
                <w:sz w:val="20"/>
                <w:szCs w:val="20"/>
              </w:rPr>
            </w:pPr>
            <w:proofErr w:type="spellStart"/>
            <w:r w:rsidRPr="0040045E">
              <w:rPr>
                <w:rFonts w:ascii="Arial Narrow" w:hAnsi="Arial Narrow" w:cs="Arial"/>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 xml:space="preserve">Dispensed Price for Max. </w:t>
            </w:r>
            <w:proofErr w:type="spellStart"/>
            <w:r w:rsidRPr="0040045E">
              <w:rPr>
                <w:rFonts w:ascii="Arial Narrow" w:hAnsi="Arial Narrow" w:cs="Arial"/>
                <w:sz w:val="20"/>
                <w:szCs w:val="20"/>
              </w:rPr>
              <w:t>Qty</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t>Proprietary Name and Manufacturer</w:t>
            </w:r>
          </w:p>
        </w:tc>
      </w:tr>
      <w:tr w:rsidR="002F4D10" w:rsidRPr="0040045E" w:rsidTr="001A2666">
        <w:trPr>
          <w:cantSplit/>
          <w:trHeight w:val="577"/>
        </w:trPr>
        <w:tc>
          <w:tcPr>
            <w:tcW w:w="3261"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jc w:val="both"/>
              <w:rPr>
                <w:rFonts w:ascii="Arial Narrow" w:hAnsi="Arial Narrow" w:cs="Arial"/>
                <w:sz w:val="20"/>
                <w:szCs w:val="20"/>
              </w:rPr>
            </w:pPr>
            <w:r w:rsidRPr="0040045E">
              <w:rPr>
                <w:rFonts w:ascii="Arial Narrow" w:hAnsi="Arial Narrow" w:cs="Arial"/>
                <w:smallCaps/>
                <w:sz w:val="20"/>
                <w:szCs w:val="20"/>
              </w:rPr>
              <w:t>ITRACONAZOLE</w:t>
            </w:r>
          </w:p>
          <w:p w:rsidR="002F4D10" w:rsidRPr="0040045E" w:rsidRDefault="002F4D10" w:rsidP="001A2666">
            <w:pPr>
              <w:ind w:left="-108"/>
              <w:jc w:val="both"/>
              <w:rPr>
                <w:rFonts w:ascii="Arial Narrow" w:hAnsi="Arial Narrow" w:cs="Arial"/>
                <w:sz w:val="20"/>
                <w:szCs w:val="20"/>
              </w:rPr>
            </w:pPr>
            <w:r w:rsidRPr="0040045E">
              <w:rPr>
                <w:rFonts w:ascii="Arial Narrow" w:hAnsi="Arial Narrow" w:cs="Arial"/>
                <w:sz w:val="20"/>
                <w:szCs w:val="20"/>
              </w:rPr>
              <w:t>Capsule, 50mg, 60</w:t>
            </w:r>
          </w:p>
        </w:tc>
        <w:tc>
          <w:tcPr>
            <w:tcW w:w="567"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jc w:val="center"/>
              <w:rPr>
                <w:rFonts w:ascii="Arial Narrow" w:hAnsi="Arial Narrow" w:cs="Arial"/>
                <w:sz w:val="20"/>
                <w:szCs w:val="20"/>
              </w:rPr>
            </w:pPr>
            <w:r w:rsidRPr="0040045E">
              <w:rPr>
                <w:rFonts w:ascii="Arial Narrow"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jc w:val="center"/>
              <w:rPr>
                <w:rFonts w:ascii="Arial Narrow" w:hAnsi="Arial Narrow" w:cs="Arial"/>
                <w:sz w:val="20"/>
                <w:szCs w:val="20"/>
              </w:rPr>
            </w:pPr>
            <w:r w:rsidRPr="0040045E">
              <w:rPr>
                <w:rFonts w:ascii="Arial Narrow" w:hAnsi="Arial Narrow" w:cs="Arial"/>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ind w:left="-108"/>
              <w:jc w:val="center"/>
              <w:rPr>
                <w:rFonts w:ascii="Arial Narrow" w:hAnsi="Arial Narrow" w:cs="Arial"/>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559"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jc w:val="center"/>
              <w:rPr>
                <w:rFonts w:ascii="Arial Narrow" w:hAnsi="Arial Narrow" w:cs="Arial"/>
                <w:sz w:val="20"/>
                <w:szCs w:val="20"/>
              </w:rPr>
            </w:pPr>
            <w:proofErr w:type="spellStart"/>
            <w:r w:rsidRPr="0040045E">
              <w:rPr>
                <w:rFonts w:ascii="Arial Narrow" w:hAnsi="Arial Narrow" w:cs="Arial"/>
                <w:sz w:val="20"/>
                <w:szCs w:val="20"/>
              </w:rPr>
              <w:t>Lozanoc</w:t>
            </w:r>
            <w:proofErr w:type="spellEnd"/>
            <w:r w:rsidRPr="0040045E">
              <w:rPr>
                <w:rFonts w:ascii="Arial Narrow" w:hAnsi="Arial Narrow"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jc w:val="center"/>
              <w:rPr>
                <w:rFonts w:ascii="Arial Narrow" w:hAnsi="Arial Narrow" w:cs="Arial"/>
                <w:sz w:val="20"/>
                <w:szCs w:val="20"/>
              </w:rPr>
            </w:pPr>
            <w:r w:rsidRPr="0040045E">
              <w:rPr>
                <w:rFonts w:ascii="Arial Narrow" w:hAnsi="Arial Narrow" w:cs="Arial"/>
                <w:sz w:val="20"/>
                <w:szCs w:val="20"/>
              </w:rPr>
              <w:t>Mayne Pharma</w:t>
            </w:r>
          </w:p>
        </w:tc>
      </w:tr>
      <w:tr w:rsidR="002F4D10" w:rsidRPr="0040045E" w:rsidTr="001A2666">
        <w:trPr>
          <w:cantSplit/>
          <w:trHeight w:val="360"/>
        </w:trPr>
        <w:tc>
          <w:tcPr>
            <w:tcW w:w="8789" w:type="dxa"/>
            <w:gridSpan w:val="7"/>
            <w:tcBorders>
              <w:top w:val="single" w:sz="4" w:space="0" w:color="auto"/>
              <w:bottom w:val="single" w:sz="4" w:space="0" w:color="auto"/>
            </w:tcBorders>
          </w:tcPr>
          <w:p w:rsidR="002F4D10" w:rsidRPr="0040045E" w:rsidRDefault="002F4D10" w:rsidP="001A2666">
            <w:pPr>
              <w:jc w:val="both"/>
              <w:rPr>
                <w:rFonts w:ascii="Arial Narrow" w:hAnsi="Arial Narrow" w:cs="Arial"/>
                <w:sz w:val="20"/>
                <w:szCs w:val="20"/>
              </w:rPr>
            </w:pP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 xml:space="preserve">Category / </w:t>
            </w:r>
          </w:p>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Program</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t>GENERAL – General Schedule (Code GE)</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Prescriber type:</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Dental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Medical Practitioners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Nurse practitioners  </w:t>
            </w: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Optometrists</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Midwives</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Condition:</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t>Systemic histoplasmosis</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PBS Indication:</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t>Systemic histoplasmosis</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Restriction Level / Method:</w:t>
            </w:r>
          </w:p>
          <w:p w:rsidR="002F4D10" w:rsidRPr="0040045E" w:rsidRDefault="002F4D10" w:rsidP="001A2666">
            <w:pPr>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Restricted benefit</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In Writing</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3"/>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Telephone</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Emergency</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Electronic</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Streamlined</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Administrative Advice</w:t>
            </w:r>
          </w:p>
          <w:p w:rsidR="002F4D10" w:rsidRPr="0040045E" w:rsidRDefault="002F4D10" w:rsidP="001A2666">
            <w:pPr>
              <w:jc w:val="both"/>
              <w:rPr>
                <w:rFonts w:ascii="Arial Narrow" w:hAnsi="Arial Narrow" w:cs="Arial"/>
                <w:i/>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 xml:space="preserve">One capsule of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50 mg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therapeutically equivalent to one 100 mg capsule of conventional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 xml:space="preserve">The recommended dose of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therefore half the recommended dose for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50 mg capsules and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100 mg capsules are not interchangeable.</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Shared Care Model:</w:t>
            </w:r>
          </w:p>
          <w:p w:rsidR="002F4D10" w:rsidRPr="0040045E" w:rsidRDefault="002F4D10" w:rsidP="001A2666">
            <w:pPr>
              <w:rPr>
                <w:rFonts w:ascii="Arial Narrow" w:hAnsi="Arial Narrow" w:cs="Arial"/>
                <w:i/>
                <w:sz w:val="20"/>
                <w:szCs w:val="20"/>
              </w:rPr>
            </w:pPr>
            <w:r w:rsidRPr="0040045E">
              <w:rPr>
                <w:rFonts w:ascii="Arial Narrow" w:hAnsi="Arial Narrow" w:cs="Arial"/>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2F4D10" w:rsidRPr="0040045E" w:rsidRDefault="002F4D10" w:rsidP="002F4D10">
      <w:pPr>
        <w:rPr>
          <w:rFonts w:ascii="Arial" w:hAnsi="Arial" w:cs="Arial"/>
          <w:sz w:val="22"/>
          <w:szCs w:val="22"/>
        </w:rPr>
      </w:pPr>
    </w:p>
    <w:p w:rsidR="002F4D10" w:rsidRPr="0040045E" w:rsidRDefault="002F4D10" w:rsidP="002F4D10">
      <w:pPr>
        <w:rPr>
          <w:rFonts w:ascii="Arial" w:hAnsi="Arial" w:cs="Arial"/>
          <w:sz w:val="22"/>
          <w:szCs w:val="22"/>
        </w:rPr>
      </w:pPr>
      <w:r w:rsidRPr="0040045E">
        <w:rPr>
          <w:rFonts w:ascii="Arial" w:hAnsi="Arial" w:cs="Arial"/>
          <w:sz w:val="22"/>
          <w:szCs w:val="22"/>
        </w:rPr>
        <w:br w:type="page"/>
      </w:r>
    </w:p>
    <w:p w:rsidR="002F4D10" w:rsidRPr="0040045E" w:rsidRDefault="002F4D10" w:rsidP="002F4D10">
      <w:pPr>
        <w:rPr>
          <w:rFonts w:ascii="Arial" w:hAnsi="Arial" w:cs="Arial"/>
          <w:sz w:val="22"/>
          <w:szCs w:val="22"/>
        </w:rPr>
      </w:pPr>
    </w:p>
    <w:tbl>
      <w:tblPr>
        <w:tblW w:w="8789" w:type="dxa"/>
        <w:tblInd w:w="108" w:type="dxa"/>
        <w:tblLayout w:type="fixed"/>
        <w:tblLook w:val="0000" w:firstRow="0" w:lastRow="0" w:firstColumn="0" w:lastColumn="0" w:noHBand="0" w:noVBand="0"/>
        <w:tblCaption w:val="Requested PBS listing - Disseminated pulmonary histoplasmosis infection"/>
      </w:tblPr>
      <w:tblGrid>
        <w:gridCol w:w="2835"/>
        <w:gridCol w:w="426"/>
        <w:gridCol w:w="567"/>
        <w:gridCol w:w="850"/>
        <w:gridCol w:w="1701"/>
        <w:gridCol w:w="1559"/>
        <w:gridCol w:w="851"/>
      </w:tblGrid>
      <w:tr w:rsidR="002F4D10" w:rsidRPr="0040045E" w:rsidTr="001A2666">
        <w:trPr>
          <w:cantSplit/>
          <w:trHeight w:val="471"/>
        </w:trPr>
        <w:tc>
          <w:tcPr>
            <w:tcW w:w="3261"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Name, Restriction,</w:t>
            </w:r>
          </w:p>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Max.</w:t>
            </w:r>
          </w:p>
          <w:p w:rsidR="002F4D10" w:rsidRPr="0040045E" w:rsidRDefault="002F4D10" w:rsidP="001A2666">
            <w:pPr>
              <w:keepNext/>
              <w:ind w:left="-108"/>
              <w:rPr>
                <w:rFonts w:ascii="Arial Narrow" w:hAnsi="Arial Narrow" w:cs="Arial"/>
                <w:sz w:val="20"/>
                <w:szCs w:val="20"/>
              </w:rPr>
            </w:pPr>
            <w:proofErr w:type="spellStart"/>
            <w:r w:rsidRPr="0040045E">
              <w:rPr>
                <w:rFonts w:ascii="Arial Narrow" w:hAnsi="Arial Narrow" w:cs="Arial"/>
                <w:sz w:val="20"/>
                <w:szCs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№.of</w:t>
            </w:r>
          </w:p>
          <w:p w:rsidR="002F4D10" w:rsidRPr="0040045E" w:rsidRDefault="002F4D10" w:rsidP="001A2666">
            <w:pPr>
              <w:keepNext/>
              <w:ind w:left="-108"/>
              <w:rPr>
                <w:rFonts w:ascii="Arial Narrow" w:hAnsi="Arial Narrow" w:cs="Arial"/>
                <w:sz w:val="20"/>
                <w:szCs w:val="20"/>
              </w:rPr>
            </w:pPr>
            <w:proofErr w:type="spellStart"/>
            <w:r w:rsidRPr="0040045E">
              <w:rPr>
                <w:rFonts w:ascii="Arial Narrow" w:hAnsi="Arial Narrow" w:cs="Arial"/>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 xml:space="preserve">Dispensed Price for Max. </w:t>
            </w:r>
            <w:proofErr w:type="spellStart"/>
            <w:r w:rsidRPr="0040045E">
              <w:rPr>
                <w:rFonts w:ascii="Arial Narrow" w:hAnsi="Arial Narrow" w:cs="Arial"/>
                <w:sz w:val="20"/>
                <w:szCs w:val="20"/>
              </w:rPr>
              <w:t>Qty</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Proprietary Name and Manufacturer</w:t>
            </w:r>
          </w:p>
        </w:tc>
      </w:tr>
      <w:tr w:rsidR="002F4D10" w:rsidRPr="0040045E" w:rsidTr="001A2666">
        <w:trPr>
          <w:cantSplit/>
          <w:trHeight w:val="577"/>
        </w:trPr>
        <w:tc>
          <w:tcPr>
            <w:tcW w:w="3261"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jc w:val="both"/>
              <w:rPr>
                <w:rFonts w:ascii="Arial Narrow" w:hAnsi="Arial Narrow" w:cs="Arial"/>
                <w:sz w:val="20"/>
                <w:szCs w:val="20"/>
              </w:rPr>
            </w:pPr>
            <w:r w:rsidRPr="0040045E">
              <w:rPr>
                <w:rFonts w:ascii="Arial Narrow" w:hAnsi="Arial Narrow" w:cs="Arial"/>
                <w:smallCaps/>
                <w:sz w:val="20"/>
                <w:szCs w:val="20"/>
              </w:rPr>
              <w:t>ITRACONAZOLE</w:t>
            </w:r>
          </w:p>
          <w:p w:rsidR="002F4D10" w:rsidRPr="0040045E" w:rsidRDefault="002F4D10" w:rsidP="001A2666">
            <w:pPr>
              <w:keepNext/>
              <w:ind w:left="-108"/>
              <w:jc w:val="both"/>
              <w:rPr>
                <w:rFonts w:ascii="Arial Narrow" w:hAnsi="Arial Narrow" w:cs="Arial"/>
                <w:sz w:val="20"/>
                <w:szCs w:val="20"/>
              </w:rPr>
            </w:pPr>
            <w:r w:rsidRPr="0040045E">
              <w:rPr>
                <w:rFonts w:ascii="Arial Narrow" w:hAnsi="Arial Narrow" w:cs="Arial"/>
                <w:sz w:val="20"/>
                <w:szCs w:val="20"/>
              </w:rPr>
              <w:t>Capsule, 50mg, 60</w:t>
            </w:r>
          </w:p>
        </w:tc>
        <w:tc>
          <w:tcPr>
            <w:tcW w:w="567"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r w:rsidRPr="0040045E">
              <w:rPr>
                <w:rFonts w:ascii="Arial Narrow"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r w:rsidRPr="0040045E">
              <w:rPr>
                <w:rFonts w:ascii="Arial Narrow" w:hAnsi="Arial Narrow" w:cs="Arial"/>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ind w:left="-108"/>
              <w:jc w:val="center"/>
              <w:rPr>
                <w:rFonts w:ascii="Arial Narrow" w:hAnsi="Arial Narrow" w:cs="Arial"/>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559"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proofErr w:type="spellStart"/>
            <w:r w:rsidRPr="0040045E">
              <w:rPr>
                <w:rFonts w:ascii="Arial Narrow" w:hAnsi="Arial Narrow" w:cs="Arial"/>
                <w:sz w:val="20"/>
                <w:szCs w:val="20"/>
              </w:rPr>
              <w:t>Lozanoc</w:t>
            </w:r>
            <w:proofErr w:type="spellEnd"/>
            <w:r w:rsidRPr="0040045E">
              <w:rPr>
                <w:rFonts w:ascii="Arial Narrow" w:hAnsi="Arial Narrow"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r w:rsidRPr="0040045E">
              <w:rPr>
                <w:rFonts w:ascii="Arial Narrow" w:hAnsi="Arial Narrow" w:cs="Arial"/>
                <w:sz w:val="20"/>
                <w:szCs w:val="20"/>
              </w:rPr>
              <w:t>Mayne Pharma</w:t>
            </w:r>
          </w:p>
        </w:tc>
      </w:tr>
      <w:tr w:rsidR="002F4D10" w:rsidRPr="0040045E" w:rsidTr="001A2666">
        <w:trPr>
          <w:cantSplit/>
          <w:trHeight w:val="360"/>
        </w:trPr>
        <w:tc>
          <w:tcPr>
            <w:tcW w:w="8789" w:type="dxa"/>
            <w:gridSpan w:val="7"/>
            <w:tcBorders>
              <w:top w:val="single" w:sz="4" w:space="0" w:color="auto"/>
              <w:bottom w:val="single" w:sz="4" w:space="0" w:color="auto"/>
            </w:tcBorders>
          </w:tcPr>
          <w:p w:rsidR="002F4D10" w:rsidRPr="0040045E" w:rsidRDefault="002F4D10" w:rsidP="001A2666">
            <w:pPr>
              <w:keepNext/>
              <w:jc w:val="both"/>
              <w:rPr>
                <w:rFonts w:ascii="Arial Narrow" w:hAnsi="Arial Narrow" w:cs="Arial"/>
                <w:sz w:val="20"/>
                <w:szCs w:val="20"/>
              </w:rPr>
            </w:pP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 xml:space="preserve">Category / </w:t>
            </w:r>
          </w:p>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Program</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GENERAL – General Schedule (Code GE)</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Prescriber type:</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Dental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Medical Practitioners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Nurse practitioners  </w:t>
            </w: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Optometrists</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Midwives</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Condition:</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Disseminated pulmonary histoplasmosis infection</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PBS Indication:</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Disseminated pulmonary histoplasmosis infection</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Treatment phase:</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Treatment and maintenance therapy</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Restriction Level / Method:</w:t>
            </w:r>
          </w:p>
          <w:p w:rsidR="002F4D10" w:rsidRPr="0040045E" w:rsidRDefault="002F4D10" w:rsidP="001A2666">
            <w:pPr>
              <w:keepNext/>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Restricted benefit</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In Writing</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3"/>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Telephone</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Emergency</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Electronic</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Streamlined</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Clinical criteria:</w:t>
            </w:r>
          </w:p>
          <w:p w:rsidR="002F4D10" w:rsidRPr="0040045E" w:rsidRDefault="002F4D10" w:rsidP="001A2666">
            <w:pPr>
              <w:keepNext/>
              <w:jc w:val="both"/>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sz w:val="20"/>
                <w:szCs w:val="20"/>
              </w:rPr>
            </w:pPr>
            <w:r w:rsidRPr="0040045E">
              <w:rPr>
                <w:rFonts w:ascii="Arial Narrow" w:hAnsi="Arial Narrow" w:cs="Arial"/>
                <w:sz w:val="20"/>
                <w:szCs w:val="20"/>
              </w:rPr>
              <w:t>Patient</w:t>
            </w:r>
            <w:r w:rsidRPr="0040045E">
              <w:rPr>
                <w:rFonts w:ascii="Arial Narrow" w:hAnsi="Arial Narrow" w:cs="Arial"/>
                <w:strike/>
                <w:sz w:val="20"/>
                <w:szCs w:val="20"/>
              </w:rPr>
              <w:t>s</w:t>
            </w:r>
            <w:r w:rsidRPr="0040045E">
              <w:rPr>
                <w:rFonts w:ascii="Arial Narrow" w:hAnsi="Arial Narrow" w:cs="Arial"/>
                <w:sz w:val="20"/>
                <w:szCs w:val="20"/>
              </w:rPr>
              <w:t xml:space="preserve"> </w:t>
            </w:r>
            <w:r w:rsidRPr="0040045E">
              <w:rPr>
                <w:rFonts w:ascii="Arial Narrow" w:hAnsi="Arial Narrow" w:cs="Arial"/>
                <w:i/>
                <w:sz w:val="20"/>
                <w:szCs w:val="20"/>
              </w:rPr>
              <w:t>must be diagnosed</w:t>
            </w:r>
            <w:r w:rsidRPr="0040045E">
              <w:rPr>
                <w:rFonts w:ascii="Arial Narrow" w:hAnsi="Arial Narrow" w:cs="Arial"/>
                <w:sz w:val="20"/>
                <w:szCs w:val="20"/>
              </w:rPr>
              <w:t xml:space="preserve"> with </w:t>
            </w:r>
            <w:r w:rsidRPr="0040045E">
              <w:rPr>
                <w:rFonts w:ascii="Arial Narrow" w:hAnsi="Arial Narrow" w:cs="Arial"/>
                <w:i/>
                <w:sz w:val="20"/>
                <w:szCs w:val="20"/>
              </w:rPr>
              <w:t>acquired immunodeficiency syndrome (</w:t>
            </w:r>
            <w:r w:rsidRPr="0040045E">
              <w:rPr>
                <w:rFonts w:ascii="Arial Narrow" w:hAnsi="Arial Narrow" w:cs="Arial"/>
                <w:sz w:val="20"/>
                <w:szCs w:val="20"/>
              </w:rPr>
              <w:t>AIDS</w:t>
            </w:r>
            <w:r w:rsidRPr="0040045E">
              <w:rPr>
                <w:rFonts w:ascii="Arial Narrow" w:hAnsi="Arial Narrow" w:cs="Arial"/>
                <w:i/>
                <w:sz w:val="20"/>
                <w:szCs w:val="20"/>
              </w:rPr>
              <w:t>)</w:t>
            </w:r>
            <w:r w:rsidRPr="0040045E">
              <w:rPr>
                <w:rFonts w:ascii="Arial Narrow" w:hAnsi="Arial Narrow" w:cs="Arial"/>
                <w:sz w:val="20"/>
                <w:szCs w:val="20"/>
              </w:rPr>
              <w:t>.</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Administrative Advice</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 xml:space="preserve">One capsule of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50 mg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therapeutically equivalent to one 100 mg capsule of conventional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 xml:space="preserve">The recommended dose of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therefore half the recommended dose for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50 mg capsules and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100 mg capsules are not interchangeable.</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Shared Care Model:</w:t>
            </w: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2F4D10" w:rsidRPr="0040045E" w:rsidRDefault="002F4D10" w:rsidP="002F4D10">
      <w:pPr>
        <w:rPr>
          <w:rFonts w:ascii="Arial" w:hAnsi="Arial" w:cs="Arial"/>
          <w:sz w:val="22"/>
          <w:szCs w:val="22"/>
        </w:rPr>
      </w:pPr>
    </w:p>
    <w:p w:rsidR="002F4D10" w:rsidRPr="0040045E" w:rsidRDefault="002F4D10" w:rsidP="002F4D10">
      <w:pPr>
        <w:rPr>
          <w:rFonts w:ascii="Arial" w:hAnsi="Arial" w:cs="Arial"/>
          <w:sz w:val="22"/>
          <w:szCs w:val="22"/>
        </w:rPr>
      </w:pPr>
    </w:p>
    <w:p w:rsidR="002F4D10" w:rsidRPr="0040045E" w:rsidRDefault="002F4D10" w:rsidP="002F4D10">
      <w:pPr>
        <w:rPr>
          <w:rFonts w:ascii="Arial" w:hAnsi="Arial" w:cs="Arial"/>
          <w:sz w:val="22"/>
          <w:szCs w:val="22"/>
        </w:rPr>
      </w:pPr>
      <w:r w:rsidRPr="0040045E">
        <w:rPr>
          <w:rFonts w:ascii="Arial" w:hAnsi="Arial" w:cs="Arial"/>
          <w:sz w:val="22"/>
          <w:szCs w:val="22"/>
        </w:rPr>
        <w:br w:type="page"/>
      </w:r>
    </w:p>
    <w:p w:rsidR="002F4D10" w:rsidRPr="0040045E" w:rsidRDefault="002F4D10" w:rsidP="002F4D10">
      <w:pPr>
        <w:rPr>
          <w:rFonts w:ascii="Arial" w:hAnsi="Arial" w:cs="Arial"/>
          <w:sz w:val="22"/>
          <w:szCs w:val="22"/>
        </w:rPr>
      </w:pPr>
    </w:p>
    <w:tbl>
      <w:tblPr>
        <w:tblW w:w="8789" w:type="dxa"/>
        <w:tblInd w:w="108" w:type="dxa"/>
        <w:tblLayout w:type="fixed"/>
        <w:tblLook w:val="0000" w:firstRow="0" w:lastRow="0" w:firstColumn="0" w:lastColumn="0" w:noHBand="0" w:noVBand="0"/>
        <w:tblCaption w:val="Requested PBS listing - Chronic pulmonary histoplasmosis infection"/>
      </w:tblPr>
      <w:tblGrid>
        <w:gridCol w:w="2835"/>
        <w:gridCol w:w="426"/>
        <w:gridCol w:w="567"/>
        <w:gridCol w:w="850"/>
        <w:gridCol w:w="1701"/>
        <w:gridCol w:w="1559"/>
        <w:gridCol w:w="851"/>
      </w:tblGrid>
      <w:tr w:rsidR="002F4D10" w:rsidRPr="0040045E" w:rsidTr="001A2666">
        <w:trPr>
          <w:cantSplit/>
          <w:trHeight w:val="471"/>
        </w:trPr>
        <w:tc>
          <w:tcPr>
            <w:tcW w:w="3261"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Name, Restriction,</w:t>
            </w:r>
          </w:p>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Max.</w:t>
            </w:r>
          </w:p>
          <w:p w:rsidR="002F4D10" w:rsidRPr="0040045E" w:rsidRDefault="002F4D10" w:rsidP="001A2666">
            <w:pPr>
              <w:keepNext/>
              <w:ind w:left="-108"/>
              <w:rPr>
                <w:rFonts w:ascii="Arial Narrow" w:hAnsi="Arial Narrow" w:cs="Arial"/>
                <w:sz w:val="20"/>
                <w:szCs w:val="20"/>
              </w:rPr>
            </w:pPr>
            <w:proofErr w:type="spellStart"/>
            <w:r w:rsidRPr="0040045E">
              <w:rPr>
                <w:rFonts w:ascii="Arial Narrow" w:hAnsi="Arial Narrow" w:cs="Arial"/>
                <w:sz w:val="20"/>
                <w:szCs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№.of</w:t>
            </w:r>
          </w:p>
          <w:p w:rsidR="002F4D10" w:rsidRPr="0040045E" w:rsidRDefault="002F4D10" w:rsidP="001A2666">
            <w:pPr>
              <w:keepNext/>
              <w:ind w:left="-108"/>
              <w:rPr>
                <w:rFonts w:ascii="Arial Narrow" w:hAnsi="Arial Narrow" w:cs="Arial"/>
                <w:sz w:val="20"/>
                <w:szCs w:val="20"/>
              </w:rPr>
            </w:pPr>
            <w:proofErr w:type="spellStart"/>
            <w:r w:rsidRPr="0040045E">
              <w:rPr>
                <w:rFonts w:ascii="Arial Narrow" w:hAnsi="Arial Narrow" w:cs="Arial"/>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 xml:space="preserve">Dispensed Price for Max. </w:t>
            </w:r>
            <w:proofErr w:type="spellStart"/>
            <w:r w:rsidRPr="0040045E">
              <w:rPr>
                <w:rFonts w:ascii="Arial Narrow" w:hAnsi="Arial Narrow" w:cs="Arial"/>
                <w:sz w:val="20"/>
                <w:szCs w:val="20"/>
              </w:rPr>
              <w:t>Qty</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Proprietary Name and Manufacturer</w:t>
            </w:r>
          </w:p>
        </w:tc>
      </w:tr>
      <w:tr w:rsidR="002F4D10" w:rsidRPr="0040045E" w:rsidTr="001A2666">
        <w:trPr>
          <w:cantSplit/>
          <w:trHeight w:val="577"/>
        </w:trPr>
        <w:tc>
          <w:tcPr>
            <w:tcW w:w="3261"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jc w:val="both"/>
              <w:rPr>
                <w:rFonts w:ascii="Arial Narrow" w:hAnsi="Arial Narrow" w:cs="Arial"/>
                <w:sz w:val="20"/>
                <w:szCs w:val="20"/>
              </w:rPr>
            </w:pPr>
            <w:r w:rsidRPr="0040045E">
              <w:rPr>
                <w:rFonts w:ascii="Arial Narrow" w:hAnsi="Arial Narrow" w:cs="Arial"/>
                <w:smallCaps/>
                <w:sz w:val="20"/>
                <w:szCs w:val="20"/>
              </w:rPr>
              <w:t>ITRACONAZOLE</w:t>
            </w:r>
          </w:p>
          <w:p w:rsidR="002F4D10" w:rsidRPr="0040045E" w:rsidRDefault="002F4D10" w:rsidP="001A2666">
            <w:pPr>
              <w:keepNext/>
              <w:ind w:left="-108"/>
              <w:jc w:val="both"/>
              <w:rPr>
                <w:rFonts w:ascii="Arial Narrow" w:hAnsi="Arial Narrow" w:cs="Arial"/>
                <w:sz w:val="20"/>
                <w:szCs w:val="20"/>
              </w:rPr>
            </w:pPr>
            <w:r w:rsidRPr="0040045E">
              <w:rPr>
                <w:rFonts w:ascii="Arial Narrow" w:hAnsi="Arial Narrow" w:cs="Arial"/>
                <w:sz w:val="20"/>
                <w:szCs w:val="20"/>
              </w:rPr>
              <w:t>Capsule, 50mg, 60</w:t>
            </w:r>
          </w:p>
        </w:tc>
        <w:tc>
          <w:tcPr>
            <w:tcW w:w="567"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r w:rsidRPr="0040045E">
              <w:rPr>
                <w:rFonts w:ascii="Arial Narrow"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r w:rsidRPr="0040045E">
              <w:rPr>
                <w:rFonts w:ascii="Arial Narrow" w:hAnsi="Arial Narrow" w:cs="Arial"/>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ind w:left="-108"/>
              <w:jc w:val="center"/>
              <w:rPr>
                <w:rFonts w:ascii="Arial Narrow" w:hAnsi="Arial Narrow" w:cs="Arial"/>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559"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proofErr w:type="spellStart"/>
            <w:r w:rsidRPr="0040045E">
              <w:rPr>
                <w:rFonts w:ascii="Arial Narrow" w:hAnsi="Arial Narrow" w:cs="Arial"/>
                <w:sz w:val="20"/>
                <w:szCs w:val="20"/>
              </w:rPr>
              <w:t>Lozanoc</w:t>
            </w:r>
            <w:proofErr w:type="spellEnd"/>
            <w:r w:rsidRPr="0040045E">
              <w:rPr>
                <w:rFonts w:ascii="Arial Narrow" w:hAnsi="Arial Narrow"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r w:rsidRPr="0040045E">
              <w:rPr>
                <w:rFonts w:ascii="Arial Narrow" w:hAnsi="Arial Narrow" w:cs="Arial"/>
                <w:sz w:val="20"/>
                <w:szCs w:val="20"/>
              </w:rPr>
              <w:t>Mayne Pharma</w:t>
            </w:r>
          </w:p>
        </w:tc>
      </w:tr>
      <w:tr w:rsidR="002F4D10" w:rsidRPr="0040045E" w:rsidTr="001A2666">
        <w:trPr>
          <w:cantSplit/>
          <w:trHeight w:val="360"/>
        </w:trPr>
        <w:tc>
          <w:tcPr>
            <w:tcW w:w="8789" w:type="dxa"/>
            <w:gridSpan w:val="7"/>
            <w:tcBorders>
              <w:top w:val="single" w:sz="4" w:space="0" w:color="auto"/>
              <w:bottom w:val="single" w:sz="4" w:space="0" w:color="auto"/>
            </w:tcBorders>
          </w:tcPr>
          <w:p w:rsidR="002F4D10" w:rsidRPr="0040045E" w:rsidRDefault="002F4D10" w:rsidP="001A2666">
            <w:pPr>
              <w:keepNext/>
              <w:jc w:val="both"/>
              <w:rPr>
                <w:rFonts w:ascii="Arial Narrow" w:hAnsi="Arial Narrow" w:cs="Arial"/>
                <w:sz w:val="20"/>
                <w:szCs w:val="20"/>
              </w:rPr>
            </w:pP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 xml:space="preserve">Category / </w:t>
            </w:r>
          </w:p>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Program</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GENERAL – General Schedule (Code GE)</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Prescriber type:</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Dental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Medical Practitioners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Nurse practitioners  </w:t>
            </w: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Optometrists</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Midwives</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Condition:</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Chronic pulmonary histoplasmosis infection</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PBS Indication:</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Chronic pulmonary histoplasmosis infection</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Treatment phase:</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Treatment and maintenance therapy</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Restriction Level / Method:</w:t>
            </w:r>
          </w:p>
          <w:p w:rsidR="002F4D10" w:rsidRPr="0040045E" w:rsidRDefault="002F4D10" w:rsidP="001A2666">
            <w:pPr>
              <w:keepNext/>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Restricted benefit</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In Writing</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3"/>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Telephone</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Emergency</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Electronic</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Streamlined</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Clinical criteria:</w:t>
            </w:r>
          </w:p>
          <w:p w:rsidR="002F4D10" w:rsidRPr="0040045E" w:rsidRDefault="002F4D10" w:rsidP="001A2666">
            <w:pPr>
              <w:keepNext/>
              <w:jc w:val="both"/>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sz w:val="20"/>
                <w:szCs w:val="20"/>
              </w:rPr>
            </w:pPr>
            <w:r w:rsidRPr="0040045E">
              <w:rPr>
                <w:rFonts w:ascii="Arial Narrow" w:hAnsi="Arial Narrow" w:cs="Arial"/>
                <w:sz w:val="20"/>
                <w:szCs w:val="20"/>
              </w:rPr>
              <w:t>Patient</w:t>
            </w:r>
            <w:r w:rsidRPr="0040045E">
              <w:rPr>
                <w:rFonts w:ascii="Arial Narrow" w:hAnsi="Arial Narrow" w:cs="Arial"/>
                <w:strike/>
                <w:sz w:val="20"/>
                <w:szCs w:val="20"/>
              </w:rPr>
              <w:t>s</w:t>
            </w:r>
            <w:r w:rsidRPr="0040045E">
              <w:rPr>
                <w:rFonts w:ascii="Arial Narrow" w:hAnsi="Arial Narrow" w:cs="Arial"/>
                <w:sz w:val="20"/>
                <w:szCs w:val="20"/>
              </w:rPr>
              <w:t xml:space="preserve"> </w:t>
            </w:r>
            <w:r w:rsidRPr="0040045E">
              <w:rPr>
                <w:rFonts w:ascii="Arial Narrow" w:hAnsi="Arial Narrow" w:cs="Arial"/>
                <w:i/>
                <w:sz w:val="20"/>
                <w:szCs w:val="20"/>
              </w:rPr>
              <w:t>must be diagnosed</w:t>
            </w:r>
            <w:r w:rsidRPr="0040045E">
              <w:rPr>
                <w:rFonts w:ascii="Arial Narrow" w:hAnsi="Arial Narrow" w:cs="Arial"/>
                <w:sz w:val="20"/>
                <w:szCs w:val="20"/>
              </w:rPr>
              <w:t xml:space="preserve"> with </w:t>
            </w:r>
            <w:r w:rsidRPr="0040045E">
              <w:rPr>
                <w:rFonts w:ascii="Arial Narrow" w:hAnsi="Arial Narrow" w:cs="Arial"/>
                <w:i/>
                <w:sz w:val="20"/>
                <w:szCs w:val="20"/>
              </w:rPr>
              <w:t>acquired immunodeficiency syndrome (</w:t>
            </w:r>
            <w:r w:rsidRPr="0040045E">
              <w:rPr>
                <w:rFonts w:ascii="Arial Narrow" w:hAnsi="Arial Narrow" w:cs="Arial"/>
                <w:sz w:val="20"/>
                <w:szCs w:val="20"/>
              </w:rPr>
              <w:t>AIDS</w:t>
            </w:r>
            <w:r w:rsidRPr="0040045E">
              <w:rPr>
                <w:rFonts w:ascii="Arial Narrow" w:hAnsi="Arial Narrow" w:cs="Arial"/>
                <w:i/>
                <w:sz w:val="20"/>
                <w:szCs w:val="20"/>
              </w:rPr>
              <w:t>)</w:t>
            </w:r>
            <w:r w:rsidRPr="0040045E">
              <w:rPr>
                <w:rFonts w:ascii="Arial Narrow" w:hAnsi="Arial Narrow" w:cs="Arial"/>
                <w:sz w:val="20"/>
                <w:szCs w:val="20"/>
              </w:rPr>
              <w:t>.</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Administrative Advice</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 xml:space="preserve">One capsule of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50 mg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therapeutically equivalent to one 100 mg capsule of conventional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 xml:space="preserve">The recommended dose of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therefore half the recommended dose for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50 mg capsules and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100 mg capsules are not interchangeable.</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Shared Care Model:</w:t>
            </w: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2F4D10" w:rsidRPr="0040045E" w:rsidRDefault="002F4D10" w:rsidP="002F4D10">
      <w:pPr>
        <w:rPr>
          <w:rFonts w:ascii="Arial" w:hAnsi="Arial" w:cs="Arial"/>
          <w:sz w:val="22"/>
          <w:szCs w:val="22"/>
        </w:rPr>
      </w:pPr>
    </w:p>
    <w:p w:rsidR="002F4D10" w:rsidRPr="0040045E" w:rsidRDefault="002F4D10" w:rsidP="002F4D10">
      <w:pPr>
        <w:rPr>
          <w:rFonts w:ascii="Arial" w:hAnsi="Arial" w:cs="Arial"/>
          <w:sz w:val="22"/>
          <w:szCs w:val="22"/>
        </w:rPr>
      </w:pPr>
    </w:p>
    <w:tbl>
      <w:tblPr>
        <w:tblW w:w="8789" w:type="dxa"/>
        <w:tblInd w:w="108" w:type="dxa"/>
        <w:tblLayout w:type="fixed"/>
        <w:tblLook w:val="0000" w:firstRow="0" w:lastRow="0" w:firstColumn="0" w:lastColumn="0" w:noHBand="0" w:noVBand="0"/>
        <w:tblCaption w:val="Requested PBS listing - Oropharyngeal candidiasis"/>
      </w:tblPr>
      <w:tblGrid>
        <w:gridCol w:w="2835"/>
        <w:gridCol w:w="426"/>
        <w:gridCol w:w="567"/>
        <w:gridCol w:w="850"/>
        <w:gridCol w:w="1701"/>
        <w:gridCol w:w="1559"/>
        <w:gridCol w:w="851"/>
      </w:tblGrid>
      <w:tr w:rsidR="002F4D10" w:rsidRPr="0040045E" w:rsidTr="001A2666">
        <w:trPr>
          <w:cantSplit/>
          <w:trHeight w:val="471"/>
        </w:trPr>
        <w:tc>
          <w:tcPr>
            <w:tcW w:w="3261"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lastRenderedPageBreak/>
              <w:t>Name, Restriction,</w:t>
            </w:r>
          </w:p>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Max.</w:t>
            </w:r>
          </w:p>
          <w:p w:rsidR="002F4D10" w:rsidRPr="0040045E" w:rsidRDefault="002F4D10" w:rsidP="001A2666">
            <w:pPr>
              <w:keepNext/>
              <w:ind w:left="-108"/>
              <w:rPr>
                <w:rFonts w:ascii="Arial Narrow" w:hAnsi="Arial Narrow" w:cs="Arial"/>
                <w:sz w:val="20"/>
                <w:szCs w:val="20"/>
              </w:rPr>
            </w:pPr>
            <w:proofErr w:type="spellStart"/>
            <w:r w:rsidRPr="0040045E">
              <w:rPr>
                <w:rFonts w:ascii="Arial Narrow" w:hAnsi="Arial Narrow" w:cs="Arial"/>
                <w:sz w:val="20"/>
                <w:szCs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№.of</w:t>
            </w:r>
          </w:p>
          <w:p w:rsidR="002F4D10" w:rsidRPr="0040045E" w:rsidRDefault="002F4D10" w:rsidP="001A2666">
            <w:pPr>
              <w:keepNext/>
              <w:ind w:left="-108"/>
              <w:rPr>
                <w:rFonts w:ascii="Arial Narrow" w:hAnsi="Arial Narrow" w:cs="Arial"/>
                <w:sz w:val="20"/>
                <w:szCs w:val="20"/>
              </w:rPr>
            </w:pPr>
            <w:proofErr w:type="spellStart"/>
            <w:r w:rsidRPr="0040045E">
              <w:rPr>
                <w:rFonts w:ascii="Arial Narrow" w:hAnsi="Arial Narrow" w:cs="Arial"/>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rPr>
                <w:rFonts w:ascii="Arial Narrow" w:hAnsi="Arial Narrow" w:cs="Arial"/>
                <w:sz w:val="20"/>
                <w:szCs w:val="20"/>
              </w:rPr>
            </w:pPr>
            <w:r w:rsidRPr="0040045E">
              <w:rPr>
                <w:rFonts w:ascii="Arial Narrow" w:hAnsi="Arial Narrow" w:cs="Arial"/>
                <w:sz w:val="20"/>
                <w:szCs w:val="20"/>
              </w:rPr>
              <w:t xml:space="preserve">Dispensed Price for Max. </w:t>
            </w:r>
            <w:proofErr w:type="spellStart"/>
            <w:r w:rsidRPr="0040045E">
              <w:rPr>
                <w:rFonts w:ascii="Arial Narrow" w:hAnsi="Arial Narrow" w:cs="Arial"/>
                <w:sz w:val="20"/>
                <w:szCs w:val="20"/>
              </w:rPr>
              <w:t>Qty</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Proprietary Name and Manufacturer</w:t>
            </w:r>
          </w:p>
        </w:tc>
      </w:tr>
      <w:tr w:rsidR="002F4D10" w:rsidRPr="0040045E" w:rsidTr="001A2666">
        <w:trPr>
          <w:cantSplit/>
          <w:trHeight w:val="577"/>
        </w:trPr>
        <w:tc>
          <w:tcPr>
            <w:tcW w:w="3261"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ind w:left="-108"/>
              <w:jc w:val="both"/>
              <w:rPr>
                <w:rFonts w:ascii="Arial Narrow" w:hAnsi="Arial Narrow" w:cs="Arial"/>
                <w:sz w:val="20"/>
                <w:szCs w:val="20"/>
              </w:rPr>
            </w:pPr>
            <w:r w:rsidRPr="0040045E">
              <w:rPr>
                <w:rFonts w:ascii="Arial Narrow" w:hAnsi="Arial Narrow" w:cs="Arial"/>
                <w:smallCaps/>
                <w:sz w:val="20"/>
                <w:szCs w:val="20"/>
              </w:rPr>
              <w:t>ITRACONAZOLE</w:t>
            </w:r>
          </w:p>
          <w:p w:rsidR="002F4D10" w:rsidRPr="0040045E" w:rsidRDefault="002F4D10" w:rsidP="001A2666">
            <w:pPr>
              <w:keepNext/>
              <w:ind w:left="-108"/>
              <w:jc w:val="both"/>
              <w:rPr>
                <w:rFonts w:ascii="Arial Narrow" w:hAnsi="Arial Narrow" w:cs="Arial"/>
                <w:sz w:val="20"/>
                <w:szCs w:val="20"/>
              </w:rPr>
            </w:pPr>
            <w:r w:rsidRPr="0040045E">
              <w:rPr>
                <w:rFonts w:ascii="Arial Narrow" w:hAnsi="Arial Narrow" w:cs="Arial"/>
                <w:sz w:val="20"/>
                <w:szCs w:val="20"/>
              </w:rPr>
              <w:t>Capsule, 50mg, 60</w:t>
            </w:r>
          </w:p>
        </w:tc>
        <w:tc>
          <w:tcPr>
            <w:tcW w:w="567"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r w:rsidRPr="0040045E">
              <w:rPr>
                <w:rFonts w:ascii="Arial Narrow"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r w:rsidRPr="0040045E">
              <w:rPr>
                <w:rFonts w:ascii="Arial Narrow" w:hAnsi="Arial Narrow" w:cs="Arial"/>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559"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proofErr w:type="spellStart"/>
            <w:r w:rsidRPr="0040045E">
              <w:rPr>
                <w:rFonts w:ascii="Arial Narrow" w:hAnsi="Arial Narrow" w:cs="Arial"/>
                <w:sz w:val="20"/>
                <w:szCs w:val="20"/>
              </w:rPr>
              <w:t>Lozanoc</w:t>
            </w:r>
            <w:proofErr w:type="spellEnd"/>
            <w:r w:rsidRPr="0040045E">
              <w:rPr>
                <w:rFonts w:ascii="Arial Narrow" w:hAnsi="Arial Narrow"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keepNext/>
              <w:jc w:val="center"/>
              <w:rPr>
                <w:rFonts w:ascii="Arial Narrow" w:hAnsi="Arial Narrow" w:cs="Arial"/>
                <w:sz w:val="20"/>
                <w:szCs w:val="20"/>
              </w:rPr>
            </w:pPr>
            <w:r w:rsidRPr="0040045E">
              <w:rPr>
                <w:rFonts w:ascii="Arial Narrow" w:hAnsi="Arial Narrow" w:cs="Arial"/>
                <w:sz w:val="20"/>
                <w:szCs w:val="20"/>
              </w:rPr>
              <w:t>Mayne Pharma</w:t>
            </w:r>
          </w:p>
        </w:tc>
      </w:tr>
      <w:tr w:rsidR="002F4D10" w:rsidRPr="0040045E" w:rsidTr="001A2666">
        <w:trPr>
          <w:cantSplit/>
          <w:trHeight w:val="360"/>
        </w:trPr>
        <w:tc>
          <w:tcPr>
            <w:tcW w:w="8789" w:type="dxa"/>
            <w:gridSpan w:val="7"/>
            <w:tcBorders>
              <w:top w:val="single" w:sz="4" w:space="0" w:color="auto"/>
              <w:bottom w:val="single" w:sz="4" w:space="0" w:color="auto"/>
            </w:tcBorders>
          </w:tcPr>
          <w:p w:rsidR="002F4D10" w:rsidRPr="0040045E" w:rsidRDefault="002F4D10" w:rsidP="001A2666">
            <w:pPr>
              <w:keepNext/>
              <w:jc w:val="both"/>
              <w:rPr>
                <w:rFonts w:ascii="Arial Narrow" w:hAnsi="Arial Narrow" w:cs="Arial"/>
                <w:sz w:val="20"/>
                <w:szCs w:val="20"/>
              </w:rPr>
            </w:pP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 xml:space="preserve">Category / </w:t>
            </w:r>
          </w:p>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Program</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GENERAL – General Schedule (Code GE)</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Prescriber type:</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Dental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Medical Practitioners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Nurse practitioners  </w:t>
            </w: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Optometrists</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Midwives</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Condition:</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Oropharyngeal candidiasis</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PBS Indication:</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t>Oropharyngeal candidiasis</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Restriction Level / Method:</w:t>
            </w:r>
          </w:p>
          <w:p w:rsidR="002F4D10" w:rsidRPr="0040045E" w:rsidRDefault="002F4D10" w:rsidP="001A2666">
            <w:pPr>
              <w:keepNext/>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Restricted benefit</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In Writing</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3"/>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Telephone</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Emergency</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Electronic</w:t>
            </w:r>
          </w:p>
          <w:p w:rsidR="002F4D10" w:rsidRPr="0040045E" w:rsidRDefault="002F4D10" w:rsidP="001A2666">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Streamlined</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Clinical criteria:</w:t>
            </w:r>
          </w:p>
          <w:p w:rsidR="002F4D10" w:rsidRPr="0040045E" w:rsidRDefault="002F4D10" w:rsidP="001A2666">
            <w:pPr>
              <w:keepNext/>
              <w:jc w:val="both"/>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sz w:val="20"/>
                <w:szCs w:val="20"/>
              </w:rPr>
            </w:pPr>
            <w:r w:rsidRPr="0040045E">
              <w:rPr>
                <w:rFonts w:ascii="Arial Narrow" w:hAnsi="Arial Narrow" w:cs="Arial"/>
                <w:i/>
                <w:sz w:val="20"/>
                <w:szCs w:val="20"/>
              </w:rPr>
              <w:t>Patient must be</w:t>
            </w:r>
            <w:r w:rsidRPr="0040045E">
              <w:rPr>
                <w:rFonts w:ascii="Arial Narrow" w:hAnsi="Arial Narrow" w:cs="Arial"/>
                <w:sz w:val="20"/>
                <w:szCs w:val="20"/>
              </w:rPr>
              <w:t xml:space="preserve"> immunosuppressed.</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jc w:val="both"/>
              <w:rPr>
                <w:rFonts w:ascii="Arial Narrow" w:hAnsi="Arial Narrow" w:cs="Arial"/>
                <w:b/>
                <w:sz w:val="20"/>
                <w:szCs w:val="20"/>
              </w:rPr>
            </w:pPr>
            <w:r w:rsidRPr="0040045E">
              <w:rPr>
                <w:rFonts w:ascii="Arial Narrow" w:hAnsi="Arial Narrow" w:cs="Arial"/>
                <w:b/>
                <w:sz w:val="20"/>
                <w:szCs w:val="20"/>
              </w:rPr>
              <w:t>Administrative Advice</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 xml:space="preserve">One capsule of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50 mg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therapeutically equivalent to one 100 mg capsule of conventional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 xml:space="preserve">The recommended dose of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therefore half the recommended dose for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50 mg capsules and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100 mg capsules are not interchangeable.</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Shared Care Model:</w:t>
            </w: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2F4D10" w:rsidRPr="0040045E" w:rsidRDefault="002F4D10" w:rsidP="002F4D10">
      <w:pPr>
        <w:rPr>
          <w:rFonts w:ascii="Arial" w:hAnsi="Arial" w:cs="Arial"/>
          <w:sz w:val="22"/>
          <w:szCs w:val="22"/>
        </w:rPr>
      </w:pPr>
    </w:p>
    <w:p w:rsidR="002F4D10" w:rsidRPr="0040045E" w:rsidRDefault="002F4D10" w:rsidP="002F4D10">
      <w:pPr>
        <w:rPr>
          <w:rFonts w:ascii="Arial" w:hAnsi="Arial" w:cs="Arial"/>
          <w:sz w:val="22"/>
          <w:szCs w:val="22"/>
        </w:rPr>
      </w:pPr>
      <w:r w:rsidRPr="0040045E">
        <w:rPr>
          <w:rFonts w:ascii="Arial" w:hAnsi="Arial" w:cs="Arial"/>
          <w:sz w:val="22"/>
          <w:szCs w:val="22"/>
        </w:rPr>
        <w:br w:type="page"/>
      </w:r>
    </w:p>
    <w:p w:rsidR="002F4D10" w:rsidRPr="0040045E" w:rsidRDefault="002F4D10" w:rsidP="002F4D10">
      <w:pPr>
        <w:rPr>
          <w:rFonts w:ascii="Arial" w:hAnsi="Arial" w:cs="Arial"/>
          <w:sz w:val="22"/>
          <w:szCs w:val="22"/>
        </w:rPr>
      </w:pPr>
    </w:p>
    <w:tbl>
      <w:tblPr>
        <w:tblW w:w="8789" w:type="dxa"/>
        <w:tblInd w:w="108" w:type="dxa"/>
        <w:tblLayout w:type="fixed"/>
        <w:tblLook w:val="0000" w:firstRow="0" w:lastRow="0" w:firstColumn="0" w:lastColumn="0" w:noHBand="0" w:noVBand="0"/>
        <w:tblCaption w:val="Requested PBS listing - Oesophageal candidiasis"/>
      </w:tblPr>
      <w:tblGrid>
        <w:gridCol w:w="2835"/>
        <w:gridCol w:w="426"/>
        <w:gridCol w:w="567"/>
        <w:gridCol w:w="850"/>
        <w:gridCol w:w="1701"/>
        <w:gridCol w:w="1559"/>
        <w:gridCol w:w="851"/>
      </w:tblGrid>
      <w:tr w:rsidR="002F4D10" w:rsidRPr="0040045E" w:rsidTr="001A2666">
        <w:trPr>
          <w:cantSplit/>
          <w:trHeight w:val="471"/>
        </w:trPr>
        <w:tc>
          <w:tcPr>
            <w:tcW w:w="3261"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Name, Restriction,</w:t>
            </w:r>
          </w:p>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Max.</w:t>
            </w:r>
          </w:p>
          <w:p w:rsidR="002F4D10" w:rsidRPr="0040045E" w:rsidRDefault="002F4D10" w:rsidP="001A2666">
            <w:pPr>
              <w:ind w:left="-108"/>
              <w:rPr>
                <w:rFonts w:ascii="Arial Narrow" w:hAnsi="Arial Narrow" w:cs="Arial"/>
                <w:sz w:val="20"/>
                <w:szCs w:val="20"/>
              </w:rPr>
            </w:pPr>
            <w:proofErr w:type="spellStart"/>
            <w:r w:rsidRPr="0040045E">
              <w:rPr>
                <w:rFonts w:ascii="Arial Narrow" w:hAnsi="Arial Narrow" w:cs="Arial"/>
                <w:sz w:val="20"/>
                <w:szCs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№.of</w:t>
            </w:r>
          </w:p>
          <w:p w:rsidR="002F4D10" w:rsidRPr="0040045E" w:rsidRDefault="002F4D10" w:rsidP="001A2666">
            <w:pPr>
              <w:ind w:left="-108"/>
              <w:rPr>
                <w:rFonts w:ascii="Arial Narrow" w:hAnsi="Arial Narrow" w:cs="Arial"/>
                <w:sz w:val="20"/>
                <w:szCs w:val="20"/>
              </w:rPr>
            </w:pPr>
            <w:proofErr w:type="spellStart"/>
            <w:r w:rsidRPr="0040045E">
              <w:rPr>
                <w:rFonts w:ascii="Arial Narrow" w:hAnsi="Arial Narrow" w:cs="Arial"/>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rPr>
                <w:rFonts w:ascii="Arial Narrow" w:hAnsi="Arial Narrow" w:cs="Arial"/>
                <w:sz w:val="20"/>
                <w:szCs w:val="20"/>
              </w:rPr>
            </w:pPr>
            <w:r w:rsidRPr="0040045E">
              <w:rPr>
                <w:rFonts w:ascii="Arial Narrow" w:hAnsi="Arial Narrow" w:cs="Arial"/>
                <w:sz w:val="20"/>
                <w:szCs w:val="20"/>
              </w:rPr>
              <w:t xml:space="preserve">Dispensed Price for Max. </w:t>
            </w:r>
            <w:proofErr w:type="spellStart"/>
            <w:r w:rsidRPr="0040045E">
              <w:rPr>
                <w:rFonts w:ascii="Arial Narrow" w:hAnsi="Arial Narrow" w:cs="Arial"/>
                <w:sz w:val="20"/>
                <w:szCs w:val="20"/>
              </w:rPr>
              <w:t>Qty</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t>Proprietary Name and Manufacturer</w:t>
            </w:r>
          </w:p>
        </w:tc>
      </w:tr>
      <w:tr w:rsidR="002F4D10" w:rsidRPr="0040045E" w:rsidTr="001A2666">
        <w:trPr>
          <w:cantSplit/>
          <w:trHeight w:val="577"/>
        </w:trPr>
        <w:tc>
          <w:tcPr>
            <w:tcW w:w="3261" w:type="dxa"/>
            <w:gridSpan w:val="2"/>
            <w:tcBorders>
              <w:top w:val="single" w:sz="4" w:space="0" w:color="auto"/>
              <w:left w:val="single" w:sz="4" w:space="0" w:color="auto"/>
              <w:bottom w:val="single" w:sz="4" w:space="0" w:color="auto"/>
              <w:right w:val="single" w:sz="4" w:space="0" w:color="auto"/>
            </w:tcBorders>
          </w:tcPr>
          <w:p w:rsidR="002F4D10" w:rsidRPr="0040045E" w:rsidRDefault="002F4D10" w:rsidP="001A2666">
            <w:pPr>
              <w:ind w:left="-108"/>
              <w:jc w:val="both"/>
              <w:rPr>
                <w:rFonts w:ascii="Arial Narrow" w:hAnsi="Arial Narrow" w:cs="Arial"/>
                <w:sz w:val="20"/>
                <w:szCs w:val="20"/>
              </w:rPr>
            </w:pPr>
            <w:r w:rsidRPr="0040045E">
              <w:rPr>
                <w:rFonts w:ascii="Arial Narrow" w:hAnsi="Arial Narrow" w:cs="Arial"/>
                <w:smallCaps/>
                <w:sz w:val="20"/>
                <w:szCs w:val="20"/>
              </w:rPr>
              <w:t>ITRACONAZOLE</w:t>
            </w:r>
          </w:p>
          <w:p w:rsidR="002F4D10" w:rsidRPr="0040045E" w:rsidRDefault="002F4D10" w:rsidP="001A2666">
            <w:pPr>
              <w:ind w:left="-108"/>
              <w:jc w:val="both"/>
              <w:rPr>
                <w:rFonts w:ascii="Arial Narrow" w:hAnsi="Arial Narrow" w:cs="Arial"/>
                <w:sz w:val="20"/>
                <w:szCs w:val="20"/>
              </w:rPr>
            </w:pPr>
            <w:r w:rsidRPr="0040045E">
              <w:rPr>
                <w:rFonts w:ascii="Arial Narrow" w:hAnsi="Arial Narrow" w:cs="Arial"/>
                <w:sz w:val="20"/>
                <w:szCs w:val="20"/>
              </w:rPr>
              <w:t>Capsule, 50mg, 60</w:t>
            </w:r>
          </w:p>
        </w:tc>
        <w:tc>
          <w:tcPr>
            <w:tcW w:w="567"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jc w:val="center"/>
              <w:rPr>
                <w:rFonts w:ascii="Arial Narrow" w:hAnsi="Arial Narrow" w:cs="Arial"/>
                <w:sz w:val="20"/>
                <w:szCs w:val="20"/>
              </w:rPr>
            </w:pPr>
            <w:r w:rsidRPr="0040045E">
              <w:rPr>
                <w:rFonts w:ascii="Arial Narrow"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jc w:val="center"/>
              <w:rPr>
                <w:rFonts w:ascii="Arial Narrow" w:hAnsi="Arial Narrow" w:cs="Arial"/>
                <w:sz w:val="20"/>
                <w:szCs w:val="20"/>
              </w:rPr>
            </w:pPr>
            <w:r w:rsidRPr="0040045E">
              <w:rPr>
                <w:rFonts w:ascii="Arial Narrow" w:hAnsi="Arial Narrow" w:cs="Arial"/>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ind w:left="-108"/>
              <w:jc w:val="center"/>
              <w:rPr>
                <w:rFonts w:ascii="Arial Narrow" w:hAnsi="Arial Narrow" w:cs="Arial"/>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559"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jc w:val="center"/>
              <w:rPr>
                <w:rFonts w:ascii="Arial Narrow" w:hAnsi="Arial Narrow" w:cs="Arial"/>
                <w:sz w:val="20"/>
                <w:szCs w:val="20"/>
              </w:rPr>
            </w:pPr>
            <w:proofErr w:type="spellStart"/>
            <w:r w:rsidRPr="0040045E">
              <w:rPr>
                <w:rFonts w:ascii="Arial Narrow" w:hAnsi="Arial Narrow" w:cs="Arial"/>
                <w:sz w:val="20"/>
                <w:szCs w:val="20"/>
              </w:rPr>
              <w:t>Lozanoc</w:t>
            </w:r>
            <w:proofErr w:type="spellEnd"/>
            <w:r w:rsidRPr="0040045E">
              <w:rPr>
                <w:rFonts w:ascii="Arial Narrow" w:hAnsi="Arial Narrow"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2F4D10" w:rsidRPr="0040045E" w:rsidRDefault="002F4D10" w:rsidP="001A2666">
            <w:pPr>
              <w:jc w:val="center"/>
              <w:rPr>
                <w:rFonts w:ascii="Arial Narrow" w:hAnsi="Arial Narrow" w:cs="Arial"/>
                <w:sz w:val="20"/>
                <w:szCs w:val="20"/>
              </w:rPr>
            </w:pPr>
            <w:r w:rsidRPr="0040045E">
              <w:rPr>
                <w:rFonts w:ascii="Arial Narrow" w:hAnsi="Arial Narrow" w:cs="Arial"/>
                <w:sz w:val="20"/>
                <w:szCs w:val="20"/>
              </w:rPr>
              <w:t>Mayne Pharma</w:t>
            </w:r>
          </w:p>
        </w:tc>
      </w:tr>
      <w:tr w:rsidR="002F4D10" w:rsidRPr="0040045E" w:rsidTr="001A2666">
        <w:trPr>
          <w:cantSplit/>
          <w:trHeight w:val="360"/>
        </w:trPr>
        <w:tc>
          <w:tcPr>
            <w:tcW w:w="8789" w:type="dxa"/>
            <w:gridSpan w:val="7"/>
            <w:tcBorders>
              <w:top w:val="single" w:sz="4" w:space="0" w:color="auto"/>
              <w:bottom w:val="single" w:sz="4" w:space="0" w:color="auto"/>
            </w:tcBorders>
          </w:tcPr>
          <w:p w:rsidR="002F4D10" w:rsidRPr="0040045E" w:rsidRDefault="002F4D10" w:rsidP="001A2666">
            <w:pPr>
              <w:jc w:val="both"/>
              <w:rPr>
                <w:rFonts w:ascii="Arial Narrow" w:hAnsi="Arial Narrow" w:cs="Arial"/>
                <w:sz w:val="20"/>
                <w:szCs w:val="20"/>
              </w:rPr>
            </w:pP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 xml:space="preserve">Category / </w:t>
            </w:r>
          </w:p>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Program</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t>GENERAL – General Schedule (Code GE)</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Prescriber type:</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Dental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Medical Practitioners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Nurse practitioners  </w:t>
            </w: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Optometrists</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Midwives</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Condition:</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t>Oesophageal candidiasis</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PBS Indication:</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t>Oesophageal candidiasis</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Restriction Level / Method:</w:t>
            </w:r>
          </w:p>
          <w:p w:rsidR="002F4D10" w:rsidRPr="0040045E" w:rsidRDefault="002F4D10" w:rsidP="001A2666">
            <w:pPr>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Restricted benefit</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In Writing</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3"/>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Telephone</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Emergency</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Electronic</w:t>
            </w:r>
          </w:p>
          <w:p w:rsidR="002F4D10" w:rsidRPr="0040045E" w:rsidRDefault="002F4D10" w:rsidP="001A2666">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Streamlined</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Clinical criteria:</w:t>
            </w:r>
          </w:p>
          <w:p w:rsidR="002F4D10" w:rsidRPr="0040045E" w:rsidRDefault="002F4D10" w:rsidP="001A2666">
            <w:pPr>
              <w:jc w:val="both"/>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sz w:val="20"/>
                <w:szCs w:val="20"/>
              </w:rPr>
            </w:pPr>
            <w:r w:rsidRPr="0040045E">
              <w:rPr>
                <w:rFonts w:ascii="Arial Narrow" w:hAnsi="Arial Narrow" w:cs="Arial"/>
                <w:i/>
                <w:sz w:val="20"/>
                <w:szCs w:val="20"/>
              </w:rPr>
              <w:t xml:space="preserve">Patient must be </w:t>
            </w:r>
            <w:r w:rsidRPr="0040045E">
              <w:rPr>
                <w:rFonts w:ascii="Arial Narrow" w:hAnsi="Arial Narrow" w:cs="Arial"/>
                <w:sz w:val="20"/>
                <w:szCs w:val="20"/>
              </w:rPr>
              <w:t>immunosuppressed.</w:t>
            </w:r>
          </w:p>
        </w:tc>
      </w:tr>
      <w:tr w:rsidR="002F4D10" w:rsidRPr="0040045E" w:rsidTr="001A2666">
        <w:trPr>
          <w:cantSplit/>
          <w:trHeight w:val="360"/>
        </w:trPr>
        <w:tc>
          <w:tcPr>
            <w:tcW w:w="2835" w:type="dxa"/>
            <w:tcBorders>
              <w:top w:val="single" w:sz="4" w:space="0" w:color="auto"/>
              <w:left w:val="single" w:sz="4" w:space="0" w:color="auto"/>
              <w:bottom w:val="single" w:sz="4" w:space="0" w:color="auto"/>
              <w:right w:val="single" w:sz="4" w:space="0" w:color="auto"/>
            </w:tcBorders>
          </w:tcPr>
          <w:p w:rsidR="002F4D10" w:rsidRPr="0040045E" w:rsidRDefault="002F4D10" w:rsidP="001A2666">
            <w:pPr>
              <w:jc w:val="both"/>
              <w:rPr>
                <w:rFonts w:ascii="Arial Narrow" w:hAnsi="Arial Narrow" w:cs="Arial"/>
                <w:b/>
                <w:sz w:val="20"/>
                <w:szCs w:val="20"/>
              </w:rPr>
            </w:pPr>
            <w:r w:rsidRPr="0040045E">
              <w:rPr>
                <w:rFonts w:ascii="Arial Narrow" w:hAnsi="Arial Narrow" w:cs="Arial"/>
                <w:b/>
                <w:sz w:val="20"/>
                <w:szCs w:val="20"/>
              </w:rPr>
              <w:t>Administrative Advice</w:t>
            </w:r>
          </w:p>
        </w:tc>
        <w:tc>
          <w:tcPr>
            <w:tcW w:w="5954" w:type="dxa"/>
            <w:gridSpan w:val="6"/>
            <w:tcBorders>
              <w:top w:val="single" w:sz="4" w:space="0" w:color="auto"/>
              <w:left w:val="single" w:sz="4" w:space="0" w:color="auto"/>
              <w:bottom w:val="single" w:sz="4" w:space="0" w:color="auto"/>
              <w:right w:val="single" w:sz="4" w:space="0" w:color="auto"/>
            </w:tcBorders>
          </w:tcPr>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 xml:space="preserve">One capsule of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50 mg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therapeutically equivalent to one 100 mg capsule of conventional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 xml:space="preserve">The recommended dose of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therefore half the recommended dose for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50 mg capsules and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100 mg capsules are not interchangeable.</w:t>
            </w:r>
          </w:p>
          <w:p w:rsidR="002F4D10" w:rsidRPr="0040045E" w:rsidRDefault="002F4D10" w:rsidP="001A2666">
            <w:pPr>
              <w:keepNext/>
              <w:rPr>
                <w:rFonts w:ascii="Arial Narrow" w:hAnsi="Arial Narrow" w:cs="Arial"/>
                <w:i/>
                <w:sz w:val="20"/>
                <w:szCs w:val="20"/>
              </w:rPr>
            </w:pPr>
          </w:p>
          <w:p w:rsidR="002F4D10" w:rsidRPr="0040045E" w:rsidRDefault="002F4D10" w:rsidP="001A2666">
            <w:pPr>
              <w:keepNext/>
              <w:rPr>
                <w:rFonts w:ascii="Arial Narrow" w:hAnsi="Arial Narrow" w:cs="Arial"/>
                <w:i/>
                <w:sz w:val="20"/>
                <w:szCs w:val="20"/>
              </w:rPr>
            </w:pPr>
            <w:r w:rsidRPr="0040045E">
              <w:rPr>
                <w:rFonts w:ascii="Arial Narrow" w:hAnsi="Arial Narrow" w:cs="Arial"/>
                <w:i/>
                <w:sz w:val="20"/>
                <w:szCs w:val="20"/>
              </w:rPr>
              <w:t>Shared Care Model:</w:t>
            </w:r>
          </w:p>
          <w:p w:rsidR="002F4D10" w:rsidRPr="0040045E" w:rsidRDefault="002F4D10" w:rsidP="001A2666">
            <w:pPr>
              <w:rPr>
                <w:rFonts w:ascii="Arial Narrow" w:hAnsi="Arial Narrow" w:cs="Arial"/>
                <w:i/>
                <w:sz w:val="20"/>
                <w:szCs w:val="20"/>
              </w:rPr>
            </w:pPr>
            <w:r w:rsidRPr="0040045E">
              <w:rPr>
                <w:rFonts w:ascii="Arial Narrow" w:hAnsi="Arial Narrow" w:cs="Arial"/>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2F4D10" w:rsidRPr="0040045E" w:rsidRDefault="002F4D10" w:rsidP="002F4D10">
      <w:pPr>
        <w:rPr>
          <w:rFonts w:ascii="Arial" w:hAnsi="Arial" w:cs="Arial"/>
          <w:sz w:val="22"/>
          <w:szCs w:val="22"/>
        </w:rPr>
      </w:pPr>
    </w:p>
    <w:p w:rsidR="002F4D10" w:rsidRPr="0040045E" w:rsidRDefault="002F4D10" w:rsidP="002F4D10">
      <w:pPr>
        <w:rPr>
          <w:rFonts w:asciiTheme="minorHAnsi" w:hAnsiTheme="minorHAnsi" w:cstheme="minorHAnsi"/>
          <w:sz w:val="22"/>
          <w:szCs w:val="22"/>
        </w:rPr>
      </w:pPr>
    </w:p>
    <w:p w:rsidR="00CE10C4" w:rsidRPr="0040045E" w:rsidRDefault="00CE10C4" w:rsidP="00F555AB">
      <w:pPr>
        <w:pStyle w:val="Heading1"/>
      </w:pPr>
      <w:r w:rsidRPr="0040045E">
        <w:t>Background</w:t>
      </w:r>
    </w:p>
    <w:p w:rsidR="006A12A5" w:rsidRPr="0040045E" w:rsidRDefault="006A12A5" w:rsidP="00882085">
      <w:pPr>
        <w:jc w:val="both"/>
        <w:rPr>
          <w:rFonts w:ascii="Arial" w:hAnsi="Arial"/>
          <w:sz w:val="22"/>
          <w:szCs w:val="22"/>
        </w:rPr>
      </w:pPr>
    </w:p>
    <w:p w:rsidR="004A27CE" w:rsidRPr="0040045E" w:rsidRDefault="004A27CE" w:rsidP="004A27CE">
      <w:pPr>
        <w:numPr>
          <w:ilvl w:val="1"/>
          <w:numId w:val="25"/>
        </w:numPr>
        <w:contextualSpacing/>
        <w:jc w:val="both"/>
        <w:rPr>
          <w:rFonts w:ascii="Arial" w:hAnsi="Arial"/>
          <w:sz w:val="22"/>
          <w:szCs w:val="22"/>
        </w:rPr>
      </w:pPr>
      <w:proofErr w:type="spellStart"/>
      <w:r w:rsidRPr="0040045E">
        <w:rPr>
          <w:rFonts w:ascii="Arial" w:hAnsi="Arial"/>
          <w:sz w:val="22"/>
          <w:szCs w:val="22"/>
        </w:rPr>
        <w:t>Itraconazole</w:t>
      </w:r>
      <w:proofErr w:type="spellEnd"/>
      <w:r w:rsidRPr="0040045E">
        <w:rPr>
          <w:rFonts w:ascii="Arial" w:hAnsi="Arial"/>
          <w:sz w:val="22"/>
          <w:szCs w:val="22"/>
        </w:rPr>
        <w:t xml:space="preserve"> 50mg capsule (</w:t>
      </w:r>
      <w:proofErr w:type="spellStart"/>
      <w:r w:rsidRPr="0040045E">
        <w:rPr>
          <w:rFonts w:ascii="Arial" w:hAnsi="Arial"/>
          <w:sz w:val="22"/>
          <w:szCs w:val="22"/>
        </w:rPr>
        <w:t>Lozanoc</w:t>
      </w:r>
      <w:proofErr w:type="spellEnd"/>
      <w:r w:rsidRPr="0040045E">
        <w:rPr>
          <w:rFonts w:ascii="Arial" w:hAnsi="Arial"/>
          <w:sz w:val="22"/>
          <w:szCs w:val="22"/>
        </w:rPr>
        <w:t>®) is TGA registered for the following indications:</w:t>
      </w:r>
    </w:p>
    <w:p w:rsidR="004A27CE" w:rsidRPr="0040045E" w:rsidRDefault="004A27CE" w:rsidP="004A27CE">
      <w:pPr>
        <w:ind w:left="851"/>
        <w:jc w:val="both"/>
        <w:rPr>
          <w:rFonts w:ascii="Arial" w:hAnsi="Arial"/>
          <w:sz w:val="22"/>
          <w:szCs w:val="22"/>
        </w:rPr>
      </w:pPr>
    </w:p>
    <w:p w:rsidR="004A27CE" w:rsidRPr="0040045E" w:rsidRDefault="004A27CE" w:rsidP="004A27CE">
      <w:pPr>
        <w:ind w:left="1134"/>
        <w:jc w:val="both"/>
        <w:rPr>
          <w:rFonts w:ascii="Arial" w:hAnsi="Arial"/>
          <w:sz w:val="22"/>
          <w:szCs w:val="22"/>
          <w:u w:val="single"/>
        </w:rPr>
      </w:pPr>
      <w:r w:rsidRPr="0040045E">
        <w:rPr>
          <w:rFonts w:ascii="Arial" w:hAnsi="Arial"/>
          <w:sz w:val="22"/>
          <w:szCs w:val="22"/>
          <w:u w:val="single"/>
        </w:rPr>
        <w:t>Superficial mycoses</w:t>
      </w:r>
    </w:p>
    <w:p w:rsidR="004A27CE" w:rsidRPr="0040045E" w:rsidRDefault="00294B80" w:rsidP="004A27CE">
      <w:pPr>
        <w:ind w:left="1134"/>
        <w:jc w:val="both"/>
        <w:rPr>
          <w:rFonts w:ascii="Arial" w:hAnsi="Arial"/>
          <w:sz w:val="22"/>
          <w:szCs w:val="22"/>
        </w:rPr>
      </w:pPr>
      <w:proofErr w:type="spellStart"/>
      <w:r w:rsidRPr="0040045E">
        <w:rPr>
          <w:rFonts w:ascii="Arial" w:hAnsi="Arial"/>
          <w:sz w:val="22"/>
          <w:szCs w:val="22"/>
        </w:rPr>
        <w:t>Itraconazole</w:t>
      </w:r>
      <w:proofErr w:type="spellEnd"/>
      <w:r w:rsidRPr="0040045E">
        <w:rPr>
          <w:rFonts w:ascii="Arial" w:hAnsi="Arial"/>
          <w:sz w:val="22"/>
          <w:szCs w:val="22"/>
        </w:rPr>
        <w:t xml:space="preserve"> 50mg capsule</w:t>
      </w:r>
      <w:r w:rsidR="004A27CE" w:rsidRPr="0040045E">
        <w:rPr>
          <w:rFonts w:ascii="Arial" w:hAnsi="Arial"/>
          <w:sz w:val="22"/>
          <w:szCs w:val="22"/>
        </w:rPr>
        <w:t xml:space="preserve"> is indicated if external treatment is not effective or not appropriate, for the treatment of the following fungal infections: dermatomycoses (e.g. </w:t>
      </w:r>
      <w:proofErr w:type="spellStart"/>
      <w:r w:rsidR="004A27CE" w:rsidRPr="0040045E">
        <w:rPr>
          <w:rFonts w:ascii="Arial" w:hAnsi="Arial"/>
          <w:sz w:val="22"/>
          <w:szCs w:val="22"/>
        </w:rPr>
        <w:t>tinea</w:t>
      </w:r>
      <w:proofErr w:type="spellEnd"/>
      <w:r w:rsidR="004A27CE" w:rsidRPr="0040045E">
        <w:rPr>
          <w:rFonts w:ascii="Arial" w:hAnsi="Arial"/>
          <w:sz w:val="22"/>
          <w:szCs w:val="22"/>
        </w:rPr>
        <w:t xml:space="preserve"> </w:t>
      </w:r>
      <w:proofErr w:type="spellStart"/>
      <w:r w:rsidR="004A27CE" w:rsidRPr="0040045E">
        <w:rPr>
          <w:rFonts w:ascii="Arial" w:hAnsi="Arial"/>
          <w:sz w:val="22"/>
          <w:szCs w:val="22"/>
        </w:rPr>
        <w:t>corporis</w:t>
      </w:r>
      <w:proofErr w:type="spellEnd"/>
      <w:r w:rsidR="004A27CE" w:rsidRPr="0040045E">
        <w:rPr>
          <w:rFonts w:ascii="Arial" w:hAnsi="Arial"/>
          <w:sz w:val="22"/>
          <w:szCs w:val="22"/>
        </w:rPr>
        <w:t xml:space="preserve">, </w:t>
      </w:r>
      <w:proofErr w:type="spellStart"/>
      <w:r w:rsidR="004A27CE" w:rsidRPr="0040045E">
        <w:rPr>
          <w:rFonts w:ascii="Arial" w:hAnsi="Arial"/>
          <w:sz w:val="22"/>
          <w:szCs w:val="22"/>
        </w:rPr>
        <w:t>tinea</w:t>
      </w:r>
      <w:proofErr w:type="spellEnd"/>
      <w:r w:rsidR="004A27CE" w:rsidRPr="0040045E">
        <w:rPr>
          <w:rFonts w:ascii="Arial" w:hAnsi="Arial"/>
          <w:sz w:val="22"/>
          <w:szCs w:val="22"/>
        </w:rPr>
        <w:t xml:space="preserve"> </w:t>
      </w:r>
      <w:proofErr w:type="spellStart"/>
      <w:r w:rsidR="004A27CE" w:rsidRPr="0040045E">
        <w:rPr>
          <w:rFonts w:ascii="Arial" w:hAnsi="Arial"/>
          <w:sz w:val="22"/>
          <w:szCs w:val="22"/>
        </w:rPr>
        <w:t>cruis</w:t>
      </w:r>
      <w:proofErr w:type="spellEnd"/>
      <w:r w:rsidR="004A27CE" w:rsidRPr="0040045E">
        <w:rPr>
          <w:rFonts w:ascii="Arial" w:hAnsi="Arial"/>
          <w:sz w:val="22"/>
          <w:szCs w:val="22"/>
        </w:rPr>
        <w:t xml:space="preserve">, </w:t>
      </w:r>
      <w:proofErr w:type="spellStart"/>
      <w:r w:rsidR="004A27CE" w:rsidRPr="0040045E">
        <w:rPr>
          <w:rFonts w:ascii="Arial" w:hAnsi="Arial"/>
          <w:sz w:val="22"/>
          <w:szCs w:val="22"/>
        </w:rPr>
        <w:t>tinea</w:t>
      </w:r>
      <w:proofErr w:type="spellEnd"/>
      <w:r w:rsidR="004A27CE" w:rsidRPr="0040045E">
        <w:rPr>
          <w:rFonts w:ascii="Arial" w:hAnsi="Arial"/>
          <w:sz w:val="22"/>
          <w:szCs w:val="22"/>
        </w:rPr>
        <w:t xml:space="preserve"> </w:t>
      </w:r>
      <w:proofErr w:type="spellStart"/>
      <w:r w:rsidR="004A27CE" w:rsidRPr="0040045E">
        <w:rPr>
          <w:rFonts w:ascii="Arial" w:hAnsi="Arial"/>
          <w:sz w:val="22"/>
          <w:szCs w:val="22"/>
        </w:rPr>
        <w:t>pedis</w:t>
      </w:r>
      <w:proofErr w:type="spellEnd"/>
      <w:r w:rsidR="004A27CE" w:rsidRPr="0040045E">
        <w:rPr>
          <w:rFonts w:ascii="Arial" w:hAnsi="Arial"/>
          <w:sz w:val="22"/>
          <w:szCs w:val="22"/>
        </w:rPr>
        <w:t xml:space="preserve">, </w:t>
      </w:r>
      <w:proofErr w:type="spellStart"/>
      <w:r w:rsidR="004A27CE" w:rsidRPr="0040045E">
        <w:rPr>
          <w:rFonts w:ascii="Arial" w:hAnsi="Arial"/>
          <w:sz w:val="22"/>
          <w:szCs w:val="22"/>
        </w:rPr>
        <w:t>tinea</w:t>
      </w:r>
      <w:proofErr w:type="spellEnd"/>
      <w:r w:rsidR="004A27CE" w:rsidRPr="0040045E">
        <w:rPr>
          <w:rFonts w:ascii="Arial" w:hAnsi="Arial"/>
          <w:sz w:val="22"/>
          <w:szCs w:val="22"/>
        </w:rPr>
        <w:t xml:space="preserve"> </w:t>
      </w:r>
      <w:proofErr w:type="spellStart"/>
      <w:r w:rsidR="004A27CE" w:rsidRPr="0040045E">
        <w:rPr>
          <w:rFonts w:ascii="Arial" w:hAnsi="Arial"/>
          <w:sz w:val="22"/>
          <w:szCs w:val="22"/>
        </w:rPr>
        <w:t>manus</w:t>
      </w:r>
      <w:proofErr w:type="spellEnd"/>
      <w:r w:rsidR="004A27CE" w:rsidRPr="0040045E">
        <w:rPr>
          <w:rFonts w:ascii="Arial" w:hAnsi="Arial"/>
          <w:sz w:val="22"/>
          <w:szCs w:val="22"/>
        </w:rPr>
        <w:t xml:space="preserve">, </w:t>
      </w:r>
      <w:proofErr w:type="spellStart"/>
      <w:r w:rsidR="004A27CE" w:rsidRPr="0040045E">
        <w:rPr>
          <w:rFonts w:ascii="Arial" w:hAnsi="Arial"/>
          <w:sz w:val="22"/>
          <w:szCs w:val="22"/>
        </w:rPr>
        <w:t>tinea</w:t>
      </w:r>
      <w:proofErr w:type="spellEnd"/>
      <w:r w:rsidR="004A27CE" w:rsidRPr="0040045E">
        <w:rPr>
          <w:rFonts w:ascii="Arial" w:hAnsi="Arial"/>
          <w:sz w:val="22"/>
          <w:szCs w:val="22"/>
        </w:rPr>
        <w:t xml:space="preserve"> </w:t>
      </w:r>
      <w:proofErr w:type="spellStart"/>
      <w:r w:rsidR="004A27CE" w:rsidRPr="0040045E">
        <w:rPr>
          <w:rFonts w:ascii="Arial" w:hAnsi="Arial"/>
          <w:sz w:val="22"/>
          <w:szCs w:val="22"/>
        </w:rPr>
        <w:t>unguium</w:t>
      </w:r>
      <w:proofErr w:type="spellEnd"/>
      <w:r w:rsidR="004A27CE" w:rsidRPr="0040045E">
        <w:rPr>
          <w:rFonts w:ascii="Arial" w:hAnsi="Arial"/>
          <w:sz w:val="22"/>
          <w:szCs w:val="22"/>
        </w:rPr>
        <w:t xml:space="preserve">) and </w:t>
      </w:r>
      <w:proofErr w:type="spellStart"/>
      <w:r w:rsidR="004A27CE" w:rsidRPr="0040045E">
        <w:rPr>
          <w:rFonts w:ascii="Arial" w:hAnsi="Arial"/>
          <w:sz w:val="22"/>
          <w:szCs w:val="22"/>
        </w:rPr>
        <w:t>Pityriasis</w:t>
      </w:r>
      <w:proofErr w:type="spellEnd"/>
      <w:r w:rsidR="004A27CE" w:rsidRPr="0040045E">
        <w:rPr>
          <w:rFonts w:ascii="Arial" w:hAnsi="Arial"/>
          <w:sz w:val="22"/>
          <w:szCs w:val="22"/>
        </w:rPr>
        <w:t xml:space="preserve"> versicolour.</w:t>
      </w:r>
    </w:p>
    <w:p w:rsidR="004A27CE" w:rsidRPr="0040045E" w:rsidRDefault="004A27CE" w:rsidP="004A27CE">
      <w:pPr>
        <w:ind w:left="1134"/>
        <w:jc w:val="both"/>
        <w:rPr>
          <w:rFonts w:ascii="Arial" w:hAnsi="Arial"/>
          <w:sz w:val="22"/>
          <w:szCs w:val="22"/>
        </w:rPr>
      </w:pPr>
    </w:p>
    <w:p w:rsidR="004A27CE" w:rsidRPr="0040045E" w:rsidRDefault="004A27CE" w:rsidP="004A27CE">
      <w:pPr>
        <w:ind w:left="1134"/>
        <w:jc w:val="both"/>
        <w:rPr>
          <w:rFonts w:ascii="Arial" w:hAnsi="Arial"/>
          <w:sz w:val="22"/>
          <w:szCs w:val="22"/>
          <w:u w:val="single"/>
        </w:rPr>
      </w:pPr>
      <w:r w:rsidRPr="0040045E">
        <w:rPr>
          <w:rFonts w:ascii="Arial" w:hAnsi="Arial"/>
          <w:sz w:val="22"/>
          <w:szCs w:val="22"/>
          <w:u w:val="single"/>
        </w:rPr>
        <w:t>Systemic mycoses</w:t>
      </w:r>
    </w:p>
    <w:p w:rsidR="002B1AE6" w:rsidRPr="0040045E" w:rsidRDefault="00294B80" w:rsidP="00D701C6">
      <w:pPr>
        <w:ind w:left="1134"/>
        <w:jc w:val="both"/>
        <w:rPr>
          <w:rFonts w:ascii="Arial" w:hAnsi="Arial"/>
          <w:sz w:val="22"/>
          <w:szCs w:val="22"/>
        </w:rPr>
      </w:pPr>
      <w:proofErr w:type="spellStart"/>
      <w:r w:rsidRPr="0040045E">
        <w:rPr>
          <w:rFonts w:ascii="Arial" w:hAnsi="Arial"/>
          <w:sz w:val="22"/>
          <w:szCs w:val="22"/>
        </w:rPr>
        <w:t>Itraconazole</w:t>
      </w:r>
      <w:proofErr w:type="spellEnd"/>
      <w:r w:rsidRPr="0040045E">
        <w:rPr>
          <w:rFonts w:ascii="Arial" w:hAnsi="Arial"/>
          <w:sz w:val="22"/>
          <w:szCs w:val="22"/>
        </w:rPr>
        <w:t xml:space="preserve"> 50mg capsule</w:t>
      </w:r>
      <w:r w:rsidR="004A27CE" w:rsidRPr="0040045E">
        <w:rPr>
          <w:rFonts w:ascii="Arial" w:hAnsi="Arial"/>
          <w:sz w:val="22"/>
          <w:szCs w:val="22"/>
        </w:rPr>
        <w:t xml:space="preserve"> is indicated for the treatment of systemic mycoses, such as candidiasis, </w:t>
      </w:r>
      <w:proofErr w:type="spellStart"/>
      <w:r w:rsidR="004A27CE" w:rsidRPr="0040045E">
        <w:rPr>
          <w:rFonts w:ascii="Arial" w:hAnsi="Arial"/>
          <w:sz w:val="22"/>
          <w:szCs w:val="22"/>
        </w:rPr>
        <w:t>aspergillosis</w:t>
      </w:r>
      <w:proofErr w:type="spellEnd"/>
      <w:r w:rsidR="004A27CE" w:rsidRPr="0040045E">
        <w:rPr>
          <w:rFonts w:ascii="Arial" w:hAnsi="Arial"/>
          <w:sz w:val="22"/>
          <w:szCs w:val="22"/>
        </w:rPr>
        <w:t>, and histoplasmosis.</w:t>
      </w:r>
    </w:p>
    <w:p w:rsidR="00D701C6" w:rsidRPr="0040045E" w:rsidRDefault="00D701C6" w:rsidP="00D701C6">
      <w:pPr>
        <w:ind w:left="1134"/>
        <w:jc w:val="both"/>
        <w:rPr>
          <w:rFonts w:ascii="Arial" w:hAnsi="Arial"/>
          <w:sz w:val="22"/>
          <w:szCs w:val="22"/>
        </w:rPr>
      </w:pPr>
    </w:p>
    <w:p w:rsidR="00D701C6" w:rsidRPr="0040045E" w:rsidRDefault="00D701C6" w:rsidP="00D701C6">
      <w:pPr>
        <w:ind w:left="1134"/>
        <w:jc w:val="both"/>
        <w:rPr>
          <w:rFonts w:ascii="Arial" w:hAnsi="Arial"/>
          <w:i/>
          <w:sz w:val="22"/>
          <w:szCs w:val="22"/>
        </w:rPr>
      </w:pPr>
      <w:r w:rsidRPr="0040045E">
        <w:rPr>
          <w:rFonts w:ascii="Arial" w:hAnsi="Arial"/>
          <w:sz w:val="22"/>
          <w:szCs w:val="22"/>
        </w:rPr>
        <w:lastRenderedPageBreak/>
        <w:t xml:space="preserve">Consideration should be given to official guidance on the appropriate use of </w:t>
      </w:r>
      <w:proofErr w:type="spellStart"/>
      <w:r w:rsidRPr="0040045E">
        <w:rPr>
          <w:rFonts w:ascii="Arial" w:hAnsi="Arial"/>
          <w:sz w:val="22"/>
          <w:szCs w:val="22"/>
        </w:rPr>
        <w:t>antimycotic</w:t>
      </w:r>
      <w:proofErr w:type="spellEnd"/>
      <w:r w:rsidRPr="0040045E">
        <w:rPr>
          <w:rFonts w:ascii="Arial" w:hAnsi="Arial"/>
          <w:sz w:val="22"/>
          <w:szCs w:val="22"/>
        </w:rPr>
        <w:t xml:space="preserve"> agents, and to the discussion of the pharmacodynamics properties</w:t>
      </w:r>
      <w:r w:rsidR="00AE73E5" w:rsidRPr="0040045E">
        <w:rPr>
          <w:rFonts w:ascii="Arial" w:hAnsi="Arial"/>
          <w:sz w:val="22"/>
          <w:szCs w:val="22"/>
        </w:rPr>
        <w:t>.</w:t>
      </w:r>
    </w:p>
    <w:p w:rsidR="00D701C6" w:rsidRPr="0040045E" w:rsidRDefault="00D701C6" w:rsidP="00D701C6">
      <w:pPr>
        <w:ind w:left="1134"/>
        <w:jc w:val="both"/>
        <w:rPr>
          <w:rFonts w:ascii="Arial" w:hAnsi="Arial"/>
          <w:sz w:val="22"/>
          <w:szCs w:val="22"/>
        </w:rPr>
      </w:pPr>
    </w:p>
    <w:p w:rsidR="00205118" w:rsidRPr="0040045E" w:rsidRDefault="00294B80" w:rsidP="00294B80">
      <w:pPr>
        <w:pStyle w:val="ListParagraph"/>
        <w:numPr>
          <w:ilvl w:val="1"/>
          <w:numId w:val="25"/>
        </w:numPr>
        <w:jc w:val="both"/>
        <w:rPr>
          <w:rFonts w:ascii="Arial" w:hAnsi="Arial"/>
          <w:sz w:val="22"/>
          <w:szCs w:val="22"/>
        </w:rPr>
      </w:pPr>
      <w:proofErr w:type="spellStart"/>
      <w:r w:rsidRPr="0040045E">
        <w:rPr>
          <w:rFonts w:ascii="Arial" w:hAnsi="Arial"/>
          <w:sz w:val="22"/>
          <w:szCs w:val="22"/>
        </w:rPr>
        <w:t>Itraconazole</w:t>
      </w:r>
      <w:proofErr w:type="spellEnd"/>
      <w:r w:rsidRPr="0040045E">
        <w:rPr>
          <w:rFonts w:ascii="Arial" w:hAnsi="Arial"/>
          <w:sz w:val="22"/>
          <w:szCs w:val="22"/>
        </w:rPr>
        <w:t xml:space="preserve"> 50mg capsule</w:t>
      </w:r>
      <w:r w:rsidR="00D701C6" w:rsidRPr="0040045E">
        <w:rPr>
          <w:rFonts w:ascii="Arial" w:hAnsi="Arial"/>
          <w:sz w:val="22"/>
          <w:szCs w:val="22"/>
        </w:rPr>
        <w:t xml:space="preserve"> was previously considered at the November 2014 PBAC. The PBAC rejected the submission for th</w:t>
      </w:r>
      <w:r w:rsidR="00205118" w:rsidRPr="0040045E">
        <w:rPr>
          <w:rFonts w:ascii="Arial" w:hAnsi="Arial"/>
          <w:sz w:val="22"/>
          <w:szCs w:val="22"/>
        </w:rPr>
        <w:t>e treatment of systemic mycoses for the following reasons:</w:t>
      </w:r>
    </w:p>
    <w:p w:rsidR="00294B80" w:rsidRPr="0040045E" w:rsidRDefault="00205118" w:rsidP="00205118">
      <w:pPr>
        <w:pStyle w:val="ListParagraph"/>
        <w:numPr>
          <w:ilvl w:val="0"/>
          <w:numId w:val="48"/>
        </w:numPr>
        <w:jc w:val="both"/>
        <w:rPr>
          <w:rFonts w:ascii="Arial" w:hAnsi="Arial"/>
          <w:sz w:val="22"/>
          <w:szCs w:val="22"/>
        </w:rPr>
      </w:pPr>
      <w:r w:rsidRPr="0040045E">
        <w:rPr>
          <w:rFonts w:ascii="Arial" w:hAnsi="Arial"/>
          <w:sz w:val="22"/>
          <w:szCs w:val="22"/>
        </w:rPr>
        <w:t xml:space="preserve">The </w:t>
      </w:r>
      <w:r w:rsidR="00D701C6" w:rsidRPr="0040045E">
        <w:rPr>
          <w:rFonts w:ascii="Arial" w:hAnsi="Arial"/>
          <w:sz w:val="22"/>
          <w:szCs w:val="22"/>
        </w:rPr>
        <w:t xml:space="preserve">data demonstrating comparative efficacy and safety were not provided in the submission. </w:t>
      </w:r>
      <w:r w:rsidR="00294B80" w:rsidRPr="0040045E">
        <w:rPr>
          <w:rFonts w:ascii="Arial" w:hAnsi="Arial"/>
          <w:bCs/>
          <w:sz w:val="22"/>
          <w:szCs w:val="22"/>
        </w:rPr>
        <w:t xml:space="preserve">Accordingly, the PBAC could not recommend (under section 101(3) of the Act) that </w:t>
      </w:r>
      <w:proofErr w:type="spellStart"/>
      <w:r w:rsidR="00294B80" w:rsidRPr="0040045E">
        <w:rPr>
          <w:rFonts w:ascii="Arial" w:hAnsi="Arial"/>
          <w:bCs/>
          <w:sz w:val="22"/>
          <w:szCs w:val="22"/>
        </w:rPr>
        <w:t>itraconazole</w:t>
      </w:r>
      <w:proofErr w:type="spellEnd"/>
      <w:r w:rsidR="00294B80" w:rsidRPr="0040045E">
        <w:rPr>
          <w:rFonts w:ascii="Arial" w:hAnsi="Arial"/>
          <w:bCs/>
          <w:sz w:val="22"/>
          <w:szCs w:val="22"/>
        </w:rPr>
        <w:t xml:space="preserve"> be made available as a pharmaceutical benefit.</w:t>
      </w:r>
    </w:p>
    <w:p w:rsidR="00294B80" w:rsidRPr="0040045E" w:rsidRDefault="00294B80" w:rsidP="00294B80">
      <w:pPr>
        <w:pStyle w:val="ListParagraph"/>
        <w:jc w:val="both"/>
        <w:rPr>
          <w:rFonts w:ascii="Arial" w:hAnsi="Arial"/>
          <w:sz w:val="22"/>
          <w:szCs w:val="22"/>
        </w:rPr>
      </w:pPr>
    </w:p>
    <w:p w:rsidR="00294B80" w:rsidRPr="0040045E" w:rsidRDefault="00294B80" w:rsidP="00205118">
      <w:pPr>
        <w:pStyle w:val="ListParagraph"/>
        <w:numPr>
          <w:ilvl w:val="0"/>
          <w:numId w:val="48"/>
        </w:numPr>
        <w:jc w:val="both"/>
        <w:rPr>
          <w:rFonts w:ascii="Arial" w:hAnsi="Arial"/>
          <w:sz w:val="22"/>
          <w:szCs w:val="22"/>
        </w:rPr>
      </w:pPr>
      <w:r w:rsidRPr="0040045E">
        <w:rPr>
          <w:rFonts w:ascii="Arial" w:hAnsi="Arial"/>
          <w:sz w:val="22"/>
          <w:szCs w:val="22"/>
        </w:rPr>
        <w:t xml:space="preserve">The PBAC noted that while the TGA found that the 50 mg capsules were therapeutically equivalent to the currently listed 100 mg </w:t>
      </w:r>
      <w:proofErr w:type="spellStart"/>
      <w:r w:rsidRPr="0040045E">
        <w:rPr>
          <w:rFonts w:ascii="Arial" w:hAnsi="Arial"/>
          <w:sz w:val="22"/>
          <w:szCs w:val="22"/>
        </w:rPr>
        <w:t>itraconazole</w:t>
      </w:r>
      <w:proofErr w:type="spellEnd"/>
      <w:r w:rsidRPr="0040045E">
        <w:rPr>
          <w:rFonts w:ascii="Arial" w:hAnsi="Arial"/>
          <w:sz w:val="22"/>
          <w:szCs w:val="22"/>
        </w:rPr>
        <w:t xml:space="preserve"> capsules on appeal, a bioequivalence statement was not issued.</w:t>
      </w:r>
    </w:p>
    <w:p w:rsidR="00294B80" w:rsidRPr="0040045E" w:rsidRDefault="00294B80" w:rsidP="00294B80">
      <w:pPr>
        <w:pStyle w:val="ListParagraph"/>
        <w:jc w:val="both"/>
        <w:rPr>
          <w:rFonts w:ascii="Arial" w:hAnsi="Arial"/>
          <w:sz w:val="22"/>
          <w:szCs w:val="22"/>
        </w:rPr>
      </w:pPr>
    </w:p>
    <w:p w:rsidR="00294B80" w:rsidRPr="0040045E" w:rsidRDefault="00294B80" w:rsidP="00205118">
      <w:pPr>
        <w:pStyle w:val="ListParagraph"/>
        <w:numPr>
          <w:ilvl w:val="0"/>
          <w:numId w:val="48"/>
        </w:numPr>
        <w:jc w:val="both"/>
        <w:rPr>
          <w:rFonts w:ascii="Arial" w:hAnsi="Arial"/>
          <w:sz w:val="22"/>
          <w:szCs w:val="22"/>
        </w:rPr>
      </w:pPr>
      <w:r w:rsidRPr="0040045E">
        <w:rPr>
          <w:rFonts w:ascii="Arial" w:hAnsi="Arial"/>
          <w:sz w:val="22"/>
          <w:szCs w:val="22"/>
        </w:rPr>
        <w:t xml:space="preserve">The PBAC considered there would be a small risk of prescriber or patient confusion if </w:t>
      </w:r>
      <w:proofErr w:type="spellStart"/>
      <w:r w:rsidRPr="0040045E">
        <w:rPr>
          <w:rFonts w:ascii="Arial" w:hAnsi="Arial"/>
          <w:sz w:val="22"/>
          <w:szCs w:val="22"/>
        </w:rPr>
        <w:t>itraconazole</w:t>
      </w:r>
      <w:proofErr w:type="spellEnd"/>
      <w:r w:rsidRPr="0040045E">
        <w:rPr>
          <w:rFonts w:ascii="Arial" w:hAnsi="Arial"/>
          <w:sz w:val="22"/>
          <w:szCs w:val="22"/>
        </w:rPr>
        <w:t xml:space="preserve"> 50 mg were to be listed. That is, there is a risk that a patient may receive twice the dose intended by the prescriber.</w:t>
      </w:r>
    </w:p>
    <w:p w:rsidR="00294B80" w:rsidRPr="0040045E" w:rsidRDefault="00294B80" w:rsidP="00294B80">
      <w:pPr>
        <w:pStyle w:val="ListParagraph"/>
        <w:jc w:val="both"/>
        <w:rPr>
          <w:rFonts w:ascii="Arial" w:hAnsi="Arial"/>
          <w:sz w:val="22"/>
          <w:szCs w:val="22"/>
        </w:rPr>
      </w:pPr>
    </w:p>
    <w:p w:rsidR="00294B80" w:rsidRPr="0040045E" w:rsidRDefault="00294B80" w:rsidP="00205118">
      <w:pPr>
        <w:pStyle w:val="ListParagraph"/>
        <w:numPr>
          <w:ilvl w:val="0"/>
          <w:numId w:val="48"/>
        </w:numPr>
        <w:jc w:val="both"/>
        <w:rPr>
          <w:rFonts w:ascii="Arial" w:hAnsi="Arial"/>
          <w:sz w:val="22"/>
          <w:szCs w:val="22"/>
        </w:rPr>
      </w:pPr>
      <w:r w:rsidRPr="0040045E">
        <w:rPr>
          <w:rFonts w:ascii="Arial" w:hAnsi="Arial"/>
          <w:sz w:val="22"/>
          <w:szCs w:val="22"/>
        </w:rPr>
        <w:t xml:space="preserve">While the PBAC considered there may be a small advantage to adding an additional brand of </w:t>
      </w:r>
      <w:proofErr w:type="spellStart"/>
      <w:r w:rsidRPr="0040045E">
        <w:rPr>
          <w:rFonts w:ascii="Arial" w:hAnsi="Arial"/>
          <w:sz w:val="22"/>
          <w:szCs w:val="22"/>
        </w:rPr>
        <w:t>itraconazole</w:t>
      </w:r>
      <w:proofErr w:type="spellEnd"/>
      <w:r w:rsidRPr="0040045E">
        <w:rPr>
          <w:rFonts w:ascii="Arial" w:hAnsi="Arial"/>
          <w:sz w:val="22"/>
          <w:szCs w:val="22"/>
        </w:rPr>
        <w:t xml:space="preserve"> to the PBS, it did not consider there was a compelling clinical need for listing.</w:t>
      </w:r>
    </w:p>
    <w:p w:rsidR="00294B80" w:rsidRPr="0040045E" w:rsidRDefault="00294B80" w:rsidP="00294B80">
      <w:pPr>
        <w:pStyle w:val="ListParagraph"/>
        <w:jc w:val="both"/>
        <w:rPr>
          <w:rFonts w:ascii="Arial" w:hAnsi="Arial"/>
          <w:sz w:val="22"/>
          <w:szCs w:val="22"/>
        </w:rPr>
      </w:pPr>
    </w:p>
    <w:p w:rsidR="00294B80" w:rsidRPr="0040045E" w:rsidRDefault="00294B80" w:rsidP="00205118">
      <w:pPr>
        <w:pStyle w:val="ListParagraph"/>
        <w:numPr>
          <w:ilvl w:val="0"/>
          <w:numId w:val="48"/>
        </w:numPr>
        <w:jc w:val="both"/>
        <w:rPr>
          <w:rFonts w:ascii="Arial" w:hAnsi="Arial"/>
          <w:sz w:val="22"/>
          <w:szCs w:val="22"/>
        </w:rPr>
      </w:pPr>
      <w:r w:rsidRPr="0040045E">
        <w:rPr>
          <w:rFonts w:ascii="Arial" w:hAnsi="Arial"/>
          <w:sz w:val="22"/>
          <w:szCs w:val="22"/>
        </w:rPr>
        <w:t>The PBAC noted that the submission did not provide data demonstrating comparative efficacy and safety relative to the nominated comparator (</w:t>
      </w:r>
      <w:proofErr w:type="spellStart"/>
      <w:r w:rsidRPr="0040045E">
        <w:rPr>
          <w:rFonts w:ascii="Arial" w:hAnsi="Arial"/>
          <w:sz w:val="22"/>
          <w:szCs w:val="22"/>
        </w:rPr>
        <w:t>itraconazole</w:t>
      </w:r>
      <w:proofErr w:type="spellEnd"/>
      <w:r w:rsidRPr="0040045E">
        <w:rPr>
          <w:rFonts w:ascii="Arial" w:hAnsi="Arial"/>
          <w:sz w:val="22"/>
          <w:szCs w:val="22"/>
        </w:rPr>
        <w:t xml:space="preserve"> 100 mg). The PBAC recommended the sponsor address these concerns via a re</w:t>
      </w:r>
      <w:r w:rsidR="00080AFF" w:rsidRPr="0040045E">
        <w:rPr>
          <w:rFonts w:ascii="Arial" w:hAnsi="Arial"/>
          <w:sz w:val="22"/>
          <w:szCs w:val="22"/>
        </w:rPr>
        <w:t>-</w:t>
      </w:r>
      <w:r w:rsidRPr="0040045E">
        <w:rPr>
          <w:rFonts w:ascii="Arial" w:hAnsi="Arial"/>
          <w:sz w:val="22"/>
          <w:szCs w:val="22"/>
        </w:rPr>
        <w:t>submission.</w:t>
      </w:r>
    </w:p>
    <w:p w:rsidR="00294B80" w:rsidRPr="0040045E" w:rsidRDefault="00294B80" w:rsidP="00294B80">
      <w:pPr>
        <w:pStyle w:val="ListParagraph"/>
        <w:jc w:val="both"/>
        <w:rPr>
          <w:rFonts w:ascii="Arial" w:hAnsi="Arial"/>
          <w:sz w:val="22"/>
          <w:szCs w:val="22"/>
        </w:rPr>
      </w:pPr>
    </w:p>
    <w:p w:rsidR="00294B80" w:rsidRPr="0040045E" w:rsidRDefault="00294B80" w:rsidP="00205118">
      <w:pPr>
        <w:pStyle w:val="ListParagraph"/>
        <w:numPr>
          <w:ilvl w:val="0"/>
          <w:numId w:val="48"/>
        </w:numPr>
        <w:jc w:val="both"/>
        <w:rPr>
          <w:rFonts w:ascii="Arial" w:hAnsi="Arial"/>
          <w:sz w:val="22"/>
          <w:szCs w:val="22"/>
        </w:rPr>
      </w:pPr>
      <w:r w:rsidRPr="0040045E">
        <w:rPr>
          <w:rFonts w:ascii="Arial" w:hAnsi="Arial"/>
          <w:sz w:val="22"/>
          <w:szCs w:val="22"/>
        </w:rPr>
        <w:t>The minor submission did not address estimated PBS usage or financial impl</w:t>
      </w:r>
      <w:r w:rsidR="009506E6" w:rsidRPr="0040045E">
        <w:rPr>
          <w:rFonts w:ascii="Arial" w:hAnsi="Arial"/>
          <w:sz w:val="22"/>
          <w:szCs w:val="22"/>
        </w:rPr>
        <w:t>i</w:t>
      </w:r>
      <w:r w:rsidRPr="0040045E">
        <w:rPr>
          <w:rFonts w:ascii="Arial" w:hAnsi="Arial"/>
          <w:sz w:val="22"/>
          <w:szCs w:val="22"/>
        </w:rPr>
        <w:t>cations.</w:t>
      </w:r>
    </w:p>
    <w:p w:rsidR="00D701C6" w:rsidRPr="0040045E" w:rsidRDefault="00D701C6" w:rsidP="00D701C6">
      <w:pPr>
        <w:ind w:left="1134"/>
        <w:jc w:val="both"/>
        <w:rPr>
          <w:rFonts w:ascii="Arial" w:hAnsi="Arial"/>
          <w:sz w:val="22"/>
          <w:szCs w:val="22"/>
        </w:rPr>
      </w:pPr>
    </w:p>
    <w:p w:rsidR="00EE4B15" w:rsidRPr="0040045E" w:rsidRDefault="00407C7A" w:rsidP="001B00D7">
      <w:pPr>
        <w:ind w:left="709"/>
        <w:jc w:val="both"/>
        <w:rPr>
          <w:rFonts w:ascii="Arial" w:hAnsi="Arial"/>
          <w:i/>
          <w:sz w:val="22"/>
          <w:szCs w:val="22"/>
        </w:rPr>
      </w:pPr>
      <w:r w:rsidRPr="0040045E">
        <w:rPr>
          <w:rFonts w:ascii="Arial" w:hAnsi="Arial"/>
          <w:i/>
          <w:sz w:val="22"/>
          <w:szCs w:val="22"/>
        </w:rPr>
        <w:t>For more details on PBAC’s view, see section 7 “PBAC outcome”</w:t>
      </w:r>
    </w:p>
    <w:p w:rsidR="00407C7A" w:rsidRPr="0040045E" w:rsidRDefault="00407C7A" w:rsidP="00D701C6">
      <w:pPr>
        <w:ind w:left="1134"/>
        <w:jc w:val="both"/>
        <w:rPr>
          <w:rFonts w:ascii="Arial" w:hAnsi="Arial"/>
          <w:sz w:val="22"/>
          <w:szCs w:val="22"/>
        </w:rPr>
      </w:pPr>
    </w:p>
    <w:p w:rsidR="004054E2" w:rsidRPr="0040045E" w:rsidRDefault="004054E2" w:rsidP="00D701C6">
      <w:pPr>
        <w:ind w:left="1134"/>
        <w:jc w:val="both"/>
        <w:rPr>
          <w:rFonts w:ascii="Arial" w:hAnsi="Arial"/>
          <w:sz w:val="22"/>
          <w:szCs w:val="22"/>
        </w:rPr>
      </w:pPr>
    </w:p>
    <w:p w:rsidR="00CE10C4" w:rsidRPr="0040045E" w:rsidRDefault="00CE10C4" w:rsidP="00F555AB">
      <w:pPr>
        <w:pStyle w:val="Heading1"/>
      </w:pPr>
      <w:r w:rsidRPr="0040045E">
        <w:t>Clinical place for the proposed ther</w:t>
      </w:r>
      <w:r w:rsidR="006A12A5" w:rsidRPr="0040045E">
        <w:t>apy</w:t>
      </w:r>
    </w:p>
    <w:p w:rsidR="00CE10C4" w:rsidRPr="0040045E" w:rsidRDefault="00CE10C4" w:rsidP="00882085">
      <w:pPr>
        <w:jc w:val="both"/>
        <w:rPr>
          <w:rFonts w:ascii="Arial" w:hAnsi="Arial"/>
          <w:sz w:val="22"/>
          <w:szCs w:val="22"/>
        </w:rPr>
      </w:pPr>
    </w:p>
    <w:p w:rsidR="006A12A5" w:rsidRPr="0040045E" w:rsidRDefault="00EC000A" w:rsidP="00826F6D">
      <w:pPr>
        <w:pStyle w:val="ListParagraph"/>
        <w:numPr>
          <w:ilvl w:val="1"/>
          <w:numId w:val="25"/>
        </w:numPr>
        <w:jc w:val="both"/>
        <w:rPr>
          <w:rFonts w:ascii="Arial" w:hAnsi="Arial"/>
          <w:sz w:val="22"/>
          <w:szCs w:val="22"/>
        </w:rPr>
      </w:pPr>
      <w:proofErr w:type="spellStart"/>
      <w:r w:rsidRPr="0040045E">
        <w:rPr>
          <w:rFonts w:ascii="Arial" w:hAnsi="Arial"/>
          <w:sz w:val="22"/>
          <w:szCs w:val="22"/>
        </w:rPr>
        <w:t>Itraconazole</w:t>
      </w:r>
      <w:proofErr w:type="spellEnd"/>
      <w:r w:rsidRPr="0040045E">
        <w:rPr>
          <w:rFonts w:ascii="Arial" w:hAnsi="Arial"/>
          <w:sz w:val="22"/>
          <w:szCs w:val="22"/>
        </w:rPr>
        <w:t xml:space="preserve"> 50mg capsule is TGA approved for superficial and systemic mycoses indications. This minor re-submission requested listing for systemic mycoses only, as per the current PBS</w:t>
      </w:r>
      <w:r w:rsidRPr="0040045E">
        <w:rPr>
          <w:rFonts w:ascii="Arial" w:hAnsi="Arial"/>
          <w:sz w:val="22"/>
          <w:szCs w:val="22"/>
        </w:rPr>
        <w:noBreakHyphen/>
        <w:t xml:space="preserve">listing for </w:t>
      </w:r>
      <w:proofErr w:type="spellStart"/>
      <w:r w:rsidRPr="0040045E">
        <w:rPr>
          <w:rFonts w:ascii="Arial" w:hAnsi="Arial"/>
          <w:sz w:val="22"/>
          <w:szCs w:val="22"/>
        </w:rPr>
        <w:t>itraconazole</w:t>
      </w:r>
      <w:proofErr w:type="spellEnd"/>
      <w:r w:rsidRPr="0040045E">
        <w:rPr>
          <w:rFonts w:ascii="Arial" w:hAnsi="Arial"/>
          <w:sz w:val="22"/>
          <w:szCs w:val="22"/>
        </w:rPr>
        <w:t xml:space="preserve"> 100 mg capsule.</w:t>
      </w:r>
    </w:p>
    <w:p w:rsidR="00C35996" w:rsidRPr="0040045E" w:rsidRDefault="00C35996" w:rsidP="00882085">
      <w:pPr>
        <w:pStyle w:val="ListParagraph"/>
        <w:jc w:val="both"/>
        <w:rPr>
          <w:rFonts w:ascii="Arial" w:hAnsi="Arial"/>
          <w:sz w:val="22"/>
          <w:szCs w:val="22"/>
        </w:rPr>
      </w:pPr>
    </w:p>
    <w:p w:rsidR="006A12A5" w:rsidRPr="0040045E" w:rsidRDefault="00B95BEB" w:rsidP="00A221A5">
      <w:pPr>
        <w:pStyle w:val="ListParagraph"/>
        <w:numPr>
          <w:ilvl w:val="1"/>
          <w:numId w:val="25"/>
        </w:numPr>
        <w:jc w:val="both"/>
        <w:rPr>
          <w:rFonts w:ascii="Arial" w:hAnsi="Arial"/>
          <w:sz w:val="22"/>
          <w:szCs w:val="22"/>
        </w:rPr>
      </w:pPr>
      <w:r w:rsidRPr="0040045E">
        <w:rPr>
          <w:rFonts w:ascii="Arial" w:hAnsi="Arial"/>
          <w:sz w:val="22"/>
          <w:szCs w:val="22"/>
        </w:rPr>
        <w:t>The re</w:t>
      </w:r>
      <w:r w:rsidR="00080AFF" w:rsidRPr="0040045E">
        <w:rPr>
          <w:rFonts w:ascii="Arial" w:hAnsi="Arial"/>
          <w:sz w:val="22"/>
          <w:szCs w:val="22"/>
        </w:rPr>
        <w:t>-</w:t>
      </w:r>
      <w:r w:rsidRPr="0040045E">
        <w:rPr>
          <w:rFonts w:ascii="Arial" w:hAnsi="Arial"/>
          <w:sz w:val="22"/>
          <w:szCs w:val="22"/>
        </w:rPr>
        <w:t>submission claimed that o</w:t>
      </w:r>
      <w:r w:rsidR="00EC000A" w:rsidRPr="0040045E">
        <w:rPr>
          <w:rFonts w:ascii="Arial" w:hAnsi="Arial"/>
          <w:sz w:val="22"/>
          <w:szCs w:val="22"/>
        </w:rPr>
        <w:t xml:space="preserve">ne 50 mg capsule of </w:t>
      </w:r>
      <w:proofErr w:type="spellStart"/>
      <w:r w:rsidR="00EC000A" w:rsidRPr="0040045E">
        <w:rPr>
          <w:rFonts w:ascii="Arial" w:hAnsi="Arial"/>
          <w:sz w:val="22"/>
          <w:szCs w:val="22"/>
        </w:rPr>
        <w:t>itraconazole</w:t>
      </w:r>
      <w:proofErr w:type="spellEnd"/>
      <w:r w:rsidR="00EC000A" w:rsidRPr="0040045E">
        <w:rPr>
          <w:rFonts w:ascii="Arial" w:hAnsi="Arial"/>
          <w:sz w:val="22"/>
          <w:szCs w:val="22"/>
        </w:rPr>
        <w:t xml:space="preserve"> (</w:t>
      </w:r>
      <w:proofErr w:type="spellStart"/>
      <w:r w:rsidR="00EC000A" w:rsidRPr="0040045E">
        <w:rPr>
          <w:rFonts w:ascii="Arial" w:hAnsi="Arial"/>
          <w:sz w:val="22"/>
          <w:szCs w:val="22"/>
        </w:rPr>
        <w:t>Lozanoc</w:t>
      </w:r>
      <w:proofErr w:type="spellEnd"/>
      <w:r w:rsidR="00EC000A" w:rsidRPr="0040045E">
        <w:rPr>
          <w:rFonts w:ascii="Arial" w:hAnsi="Arial"/>
          <w:sz w:val="22"/>
          <w:szCs w:val="22"/>
          <w:vertAlign w:val="superscript"/>
        </w:rPr>
        <w:t>®</w:t>
      </w:r>
      <w:r w:rsidR="00EC000A" w:rsidRPr="0040045E">
        <w:rPr>
          <w:rFonts w:ascii="Arial" w:hAnsi="Arial"/>
          <w:sz w:val="22"/>
          <w:szCs w:val="22"/>
        </w:rPr>
        <w:t>) has</w:t>
      </w:r>
      <w:r w:rsidR="00803DA2" w:rsidRPr="0040045E">
        <w:rPr>
          <w:rFonts w:ascii="Arial" w:hAnsi="Arial"/>
          <w:sz w:val="22"/>
          <w:szCs w:val="22"/>
        </w:rPr>
        <w:t xml:space="preserve"> a higher </w:t>
      </w:r>
      <w:r w:rsidRPr="0040045E">
        <w:rPr>
          <w:rFonts w:ascii="Arial" w:hAnsi="Arial"/>
          <w:sz w:val="22"/>
          <w:szCs w:val="22"/>
        </w:rPr>
        <w:t>b</w:t>
      </w:r>
      <w:r w:rsidR="00EC000A" w:rsidRPr="0040045E">
        <w:rPr>
          <w:rFonts w:ascii="Arial" w:hAnsi="Arial"/>
          <w:sz w:val="22"/>
          <w:szCs w:val="22"/>
        </w:rPr>
        <w:t xml:space="preserve">ioavailability than other </w:t>
      </w:r>
      <w:proofErr w:type="spellStart"/>
      <w:r w:rsidR="00EC000A" w:rsidRPr="0040045E">
        <w:rPr>
          <w:rFonts w:ascii="Arial" w:hAnsi="Arial"/>
          <w:sz w:val="22"/>
          <w:szCs w:val="22"/>
        </w:rPr>
        <w:t>itraconazole</w:t>
      </w:r>
      <w:proofErr w:type="spellEnd"/>
      <w:r w:rsidR="00EC000A" w:rsidRPr="0040045E">
        <w:rPr>
          <w:rFonts w:ascii="Arial" w:hAnsi="Arial"/>
          <w:sz w:val="22"/>
          <w:szCs w:val="22"/>
        </w:rPr>
        <w:t xml:space="preserve"> capsules</w:t>
      </w:r>
      <w:r w:rsidR="00803DA2" w:rsidRPr="0040045E">
        <w:rPr>
          <w:rFonts w:ascii="Arial" w:hAnsi="Arial"/>
          <w:sz w:val="22"/>
          <w:szCs w:val="22"/>
        </w:rPr>
        <w:t xml:space="preserve"> and is not affected by gastric acid neutralizers/inhibitors. </w:t>
      </w:r>
      <w:proofErr w:type="spellStart"/>
      <w:r w:rsidR="003D328C" w:rsidRPr="0040045E">
        <w:rPr>
          <w:rFonts w:ascii="Arial" w:hAnsi="Arial"/>
          <w:sz w:val="22"/>
          <w:szCs w:val="22"/>
        </w:rPr>
        <w:t>I</w:t>
      </w:r>
      <w:r w:rsidR="00086B01" w:rsidRPr="0040045E">
        <w:rPr>
          <w:rFonts w:ascii="Arial" w:hAnsi="Arial"/>
          <w:sz w:val="22"/>
          <w:szCs w:val="22"/>
        </w:rPr>
        <w:t>tra</w:t>
      </w:r>
      <w:r w:rsidR="003D328C" w:rsidRPr="0040045E">
        <w:rPr>
          <w:rFonts w:ascii="Arial" w:hAnsi="Arial"/>
          <w:sz w:val="22"/>
          <w:szCs w:val="22"/>
        </w:rPr>
        <w:t>co</w:t>
      </w:r>
      <w:r w:rsidR="00086B01" w:rsidRPr="0040045E">
        <w:rPr>
          <w:rFonts w:ascii="Arial" w:hAnsi="Arial"/>
          <w:sz w:val="22"/>
          <w:szCs w:val="22"/>
        </w:rPr>
        <w:t>nazole</w:t>
      </w:r>
      <w:proofErr w:type="spellEnd"/>
      <w:r w:rsidR="00086B01" w:rsidRPr="0040045E">
        <w:rPr>
          <w:rFonts w:ascii="Arial" w:hAnsi="Arial"/>
          <w:sz w:val="22"/>
          <w:szCs w:val="22"/>
        </w:rPr>
        <w:t xml:space="preserve"> 50 mg</w:t>
      </w:r>
      <w:r w:rsidR="00A221A5" w:rsidRPr="0040045E">
        <w:rPr>
          <w:rFonts w:ascii="Arial" w:hAnsi="Arial"/>
          <w:sz w:val="22"/>
          <w:szCs w:val="22"/>
        </w:rPr>
        <w:t xml:space="preserve"> i</w:t>
      </w:r>
      <w:r w:rsidR="00EC000A" w:rsidRPr="0040045E">
        <w:rPr>
          <w:rFonts w:ascii="Arial" w:hAnsi="Arial"/>
          <w:sz w:val="22"/>
          <w:szCs w:val="22"/>
        </w:rPr>
        <w:t xml:space="preserve">s therapeutically equivalent to one 100 mg capsule of </w:t>
      </w:r>
      <w:proofErr w:type="spellStart"/>
      <w:r w:rsidR="00EC000A" w:rsidRPr="0040045E">
        <w:rPr>
          <w:rFonts w:ascii="Arial" w:hAnsi="Arial"/>
          <w:sz w:val="22"/>
          <w:szCs w:val="22"/>
        </w:rPr>
        <w:t>itraconazole</w:t>
      </w:r>
      <w:proofErr w:type="spellEnd"/>
      <w:r w:rsidR="00A221A5" w:rsidRPr="0040045E">
        <w:rPr>
          <w:rFonts w:ascii="Arial" w:hAnsi="Arial"/>
          <w:sz w:val="22"/>
          <w:szCs w:val="22"/>
        </w:rPr>
        <w:t xml:space="preserve">. </w:t>
      </w:r>
      <w:r w:rsidR="00EC000A" w:rsidRPr="0040045E">
        <w:rPr>
          <w:rFonts w:ascii="Arial" w:hAnsi="Arial"/>
          <w:sz w:val="22"/>
          <w:szCs w:val="22"/>
        </w:rPr>
        <w:t xml:space="preserve">However, </w:t>
      </w:r>
      <w:proofErr w:type="spellStart"/>
      <w:r w:rsidR="00BF3756" w:rsidRPr="0040045E">
        <w:rPr>
          <w:rFonts w:ascii="Arial" w:hAnsi="Arial"/>
          <w:sz w:val="22"/>
          <w:szCs w:val="22"/>
        </w:rPr>
        <w:t>itraconazole</w:t>
      </w:r>
      <w:proofErr w:type="spellEnd"/>
      <w:r w:rsidR="00BF3756" w:rsidRPr="0040045E">
        <w:rPr>
          <w:rFonts w:ascii="Arial" w:hAnsi="Arial"/>
          <w:sz w:val="22"/>
          <w:szCs w:val="22"/>
        </w:rPr>
        <w:t xml:space="preserve"> 50mg</w:t>
      </w:r>
      <w:r w:rsidR="00EC000A" w:rsidRPr="0040045E">
        <w:rPr>
          <w:rFonts w:ascii="Arial" w:hAnsi="Arial"/>
          <w:sz w:val="22"/>
          <w:szCs w:val="22"/>
        </w:rPr>
        <w:t xml:space="preserve"> and </w:t>
      </w:r>
      <w:proofErr w:type="spellStart"/>
      <w:r w:rsidR="00EC000A" w:rsidRPr="0040045E">
        <w:rPr>
          <w:rFonts w:ascii="Arial" w:hAnsi="Arial"/>
          <w:sz w:val="22"/>
          <w:szCs w:val="22"/>
        </w:rPr>
        <w:t>itraconazole</w:t>
      </w:r>
      <w:proofErr w:type="spellEnd"/>
      <w:r w:rsidR="00EC000A" w:rsidRPr="0040045E">
        <w:rPr>
          <w:rFonts w:ascii="Arial" w:hAnsi="Arial"/>
          <w:sz w:val="22"/>
          <w:szCs w:val="22"/>
        </w:rPr>
        <w:t xml:space="preserve"> 100mg are not considered interchangeable.</w:t>
      </w:r>
    </w:p>
    <w:p w:rsidR="00EE4B15" w:rsidRPr="0040045E" w:rsidRDefault="00EE4B15" w:rsidP="00603B06">
      <w:pPr>
        <w:jc w:val="both"/>
        <w:rPr>
          <w:rFonts w:ascii="Arial" w:hAnsi="Arial"/>
          <w:b/>
          <w:i/>
          <w:sz w:val="22"/>
          <w:szCs w:val="22"/>
        </w:rPr>
      </w:pPr>
    </w:p>
    <w:p w:rsidR="004054E2" w:rsidRPr="0040045E" w:rsidRDefault="004054E2">
      <w:pPr>
        <w:rPr>
          <w:rFonts w:ascii="Arial" w:hAnsi="Arial"/>
          <w:b/>
          <w:i/>
          <w:sz w:val="22"/>
          <w:szCs w:val="22"/>
        </w:rPr>
      </w:pPr>
      <w:r w:rsidRPr="0040045E">
        <w:rPr>
          <w:rFonts w:ascii="Arial" w:hAnsi="Arial"/>
          <w:b/>
          <w:i/>
          <w:sz w:val="22"/>
          <w:szCs w:val="22"/>
        </w:rPr>
        <w:br w:type="page"/>
      </w:r>
    </w:p>
    <w:p w:rsidR="005A3173" w:rsidRPr="0040045E" w:rsidRDefault="005A3173" w:rsidP="00F555AB">
      <w:pPr>
        <w:pStyle w:val="Heading1"/>
      </w:pPr>
      <w:r w:rsidRPr="0040045E">
        <w:lastRenderedPageBreak/>
        <w:t>Comparator</w:t>
      </w:r>
    </w:p>
    <w:p w:rsidR="005A3173" w:rsidRPr="0040045E" w:rsidRDefault="005A3173" w:rsidP="00882085">
      <w:pPr>
        <w:pStyle w:val="Header"/>
        <w:tabs>
          <w:tab w:val="clear" w:pos="4153"/>
          <w:tab w:val="clear" w:pos="8306"/>
        </w:tabs>
        <w:jc w:val="both"/>
        <w:rPr>
          <w:rFonts w:ascii="Arial" w:hAnsi="Arial"/>
          <w:b/>
          <w:sz w:val="22"/>
          <w:szCs w:val="22"/>
        </w:rPr>
      </w:pPr>
    </w:p>
    <w:p w:rsidR="00476245" w:rsidRPr="0040045E" w:rsidRDefault="00476245" w:rsidP="00254991">
      <w:pPr>
        <w:pStyle w:val="ListParagraph"/>
        <w:numPr>
          <w:ilvl w:val="1"/>
          <w:numId w:val="25"/>
        </w:numPr>
        <w:jc w:val="both"/>
        <w:rPr>
          <w:rFonts w:ascii="Arial" w:hAnsi="Arial"/>
          <w:sz w:val="22"/>
          <w:szCs w:val="22"/>
        </w:rPr>
      </w:pPr>
      <w:r w:rsidRPr="0040045E">
        <w:rPr>
          <w:rFonts w:ascii="Arial" w:hAnsi="Arial"/>
          <w:sz w:val="22"/>
          <w:szCs w:val="22"/>
        </w:rPr>
        <w:t xml:space="preserve">The previous </w:t>
      </w:r>
      <w:r w:rsidR="00B95BEB" w:rsidRPr="0040045E">
        <w:rPr>
          <w:rFonts w:ascii="Arial" w:hAnsi="Arial"/>
          <w:sz w:val="22"/>
          <w:szCs w:val="22"/>
        </w:rPr>
        <w:t>minor</w:t>
      </w:r>
      <w:r w:rsidRPr="0040045E">
        <w:rPr>
          <w:rFonts w:ascii="Arial" w:hAnsi="Arial"/>
          <w:sz w:val="22"/>
          <w:szCs w:val="22"/>
        </w:rPr>
        <w:t xml:space="preserve"> submission considered by the PBAC in </w:t>
      </w:r>
      <w:r w:rsidR="00EC000A" w:rsidRPr="0040045E">
        <w:rPr>
          <w:rFonts w:ascii="Arial" w:hAnsi="Arial"/>
          <w:sz w:val="22"/>
          <w:szCs w:val="22"/>
        </w:rPr>
        <w:t>November 2014</w:t>
      </w:r>
      <w:r w:rsidR="00FF2801" w:rsidRPr="0040045E">
        <w:rPr>
          <w:rFonts w:ascii="Arial" w:hAnsi="Arial"/>
          <w:sz w:val="22"/>
          <w:szCs w:val="22"/>
        </w:rPr>
        <w:t xml:space="preserve"> nominated </w:t>
      </w:r>
      <w:proofErr w:type="spellStart"/>
      <w:r w:rsidR="00B95BEB" w:rsidRPr="0040045E">
        <w:rPr>
          <w:rFonts w:ascii="Arial" w:hAnsi="Arial"/>
          <w:sz w:val="22"/>
          <w:szCs w:val="22"/>
        </w:rPr>
        <w:t>itraconazole</w:t>
      </w:r>
      <w:proofErr w:type="spellEnd"/>
      <w:r w:rsidR="00B95BEB" w:rsidRPr="0040045E">
        <w:rPr>
          <w:rFonts w:ascii="Arial" w:hAnsi="Arial"/>
          <w:sz w:val="22"/>
          <w:szCs w:val="22"/>
        </w:rPr>
        <w:t xml:space="preserve"> 100mg capsule as the main comparator. </w:t>
      </w:r>
      <w:r w:rsidR="00FF2801" w:rsidRPr="0040045E">
        <w:rPr>
          <w:rFonts w:ascii="Arial" w:hAnsi="Arial"/>
          <w:sz w:val="22"/>
          <w:szCs w:val="22"/>
        </w:rPr>
        <w:t>This wa</w:t>
      </w:r>
      <w:r w:rsidRPr="0040045E">
        <w:rPr>
          <w:rFonts w:ascii="Arial" w:hAnsi="Arial"/>
          <w:sz w:val="22"/>
          <w:szCs w:val="22"/>
        </w:rPr>
        <w:t>s unchanged</w:t>
      </w:r>
      <w:r w:rsidR="00603B06" w:rsidRPr="0040045E">
        <w:rPr>
          <w:rFonts w:ascii="Arial" w:hAnsi="Arial"/>
          <w:sz w:val="22"/>
          <w:szCs w:val="22"/>
        </w:rPr>
        <w:t>.</w:t>
      </w:r>
    </w:p>
    <w:p w:rsidR="008A1956" w:rsidRPr="0040045E" w:rsidRDefault="008A1956" w:rsidP="00476245">
      <w:pPr>
        <w:jc w:val="both"/>
        <w:rPr>
          <w:rFonts w:ascii="Arial" w:hAnsi="Arial"/>
          <w:sz w:val="22"/>
          <w:szCs w:val="22"/>
        </w:rPr>
      </w:pPr>
    </w:p>
    <w:p w:rsidR="00587ADB" w:rsidRPr="0040045E" w:rsidRDefault="001B00D7" w:rsidP="001B00D7">
      <w:pPr>
        <w:ind w:firstLine="709"/>
        <w:jc w:val="both"/>
        <w:rPr>
          <w:rFonts w:ascii="Arial" w:hAnsi="Arial"/>
          <w:i/>
          <w:sz w:val="22"/>
          <w:szCs w:val="22"/>
        </w:rPr>
      </w:pPr>
      <w:r w:rsidRPr="0040045E">
        <w:rPr>
          <w:rFonts w:ascii="Arial" w:hAnsi="Arial"/>
          <w:i/>
          <w:sz w:val="22"/>
          <w:szCs w:val="22"/>
        </w:rPr>
        <w:t>For more details on PBAC’s view, see section 7 “PBAC outcome”.</w:t>
      </w:r>
    </w:p>
    <w:p w:rsidR="001B00D7" w:rsidRPr="0040045E" w:rsidRDefault="001B00D7" w:rsidP="001B00D7">
      <w:pPr>
        <w:ind w:firstLine="709"/>
        <w:jc w:val="both"/>
        <w:rPr>
          <w:rFonts w:ascii="Arial" w:hAnsi="Arial"/>
          <w:sz w:val="22"/>
          <w:szCs w:val="22"/>
        </w:rPr>
      </w:pPr>
    </w:p>
    <w:p w:rsidR="004054E2" w:rsidRPr="0040045E" w:rsidRDefault="004054E2" w:rsidP="001B00D7">
      <w:pPr>
        <w:ind w:firstLine="709"/>
        <w:jc w:val="both"/>
        <w:rPr>
          <w:rFonts w:ascii="Arial" w:hAnsi="Arial"/>
          <w:sz w:val="22"/>
          <w:szCs w:val="22"/>
        </w:rPr>
      </w:pPr>
    </w:p>
    <w:p w:rsidR="000B558D" w:rsidRPr="0040045E" w:rsidRDefault="008D7A41" w:rsidP="00F555AB">
      <w:pPr>
        <w:pStyle w:val="Heading1"/>
      </w:pPr>
      <w:r w:rsidRPr="0040045E">
        <w:t>C</w:t>
      </w:r>
      <w:r w:rsidR="00D84934" w:rsidRPr="0040045E">
        <w:t>onsideration of the evidence</w:t>
      </w:r>
    </w:p>
    <w:p w:rsidR="008A3162" w:rsidRPr="0040045E" w:rsidRDefault="008A3162" w:rsidP="008A3162">
      <w:pPr>
        <w:jc w:val="both"/>
        <w:rPr>
          <w:rFonts w:ascii="Arial" w:hAnsi="Arial"/>
          <w:b/>
          <w:sz w:val="22"/>
          <w:szCs w:val="22"/>
          <w:highlight w:val="yellow"/>
        </w:rPr>
      </w:pPr>
    </w:p>
    <w:p w:rsidR="008A3162" w:rsidRPr="00F555AB" w:rsidRDefault="008A3162" w:rsidP="00F555AB">
      <w:pPr>
        <w:pStyle w:val="Heading2"/>
      </w:pPr>
      <w:r w:rsidRPr="00F555AB">
        <w:t>Sponsor hearing</w:t>
      </w:r>
    </w:p>
    <w:p w:rsidR="008A3162" w:rsidRPr="0040045E" w:rsidRDefault="008A3162" w:rsidP="008A3162">
      <w:pPr>
        <w:jc w:val="both"/>
        <w:rPr>
          <w:rFonts w:ascii="Arial" w:hAnsi="Arial"/>
          <w:b/>
          <w:sz w:val="22"/>
          <w:szCs w:val="22"/>
        </w:rPr>
      </w:pPr>
    </w:p>
    <w:p w:rsidR="008A3162" w:rsidRPr="0040045E" w:rsidRDefault="008A3162" w:rsidP="008A3162">
      <w:pPr>
        <w:pStyle w:val="ListParagraph"/>
        <w:numPr>
          <w:ilvl w:val="1"/>
          <w:numId w:val="25"/>
        </w:numPr>
        <w:jc w:val="both"/>
        <w:rPr>
          <w:rFonts w:ascii="Arial" w:hAnsi="Arial"/>
          <w:b/>
          <w:sz w:val="22"/>
          <w:szCs w:val="22"/>
        </w:rPr>
      </w:pPr>
      <w:r w:rsidRPr="0040045E">
        <w:rPr>
          <w:rFonts w:ascii="Arial" w:hAnsi="Arial" w:cs="Arial"/>
          <w:bCs/>
          <w:snapToGrid w:val="0"/>
          <w:sz w:val="22"/>
          <w:szCs w:val="22"/>
        </w:rPr>
        <w:t>There was no hearing for this item as it was a minor submission.</w:t>
      </w:r>
    </w:p>
    <w:p w:rsidR="008A3162" w:rsidRPr="0040045E" w:rsidRDefault="008A3162" w:rsidP="008A3162">
      <w:pPr>
        <w:jc w:val="both"/>
        <w:rPr>
          <w:rFonts w:ascii="Arial" w:hAnsi="Arial"/>
          <w:b/>
          <w:sz w:val="22"/>
          <w:szCs w:val="22"/>
        </w:rPr>
      </w:pPr>
    </w:p>
    <w:p w:rsidR="00EB18DB" w:rsidRPr="0040045E" w:rsidRDefault="00EB18DB" w:rsidP="00F555AB">
      <w:pPr>
        <w:pStyle w:val="Heading2"/>
      </w:pPr>
      <w:r w:rsidRPr="0040045E">
        <w:t>Consumer comments</w:t>
      </w:r>
    </w:p>
    <w:p w:rsidR="00EB18DB" w:rsidRPr="0040045E" w:rsidRDefault="00EB18DB" w:rsidP="00EB18DB">
      <w:pPr>
        <w:jc w:val="both"/>
        <w:rPr>
          <w:rFonts w:ascii="Arial" w:hAnsi="Arial"/>
          <w:b/>
          <w:sz w:val="22"/>
          <w:szCs w:val="22"/>
        </w:rPr>
      </w:pPr>
    </w:p>
    <w:p w:rsidR="001B3446" w:rsidRPr="0040045E" w:rsidRDefault="001B3446" w:rsidP="0034091D">
      <w:pPr>
        <w:pStyle w:val="ListParagraph"/>
        <w:numPr>
          <w:ilvl w:val="1"/>
          <w:numId w:val="25"/>
        </w:numPr>
        <w:jc w:val="both"/>
        <w:rPr>
          <w:rFonts w:ascii="Arial" w:hAnsi="Arial" w:cs="Arial"/>
          <w:bCs/>
          <w:snapToGrid w:val="0"/>
          <w:sz w:val="22"/>
          <w:szCs w:val="22"/>
        </w:rPr>
      </w:pPr>
      <w:r w:rsidRPr="0040045E">
        <w:rPr>
          <w:rFonts w:ascii="Arial" w:hAnsi="Arial" w:cs="Arial"/>
          <w:bCs/>
          <w:snapToGrid w:val="0"/>
          <w:sz w:val="22"/>
          <w:szCs w:val="22"/>
        </w:rPr>
        <w:t xml:space="preserve">The </w:t>
      </w:r>
      <w:r w:rsidR="0034091D" w:rsidRPr="0040045E">
        <w:rPr>
          <w:rFonts w:ascii="Arial" w:hAnsi="Arial" w:cs="Arial"/>
          <w:bCs/>
          <w:snapToGrid w:val="0"/>
          <w:sz w:val="22"/>
          <w:szCs w:val="22"/>
        </w:rPr>
        <w:t>PBAC noted and welcomed the input from health care professionals (</w:t>
      </w:r>
      <w:r w:rsidR="00587ADB" w:rsidRPr="0040045E">
        <w:rPr>
          <w:rFonts w:ascii="Arial" w:hAnsi="Arial" w:cs="Arial"/>
          <w:bCs/>
          <w:snapToGrid w:val="0"/>
          <w:sz w:val="22"/>
          <w:szCs w:val="22"/>
        </w:rPr>
        <w:t>3</w:t>
      </w:r>
      <w:r w:rsidR="0034091D" w:rsidRPr="0040045E">
        <w:rPr>
          <w:rFonts w:ascii="Arial" w:hAnsi="Arial" w:cs="Arial"/>
          <w:bCs/>
          <w:snapToGrid w:val="0"/>
          <w:sz w:val="22"/>
          <w:szCs w:val="22"/>
        </w:rPr>
        <w:t xml:space="preserve">) via the Consumer Comments facility on the PBS website.  The comments described a range of benefits of treatment with </w:t>
      </w:r>
      <w:proofErr w:type="spellStart"/>
      <w:r w:rsidR="0034091D" w:rsidRPr="0040045E">
        <w:rPr>
          <w:rFonts w:ascii="Arial" w:hAnsi="Arial" w:cs="Arial"/>
          <w:bCs/>
          <w:snapToGrid w:val="0"/>
          <w:sz w:val="22"/>
          <w:szCs w:val="22"/>
        </w:rPr>
        <w:t>itraconazole</w:t>
      </w:r>
      <w:proofErr w:type="spellEnd"/>
      <w:r w:rsidRPr="0040045E">
        <w:rPr>
          <w:rFonts w:ascii="Arial" w:hAnsi="Arial" w:cs="Arial"/>
          <w:bCs/>
          <w:snapToGrid w:val="0"/>
          <w:sz w:val="22"/>
          <w:szCs w:val="22"/>
        </w:rPr>
        <w:t xml:space="preserve"> 50 mg</w:t>
      </w:r>
      <w:r w:rsidR="0034091D" w:rsidRPr="0040045E">
        <w:rPr>
          <w:rFonts w:ascii="Arial" w:hAnsi="Arial" w:cs="Arial"/>
          <w:bCs/>
          <w:snapToGrid w:val="0"/>
          <w:sz w:val="22"/>
          <w:szCs w:val="22"/>
        </w:rPr>
        <w:t xml:space="preserve"> including</w:t>
      </w:r>
      <w:r w:rsidRPr="0040045E">
        <w:rPr>
          <w:rFonts w:ascii="Arial" w:hAnsi="Arial" w:cs="Arial"/>
          <w:bCs/>
          <w:snapToGrid w:val="0"/>
          <w:sz w:val="22"/>
          <w:szCs w:val="22"/>
        </w:rPr>
        <w:t xml:space="preserve"> better absorption and less variability in measured blood concentrations.  The PBAC also noted </w:t>
      </w:r>
      <w:r w:rsidR="0034091D" w:rsidRPr="0040045E">
        <w:rPr>
          <w:rFonts w:ascii="Arial" w:hAnsi="Arial" w:cs="Arial"/>
          <w:bCs/>
          <w:snapToGrid w:val="0"/>
          <w:sz w:val="22"/>
          <w:szCs w:val="22"/>
        </w:rPr>
        <w:t xml:space="preserve">improved patient outcomes in both </w:t>
      </w:r>
      <w:proofErr w:type="gramStart"/>
      <w:r w:rsidR="0034091D" w:rsidRPr="0040045E">
        <w:rPr>
          <w:rFonts w:ascii="Arial" w:hAnsi="Arial" w:cs="Arial"/>
          <w:bCs/>
          <w:snapToGrid w:val="0"/>
          <w:sz w:val="22"/>
          <w:szCs w:val="22"/>
        </w:rPr>
        <w:t>life</w:t>
      </w:r>
      <w:proofErr w:type="gramEnd"/>
      <w:r w:rsidR="0034091D" w:rsidRPr="0040045E">
        <w:rPr>
          <w:rFonts w:ascii="Arial" w:hAnsi="Arial" w:cs="Arial"/>
          <w:bCs/>
          <w:snapToGrid w:val="0"/>
          <w:sz w:val="22"/>
          <w:szCs w:val="22"/>
        </w:rPr>
        <w:t xml:space="preserve"> threatening invasive fungal disease in hospitals as well as   superficial fungal infections</w:t>
      </w:r>
      <w:r w:rsidR="009506E6" w:rsidRPr="0040045E">
        <w:rPr>
          <w:rFonts w:ascii="Arial" w:hAnsi="Arial" w:cs="Arial"/>
          <w:bCs/>
          <w:snapToGrid w:val="0"/>
          <w:sz w:val="22"/>
          <w:szCs w:val="22"/>
        </w:rPr>
        <w:t xml:space="preserve"> managed by general </w:t>
      </w:r>
      <w:r w:rsidR="0041316E" w:rsidRPr="0040045E">
        <w:rPr>
          <w:rFonts w:ascii="Arial" w:hAnsi="Arial" w:cs="Arial"/>
          <w:bCs/>
          <w:snapToGrid w:val="0"/>
          <w:sz w:val="22"/>
          <w:szCs w:val="22"/>
        </w:rPr>
        <w:t>practitioners</w:t>
      </w:r>
      <w:r w:rsidR="009506E6" w:rsidRPr="0040045E">
        <w:rPr>
          <w:rFonts w:ascii="Arial" w:hAnsi="Arial" w:cs="Arial"/>
          <w:bCs/>
          <w:snapToGrid w:val="0"/>
          <w:sz w:val="22"/>
          <w:szCs w:val="22"/>
        </w:rPr>
        <w:t xml:space="preserve"> in primary care setting</w:t>
      </w:r>
      <w:r w:rsidR="0034091D" w:rsidRPr="0040045E">
        <w:rPr>
          <w:rFonts w:ascii="Arial" w:hAnsi="Arial" w:cs="Arial"/>
          <w:bCs/>
          <w:snapToGrid w:val="0"/>
          <w:sz w:val="22"/>
          <w:szCs w:val="22"/>
        </w:rPr>
        <w:t>.</w:t>
      </w:r>
    </w:p>
    <w:p w:rsidR="00BB7EC3" w:rsidRPr="0040045E" w:rsidRDefault="001B3446" w:rsidP="0034091D">
      <w:pPr>
        <w:pStyle w:val="ListParagraph"/>
        <w:jc w:val="both"/>
        <w:rPr>
          <w:rFonts w:ascii="Arial" w:hAnsi="Arial"/>
          <w:sz w:val="22"/>
          <w:szCs w:val="22"/>
        </w:rPr>
      </w:pPr>
      <w:r w:rsidRPr="0040045E">
        <w:rPr>
          <w:rFonts w:ascii="Arial" w:hAnsi="Arial" w:cs="Arial"/>
          <w:bCs/>
          <w:snapToGrid w:val="0"/>
          <w:sz w:val="22"/>
          <w:szCs w:val="22"/>
        </w:rPr>
        <w:t xml:space="preserve"> </w:t>
      </w:r>
    </w:p>
    <w:p w:rsidR="00D84934" w:rsidRPr="0040045E" w:rsidRDefault="00D84934" w:rsidP="00F555AB">
      <w:pPr>
        <w:pStyle w:val="Heading2"/>
      </w:pPr>
      <w:r w:rsidRPr="0040045E">
        <w:t>Clinical trials</w:t>
      </w:r>
    </w:p>
    <w:p w:rsidR="00D84934" w:rsidRPr="0040045E" w:rsidRDefault="00D84934" w:rsidP="00F9629A">
      <w:pPr>
        <w:jc w:val="both"/>
        <w:rPr>
          <w:rFonts w:ascii="Arial" w:hAnsi="Arial"/>
          <w:sz w:val="22"/>
          <w:szCs w:val="22"/>
        </w:rPr>
      </w:pPr>
    </w:p>
    <w:p w:rsidR="00E778BF" w:rsidRPr="0040045E" w:rsidRDefault="00860A90" w:rsidP="00D84934">
      <w:pPr>
        <w:pStyle w:val="ListParagraph"/>
        <w:numPr>
          <w:ilvl w:val="1"/>
          <w:numId w:val="25"/>
        </w:numPr>
        <w:jc w:val="both"/>
        <w:rPr>
          <w:rFonts w:ascii="Arial" w:hAnsi="Arial"/>
          <w:sz w:val="22"/>
          <w:szCs w:val="22"/>
        </w:rPr>
      </w:pPr>
      <w:r w:rsidRPr="0040045E">
        <w:rPr>
          <w:rFonts w:ascii="Arial" w:hAnsi="Arial"/>
          <w:sz w:val="22"/>
          <w:szCs w:val="22"/>
        </w:rPr>
        <w:t xml:space="preserve">The </w:t>
      </w:r>
      <w:r w:rsidR="00E34A03" w:rsidRPr="0040045E">
        <w:rPr>
          <w:rFonts w:ascii="Arial" w:hAnsi="Arial"/>
          <w:sz w:val="22"/>
          <w:szCs w:val="22"/>
        </w:rPr>
        <w:t>re-</w:t>
      </w:r>
      <w:r w:rsidRPr="0040045E">
        <w:rPr>
          <w:rFonts w:ascii="Arial" w:hAnsi="Arial"/>
          <w:sz w:val="22"/>
          <w:szCs w:val="22"/>
        </w:rPr>
        <w:t xml:space="preserve">submission </w:t>
      </w:r>
      <w:r w:rsidR="00E34A03" w:rsidRPr="0040045E">
        <w:rPr>
          <w:rFonts w:ascii="Arial" w:hAnsi="Arial"/>
          <w:sz w:val="22"/>
          <w:szCs w:val="22"/>
        </w:rPr>
        <w:t>was based on the bioavailability</w:t>
      </w:r>
      <w:r w:rsidR="00626ADD" w:rsidRPr="0040045E">
        <w:rPr>
          <w:rFonts w:ascii="Arial" w:hAnsi="Arial"/>
          <w:sz w:val="22"/>
          <w:szCs w:val="22"/>
        </w:rPr>
        <w:t xml:space="preserve">, </w:t>
      </w:r>
      <w:r w:rsidR="00E34A03" w:rsidRPr="0040045E">
        <w:rPr>
          <w:rFonts w:ascii="Arial" w:hAnsi="Arial"/>
          <w:sz w:val="22"/>
          <w:szCs w:val="22"/>
        </w:rPr>
        <w:t>pharmacokinetic</w:t>
      </w:r>
      <w:r w:rsidR="00626ADD" w:rsidRPr="0040045E">
        <w:rPr>
          <w:rFonts w:ascii="Arial" w:hAnsi="Arial"/>
          <w:sz w:val="22"/>
          <w:szCs w:val="22"/>
        </w:rPr>
        <w:t xml:space="preserve">, efficacy and safety </w:t>
      </w:r>
      <w:r w:rsidR="00E34A03" w:rsidRPr="0040045E">
        <w:rPr>
          <w:rFonts w:ascii="Arial" w:hAnsi="Arial"/>
          <w:sz w:val="22"/>
          <w:szCs w:val="22"/>
        </w:rPr>
        <w:t xml:space="preserve">studies. </w:t>
      </w:r>
      <w:r w:rsidR="00A10F67" w:rsidRPr="0040045E">
        <w:rPr>
          <w:rFonts w:ascii="Arial" w:hAnsi="Arial"/>
          <w:sz w:val="22"/>
          <w:szCs w:val="22"/>
        </w:rPr>
        <w:t xml:space="preserve">From the Australian perspective, the bioavailability studies presented include HGN007 and HGN008. </w:t>
      </w:r>
      <w:r w:rsidR="00E34A03" w:rsidRPr="0040045E">
        <w:rPr>
          <w:rFonts w:ascii="Arial" w:hAnsi="Arial"/>
          <w:sz w:val="22"/>
          <w:szCs w:val="22"/>
        </w:rPr>
        <w:t xml:space="preserve">Details of the studies presented in the re-submission are provided in the table below. </w:t>
      </w:r>
    </w:p>
    <w:p w:rsidR="00146AA5" w:rsidRPr="0040045E" w:rsidRDefault="00146AA5">
      <w:pPr>
        <w:rPr>
          <w:rFonts w:ascii="Arial" w:hAnsi="Arial"/>
          <w:sz w:val="22"/>
          <w:szCs w:val="22"/>
        </w:rPr>
      </w:pPr>
    </w:p>
    <w:p w:rsidR="0076420C" w:rsidRPr="0040045E" w:rsidRDefault="00587ADB" w:rsidP="00D84934">
      <w:pPr>
        <w:pStyle w:val="NoSpacing"/>
        <w:ind w:left="709"/>
        <w:rPr>
          <w:rFonts w:ascii="Arial Narrow" w:hAnsi="Arial Narrow"/>
          <w:b/>
          <w:sz w:val="20"/>
        </w:rPr>
      </w:pPr>
      <w:r w:rsidRPr="0040045E">
        <w:rPr>
          <w:rFonts w:ascii="Arial Narrow" w:hAnsi="Arial Narrow"/>
          <w:b/>
          <w:sz w:val="20"/>
        </w:rPr>
        <w:t>Table</w:t>
      </w:r>
      <w:r w:rsidR="009C3FE9" w:rsidRPr="0040045E">
        <w:rPr>
          <w:rFonts w:ascii="Arial Narrow" w:hAnsi="Arial Narrow"/>
          <w:b/>
          <w:sz w:val="20"/>
        </w:rPr>
        <w:t xml:space="preserve"> </w:t>
      </w:r>
      <w:r w:rsidRPr="0040045E">
        <w:rPr>
          <w:rFonts w:ascii="Arial Narrow" w:hAnsi="Arial Narrow"/>
          <w:b/>
          <w:sz w:val="20"/>
        </w:rPr>
        <w:t xml:space="preserve">1: </w:t>
      </w:r>
      <w:r w:rsidR="00A10F67" w:rsidRPr="0040045E">
        <w:rPr>
          <w:rFonts w:ascii="Arial Narrow" w:hAnsi="Arial Narrow"/>
          <w:b/>
          <w:sz w:val="20"/>
        </w:rPr>
        <w:t>Study</w:t>
      </w:r>
      <w:r w:rsidR="0076420C" w:rsidRPr="0040045E">
        <w:rPr>
          <w:rFonts w:ascii="Arial Narrow" w:hAnsi="Arial Narrow"/>
          <w:b/>
          <w:sz w:val="20"/>
        </w:rPr>
        <w:t xml:space="preserve"> and associated reports presented in the re-submission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tudy and associated reports presented in the re-submission"/>
      </w:tblPr>
      <w:tblGrid>
        <w:gridCol w:w="1701"/>
        <w:gridCol w:w="4820"/>
        <w:gridCol w:w="1843"/>
      </w:tblGrid>
      <w:tr w:rsidR="0076420C" w:rsidRPr="0040045E" w:rsidTr="00C27B58">
        <w:trPr>
          <w:cantSplit/>
          <w:tblHeader/>
        </w:trPr>
        <w:tc>
          <w:tcPr>
            <w:tcW w:w="1701" w:type="dxa"/>
          </w:tcPr>
          <w:p w:rsidR="0076420C" w:rsidRPr="0040045E" w:rsidRDefault="00A10F67" w:rsidP="00D84934">
            <w:pPr>
              <w:pStyle w:val="NoSpacing"/>
              <w:rPr>
                <w:rFonts w:ascii="Arial Narrow" w:hAnsi="Arial Narrow"/>
                <w:b/>
                <w:sz w:val="20"/>
              </w:rPr>
            </w:pPr>
            <w:r w:rsidRPr="0040045E">
              <w:rPr>
                <w:rFonts w:ascii="Arial Narrow" w:hAnsi="Arial Narrow"/>
                <w:b/>
                <w:sz w:val="20"/>
              </w:rPr>
              <w:t>Study</w:t>
            </w:r>
            <w:r w:rsidR="0076420C" w:rsidRPr="0040045E">
              <w:rPr>
                <w:rFonts w:ascii="Arial Narrow" w:hAnsi="Arial Narrow"/>
                <w:b/>
                <w:sz w:val="20"/>
              </w:rPr>
              <w:t xml:space="preserve"> ID</w:t>
            </w:r>
          </w:p>
        </w:tc>
        <w:tc>
          <w:tcPr>
            <w:tcW w:w="4820" w:type="dxa"/>
          </w:tcPr>
          <w:p w:rsidR="0076420C" w:rsidRPr="0040045E" w:rsidRDefault="0076420C" w:rsidP="0062748A">
            <w:pPr>
              <w:keepNext/>
              <w:jc w:val="center"/>
              <w:rPr>
                <w:rFonts w:ascii="Arial Narrow" w:hAnsi="Arial Narrow"/>
                <w:b/>
                <w:sz w:val="20"/>
              </w:rPr>
            </w:pPr>
            <w:r w:rsidRPr="0040045E">
              <w:rPr>
                <w:rFonts w:ascii="Arial Narrow" w:hAnsi="Arial Narrow"/>
                <w:b/>
                <w:sz w:val="20"/>
              </w:rPr>
              <w:t>Protocol title/ Publication title</w:t>
            </w:r>
          </w:p>
        </w:tc>
        <w:tc>
          <w:tcPr>
            <w:tcW w:w="1843" w:type="dxa"/>
          </w:tcPr>
          <w:p w:rsidR="0076420C" w:rsidRPr="0040045E" w:rsidRDefault="0076420C" w:rsidP="0062748A">
            <w:pPr>
              <w:keepNext/>
              <w:rPr>
                <w:rFonts w:ascii="Arial Narrow" w:hAnsi="Arial Narrow"/>
                <w:b/>
                <w:sz w:val="20"/>
              </w:rPr>
            </w:pPr>
            <w:r w:rsidRPr="0040045E">
              <w:rPr>
                <w:rFonts w:ascii="Arial Narrow" w:hAnsi="Arial Narrow"/>
                <w:b/>
                <w:sz w:val="20"/>
              </w:rPr>
              <w:t>Publication citation</w:t>
            </w:r>
          </w:p>
        </w:tc>
      </w:tr>
      <w:tr w:rsidR="0076420C" w:rsidRPr="0040045E" w:rsidTr="00C27B58">
        <w:trPr>
          <w:cantSplit/>
        </w:trPr>
        <w:tc>
          <w:tcPr>
            <w:tcW w:w="8364" w:type="dxa"/>
            <w:gridSpan w:val="3"/>
          </w:tcPr>
          <w:p w:rsidR="0076420C" w:rsidRPr="0040045E" w:rsidRDefault="00A10F67" w:rsidP="00D84934">
            <w:pPr>
              <w:pStyle w:val="NoSpacing"/>
              <w:rPr>
                <w:rFonts w:ascii="Arial Narrow" w:hAnsi="Arial Narrow"/>
                <w:b/>
                <w:sz w:val="20"/>
              </w:rPr>
            </w:pPr>
            <w:r w:rsidRPr="0040045E">
              <w:rPr>
                <w:rFonts w:ascii="Arial Narrow" w:hAnsi="Arial Narrow"/>
                <w:b/>
                <w:sz w:val="20"/>
              </w:rPr>
              <w:t>Bioavailability studies</w:t>
            </w:r>
          </w:p>
        </w:tc>
      </w:tr>
      <w:tr w:rsidR="0076420C" w:rsidRPr="0040045E" w:rsidTr="00C27B58">
        <w:trPr>
          <w:cantSplit/>
        </w:trPr>
        <w:tc>
          <w:tcPr>
            <w:tcW w:w="1701" w:type="dxa"/>
          </w:tcPr>
          <w:p w:rsidR="0076420C" w:rsidRPr="0040045E" w:rsidRDefault="00A10F67" w:rsidP="00A10F67">
            <w:pPr>
              <w:pStyle w:val="NoSpacing"/>
              <w:rPr>
                <w:rFonts w:ascii="Arial Narrow" w:hAnsi="Arial Narrow"/>
                <w:sz w:val="20"/>
              </w:rPr>
            </w:pPr>
            <w:r w:rsidRPr="0040045E">
              <w:rPr>
                <w:rFonts w:ascii="Arial Narrow" w:hAnsi="Arial Narrow"/>
                <w:sz w:val="20"/>
              </w:rPr>
              <w:t>HGN008</w:t>
            </w:r>
          </w:p>
        </w:tc>
        <w:tc>
          <w:tcPr>
            <w:tcW w:w="4820" w:type="dxa"/>
          </w:tcPr>
          <w:p w:rsidR="0076420C" w:rsidRPr="0040045E" w:rsidRDefault="000E6140" w:rsidP="0062748A">
            <w:pPr>
              <w:keepNext/>
              <w:rPr>
                <w:rFonts w:ascii="Arial Narrow" w:hAnsi="Arial Narrow"/>
                <w:sz w:val="20"/>
              </w:rPr>
            </w:pPr>
            <w:r w:rsidRPr="0040045E">
              <w:rPr>
                <w:rFonts w:ascii="Arial Narrow" w:hAnsi="Arial Narrow"/>
                <w:sz w:val="20"/>
              </w:rPr>
              <w:t>R</w:t>
            </w:r>
            <w:r w:rsidR="00A10F67" w:rsidRPr="0040045E">
              <w:rPr>
                <w:rFonts w:ascii="Arial Narrow" w:hAnsi="Arial Narrow"/>
                <w:sz w:val="20"/>
              </w:rPr>
              <w:t xml:space="preserve">andomised, single-dose, open-label, two-treatment, four-period, replicate-design, crossover study to evaluate the bioequivalence of </w:t>
            </w:r>
            <w:proofErr w:type="spellStart"/>
            <w:r w:rsidR="00A10F67" w:rsidRPr="0040045E">
              <w:rPr>
                <w:rFonts w:ascii="Arial Narrow" w:hAnsi="Arial Narrow"/>
                <w:sz w:val="20"/>
              </w:rPr>
              <w:t>Lozanoc</w:t>
            </w:r>
            <w:proofErr w:type="spellEnd"/>
            <w:r w:rsidR="00A10F67" w:rsidRPr="0040045E">
              <w:rPr>
                <w:rFonts w:ascii="Arial Narrow" w:hAnsi="Arial Narrow"/>
                <w:sz w:val="20"/>
              </w:rPr>
              <w:t xml:space="preserve">® and </w:t>
            </w:r>
            <w:proofErr w:type="spellStart"/>
            <w:r w:rsidR="00A10F67" w:rsidRPr="0040045E">
              <w:rPr>
                <w:rFonts w:ascii="Arial Narrow" w:hAnsi="Arial Narrow"/>
                <w:sz w:val="20"/>
              </w:rPr>
              <w:t>Sporanox</w:t>
            </w:r>
            <w:proofErr w:type="spellEnd"/>
            <w:r w:rsidR="00A10F67" w:rsidRPr="0040045E">
              <w:rPr>
                <w:rFonts w:ascii="Arial Narrow" w:hAnsi="Arial Narrow"/>
                <w:sz w:val="20"/>
              </w:rPr>
              <w:t>® in individuals under fed conditions.</w:t>
            </w:r>
          </w:p>
        </w:tc>
        <w:tc>
          <w:tcPr>
            <w:tcW w:w="1843" w:type="dxa"/>
          </w:tcPr>
          <w:p w:rsidR="0076420C" w:rsidRPr="0040045E" w:rsidRDefault="00A10F67" w:rsidP="0062748A">
            <w:pPr>
              <w:keepNext/>
              <w:rPr>
                <w:rFonts w:ascii="Arial Narrow" w:hAnsi="Arial Narrow"/>
                <w:sz w:val="20"/>
              </w:rPr>
            </w:pPr>
            <w:r w:rsidRPr="0040045E">
              <w:rPr>
                <w:rFonts w:ascii="Arial Narrow" w:hAnsi="Arial Narrow"/>
                <w:sz w:val="20"/>
              </w:rPr>
              <w:t>None provided</w:t>
            </w:r>
          </w:p>
        </w:tc>
      </w:tr>
      <w:tr w:rsidR="0076420C" w:rsidRPr="0040045E" w:rsidTr="00C27B58">
        <w:trPr>
          <w:cantSplit/>
        </w:trPr>
        <w:tc>
          <w:tcPr>
            <w:tcW w:w="1701" w:type="dxa"/>
          </w:tcPr>
          <w:p w:rsidR="0076420C" w:rsidRPr="0040045E" w:rsidRDefault="00A10F67" w:rsidP="00A10F67">
            <w:pPr>
              <w:pStyle w:val="NoSpacing"/>
              <w:rPr>
                <w:rFonts w:ascii="Arial Narrow" w:hAnsi="Arial Narrow"/>
                <w:sz w:val="20"/>
              </w:rPr>
            </w:pPr>
            <w:r w:rsidRPr="0040045E">
              <w:rPr>
                <w:rFonts w:ascii="Arial Narrow" w:hAnsi="Arial Narrow"/>
                <w:sz w:val="20"/>
              </w:rPr>
              <w:t>HGN007</w:t>
            </w:r>
          </w:p>
        </w:tc>
        <w:tc>
          <w:tcPr>
            <w:tcW w:w="4820" w:type="dxa"/>
          </w:tcPr>
          <w:p w:rsidR="0076420C" w:rsidRPr="0040045E" w:rsidRDefault="000E6140" w:rsidP="0062748A">
            <w:pPr>
              <w:keepNext/>
              <w:rPr>
                <w:rFonts w:ascii="Arial Narrow" w:hAnsi="Arial Narrow"/>
                <w:sz w:val="20"/>
              </w:rPr>
            </w:pPr>
            <w:r w:rsidRPr="0040045E">
              <w:rPr>
                <w:rFonts w:ascii="Arial Narrow" w:hAnsi="Arial Narrow"/>
                <w:sz w:val="20"/>
              </w:rPr>
              <w:t>S</w:t>
            </w:r>
            <w:r w:rsidR="00A10F67" w:rsidRPr="0040045E">
              <w:rPr>
                <w:rFonts w:ascii="Arial Narrow" w:hAnsi="Arial Narrow"/>
                <w:sz w:val="20"/>
              </w:rPr>
              <w:t xml:space="preserve">ingle-dose, open-label, four-way crossover, four-sequence study designed to compare the efficacy and safety of </w:t>
            </w:r>
            <w:proofErr w:type="spellStart"/>
            <w:r w:rsidR="00A10F67" w:rsidRPr="0040045E">
              <w:rPr>
                <w:rFonts w:ascii="Arial Narrow" w:hAnsi="Arial Narrow"/>
                <w:sz w:val="20"/>
              </w:rPr>
              <w:t>Lozanoc</w:t>
            </w:r>
            <w:proofErr w:type="spellEnd"/>
            <w:r w:rsidR="00A10F67" w:rsidRPr="0040045E">
              <w:rPr>
                <w:rFonts w:ascii="Arial Narrow" w:hAnsi="Arial Narrow"/>
                <w:sz w:val="20"/>
              </w:rPr>
              <w:t>® (SUBACAP™-</w:t>
            </w:r>
            <w:proofErr w:type="spellStart"/>
            <w:r w:rsidR="00A10F67" w:rsidRPr="0040045E">
              <w:rPr>
                <w:rFonts w:ascii="Arial Narrow" w:hAnsi="Arial Narrow"/>
                <w:sz w:val="20"/>
              </w:rPr>
              <w:t>itraconazole</w:t>
            </w:r>
            <w:proofErr w:type="spellEnd"/>
            <w:r w:rsidR="00A10F67" w:rsidRPr="0040045E">
              <w:rPr>
                <w:rFonts w:ascii="Arial Narrow" w:hAnsi="Arial Narrow"/>
                <w:sz w:val="20"/>
              </w:rPr>
              <w:t xml:space="preserve">) 50 mg capsules (test) and </w:t>
            </w:r>
            <w:proofErr w:type="spellStart"/>
            <w:r w:rsidR="00A10F67" w:rsidRPr="0040045E">
              <w:rPr>
                <w:rFonts w:ascii="Arial Narrow" w:hAnsi="Arial Narrow"/>
                <w:sz w:val="20"/>
              </w:rPr>
              <w:t>Sporanox</w:t>
            </w:r>
            <w:proofErr w:type="spellEnd"/>
            <w:r w:rsidR="00A10F67" w:rsidRPr="0040045E">
              <w:rPr>
                <w:rFonts w:ascii="Arial Narrow" w:hAnsi="Arial Narrow"/>
                <w:sz w:val="20"/>
              </w:rPr>
              <w:t>® (</w:t>
            </w:r>
            <w:proofErr w:type="spellStart"/>
            <w:r w:rsidR="00A10F67" w:rsidRPr="0040045E">
              <w:rPr>
                <w:rFonts w:ascii="Arial Narrow" w:hAnsi="Arial Narrow"/>
                <w:sz w:val="20"/>
              </w:rPr>
              <w:t>itraconazole</w:t>
            </w:r>
            <w:proofErr w:type="spellEnd"/>
            <w:r w:rsidR="00A10F67" w:rsidRPr="0040045E">
              <w:rPr>
                <w:rFonts w:ascii="Arial Narrow" w:hAnsi="Arial Narrow"/>
                <w:sz w:val="20"/>
              </w:rPr>
              <w:t>) 100 mg capsules (reference) under fed and fasted conditions.</w:t>
            </w:r>
          </w:p>
        </w:tc>
        <w:tc>
          <w:tcPr>
            <w:tcW w:w="1843" w:type="dxa"/>
          </w:tcPr>
          <w:p w:rsidR="0076420C" w:rsidRPr="0040045E" w:rsidRDefault="00A10F67" w:rsidP="0062748A">
            <w:pPr>
              <w:keepNext/>
              <w:rPr>
                <w:rFonts w:ascii="Arial Narrow" w:hAnsi="Arial Narrow"/>
                <w:sz w:val="20"/>
              </w:rPr>
            </w:pPr>
            <w:r w:rsidRPr="0040045E">
              <w:rPr>
                <w:rFonts w:ascii="Arial Narrow" w:hAnsi="Arial Narrow"/>
                <w:sz w:val="20"/>
              </w:rPr>
              <w:t>March 2010</w:t>
            </w:r>
          </w:p>
        </w:tc>
      </w:tr>
      <w:tr w:rsidR="00626ADD" w:rsidRPr="0040045E" w:rsidTr="00C27B58">
        <w:trPr>
          <w:cantSplit/>
        </w:trPr>
        <w:tc>
          <w:tcPr>
            <w:tcW w:w="1701" w:type="dxa"/>
          </w:tcPr>
          <w:p w:rsidR="00626ADD" w:rsidRPr="0040045E" w:rsidRDefault="00626ADD" w:rsidP="00A10F67">
            <w:pPr>
              <w:pStyle w:val="NoSpacing"/>
              <w:rPr>
                <w:rFonts w:ascii="Arial Narrow" w:hAnsi="Arial Narrow"/>
                <w:sz w:val="20"/>
              </w:rPr>
            </w:pPr>
            <w:r w:rsidRPr="0040045E">
              <w:rPr>
                <w:rFonts w:ascii="Arial Narrow" w:hAnsi="Arial Narrow"/>
                <w:sz w:val="20"/>
              </w:rPr>
              <w:t>10850706</w:t>
            </w:r>
          </w:p>
        </w:tc>
        <w:tc>
          <w:tcPr>
            <w:tcW w:w="4820" w:type="dxa"/>
          </w:tcPr>
          <w:p w:rsidR="00626ADD" w:rsidRPr="0040045E" w:rsidRDefault="00626ADD" w:rsidP="000E6140">
            <w:pPr>
              <w:keepNext/>
              <w:rPr>
                <w:rFonts w:ascii="Arial Narrow" w:hAnsi="Arial Narrow"/>
                <w:sz w:val="20"/>
              </w:rPr>
            </w:pPr>
            <w:r w:rsidRPr="0040045E">
              <w:rPr>
                <w:rFonts w:ascii="Arial Narrow" w:hAnsi="Arial Narrow"/>
                <w:sz w:val="20"/>
              </w:rPr>
              <w:t xml:space="preserve">Randomised, multiple- dose, two-period, crossover </w:t>
            </w:r>
            <w:r w:rsidR="000E6140" w:rsidRPr="0040045E">
              <w:rPr>
                <w:rFonts w:ascii="Arial Narrow" w:hAnsi="Arial Narrow"/>
                <w:sz w:val="20"/>
              </w:rPr>
              <w:t>t</w:t>
            </w:r>
            <w:r w:rsidRPr="0040045E">
              <w:rPr>
                <w:rFonts w:ascii="Arial Narrow" w:hAnsi="Arial Narrow"/>
                <w:sz w:val="20"/>
              </w:rPr>
              <w:t>o evaluate the bioequivalence of a test product at a dose of 100 mg compared with a dose of 200 mg of a reference product currently on the market under fed conditions</w:t>
            </w:r>
            <w:r w:rsidR="000E6140" w:rsidRPr="0040045E">
              <w:rPr>
                <w:rFonts w:ascii="Arial Narrow" w:hAnsi="Arial Narrow"/>
                <w:sz w:val="20"/>
              </w:rPr>
              <w:t>.</w:t>
            </w:r>
          </w:p>
        </w:tc>
        <w:tc>
          <w:tcPr>
            <w:tcW w:w="1843" w:type="dxa"/>
          </w:tcPr>
          <w:p w:rsidR="00626ADD" w:rsidRPr="0040045E" w:rsidRDefault="000E6140" w:rsidP="0062748A">
            <w:pPr>
              <w:keepNext/>
              <w:rPr>
                <w:rFonts w:ascii="Arial Narrow" w:hAnsi="Arial Narrow"/>
                <w:sz w:val="20"/>
              </w:rPr>
            </w:pPr>
            <w:r w:rsidRPr="0040045E">
              <w:rPr>
                <w:rFonts w:ascii="Arial Narrow" w:hAnsi="Arial Narrow"/>
                <w:sz w:val="20"/>
              </w:rPr>
              <w:t>August 2008</w:t>
            </w:r>
          </w:p>
        </w:tc>
      </w:tr>
      <w:tr w:rsidR="000E6140" w:rsidRPr="0040045E" w:rsidTr="00C27B58">
        <w:trPr>
          <w:cantSplit/>
        </w:trPr>
        <w:tc>
          <w:tcPr>
            <w:tcW w:w="1701" w:type="dxa"/>
          </w:tcPr>
          <w:p w:rsidR="000E6140" w:rsidRPr="0040045E" w:rsidRDefault="000E6140" w:rsidP="00A10F67">
            <w:pPr>
              <w:pStyle w:val="NoSpacing"/>
              <w:rPr>
                <w:rFonts w:ascii="Arial Narrow" w:hAnsi="Arial Narrow"/>
                <w:sz w:val="20"/>
              </w:rPr>
            </w:pPr>
            <w:r w:rsidRPr="0040045E">
              <w:rPr>
                <w:rFonts w:ascii="Arial Narrow" w:hAnsi="Arial Narrow"/>
                <w:sz w:val="20"/>
              </w:rPr>
              <w:t>10850705</w:t>
            </w:r>
          </w:p>
        </w:tc>
        <w:tc>
          <w:tcPr>
            <w:tcW w:w="4820" w:type="dxa"/>
          </w:tcPr>
          <w:p w:rsidR="000E6140" w:rsidRPr="0040045E" w:rsidRDefault="000E6140" w:rsidP="0062748A">
            <w:pPr>
              <w:keepNext/>
              <w:rPr>
                <w:rFonts w:ascii="Arial Narrow" w:hAnsi="Arial Narrow"/>
                <w:sz w:val="20"/>
              </w:rPr>
            </w:pPr>
            <w:r w:rsidRPr="0040045E">
              <w:rPr>
                <w:rFonts w:ascii="Arial Narrow" w:hAnsi="Arial Narrow"/>
                <w:sz w:val="20"/>
              </w:rPr>
              <w:t xml:space="preserve">Randomised, multiple- dose, two-period, crossover to evaluate the bioequivalence of </w:t>
            </w:r>
            <w:proofErr w:type="spellStart"/>
            <w:r w:rsidRPr="0040045E">
              <w:rPr>
                <w:rFonts w:ascii="Arial Narrow" w:hAnsi="Arial Narrow"/>
                <w:sz w:val="20"/>
              </w:rPr>
              <w:t>Lozanoc</w:t>
            </w:r>
            <w:proofErr w:type="spellEnd"/>
            <w:r w:rsidRPr="0040045E">
              <w:rPr>
                <w:rFonts w:ascii="Arial Narrow" w:hAnsi="Arial Narrow"/>
                <w:sz w:val="20"/>
              </w:rPr>
              <w:t xml:space="preserve">® (SUBACAP™) at a dose of 100 mg compared to a dose of 200 mg of </w:t>
            </w:r>
            <w:proofErr w:type="spellStart"/>
            <w:r w:rsidRPr="0040045E">
              <w:rPr>
                <w:rFonts w:ascii="Arial Narrow" w:hAnsi="Arial Narrow"/>
                <w:sz w:val="20"/>
              </w:rPr>
              <w:t>Sporanox</w:t>
            </w:r>
            <w:proofErr w:type="spellEnd"/>
            <w:r w:rsidRPr="0040045E">
              <w:rPr>
                <w:rFonts w:ascii="Arial Narrow" w:hAnsi="Arial Narrow"/>
                <w:sz w:val="20"/>
              </w:rPr>
              <w:t>® under fed conditions.</w:t>
            </w:r>
          </w:p>
        </w:tc>
        <w:tc>
          <w:tcPr>
            <w:tcW w:w="1843" w:type="dxa"/>
          </w:tcPr>
          <w:p w:rsidR="000E6140" w:rsidRPr="0040045E" w:rsidRDefault="000E6140" w:rsidP="00981109">
            <w:pPr>
              <w:keepNext/>
              <w:rPr>
                <w:rFonts w:ascii="Arial Narrow" w:hAnsi="Arial Narrow"/>
                <w:sz w:val="20"/>
              </w:rPr>
            </w:pPr>
            <w:r w:rsidRPr="0040045E">
              <w:rPr>
                <w:rFonts w:ascii="Arial Narrow" w:hAnsi="Arial Narrow"/>
                <w:sz w:val="20"/>
              </w:rPr>
              <w:t>August 2008</w:t>
            </w:r>
          </w:p>
        </w:tc>
      </w:tr>
      <w:tr w:rsidR="000E6140" w:rsidRPr="0040045E" w:rsidTr="00981109">
        <w:trPr>
          <w:cantSplit/>
        </w:trPr>
        <w:tc>
          <w:tcPr>
            <w:tcW w:w="1701" w:type="dxa"/>
            <w:vAlign w:val="center"/>
          </w:tcPr>
          <w:p w:rsidR="000E6140" w:rsidRPr="0040045E" w:rsidRDefault="000E6140" w:rsidP="000E6140">
            <w:pPr>
              <w:pStyle w:val="NoSpacing"/>
              <w:rPr>
                <w:rFonts w:ascii="Arial Narrow" w:hAnsi="Arial Narrow"/>
                <w:sz w:val="20"/>
              </w:rPr>
            </w:pPr>
            <w:r w:rsidRPr="0040045E">
              <w:rPr>
                <w:rFonts w:ascii="Arial Narrow" w:hAnsi="Arial Narrow"/>
                <w:sz w:val="20"/>
              </w:rPr>
              <w:lastRenderedPageBreak/>
              <w:t>CM2907</w:t>
            </w:r>
          </w:p>
        </w:tc>
        <w:tc>
          <w:tcPr>
            <w:tcW w:w="4820" w:type="dxa"/>
            <w:vAlign w:val="center"/>
          </w:tcPr>
          <w:p w:rsidR="000E6140" w:rsidRPr="0040045E" w:rsidRDefault="000E6140" w:rsidP="000E6140">
            <w:pPr>
              <w:pStyle w:val="NoSpacing"/>
              <w:rPr>
                <w:rFonts w:ascii="Arial Narrow" w:hAnsi="Arial Narrow"/>
                <w:sz w:val="20"/>
              </w:rPr>
            </w:pPr>
            <w:r w:rsidRPr="0040045E">
              <w:rPr>
                <w:rFonts w:ascii="Arial Narrow" w:hAnsi="Arial Narrow"/>
                <w:sz w:val="20"/>
              </w:rPr>
              <w:t>Randomised, balanced, open-label, four-way crossover – Fed. To determine dose-response under the different food intake conditions</w:t>
            </w:r>
          </w:p>
        </w:tc>
        <w:tc>
          <w:tcPr>
            <w:tcW w:w="1843" w:type="dxa"/>
          </w:tcPr>
          <w:p w:rsidR="000E6140" w:rsidRPr="0040045E" w:rsidRDefault="000E6140" w:rsidP="000E6140">
            <w:pPr>
              <w:pStyle w:val="NoSpacing"/>
              <w:rPr>
                <w:rFonts w:ascii="Arial Narrow" w:hAnsi="Arial Narrow"/>
                <w:sz w:val="20"/>
              </w:rPr>
            </w:pPr>
            <w:r w:rsidRPr="0040045E">
              <w:rPr>
                <w:rFonts w:ascii="Arial Narrow" w:hAnsi="Arial Narrow"/>
                <w:sz w:val="20"/>
              </w:rPr>
              <w:t>June 2007</w:t>
            </w:r>
          </w:p>
        </w:tc>
      </w:tr>
      <w:tr w:rsidR="000E6140" w:rsidRPr="0040045E" w:rsidTr="00981109">
        <w:trPr>
          <w:cantSplit/>
        </w:trPr>
        <w:tc>
          <w:tcPr>
            <w:tcW w:w="1701" w:type="dxa"/>
            <w:vAlign w:val="center"/>
          </w:tcPr>
          <w:p w:rsidR="000E6140" w:rsidRPr="0040045E" w:rsidRDefault="000E6140" w:rsidP="000E6140">
            <w:pPr>
              <w:pStyle w:val="NoSpacing"/>
              <w:rPr>
                <w:rFonts w:ascii="Arial Narrow" w:hAnsi="Arial Narrow"/>
                <w:sz w:val="20"/>
              </w:rPr>
            </w:pPr>
            <w:r w:rsidRPr="0040045E">
              <w:rPr>
                <w:rFonts w:ascii="Arial Narrow" w:hAnsi="Arial Narrow"/>
                <w:sz w:val="20"/>
              </w:rPr>
              <w:t>CM7300</w:t>
            </w:r>
          </w:p>
        </w:tc>
        <w:tc>
          <w:tcPr>
            <w:tcW w:w="4820" w:type="dxa"/>
            <w:vAlign w:val="center"/>
          </w:tcPr>
          <w:p w:rsidR="000E6140" w:rsidRPr="0040045E" w:rsidRDefault="000E6140" w:rsidP="000E6140">
            <w:pPr>
              <w:pStyle w:val="NoSpacing"/>
              <w:jc w:val="left"/>
              <w:rPr>
                <w:rFonts w:ascii="Arial Narrow" w:hAnsi="Arial Narrow"/>
                <w:sz w:val="20"/>
              </w:rPr>
            </w:pPr>
            <w:r w:rsidRPr="0040045E">
              <w:rPr>
                <w:rFonts w:ascii="Arial Narrow" w:hAnsi="Arial Narrow"/>
                <w:sz w:val="20"/>
              </w:rPr>
              <w:t>Randomised, crossover - Fed and fasted. To determine the effect of food on bioavailability and to evaluate inter-subject variability</w:t>
            </w:r>
          </w:p>
        </w:tc>
        <w:tc>
          <w:tcPr>
            <w:tcW w:w="1843" w:type="dxa"/>
          </w:tcPr>
          <w:p w:rsidR="000E6140" w:rsidRPr="0040045E" w:rsidRDefault="000E6140" w:rsidP="000E6140">
            <w:pPr>
              <w:pStyle w:val="NoSpacing"/>
              <w:rPr>
                <w:rFonts w:ascii="Arial Narrow" w:hAnsi="Arial Narrow"/>
                <w:sz w:val="20"/>
              </w:rPr>
            </w:pPr>
            <w:r w:rsidRPr="0040045E">
              <w:rPr>
                <w:rFonts w:ascii="Arial Narrow" w:hAnsi="Arial Narrow"/>
                <w:sz w:val="20"/>
              </w:rPr>
              <w:t>August 2008</w:t>
            </w:r>
          </w:p>
        </w:tc>
      </w:tr>
      <w:tr w:rsidR="000E6140" w:rsidRPr="0040045E" w:rsidTr="00981109">
        <w:trPr>
          <w:cantSplit/>
        </w:trPr>
        <w:tc>
          <w:tcPr>
            <w:tcW w:w="1701" w:type="dxa"/>
            <w:vAlign w:val="center"/>
          </w:tcPr>
          <w:p w:rsidR="000E6140" w:rsidRPr="0040045E" w:rsidRDefault="000E6140" w:rsidP="000E6140">
            <w:pPr>
              <w:pStyle w:val="NoSpacing"/>
              <w:rPr>
                <w:rFonts w:ascii="Arial Narrow" w:hAnsi="Arial Narrow"/>
                <w:sz w:val="20"/>
              </w:rPr>
            </w:pPr>
            <w:r w:rsidRPr="0040045E">
              <w:rPr>
                <w:rFonts w:ascii="Arial Narrow" w:hAnsi="Arial Narrow"/>
                <w:sz w:val="20"/>
              </w:rPr>
              <w:t>CM6000</w:t>
            </w:r>
          </w:p>
        </w:tc>
        <w:tc>
          <w:tcPr>
            <w:tcW w:w="4820" w:type="dxa"/>
            <w:vAlign w:val="center"/>
          </w:tcPr>
          <w:p w:rsidR="000E6140" w:rsidRPr="0040045E" w:rsidRDefault="000E6140" w:rsidP="000E6140">
            <w:pPr>
              <w:pStyle w:val="NoSpacing"/>
              <w:jc w:val="left"/>
              <w:rPr>
                <w:rFonts w:ascii="Arial Narrow" w:hAnsi="Arial Narrow"/>
                <w:sz w:val="20"/>
              </w:rPr>
            </w:pPr>
            <w:r w:rsidRPr="0040045E">
              <w:rPr>
                <w:rFonts w:ascii="Arial Narrow" w:hAnsi="Arial Narrow"/>
                <w:sz w:val="20"/>
              </w:rPr>
              <w:t>Randomised, balanced, open-label, four-way crossover – Fed. To determine the effect of food on bioavailability</w:t>
            </w:r>
          </w:p>
        </w:tc>
        <w:tc>
          <w:tcPr>
            <w:tcW w:w="1843" w:type="dxa"/>
          </w:tcPr>
          <w:p w:rsidR="000E6140" w:rsidRPr="0040045E" w:rsidRDefault="000E6140" w:rsidP="000E6140">
            <w:pPr>
              <w:pStyle w:val="NoSpacing"/>
              <w:rPr>
                <w:rFonts w:ascii="Arial Narrow" w:hAnsi="Arial Narrow"/>
                <w:sz w:val="20"/>
              </w:rPr>
            </w:pPr>
            <w:r w:rsidRPr="0040045E">
              <w:rPr>
                <w:rFonts w:ascii="Arial Narrow" w:hAnsi="Arial Narrow"/>
                <w:sz w:val="20"/>
              </w:rPr>
              <w:t>March 2000</w:t>
            </w:r>
          </w:p>
        </w:tc>
      </w:tr>
      <w:tr w:rsidR="00C86DD6" w:rsidRPr="0040045E" w:rsidTr="00981109">
        <w:trPr>
          <w:cantSplit/>
        </w:trPr>
        <w:tc>
          <w:tcPr>
            <w:tcW w:w="1701" w:type="dxa"/>
            <w:vAlign w:val="center"/>
          </w:tcPr>
          <w:p w:rsidR="00C86DD6" w:rsidRPr="0040045E" w:rsidRDefault="00C86DD6" w:rsidP="00C86DD6">
            <w:pPr>
              <w:pStyle w:val="NoSpacing"/>
              <w:rPr>
                <w:rFonts w:ascii="Arial Narrow" w:hAnsi="Arial Narrow"/>
                <w:sz w:val="20"/>
              </w:rPr>
            </w:pPr>
            <w:r w:rsidRPr="0040045E">
              <w:rPr>
                <w:rFonts w:ascii="Arial Narrow" w:hAnsi="Arial Narrow"/>
                <w:sz w:val="20"/>
              </w:rPr>
              <w:t>10850703</w:t>
            </w:r>
          </w:p>
        </w:tc>
        <w:tc>
          <w:tcPr>
            <w:tcW w:w="4820" w:type="dxa"/>
            <w:vAlign w:val="center"/>
          </w:tcPr>
          <w:p w:rsidR="00C86DD6" w:rsidRPr="0040045E" w:rsidRDefault="00C86DD6" w:rsidP="00C86DD6">
            <w:pPr>
              <w:pStyle w:val="NoSpacing"/>
              <w:jc w:val="left"/>
              <w:rPr>
                <w:rFonts w:ascii="Arial Narrow" w:hAnsi="Arial Narrow"/>
                <w:sz w:val="20"/>
              </w:rPr>
            </w:pPr>
            <w:r w:rsidRPr="0040045E">
              <w:rPr>
                <w:rFonts w:ascii="Arial Narrow" w:hAnsi="Arial Narrow"/>
                <w:sz w:val="20"/>
              </w:rPr>
              <w:t xml:space="preserve">Randomised, single-dose, 4-treatment, 4-period, crossover to evaluate the relative bioavailability of </w:t>
            </w:r>
            <w:proofErr w:type="spellStart"/>
            <w:r w:rsidRPr="0040045E">
              <w:rPr>
                <w:rFonts w:ascii="Arial Narrow" w:hAnsi="Arial Narrow"/>
                <w:sz w:val="20"/>
              </w:rPr>
              <w:t>Lozanoc</w:t>
            </w:r>
            <w:proofErr w:type="spellEnd"/>
            <w:r w:rsidRPr="0040045E">
              <w:rPr>
                <w:rFonts w:ascii="Arial Narrow" w:hAnsi="Arial Narrow"/>
                <w:sz w:val="20"/>
              </w:rPr>
              <w:t xml:space="preserve">® (SUBACAP™) at a dose of 50 mg and </w:t>
            </w:r>
            <w:proofErr w:type="spellStart"/>
            <w:r w:rsidRPr="0040045E">
              <w:rPr>
                <w:rFonts w:ascii="Arial Narrow" w:hAnsi="Arial Narrow"/>
                <w:sz w:val="20"/>
              </w:rPr>
              <w:t>Sporanox</w:t>
            </w:r>
            <w:proofErr w:type="spellEnd"/>
            <w:r w:rsidRPr="0040045E">
              <w:rPr>
                <w:rFonts w:ascii="Arial Narrow" w:hAnsi="Arial Narrow"/>
                <w:sz w:val="20"/>
              </w:rPr>
              <w:t>® at a dose of 100 mg in a fed state</w:t>
            </w:r>
          </w:p>
        </w:tc>
        <w:tc>
          <w:tcPr>
            <w:tcW w:w="1843" w:type="dxa"/>
          </w:tcPr>
          <w:p w:rsidR="00C86DD6" w:rsidRPr="0040045E" w:rsidRDefault="00C86DD6" w:rsidP="00C86DD6">
            <w:pPr>
              <w:pStyle w:val="NoSpacing"/>
              <w:rPr>
                <w:rFonts w:ascii="Arial Narrow" w:hAnsi="Arial Narrow"/>
                <w:sz w:val="20"/>
              </w:rPr>
            </w:pPr>
            <w:r w:rsidRPr="0040045E">
              <w:rPr>
                <w:rFonts w:ascii="Arial Narrow" w:hAnsi="Arial Narrow"/>
                <w:sz w:val="20"/>
              </w:rPr>
              <w:t>July 2008</w:t>
            </w:r>
          </w:p>
        </w:tc>
      </w:tr>
      <w:tr w:rsidR="00C86DD6" w:rsidRPr="0040045E" w:rsidTr="00981109">
        <w:trPr>
          <w:cantSplit/>
        </w:trPr>
        <w:tc>
          <w:tcPr>
            <w:tcW w:w="1701" w:type="dxa"/>
            <w:vAlign w:val="center"/>
          </w:tcPr>
          <w:p w:rsidR="00C86DD6" w:rsidRPr="0040045E" w:rsidRDefault="00C86DD6" w:rsidP="00C86DD6">
            <w:pPr>
              <w:pStyle w:val="NoSpacing"/>
              <w:rPr>
                <w:rFonts w:ascii="Arial Narrow" w:hAnsi="Arial Narrow"/>
                <w:sz w:val="20"/>
              </w:rPr>
            </w:pPr>
            <w:r w:rsidRPr="0040045E">
              <w:rPr>
                <w:rFonts w:ascii="Arial Narrow" w:hAnsi="Arial Narrow"/>
                <w:sz w:val="20"/>
              </w:rPr>
              <w:t>10850702</w:t>
            </w:r>
          </w:p>
        </w:tc>
        <w:tc>
          <w:tcPr>
            <w:tcW w:w="4820" w:type="dxa"/>
            <w:vAlign w:val="center"/>
          </w:tcPr>
          <w:p w:rsidR="00C86DD6" w:rsidRPr="0040045E" w:rsidRDefault="00C86DD6" w:rsidP="00C86DD6">
            <w:pPr>
              <w:pStyle w:val="NoSpacing"/>
              <w:rPr>
                <w:rFonts w:ascii="Arial Narrow" w:hAnsi="Arial Narrow"/>
                <w:sz w:val="20"/>
              </w:rPr>
            </w:pPr>
            <w:r w:rsidRPr="0040045E">
              <w:rPr>
                <w:rFonts w:ascii="Arial Narrow" w:hAnsi="Arial Narrow"/>
                <w:sz w:val="20"/>
              </w:rPr>
              <w:t xml:space="preserve">Randomised, single-dose, 4-treatment, 4-period, crossover to evaluate the relative bioavailability of </w:t>
            </w:r>
            <w:proofErr w:type="spellStart"/>
            <w:r w:rsidRPr="0040045E">
              <w:rPr>
                <w:rFonts w:ascii="Arial Narrow" w:hAnsi="Arial Narrow"/>
                <w:sz w:val="20"/>
              </w:rPr>
              <w:t>Lozanoc</w:t>
            </w:r>
            <w:proofErr w:type="spellEnd"/>
            <w:r w:rsidRPr="0040045E">
              <w:rPr>
                <w:rFonts w:ascii="Arial Narrow" w:hAnsi="Arial Narrow"/>
                <w:sz w:val="20"/>
              </w:rPr>
              <w:t xml:space="preserve">® (SUBACAP™) at a dose of 50 mg and </w:t>
            </w:r>
            <w:proofErr w:type="spellStart"/>
            <w:r w:rsidRPr="0040045E">
              <w:rPr>
                <w:rFonts w:ascii="Arial Narrow" w:hAnsi="Arial Narrow"/>
                <w:sz w:val="20"/>
              </w:rPr>
              <w:t>Sporanox</w:t>
            </w:r>
            <w:proofErr w:type="spellEnd"/>
            <w:r w:rsidRPr="0040045E">
              <w:rPr>
                <w:rFonts w:ascii="Arial Narrow" w:hAnsi="Arial Narrow"/>
                <w:sz w:val="20"/>
              </w:rPr>
              <w:t>® at a dose of 100 mg and 200 mg in a fasted state</w:t>
            </w:r>
          </w:p>
        </w:tc>
        <w:tc>
          <w:tcPr>
            <w:tcW w:w="1843" w:type="dxa"/>
          </w:tcPr>
          <w:p w:rsidR="00C86DD6" w:rsidRPr="0040045E" w:rsidRDefault="00C86DD6" w:rsidP="00C86DD6">
            <w:pPr>
              <w:pStyle w:val="NoSpacing"/>
              <w:rPr>
                <w:rFonts w:ascii="Arial Narrow" w:hAnsi="Arial Narrow"/>
                <w:sz w:val="20"/>
              </w:rPr>
            </w:pPr>
            <w:r w:rsidRPr="0040045E">
              <w:rPr>
                <w:rFonts w:ascii="Arial Narrow" w:hAnsi="Arial Narrow"/>
                <w:sz w:val="20"/>
              </w:rPr>
              <w:t>October 2008</w:t>
            </w:r>
          </w:p>
        </w:tc>
      </w:tr>
      <w:tr w:rsidR="00C86DD6" w:rsidRPr="0040045E" w:rsidTr="00981109">
        <w:trPr>
          <w:cantSplit/>
        </w:trPr>
        <w:tc>
          <w:tcPr>
            <w:tcW w:w="1701" w:type="dxa"/>
            <w:vAlign w:val="center"/>
          </w:tcPr>
          <w:p w:rsidR="00C86DD6" w:rsidRPr="0040045E" w:rsidRDefault="00C86DD6" w:rsidP="00C86DD6">
            <w:pPr>
              <w:pStyle w:val="NoSpacing"/>
              <w:rPr>
                <w:rFonts w:ascii="Arial Narrow" w:hAnsi="Arial Narrow"/>
                <w:sz w:val="20"/>
              </w:rPr>
            </w:pPr>
            <w:r w:rsidRPr="0040045E">
              <w:rPr>
                <w:rFonts w:ascii="Arial Narrow" w:hAnsi="Arial Narrow"/>
                <w:sz w:val="20"/>
              </w:rPr>
              <w:t>CM3007</w:t>
            </w:r>
          </w:p>
        </w:tc>
        <w:tc>
          <w:tcPr>
            <w:tcW w:w="4820" w:type="dxa"/>
            <w:vAlign w:val="center"/>
          </w:tcPr>
          <w:p w:rsidR="00C86DD6" w:rsidRPr="0040045E" w:rsidRDefault="00C86DD6" w:rsidP="00C86DD6">
            <w:pPr>
              <w:pStyle w:val="NoSpacing"/>
              <w:jc w:val="left"/>
              <w:rPr>
                <w:rFonts w:ascii="Arial Narrow" w:hAnsi="Arial Narrow"/>
                <w:sz w:val="20"/>
              </w:rPr>
            </w:pPr>
            <w:r w:rsidRPr="0040045E">
              <w:rPr>
                <w:rFonts w:ascii="Arial Narrow" w:hAnsi="Arial Narrow"/>
                <w:sz w:val="20"/>
              </w:rPr>
              <w:t xml:space="preserve">Randomised, open-label, four-way crossover - Fed and fasted. To determine bioavailability by comparing 110 mg of </w:t>
            </w:r>
            <w:proofErr w:type="spellStart"/>
            <w:r w:rsidRPr="0040045E">
              <w:rPr>
                <w:rFonts w:ascii="Arial Narrow" w:hAnsi="Arial Narrow"/>
                <w:sz w:val="20"/>
              </w:rPr>
              <w:t>Lozanoc</w:t>
            </w:r>
            <w:proofErr w:type="spellEnd"/>
            <w:r w:rsidRPr="0040045E">
              <w:rPr>
                <w:rFonts w:ascii="Arial Narrow" w:hAnsi="Arial Narrow"/>
                <w:sz w:val="20"/>
              </w:rPr>
              <w:t xml:space="preserve">® (SUBACAP™) with 200 mg of </w:t>
            </w:r>
            <w:proofErr w:type="spellStart"/>
            <w:r w:rsidRPr="0040045E">
              <w:rPr>
                <w:rFonts w:ascii="Arial Narrow" w:hAnsi="Arial Narrow"/>
                <w:sz w:val="20"/>
              </w:rPr>
              <w:t>Sporanox</w:t>
            </w:r>
            <w:proofErr w:type="spellEnd"/>
            <w:r w:rsidRPr="0040045E">
              <w:rPr>
                <w:rFonts w:ascii="Arial Narrow" w:hAnsi="Arial Narrow"/>
                <w:sz w:val="20"/>
              </w:rPr>
              <w:t>®. In fed and fasted state.</w:t>
            </w:r>
          </w:p>
        </w:tc>
        <w:tc>
          <w:tcPr>
            <w:tcW w:w="1843" w:type="dxa"/>
          </w:tcPr>
          <w:p w:rsidR="00C86DD6" w:rsidRPr="0040045E" w:rsidRDefault="00C86DD6" w:rsidP="00C86DD6">
            <w:pPr>
              <w:pStyle w:val="NoSpacing"/>
              <w:rPr>
                <w:rFonts w:ascii="Arial Narrow" w:hAnsi="Arial Narrow"/>
                <w:sz w:val="20"/>
              </w:rPr>
            </w:pPr>
            <w:r w:rsidRPr="0040045E">
              <w:rPr>
                <w:rFonts w:ascii="Arial Narrow" w:hAnsi="Arial Narrow"/>
                <w:sz w:val="20"/>
              </w:rPr>
              <w:t>September 2007</w:t>
            </w:r>
          </w:p>
        </w:tc>
      </w:tr>
      <w:tr w:rsidR="00C86DD6" w:rsidRPr="0040045E" w:rsidTr="00C27B58">
        <w:trPr>
          <w:cantSplit/>
        </w:trPr>
        <w:tc>
          <w:tcPr>
            <w:tcW w:w="8364" w:type="dxa"/>
            <w:gridSpan w:val="3"/>
          </w:tcPr>
          <w:p w:rsidR="00C86DD6" w:rsidRPr="0040045E" w:rsidRDefault="00C86DD6" w:rsidP="00D84934">
            <w:pPr>
              <w:pStyle w:val="NoSpacing"/>
              <w:rPr>
                <w:rFonts w:ascii="Arial Narrow" w:hAnsi="Arial Narrow"/>
                <w:b/>
                <w:sz w:val="20"/>
              </w:rPr>
            </w:pPr>
            <w:r w:rsidRPr="0040045E">
              <w:rPr>
                <w:rFonts w:ascii="Arial Narrow" w:hAnsi="Arial Narrow"/>
                <w:b/>
                <w:sz w:val="20"/>
              </w:rPr>
              <w:t>Pharmacokinetic study</w:t>
            </w:r>
          </w:p>
        </w:tc>
      </w:tr>
      <w:tr w:rsidR="00C86DD6" w:rsidRPr="0040045E" w:rsidTr="00981109">
        <w:trPr>
          <w:cantSplit/>
        </w:trPr>
        <w:tc>
          <w:tcPr>
            <w:tcW w:w="1701" w:type="dxa"/>
            <w:vAlign w:val="center"/>
          </w:tcPr>
          <w:p w:rsidR="00C86DD6" w:rsidRPr="0040045E" w:rsidRDefault="00C86DD6" w:rsidP="00C86DD6">
            <w:pPr>
              <w:pStyle w:val="NoSpacing"/>
              <w:rPr>
                <w:rFonts w:ascii="Arial Narrow" w:hAnsi="Arial Narrow"/>
                <w:sz w:val="20"/>
              </w:rPr>
            </w:pPr>
            <w:r w:rsidRPr="0040045E">
              <w:rPr>
                <w:rFonts w:ascii="Arial Narrow" w:hAnsi="Arial Narrow"/>
                <w:sz w:val="20"/>
              </w:rPr>
              <w:t>CM4799</w:t>
            </w:r>
          </w:p>
        </w:tc>
        <w:tc>
          <w:tcPr>
            <w:tcW w:w="4820" w:type="dxa"/>
            <w:vAlign w:val="center"/>
          </w:tcPr>
          <w:p w:rsidR="00C86DD6" w:rsidRPr="0040045E" w:rsidRDefault="00C86DD6" w:rsidP="00C86DD6">
            <w:pPr>
              <w:pStyle w:val="NoSpacing"/>
              <w:jc w:val="left"/>
              <w:rPr>
                <w:rFonts w:ascii="Arial Narrow" w:hAnsi="Arial Narrow"/>
                <w:sz w:val="20"/>
              </w:rPr>
            </w:pPr>
            <w:r w:rsidRPr="0040045E">
              <w:rPr>
                <w:rFonts w:ascii="Arial Narrow" w:hAnsi="Arial Narrow"/>
                <w:sz w:val="20"/>
              </w:rPr>
              <w:t>Randomised, crossover – Fasted. To determine pharmacokinetics</w:t>
            </w:r>
          </w:p>
        </w:tc>
        <w:tc>
          <w:tcPr>
            <w:tcW w:w="1843" w:type="dxa"/>
          </w:tcPr>
          <w:p w:rsidR="00C86DD6" w:rsidRPr="0040045E" w:rsidRDefault="00C86DD6" w:rsidP="00D84934">
            <w:pPr>
              <w:pStyle w:val="NoSpacing"/>
              <w:rPr>
                <w:rFonts w:ascii="Arial Narrow" w:hAnsi="Arial Narrow"/>
                <w:sz w:val="20"/>
              </w:rPr>
            </w:pPr>
            <w:r w:rsidRPr="0040045E">
              <w:rPr>
                <w:rFonts w:ascii="Arial Narrow" w:hAnsi="Arial Narrow"/>
                <w:sz w:val="20"/>
              </w:rPr>
              <w:t>October 1999</w:t>
            </w:r>
          </w:p>
        </w:tc>
      </w:tr>
      <w:tr w:rsidR="00C86DD6" w:rsidRPr="0040045E" w:rsidTr="00C27B58">
        <w:trPr>
          <w:cantSplit/>
        </w:trPr>
        <w:tc>
          <w:tcPr>
            <w:tcW w:w="8364" w:type="dxa"/>
            <w:gridSpan w:val="3"/>
          </w:tcPr>
          <w:p w:rsidR="00C86DD6" w:rsidRPr="0040045E" w:rsidRDefault="00C86DD6" w:rsidP="00D84934">
            <w:pPr>
              <w:pStyle w:val="NoSpacing"/>
              <w:rPr>
                <w:rFonts w:ascii="Arial Narrow" w:hAnsi="Arial Narrow"/>
                <w:b/>
                <w:sz w:val="20"/>
              </w:rPr>
            </w:pPr>
            <w:r w:rsidRPr="0040045E">
              <w:rPr>
                <w:rFonts w:ascii="Arial Narrow" w:hAnsi="Arial Narrow"/>
                <w:b/>
                <w:sz w:val="20"/>
              </w:rPr>
              <w:t>Efficacy and Safety study</w:t>
            </w:r>
          </w:p>
        </w:tc>
      </w:tr>
      <w:tr w:rsidR="00C86DD6" w:rsidRPr="0040045E" w:rsidTr="00C27B58">
        <w:trPr>
          <w:cantSplit/>
        </w:trPr>
        <w:tc>
          <w:tcPr>
            <w:tcW w:w="1701" w:type="dxa"/>
          </w:tcPr>
          <w:p w:rsidR="00C86DD6" w:rsidRPr="0040045E" w:rsidRDefault="00C86DD6" w:rsidP="00457633">
            <w:pPr>
              <w:pStyle w:val="NoSpacing"/>
              <w:jc w:val="left"/>
              <w:rPr>
                <w:rFonts w:ascii="Arial Narrow" w:hAnsi="Arial Narrow"/>
                <w:sz w:val="20"/>
              </w:rPr>
            </w:pPr>
            <w:r w:rsidRPr="0040045E">
              <w:rPr>
                <w:rFonts w:ascii="Arial Narrow" w:hAnsi="Arial Narrow"/>
                <w:sz w:val="20"/>
              </w:rPr>
              <w:t>Clinical study 70850702</w:t>
            </w:r>
          </w:p>
        </w:tc>
        <w:tc>
          <w:tcPr>
            <w:tcW w:w="4820" w:type="dxa"/>
          </w:tcPr>
          <w:p w:rsidR="00C86DD6" w:rsidRPr="0040045E" w:rsidRDefault="00C86DD6" w:rsidP="0062748A">
            <w:pPr>
              <w:keepNext/>
              <w:rPr>
                <w:rFonts w:ascii="Arial Narrow" w:hAnsi="Arial Narrow"/>
                <w:sz w:val="20"/>
              </w:rPr>
            </w:pPr>
            <w:r w:rsidRPr="0040045E">
              <w:rPr>
                <w:rFonts w:ascii="Arial Narrow" w:hAnsi="Arial Narrow"/>
                <w:sz w:val="20"/>
              </w:rPr>
              <w:t xml:space="preserve">Randomised, double-blind, multi-centre study conducted in the USA comparing </w:t>
            </w:r>
            <w:proofErr w:type="spellStart"/>
            <w:r w:rsidRPr="0040045E">
              <w:rPr>
                <w:rFonts w:ascii="Arial Narrow" w:hAnsi="Arial Narrow"/>
                <w:sz w:val="20"/>
              </w:rPr>
              <w:t>Lozanoc</w:t>
            </w:r>
            <w:proofErr w:type="spellEnd"/>
            <w:r w:rsidRPr="0040045E">
              <w:rPr>
                <w:rFonts w:ascii="Arial Narrow" w:hAnsi="Arial Narrow"/>
                <w:sz w:val="20"/>
              </w:rPr>
              <w:t xml:space="preserve">® with the US reference product over 12 weeks of treatment. To compare the efficacy and safety of </w:t>
            </w:r>
            <w:proofErr w:type="spellStart"/>
            <w:r w:rsidRPr="0040045E">
              <w:rPr>
                <w:rFonts w:ascii="Arial Narrow" w:hAnsi="Arial Narrow"/>
                <w:sz w:val="20"/>
              </w:rPr>
              <w:t>Lozanoc</w:t>
            </w:r>
            <w:proofErr w:type="spellEnd"/>
            <w:r w:rsidRPr="0040045E">
              <w:rPr>
                <w:rFonts w:ascii="Arial Narrow" w:hAnsi="Arial Narrow"/>
                <w:sz w:val="20"/>
              </w:rPr>
              <w:t xml:space="preserve"> (SUBACAP</w:t>
            </w:r>
            <w:r w:rsidRPr="0040045E">
              <w:rPr>
                <w:rFonts w:ascii="Arial Narrow" w:hAnsi="Arial Narrow"/>
                <w:sz w:val="20"/>
                <w:vertAlign w:val="superscript"/>
              </w:rPr>
              <w:t>TM</w:t>
            </w:r>
            <w:r w:rsidRPr="0040045E">
              <w:rPr>
                <w:rFonts w:ascii="Arial Narrow" w:hAnsi="Arial Narrow"/>
                <w:sz w:val="20"/>
              </w:rPr>
              <w:t xml:space="preserve">) </w:t>
            </w:r>
            <w:proofErr w:type="spellStart"/>
            <w:r w:rsidRPr="0040045E">
              <w:rPr>
                <w:rFonts w:ascii="Arial Narrow" w:hAnsi="Arial Narrow"/>
                <w:sz w:val="20"/>
              </w:rPr>
              <w:t>itraconazole</w:t>
            </w:r>
            <w:proofErr w:type="spellEnd"/>
            <w:r w:rsidRPr="0040045E">
              <w:rPr>
                <w:rFonts w:ascii="Arial Narrow" w:hAnsi="Arial Narrow"/>
                <w:sz w:val="20"/>
              </w:rPr>
              <w:t xml:space="preserve"> (test) and </w:t>
            </w:r>
            <w:proofErr w:type="spellStart"/>
            <w:r w:rsidRPr="0040045E">
              <w:rPr>
                <w:rFonts w:ascii="Arial Narrow" w:hAnsi="Arial Narrow"/>
                <w:sz w:val="20"/>
              </w:rPr>
              <w:t>Sporanox</w:t>
            </w:r>
            <w:proofErr w:type="spellEnd"/>
            <w:r w:rsidRPr="0040045E">
              <w:rPr>
                <w:rFonts w:ascii="Arial Narrow" w:hAnsi="Arial Narrow"/>
                <w:sz w:val="20"/>
              </w:rPr>
              <w:t xml:space="preserve"> </w:t>
            </w:r>
            <w:proofErr w:type="spellStart"/>
            <w:r w:rsidRPr="0040045E">
              <w:rPr>
                <w:rFonts w:ascii="Arial Narrow" w:hAnsi="Arial Narrow"/>
                <w:sz w:val="20"/>
              </w:rPr>
              <w:t>itraconazole</w:t>
            </w:r>
            <w:proofErr w:type="spellEnd"/>
            <w:r w:rsidRPr="0040045E">
              <w:rPr>
                <w:rFonts w:ascii="Arial Narrow" w:hAnsi="Arial Narrow"/>
                <w:sz w:val="20"/>
              </w:rPr>
              <w:t xml:space="preserve"> 100mg capsules (reference) in the treatment of toenail on</w:t>
            </w:r>
            <w:r w:rsidR="008359B5" w:rsidRPr="0040045E">
              <w:rPr>
                <w:rFonts w:ascii="Arial Narrow" w:hAnsi="Arial Narrow"/>
                <w:sz w:val="20"/>
              </w:rPr>
              <w:t>y</w:t>
            </w:r>
            <w:r w:rsidRPr="0040045E">
              <w:rPr>
                <w:rFonts w:ascii="Arial Narrow" w:hAnsi="Arial Narrow"/>
                <w:sz w:val="20"/>
              </w:rPr>
              <w:t>chomycosis.</w:t>
            </w:r>
          </w:p>
        </w:tc>
        <w:tc>
          <w:tcPr>
            <w:tcW w:w="1843" w:type="dxa"/>
          </w:tcPr>
          <w:p w:rsidR="00C86DD6" w:rsidRPr="0040045E" w:rsidRDefault="00C86DD6" w:rsidP="0062748A">
            <w:pPr>
              <w:keepNext/>
              <w:rPr>
                <w:rFonts w:ascii="Arial Narrow" w:hAnsi="Arial Narrow"/>
                <w:b/>
                <w:sz w:val="20"/>
              </w:rPr>
            </w:pPr>
          </w:p>
        </w:tc>
      </w:tr>
    </w:tbl>
    <w:p w:rsidR="0076420C" w:rsidRPr="0040045E" w:rsidRDefault="0076420C" w:rsidP="0076420C">
      <w:pPr>
        <w:pStyle w:val="tablenotes"/>
        <w:ind w:firstLine="709"/>
        <w:rPr>
          <w:rFonts w:ascii="Arial Narrow" w:hAnsi="Arial Narrow"/>
          <w:sz w:val="18"/>
          <w:szCs w:val="18"/>
        </w:rPr>
      </w:pPr>
      <w:r w:rsidRPr="0040045E">
        <w:rPr>
          <w:rFonts w:ascii="Arial Narrow" w:hAnsi="Arial Narrow"/>
          <w:sz w:val="18"/>
          <w:szCs w:val="18"/>
        </w:rPr>
        <w:t>Source:</w:t>
      </w:r>
      <w:r w:rsidR="00146AA5" w:rsidRPr="0040045E">
        <w:rPr>
          <w:rFonts w:ascii="Arial Narrow" w:hAnsi="Arial Narrow"/>
          <w:sz w:val="18"/>
          <w:szCs w:val="18"/>
        </w:rPr>
        <w:t xml:space="preserve"> Summary of the bioavailability and pharmacokinetics studies (</w:t>
      </w:r>
      <w:proofErr w:type="spellStart"/>
      <w:r w:rsidR="00146AA5" w:rsidRPr="0040045E">
        <w:rPr>
          <w:rFonts w:ascii="Arial Narrow" w:hAnsi="Arial Narrow"/>
          <w:sz w:val="18"/>
          <w:szCs w:val="18"/>
        </w:rPr>
        <w:t>pg</w:t>
      </w:r>
      <w:proofErr w:type="spellEnd"/>
      <w:r w:rsidR="00146AA5" w:rsidRPr="0040045E">
        <w:rPr>
          <w:rFonts w:ascii="Arial Narrow" w:hAnsi="Arial Narrow"/>
          <w:sz w:val="18"/>
          <w:szCs w:val="18"/>
        </w:rPr>
        <w:t xml:space="preserve"> 28 of the submission – Appendix1)</w:t>
      </w:r>
      <w:r w:rsidRPr="0040045E">
        <w:rPr>
          <w:rFonts w:ascii="Arial Narrow" w:hAnsi="Arial Narrow"/>
          <w:sz w:val="18"/>
          <w:szCs w:val="18"/>
        </w:rPr>
        <w:t xml:space="preserve"> </w:t>
      </w:r>
    </w:p>
    <w:p w:rsidR="0076420C" w:rsidRPr="0040045E" w:rsidRDefault="0076420C" w:rsidP="0076420C">
      <w:pPr>
        <w:pStyle w:val="ListParagraph"/>
        <w:ind w:left="709"/>
        <w:jc w:val="both"/>
        <w:rPr>
          <w:rFonts w:ascii="Arial" w:hAnsi="Arial"/>
          <w:sz w:val="22"/>
          <w:szCs w:val="22"/>
        </w:rPr>
      </w:pPr>
    </w:p>
    <w:p w:rsidR="00D84934" w:rsidRPr="0040045E" w:rsidRDefault="00254991" w:rsidP="004E1E5D">
      <w:pPr>
        <w:pStyle w:val="ListParagraph"/>
        <w:numPr>
          <w:ilvl w:val="1"/>
          <w:numId w:val="25"/>
        </w:numPr>
        <w:jc w:val="both"/>
        <w:rPr>
          <w:rFonts w:ascii="Arial" w:hAnsi="Arial"/>
          <w:sz w:val="22"/>
          <w:szCs w:val="22"/>
        </w:rPr>
      </w:pPr>
      <w:r w:rsidRPr="0040045E">
        <w:rPr>
          <w:rFonts w:ascii="Arial" w:hAnsi="Arial"/>
          <w:sz w:val="22"/>
          <w:szCs w:val="22"/>
        </w:rPr>
        <w:t xml:space="preserve">The </w:t>
      </w:r>
      <w:r w:rsidR="004E1E5D" w:rsidRPr="0040045E">
        <w:rPr>
          <w:rFonts w:ascii="Arial" w:hAnsi="Arial"/>
          <w:sz w:val="22"/>
          <w:szCs w:val="22"/>
        </w:rPr>
        <w:t>details of the bioavailability studies</w:t>
      </w:r>
      <w:r w:rsidR="00CC4002" w:rsidRPr="0040045E">
        <w:rPr>
          <w:rFonts w:ascii="Arial" w:hAnsi="Arial"/>
          <w:sz w:val="22"/>
          <w:szCs w:val="22"/>
        </w:rPr>
        <w:t xml:space="preserve"> w</w:t>
      </w:r>
      <w:r w:rsidR="009E2D1B" w:rsidRPr="0040045E">
        <w:rPr>
          <w:rFonts w:ascii="Arial" w:hAnsi="Arial"/>
          <w:sz w:val="22"/>
          <w:szCs w:val="22"/>
        </w:rPr>
        <w:t>ere</w:t>
      </w:r>
      <w:r w:rsidR="00CC4002" w:rsidRPr="0040045E">
        <w:rPr>
          <w:rFonts w:ascii="Arial" w:hAnsi="Arial"/>
          <w:sz w:val="22"/>
          <w:szCs w:val="22"/>
        </w:rPr>
        <w:t xml:space="preserve"> presented</w:t>
      </w:r>
      <w:r w:rsidRPr="0040045E">
        <w:rPr>
          <w:rFonts w:ascii="Arial" w:hAnsi="Arial"/>
          <w:sz w:val="22"/>
          <w:szCs w:val="22"/>
        </w:rPr>
        <w:t xml:space="preserve"> in Appendix 1</w:t>
      </w:r>
      <w:r w:rsidR="00CC4002" w:rsidRPr="0040045E">
        <w:rPr>
          <w:rFonts w:ascii="Arial" w:hAnsi="Arial"/>
          <w:sz w:val="22"/>
          <w:szCs w:val="22"/>
        </w:rPr>
        <w:t xml:space="preserve"> of the re-submission</w:t>
      </w:r>
      <w:r w:rsidR="004E1E5D" w:rsidRPr="0040045E">
        <w:rPr>
          <w:rFonts w:ascii="Arial" w:hAnsi="Arial"/>
          <w:sz w:val="22"/>
          <w:szCs w:val="22"/>
        </w:rPr>
        <w:t>. The submission’s main observations from these studies were:</w:t>
      </w:r>
    </w:p>
    <w:p w:rsidR="004E1E5D" w:rsidRPr="0040045E" w:rsidRDefault="004E1E5D" w:rsidP="004E1E5D">
      <w:pPr>
        <w:pStyle w:val="ListParagraph"/>
        <w:numPr>
          <w:ilvl w:val="0"/>
          <w:numId w:val="47"/>
        </w:numPr>
        <w:jc w:val="both"/>
        <w:rPr>
          <w:rFonts w:ascii="Arial" w:hAnsi="Arial"/>
          <w:sz w:val="22"/>
          <w:szCs w:val="22"/>
        </w:rPr>
      </w:pPr>
      <w:r w:rsidRPr="0040045E">
        <w:rPr>
          <w:rFonts w:ascii="Arial" w:hAnsi="Arial"/>
          <w:sz w:val="22"/>
          <w:szCs w:val="22"/>
        </w:rPr>
        <w:t xml:space="preserve">Although the rate and degree of exposure is comparable, </w:t>
      </w:r>
      <w:proofErr w:type="spellStart"/>
      <w:r w:rsidR="009C3FE9" w:rsidRPr="0040045E">
        <w:rPr>
          <w:rFonts w:ascii="Arial" w:hAnsi="Arial" w:cs="Arial"/>
          <w:bCs/>
          <w:snapToGrid w:val="0"/>
          <w:sz w:val="22"/>
          <w:szCs w:val="22"/>
        </w:rPr>
        <w:t>itraconazole</w:t>
      </w:r>
      <w:proofErr w:type="spellEnd"/>
      <w:r w:rsidR="009C3FE9" w:rsidRPr="0040045E">
        <w:rPr>
          <w:rFonts w:ascii="Arial" w:hAnsi="Arial" w:cs="Arial"/>
          <w:bCs/>
          <w:snapToGrid w:val="0"/>
          <w:sz w:val="22"/>
          <w:szCs w:val="22"/>
        </w:rPr>
        <w:t xml:space="preserve"> 50 mg capsules</w:t>
      </w:r>
      <w:r w:rsidRPr="0040045E">
        <w:rPr>
          <w:rFonts w:ascii="Arial" w:hAnsi="Arial"/>
          <w:sz w:val="22"/>
          <w:szCs w:val="22"/>
        </w:rPr>
        <w:t xml:space="preserve"> (test) is not bioequivalent to </w:t>
      </w:r>
      <w:r w:rsidR="009C3FE9" w:rsidRPr="0040045E">
        <w:rPr>
          <w:rFonts w:ascii="Arial" w:hAnsi="Arial" w:cs="Arial"/>
          <w:bCs/>
          <w:snapToGrid w:val="0"/>
          <w:sz w:val="22"/>
          <w:szCs w:val="22"/>
        </w:rPr>
        <w:t xml:space="preserve">with </w:t>
      </w:r>
      <w:proofErr w:type="spellStart"/>
      <w:r w:rsidR="009C3FE9" w:rsidRPr="0040045E">
        <w:rPr>
          <w:rFonts w:ascii="Arial" w:hAnsi="Arial" w:cs="Arial"/>
          <w:bCs/>
          <w:snapToGrid w:val="0"/>
          <w:sz w:val="22"/>
          <w:szCs w:val="22"/>
        </w:rPr>
        <w:t>itraconazole</w:t>
      </w:r>
      <w:proofErr w:type="spellEnd"/>
      <w:r w:rsidR="009C3FE9" w:rsidRPr="0040045E">
        <w:rPr>
          <w:rFonts w:ascii="Arial" w:hAnsi="Arial" w:cs="Arial"/>
          <w:bCs/>
          <w:snapToGrid w:val="0"/>
          <w:sz w:val="22"/>
          <w:szCs w:val="22"/>
        </w:rPr>
        <w:t xml:space="preserve"> 100 mg</w:t>
      </w:r>
      <w:r w:rsidRPr="0040045E">
        <w:rPr>
          <w:rFonts w:ascii="Arial" w:hAnsi="Arial"/>
          <w:sz w:val="22"/>
          <w:szCs w:val="22"/>
        </w:rPr>
        <w:t xml:space="preserve"> (reference) capsules due to the variability of </w:t>
      </w:r>
      <w:proofErr w:type="spellStart"/>
      <w:r w:rsidRPr="0040045E">
        <w:rPr>
          <w:rFonts w:ascii="Arial" w:hAnsi="Arial"/>
          <w:sz w:val="22"/>
          <w:szCs w:val="22"/>
        </w:rPr>
        <w:t>Cmax</w:t>
      </w:r>
      <w:proofErr w:type="spellEnd"/>
      <w:r w:rsidRPr="0040045E">
        <w:rPr>
          <w:rFonts w:ascii="Arial" w:hAnsi="Arial"/>
          <w:sz w:val="22"/>
          <w:szCs w:val="22"/>
        </w:rPr>
        <w:t xml:space="preserve"> between the reference and test products.</w:t>
      </w:r>
      <w:r w:rsidR="0073081C" w:rsidRPr="0040045E">
        <w:rPr>
          <w:rFonts w:ascii="Arial" w:hAnsi="Arial"/>
          <w:sz w:val="22"/>
          <w:szCs w:val="22"/>
        </w:rPr>
        <w:t xml:space="preserve"> Therefore, the submission state</w:t>
      </w:r>
      <w:r w:rsidR="00B44C49" w:rsidRPr="0040045E">
        <w:rPr>
          <w:rFonts w:ascii="Arial" w:hAnsi="Arial"/>
          <w:sz w:val="22"/>
          <w:szCs w:val="22"/>
        </w:rPr>
        <w:t>d</w:t>
      </w:r>
      <w:r w:rsidR="0073081C" w:rsidRPr="0040045E">
        <w:rPr>
          <w:rFonts w:ascii="Arial" w:hAnsi="Arial"/>
          <w:sz w:val="22"/>
          <w:szCs w:val="22"/>
        </w:rPr>
        <w:t xml:space="preserve"> that instead of showing bioequivalence, a real difference in bioavailability was shown.</w:t>
      </w:r>
    </w:p>
    <w:p w:rsidR="004E1E5D" w:rsidRPr="0040045E" w:rsidRDefault="004E1E5D" w:rsidP="004E1E5D">
      <w:pPr>
        <w:pStyle w:val="ListParagraph"/>
        <w:numPr>
          <w:ilvl w:val="0"/>
          <w:numId w:val="47"/>
        </w:numPr>
        <w:jc w:val="both"/>
        <w:rPr>
          <w:rFonts w:ascii="Arial" w:hAnsi="Arial"/>
          <w:sz w:val="22"/>
          <w:szCs w:val="22"/>
        </w:rPr>
      </w:pPr>
      <w:r w:rsidRPr="0040045E">
        <w:rPr>
          <w:rFonts w:ascii="Arial" w:hAnsi="Arial"/>
          <w:sz w:val="22"/>
          <w:szCs w:val="22"/>
        </w:rPr>
        <w:t xml:space="preserve">Inter- and intra-patient variability in </w:t>
      </w:r>
      <w:proofErr w:type="spellStart"/>
      <w:r w:rsidRPr="0040045E">
        <w:rPr>
          <w:rFonts w:ascii="Arial" w:hAnsi="Arial"/>
          <w:sz w:val="22"/>
          <w:szCs w:val="22"/>
        </w:rPr>
        <w:t>itraconazole</w:t>
      </w:r>
      <w:proofErr w:type="spellEnd"/>
      <w:r w:rsidRPr="0040045E">
        <w:rPr>
          <w:rFonts w:ascii="Arial" w:hAnsi="Arial"/>
          <w:sz w:val="22"/>
          <w:szCs w:val="22"/>
        </w:rPr>
        <w:t xml:space="preserve"> exposure significantly lower with </w:t>
      </w:r>
      <w:proofErr w:type="spellStart"/>
      <w:r w:rsidR="009C3FE9" w:rsidRPr="0040045E">
        <w:rPr>
          <w:rFonts w:ascii="Arial" w:hAnsi="Arial" w:cs="Arial"/>
          <w:bCs/>
          <w:snapToGrid w:val="0"/>
          <w:sz w:val="22"/>
          <w:szCs w:val="22"/>
        </w:rPr>
        <w:t>itraconazole</w:t>
      </w:r>
      <w:proofErr w:type="spellEnd"/>
      <w:r w:rsidR="009C3FE9" w:rsidRPr="0040045E">
        <w:rPr>
          <w:rFonts w:ascii="Arial" w:hAnsi="Arial" w:cs="Arial"/>
          <w:bCs/>
          <w:snapToGrid w:val="0"/>
          <w:sz w:val="22"/>
          <w:szCs w:val="22"/>
        </w:rPr>
        <w:t xml:space="preserve"> </w:t>
      </w:r>
      <w:r w:rsidRPr="0040045E">
        <w:rPr>
          <w:rFonts w:ascii="Arial" w:hAnsi="Arial"/>
          <w:sz w:val="22"/>
          <w:szCs w:val="22"/>
        </w:rPr>
        <w:t xml:space="preserve">50 mg compared to </w:t>
      </w:r>
      <w:proofErr w:type="spellStart"/>
      <w:r w:rsidR="004054E2" w:rsidRPr="0040045E">
        <w:rPr>
          <w:rFonts w:ascii="Arial" w:hAnsi="Arial" w:cs="Arial"/>
          <w:bCs/>
          <w:snapToGrid w:val="0"/>
          <w:sz w:val="22"/>
          <w:szCs w:val="22"/>
        </w:rPr>
        <w:t>itraconazole</w:t>
      </w:r>
      <w:proofErr w:type="spellEnd"/>
      <w:r w:rsidR="004054E2" w:rsidRPr="0040045E">
        <w:rPr>
          <w:rFonts w:ascii="Arial" w:hAnsi="Arial" w:cs="Arial"/>
          <w:bCs/>
          <w:snapToGrid w:val="0"/>
          <w:sz w:val="22"/>
          <w:szCs w:val="22"/>
        </w:rPr>
        <w:t xml:space="preserve"> </w:t>
      </w:r>
      <w:r w:rsidR="004054E2" w:rsidRPr="0040045E">
        <w:rPr>
          <w:rFonts w:ascii="Arial" w:hAnsi="Arial"/>
          <w:sz w:val="22"/>
          <w:szCs w:val="22"/>
        </w:rPr>
        <w:t>100</w:t>
      </w:r>
      <w:r w:rsidRPr="0040045E">
        <w:rPr>
          <w:rFonts w:ascii="Arial" w:hAnsi="Arial"/>
          <w:sz w:val="22"/>
          <w:szCs w:val="22"/>
        </w:rPr>
        <w:t xml:space="preserve"> mg.</w:t>
      </w:r>
    </w:p>
    <w:p w:rsidR="004E1E5D" w:rsidRPr="0040045E" w:rsidRDefault="004E1E5D" w:rsidP="004E1E5D">
      <w:pPr>
        <w:pStyle w:val="ListParagraph"/>
        <w:numPr>
          <w:ilvl w:val="0"/>
          <w:numId w:val="47"/>
        </w:numPr>
        <w:jc w:val="both"/>
        <w:rPr>
          <w:rFonts w:ascii="Arial" w:hAnsi="Arial"/>
          <w:sz w:val="22"/>
          <w:szCs w:val="22"/>
        </w:rPr>
      </w:pPr>
      <w:r w:rsidRPr="0040045E">
        <w:rPr>
          <w:rFonts w:ascii="Arial" w:hAnsi="Arial"/>
          <w:sz w:val="22"/>
          <w:szCs w:val="22"/>
        </w:rPr>
        <w:t xml:space="preserve">Significantly less variation in exposure in a fasted and fed state (high-fat breakfasts) between </w:t>
      </w:r>
      <w:proofErr w:type="spellStart"/>
      <w:r w:rsidR="004054E2" w:rsidRPr="0040045E">
        <w:rPr>
          <w:rFonts w:ascii="Arial" w:hAnsi="Arial" w:cs="Arial"/>
          <w:bCs/>
          <w:snapToGrid w:val="0"/>
          <w:sz w:val="22"/>
          <w:szCs w:val="22"/>
        </w:rPr>
        <w:t>itraconazole</w:t>
      </w:r>
      <w:proofErr w:type="spellEnd"/>
      <w:r w:rsidR="004054E2" w:rsidRPr="0040045E">
        <w:rPr>
          <w:rFonts w:ascii="Arial" w:hAnsi="Arial" w:cs="Arial"/>
          <w:bCs/>
          <w:snapToGrid w:val="0"/>
          <w:sz w:val="22"/>
          <w:szCs w:val="22"/>
        </w:rPr>
        <w:t xml:space="preserve"> </w:t>
      </w:r>
      <w:r w:rsidR="004054E2" w:rsidRPr="0040045E">
        <w:rPr>
          <w:rFonts w:ascii="Arial" w:hAnsi="Arial"/>
          <w:sz w:val="22"/>
          <w:szCs w:val="22"/>
        </w:rPr>
        <w:t>50</w:t>
      </w:r>
      <w:r w:rsidRPr="0040045E">
        <w:rPr>
          <w:rFonts w:ascii="Arial" w:hAnsi="Arial"/>
          <w:sz w:val="22"/>
          <w:szCs w:val="22"/>
        </w:rPr>
        <w:t xml:space="preserve"> mg and </w:t>
      </w:r>
      <w:proofErr w:type="spellStart"/>
      <w:r w:rsidR="009C3FE9" w:rsidRPr="0040045E">
        <w:rPr>
          <w:rFonts w:ascii="Arial" w:hAnsi="Arial" w:cs="Arial"/>
          <w:bCs/>
          <w:snapToGrid w:val="0"/>
          <w:sz w:val="22"/>
          <w:szCs w:val="22"/>
        </w:rPr>
        <w:t>itraconazole</w:t>
      </w:r>
      <w:proofErr w:type="spellEnd"/>
      <w:r w:rsidR="009C3FE9" w:rsidRPr="0040045E">
        <w:rPr>
          <w:rFonts w:ascii="Arial" w:hAnsi="Arial" w:cs="Arial"/>
          <w:bCs/>
          <w:snapToGrid w:val="0"/>
          <w:sz w:val="22"/>
          <w:szCs w:val="22"/>
        </w:rPr>
        <w:t xml:space="preserve"> </w:t>
      </w:r>
      <w:r w:rsidRPr="0040045E">
        <w:rPr>
          <w:rFonts w:ascii="Arial" w:hAnsi="Arial"/>
          <w:sz w:val="22"/>
          <w:szCs w:val="22"/>
        </w:rPr>
        <w:t>100 mg capsules.</w:t>
      </w:r>
    </w:p>
    <w:p w:rsidR="004E1E5D" w:rsidRPr="0040045E" w:rsidRDefault="004E1E5D" w:rsidP="004E1E5D">
      <w:pPr>
        <w:pStyle w:val="ListParagraph"/>
        <w:ind w:left="1440"/>
        <w:jc w:val="both"/>
        <w:rPr>
          <w:rFonts w:ascii="Arial" w:hAnsi="Arial"/>
          <w:sz w:val="22"/>
          <w:szCs w:val="22"/>
        </w:rPr>
      </w:pPr>
    </w:p>
    <w:p w:rsidR="00C00DA7" w:rsidRPr="0040045E" w:rsidRDefault="00860A90" w:rsidP="00D84934">
      <w:pPr>
        <w:pStyle w:val="ListParagraph"/>
        <w:numPr>
          <w:ilvl w:val="1"/>
          <w:numId w:val="25"/>
        </w:numPr>
        <w:jc w:val="both"/>
        <w:rPr>
          <w:rFonts w:ascii="Arial" w:hAnsi="Arial"/>
          <w:sz w:val="22"/>
          <w:szCs w:val="22"/>
        </w:rPr>
      </w:pPr>
      <w:r w:rsidRPr="0040045E">
        <w:rPr>
          <w:rFonts w:ascii="Arial" w:hAnsi="Arial"/>
          <w:sz w:val="22"/>
          <w:szCs w:val="22"/>
        </w:rPr>
        <w:t xml:space="preserve">The minor submission presented comments from two Australian </w:t>
      </w:r>
      <w:r w:rsidR="00523B9E" w:rsidRPr="0040045E">
        <w:rPr>
          <w:rFonts w:ascii="Arial" w:hAnsi="Arial"/>
          <w:sz w:val="22"/>
          <w:szCs w:val="22"/>
        </w:rPr>
        <w:t>experts</w:t>
      </w:r>
      <w:r w:rsidRPr="0040045E">
        <w:rPr>
          <w:rFonts w:ascii="Arial" w:hAnsi="Arial"/>
          <w:sz w:val="22"/>
          <w:szCs w:val="22"/>
        </w:rPr>
        <w:t xml:space="preserve"> (Dr David Ellis and A/Professor Debbie Marriot) on the clinical use and place of </w:t>
      </w:r>
      <w:proofErr w:type="spellStart"/>
      <w:r w:rsidRPr="0040045E">
        <w:rPr>
          <w:rFonts w:ascii="Arial" w:hAnsi="Arial"/>
          <w:sz w:val="22"/>
          <w:szCs w:val="22"/>
        </w:rPr>
        <w:t>itracon</w:t>
      </w:r>
      <w:r w:rsidR="0095301D" w:rsidRPr="0040045E">
        <w:rPr>
          <w:rFonts w:ascii="Arial" w:hAnsi="Arial"/>
          <w:sz w:val="22"/>
          <w:szCs w:val="22"/>
        </w:rPr>
        <w:t>a</w:t>
      </w:r>
      <w:r w:rsidRPr="0040045E">
        <w:rPr>
          <w:rFonts w:ascii="Arial" w:hAnsi="Arial"/>
          <w:sz w:val="22"/>
          <w:szCs w:val="22"/>
        </w:rPr>
        <w:t>zole</w:t>
      </w:r>
      <w:proofErr w:type="spellEnd"/>
      <w:r w:rsidRPr="0040045E">
        <w:rPr>
          <w:rFonts w:ascii="Arial" w:hAnsi="Arial"/>
          <w:sz w:val="22"/>
          <w:szCs w:val="22"/>
        </w:rPr>
        <w:t xml:space="preserve"> in the treatment paradigm during the TGA appeal. </w:t>
      </w:r>
    </w:p>
    <w:p w:rsidR="00BB7EC3" w:rsidRPr="0040045E" w:rsidRDefault="00BB7EC3" w:rsidP="009B0F67">
      <w:pPr>
        <w:jc w:val="both"/>
        <w:rPr>
          <w:rFonts w:ascii="Arial" w:hAnsi="Arial"/>
          <w:sz w:val="22"/>
          <w:szCs w:val="22"/>
        </w:rPr>
      </w:pPr>
    </w:p>
    <w:p w:rsidR="005A3173" w:rsidRPr="0040045E" w:rsidRDefault="005A3173" w:rsidP="00F555AB">
      <w:pPr>
        <w:pStyle w:val="Heading2"/>
      </w:pPr>
      <w:r w:rsidRPr="0040045E">
        <w:t>Comparative effectiveness</w:t>
      </w:r>
    </w:p>
    <w:p w:rsidR="005A3173" w:rsidRPr="0040045E" w:rsidRDefault="005A3173" w:rsidP="00882085">
      <w:pPr>
        <w:jc w:val="both"/>
        <w:rPr>
          <w:rFonts w:ascii="Arial" w:hAnsi="Arial"/>
          <w:sz w:val="22"/>
          <w:szCs w:val="22"/>
        </w:rPr>
      </w:pPr>
    </w:p>
    <w:p w:rsidR="00981109" w:rsidRPr="0040045E" w:rsidRDefault="00B44C49" w:rsidP="00B44C49">
      <w:pPr>
        <w:pStyle w:val="ListParagraph"/>
        <w:numPr>
          <w:ilvl w:val="1"/>
          <w:numId w:val="25"/>
        </w:numPr>
        <w:ind w:left="709"/>
        <w:jc w:val="both"/>
        <w:rPr>
          <w:rFonts w:ascii="Arial" w:hAnsi="Arial"/>
          <w:sz w:val="22"/>
          <w:szCs w:val="22"/>
        </w:rPr>
      </w:pPr>
      <w:r w:rsidRPr="0040045E">
        <w:rPr>
          <w:rFonts w:ascii="Arial" w:hAnsi="Arial"/>
          <w:sz w:val="22"/>
          <w:szCs w:val="22"/>
        </w:rPr>
        <w:t xml:space="preserve">The primary outcome from the Study 70850702 was based on superficial mycoses. The submission claimed that </w:t>
      </w:r>
      <w:proofErr w:type="spellStart"/>
      <w:r w:rsidR="009E2D1B" w:rsidRPr="0040045E">
        <w:rPr>
          <w:rFonts w:ascii="Arial" w:hAnsi="Arial"/>
          <w:sz w:val="22"/>
          <w:szCs w:val="22"/>
        </w:rPr>
        <w:t>itraconazole</w:t>
      </w:r>
      <w:proofErr w:type="spellEnd"/>
      <w:r w:rsidR="009E2D1B" w:rsidRPr="0040045E">
        <w:rPr>
          <w:rFonts w:ascii="Arial" w:hAnsi="Arial"/>
          <w:sz w:val="22"/>
          <w:szCs w:val="22"/>
        </w:rPr>
        <w:t xml:space="preserve"> 50 mg </w:t>
      </w:r>
      <w:r w:rsidRPr="0040045E">
        <w:rPr>
          <w:rFonts w:ascii="Arial" w:hAnsi="Arial"/>
          <w:sz w:val="22"/>
          <w:szCs w:val="22"/>
        </w:rPr>
        <w:t xml:space="preserve">proved to be superior to placebo for each of the three primary endpoints at week 24. </w:t>
      </w:r>
      <w:proofErr w:type="spellStart"/>
      <w:r w:rsidR="009E2D1B" w:rsidRPr="0040045E">
        <w:rPr>
          <w:rFonts w:ascii="Arial" w:hAnsi="Arial"/>
          <w:sz w:val="22"/>
          <w:szCs w:val="22"/>
        </w:rPr>
        <w:t>Itraconazole</w:t>
      </w:r>
      <w:proofErr w:type="spellEnd"/>
      <w:r w:rsidR="009E2D1B" w:rsidRPr="0040045E">
        <w:rPr>
          <w:rFonts w:ascii="Arial" w:hAnsi="Arial"/>
          <w:sz w:val="22"/>
          <w:szCs w:val="22"/>
        </w:rPr>
        <w:t xml:space="preserve"> </w:t>
      </w:r>
      <w:proofErr w:type="gramStart"/>
      <w:r w:rsidR="009E2D1B" w:rsidRPr="0040045E">
        <w:rPr>
          <w:rFonts w:ascii="Arial" w:hAnsi="Arial"/>
          <w:sz w:val="22"/>
          <w:szCs w:val="22"/>
        </w:rPr>
        <w:t xml:space="preserve">100mg </w:t>
      </w:r>
      <w:r w:rsidRPr="0040045E">
        <w:rPr>
          <w:rFonts w:ascii="Arial" w:hAnsi="Arial"/>
          <w:sz w:val="22"/>
          <w:szCs w:val="22"/>
        </w:rPr>
        <w:t xml:space="preserve"> was</w:t>
      </w:r>
      <w:proofErr w:type="gramEnd"/>
      <w:r w:rsidRPr="0040045E">
        <w:rPr>
          <w:rFonts w:ascii="Arial" w:hAnsi="Arial"/>
          <w:sz w:val="22"/>
          <w:szCs w:val="22"/>
        </w:rPr>
        <w:t xml:space="preserve"> superior to </w:t>
      </w:r>
      <w:r w:rsidRPr="0040045E">
        <w:rPr>
          <w:rFonts w:ascii="Arial" w:hAnsi="Arial"/>
          <w:sz w:val="22"/>
          <w:szCs w:val="22"/>
        </w:rPr>
        <w:lastRenderedPageBreak/>
        <w:t>placebo at week 24 for the mycological cure parameter but not for the clinical and therapeutic cure parameters.</w:t>
      </w:r>
    </w:p>
    <w:p w:rsidR="009E2D1B" w:rsidRPr="0040045E" w:rsidRDefault="009E2D1B" w:rsidP="009E2D1B">
      <w:pPr>
        <w:jc w:val="both"/>
        <w:rPr>
          <w:rFonts w:ascii="Arial" w:hAnsi="Arial"/>
          <w:sz w:val="22"/>
          <w:szCs w:val="22"/>
        </w:rPr>
      </w:pPr>
    </w:p>
    <w:p w:rsidR="009E2D1B" w:rsidRPr="0040045E" w:rsidRDefault="009E2D1B" w:rsidP="009E2D1B">
      <w:pPr>
        <w:ind w:firstLine="709"/>
        <w:jc w:val="both"/>
        <w:rPr>
          <w:rFonts w:ascii="Arial Narrow" w:hAnsi="Arial Narrow"/>
          <w:b/>
          <w:sz w:val="20"/>
          <w:szCs w:val="20"/>
        </w:rPr>
      </w:pPr>
      <w:r w:rsidRPr="0040045E">
        <w:rPr>
          <w:rFonts w:ascii="Arial Narrow" w:hAnsi="Arial Narrow"/>
          <w:b/>
          <w:sz w:val="20"/>
          <w:szCs w:val="20"/>
        </w:rPr>
        <w:t xml:space="preserve">Table </w:t>
      </w:r>
      <w:r w:rsidR="00587ADB" w:rsidRPr="0040045E">
        <w:rPr>
          <w:rFonts w:ascii="Arial Narrow" w:hAnsi="Arial Narrow"/>
          <w:b/>
          <w:sz w:val="20"/>
          <w:szCs w:val="20"/>
        </w:rPr>
        <w:t>2</w:t>
      </w:r>
      <w:r w:rsidRPr="0040045E">
        <w:rPr>
          <w:rFonts w:ascii="Arial Narrow" w:hAnsi="Arial Narrow"/>
          <w:b/>
          <w:sz w:val="20"/>
          <w:szCs w:val="20"/>
        </w:rPr>
        <w:t>: Results of Study 70850702 – analysis of study endpoints at week 24</w:t>
      </w:r>
    </w:p>
    <w:tbl>
      <w:tblPr>
        <w:tblW w:w="8425" w:type="dxa"/>
        <w:jc w:val="right"/>
        <w:tblLook w:val="04A0" w:firstRow="1" w:lastRow="0" w:firstColumn="1" w:lastColumn="0" w:noHBand="0" w:noVBand="1"/>
        <w:tblCaption w:val="Results of study 70850702 at week 24"/>
      </w:tblPr>
      <w:tblGrid>
        <w:gridCol w:w="1201"/>
        <w:gridCol w:w="1010"/>
        <w:gridCol w:w="1083"/>
        <w:gridCol w:w="969"/>
        <w:gridCol w:w="1073"/>
        <w:gridCol w:w="1083"/>
        <w:gridCol w:w="933"/>
        <w:gridCol w:w="1073"/>
      </w:tblGrid>
      <w:tr w:rsidR="00981109" w:rsidRPr="0040045E" w:rsidTr="00BB10A6">
        <w:trPr>
          <w:trHeight w:val="315"/>
          <w:jc w:val="right"/>
        </w:trPr>
        <w:tc>
          <w:tcPr>
            <w:tcW w:w="12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Study arm</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xml:space="preserve">Sample </w:t>
            </w:r>
          </w:p>
        </w:tc>
        <w:tc>
          <w:tcPr>
            <w:tcW w:w="6214" w:type="dxa"/>
            <w:gridSpan w:val="6"/>
            <w:tcBorders>
              <w:top w:val="single" w:sz="8" w:space="0" w:color="auto"/>
              <w:left w:val="nil"/>
              <w:bottom w:val="single" w:sz="8" w:space="0" w:color="auto"/>
              <w:right w:val="single" w:sz="8" w:space="0" w:color="000000"/>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Primary endpoint - Week 24</w:t>
            </w:r>
          </w:p>
        </w:tc>
      </w:tr>
      <w:tr w:rsidR="00981109" w:rsidRPr="0040045E" w:rsidTr="00BB10A6">
        <w:trPr>
          <w:trHeight w:val="315"/>
          <w:jc w:val="right"/>
        </w:trPr>
        <w:tc>
          <w:tcPr>
            <w:tcW w:w="120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81109" w:rsidRPr="0040045E" w:rsidRDefault="00981109">
            <w:pPr>
              <w:rPr>
                <w:rFonts w:ascii="Arial Narrow" w:hAnsi="Arial Narrow"/>
                <w:color w:val="000000"/>
                <w:sz w:val="20"/>
                <w:szCs w:val="20"/>
              </w:rPr>
            </w:pPr>
          </w:p>
        </w:tc>
        <w:tc>
          <w:tcPr>
            <w:tcW w:w="101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81109" w:rsidRPr="0040045E" w:rsidRDefault="00981109">
            <w:pPr>
              <w:rPr>
                <w:rFonts w:ascii="Arial Narrow" w:hAnsi="Arial Narrow"/>
                <w:color w:val="000000"/>
                <w:sz w:val="20"/>
                <w:szCs w:val="20"/>
              </w:rPr>
            </w:pPr>
          </w:p>
        </w:tc>
        <w:tc>
          <w:tcPr>
            <w:tcW w:w="3125" w:type="dxa"/>
            <w:gridSpan w:val="3"/>
            <w:tcBorders>
              <w:top w:val="single" w:sz="8" w:space="0" w:color="auto"/>
              <w:left w:val="nil"/>
              <w:bottom w:val="single" w:sz="8" w:space="0" w:color="auto"/>
              <w:right w:val="single" w:sz="8" w:space="0" w:color="000000"/>
            </w:tcBorders>
            <w:shd w:val="clear" w:color="auto" w:fill="auto"/>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Superiority against placebo</w:t>
            </w:r>
          </w:p>
        </w:tc>
        <w:tc>
          <w:tcPr>
            <w:tcW w:w="308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Non-inferiority Test vs. Ref</w:t>
            </w:r>
          </w:p>
        </w:tc>
      </w:tr>
      <w:tr w:rsidR="00981109" w:rsidRPr="0040045E" w:rsidTr="00BB10A6">
        <w:trPr>
          <w:trHeight w:val="495"/>
          <w:jc w:val="right"/>
        </w:trPr>
        <w:tc>
          <w:tcPr>
            <w:tcW w:w="120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81109" w:rsidRPr="0040045E" w:rsidRDefault="00981109">
            <w:pPr>
              <w:rPr>
                <w:rFonts w:ascii="Arial Narrow" w:hAnsi="Arial Narrow"/>
                <w:color w:val="000000"/>
                <w:sz w:val="20"/>
                <w:szCs w:val="20"/>
              </w:rPr>
            </w:pPr>
          </w:p>
        </w:tc>
        <w:tc>
          <w:tcPr>
            <w:tcW w:w="1010" w:type="dxa"/>
            <w:vMerge w:val="restart"/>
            <w:tcBorders>
              <w:top w:val="nil"/>
              <w:left w:val="single" w:sz="8" w:space="0" w:color="auto"/>
              <w:bottom w:val="single" w:sz="8" w:space="0" w:color="000000"/>
              <w:right w:val="single" w:sz="8" w:space="0" w:color="auto"/>
            </w:tcBorders>
            <w:shd w:val="clear" w:color="auto" w:fill="auto"/>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xml:space="preserve">Recruited/ Completed </w:t>
            </w:r>
          </w:p>
        </w:tc>
        <w:tc>
          <w:tcPr>
            <w:tcW w:w="1083" w:type="dxa"/>
            <w:tcBorders>
              <w:top w:val="nil"/>
              <w:left w:val="nil"/>
              <w:bottom w:val="single" w:sz="8" w:space="0" w:color="auto"/>
              <w:right w:val="single" w:sz="8" w:space="0" w:color="auto"/>
            </w:tcBorders>
            <w:shd w:val="clear" w:color="auto" w:fill="auto"/>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Therapeutic cure</w:t>
            </w:r>
          </w:p>
        </w:tc>
        <w:tc>
          <w:tcPr>
            <w:tcW w:w="969" w:type="dxa"/>
            <w:tcBorders>
              <w:top w:val="nil"/>
              <w:left w:val="nil"/>
              <w:bottom w:val="single" w:sz="8" w:space="0" w:color="auto"/>
              <w:right w:val="single" w:sz="8" w:space="0" w:color="auto"/>
            </w:tcBorders>
            <w:shd w:val="clear" w:color="auto" w:fill="auto"/>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Clinical cure</w:t>
            </w:r>
          </w:p>
        </w:tc>
        <w:tc>
          <w:tcPr>
            <w:tcW w:w="1073" w:type="dxa"/>
            <w:tcBorders>
              <w:top w:val="nil"/>
              <w:left w:val="nil"/>
              <w:bottom w:val="single" w:sz="8" w:space="0" w:color="auto"/>
              <w:right w:val="single" w:sz="8" w:space="0" w:color="auto"/>
            </w:tcBorders>
            <w:shd w:val="clear" w:color="auto" w:fill="auto"/>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Mycological cure</w:t>
            </w:r>
          </w:p>
        </w:tc>
        <w:tc>
          <w:tcPr>
            <w:tcW w:w="1083" w:type="dxa"/>
            <w:tcBorders>
              <w:top w:val="nil"/>
              <w:left w:val="nil"/>
              <w:bottom w:val="single" w:sz="8" w:space="0" w:color="auto"/>
              <w:right w:val="single" w:sz="8" w:space="0" w:color="auto"/>
            </w:tcBorders>
            <w:shd w:val="clear" w:color="auto" w:fill="auto"/>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Therapeutic cure</w:t>
            </w:r>
          </w:p>
        </w:tc>
        <w:tc>
          <w:tcPr>
            <w:tcW w:w="933" w:type="dxa"/>
            <w:tcBorders>
              <w:top w:val="nil"/>
              <w:left w:val="nil"/>
              <w:bottom w:val="single" w:sz="8" w:space="0" w:color="auto"/>
              <w:right w:val="single" w:sz="8" w:space="0" w:color="auto"/>
            </w:tcBorders>
            <w:shd w:val="clear" w:color="auto" w:fill="auto"/>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Clinical cure</w:t>
            </w:r>
          </w:p>
        </w:tc>
        <w:tc>
          <w:tcPr>
            <w:tcW w:w="1073" w:type="dxa"/>
            <w:tcBorders>
              <w:top w:val="nil"/>
              <w:left w:val="nil"/>
              <w:bottom w:val="single" w:sz="8" w:space="0" w:color="auto"/>
              <w:right w:val="single" w:sz="8" w:space="0" w:color="auto"/>
            </w:tcBorders>
            <w:shd w:val="clear" w:color="auto" w:fill="auto"/>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Mycological cure</w:t>
            </w:r>
          </w:p>
        </w:tc>
      </w:tr>
      <w:tr w:rsidR="00981109" w:rsidRPr="0040045E" w:rsidTr="00BB10A6">
        <w:trPr>
          <w:trHeight w:val="495"/>
          <w:jc w:val="right"/>
        </w:trPr>
        <w:tc>
          <w:tcPr>
            <w:tcW w:w="120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81109" w:rsidRPr="0040045E" w:rsidRDefault="00981109">
            <w:pPr>
              <w:rPr>
                <w:rFonts w:ascii="Arial Narrow" w:hAnsi="Arial Narrow"/>
                <w:color w:val="000000"/>
                <w:sz w:val="20"/>
                <w:szCs w:val="20"/>
              </w:rPr>
            </w:pPr>
          </w:p>
        </w:tc>
        <w:tc>
          <w:tcPr>
            <w:tcW w:w="1010" w:type="dxa"/>
            <w:vMerge/>
            <w:tcBorders>
              <w:top w:val="nil"/>
              <w:left w:val="single" w:sz="8" w:space="0" w:color="auto"/>
              <w:bottom w:val="single" w:sz="8" w:space="0" w:color="000000"/>
              <w:right w:val="single" w:sz="8" w:space="0" w:color="auto"/>
            </w:tcBorders>
            <w:shd w:val="clear" w:color="auto" w:fill="auto"/>
            <w:vAlign w:val="center"/>
            <w:hideMark/>
          </w:tcPr>
          <w:p w:rsidR="00981109" w:rsidRPr="0040045E" w:rsidRDefault="00981109">
            <w:pPr>
              <w:rPr>
                <w:rFonts w:ascii="Arial Narrow" w:hAnsi="Arial Narrow"/>
                <w:color w:val="000000"/>
                <w:sz w:val="20"/>
                <w:szCs w:val="20"/>
              </w:rPr>
            </w:pPr>
          </w:p>
        </w:tc>
        <w:tc>
          <w:tcPr>
            <w:tcW w:w="1083" w:type="dxa"/>
            <w:tcBorders>
              <w:top w:val="nil"/>
              <w:left w:val="nil"/>
              <w:bottom w:val="single" w:sz="8" w:space="0" w:color="auto"/>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w:t>
            </w:r>
          </w:p>
        </w:tc>
        <w:tc>
          <w:tcPr>
            <w:tcW w:w="969" w:type="dxa"/>
            <w:tcBorders>
              <w:top w:val="nil"/>
              <w:left w:val="nil"/>
              <w:bottom w:val="single" w:sz="8" w:space="0" w:color="auto"/>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w:t>
            </w:r>
          </w:p>
        </w:tc>
        <w:tc>
          <w:tcPr>
            <w:tcW w:w="1073" w:type="dxa"/>
            <w:tcBorders>
              <w:top w:val="nil"/>
              <w:left w:val="nil"/>
              <w:bottom w:val="single" w:sz="8" w:space="0" w:color="auto"/>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w:t>
            </w:r>
          </w:p>
        </w:tc>
        <w:tc>
          <w:tcPr>
            <w:tcW w:w="1083" w:type="dxa"/>
            <w:tcBorders>
              <w:top w:val="nil"/>
              <w:left w:val="nil"/>
              <w:bottom w:val="single" w:sz="8" w:space="0" w:color="auto"/>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w:t>
            </w:r>
          </w:p>
        </w:tc>
        <w:tc>
          <w:tcPr>
            <w:tcW w:w="933" w:type="dxa"/>
            <w:tcBorders>
              <w:top w:val="nil"/>
              <w:left w:val="nil"/>
              <w:bottom w:val="single" w:sz="8" w:space="0" w:color="auto"/>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w:t>
            </w:r>
          </w:p>
        </w:tc>
        <w:tc>
          <w:tcPr>
            <w:tcW w:w="1073" w:type="dxa"/>
            <w:tcBorders>
              <w:top w:val="nil"/>
              <w:left w:val="nil"/>
              <w:bottom w:val="single" w:sz="8" w:space="0" w:color="auto"/>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(Difference</w:t>
            </w:r>
          </w:p>
        </w:tc>
      </w:tr>
      <w:tr w:rsidR="00981109" w:rsidRPr="0040045E" w:rsidTr="00BB10A6">
        <w:trPr>
          <w:trHeight w:val="495"/>
          <w:jc w:val="right"/>
        </w:trPr>
        <w:tc>
          <w:tcPr>
            <w:tcW w:w="1201" w:type="dxa"/>
            <w:tcBorders>
              <w:top w:val="nil"/>
              <w:left w:val="single" w:sz="8" w:space="0" w:color="auto"/>
              <w:bottom w:val="single" w:sz="8" w:space="0" w:color="auto"/>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1010" w:type="dxa"/>
            <w:tcBorders>
              <w:top w:val="nil"/>
              <w:left w:val="nil"/>
              <w:bottom w:val="single" w:sz="8" w:space="0" w:color="auto"/>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1083" w:type="dxa"/>
            <w:tcBorders>
              <w:top w:val="nil"/>
              <w:left w:val="nil"/>
              <w:bottom w:val="single" w:sz="8" w:space="0" w:color="auto"/>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p-value</w:t>
            </w:r>
          </w:p>
        </w:tc>
        <w:tc>
          <w:tcPr>
            <w:tcW w:w="969" w:type="dxa"/>
            <w:tcBorders>
              <w:top w:val="nil"/>
              <w:left w:val="nil"/>
              <w:bottom w:val="single" w:sz="8" w:space="0" w:color="auto"/>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p-value</w:t>
            </w:r>
          </w:p>
        </w:tc>
        <w:tc>
          <w:tcPr>
            <w:tcW w:w="1073" w:type="dxa"/>
            <w:tcBorders>
              <w:top w:val="nil"/>
              <w:left w:val="nil"/>
              <w:bottom w:val="single" w:sz="8" w:space="0" w:color="auto"/>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p-value</w:t>
            </w:r>
          </w:p>
        </w:tc>
        <w:tc>
          <w:tcPr>
            <w:tcW w:w="1083" w:type="dxa"/>
            <w:tcBorders>
              <w:top w:val="nil"/>
              <w:left w:val="nil"/>
              <w:bottom w:val="single" w:sz="8" w:space="0" w:color="auto"/>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p-value</w:t>
            </w:r>
          </w:p>
        </w:tc>
        <w:tc>
          <w:tcPr>
            <w:tcW w:w="933" w:type="dxa"/>
            <w:tcBorders>
              <w:top w:val="nil"/>
              <w:left w:val="nil"/>
              <w:bottom w:val="single" w:sz="8" w:space="0" w:color="auto"/>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p-value</w:t>
            </w:r>
          </w:p>
        </w:tc>
        <w:tc>
          <w:tcPr>
            <w:tcW w:w="1073" w:type="dxa"/>
            <w:tcBorders>
              <w:top w:val="nil"/>
              <w:left w:val="nil"/>
              <w:bottom w:val="single" w:sz="8" w:space="0" w:color="auto"/>
              <w:right w:val="single" w:sz="8" w:space="0" w:color="auto"/>
            </w:tcBorders>
            <w:shd w:val="clear" w:color="auto" w:fill="auto"/>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Lower 95% CI)</w:t>
            </w:r>
          </w:p>
        </w:tc>
      </w:tr>
      <w:tr w:rsidR="00981109" w:rsidRPr="0040045E" w:rsidTr="00BB10A6">
        <w:trPr>
          <w:trHeight w:val="300"/>
          <w:jc w:val="right"/>
        </w:trPr>
        <w:tc>
          <w:tcPr>
            <w:tcW w:w="12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xml:space="preserve">Test: 100 mg </w:t>
            </w:r>
            <w:proofErr w:type="spellStart"/>
            <w:r w:rsidRPr="0040045E">
              <w:rPr>
                <w:rFonts w:ascii="Arial Narrow" w:hAnsi="Arial Narrow"/>
                <w:color w:val="000000"/>
                <w:sz w:val="20"/>
                <w:szCs w:val="20"/>
              </w:rPr>
              <w:t>po</w:t>
            </w:r>
            <w:proofErr w:type="spellEnd"/>
            <w:r w:rsidRPr="0040045E">
              <w:rPr>
                <w:rFonts w:ascii="Arial Narrow" w:hAnsi="Arial Narrow"/>
                <w:color w:val="000000"/>
                <w:sz w:val="20"/>
                <w:szCs w:val="20"/>
              </w:rPr>
              <w:t xml:space="preserve"> </w:t>
            </w:r>
            <w:proofErr w:type="spellStart"/>
            <w:r w:rsidRPr="0040045E">
              <w:rPr>
                <w:rFonts w:ascii="Arial Narrow" w:hAnsi="Arial Narrow"/>
                <w:color w:val="000000"/>
                <w:sz w:val="20"/>
                <w:szCs w:val="20"/>
              </w:rPr>
              <w:t>qd</w:t>
            </w:r>
            <w:proofErr w:type="spellEnd"/>
          </w:p>
          <w:p w:rsidR="009E2D1B" w:rsidRPr="0040045E" w:rsidRDefault="009E2D1B">
            <w:pPr>
              <w:jc w:val="both"/>
              <w:rPr>
                <w:rFonts w:ascii="Arial Narrow" w:hAnsi="Arial Narrow"/>
                <w:i/>
                <w:color w:val="000000"/>
                <w:sz w:val="20"/>
                <w:szCs w:val="20"/>
              </w:rPr>
            </w:pPr>
            <w:r w:rsidRPr="0040045E">
              <w:rPr>
                <w:rFonts w:ascii="Arial Narrow" w:hAnsi="Arial Narrow"/>
                <w:i/>
                <w:color w:val="000000"/>
                <w:sz w:val="20"/>
                <w:szCs w:val="20"/>
              </w:rPr>
              <w:t>(</w:t>
            </w:r>
            <w:proofErr w:type="spellStart"/>
            <w:r w:rsidRPr="0040045E">
              <w:rPr>
                <w:rFonts w:ascii="Arial Narrow" w:hAnsi="Arial Narrow"/>
                <w:i/>
                <w:color w:val="000000"/>
                <w:sz w:val="20"/>
                <w:szCs w:val="20"/>
              </w:rPr>
              <w:t>Lozanoc</w:t>
            </w:r>
            <w:proofErr w:type="spellEnd"/>
            <w:r w:rsidRPr="0040045E">
              <w:rPr>
                <w:rFonts w:ascii="Arial Narrow" w:hAnsi="Arial Narrow"/>
                <w:i/>
                <w:color w:val="000000"/>
                <w:sz w:val="20"/>
                <w:szCs w:val="20"/>
              </w:rPr>
              <w:t>® 50 mg)</w:t>
            </w:r>
          </w:p>
        </w:tc>
        <w:tc>
          <w:tcPr>
            <w:tcW w:w="1010"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76/76</w:t>
            </w:r>
          </w:p>
        </w:tc>
        <w:tc>
          <w:tcPr>
            <w:tcW w:w="108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8</w:t>
            </w:r>
          </w:p>
        </w:tc>
        <w:tc>
          <w:tcPr>
            <w:tcW w:w="969"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12</w:t>
            </w:r>
          </w:p>
        </w:tc>
        <w:tc>
          <w:tcPr>
            <w:tcW w:w="107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25</w:t>
            </w:r>
          </w:p>
        </w:tc>
        <w:tc>
          <w:tcPr>
            <w:tcW w:w="108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93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107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r>
      <w:tr w:rsidR="00981109" w:rsidRPr="0040045E" w:rsidTr="00BB10A6">
        <w:trPr>
          <w:trHeight w:val="300"/>
          <w:jc w:val="right"/>
        </w:trPr>
        <w:tc>
          <w:tcPr>
            <w:tcW w:w="1201" w:type="dxa"/>
            <w:vMerge/>
            <w:tcBorders>
              <w:top w:val="nil"/>
              <w:left w:val="single" w:sz="8" w:space="0" w:color="auto"/>
              <w:bottom w:val="single" w:sz="8" w:space="0" w:color="000000"/>
              <w:right w:val="single" w:sz="8" w:space="0" w:color="auto"/>
            </w:tcBorders>
            <w:vAlign w:val="center"/>
            <w:hideMark/>
          </w:tcPr>
          <w:p w:rsidR="00981109" w:rsidRPr="0040045E" w:rsidRDefault="00981109">
            <w:pPr>
              <w:rPr>
                <w:rFonts w:ascii="Arial Narrow" w:hAnsi="Arial Narrow"/>
                <w:color w:val="000000"/>
                <w:sz w:val="20"/>
                <w:szCs w:val="20"/>
              </w:rPr>
            </w:pPr>
          </w:p>
        </w:tc>
        <w:tc>
          <w:tcPr>
            <w:tcW w:w="1010"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108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-10.53</w:t>
            </w:r>
          </w:p>
        </w:tc>
        <w:tc>
          <w:tcPr>
            <w:tcW w:w="969"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-15.79</w:t>
            </w:r>
          </w:p>
        </w:tc>
        <w:tc>
          <w:tcPr>
            <w:tcW w:w="107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-32.89</w:t>
            </w:r>
          </w:p>
        </w:tc>
        <w:tc>
          <w:tcPr>
            <w:tcW w:w="108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93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107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r>
      <w:tr w:rsidR="00981109" w:rsidRPr="0040045E" w:rsidTr="00BB10A6">
        <w:trPr>
          <w:trHeight w:val="315"/>
          <w:jc w:val="right"/>
        </w:trPr>
        <w:tc>
          <w:tcPr>
            <w:tcW w:w="1201" w:type="dxa"/>
            <w:vMerge/>
            <w:tcBorders>
              <w:top w:val="nil"/>
              <w:left w:val="single" w:sz="8" w:space="0" w:color="auto"/>
              <w:bottom w:val="single" w:sz="8" w:space="0" w:color="000000"/>
              <w:right w:val="single" w:sz="8" w:space="0" w:color="auto"/>
            </w:tcBorders>
            <w:vAlign w:val="center"/>
            <w:hideMark/>
          </w:tcPr>
          <w:p w:rsidR="00981109" w:rsidRPr="0040045E" w:rsidRDefault="00981109">
            <w:pPr>
              <w:rPr>
                <w:rFonts w:ascii="Arial Narrow" w:hAnsi="Arial Narrow"/>
                <w:color w:val="000000"/>
                <w:sz w:val="20"/>
                <w:szCs w:val="20"/>
              </w:rPr>
            </w:pPr>
          </w:p>
        </w:tc>
        <w:tc>
          <w:tcPr>
            <w:tcW w:w="1010"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108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p=0.0135*</w:t>
            </w:r>
          </w:p>
        </w:tc>
        <w:tc>
          <w:tcPr>
            <w:tcW w:w="969"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p=0.0009*</w:t>
            </w:r>
          </w:p>
        </w:tc>
        <w:tc>
          <w:tcPr>
            <w:tcW w:w="107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p=0.0001*</w:t>
            </w:r>
          </w:p>
        </w:tc>
        <w:tc>
          <w:tcPr>
            <w:tcW w:w="108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6.47</w:t>
            </w:r>
          </w:p>
        </w:tc>
        <w:tc>
          <w:tcPr>
            <w:tcW w:w="93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10.38</w:t>
            </w:r>
          </w:p>
        </w:tc>
        <w:tc>
          <w:tcPr>
            <w:tcW w:w="107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3.17</w:t>
            </w:r>
          </w:p>
        </w:tc>
      </w:tr>
      <w:tr w:rsidR="00981109" w:rsidRPr="0040045E" w:rsidTr="00BB10A6">
        <w:trPr>
          <w:trHeight w:val="300"/>
          <w:jc w:val="right"/>
        </w:trPr>
        <w:tc>
          <w:tcPr>
            <w:tcW w:w="12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xml:space="preserve">Ref: 200 mg </w:t>
            </w:r>
            <w:proofErr w:type="spellStart"/>
            <w:r w:rsidRPr="0040045E">
              <w:rPr>
                <w:rFonts w:ascii="Arial Narrow" w:hAnsi="Arial Narrow"/>
                <w:color w:val="000000"/>
                <w:sz w:val="20"/>
                <w:szCs w:val="20"/>
              </w:rPr>
              <w:t>po</w:t>
            </w:r>
            <w:proofErr w:type="spellEnd"/>
            <w:r w:rsidRPr="0040045E">
              <w:rPr>
                <w:rFonts w:ascii="Arial Narrow" w:hAnsi="Arial Narrow"/>
                <w:color w:val="000000"/>
                <w:sz w:val="20"/>
                <w:szCs w:val="20"/>
              </w:rPr>
              <w:t xml:space="preserve"> </w:t>
            </w:r>
            <w:proofErr w:type="spellStart"/>
            <w:r w:rsidRPr="0040045E">
              <w:rPr>
                <w:rFonts w:ascii="Arial Narrow" w:hAnsi="Arial Narrow"/>
                <w:color w:val="000000"/>
                <w:sz w:val="20"/>
                <w:szCs w:val="20"/>
              </w:rPr>
              <w:t>qd</w:t>
            </w:r>
            <w:proofErr w:type="spellEnd"/>
            <w:r w:rsidR="009E2D1B" w:rsidRPr="0040045E">
              <w:rPr>
                <w:rFonts w:ascii="Arial Narrow" w:hAnsi="Arial Narrow"/>
                <w:color w:val="000000"/>
                <w:sz w:val="20"/>
                <w:szCs w:val="20"/>
              </w:rPr>
              <w:t xml:space="preserve"> </w:t>
            </w:r>
            <w:r w:rsidR="00A72D47" w:rsidRPr="0040045E">
              <w:rPr>
                <w:rFonts w:ascii="Arial Narrow" w:hAnsi="Arial Narrow"/>
                <w:i/>
                <w:color w:val="000000"/>
                <w:sz w:val="20"/>
                <w:szCs w:val="20"/>
              </w:rPr>
              <w:t>(</w:t>
            </w:r>
            <w:proofErr w:type="spellStart"/>
            <w:r w:rsidR="009E2D1B" w:rsidRPr="0040045E">
              <w:rPr>
                <w:rFonts w:ascii="Arial Narrow" w:hAnsi="Arial Narrow"/>
                <w:i/>
                <w:color w:val="000000"/>
                <w:sz w:val="20"/>
                <w:szCs w:val="20"/>
              </w:rPr>
              <w:t>Sporanox</w:t>
            </w:r>
            <w:proofErr w:type="spellEnd"/>
            <w:r w:rsidR="009E2D1B" w:rsidRPr="0040045E">
              <w:rPr>
                <w:rFonts w:ascii="Arial Narrow" w:hAnsi="Arial Narrow"/>
                <w:i/>
                <w:color w:val="000000"/>
                <w:sz w:val="20"/>
                <w:szCs w:val="20"/>
              </w:rPr>
              <w:t>®)</w:t>
            </w:r>
          </w:p>
        </w:tc>
        <w:tc>
          <w:tcPr>
            <w:tcW w:w="1010"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75/74</w:t>
            </w:r>
          </w:p>
        </w:tc>
        <w:tc>
          <w:tcPr>
            <w:tcW w:w="108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3</w:t>
            </w:r>
          </w:p>
        </w:tc>
        <w:tc>
          <w:tcPr>
            <w:tcW w:w="969"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4</w:t>
            </w:r>
          </w:p>
        </w:tc>
        <w:tc>
          <w:tcPr>
            <w:tcW w:w="107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22</w:t>
            </w:r>
          </w:p>
        </w:tc>
        <w:tc>
          <w:tcPr>
            <w:tcW w:w="108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-1.77</w:t>
            </w:r>
          </w:p>
        </w:tc>
        <w:tc>
          <w:tcPr>
            <w:tcW w:w="93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0.92</w:t>
            </w:r>
          </w:p>
        </w:tc>
        <w:tc>
          <w:tcPr>
            <w:tcW w:w="107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-10.62</w:t>
            </w:r>
          </w:p>
        </w:tc>
      </w:tr>
      <w:tr w:rsidR="00981109" w:rsidRPr="0040045E" w:rsidTr="00BB10A6">
        <w:trPr>
          <w:trHeight w:val="300"/>
          <w:jc w:val="right"/>
        </w:trPr>
        <w:tc>
          <w:tcPr>
            <w:tcW w:w="1201" w:type="dxa"/>
            <w:vMerge/>
            <w:tcBorders>
              <w:top w:val="nil"/>
              <w:left w:val="single" w:sz="8" w:space="0" w:color="auto"/>
              <w:bottom w:val="single" w:sz="8" w:space="0" w:color="000000"/>
              <w:right w:val="single" w:sz="8" w:space="0" w:color="auto"/>
            </w:tcBorders>
            <w:vAlign w:val="center"/>
            <w:hideMark/>
          </w:tcPr>
          <w:p w:rsidR="00981109" w:rsidRPr="0040045E" w:rsidRDefault="00981109">
            <w:pPr>
              <w:rPr>
                <w:rFonts w:ascii="Arial Narrow" w:hAnsi="Arial Narrow"/>
                <w:color w:val="000000"/>
                <w:sz w:val="20"/>
                <w:szCs w:val="20"/>
              </w:rPr>
            </w:pPr>
          </w:p>
        </w:tc>
        <w:tc>
          <w:tcPr>
            <w:tcW w:w="1010"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108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-4.05</w:t>
            </w:r>
          </w:p>
        </w:tc>
        <w:tc>
          <w:tcPr>
            <w:tcW w:w="969"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-5.41</w:t>
            </w:r>
          </w:p>
        </w:tc>
        <w:tc>
          <w:tcPr>
            <w:tcW w:w="107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-29.73</w:t>
            </w:r>
          </w:p>
        </w:tc>
        <w:tc>
          <w:tcPr>
            <w:tcW w:w="108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93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107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r>
      <w:tr w:rsidR="00981109" w:rsidRPr="0040045E" w:rsidTr="00BB10A6">
        <w:trPr>
          <w:trHeight w:val="315"/>
          <w:jc w:val="right"/>
        </w:trPr>
        <w:tc>
          <w:tcPr>
            <w:tcW w:w="1201" w:type="dxa"/>
            <w:vMerge/>
            <w:tcBorders>
              <w:top w:val="nil"/>
              <w:left w:val="single" w:sz="8" w:space="0" w:color="auto"/>
              <w:bottom w:val="single" w:sz="8" w:space="0" w:color="000000"/>
              <w:right w:val="single" w:sz="8" w:space="0" w:color="auto"/>
            </w:tcBorders>
            <w:vAlign w:val="center"/>
            <w:hideMark/>
          </w:tcPr>
          <w:p w:rsidR="00981109" w:rsidRPr="0040045E" w:rsidRDefault="00981109">
            <w:pPr>
              <w:rPr>
                <w:rFonts w:ascii="Arial Narrow" w:hAnsi="Arial Narrow"/>
                <w:color w:val="000000"/>
                <w:sz w:val="20"/>
                <w:szCs w:val="20"/>
              </w:rPr>
            </w:pPr>
          </w:p>
        </w:tc>
        <w:tc>
          <w:tcPr>
            <w:tcW w:w="1010"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108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p=0.2861</w:t>
            </w:r>
          </w:p>
        </w:tc>
        <w:tc>
          <w:tcPr>
            <w:tcW w:w="969"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p=0.1570</w:t>
            </w:r>
          </w:p>
        </w:tc>
        <w:tc>
          <w:tcPr>
            <w:tcW w:w="107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p=0.0003*</w:t>
            </w:r>
          </w:p>
        </w:tc>
        <w:tc>
          <w:tcPr>
            <w:tcW w:w="108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93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107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r>
      <w:tr w:rsidR="00981109" w:rsidRPr="0040045E" w:rsidTr="00BB10A6">
        <w:trPr>
          <w:trHeight w:val="300"/>
          <w:jc w:val="right"/>
        </w:trPr>
        <w:tc>
          <w:tcPr>
            <w:tcW w:w="12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placebo</w:t>
            </w:r>
          </w:p>
        </w:tc>
        <w:tc>
          <w:tcPr>
            <w:tcW w:w="1010"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24/24</w:t>
            </w:r>
          </w:p>
        </w:tc>
        <w:tc>
          <w:tcPr>
            <w:tcW w:w="108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0</w:t>
            </w:r>
          </w:p>
        </w:tc>
        <w:tc>
          <w:tcPr>
            <w:tcW w:w="969"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0</w:t>
            </w:r>
          </w:p>
        </w:tc>
        <w:tc>
          <w:tcPr>
            <w:tcW w:w="107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1</w:t>
            </w:r>
          </w:p>
        </w:tc>
        <w:tc>
          <w:tcPr>
            <w:tcW w:w="108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93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1073" w:type="dxa"/>
            <w:tcBorders>
              <w:top w:val="nil"/>
              <w:left w:val="nil"/>
              <w:bottom w:val="nil"/>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r>
      <w:tr w:rsidR="00981109" w:rsidRPr="0040045E" w:rsidTr="00BB10A6">
        <w:trPr>
          <w:trHeight w:val="315"/>
          <w:jc w:val="right"/>
        </w:trPr>
        <w:tc>
          <w:tcPr>
            <w:tcW w:w="1201" w:type="dxa"/>
            <w:vMerge/>
            <w:tcBorders>
              <w:top w:val="nil"/>
              <w:left w:val="single" w:sz="8" w:space="0" w:color="auto"/>
              <w:bottom w:val="single" w:sz="8" w:space="0" w:color="000000"/>
              <w:right w:val="single" w:sz="8" w:space="0" w:color="auto"/>
            </w:tcBorders>
            <w:vAlign w:val="center"/>
            <w:hideMark/>
          </w:tcPr>
          <w:p w:rsidR="00981109" w:rsidRPr="0040045E" w:rsidRDefault="00981109">
            <w:pPr>
              <w:rPr>
                <w:rFonts w:ascii="Arial Narrow" w:hAnsi="Arial Narrow"/>
                <w:color w:val="000000"/>
                <w:sz w:val="20"/>
                <w:szCs w:val="20"/>
              </w:rPr>
            </w:pPr>
          </w:p>
        </w:tc>
        <w:tc>
          <w:tcPr>
            <w:tcW w:w="1010"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108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0</w:t>
            </w:r>
          </w:p>
        </w:tc>
        <w:tc>
          <w:tcPr>
            <w:tcW w:w="969"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0</w:t>
            </w:r>
          </w:p>
        </w:tc>
        <w:tc>
          <w:tcPr>
            <w:tcW w:w="107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-4.17</w:t>
            </w:r>
          </w:p>
        </w:tc>
        <w:tc>
          <w:tcPr>
            <w:tcW w:w="108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93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c>
          <w:tcPr>
            <w:tcW w:w="1073" w:type="dxa"/>
            <w:tcBorders>
              <w:top w:val="nil"/>
              <w:left w:val="nil"/>
              <w:bottom w:val="single" w:sz="8" w:space="0" w:color="auto"/>
              <w:right w:val="single" w:sz="8" w:space="0" w:color="auto"/>
            </w:tcBorders>
            <w:shd w:val="clear" w:color="000000" w:fill="FFFFFF"/>
            <w:noWrap/>
            <w:vAlign w:val="center"/>
            <w:hideMark/>
          </w:tcPr>
          <w:p w:rsidR="00981109" w:rsidRPr="0040045E" w:rsidRDefault="00981109">
            <w:pPr>
              <w:jc w:val="both"/>
              <w:rPr>
                <w:rFonts w:ascii="Arial Narrow" w:hAnsi="Arial Narrow"/>
                <w:color w:val="000000"/>
                <w:sz w:val="20"/>
                <w:szCs w:val="20"/>
              </w:rPr>
            </w:pPr>
            <w:r w:rsidRPr="0040045E">
              <w:rPr>
                <w:rFonts w:ascii="Arial Narrow" w:hAnsi="Arial Narrow"/>
                <w:color w:val="000000"/>
                <w:sz w:val="20"/>
                <w:szCs w:val="20"/>
              </w:rPr>
              <w:t> </w:t>
            </w:r>
          </w:p>
        </w:tc>
      </w:tr>
    </w:tbl>
    <w:p w:rsidR="00981109" w:rsidRPr="0040045E" w:rsidRDefault="009E2D1B" w:rsidP="00B44C49">
      <w:pPr>
        <w:pStyle w:val="ListParagraph"/>
        <w:ind w:left="709"/>
        <w:jc w:val="both"/>
        <w:rPr>
          <w:rFonts w:ascii="Arial Narrow" w:hAnsi="Arial Narrow"/>
          <w:sz w:val="18"/>
          <w:szCs w:val="22"/>
        </w:rPr>
      </w:pPr>
      <w:r w:rsidRPr="0040045E">
        <w:rPr>
          <w:rFonts w:ascii="Arial Narrow" w:hAnsi="Arial Narrow"/>
          <w:sz w:val="18"/>
          <w:szCs w:val="22"/>
        </w:rPr>
        <w:t>Source: Table 6 (p19) of the re-submission</w:t>
      </w:r>
    </w:p>
    <w:p w:rsidR="009E2D1B" w:rsidRPr="0040045E" w:rsidRDefault="009E2D1B" w:rsidP="00B44C49">
      <w:pPr>
        <w:pStyle w:val="ListParagraph"/>
        <w:ind w:left="709"/>
        <w:jc w:val="both"/>
        <w:rPr>
          <w:rFonts w:ascii="Arial Narrow" w:hAnsi="Arial Narrow"/>
          <w:sz w:val="18"/>
          <w:szCs w:val="22"/>
        </w:rPr>
      </w:pPr>
    </w:p>
    <w:p w:rsidR="00696006" w:rsidRPr="0040045E" w:rsidRDefault="00696006" w:rsidP="00696006">
      <w:pPr>
        <w:numPr>
          <w:ilvl w:val="1"/>
          <w:numId w:val="25"/>
        </w:numPr>
        <w:jc w:val="both"/>
        <w:rPr>
          <w:rFonts w:ascii="Arial" w:hAnsi="Arial"/>
          <w:sz w:val="22"/>
          <w:szCs w:val="22"/>
        </w:rPr>
      </w:pPr>
      <w:r w:rsidRPr="0040045E">
        <w:rPr>
          <w:rFonts w:ascii="Arial" w:hAnsi="Arial"/>
          <w:sz w:val="22"/>
          <w:szCs w:val="22"/>
        </w:rPr>
        <w:t>As this was a minor submission, the results have not been independently evaluated.</w:t>
      </w:r>
    </w:p>
    <w:p w:rsidR="00DF26A7" w:rsidRPr="0040045E" w:rsidRDefault="00DF26A7" w:rsidP="00882085">
      <w:pPr>
        <w:jc w:val="both"/>
        <w:rPr>
          <w:rFonts w:ascii="Arial" w:hAnsi="Arial"/>
          <w:sz w:val="22"/>
          <w:szCs w:val="22"/>
        </w:rPr>
      </w:pPr>
    </w:p>
    <w:p w:rsidR="001B00D7" w:rsidRPr="0040045E" w:rsidRDefault="001B00D7" w:rsidP="001B00D7">
      <w:pPr>
        <w:ind w:firstLine="709"/>
        <w:jc w:val="both"/>
        <w:rPr>
          <w:rFonts w:ascii="Arial" w:hAnsi="Arial"/>
          <w:i/>
          <w:sz w:val="22"/>
          <w:szCs w:val="22"/>
        </w:rPr>
      </w:pPr>
      <w:r w:rsidRPr="0040045E">
        <w:rPr>
          <w:rFonts w:ascii="Arial" w:hAnsi="Arial"/>
          <w:i/>
          <w:sz w:val="22"/>
          <w:szCs w:val="22"/>
        </w:rPr>
        <w:t>For more details on PBAC’s view, see section 7 “PBAC outcome”.</w:t>
      </w:r>
    </w:p>
    <w:p w:rsidR="001B00D7" w:rsidRPr="0040045E" w:rsidRDefault="001B00D7" w:rsidP="001B00D7">
      <w:pPr>
        <w:ind w:firstLine="709"/>
        <w:jc w:val="both"/>
        <w:rPr>
          <w:rFonts w:ascii="Arial" w:hAnsi="Arial"/>
          <w:sz w:val="22"/>
          <w:szCs w:val="22"/>
        </w:rPr>
      </w:pPr>
    </w:p>
    <w:p w:rsidR="005A3173" w:rsidRPr="0040045E" w:rsidRDefault="005A3173" w:rsidP="00F555AB">
      <w:pPr>
        <w:pStyle w:val="Heading2"/>
      </w:pPr>
      <w:r w:rsidRPr="0040045E">
        <w:t>Comparative harms</w:t>
      </w:r>
    </w:p>
    <w:p w:rsidR="005A3173" w:rsidRPr="0040045E" w:rsidRDefault="005A3173" w:rsidP="00882085">
      <w:pPr>
        <w:ind w:left="720" w:hanging="720"/>
        <w:jc w:val="both"/>
        <w:rPr>
          <w:rFonts w:ascii="Arial" w:hAnsi="Arial"/>
          <w:sz w:val="22"/>
          <w:szCs w:val="22"/>
        </w:rPr>
      </w:pPr>
    </w:p>
    <w:p w:rsidR="009B0F67" w:rsidRPr="0040045E" w:rsidRDefault="002E7CD1" w:rsidP="002E7CD1">
      <w:pPr>
        <w:pStyle w:val="ListParagraph"/>
        <w:numPr>
          <w:ilvl w:val="1"/>
          <w:numId w:val="25"/>
        </w:numPr>
        <w:jc w:val="both"/>
        <w:rPr>
          <w:rFonts w:ascii="Arial" w:hAnsi="Arial"/>
          <w:sz w:val="22"/>
          <w:szCs w:val="22"/>
        </w:rPr>
      </w:pPr>
      <w:r w:rsidRPr="0040045E">
        <w:rPr>
          <w:rFonts w:ascii="Arial" w:hAnsi="Arial"/>
          <w:sz w:val="22"/>
          <w:szCs w:val="22"/>
        </w:rPr>
        <w:t xml:space="preserve">The key adverse events (AEs) from the Study 70850702 are summarised below. </w:t>
      </w:r>
    </w:p>
    <w:p w:rsidR="00040CAC" w:rsidRPr="0040045E" w:rsidRDefault="00040CAC" w:rsidP="002E7CD1">
      <w:pPr>
        <w:pStyle w:val="ListParagraph"/>
        <w:jc w:val="both"/>
        <w:rPr>
          <w:rFonts w:ascii="Arial" w:hAnsi="Arial"/>
          <w:sz w:val="22"/>
          <w:szCs w:val="22"/>
        </w:rPr>
      </w:pPr>
    </w:p>
    <w:p w:rsidR="00040CAC" w:rsidRPr="0040045E" w:rsidRDefault="00587ADB" w:rsidP="00146AA5">
      <w:pPr>
        <w:pStyle w:val="ListParagraph"/>
        <w:ind w:left="284" w:firstLine="425"/>
        <w:jc w:val="both"/>
        <w:rPr>
          <w:rFonts w:ascii="Arial Narrow" w:hAnsi="Arial Narrow"/>
          <w:b/>
          <w:sz w:val="20"/>
          <w:szCs w:val="20"/>
        </w:rPr>
      </w:pPr>
      <w:r w:rsidRPr="0040045E">
        <w:rPr>
          <w:rFonts w:ascii="Arial Narrow" w:hAnsi="Arial Narrow"/>
          <w:b/>
          <w:sz w:val="20"/>
          <w:szCs w:val="20"/>
        </w:rPr>
        <w:t>Table 3</w:t>
      </w:r>
      <w:r w:rsidR="00E840D8" w:rsidRPr="0040045E">
        <w:rPr>
          <w:rFonts w:ascii="Arial Narrow" w:hAnsi="Arial Narrow"/>
          <w:b/>
          <w:sz w:val="20"/>
          <w:szCs w:val="20"/>
        </w:rPr>
        <w:t xml:space="preserve">: </w:t>
      </w:r>
      <w:r w:rsidR="00040CAC" w:rsidRPr="0040045E">
        <w:rPr>
          <w:rFonts w:ascii="Arial Narrow" w:hAnsi="Arial Narrow"/>
          <w:b/>
          <w:sz w:val="20"/>
          <w:szCs w:val="20"/>
        </w:rPr>
        <w:t>Summary of adverse event reported during Study 70850702</w:t>
      </w:r>
    </w:p>
    <w:tbl>
      <w:tblPr>
        <w:tblStyle w:val="TableGrid"/>
        <w:tblW w:w="0" w:type="auto"/>
        <w:tblInd w:w="817" w:type="dxa"/>
        <w:tblLook w:val="04A0" w:firstRow="1" w:lastRow="0" w:firstColumn="1" w:lastColumn="0" w:noHBand="0" w:noVBand="1"/>
        <w:tblCaption w:val="Summary of adverse events from study 70850702"/>
      </w:tblPr>
      <w:tblGrid>
        <w:gridCol w:w="2228"/>
        <w:gridCol w:w="1417"/>
        <w:gridCol w:w="1418"/>
        <w:gridCol w:w="1417"/>
        <w:gridCol w:w="1751"/>
      </w:tblGrid>
      <w:tr w:rsidR="00040CAC" w:rsidRPr="0040045E" w:rsidTr="00F555AB">
        <w:trPr>
          <w:tblHeader/>
        </w:trPr>
        <w:tc>
          <w:tcPr>
            <w:tcW w:w="2228" w:type="dxa"/>
            <w:vMerge w:val="restart"/>
          </w:tcPr>
          <w:p w:rsidR="00040CAC" w:rsidRPr="0040045E" w:rsidRDefault="00040CAC" w:rsidP="002E7CD1">
            <w:pPr>
              <w:pStyle w:val="ListParagraph"/>
              <w:ind w:left="0"/>
              <w:jc w:val="both"/>
              <w:rPr>
                <w:rFonts w:ascii="Arial Narrow" w:hAnsi="Arial Narrow"/>
                <w:sz w:val="20"/>
                <w:szCs w:val="20"/>
              </w:rPr>
            </w:pPr>
          </w:p>
        </w:tc>
        <w:tc>
          <w:tcPr>
            <w:tcW w:w="1417" w:type="dxa"/>
          </w:tcPr>
          <w:p w:rsidR="00040CAC" w:rsidRPr="0040045E" w:rsidRDefault="00040CAC" w:rsidP="002E7CD1">
            <w:pPr>
              <w:pStyle w:val="ListParagraph"/>
              <w:ind w:left="0"/>
              <w:jc w:val="both"/>
              <w:rPr>
                <w:rFonts w:ascii="Arial Narrow" w:hAnsi="Arial Narrow"/>
                <w:sz w:val="20"/>
                <w:szCs w:val="20"/>
              </w:rPr>
            </w:pPr>
            <w:proofErr w:type="spellStart"/>
            <w:r w:rsidRPr="0040045E">
              <w:rPr>
                <w:rFonts w:ascii="Arial Narrow" w:hAnsi="Arial Narrow"/>
                <w:sz w:val="20"/>
                <w:szCs w:val="20"/>
              </w:rPr>
              <w:t>Lozanoc</w:t>
            </w:r>
            <w:proofErr w:type="spellEnd"/>
            <w:r w:rsidRPr="0040045E">
              <w:rPr>
                <w:rFonts w:ascii="Arial Narrow" w:hAnsi="Arial Narrow"/>
                <w:sz w:val="20"/>
                <w:szCs w:val="20"/>
              </w:rPr>
              <w:t>®</w:t>
            </w:r>
          </w:p>
        </w:tc>
        <w:tc>
          <w:tcPr>
            <w:tcW w:w="1418" w:type="dxa"/>
          </w:tcPr>
          <w:p w:rsidR="00040CAC" w:rsidRPr="0040045E" w:rsidRDefault="00040CAC" w:rsidP="002E7CD1">
            <w:pPr>
              <w:pStyle w:val="ListParagraph"/>
              <w:ind w:left="0"/>
              <w:jc w:val="both"/>
              <w:rPr>
                <w:rFonts w:ascii="Arial Narrow" w:hAnsi="Arial Narrow"/>
                <w:sz w:val="20"/>
                <w:szCs w:val="20"/>
              </w:rPr>
            </w:pPr>
            <w:proofErr w:type="spellStart"/>
            <w:r w:rsidRPr="0040045E">
              <w:rPr>
                <w:rFonts w:ascii="Arial Narrow" w:hAnsi="Arial Narrow"/>
                <w:sz w:val="20"/>
                <w:szCs w:val="20"/>
              </w:rPr>
              <w:t>Sporanox</w:t>
            </w:r>
            <w:proofErr w:type="spellEnd"/>
            <w:r w:rsidRPr="0040045E">
              <w:rPr>
                <w:rFonts w:ascii="Arial Narrow" w:hAnsi="Arial Narrow"/>
                <w:sz w:val="20"/>
                <w:szCs w:val="20"/>
              </w:rPr>
              <w:t>®</w:t>
            </w:r>
          </w:p>
        </w:tc>
        <w:tc>
          <w:tcPr>
            <w:tcW w:w="1417" w:type="dxa"/>
            <w:vAlign w:val="center"/>
          </w:tcPr>
          <w:p w:rsidR="00040CAC" w:rsidRPr="0040045E" w:rsidRDefault="00040CAC" w:rsidP="00981109">
            <w:pPr>
              <w:jc w:val="both"/>
              <w:rPr>
                <w:rFonts w:ascii="Arial Narrow" w:eastAsia="MS Mincho" w:hAnsi="Arial Narrow"/>
                <w:color w:val="000000"/>
                <w:sz w:val="20"/>
                <w:szCs w:val="20"/>
                <w:lang w:eastAsia="en-US" w:bidi="th-TH"/>
              </w:rPr>
            </w:pPr>
            <w:r w:rsidRPr="0040045E">
              <w:rPr>
                <w:rFonts w:ascii="Arial Narrow" w:eastAsia="MS Mincho" w:hAnsi="Arial Narrow" w:cs="Angsana New"/>
                <w:color w:val="000000"/>
                <w:sz w:val="20"/>
                <w:szCs w:val="20"/>
                <w:lang w:eastAsia="en-US" w:bidi="th-TH"/>
              </w:rPr>
              <w:t>Placebo</w:t>
            </w:r>
          </w:p>
        </w:tc>
        <w:tc>
          <w:tcPr>
            <w:tcW w:w="1751" w:type="dxa"/>
            <w:vAlign w:val="center"/>
          </w:tcPr>
          <w:p w:rsidR="00040CAC" w:rsidRPr="0040045E" w:rsidRDefault="00040CAC" w:rsidP="00981109">
            <w:pPr>
              <w:jc w:val="both"/>
              <w:rPr>
                <w:rFonts w:ascii="Arial Narrow" w:eastAsia="MS Mincho" w:hAnsi="Arial Narrow"/>
                <w:color w:val="000000"/>
                <w:sz w:val="20"/>
                <w:szCs w:val="20"/>
                <w:lang w:eastAsia="en-US" w:bidi="th-TH"/>
              </w:rPr>
            </w:pPr>
            <w:r w:rsidRPr="0040045E">
              <w:rPr>
                <w:rFonts w:ascii="Arial Narrow" w:eastAsia="MS Mincho" w:hAnsi="Arial Narrow" w:cs="Angsana New"/>
                <w:color w:val="000000"/>
                <w:sz w:val="20"/>
                <w:szCs w:val="20"/>
                <w:lang w:eastAsia="en-US" w:bidi="th-TH"/>
              </w:rPr>
              <w:t>Total</w:t>
            </w:r>
          </w:p>
        </w:tc>
      </w:tr>
      <w:tr w:rsidR="00040CAC" w:rsidRPr="0040045E" w:rsidTr="00F555AB">
        <w:trPr>
          <w:tblHeader/>
        </w:trPr>
        <w:tc>
          <w:tcPr>
            <w:tcW w:w="2228" w:type="dxa"/>
            <w:vMerge/>
          </w:tcPr>
          <w:p w:rsidR="00040CAC" w:rsidRPr="0040045E" w:rsidRDefault="00040CAC" w:rsidP="002E7CD1">
            <w:pPr>
              <w:pStyle w:val="ListParagraph"/>
              <w:ind w:left="0"/>
              <w:jc w:val="both"/>
              <w:rPr>
                <w:rFonts w:ascii="Arial Narrow" w:hAnsi="Arial Narrow"/>
                <w:sz w:val="20"/>
                <w:szCs w:val="20"/>
              </w:rPr>
            </w:pPr>
          </w:p>
        </w:tc>
        <w:tc>
          <w:tcPr>
            <w:tcW w:w="1417" w:type="dxa"/>
            <w:vAlign w:val="center"/>
          </w:tcPr>
          <w:p w:rsidR="00040CAC" w:rsidRPr="0040045E" w:rsidRDefault="00040CAC" w:rsidP="00040CAC">
            <w:pPr>
              <w:rPr>
                <w:rFonts w:ascii="Arial Narrow" w:eastAsia="MS Mincho" w:hAnsi="Arial Narrow"/>
                <w:color w:val="000000"/>
                <w:sz w:val="20"/>
                <w:szCs w:val="20"/>
                <w:lang w:eastAsia="en-US" w:bidi="th-TH"/>
              </w:rPr>
            </w:pPr>
            <w:r w:rsidRPr="0040045E">
              <w:rPr>
                <w:rFonts w:ascii="Arial Narrow" w:eastAsia="MS Mincho" w:hAnsi="Arial Narrow" w:cs="Angsana New"/>
                <w:color w:val="000000"/>
                <w:sz w:val="20"/>
                <w:szCs w:val="20"/>
                <w:lang w:eastAsia="en-US" w:bidi="th-TH"/>
              </w:rPr>
              <w:t>N=76</w:t>
            </w:r>
          </w:p>
        </w:tc>
        <w:tc>
          <w:tcPr>
            <w:tcW w:w="1418" w:type="dxa"/>
            <w:vAlign w:val="center"/>
          </w:tcPr>
          <w:p w:rsidR="00040CAC" w:rsidRPr="0040045E" w:rsidRDefault="00040CAC" w:rsidP="00040CAC">
            <w:pPr>
              <w:rPr>
                <w:rFonts w:ascii="Arial Narrow" w:eastAsia="MS Mincho" w:hAnsi="Arial Narrow"/>
                <w:color w:val="000000"/>
                <w:sz w:val="20"/>
                <w:szCs w:val="20"/>
                <w:lang w:eastAsia="en-US" w:bidi="th-TH"/>
              </w:rPr>
            </w:pPr>
            <w:r w:rsidRPr="0040045E">
              <w:rPr>
                <w:rFonts w:ascii="Arial Narrow" w:eastAsia="MS Mincho" w:hAnsi="Arial Narrow" w:cs="Angsana New"/>
                <w:color w:val="000000"/>
                <w:sz w:val="20"/>
                <w:szCs w:val="20"/>
                <w:lang w:eastAsia="en-US" w:bidi="th-TH"/>
              </w:rPr>
              <w:t>N=75</w:t>
            </w:r>
          </w:p>
        </w:tc>
        <w:tc>
          <w:tcPr>
            <w:tcW w:w="1417" w:type="dxa"/>
            <w:vAlign w:val="center"/>
          </w:tcPr>
          <w:p w:rsidR="00040CAC" w:rsidRPr="0040045E" w:rsidRDefault="00040CAC" w:rsidP="00040CAC">
            <w:pPr>
              <w:rPr>
                <w:rFonts w:ascii="Arial Narrow" w:eastAsia="MS Mincho" w:hAnsi="Arial Narrow"/>
                <w:color w:val="000000"/>
                <w:sz w:val="20"/>
                <w:szCs w:val="20"/>
                <w:lang w:eastAsia="en-US" w:bidi="th-TH"/>
              </w:rPr>
            </w:pPr>
            <w:r w:rsidRPr="0040045E">
              <w:rPr>
                <w:rFonts w:ascii="Arial Narrow" w:eastAsia="MS Mincho" w:hAnsi="Arial Narrow" w:cs="Angsana New"/>
                <w:color w:val="000000"/>
                <w:sz w:val="20"/>
                <w:szCs w:val="20"/>
                <w:lang w:eastAsia="en-US" w:bidi="th-TH"/>
              </w:rPr>
              <w:t>N=24</w:t>
            </w:r>
          </w:p>
        </w:tc>
        <w:tc>
          <w:tcPr>
            <w:tcW w:w="1751" w:type="dxa"/>
            <w:vAlign w:val="center"/>
          </w:tcPr>
          <w:p w:rsidR="00040CAC" w:rsidRPr="0040045E" w:rsidRDefault="00040CAC" w:rsidP="00040CAC">
            <w:pPr>
              <w:rPr>
                <w:rFonts w:ascii="Arial Narrow" w:eastAsia="MS Mincho" w:hAnsi="Arial Narrow"/>
                <w:color w:val="000000"/>
                <w:sz w:val="20"/>
                <w:szCs w:val="20"/>
                <w:lang w:eastAsia="en-US" w:bidi="th-TH"/>
              </w:rPr>
            </w:pPr>
            <w:r w:rsidRPr="0040045E">
              <w:rPr>
                <w:rFonts w:ascii="Arial Narrow" w:eastAsia="MS Mincho" w:hAnsi="Arial Narrow" w:cs="Angsana New"/>
                <w:color w:val="000000"/>
                <w:sz w:val="20"/>
                <w:szCs w:val="20"/>
                <w:lang w:eastAsia="en-US" w:bidi="th-TH"/>
              </w:rPr>
              <w:t>N=175</w:t>
            </w:r>
          </w:p>
        </w:tc>
      </w:tr>
      <w:tr w:rsidR="00040CAC" w:rsidRPr="0040045E" w:rsidTr="00752404">
        <w:tc>
          <w:tcPr>
            <w:tcW w:w="2228" w:type="dxa"/>
            <w:vAlign w:val="center"/>
          </w:tcPr>
          <w:p w:rsidR="00040CAC" w:rsidRPr="0040045E" w:rsidRDefault="00040CAC" w:rsidP="00040CAC">
            <w:pPr>
              <w:rPr>
                <w:rFonts w:ascii="Arial Narrow" w:eastAsia="MS Mincho" w:hAnsi="Arial Narrow"/>
                <w:color w:val="000000"/>
                <w:sz w:val="20"/>
                <w:szCs w:val="20"/>
                <w:lang w:eastAsia="en-US" w:bidi="th-TH"/>
              </w:rPr>
            </w:pPr>
            <w:r w:rsidRPr="0040045E">
              <w:rPr>
                <w:rFonts w:ascii="Arial Narrow" w:eastAsia="MS Mincho" w:hAnsi="Arial Narrow" w:cs="Angsana New"/>
                <w:color w:val="000000"/>
                <w:sz w:val="20"/>
                <w:szCs w:val="20"/>
                <w:lang w:eastAsia="en-US" w:bidi="th-TH"/>
              </w:rPr>
              <w:t>Number of patients suffering any adverse effect (n, % total patients)</w:t>
            </w:r>
          </w:p>
        </w:tc>
        <w:tc>
          <w:tcPr>
            <w:tcW w:w="1417" w:type="dxa"/>
            <w:vAlign w:val="center"/>
          </w:tcPr>
          <w:p w:rsidR="00040CAC" w:rsidRPr="0040045E" w:rsidRDefault="00040CAC" w:rsidP="00040CAC">
            <w:pPr>
              <w:rPr>
                <w:rFonts w:ascii="Arial Narrow" w:eastAsia="MS Mincho" w:hAnsi="Arial Narrow"/>
                <w:color w:val="000000"/>
                <w:sz w:val="20"/>
                <w:szCs w:val="20"/>
                <w:lang w:eastAsia="en-US" w:bidi="th-TH"/>
              </w:rPr>
            </w:pPr>
            <w:r w:rsidRPr="0040045E">
              <w:rPr>
                <w:rFonts w:ascii="Arial Narrow" w:eastAsia="MS Mincho" w:hAnsi="Arial Narrow" w:cs="Angsana New"/>
                <w:color w:val="000000"/>
                <w:sz w:val="20"/>
                <w:szCs w:val="20"/>
                <w:lang w:eastAsia="en-US" w:bidi="th-TH"/>
              </w:rPr>
              <w:t>42 (24%)</w:t>
            </w:r>
          </w:p>
        </w:tc>
        <w:tc>
          <w:tcPr>
            <w:tcW w:w="1418" w:type="dxa"/>
            <w:vAlign w:val="center"/>
          </w:tcPr>
          <w:p w:rsidR="00040CAC" w:rsidRPr="0040045E" w:rsidRDefault="00040CAC" w:rsidP="00040CAC">
            <w:pPr>
              <w:rPr>
                <w:rFonts w:ascii="Arial Narrow" w:eastAsia="MS Mincho" w:hAnsi="Arial Narrow"/>
                <w:color w:val="000000"/>
                <w:sz w:val="20"/>
                <w:szCs w:val="20"/>
                <w:lang w:eastAsia="en-US" w:bidi="th-TH"/>
              </w:rPr>
            </w:pPr>
            <w:r w:rsidRPr="0040045E">
              <w:rPr>
                <w:rFonts w:ascii="Arial Narrow" w:eastAsia="MS Mincho" w:hAnsi="Arial Narrow" w:cs="Angsana New"/>
                <w:color w:val="000000"/>
                <w:sz w:val="20"/>
                <w:szCs w:val="20"/>
                <w:lang w:eastAsia="en-US" w:bidi="th-TH"/>
              </w:rPr>
              <w:t>35 (20%)</w:t>
            </w:r>
          </w:p>
        </w:tc>
        <w:tc>
          <w:tcPr>
            <w:tcW w:w="1417" w:type="dxa"/>
            <w:vAlign w:val="center"/>
          </w:tcPr>
          <w:p w:rsidR="00040CAC" w:rsidRPr="0040045E" w:rsidRDefault="00040CAC" w:rsidP="00040CAC">
            <w:pPr>
              <w:rPr>
                <w:rFonts w:ascii="Arial Narrow" w:eastAsia="MS Mincho" w:hAnsi="Arial Narrow"/>
                <w:color w:val="000000"/>
                <w:sz w:val="20"/>
                <w:szCs w:val="20"/>
                <w:lang w:eastAsia="en-US" w:bidi="th-TH"/>
              </w:rPr>
            </w:pPr>
            <w:r w:rsidRPr="0040045E">
              <w:rPr>
                <w:rFonts w:ascii="Arial Narrow" w:eastAsia="MS Mincho" w:hAnsi="Arial Narrow" w:cs="Angsana New"/>
                <w:color w:val="000000"/>
                <w:sz w:val="20"/>
                <w:szCs w:val="20"/>
                <w:lang w:eastAsia="en-US" w:bidi="th-TH"/>
              </w:rPr>
              <w:t>13 (7%)</w:t>
            </w:r>
          </w:p>
        </w:tc>
        <w:tc>
          <w:tcPr>
            <w:tcW w:w="1751" w:type="dxa"/>
            <w:vAlign w:val="center"/>
          </w:tcPr>
          <w:p w:rsidR="00040CAC" w:rsidRPr="0040045E" w:rsidRDefault="00040CAC" w:rsidP="00040CAC">
            <w:pPr>
              <w:rPr>
                <w:rFonts w:ascii="Arial Narrow" w:eastAsia="MS Mincho" w:hAnsi="Arial Narrow"/>
                <w:color w:val="000000"/>
                <w:sz w:val="20"/>
                <w:szCs w:val="20"/>
                <w:lang w:eastAsia="en-US" w:bidi="th-TH"/>
              </w:rPr>
            </w:pPr>
            <w:r w:rsidRPr="0040045E">
              <w:rPr>
                <w:rFonts w:ascii="Arial Narrow" w:eastAsia="MS Mincho" w:hAnsi="Arial Narrow" w:cs="Angsana New"/>
                <w:color w:val="000000"/>
                <w:sz w:val="20"/>
                <w:szCs w:val="20"/>
                <w:lang w:eastAsia="en-US" w:bidi="th-TH"/>
              </w:rPr>
              <w:t>90 (51%)</w:t>
            </w:r>
          </w:p>
        </w:tc>
      </w:tr>
    </w:tbl>
    <w:p w:rsidR="00040CAC" w:rsidRPr="0040045E" w:rsidRDefault="00BE14EC" w:rsidP="002E7CD1">
      <w:pPr>
        <w:pStyle w:val="ListParagraph"/>
        <w:jc w:val="both"/>
        <w:rPr>
          <w:rFonts w:ascii="Arial Narrow" w:hAnsi="Arial Narrow"/>
          <w:sz w:val="18"/>
          <w:szCs w:val="18"/>
        </w:rPr>
      </w:pPr>
      <w:r w:rsidRPr="0040045E">
        <w:rPr>
          <w:rFonts w:ascii="Arial Narrow" w:hAnsi="Arial Narrow"/>
          <w:sz w:val="18"/>
          <w:szCs w:val="18"/>
        </w:rPr>
        <w:t>Source, pg.20 of the submission</w:t>
      </w:r>
    </w:p>
    <w:p w:rsidR="00BE14EC" w:rsidRPr="0040045E" w:rsidRDefault="00BE14EC" w:rsidP="002E7CD1">
      <w:pPr>
        <w:pStyle w:val="ListParagraph"/>
        <w:jc w:val="both"/>
        <w:rPr>
          <w:rFonts w:ascii="Arial" w:hAnsi="Arial"/>
          <w:sz w:val="20"/>
          <w:szCs w:val="20"/>
        </w:rPr>
      </w:pPr>
    </w:p>
    <w:p w:rsidR="00FA6055" w:rsidRPr="0040045E" w:rsidRDefault="007C30F8" w:rsidP="002E7CD1">
      <w:pPr>
        <w:pStyle w:val="ListParagraph"/>
        <w:numPr>
          <w:ilvl w:val="1"/>
          <w:numId w:val="25"/>
        </w:numPr>
        <w:jc w:val="both"/>
        <w:rPr>
          <w:rFonts w:ascii="Arial" w:hAnsi="Arial"/>
          <w:sz w:val="22"/>
          <w:szCs w:val="22"/>
        </w:rPr>
      </w:pPr>
      <w:r w:rsidRPr="0040045E">
        <w:rPr>
          <w:rFonts w:ascii="Arial" w:hAnsi="Arial"/>
          <w:sz w:val="22"/>
          <w:szCs w:val="22"/>
        </w:rPr>
        <w:t>The submission maintained that no significant differences were found between the study product and the reference product in terms of the type, frequency or severity of adverse effects reported or observed during the study.</w:t>
      </w:r>
      <w:r w:rsidRPr="0040045E">
        <w:rPr>
          <w:rFonts w:asciiTheme="minorHAnsi" w:eastAsia="MS Mincho" w:hAnsiTheme="minorHAnsi" w:cs="Angsana New"/>
          <w:color w:val="222222"/>
          <w:sz w:val="22"/>
          <w:szCs w:val="22"/>
          <w:lang w:eastAsia="en-US" w:bidi="th-TH"/>
        </w:rPr>
        <w:t xml:space="preserve"> </w:t>
      </w:r>
      <w:r w:rsidRPr="0040045E">
        <w:rPr>
          <w:rFonts w:ascii="Arial" w:hAnsi="Arial"/>
          <w:sz w:val="22"/>
          <w:szCs w:val="22"/>
        </w:rPr>
        <w:t xml:space="preserve">The safety profile </w:t>
      </w:r>
      <w:r w:rsidR="004054E2" w:rsidRPr="0040045E">
        <w:rPr>
          <w:rFonts w:ascii="Arial" w:hAnsi="Arial"/>
          <w:sz w:val="22"/>
          <w:szCs w:val="22"/>
        </w:rPr>
        <w:t xml:space="preserve">of </w:t>
      </w:r>
      <w:proofErr w:type="spellStart"/>
      <w:r w:rsidR="004054E2" w:rsidRPr="0040045E">
        <w:rPr>
          <w:rFonts w:ascii="Arial" w:hAnsi="Arial" w:cs="Arial"/>
          <w:bCs/>
          <w:snapToGrid w:val="0"/>
          <w:sz w:val="22"/>
          <w:szCs w:val="22"/>
        </w:rPr>
        <w:t>itraconazole</w:t>
      </w:r>
      <w:proofErr w:type="spellEnd"/>
      <w:r w:rsidR="00FF2F17" w:rsidRPr="0040045E">
        <w:rPr>
          <w:rFonts w:ascii="Arial" w:hAnsi="Arial" w:cs="Arial"/>
          <w:bCs/>
          <w:snapToGrid w:val="0"/>
          <w:sz w:val="22"/>
          <w:szCs w:val="22"/>
        </w:rPr>
        <w:t xml:space="preserve"> </w:t>
      </w:r>
      <w:r w:rsidRPr="0040045E">
        <w:rPr>
          <w:rFonts w:ascii="Arial" w:hAnsi="Arial"/>
          <w:sz w:val="22"/>
          <w:szCs w:val="22"/>
        </w:rPr>
        <w:t>50 mg hard capsules at a dose of 100 mg once daily for 12 weeks was consistent with the known safety profile of</w:t>
      </w:r>
      <w:r w:rsidR="00FF2F17" w:rsidRPr="0040045E">
        <w:rPr>
          <w:rFonts w:ascii="Arial" w:hAnsi="Arial" w:cs="Arial"/>
          <w:bCs/>
          <w:snapToGrid w:val="0"/>
          <w:sz w:val="22"/>
          <w:szCs w:val="22"/>
        </w:rPr>
        <w:t xml:space="preserve"> itraconazole</w:t>
      </w:r>
      <w:r w:rsidRPr="0040045E">
        <w:rPr>
          <w:rFonts w:ascii="Arial" w:hAnsi="Arial"/>
          <w:sz w:val="22"/>
          <w:szCs w:val="22"/>
        </w:rPr>
        <w:t>100 mg capsules at a dose of 200 mg once daily. No significant differences in the frequency of AEs were observed between the study groups (</w:t>
      </w:r>
      <w:proofErr w:type="spellStart"/>
      <w:r w:rsidR="00FF2F17" w:rsidRPr="0040045E">
        <w:rPr>
          <w:rFonts w:ascii="Arial" w:hAnsi="Arial" w:cs="Arial"/>
          <w:bCs/>
          <w:snapToGrid w:val="0"/>
          <w:sz w:val="22"/>
          <w:szCs w:val="22"/>
        </w:rPr>
        <w:t>itraconazole</w:t>
      </w:r>
      <w:proofErr w:type="spellEnd"/>
      <w:r w:rsidR="00FF2F17" w:rsidRPr="0040045E">
        <w:rPr>
          <w:rFonts w:ascii="Arial" w:hAnsi="Arial" w:cs="Arial"/>
          <w:bCs/>
          <w:snapToGrid w:val="0"/>
          <w:sz w:val="22"/>
          <w:szCs w:val="22"/>
        </w:rPr>
        <w:t xml:space="preserve"> 50 mg</w:t>
      </w:r>
      <w:r w:rsidRPr="0040045E">
        <w:rPr>
          <w:rFonts w:ascii="Arial" w:hAnsi="Arial"/>
          <w:sz w:val="22"/>
          <w:szCs w:val="22"/>
        </w:rPr>
        <w:t xml:space="preserve">, </w:t>
      </w:r>
      <w:proofErr w:type="spellStart"/>
      <w:r w:rsidR="00FF2F17" w:rsidRPr="0040045E">
        <w:rPr>
          <w:rFonts w:ascii="Arial" w:hAnsi="Arial" w:cs="Arial"/>
          <w:bCs/>
          <w:snapToGrid w:val="0"/>
          <w:sz w:val="22"/>
          <w:szCs w:val="22"/>
        </w:rPr>
        <w:t>itraconazole</w:t>
      </w:r>
      <w:proofErr w:type="spellEnd"/>
      <w:r w:rsidR="00FF2F17" w:rsidRPr="0040045E">
        <w:rPr>
          <w:rFonts w:ascii="Arial" w:hAnsi="Arial" w:cs="Arial"/>
          <w:bCs/>
          <w:snapToGrid w:val="0"/>
          <w:sz w:val="22"/>
          <w:szCs w:val="22"/>
        </w:rPr>
        <w:t xml:space="preserve"> 100 mg</w:t>
      </w:r>
      <w:r w:rsidRPr="0040045E">
        <w:rPr>
          <w:rFonts w:ascii="Arial" w:hAnsi="Arial"/>
          <w:sz w:val="22"/>
          <w:szCs w:val="22"/>
        </w:rPr>
        <w:t xml:space="preserve"> and placebo).</w:t>
      </w:r>
    </w:p>
    <w:p w:rsidR="00696006" w:rsidRPr="0040045E" w:rsidRDefault="00696006" w:rsidP="00696006">
      <w:pPr>
        <w:pStyle w:val="ListParagraph"/>
        <w:jc w:val="both"/>
        <w:rPr>
          <w:rFonts w:ascii="Arial" w:hAnsi="Arial"/>
          <w:sz w:val="22"/>
          <w:szCs w:val="22"/>
        </w:rPr>
      </w:pPr>
    </w:p>
    <w:p w:rsidR="00696006" w:rsidRPr="0040045E" w:rsidRDefault="00696006" w:rsidP="00696006">
      <w:pPr>
        <w:pStyle w:val="ListParagraph"/>
        <w:numPr>
          <w:ilvl w:val="1"/>
          <w:numId w:val="25"/>
        </w:numPr>
        <w:rPr>
          <w:rFonts w:ascii="Arial" w:hAnsi="Arial"/>
          <w:sz w:val="22"/>
          <w:szCs w:val="22"/>
        </w:rPr>
      </w:pPr>
      <w:r w:rsidRPr="0040045E">
        <w:rPr>
          <w:rFonts w:ascii="Arial" w:hAnsi="Arial"/>
          <w:sz w:val="22"/>
          <w:szCs w:val="22"/>
        </w:rPr>
        <w:t>As this was a minor submission, the results have not been independently evaluated.</w:t>
      </w:r>
    </w:p>
    <w:p w:rsidR="00E10455" w:rsidRPr="0040045E" w:rsidRDefault="00E10455" w:rsidP="00882085">
      <w:pPr>
        <w:jc w:val="both"/>
        <w:rPr>
          <w:rFonts w:ascii="Arial" w:hAnsi="Arial"/>
          <w:b/>
          <w:i/>
          <w:sz w:val="22"/>
          <w:szCs w:val="22"/>
        </w:rPr>
      </w:pPr>
    </w:p>
    <w:p w:rsidR="001B00D7" w:rsidRPr="0040045E" w:rsidRDefault="001B00D7" w:rsidP="001B00D7">
      <w:pPr>
        <w:ind w:firstLine="709"/>
        <w:jc w:val="both"/>
        <w:rPr>
          <w:rFonts w:ascii="Arial" w:hAnsi="Arial"/>
          <w:i/>
          <w:sz w:val="22"/>
          <w:szCs w:val="22"/>
        </w:rPr>
      </w:pPr>
      <w:r w:rsidRPr="0040045E">
        <w:rPr>
          <w:rFonts w:ascii="Arial" w:hAnsi="Arial"/>
          <w:i/>
          <w:sz w:val="22"/>
          <w:szCs w:val="22"/>
        </w:rPr>
        <w:t>For more details on PBAC’s view, see section 7 “PBAC outcome”.</w:t>
      </w:r>
    </w:p>
    <w:p w:rsidR="005A3173" w:rsidRPr="0040045E" w:rsidRDefault="003A42B4" w:rsidP="00F555AB">
      <w:pPr>
        <w:pStyle w:val="Heading2"/>
      </w:pPr>
      <w:r w:rsidRPr="0040045E">
        <w:rPr>
          <w:i/>
        </w:rPr>
        <w:br w:type="page"/>
      </w:r>
      <w:r w:rsidR="005A3173" w:rsidRPr="0040045E">
        <w:lastRenderedPageBreak/>
        <w:t>Clinical claim</w:t>
      </w:r>
    </w:p>
    <w:p w:rsidR="005A3173" w:rsidRPr="0040045E" w:rsidRDefault="005A3173" w:rsidP="00882085">
      <w:pPr>
        <w:ind w:left="720" w:hanging="720"/>
        <w:jc w:val="both"/>
        <w:rPr>
          <w:rFonts w:ascii="Arial" w:hAnsi="Arial"/>
          <w:sz w:val="22"/>
          <w:szCs w:val="22"/>
        </w:rPr>
      </w:pPr>
    </w:p>
    <w:p w:rsidR="00626875" w:rsidRPr="0040045E" w:rsidRDefault="00FF2801" w:rsidP="00626875">
      <w:pPr>
        <w:pStyle w:val="ListParagraph"/>
        <w:numPr>
          <w:ilvl w:val="1"/>
          <w:numId w:val="25"/>
        </w:numPr>
        <w:jc w:val="both"/>
        <w:rPr>
          <w:rFonts w:ascii="Arial" w:hAnsi="Arial"/>
          <w:sz w:val="22"/>
          <w:szCs w:val="22"/>
        </w:rPr>
      </w:pPr>
      <w:r w:rsidRPr="0040045E">
        <w:rPr>
          <w:rFonts w:ascii="Arial" w:hAnsi="Arial"/>
          <w:sz w:val="22"/>
          <w:szCs w:val="22"/>
        </w:rPr>
        <w:t>The submission claimed</w:t>
      </w:r>
      <w:r w:rsidR="00BB7EC3" w:rsidRPr="0040045E">
        <w:rPr>
          <w:rFonts w:ascii="Arial" w:hAnsi="Arial"/>
          <w:sz w:val="22"/>
          <w:szCs w:val="22"/>
        </w:rPr>
        <w:t xml:space="preserve"> non-inferior</w:t>
      </w:r>
      <w:r w:rsidR="006C306D" w:rsidRPr="0040045E">
        <w:rPr>
          <w:rFonts w:ascii="Arial" w:hAnsi="Arial"/>
          <w:sz w:val="22"/>
          <w:szCs w:val="22"/>
        </w:rPr>
        <w:t>ity to</w:t>
      </w:r>
      <w:r w:rsidR="009508C3" w:rsidRPr="0040045E">
        <w:rPr>
          <w:rFonts w:ascii="Arial" w:hAnsi="Arial"/>
          <w:sz w:val="22"/>
          <w:szCs w:val="22"/>
        </w:rPr>
        <w:t xml:space="preserve"> </w:t>
      </w:r>
      <w:proofErr w:type="spellStart"/>
      <w:r w:rsidR="00FF2F17" w:rsidRPr="0040045E">
        <w:rPr>
          <w:rFonts w:ascii="Arial" w:hAnsi="Arial" w:cs="Arial"/>
          <w:bCs/>
          <w:snapToGrid w:val="0"/>
          <w:sz w:val="22"/>
          <w:szCs w:val="22"/>
        </w:rPr>
        <w:t>itraconazole</w:t>
      </w:r>
      <w:proofErr w:type="spellEnd"/>
      <w:r w:rsidR="00FF2F17" w:rsidRPr="0040045E">
        <w:rPr>
          <w:rFonts w:ascii="Arial" w:hAnsi="Arial" w:cs="Arial"/>
          <w:bCs/>
          <w:snapToGrid w:val="0"/>
          <w:sz w:val="22"/>
          <w:szCs w:val="22"/>
        </w:rPr>
        <w:t xml:space="preserve"> 100 mg</w:t>
      </w:r>
      <w:r w:rsidR="009508C3" w:rsidRPr="0040045E">
        <w:rPr>
          <w:rFonts w:ascii="Arial" w:hAnsi="Arial"/>
          <w:sz w:val="22"/>
          <w:szCs w:val="22"/>
        </w:rPr>
        <w:t xml:space="preserve"> at a dose of 200 mg daily for the treatment of moderate to severe onychomycosis of the toenail for the three primary endpoints at week 24 and superior to placebo for each of the three primary endpoints at week 24.</w:t>
      </w:r>
      <w:r w:rsidR="008359B5" w:rsidRPr="0040045E">
        <w:rPr>
          <w:rFonts w:ascii="Arial" w:hAnsi="Arial"/>
          <w:sz w:val="22"/>
          <w:szCs w:val="22"/>
        </w:rPr>
        <w:t xml:space="preserve"> </w:t>
      </w:r>
    </w:p>
    <w:p w:rsidR="00626875" w:rsidRPr="0040045E" w:rsidRDefault="00626875" w:rsidP="00626875">
      <w:pPr>
        <w:pStyle w:val="ListParagraph"/>
        <w:jc w:val="both"/>
        <w:rPr>
          <w:rFonts w:ascii="Arial" w:hAnsi="Arial"/>
          <w:sz w:val="22"/>
          <w:szCs w:val="22"/>
        </w:rPr>
      </w:pPr>
    </w:p>
    <w:p w:rsidR="00BB7EC3" w:rsidRPr="0040045E" w:rsidRDefault="008359B5" w:rsidP="00626875">
      <w:pPr>
        <w:pStyle w:val="ListParagraph"/>
        <w:numPr>
          <w:ilvl w:val="1"/>
          <w:numId w:val="25"/>
        </w:numPr>
        <w:jc w:val="both"/>
        <w:rPr>
          <w:rFonts w:ascii="Arial" w:hAnsi="Arial"/>
          <w:sz w:val="22"/>
          <w:szCs w:val="22"/>
        </w:rPr>
      </w:pPr>
      <w:r w:rsidRPr="0040045E">
        <w:rPr>
          <w:rFonts w:ascii="Arial" w:hAnsi="Arial"/>
          <w:sz w:val="22"/>
          <w:szCs w:val="22"/>
        </w:rPr>
        <w:t xml:space="preserve">The submission states that </w:t>
      </w:r>
      <w:r w:rsidR="00626875" w:rsidRPr="0040045E">
        <w:rPr>
          <w:rFonts w:ascii="Arial" w:hAnsi="Arial"/>
          <w:sz w:val="22"/>
          <w:szCs w:val="22"/>
        </w:rPr>
        <w:t>‘</w:t>
      </w:r>
      <w:r w:rsidRPr="0040045E">
        <w:rPr>
          <w:rFonts w:ascii="Arial" w:hAnsi="Arial"/>
          <w:sz w:val="22"/>
          <w:szCs w:val="22"/>
        </w:rPr>
        <w:t>the only clinical study available is in superficial mycoses and not systemic mycoses</w:t>
      </w:r>
      <w:r w:rsidR="00626875" w:rsidRPr="0040045E">
        <w:rPr>
          <w:rFonts w:ascii="Arial" w:hAnsi="Arial"/>
          <w:sz w:val="22"/>
          <w:szCs w:val="22"/>
        </w:rPr>
        <w:t>’ (</w:t>
      </w:r>
      <w:proofErr w:type="spellStart"/>
      <w:r w:rsidR="00626875" w:rsidRPr="0040045E">
        <w:rPr>
          <w:rFonts w:ascii="Arial" w:hAnsi="Arial"/>
          <w:sz w:val="22"/>
          <w:szCs w:val="22"/>
        </w:rPr>
        <w:t>pg</w:t>
      </w:r>
      <w:proofErr w:type="spellEnd"/>
      <w:r w:rsidR="00626875" w:rsidRPr="0040045E">
        <w:rPr>
          <w:rFonts w:ascii="Arial" w:hAnsi="Arial"/>
          <w:sz w:val="22"/>
          <w:szCs w:val="22"/>
        </w:rPr>
        <w:t xml:space="preserve"> 18 of the re</w:t>
      </w:r>
      <w:r w:rsidR="00080AFF" w:rsidRPr="0040045E">
        <w:rPr>
          <w:rFonts w:ascii="Arial" w:hAnsi="Arial"/>
          <w:sz w:val="22"/>
          <w:szCs w:val="22"/>
        </w:rPr>
        <w:t>-</w:t>
      </w:r>
      <w:r w:rsidR="00626875" w:rsidRPr="0040045E">
        <w:rPr>
          <w:rFonts w:ascii="Arial" w:hAnsi="Arial"/>
          <w:sz w:val="22"/>
          <w:szCs w:val="22"/>
        </w:rPr>
        <w:t xml:space="preserve">submission) and …and in order for an orally administered drug to be effective for a superficial infection there must be systemic absorption at least equivalent to </w:t>
      </w:r>
      <w:proofErr w:type="spellStart"/>
      <w:r w:rsidR="00FF2F17" w:rsidRPr="0040045E">
        <w:rPr>
          <w:rFonts w:ascii="Arial" w:hAnsi="Arial" w:cs="Arial"/>
          <w:bCs/>
          <w:snapToGrid w:val="0"/>
          <w:sz w:val="22"/>
          <w:szCs w:val="22"/>
        </w:rPr>
        <w:t>itraconazole</w:t>
      </w:r>
      <w:proofErr w:type="spellEnd"/>
      <w:r w:rsidR="00FF2F17" w:rsidRPr="0040045E">
        <w:rPr>
          <w:rFonts w:ascii="Arial" w:hAnsi="Arial" w:cs="Arial"/>
          <w:bCs/>
          <w:snapToGrid w:val="0"/>
          <w:sz w:val="22"/>
          <w:szCs w:val="22"/>
        </w:rPr>
        <w:t xml:space="preserve"> 100 mg</w:t>
      </w:r>
      <w:r w:rsidR="00626875" w:rsidRPr="0040045E">
        <w:rPr>
          <w:rFonts w:ascii="Arial" w:hAnsi="Arial"/>
          <w:sz w:val="22"/>
          <w:szCs w:val="22"/>
        </w:rPr>
        <w:t>, thus further supporting the therapeutic equivalence statement’ (</w:t>
      </w:r>
      <w:proofErr w:type="spellStart"/>
      <w:r w:rsidR="00626875" w:rsidRPr="0040045E">
        <w:rPr>
          <w:rFonts w:ascii="Arial" w:hAnsi="Arial"/>
          <w:sz w:val="22"/>
          <w:szCs w:val="22"/>
        </w:rPr>
        <w:t>pg</w:t>
      </w:r>
      <w:proofErr w:type="spellEnd"/>
      <w:r w:rsidR="00626875" w:rsidRPr="0040045E">
        <w:rPr>
          <w:rFonts w:ascii="Arial" w:hAnsi="Arial"/>
          <w:sz w:val="22"/>
          <w:szCs w:val="22"/>
        </w:rPr>
        <w:t xml:space="preserve"> 22 of the re</w:t>
      </w:r>
      <w:r w:rsidR="00080AFF" w:rsidRPr="0040045E">
        <w:rPr>
          <w:rFonts w:ascii="Arial" w:hAnsi="Arial"/>
          <w:sz w:val="22"/>
          <w:szCs w:val="22"/>
        </w:rPr>
        <w:t>-</w:t>
      </w:r>
      <w:r w:rsidR="00626875" w:rsidRPr="0040045E">
        <w:rPr>
          <w:rFonts w:ascii="Arial" w:hAnsi="Arial"/>
          <w:sz w:val="22"/>
          <w:szCs w:val="22"/>
        </w:rPr>
        <w:t xml:space="preserve">submission). </w:t>
      </w:r>
    </w:p>
    <w:p w:rsidR="00F57A6D" w:rsidRPr="0040045E" w:rsidRDefault="00F57A6D" w:rsidP="00882085">
      <w:pPr>
        <w:ind w:left="720" w:hanging="720"/>
        <w:jc w:val="both"/>
        <w:rPr>
          <w:rFonts w:ascii="Arial" w:hAnsi="Arial"/>
          <w:sz w:val="22"/>
          <w:szCs w:val="22"/>
        </w:rPr>
      </w:pPr>
    </w:p>
    <w:p w:rsidR="001B00D7" w:rsidRPr="0040045E" w:rsidRDefault="001B00D7" w:rsidP="001B00D7">
      <w:pPr>
        <w:ind w:left="720" w:hanging="11"/>
        <w:jc w:val="both"/>
        <w:rPr>
          <w:rFonts w:ascii="Arial" w:hAnsi="Arial"/>
          <w:sz w:val="22"/>
          <w:szCs w:val="22"/>
        </w:rPr>
      </w:pPr>
      <w:r w:rsidRPr="0040045E">
        <w:rPr>
          <w:rFonts w:ascii="Arial" w:hAnsi="Arial"/>
          <w:i/>
          <w:sz w:val="22"/>
          <w:szCs w:val="22"/>
        </w:rPr>
        <w:t>For more details on PBAC’s view, see section 7 “PBAC outcome”.</w:t>
      </w:r>
    </w:p>
    <w:p w:rsidR="00FF2F17" w:rsidRPr="0040045E" w:rsidRDefault="00FF2F17" w:rsidP="00D84934">
      <w:pPr>
        <w:jc w:val="both"/>
        <w:rPr>
          <w:rFonts w:ascii="Arial" w:hAnsi="Arial"/>
          <w:b/>
          <w:sz w:val="22"/>
          <w:szCs w:val="22"/>
        </w:rPr>
      </w:pPr>
    </w:p>
    <w:p w:rsidR="005A3173" w:rsidRPr="0040045E" w:rsidRDefault="005A3173" w:rsidP="00F555AB">
      <w:pPr>
        <w:pStyle w:val="Heading2"/>
      </w:pPr>
      <w:r w:rsidRPr="0040045E">
        <w:t>Economic analysis</w:t>
      </w:r>
    </w:p>
    <w:p w:rsidR="005A3173" w:rsidRPr="0040045E" w:rsidRDefault="005A3173" w:rsidP="00D84934">
      <w:pPr>
        <w:pStyle w:val="NoSpacing"/>
      </w:pPr>
    </w:p>
    <w:p w:rsidR="009B0F67" w:rsidRPr="0040045E" w:rsidRDefault="00151715" w:rsidP="009508C3">
      <w:pPr>
        <w:pStyle w:val="ListParagraph"/>
        <w:numPr>
          <w:ilvl w:val="1"/>
          <w:numId w:val="25"/>
        </w:numPr>
        <w:jc w:val="both"/>
        <w:rPr>
          <w:rFonts w:ascii="Arial" w:hAnsi="Arial"/>
          <w:sz w:val="22"/>
          <w:szCs w:val="22"/>
        </w:rPr>
      </w:pPr>
      <w:r w:rsidRPr="0040045E">
        <w:rPr>
          <w:rFonts w:ascii="Arial" w:hAnsi="Arial"/>
          <w:sz w:val="22"/>
          <w:szCs w:val="22"/>
        </w:rPr>
        <w:t>N</w:t>
      </w:r>
      <w:r w:rsidR="009B0F67" w:rsidRPr="0040045E">
        <w:rPr>
          <w:rFonts w:ascii="Arial" w:hAnsi="Arial"/>
          <w:sz w:val="22"/>
          <w:szCs w:val="22"/>
        </w:rPr>
        <w:t>o economic comparison</w:t>
      </w:r>
      <w:r w:rsidRPr="0040045E">
        <w:rPr>
          <w:rFonts w:ascii="Arial" w:hAnsi="Arial"/>
          <w:sz w:val="22"/>
          <w:szCs w:val="22"/>
        </w:rPr>
        <w:t xml:space="preserve"> was</w:t>
      </w:r>
      <w:r w:rsidR="009B0F67" w:rsidRPr="0040045E">
        <w:rPr>
          <w:rFonts w:ascii="Arial" w:hAnsi="Arial"/>
          <w:sz w:val="22"/>
          <w:szCs w:val="22"/>
        </w:rPr>
        <w:t xml:space="preserve"> presented.</w:t>
      </w:r>
      <w:r w:rsidR="000A5689" w:rsidRPr="0040045E">
        <w:rPr>
          <w:rFonts w:ascii="Arial" w:hAnsi="Arial"/>
          <w:sz w:val="22"/>
          <w:szCs w:val="22"/>
        </w:rPr>
        <w:t xml:space="preserve"> </w:t>
      </w:r>
      <w:r w:rsidR="001A2666" w:rsidRPr="0040045E">
        <w:rPr>
          <w:rFonts w:ascii="Arial" w:hAnsi="Arial"/>
          <w:sz w:val="22"/>
          <w:szCs w:val="22"/>
        </w:rPr>
        <w:t>In the spreadsheet with the submission, the sponsor requested an equivalent pa</w:t>
      </w:r>
      <w:r w:rsidR="004054E2" w:rsidRPr="0040045E">
        <w:rPr>
          <w:rFonts w:ascii="Arial" w:hAnsi="Arial"/>
          <w:sz w:val="22"/>
          <w:szCs w:val="22"/>
        </w:rPr>
        <w:t xml:space="preserve">ck price to </w:t>
      </w:r>
      <w:proofErr w:type="spellStart"/>
      <w:r w:rsidR="004054E2" w:rsidRPr="0040045E">
        <w:rPr>
          <w:rFonts w:ascii="Arial" w:hAnsi="Arial"/>
          <w:sz w:val="22"/>
          <w:szCs w:val="22"/>
        </w:rPr>
        <w:t>itraconazole</w:t>
      </w:r>
      <w:proofErr w:type="spellEnd"/>
      <w:r w:rsidR="004054E2" w:rsidRPr="0040045E">
        <w:rPr>
          <w:rFonts w:ascii="Arial" w:hAnsi="Arial"/>
          <w:sz w:val="22"/>
          <w:szCs w:val="22"/>
        </w:rPr>
        <w:t xml:space="preserve"> 100 mg</w:t>
      </w:r>
      <w:r w:rsidR="001A2666" w:rsidRPr="0040045E">
        <w:rPr>
          <w:rFonts w:ascii="Arial" w:hAnsi="Arial"/>
          <w:sz w:val="22"/>
          <w:szCs w:val="22"/>
        </w:rPr>
        <w:t>.</w:t>
      </w:r>
      <w:r w:rsidR="00F555AB">
        <w:rPr>
          <w:rFonts w:ascii="Arial" w:hAnsi="Arial"/>
          <w:sz w:val="22"/>
          <w:szCs w:val="22"/>
        </w:rPr>
        <w:t xml:space="preserve"> </w:t>
      </w:r>
    </w:p>
    <w:p w:rsidR="00A55FEE" w:rsidRPr="0040045E" w:rsidRDefault="00A55FEE" w:rsidP="00A55FEE">
      <w:pPr>
        <w:ind w:left="720" w:hanging="720"/>
        <w:jc w:val="both"/>
        <w:rPr>
          <w:rFonts w:ascii="Arial" w:hAnsi="Arial"/>
          <w:b/>
          <w:i/>
          <w:sz w:val="22"/>
          <w:szCs w:val="22"/>
        </w:rPr>
      </w:pPr>
    </w:p>
    <w:p w:rsidR="00E733F1" w:rsidRPr="0040045E" w:rsidRDefault="00E733F1" w:rsidP="00F555AB">
      <w:pPr>
        <w:pStyle w:val="Heading2"/>
      </w:pPr>
      <w:r w:rsidRPr="0040045E">
        <w:t xml:space="preserve">Quality Use of medicines </w:t>
      </w:r>
    </w:p>
    <w:p w:rsidR="00E733F1" w:rsidRPr="0040045E" w:rsidRDefault="00E733F1" w:rsidP="00882085">
      <w:pPr>
        <w:ind w:left="720" w:hanging="720"/>
        <w:jc w:val="both"/>
        <w:rPr>
          <w:rFonts w:ascii="Arial" w:hAnsi="Arial"/>
          <w:b/>
          <w:i/>
          <w:sz w:val="22"/>
          <w:szCs w:val="22"/>
        </w:rPr>
      </w:pPr>
    </w:p>
    <w:p w:rsidR="00E733F1" w:rsidRPr="0040045E" w:rsidRDefault="00E733F1" w:rsidP="00E733F1">
      <w:pPr>
        <w:pStyle w:val="ListParagraph"/>
        <w:numPr>
          <w:ilvl w:val="1"/>
          <w:numId w:val="25"/>
        </w:numPr>
        <w:jc w:val="both"/>
        <w:rPr>
          <w:rFonts w:ascii="Arial" w:hAnsi="Arial"/>
          <w:b/>
          <w:sz w:val="22"/>
          <w:szCs w:val="22"/>
        </w:rPr>
      </w:pPr>
      <w:r w:rsidRPr="0040045E">
        <w:rPr>
          <w:rFonts w:ascii="Arial" w:hAnsi="Arial"/>
          <w:sz w:val="22"/>
          <w:szCs w:val="22"/>
        </w:rPr>
        <w:t xml:space="preserve">The re-submission stated the negligible risk of prescriber or patient confusion was mitigated by Product Information, and proposed administrative advice in the PBS restrictions. The re-submission claimed that </w:t>
      </w:r>
      <w:proofErr w:type="spellStart"/>
      <w:r w:rsidRPr="0040045E">
        <w:rPr>
          <w:rFonts w:ascii="Arial" w:hAnsi="Arial"/>
          <w:sz w:val="22"/>
          <w:szCs w:val="22"/>
        </w:rPr>
        <w:t>itraconazole</w:t>
      </w:r>
      <w:proofErr w:type="spellEnd"/>
      <w:r w:rsidRPr="0040045E">
        <w:rPr>
          <w:rFonts w:ascii="Arial" w:hAnsi="Arial"/>
          <w:sz w:val="22"/>
          <w:szCs w:val="22"/>
        </w:rPr>
        <w:t xml:space="preserve"> 50mg has been available in Australia (private market) and in Spain without any patient or prescriber confusion. The submission does not present any </w:t>
      </w:r>
      <w:r w:rsidR="004E41BF" w:rsidRPr="0040045E">
        <w:rPr>
          <w:rFonts w:ascii="Arial" w:hAnsi="Arial"/>
          <w:sz w:val="22"/>
          <w:szCs w:val="22"/>
        </w:rPr>
        <w:t xml:space="preserve">evidence to support this claim. </w:t>
      </w:r>
    </w:p>
    <w:p w:rsidR="004E41BF" w:rsidRPr="0040045E" w:rsidRDefault="004E41BF" w:rsidP="004E41BF">
      <w:pPr>
        <w:jc w:val="both"/>
        <w:rPr>
          <w:rFonts w:ascii="Arial" w:hAnsi="Arial"/>
          <w:b/>
          <w:sz w:val="22"/>
          <w:szCs w:val="22"/>
        </w:rPr>
      </w:pPr>
    </w:p>
    <w:p w:rsidR="005A3173" w:rsidRPr="0040045E" w:rsidRDefault="005A3173" w:rsidP="00F555AB">
      <w:pPr>
        <w:pStyle w:val="Heading2"/>
      </w:pPr>
      <w:r w:rsidRPr="0040045E">
        <w:t>Estimated PBS usage &amp; financial implications</w:t>
      </w:r>
    </w:p>
    <w:p w:rsidR="005A3173" w:rsidRPr="0040045E" w:rsidRDefault="005A3173" w:rsidP="00882085">
      <w:pPr>
        <w:ind w:left="720" w:hanging="720"/>
        <w:jc w:val="both"/>
        <w:rPr>
          <w:rFonts w:ascii="Arial" w:hAnsi="Arial"/>
          <w:b/>
          <w:i/>
          <w:sz w:val="22"/>
          <w:szCs w:val="22"/>
        </w:rPr>
      </w:pPr>
    </w:p>
    <w:p w:rsidR="00425E1E" w:rsidRPr="0040045E" w:rsidRDefault="00425E1E" w:rsidP="00C00DA7">
      <w:pPr>
        <w:pStyle w:val="ListParagraph"/>
        <w:numPr>
          <w:ilvl w:val="1"/>
          <w:numId w:val="25"/>
        </w:numPr>
        <w:ind w:left="709"/>
        <w:jc w:val="both"/>
        <w:rPr>
          <w:rFonts w:ascii="Arial" w:hAnsi="Arial"/>
          <w:sz w:val="22"/>
          <w:szCs w:val="22"/>
        </w:rPr>
      </w:pPr>
      <w:r w:rsidRPr="0040045E">
        <w:rPr>
          <w:rFonts w:ascii="Arial" w:hAnsi="Arial"/>
          <w:sz w:val="22"/>
          <w:szCs w:val="22"/>
        </w:rPr>
        <w:t>The re-submission claimed that</w:t>
      </w:r>
      <w:r w:rsidR="004054E2" w:rsidRPr="0040045E">
        <w:rPr>
          <w:rFonts w:ascii="Arial" w:hAnsi="Arial"/>
          <w:sz w:val="22"/>
          <w:szCs w:val="22"/>
        </w:rPr>
        <w:t xml:space="preserve"> </w:t>
      </w:r>
      <w:proofErr w:type="spellStart"/>
      <w:r w:rsidR="00FF2F17" w:rsidRPr="0040045E">
        <w:rPr>
          <w:rFonts w:ascii="Arial" w:hAnsi="Arial" w:cs="Arial"/>
          <w:bCs/>
          <w:snapToGrid w:val="0"/>
          <w:sz w:val="22"/>
          <w:szCs w:val="22"/>
        </w:rPr>
        <w:t>itraconazole</w:t>
      </w:r>
      <w:proofErr w:type="spellEnd"/>
      <w:r w:rsidR="00FF2F17" w:rsidRPr="0040045E">
        <w:rPr>
          <w:rFonts w:ascii="Arial" w:hAnsi="Arial" w:cs="Arial"/>
          <w:bCs/>
          <w:snapToGrid w:val="0"/>
          <w:sz w:val="22"/>
          <w:szCs w:val="22"/>
        </w:rPr>
        <w:t xml:space="preserve"> 50 mg</w:t>
      </w:r>
      <w:r w:rsidRPr="0040045E">
        <w:rPr>
          <w:rFonts w:ascii="Arial" w:hAnsi="Arial"/>
          <w:sz w:val="22"/>
          <w:szCs w:val="22"/>
          <w:vertAlign w:val="superscript"/>
        </w:rPr>
        <w:t xml:space="preserve"> </w:t>
      </w:r>
      <w:r w:rsidRPr="0040045E">
        <w:rPr>
          <w:rFonts w:ascii="Arial" w:hAnsi="Arial"/>
          <w:sz w:val="22"/>
          <w:szCs w:val="22"/>
        </w:rPr>
        <w:t xml:space="preserve">will only be taking market share from the established </w:t>
      </w:r>
      <w:proofErr w:type="spellStart"/>
      <w:r w:rsidRPr="0040045E">
        <w:rPr>
          <w:rFonts w:ascii="Arial" w:hAnsi="Arial"/>
          <w:sz w:val="22"/>
          <w:szCs w:val="22"/>
        </w:rPr>
        <w:t>itraconazole</w:t>
      </w:r>
      <w:proofErr w:type="spellEnd"/>
      <w:r w:rsidRPr="0040045E">
        <w:rPr>
          <w:rFonts w:ascii="Arial" w:hAnsi="Arial"/>
          <w:sz w:val="22"/>
          <w:szCs w:val="22"/>
        </w:rPr>
        <w:t xml:space="preserve"> market and thus will not be increasing the market further than the growth rate calculated based on the 2010-14 data.</w:t>
      </w:r>
    </w:p>
    <w:p w:rsidR="00425E1E" w:rsidRPr="0040045E" w:rsidRDefault="00425E1E" w:rsidP="00425E1E">
      <w:pPr>
        <w:pStyle w:val="ListParagraph"/>
        <w:ind w:left="709"/>
        <w:jc w:val="both"/>
        <w:rPr>
          <w:rFonts w:ascii="Arial" w:hAnsi="Arial"/>
          <w:sz w:val="22"/>
          <w:szCs w:val="22"/>
        </w:rPr>
      </w:pPr>
    </w:p>
    <w:p w:rsidR="00DB0299" w:rsidRPr="0040045E" w:rsidRDefault="00696006" w:rsidP="00E778BF">
      <w:pPr>
        <w:pStyle w:val="ListParagraph"/>
        <w:numPr>
          <w:ilvl w:val="1"/>
          <w:numId w:val="25"/>
        </w:numPr>
        <w:ind w:left="709"/>
        <w:jc w:val="both"/>
        <w:rPr>
          <w:rFonts w:ascii="Arial" w:hAnsi="Arial"/>
          <w:sz w:val="22"/>
          <w:szCs w:val="22"/>
        </w:rPr>
      </w:pPr>
      <w:r w:rsidRPr="0040045E">
        <w:rPr>
          <w:rFonts w:ascii="Arial" w:hAnsi="Arial"/>
          <w:sz w:val="22"/>
          <w:szCs w:val="22"/>
        </w:rPr>
        <w:t xml:space="preserve">Based on the </w:t>
      </w:r>
      <w:r w:rsidR="002248AC" w:rsidRPr="0040045E">
        <w:rPr>
          <w:rFonts w:ascii="Arial" w:hAnsi="Arial"/>
          <w:sz w:val="22"/>
          <w:szCs w:val="22"/>
        </w:rPr>
        <w:t xml:space="preserve">proposed </w:t>
      </w:r>
      <w:r w:rsidRPr="0040045E">
        <w:rPr>
          <w:rFonts w:ascii="Arial" w:hAnsi="Arial"/>
          <w:sz w:val="22"/>
          <w:szCs w:val="22"/>
        </w:rPr>
        <w:t>DPMQ</w:t>
      </w:r>
      <w:r w:rsidR="00080AFF" w:rsidRPr="0040045E">
        <w:rPr>
          <w:rFonts w:ascii="Arial" w:hAnsi="Arial"/>
          <w:sz w:val="22"/>
          <w:szCs w:val="22"/>
        </w:rPr>
        <w:t xml:space="preserve"> (including a </w:t>
      </w:r>
      <w:r w:rsidR="00BB10A6">
        <w:rPr>
          <w:rFonts w:ascii="Arial" w:hAnsi="Arial"/>
          <w:noProof/>
          <w:color w:val="000000"/>
          <w:sz w:val="22"/>
          <w:szCs w:val="22"/>
          <w:highlight w:val="black"/>
        </w:rPr>
        <w:t>''''''</w:t>
      </w:r>
      <w:r w:rsidR="00080AFF" w:rsidRPr="0040045E">
        <w:rPr>
          <w:rFonts w:ascii="Arial" w:hAnsi="Arial"/>
          <w:sz w:val="22"/>
          <w:szCs w:val="22"/>
        </w:rPr>
        <w:t>% price reduction to the ex-manufactures price in both products)</w:t>
      </w:r>
      <w:r w:rsidRPr="0040045E">
        <w:rPr>
          <w:rFonts w:ascii="Arial" w:hAnsi="Arial"/>
          <w:sz w:val="22"/>
          <w:szCs w:val="22"/>
        </w:rPr>
        <w:t>, t</w:t>
      </w:r>
      <w:r w:rsidR="00FF2801" w:rsidRPr="0040045E">
        <w:rPr>
          <w:rFonts w:ascii="Arial" w:hAnsi="Arial"/>
          <w:sz w:val="22"/>
          <w:szCs w:val="22"/>
        </w:rPr>
        <w:t xml:space="preserve">he </w:t>
      </w:r>
      <w:r w:rsidR="006B3F85" w:rsidRPr="0040045E">
        <w:rPr>
          <w:rFonts w:ascii="Arial" w:hAnsi="Arial"/>
          <w:sz w:val="22"/>
          <w:szCs w:val="22"/>
        </w:rPr>
        <w:t>re-</w:t>
      </w:r>
      <w:r w:rsidR="00FF2801" w:rsidRPr="0040045E">
        <w:rPr>
          <w:rFonts w:ascii="Arial" w:hAnsi="Arial"/>
          <w:sz w:val="22"/>
          <w:szCs w:val="22"/>
        </w:rPr>
        <w:t>submission estimated</w:t>
      </w:r>
      <w:r w:rsidR="00C00DA7" w:rsidRPr="0040045E">
        <w:rPr>
          <w:rFonts w:ascii="Arial" w:hAnsi="Arial"/>
          <w:sz w:val="22"/>
          <w:szCs w:val="22"/>
        </w:rPr>
        <w:t xml:space="preserve"> a net save to the PBS of </w:t>
      </w:r>
      <w:bookmarkStart w:id="1" w:name="_GoBack"/>
      <w:bookmarkEnd w:id="1"/>
      <w:r w:rsidR="009C07D8" w:rsidRPr="00724E75">
        <w:rPr>
          <w:rFonts w:ascii="Arial" w:hAnsi="Arial"/>
          <w:sz w:val="22"/>
          <w:szCs w:val="22"/>
        </w:rPr>
        <w:t>less than $10 million</w:t>
      </w:r>
      <w:r w:rsidR="009C07D8">
        <w:rPr>
          <w:rFonts w:ascii="Arial" w:hAnsi="Arial"/>
          <w:sz w:val="22"/>
          <w:szCs w:val="22"/>
        </w:rPr>
        <w:t xml:space="preserve"> </w:t>
      </w:r>
      <w:r w:rsidR="00C00DA7" w:rsidRPr="0040045E">
        <w:rPr>
          <w:rFonts w:ascii="Arial" w:hAnsi="Arial"/>
          <w:sz w:val="22"/>
          <w:szCs w:val="22"/>
        </w:rPr>
        <w:t xml:space="preserve">in Year 5 of listing, with a total net save to the PBS of </w:t>
      </w:r>
      <w:r w:rsidR="009C07D8" w:rsidRPr="00724E75">
        <w:rPr>
          <w:rFonts w:ascii="Arial" w:hAnsi="Arial"/>
          <w:sz w:val="22"/>
          <w:szCs w:val="22"/>
        </w:rPr>
        <w:t>less than $10 million</w:t>
      </w:r>
      <w:r w:rsidR="009C07D8">
        <w:rPr>
          <w:rFonts w:ascii="Arial" w:hAnsi="Arial"/>
          <w:sz w:val="22"/>
          <w:szCs w:val="22"/>
        </w:rPr>
        <w:t xml:space="preserve"> </w:t>
      </w:r>
      <w:r w:rsidR="00C00DA7" w:rsidRPr="0040045E">
        <w:rPr>
          <w:rFonts w:ascii="Arial" w:hAnsi="Arial"/>
          <w:sz w:val="22"/>
          <w:szCs w:val="22"/>
        </w:rPr>
        <w:t xml:space="preserve">over the first 5 years of listing. </w:t>
      </w:r>
      <w:r w:rsidRPr="0040045E">
        <w:rPr>
          <w:rFonts w:ascii="Arial" w:hAnsi="Arial"/>
          <w:sz w:val="22"/>
          <w:szCs w:val="22"/>
        </w:rPr>
        <w:t xml:space="preserve">This save </w:t>
      </w:r>
      <w:r w:rsidR="004E41BF" w:rsidRPr="0040045E">
        <w:rPr>
          <w:rFonts w:ascii="Arial" w:hAnsi="Arial"/>
          <w:sz w:val="22"/>
          <w:szCs w:val="22"/>
        </w:rPr>
        <w:t>would be</w:t>
      </w:r>
      <w:r w:rsidRPr="0040045E">
        <w:rPr>
          <w:rFonts w:ascii="Arial" w:hAnsi="Arial"/>
          <w:sz w:val="22"/>
          <w:szCs w:val="22"/>
        </w:rPr>
        <w:t xml:space="preserve"> due to the more uptake of the </w:t>
      </w:r>
      <w:proofErr w:type="spellStart"/>
      <w:r w:rsidR="00FF2F17" w:rsidRPr="0040045E">
        <w:rPr>
          <w:rFonts w:ascii="Arial" w:hAnsi="Arial" w:cs="Arial"/>
          <w:bCs/>
          <w:snapToGrid w:val="0"/>
          <w:sz w:val="22"/>
          <w:szCs w:val="22"/>
        </w:rPr>
        <w:t>itraconazole</w:t>
      </w:r>
      <w:proofErr w:type="spellEnd"/>
      <w:r w:rsidR="00FF2F17" w:rsidRPr="0040045E">
        <w:rPr>
          <w:rFonts w:ascii="Arial" w:hAnsi="Arial" w:cs="Arial"/>
          <w:bCs/>
          <w:snapToGrid w:val="0"/>
          <w:sz w:val="22"/>
          <w:szCs w:val="22"/>
        </w:rPr>
        <w:t xml:space="preserve"> </w:t>
      </w:r>
      <w:r w:rsidRPr="0040045E">
        <w:rPr>
          <w:rFonts w:ascii="Arial" w:hAnsi="Arial"/>
          <w:sz w:val="22"/>
          <w:szCs w:val="22"/>
        </w:rPr>
        <w:t xml:space="preserve">50mg capsules compared to the </w:t>
      </w:r>
      <w:proofErr w:type="spellStart"/>
      <w:r w:rsidR="00FF2F17" w:rsidRPr="0040045E">
        <w:rPr>
          <w:rFonts w:ascii="Arial" w:hAnsi="Arial" w:cs="Arial"/>
          <w:bCs/>
          <w:snapToGrid w:val="0"/>
          <w:sz w:val="22"/>
          <w:szCs w:val="22"/>
        </w:rPr>
        <w:t>itraconazole</w:t>
      </w:r>
      <w:proofErr w:type="spellEnd"/>
      <w:r w:rsidR="00FF2F17" w:rsidRPr="0040045E">
        <w:rPr>
          <w:rFonts w:ascii="Arial" w:hAnsi="Arial" w:cs="Arial"/>
          <w:bCs/>
          <w:snapToGrid w:val="0"/>
          <w:sz w:val="22"/>
          <w:szCs w:val="22"/>
        </w:rPr>
        <w:t xml:space="preserve"> </w:t>
      </w:r>
      <w:r w:rsidRPr="0040045E">
        <w:rPr>
          <w:rFonts w:ascii="Arial" w:hAnsi="Arial"/>
          <w:sz w:val="22"/>
          <w:szCs w:val="22"/>
        </w:rPr>
        <w:t>100mg capsules.</w:t>
      </w:r>
      <w:r w:rsidR="00C00DA7" w:rsidRPr="0040045E">
        <w:rPr>
          <w:rFonts w:ascii="Arial" w:hAnsi="Arial"/>
          <w:sz w:val="22"/>
          <w:szCs w:val="22"/>
        </w:rPr>
        <w:t xml:space="preserve"> This is summarised in the table below</w:t>
      </w:r>
      <w:r w:rsidR="00796C1C" w:rsidRPr="0040045E">
        <w:rPr>
          <w:rFonts w:ascii="Arial" w:hAnsi="Arial"/>
          <w:sz w:val="22"/>
          <w:szCs w:val="22"/>
        </w:rPr>
        <w:t>.</w:t>
      </w:r>
      <w:r w:rsidR="00C00DA7" w:rsidRPr="0040045E">
        <w:rPr>
          <w:rFonts w:ascii="Arial" w:hAnsi="Arial"/>
          <w:sz w:val="22"/>
          <w:szCs w:val="22"/>
        </w:rPr>
        <w:t xml:space="preserve"> </w:t>
      </w:r>
    </w:p>
    <w:p w:rsidR="003A42B4" w:rsidRPr="0040045E" w:rsidRDefault="003A42B4">
      <w:pPr>
        <w:rPr>
          <w:rFonts w:ascii="Arial" w:hAnsi="Arial"/>
          <w:sz w:val="22"/>
          <w:szCs w:val="22"/>
        </w:rPr>
      </w:pPr>
      <w:r w:rsidRPr="0040045E">
        <w:rPr>
          <w:rFonts w:ascii="Arial" w:hAnsi="Arial"/>
          <w:sz w:val="22"/>
          <w:szCs w:val="22"/>
        </w:rPr>
        <w:br w:type="page"/>
      </w:r>
    </w:p>
    <w:p w:rsidR="00D5536A" w:rsidRPr="0040045E" w:rsidRDefault="00D5536A" w:rsidP="00D5536A">
      <w:pPr>
        <w:pStyle w:val="ListParagraph"/>
        <w:ind w:left="284" w:firstLine="425"/>
        <w:jc w:val="both"/>
        <w:rPr>
          <w:rFonts w:ascii="Arial Narrow" w:hAnsi="Arial Narrow"/>
          <w:b/>
          <w:sz w:val="20"/>
          <w:szCs w:val="20"/>
        </w:rPr>
      </w:pPr>
      <w:r w:rsidRPr="0040045E">
        <w:rPr>
          <w:rFonts w:ascii="Arial Narrow" w:hAnsi="Arial Narrow"/>
          <w:b/>
          <w:sz w:val="20"/>
          <w:szCs w:val="20"/>
        </w:rPr>
        <w:lastRenderedPageBreak/>
        <w:t>Table 4: Estimated use and financial implication</w:t>
      </w:r>
    </w:p>
    <w:tbl>
      <w:tblPr>
        <w:tblStyle w:val="TableGrid"/>
        <w:tblW w:w="0" w:type="auto"/>
        <w:tblInd w:w="817" w:type="dxa"/>
        <w:tblLook w:val="04A0" w:firstRow="1" w:lastRow="0" w:firstColumn="1" w:lastColumn="0" w:noHBand="0" w:noVBand="1"/>
        <w:tblCaption w:val="Utilisation estimates and financial implications"/>
      </w:tblPr>
      <w:tblGrid>
        <w:gridCol w:w="2693"/>
        <w:gridCol w:w="1134"/>
        <w:gridCol w:w="1134"/>
        <w:gridCol w:w="1134"/>
        <w:gridCol w:w="1134"/>
        <w:gridCol w:w="1196"/>
      </w:tblGrid>
      <w:tr w:rsidR="00FC6784" w:rsidRPr="0040045E" w:rsidTr="00F555AB">
        <w:trPr>
          <w:trHeight w:val="255"/>
          <w:tblHeader/>
        </w:trPr>
        <w:tc>
          <w:tcPr>
            <w:tcW w:w="2693" w:type="dxa"/>
            <w:shd w:val="clear" w:color="auto" w:fill="auto"/>
            <w:noWrap/>
          </w:tcPr>
          <w:p w:rsidR="00796C1C" w:rsidRPr="0040045E" w:rsidRDefault="00796C1C" w:rsidP="00796C1C">
            <w:pPr>
              <w:spacing w:after="120"/>
              <w:jc w:val="center"/>
              <w:rPr>
                <w:rFonts w:ascii="Arial Narrow" w:hAnsi="Arial Narrow"/>
                <w:sz w:val="20"/>
                <w:szCs w:val="20"/>
              </w:rPr>
            </w:pPr>
            <w:r w:rsidRPr="0040045E">
              <w:rPr>
                <w:rFonts w:ascii="Arial Narrow" w:hAnsi="Arial Narrow" w:cs="Arial"/>
                <w:b/>
                <w:sz w:val="20"/>
                <w:szCs w:val="20"/>
              </w:rPr>
              <w:t>Net cost of drug to the PBS/RPBS</w:t>
            </w:r>
          </w:p>
        </w:tc>
        <w:tc>
          <w:tcPr>
            <w:tcW w:w="1134" w:type="dxa"/>
            <w:shd w:val="clear" w:color="auto" w:fill="auto"/>
            <w:noWrap/>
          </w:tcPr>
          <w:p w:rsidR="00796C1C" w:rsidRPr="0040045E" w:rsidRDefault="00796C1C" w:rsidP="00796C1C">
            <w:pPr>
              <w:spacing w:after="120"/>
              <w:jc w:val="center"/>
              <w:rPr>
                <w:rFonts w:ascii="Arial Narrow" w:hAnsi="Arial Narrow"/>
                <w:sz w:val="20"/>
                <w:szCs w:val="20"/>
              </w:rPr>
            </w:pPr>
            <w:r w:rsidRPr="0040045E">
              <w:rPr>
                <w:rFonts w:ascii="Arial Narrow" w:hAnsi="Arial Narrow" w:cs="Arial"/>
                <w:b/>
                <w:sz w:val="20"/>
                <w:szCs w:val="20"/>
              </w:rPr>
              <w:t>Year 1</w:t>
            </w:r>
          </w:p>
        </w:tc>
        <w:tc>
          <w:tcPr>
            <w:tcW w:w="1134" w:type="dxa"/>
            <w:shd w:val="clear" w:color="auto" w:fill="auto"/>
            <w:noWrap/>
          </w:tcPr>
          <w:p w:rsidR="00796C1C" w:rsidRPr="0040045E" w:rsidRDefault="00796C1C" w:rsidP="00796C1C">
            <w:pPr>
              <w:spacing w:after="120"/>
              <w:jc w:val="center"/>
              <w:rPr>
                <w:rFonts w:ascii="Arial Narrow" w:hAnsi="Arial Narrow"/>
                <w:sz w:val="20"/>
                <w:szCs w:val="20"/>
              </w:rPr>
            </w:pPr>
            <w:r w:rsidRPr="0040045E">
              <w:rPr>
                <w:rFonts w:ascii="Arial Narrow" w:hAnsi="Arial Narrow" w:cs="Arial"/>
                <w:b/>
                <w:sz w:val="20"/>
                <w:szCs w:val="20"/>
              </w:rPr>
              <w:t>Year 2</w:t>
            </w:r>
          </w:p>
        </w:tc>
        <w:tc>
          <w:tcPr>
            <w:tcW w:w="1134" w:type="dxa"/>
            <w:shd w:val="clear" w:color="auto" w:fill="auto"/>
            <w:noWrap/>
          </w:tcPr>
          <w:p w:rsidR="00796C1C" w:rsidRPr="0040045E" w:rsidRDefault="00796C1C" w:rsidP="00796C1C">
            <w:pPr>
              <w:spacing w:after="120"/>
              <w:jc w:val="center"/>
              <w:rPr>
                <w:rFonts w:ascii="Arial Narrow" w:hAnsi="Arial Narrow"/>
                <w:sz w:val="20"/>
                <w:szCs w:val="20"/>
              </w:rPr>
            </w:pPr>
            <w:r w:rsidRPr="0040045E">
              <w:rPr>
                <w:rFonts w:ascii="Arial Narrow" w:hAnsi="Arial Narrow" w:cs="Arial"/>
                <w:b/>
                <w:sz w:val="20"/>
                <w:szCs w:val="20"/>
              </w:rPr>
              <w:t>Year 3</w:t>
            </w:r>
          </w:p>
        </w:tc>
        <w:tc>
          <w:tcPr>
            <w:tcW w:w="1134" w:type="dxa"/>
            <w:shd w:val="clear" w:color="auto" w:fill="auto"/>
            <w:noWrap/>
          </w:tcPr>
          <w:p w:rsidR="00796C1C" w:rsidRPr="0040045E" w:rsidRDefault="00796C1C" w:rsidP="00796C1C">
            <w:pPr>
              <w:spacing w:after="120"/>
              <w:jc w:val="center"/>
              <w:rPr>
                <w:rFonts w:ascii="Arial Narrow" w:hAnsi="Arial Narrow"/>
                <w:sz w:val="20"/>
                <w:szCs w:val="20"/>
              </w:rPr>
            </w:pPr>
            <w:r w:rsidRPr="0040045E">
              <w:rPr>
                <w:rFonts w:ascii="Arial Narrow" w:hAnsi="Arial Narrow" w:cs="Arial"/>
                <w:b/>
                <w:sz w:val="20"/>
                <w:szCs w:val="20"/>
              </w:rPr>
              <w:t>Year 4</w:t>
            </w:r>
          </w:p>
        </w:tc>
        <w:tc>
          <w:tcPr>
            <w:tcW w:w="1196" w:type="dxa"/>
            <w:shd w:val="clear" w:color="auto" w:fill="auto"/>
            <w:noWrap/>
          </w:tcPr>
          <w:p w:rsidR="00796C1C" w:rsidRPr="0040045E" w:rsidRDefault="00796C1C" w:rsidP="00796C1C">
            <w:pPr>
              <w:spacing w:after="120"/>
              <w:jc w:val="center"/>
              <w:rPr>
                <w:rFonts w:ascii="Arial Narrow" w:hAnsi="Arial Narrow"/>
                <w:sz w:val="20"/>
                <w:szCs w:val="20"/>
              </w:rPr>
            </w:pPr>
            <w:r w:rsidRPr="0040045E">
              <w:rPr>
                <w:rFonts w:ascii="Arial Narrow" w:hAnsi="Arial Narrow" w:cs="Arial"/>
                <w:b/>
                <w:sz w:val="20"/>
                <w:szCs w:val="20"/>
              </w:rPr>
              <w:t>Year 5</w:t>
            </w:r>
          </w:p>
        </w:tc>
      </w:tr>
      <w:tr w:rsidR="00FC6784" w:rsidRPr="0040045E" w:rsidTr="001A2666">
        <w:trPr>
          <w:trHeight w:val="255"/>
        </w:trPr>
        <w:tc>
          <w:tcPr>
            <w:tcW w:w="2693" w:type="dxa"/>
            <w:shd w:val="clear" w:color="auto" w:fill="auto"/>
          </w:tcPr>
          <w:p w:rsidR="00796C1C" w:rsidRPr="0040045E" w:rsidRDefault="00FC6784" w:rsidP="00796C1C">
            <w:pPr>
              <w:spacing w:after="120"/>
              <w:rPr>
                <w:rFonts w:ascii="Arial Narrow" w:hAnsi="Arial Narrow"/>
                <w:sz w:val="20"/>
                <w:szCs w:val="20"/>
              </w:rPr>
            </w:pPr>
            <w:r w:rsidRPr="0040045E">
              <w:rPr>
                <w:rFonts w:ascii="Arial Narrow" w:hAnsi="Arial Narrow" w:cs="Arial"/>
                <w:sz w:val="20"/>
                <w:szCs w:val="20"/>
              </w:rPr>
              <w:t>Total net cost to the PBS</w:t>
            </w:r>
          </w:p>
        </w:tc>
        <w:tc>
          <w:tcPr>
            <w:tcW w:w="1134" w:type="dxa"/>
            <w:shd w:val="clear" w:color="auto" w:fill="auto"/>
            <w:noWrap/>
          </w:tcPr>
          <w:p w:rsidR="00796C1C" w:rsidRPr="0040045E" w:rsidRDefault="00FC6784" w:rsidP="0040045E">
            <w:pPr>
              <w:spacing w:after="120"/>
              <w:jc w:val="right"/>
              <w:rPr>
                <w:rFonts w:ascii="Arial Narrow" w:hAnsi="Arial Narrow"/>
                <w:sz w:val="20"/>
                <w:szCs w:val="20"/>
              </w:rPr>
            </w:pPr>
            <w:r w:rsidRPr="0040045E">
              <w:rPr>
                <w:rFonts w:ascii="Arial Narrow" w:hAnsi="Arial Narrow"/>
                <w:sz w:val="20"/>
                <w:szCs w:val="20"/>
              </w:rPr>
              <w:t>-$</w:t>
            </w:r>
            <w:r w:rsidR="00BB10A6">
              <w:rPr>
                <w:rFonts w:ascii="Arial Narrow" w:hAnsi="Arial Narrow"/>
                <w:noProof/>
                <w:color w:val="000000"/>
                <w:sz w:val="20"/>
                <w:szCs w:val="20"/>
                <w:highlight w:val="black"/>
              </w:rPr>
              <w:t>'''''''''''''''''</w:t>
            </w:r>
          </w:p>
        </w:tc>
        <w:tc>
          <w:tcPr>
            <w:tcW w:w="1134" w:type="dxa"/>
            <w:shd w:val="clear" w:color="auto" w:fill="auto"/>
            <w:noWrap/>
          </w:tcPr>
          <w:p w:rsidR="00796C1C" w:rsidRPr="0040045E" w:rsidRDefault="00FC6784" w:rsidP="0040045E">
            <w:pPr>
              <w:spacing w:after="120"/>
              <w:jc w:val="right"/>
              <w:rPr>
                <w:rFonts w:ascii="Arial Narrow" w:hAnsi="Arial Narrow"/>
                <w:sz w:val="20"/>
                <w:szCs w:val="20"/>
              </w:rPr>
            </w:pPr>
            <w:r w:rsidRPr="0040045E">
              <w:rPr>
                <w:rFonts w:ascii="Arial Narrow" w:hAnsi="Arial Narrow"/>
                <w:sz w:val="20"/>
                <w:szCs w:val="20"/>
              </w:rPr>
              <w:t>-$</w:t>
            </w:r>
            <w:r w:rsidR="00BB10A6">
              <w:rPr>
                <w:rFonts w:ascii="Arial Narrow" w:hAnsi="Arial Narrow"/>
                <w:noProof/>
                <w:color w:val="000000"/>
                <w:sz w:val="20"/>
                <w:szCs w:val="20"/>
                <w:highlight w:val="black"/>
              </w:rPr>
              <w:t>''''''''''''''''''''''</w:t>
            </w:r>
          </w:p>
        </w:tc>
        <w:tc>
          <w:tcPr>
            <w:tcW w:w="1134" w:type="dxa"/>
            <w:shd w:val="clear" w:color="auto" w:fill="auto"/>
            <w:noWrap/>
          </w:tcPr>
          <w:p w:rsidR="00796C1C" w:rsidRPr="0040045E" w:rsidRDefault="00FC6784" w:rsidP="0040045E">
            <w:pPr>
              <w:spacing w:after="120"/>
              <w:jc w:val="right"/>
              <w:rPr>
                <w:rFonts w:ascii="Arial Narrow" w:hAnsi="Arial Narrow"/>
                <w:sz w:val="20"/>
                <w:szCs w:val="20"/>
              </w:rPr>
            </w:pPr>
            <w:r w:rsidRPr="0040045E">
              <w:rPr>
                <w:rFonts w:ascii="Arial Narrow" w:hAnsi="Arial Narrow"/>
                <w:sz w:val="20"/>
                <w:szCs w:val="20"/>
              </w:rPr>
              <w:t>-$</w:t>
            </w:r>
            <w:r w:rsidR="00BB10A6">
              <w:rPr>
                <w:rFonts w:ascii="Arial Narrow" w:hAnsi="Arial Narrow"/>
                <w:noProof/>
                <w:color w:val="000000"/>
                <w:sz w:val="20"/>
                <w:szCs w:val="20"/>
                <w:highlight w:val="black"/>
              </w:rPr>
              <w:t>'''''''''''''''''''''</w:t>
            </w:r>
          </w:p>
        </w:tc>
        <w:tc>
          <w:tcPr>
            <w:tcW w:w="1134" w:type="dxa"/>
            <w:shd w:val="clear" w:color="auto" w:fill="auto"/>
            <w:noWrap/>
          </w:tcPr>
          <w:p w:rsidR="00796C1C" w:rsidRPr="0040045E" w:rsidRDefault="00FC6784" w:rsidP="0040045E">
            <w:pPr>
              <w:spacing w:after="120"/>
              <w:jc w:val="right"/>
              <w:rPr>
                <w:rFonts w:ascii="Arial Narrow" w:hAnsi="Arial Narrow"/>
                <w:sz w:val="20"/>
                <w:szCs w:val="20"/>
              </w:rPr>
            </w:pPr>
            <w:r w:rsidRPr="0040045E">
              <w:rPr>
                <w:rFonts w:ascii="Arial Narrow" w:hAnsi="Arial Narrow"/>
                <w:sz w:val="20"/>
                <w:szCs w:val="20"/>
              </w:rPr>
              <w:t>-$</w:t>
            </w:r>
            <w:r w:rsidR="00BB10A6">
              <w:rPr>
                <w:rFonts w:ascii="Arial Narrow" w:hAnsi="Arial Narrow"/>
                <w:noProof/>
                <w:color w:val="000000"/>
                <w:sz w:val="20"/>
                <w:szCs w:val="20"/>
                <w:highlight w:val="black"/>
              </w:rPr>
              <w:t>'''''''''''''''''''''</w:t>
            </w:r>
          </w:p>
        </w:tc>
        <w:tc>
          <w:tcPr>
            <w:tcW w:w="1196" w:type="dxa"/>
            <w:shd w:val="clear" w:color="auto" w:fill="auto"/>
            <w:noWrap/>
          </w:tcPr>
          <w:p w:rsidR="00796C1C" w:rsidRPr="0040045E" w:rsidRDefault="00FC6784" w:rsidP="0040045E">
            <w:pPr>
              <w:spacing w:after="120"/>
              <w:jc w:val="right"/>
              <w:rPr>
                <w:rFonts w:ascii="Arial Narrow" w:hAnsi="Arial Narrow"/>
                <w:sz w:val="20"/>
                <w:szCs w:val="20"/>
              </w:rPr>
            </w:pPr>
            <w:r w:rsidRPr="0040045E">
              <w:rPr>
                <w:rFonts w:ascii="Arial Narrow" w:hAnsi="Arial Narrow"/>
                <w:sz w:val="20"/>
                <w:szCs w:val="20"/>
              </w:rPr>
              <w:t>-$</w:t>
            </w:r>
            <w:r w:rsidR="00BB10A6">
              <w:rPr>
                <w:rFonts w:ascii="Arial Narrow" w:hAnsi="Arial Narrow"/>
                <w:noProof/>
                <w:color w:val="000000"/>
                <w:sz w:val="20"/>
                <w:szCs w:val="20"/>
                <w:highlight w:val="black"/>
              </w:rPr>
              <w:t>''''''''''''''''''</w:t>
            </w:r>
          </w:p>
        </w:tc>
      </w:tr>
      <w:tr w:rsidR="00FC6784" w:rsidRPr="0040045E" w:rsidTr="001A2666">
        <w:trPr>
          <w:trHeight w:val="255"/>
        </w:trPr>
        <w:tc>
          <w:tcPr>
            <w:tcW w:w="2693" w:type="dxa"/>
            <w:shd w:val="clear" w:color="auto" w:fill="auto"/>
          </w:tcPr>
          <w:p w:rsidR="00796C1C" w:rsidRPr="0040045E" w:rsidRDefault="00FC6784" w:rsidP="00796C1C">
            <w:pPr>
              <w:spacing w:after="120"/>
              <w:rPr>
                <w:rFonts w:ascii="Arial Narrow" w:hAnsi="Arial Narrow"/>
                <w:sz w:val="20"/>
                <w:szCs w:val="20"/>
              </w:rPr>
            </w:pPr>
            <w:r w:rsidRPr="0040045E">
              <w:rPr>
                <w:rFonts w:ascii="Arial Narrow" w:hAnsi="Arial Narrow" w:cs="Arial"/>
                <w:sz w:val="20"/>
                <w:szCs w:val="20"/>
              </w:rPr>
              <w:t>Total net cost to the RPBS</w:t>
            </w:r>
          </w:p>
        </w:tc>
        <w:tc>
          <w:tcPr>
            <w:tcW w:w="1134" w:type="dxa"/>
            <w:shd w:val="clear" w:color="auto" w:fill="auto"/>
            <w:noWrap/>
          </w:tcPr>
          <w:p w:rsidR="00796C1C" w:rsidRPr="0040045E" w:rsidRDefault="00FC6784" w:rsidP="0040045E">
            <w:pPr>
              <w:spacing w:after="120"/>
              <w:jc w:val="right"/>
              <w:rPr>
                <w:rFonts w:ascii="Arial Narrow" w:hAnsi="Arial Narrow"/>
                <w:sz w:val="20"/>
                <w:szCs w:val="20"/>
              </w:rPr>
            </w:pPr>
            <w:r w:rsidRPr="0040045E">
              <w:rPr>
                <w:rFonts w:ascii="Arial Narrow" w:hAnsi="Arial Narrow" w:cs="Arial"/>
                <w:sz w:val="20"/>
                <w:szCs w:val="20"/>
              </w:rPr>
              <w:t>-</w:t>
            </w:r>
            <w:r w:rsidR="00796C1C"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134" w:type="dxa"/>
            <w:shd w:val="clear" w:color="auto" w:fill="auto"/>
            <w:noWrap/>
          </w:tcPr>
          <w:p w:rsidR="00796C1C" w:rsidRPr="0040045E" w:rsidRDefault="00FC6784" w:rsidP="0040045E">
            <w:pPr>
              <w:spacing w:after="120"/>
              <w:jc w:val="right"/>
              <w:rPr>
                <w:rFonts w:ascii="Arial Narrow" w:hAnsi="Arial Narrow"/>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134" w:type="dxa"/>
            <w:shd w:val="clear" w:color="auto" w:fill="auto"/>
            <w:noWrap/>
          </w:tcPr>
          <w:p w:rsidR="00796C1C" w:rsidRPr="0040045E" w:rsidRDefault="00FC6784" w:rsidP="0040045E">
            <w:pPr>
              <w:spacing w:after="120"/>
              <w:jc w:val="right"/>
              <w:rPr>
                <w:rFonts w:ascii="Arial Narrow" w:hAnsi="Arial Narrow"/>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134" w:type="dxa"/>
            <w:shd w:val="clear" w:color="auto" w:fill="auto"/>
            <w:noWrap/>
          </w:tcPr>
          <w:p w:rsidR="00796C1C" w:rsidRPr="0040045E" w:rsidRDefault="00FC6784" w:rsidP="0040045E">
            <w:pPr>
              <w:spacing w:after="120"/>
              <w:jc w:val="right"/>
              <w:rPr>
                <w:rFonts w:ascii="Arial Narrow" w:hAnsi="Arial Narrow"/>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196" w:type="dxa"/>
            <w:shd w:val="clear" w:color="auto" w:fill="auto"/>
            <w:noWrap/>
          </w:tcPr>
          <w:p w:rsidR="00796C1C" w:rsidRPr="0040045E" w:rsidRDefault="00FC6784" w:rsidP="0040045E">
            <w:pPr>
              <w:spacing w:after="120"/>
              <w:jc w:val="right"/>
              <w:rPr>
                <w:rFonts w:ascii="Arial Narrow" w:hAnsi="Arial Narrow"/>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r>
      <w:tr w:rsidR="00FC6784" w:rsidRPr="0040045E" w:rsidTr="001A2666">
        <w:trPr>
          <w:trHeight w:val="255"/>
        </w:trPr>
        <w:tc>
          <w:tcPr>
            <w:tcW w:w="2693" w:type="dxa"/>
            <w:shd w:val="clear" w:color="auto" w:fill="auto"/>
          </w:tcPr>
          <w:p w:rsidR="00796C1C" w:rsidRPr="0040045E" w:rsidRDefault="00FC6784" w:rsidP="00796C1C">
            <w:pPr>
              <w:spacing w:after="120"/>
              <w:rPr>
                <w:rFonts w:ascii="Arial Narrow" w:hAnsi="Arial Narrow"/>
                <w:sz w:val="20"/>
                <w:szCs w:val="20"/>
              </w:rPr>
            </w:pPr>
            <w:r w:rsidRPr="0040045E">
              <w:rPr>
                <w:rFonts w:ascii="Arial Narrow" w:hAnsi="Arial Narrow" w:cs="Arial"/>
                <w:sz w:val="20"/>
                <w:szCs w:val="20"/>
              </w:rPr>
              <w:t>Total net cost to Medicare Australia</w:t>
            </w:r>
          </w:p>
        </w:tc>
        <w:tc>
          <w:tcPr>
            <w:tcW w:w="1134" w:type="dxa"/>
            <w:shd w:val="clear" w:color="auto" w:fill="auto"/>
            <w:noWrap/>
          </w:tcPr>
          <w:p w:rsidR="00796C1C" w:rsidRPr="0040045E" w:rsidRDefault="003A58B7" w:rsidP="0040045E">
            <w:pPr>
              <w:spacing w:after="120"/>
              <w:jc w:val="right"/>
              <w:rPr>
                <w:rFonts w:ascii="Arial Narrow" w:hAnsi="Arial Narrow"/>
                <w:sz w:val="20"/>
                <w:szCs w:val="20"/>
              </w:rPr>
            </w:pPr>
            <w:r w:rsidRPr="0040045E">
              <w:rPr>
                <w:rFonts w:ascii="Arial Narrow" w:hAnsi="Arial Narrow"/>
                <w:sz w:val="20"/>
                <w:szCs w:val="20"/>
              </w:rPr>
              <w:t>$0</w:t>
            </w:r>
          </w:p>
        </w:tc>
        <w:tc>
          <w:tcPr>
            <w:tcW w:w="1134" w:type="dxa"/>
            <w:shd w:val="clear" w:color="auto" w:fill="auto"/>
            <w:noWrap/>
          </w:tcPr>
          <w:p w:rsidR="00796C1C" w:rsidRPr="0040045E" w:rsidRDefault="003A58B7" w:rsidP="0040045E">
            <w:pPr>
              <w:spacing w:after="120"/>
              <w:jc w:val="right"/>
              <w:rPr>
                <w:rFonts w:ascii="Arial Narrow" w:hAnsi="Arial Narrow"/>
                <w:sz w:val="20"/>
                <w:szCs w:val="20"/>
              </w:rPr>
            </w:pPr>
            <w:r w:rsidRPr="0040045E">
              <w:rPr>
                <w:rFonts w:ascii="Arial Narrow" w:hAnsi="Arial Narrow"/>
                <w:sz w:val="20"/>
                <w:szCs w:val="20"/>
              </w:rPr>
              <w:t>$0</w:t>
            </w:r>
          </w:p>
        </w:tc>
        <w:tc>
          <w:tcPr>
            <w:tcW w:w="1134" w:type="dxa"/>
            <w:shd w:val="clear" w:color="auto" w:fill="auto"/>
            <w:noWrap/>
          </w:tcPr>
          <w:p w:rsidR="00796C1C" w:rsidRPr="0040045E" w:rsidRDefault="003A58B7" w:rsidP="0040045E">
            <w:pPr>
              <w:spacing w:after="120"/>
              <w:jc w:val="right"/>
              <w:rPr>
                <w:rFonts w:ascii="Arial Narrow" w:hAnsi="Arial Narrow"/>
                <w:sz w:val="20"/>
                <w:szCs w:val="20"/>
              </w:rPr>
            </w:pPr>
            <w:r w:rsidRPr="0040045E">
              <w:rPr>
                <w:rFonts w:ascii="Arial Narrow" w:hAnsi="Arial Narrow"/>
                <w:sz w:val="20"/>
                <w:szCs w:val="20"/>
              </w:rPr>
              <w:t>$0</w:t>
            </w:r>
          </w:p>
        </w:tc>
        <w:tc>
          <w:tcPr>
            <w:tcW w:w="1134" w:type="dxa"/>
            <w:shd w:val="clear" w:color="auto" w:fill="auto"/>
            <w:noWrap/>
          </w:tcPr>
          <w:p w:rsidR="00796C1C" w:rsidRPr="0040045E" w:rsidRDefault="003A58B7" w:rsidP="0040045E">
            <w:pPr>
              <w:spacing w:after="120"/>
              <w:jc w:val="right"/>
              <w:rPr>
                <w:rFonts w:ascii="Arial Narrow" w:hAnsi="Arial Narrow"/>
                <w:sz w:val="20"/>
                <w:szCs w:val="20"/>
              </w:rPr>
            </w:pPr>
            <w:r w:rsidRPr="0040045E">
              <w:rPr>
                <w:rFonts w:ascii="Arial Narrow" w:hAnsi="Arial Narrow"/>
                <w:sz w:val="20"/>
                <w:szCs w:val="20"/>
              </w:rPr>
              <w:t>$0</w:t>
            </w:r>
          </w:p>
        </w:tc>
        <w:tc>
          <w:tcPr>
            <w:tcW w:w="1196" w:type="dxa"/>
            <w:shd w:val="clear" w:color="auto" w:fill="auto"/>
            <w:noWrap/>
          </w:tcPr>
          <w:p w:rsidR="00796C1C" w:rsidRPr="0040045E" w:rsidRDefault="003A58B7" w:rsidP="0040045E">
            <w:pPr>
              <w:spacing w:after="120"/>
              <w:jc w:val="right"/>
              <w:rPr>
                <w:rFonts w:ascii="Arial Narrow" w:hAnsi="Arial Narrow"/>
                <w:sz w:val="20"/>
                <w:szCs w:val="20"/>
              </w:rPr>
            </w:pPr>
            <w:r w:rsidRPr="0040045E">
              <w:rPr>
                <w:rFonts w:ascii="Arial Narrow" w:hAnsi="Arial Narrow"/>
                <w:sz w:val="20"/>
                <w:szCs w:val="20"/>
              </w:rPr>
              <w:t>$0</w:t>
            </w:r>
          </w:p>
        </w:tc>
      </w:tr>
      <w:tr w:rsidR="00FC6784" w:rsidRPr="0040045E" w:rsidTr="001A2666">
        <w:trPr>
          <w:trHeight w:val="255"/>
        </w:trPr>
        <w:tc>
          <w:tcPr>
            <w:tcW w:w="2693" w:type="dxa"/>
            <w:shd w:val="clear" w:color="auto" w:fill="auto"/>
          </w:tcPr>
          <w:p w:rsidR="00796C1C" w:rsidRPr="0040045E" w:rsidRDefault="00FC6784" w:rsidP="00796C1C">
            <w:pPr>
              <w:spacing w:after="120"/>
              <w:rPr>
                <w:rFonts w:ascii="Arial Narrow" w:hAnsi="Arial Narrow"/>
                <w:sz w:val="20"/>
                <w:szCs w:val="20"/>
              </w:rPr>
            </w:pPr>
            <w:r w:rsidRPr="0040045E">
              <w:rPr>
                <w:rFonts w:ascii="Arial Narrow" w:hAnsi="Arial Narrow" w:cs="Arial"/>
                <w:sz w:val="20"/>
                <w:szCs w:val="20"/>
              </w:rPr>
              <w:t>Total net cost to MBS</w:t>
            </w:r>
          </w:p>
        </w:tc>
        <w:tc>
          <w:tcPr>
            <w:tcW w:w="1134" w:type="dxa"/>
            <w:shd w:val="clear" w:color="auto" w:fill="auto"/>
            <w:noWrap/>
          </w:tcPr>
          <w:p w:rsidR="00796C1C" w:rsidRPr="0040045E" w:rsidRDefault="003A58B7" w:rsidP="0040045E">
            <w:pPr>
              <w:spacing w:after="120"/>
              <w:jc w:val="right"/>
              <w:rPr>
                <w:rFonts w:ascii="Arial Narrow" w:hAnsi="Arial Narrow"/>
                <w:sz w:val="20"/>
                <w:szCs w:val="20"/>
              </w:rPr>
            </w:pPr>
            <w:r w:rsidRPr="0040045E">
              <w:rPr>
                <w:rFonts w:ascii="Arial Narrow" w:hAnsi="Arial Narrow"/>
                <w:sz w:val="20"/>
                <w:szCs w:val="20"/>
              </w:rPr>
              <w:t>$0</w:t>
            </w:r>
          </w:p>
        </w:tc>
        <w:tc>
          <w:tcPr>
            <w:tcW w:w="1134" w:type="dxa"/>
            <w:shd w:val="clear" w:color="auto" w:fill="auto"/>
            <w:noWrap/>
          </w:tcPr>
          <w:p w:rsidR="00796C1C" w:rsidRPr="0040045E" w:rsidRDefault="003A58B7" w:rsidP="0040045E">
            <w:pPr>
              <w:spacing w:after="120"/>
              <w:jc w:val="right"/>
              <w:rPr>
                <w:rFonts w:ascii="Arial Narrow" w:hAnsi="Arial Narrow"/>
                <w:sz w:val="20"/>
                <w:szCs w:val="20"/>
              </w:rPr>
            </w:pPr>
            <w:r w:rsidRPr="0040045E">
              <w:rPr>
                <w:rFonts w:ascii="Arial Narrow" w:hAnsi="Arial Narrow"/>
                <w:sz w:val="20"/>
                <w:szCs w:val="20"/>
              </w:rPr>
              <w:t>$0</w:t>
            </w:r>
          </w:p>
        </w:tc>
        <w:tc>
          <w:tcPr>
            <w:tcW w:w="1134" w:type="dxa"/>
            <w:shd w:val="clear" w:color="auto" w:fill="auto"/>
            <w:noWrap/>
          </w:tcPr>
          <w:p w:rsidR="00796C1C" w:rsidRPr="0040045E" w:rsidRDefault="003A58B7" w:rsidP="0040045E">
            <w:pPr>
              <w:spacing w:after="120"/>
              <w:jc w:val="right"/>
              <w:rPr>
                <w:rFonts w:ascii="Arial Narrow" w:hAnsi="Arial Narrow"/>
                <w:sz w:val="20"/>
                <w:szCs w:val="20"/>
              </w:rPr>
            </w:pPr>
            <w:r w:rsidRPr="0040045E">
              <w:rPr>
                <w:rFonts w:ascii="Arial Narrow" w:hAnsi="Arial Narrow"/>
                <w:sz w:val="20"/>
                <w:szCs w:val="20"/>
              </w:rPr>
              <w:t>$0</w:t>
            </w:r>
          </w:p>
        </w:tc>
        <w:tc>
          <w:tcPr>
            <w:tcW w:w="1134" w:type="dxa"/>
            <w:shd w:val="clear" w:color="auto" w:fill="auto"/>
            <w:noWrap/>
          </w:tcPr>
          <w:p w:rsidR="00796C1C" w:rsidRPr="0040045E" w:rsidRDefault="003A58B7" w:rsidP="0040045E">
            <w:pPr>
              <w:spacing w:after="120"/>
              <w:jc w:val="right"/>
              <w:rPr>
                <w:rFonts w:ascii="Arial Narrow" w:hAnsi="Arial Narrow"/>
                <w:sz w:val="20"/>
                <w:szCs w:val="20"/>
              </w:rPr>
            </w:pPr>
            <w:r w:rsidRPr="0040045E">
              <w:rPr>
                <w:rFonts w:ascii="Arial Narrow" w:hAnsi="Arial Narrow"/>
                <w:sz w:val="20"/>
                <w:szCs w:val="20"/>
              </w:rPr>
              <w:t>$0</w:t>
            </w:r>
          </w:p>
        </w:tc>
        <w:tc>
          <w:tcPr>
            <w:tcW w:w="1196" w:type="dxa"/>
            <w:shd w:val="clear" w:color="auto" w:fill="auto"/>
            <w:noWrap/>
          </w:tcPr>
          <w:p w:rsidR="00796C1C" w:rsidRPr="0040045E" w:rsidRDefault="003A58B7" w:rsidP="0040045E">
            <w:pPr>
              <w:spacing w:after="120"/>
              <w:jc w:val="right"/>
              <w:rPr>
                <w:rFonts w:ascii="Arial Narrow" w:hAnsi="Arial Narrow"/>
                <w:sz w:val="20"/>
                <w:szCs w:val="20"/>
              </w:rPr>
            </w:pPr>
            <w:r w:rsidRPr="0040045E">
              <w:rPr>
                <w:rFonts w:ascii="Arial Narrow" w:hAnsi="Arial Narrow"/>
                <w:sz w:val="20"/>
                <w:szCs w:val="20"/>
              </w:rPr>
              <w:t>$0</w:t>
            </w:r>
          </w:p>
        </w:tc>
      </w:tr>
      <w:tr w:rsidR="00796C1C" w:rsidRPr="0040045E" w:rsidTr="001A2666">
        <w:trPr>
          <w:trHeight w:val="255"/>
        </w:trPr>
        <w:tc>
          <w:tcPr>
            <w:tcW w:w="8425" w:type="dxa"/>
            <w:gridSpan w:val="6"/>
            <w:shd w:val="clear" w:color="auto" w:fill="auto"/>
            <w:noWrap/>
          </w:tcPr>
          <w:p w:rsidR="00796C1C" w:rsidRPr="0040045E" w:rsidRDefault="00796C1C" w:rsidP="00425E1E">
            <w:pPr>
              <w:spacing w:after="120"/>
              <w:rPr>
                <w:rFonts w:ascii="Arial Narrow" w:hAnsi="Arial Narrow"/>
                <w:b/>
                <w:sz w:val="20"/>
                <w:szCs w:val="20"/>
              </w:rPr>
            </w:pPr>
            <w:r w:rsidRPr="0040045E">
              <w:rPr>
                <w:rFonts w:ascii="Arial Narrow" w:hAnsi="Arial Narrow" w:cs="Arial"/>
                <w:b/>
                <w:sz w:val="20"/>
                <w:szCs w:val="20"/>
              </w:rPr>
              <w:t>Overall Net Cost to PBS/RPBS</w:t>
            </w:r>
          </w:p>
        </w:tc>
      </w:tr>
      <w:tr w:rsidR="00FC6784" w:rsidRPr="0040045E" w:rsidTr="001A2666">
        <w:trPr>
          <w:trHeight w:val="255"/>
        </w:trPr>
        <w:tc>
          <w:tcPr>
            <w:tcW w:w="2693" w:type="dxa"/>
            <w:shd w:val="clear" w:color="auto" w:fill="auto"/>
          </w:tcPr>
          <w:p w:rsidR="00796C1C" w:rsidRPr="0040045E" w:rsidRDefault="00796C1C" w:rsidP="00796C1C">
            <w:pPr>
              <w:spacing w:after="120"/>
              <w:rPr>
                <w:rFonts w:ascii="Arial Narrow" w:hAnsi="Arial Narrow"/>
                <w:sz w:val="20"/>
                <w:szCs w:val="20"/>
              </w:rPr>
            </w:pPr>
            <w:r w:rsidRPr="0040045E">
              <w:rPr>
                <w:rFonts w:ascii="Arial Narrow" w:hAnsi="Arial Narrow" w:cs="Arial"/>
                <w:sz w:val="20"/>
                <w:szCs w:val="20"/>
              </w:rPr>
              <w:t>Overall Net Cost to PBS/RPBS</w:t>
            </w:r>
          </w:p>
        </w:tc>
        <w:tc>
          <w:tcPr>
            <w:tcW w:w="1134" w:type="dxa"/>
            <w:shd w:val="clear" w:color="auto" w:fill="auto"/>
            <w:noWrap/>
            <w:vAlign w:val="bottom"/>
          </w:tcPr>
          <w:p w:rsidR="00796C1C" w:rsidRPr="0040045E" w:rsidRDefault="00796C1C" w:rsidP="0040045E">
            <w:pPr>
              <w:spacing w:after="120"/>
              <w:jc w:val="right"/>
              <w:rPr>
                <w:rFonts w:ascii="Arial Narrow" w:hAnsi="Arial Narrow"/>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134" w:type="dxa"/>
            <w:shd w:val="clear" w:color="auto" w:fill="auto"/>
            <w:noWrap/>
            <w:vAlign w:val="bottom"/>
          </w:tcPr>
          <w:p w:rsidR="00796C1C" w:rsidRPr="0040045E" w:rsidRDefault="00796C1C" w:rsidP="0040045E">
            <w:pPr>
              <w:spacing w:after="120"/>
              <w:jc w:val="right"/>
              <w:rPr>
                <w:rFonts w:ascii="Arial Narrow" w:hAnsi="Arial Narrow"/>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134" w:type="dxa"/>
            <w:shd w:val="clear" w:color="auto" w:fill="auto"/>
            <w:noWrap/>
            <w:vAlign w:val="bottom"/>
          </w:tcPr>
          <w:p w:rsidR="00796C1C" w:rsidRPr="0040045E" w:rsidRDefault="00796C1C" w:rsidP="0040045E">
            <w:pPr>
              <w:spacing w:after="120"/>
              <w:jc w:val="right"/>
              <w:rPr>
                <w:rFonts w:ascii="Arial Narrow" w:hAnsi="Arial Narrow"/>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134" w:type="dxa"/>
            <w:shd w:val="clear" w:color="auto" w:fill="auto"/>
            <w:noWrap/>
            <w:vAlign w:val="bottom"/>
          </w:tcPr>
          <w:p w:rsidR="00796C1C" w:rsidRPr="0040045E" w:rsidRDefault="00796C1C" w:rsidP="0040045E">
            <w:pPr>
              <w:spacing w:after="120"/>
              <w:jc w:val="right"/>
              <w:rPr>
                <w:rFonts w:ascii="Arial Narrow" w:hAnsi="Arial Narrow"/>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c>
          <w:tcPr>
            <w:tcW w:w="1196" w:type="dxa"/>
            <w:shd w:val="clear" w:color="auto" w:fill="auto"/>
            <w:noWrap/>
            <w:vAlign w:val="bottom"/>
          </w:tcPr>
          <w:p w:rsidR="00796C1C" w:rsidRPr="0040045E" w:rsidRDefault="00796C1C" w:rsidP="0040045E">
            <w:pPr>
              <w:spacing w:after="120"/>
              <w:jc w:val="right"/>
              <w:rPr>
                <w:rFonts w:ascii="Arial Narrow" w:hAnsi="Arial Narrow"/>
                <w:sz w:val="20"/>
                <w:szCs w:val="20"/>
              </w:rPr>
            </w:pPr>
            <w:r w:rsidRPr="0040045E">
              <w:rPr>
                <w:rFonts w:ascii="Arial Narrow" w:hAnsi="Arial Narrow" w:cs="Arial"/>
                <w:sz w:val="20"/>
                <w:szCs w:val="20"/>
              </w:rPr>
              <w:t>-$</w:t>
            </w:r>
            <w:r w:rsidR="00BB10A6">
              <w:rPr>
                <w:rFonts w:ascii="Arial Narrow" w:hAnsi="Arial Narrow" w:cs="Arial"/>
                <w:noProof/>
                <w:color w:val="000000"/>
                <w:sz w:val="20"/>
                <w:szCs w:val="20"/>
                <w:highlight w:val="black"/>
              </w:rPr>
              <w:t>'''''''''''''''''''</w:t>
            </w:r>
          </w:p>
        </w:tc>
      </w:tr>
    </w:tbl>
    <w:p w:rsidR="005D2AC3" w:rsidRPr="0040045E" w:rsidRDefault="005D2AC3" w:rsidP="005D2AC3">
      <w:pPr>
        <w:ind w:left="709"/>
        <w:rPr>
          <w:rFonts w:ascii="Arial Narrow" w:hAnsi="Arial Narrow"/>
          <w:sz w:val="18"/>
          <w:szCs w:val="18"/>
        </w:rPr>
      </w:pPr>
      <w:r w:rsidRPr="0040045E">
        <w:rPr>
          <w:rFonts w:ascii="Arial Narrow" w:hAnsi="Arial Narrow"/>
          <w:sz w:val="18"/>
          <w:szCs w:val="18"/>
        </w:rPr>
        <w:t>Source: Summary Sheet, LOZANOC Pbac-minor-submissions_Aug2015.xlxs</w:t>
      </w:r>
    </w:p>
    <w:p w:rsidR="00D5536A" w:rsidRPr="0040045E" w:rsidRDefault="00D5536A">
      <w:pPr>
        <w:rPr>
          <w:rFonts w:ascii="Arial" w:hAnsi="Arial"/>
          <w:sz w:val="22"/>
          <w:szCs w:val="22"/>
        </w:rPr>
      </w:pPr>
    </w:p>
    <w:p w:rsidR="00696006" w:rsidRPr="0040045E" w:rsidRDefault="00696006" w:rsidP="00696006">
      <w:pPr>
        <w:pStyle w:val="ListParagraph"/>
        <w:numPr>
          <w:ilvl w:val="1"/>
          <w:numId w:val="25"/>
        </w:numPr>
        <w:rPr>
          <w:rFonts w:ascii="Arial" w:hAnsi="Arial"/>
          <w:sz w:val="22"/>
          <w:szCs w:val="22"/>
        </w:rPr>
      </w:pPr>
      <w:r w:rsidRPr="0040045E">
        <w:rPr>
          <w:rFonts w:ascii="Arial" w:hAnsi="Arial"/>
          <w:sz w:val="22"/>
          <w:szCs w:val="22"/>
        </w:rPr>
        <w:t>As this was a minor submission, the estimates have not been independently evaluated.</w:t>
      </w:r>
    </w:p>
    <w:p w:rsidR="001B00D7" w:rsidRPr="0040045E" w:rsidRDefault="001B00D7" w:rsidP="001B00D7">
      <w:pPr>
        <w:ind w:left="720" w:hanging="11"/>
        <w:jc w:val="both"/>
        <w:rPr>
          <w:rFonts w:ascii="Arial" w:hAnsi="Arial"/>
          <w:i/>
          <w:sz w:val="22"/>
          <w:szCs w:val="22"/>
        </w:rPr>
      </w:pPr>
    </w:p>
    <w:p w:rsidR="001B00D7" w:rsidRPr="0040045E" w:rsidRDefault="001B00D7" w:rsidP="001B00D7">
      <w:pPr>
        <w:ind w:left="720" w:hanging="11"/>
        <w:jc w:val="both"/>
        <w:rPr>
          <w:rFonts w:ascii="Arial" w:hAnsi="Arial"/>
          <w:sz w:val="22"/>
          <w:szCs w:val="22"/>
        </w:rPr>
      </w:pPr>
      <w:r w:rsidRPr="0040045E">
        <w:rPr>
          <w:rFonts w:ascii="Arial" w:hAnsi="Arial"/>
          <w:i/>
          <w:sz w:val="22"/>
          <w:szCs w:val="22"/>
        </w:rPr>
        <w:t>For more details on PBAC’s view, see section 7 “PBAC outcome”.</w:t>
      </w:r>
    </w:p>
    <w:p w:rsidR="003872CF" w:rsidRPr="0040045E" w:rsidRDefault="003872CF" w:rsidP="00674FD4">
      <w:pPr>
        <w:pStyle w:val="ListParagraph"/>
        <w:ind w:left="709"/>
        <w:jc w:val="both"/>
        <w:rPr>
          <w:rFonts w:ascii="Arial" w:hAnsi="Arial"/>
          <w:sz w:val="22"/>
          <w:szCs w:val="22"/>
        </w:rPr>
      </w:pPr>
    </w:p>
    <w:p w:rsidR="001B00D7" w:rsidRPr="0040045E" w:rsidRDefault="001B00D7">
      <w:pPr>
        <w:rPr>
          <w:rFonts w:ascii="Arial" w:hAnsi="Arial"/>
          <w:sz w:val="22"/>
          <w:szCs w:val="22"/>
        </w:rPr>
      </w:pPr>
    </w:p>
    <w:p w:rsidR="008A3162" w:rsidRPr="0040045E" w:rsidRDefault="008A3162" w:rsidP="00F555AB">
      <w:pPr>
        <w:pStyle w:val="Heading1"/>
        <w:rPr>
          <w:snapToGrid w:val="0"/>
          <w:lang w:eastAsia="en-US"/>
        </w:rPr>
      </w:pPr>
      <w:r w:rsidRPr="0040045E">
        <w:rPr>
          <w:snapToGrid w:val="0"/>
          <w:lang w:eastAsia="en-US"/>
        </w:rPr>
        <w:t>PBAC Outcome</w:t>
      </w:r>
    </w:p>
    <w:p w:rsidR="008A3162" w:rsidRPr="0040045E" w:rsidRDefault="008A3162" w:rsidP="008A3162">
      <w:pPr>
        <w:contextualSpacing/>
        <w:jc w:val="both"/>
        <w:rPr>
          <w:rFonts w:ascii="Arial" w:hAnsi="Arial" w:cs="Arial"/>
          <w:b/>
          <w:bCs/>
          <w:snapToGrid w:val="0"/>
          <w:sz w:val="22"/>
          <w:szCs w:val="22"/>
          <w:lang w:eastAsia="en-US"/>
        </w:rPr>
      </w:pPr>
    </w:p>
    <w:p w:rsidR="00AA7F22" w:rsidRPr="0040045E" w:rsidRDefault="002B3245" w:rsidP="00AA7F22">
      <w:pPr>
        <w:widowControl w:val="0"/>
        <w:numPr>
          <w:ilvl w:val="1"/>
          <w:numId w:val="25"/>
        </w:numPr>
        <w:spacing w:after="120"/>
        <w:contextualSpacing/>
        <w:jc w:val="both"/>
        <w:rPr>
          <w:rFonts w:ascii="Arial" w:hAnsi="Arial"/>
          <w:sz w:val="22"/>
          <w:szCs w:val="22"/>
        </w:rPr>
      </w:pPr>
      <w:r w:rsidRPr="0040045E">
        <w:rPr>
          <w:rFonts w:ascii="Arial" w:hAnsi="Arial"/>
          <w:sz w:val="22"/>
          <w:szCs w:val="22"/>
        </w:rPr>
        <w:t>The PBAC recommended the Authority Required (Streamlined) listin</w:t>
      </w:r>
      <w:r w:rsidR="0041316E" w:rsidRPr="0040045E">
        <w:rPr>
          <w:rFonts w:ascii="Arial" w:hAnsi="Arial"/>
          <w:sz w:val="22"/>
          <w:szCs w:val="22"/>
        </w:rPr>
        <w:t xml:space="preserve">g of </w:t>
      </w:r>
      <w:proofErr w:type="spellStart"/>
      <w:r w:rsidR="0041316E" w:rsidRPr="0040045E">
        <w:rPr>
          <w:rFonts w:ascii="Arial" w:hAnsi="Arial"/>
          <w:sz w:val="22"/>
          <w:szCs w:val="22"/>
        </w:rPr>
        <w:t>itraconazole</w:t>
      </w:r>
      <w:proofErr w:type="spellEnd"/>
      <w:r w:rsidR="0041316E" w:rsidRPr="0040045E">
        <w:rPr>
          <w:rFonts w:ascii="Arial" w:hAnsi="Arial"/>
          <w:sz w:val="22"/>
          <w:szCs w:val="22"/>
        </w:rPr>
        <w:t xml:space="preserve"> 50mg capsule </w:t>
      </w:r>
      <w:r w:rsidRPr="0040045E">
        <w:rPr>
          <w:rFonts w:ascii="Arial" w:hAnsi="Arial"/>
          <w:sz w:val="22"/>
          <w:szCs w:val="22"/>
        </w:rPr>
        <w:t>for the same indications</w:t>
      </w:r>
      <w:r w:rsidR="00A80A04" w:rsidRPr="0040045E">
        <w:rPr>
          <w:rFonts w:ascii="Arial" w:hAnsi="Arial"/>
          <w:sz w:val="22"/>
          <w:szCs w:val="22"/>
        </w:rPr>
        <w:t xml:space="preserve"> (systemic </w:t>
      </w:r>
      <w:proofErr w:type="spellStart"/>
      <w:r w:rsidR="00A80A04" w:rsidRPr="0040045E">
        <w:rPr>
          <w:rFonts w:ascii="Arial" w:hAnsi="Arial"/>
          <w:sz w:val="22"/>
          <w:szCs w:val="22"/>
        </w:rPr>
        <w:t>aspergillosis</w:t>
      </w:r>
      <w:proofErr w:type="spellEnd"/>
      <w:r w:rsidR="00A80A04" w:rsidRPr="0040045E">
        <w:rPr>
          <w:rFonts w:ascii="Arial" w:hAnsi="Arial"/>
          <w:sz w:val="22"/>
          <w:szCs w:val="22"/>
        </w:rPr>
        <w:t xml:space="preserve">, systemic </w:t>
      </w:r>
      <w:proofErr w:type="spellStart"/>
      <w:r w:rsidR="00A80A04" w:rsidRPr="0040045E">
        <w:rPr>
          <w:rFonts w:ascii="Arial" w:hAnsi="Arial"/>
          <w:sz w:val="22"/>
          <w:szCs w:val="22"/>
        </w:rPr>
        <w:t>sporotrichosis</w:t>
      </w:r>
      <w:proofErr w:type="spellEnd"/>
      <w:r w:rsidR="00A80A04" w:rsidRPr="0040045E">
        <w:rPr>
          <w:rFonts w:ascii="Arial" w:hAnsi="Arial"/>
          <w:sz w:val="22"/>
          <w:szCs w:val="22"/>
        </w:rPr>
        <w:t xml:space="preserve">, systemic histoplasmosis, disseminated pulmonary histoplasmosis infection, chronic pulmonary histoplasmosis infection, oropharyngeal candidiasis, and oesophageal candidiasis) </w:t>
      </w:r>
      <w:r w:rsidR="00BF472E" w:rsidRPr="0040045E">
        <w:rPr>
          <w:rFonts w:ascii="Arial" w:hAnsi="Arial"/>
          <w:sz w:val="22"/>
          <w:szCs w:val="22"/>
        </w:rPr>
        <w:t xml:space="preserve">and </w:t>
      </w:r>
      <w:r w:rsidR="00A80A04" w:rsidRPr="0040045E">
        <w:rPr>
          <w:rFonts w:ascii="Arial" w:hAnsi="Arial"/>
          <w:sz w:val="22"/>
          <w:szCs w:val="22"/>
        </w:rPr>
        <w:t xml:space="preserve">with same </w:t>
      </w:r>
      <w:r w:rsidR="00BF472E" w:rsidRPr="0040045E">
        <w:rPr>
          <w:rFonts w:ascii="Arial" w:hAnsi="Arial"/>
          <w:sz w:val="22"/>
          <w:szCs w:val="22"/>
        </w:rPr>
        <w:t xml:space="preserve">restriction rules </w:t>
      </w:r>
      <w:r w:rsidRPr="0040045E">
        <w:rPr>
          <w:rFonts w:ascii="Arial" w:hAnsi="Arial"/>
          <w:sz w:val="22"/>
          <w:szCs w:val="22"/>
        </w:rPr>
        <w:t>as the</w:t>
      </w:r>
      <w:r w:rsidR="00BF472E" w:rsidRPr="0040045E">
        <w:rPr>
          <w:rFonts w:ascii="Arial" w:hAnsi="Arial"/>
          <w:sz w:val="22"/>
          <w:szCs w:val="22"/>
        </w:rPr>
        <w:t>y</w:t>
      </w:r>
      <w:r w:rsidRPr="0040045E">
        <w:rPr>
          <w:rFonts w:ascii="Arial" w:hAnsi="Arial"/>
          <w:sz w:val="22"/>
          <w:szCs w:val="22"/>
        </w:rPr>
        <w:t xml:space="preserve"> currently </w:t>
      </w:r>
      <w:r w:rsidR="00BF472E" w:rsidRPr="0040045E">
        <w:rPr>
          <w:rFonts w:ascii="Arial" w:hAnsi="Arial"/>
          <w:sz w:val="22"/>
          <w:szCs w:val="22"/>
        </w:rPr>
        <w:t xml:space="preserve">apply to the </w:t>
      </w:r>
      <w:r w:rsidRPr="0040045E">
        <w:rPr>
          <w:rFonts w:ascii="Arial" w:hAnsi="Arial"/>
          <w:sz w:val="22"/>
          <w:szCs w:val="22"/>
        </w:rPr>
        <w:t xml:space="preserve">PBS-listed </w:t>
      </w:r>
      <w:proofErr w:type="spellStart"/>
      <w:r w:rsidRPr="0040045E">
        <w:rPr>
          <w:rFonts w:ascii="Arial" w:hAnsi="Arial"/>
          <w:sz w:val="22"/>
          <w:szCs w:val="22"/>
        </w:rPr>
        <w:t>itraconazole</w:t>
      </w:r>
      <w:proofErr w:type="spellEnd"/>
      <w:r w:rsidRPr="0040045E">
        <w:rPr>
          <w:rFonts w:ascii="Arial" w:hAnsi="Arial"/>
          <w:sz w:val="22"/>
          <w:szCs w:val="22"/>
        </w:rPr>
        <w:t xml:space="preserve"> </w:t>
      </w:r>
      <w:r w:rsidR="008848ED" w:rsidRPr="0040045E">
        <w:rPr>
          <w:rFonts w:ascii="Arial" w:hAnsi="Arial"/>
          <w:sz w:val="22"/>
          <w:szCs w:val="22"/>
        </w:rPr>
        <w:t>100mg capsule</w:t>
      </w:r>
      <w:r w:rsidR="00D96287" w:rsidRPr="0040045E">
        <w:rPr>
          <w:rFonts w:ascii="Arial" w:hAnsi="Arial"/>
          <w:sz w:val="22"/>
          <w:szCs w:val="22"/>
        </w:rPr>
        <w:t>.</w:t>
      </w:r>
      <w:r w:rsidR="00F96F80" w:rsidRPr="0040045E">
        <w:rPr>
          <w:rFonts w:ascii="Arial" w:hAnsi="Arial"/>
          <w:sz w:val="22"/>
          <w:szCs w:val="22"/>
        </w:rPr>
        <w:t xml:space="preserve"> </w:t>
      </w:r>
    </w:p>
    <w:p w:rsidR="00AA7F22" w:rsidRPr="0040045E" w:rsidRDefault="00AA7F22" w:rsidP="00AA7F22">
      <w:pPr>
        <w:widowControl w:val="0"/>
        <w:spacing w:after="120"/>
        <w:ind w:left="720"/>
        <w:contextualSpacing/>
        <w:jc w:val="both"/>
        <w:rPr>
          <w:rFonts w:ascii="Arial" w:hAnsi="Arial"/>
          <w:sz w:val="22"/>
          <w:szCs w:val="22"/>
        </w:rPr>
      </w:pPr>
    </w:p>
    <w:p w:rsidR="008848ED" w:rsidRPr="0040045E" w:rsidRDefault="008848ED" w:rsidP="008A3162">
      <w:pPr>
        <w:widowControl w:val="0"/>
        <w:numPr>
          <w:ilvl w:val="1"/>
          <w:numId w:val="25"/>
        </w:numPr>
        <w:spacing w:after="120"/>
        <w:contextualSpacing/>
        <w:jc w:val="both"/>
        <w:rPr>
          <w:rFonts w:ascii="Arial" w:hAnsi="Arial"/>
          <w:sz w:val="22"/>
          <w:szCs w:val="22"/>
        </w:rPr>
      </w:pPr>
      <w:r w:rsidRPr="0040045E">
        <w:rPr>
          <w:rFonts w:ascii="Arial" w:hAnsi="Arial"/>
          <w:sz w:val="22"/>
          <w:szCs w:val="22"/>
        </w:rPr>
        <w:t xml:space="preserve">The PBAC noted that the submission partially addressed the </w:t>
      </w:r>
      <w:r w:rsidR="005176D0">
        <w:rPr>
          <w:rFonts w:ascii="Arial" w:hAnsi="Arial"/>
          <w:sz w:val="22"/>
          <w:szCs w:val="22"/>
        </w:rPr>
        <w:t xml:space="preserve">issues raised by the </w:t>
      </w:r>
      <w:r w:rsidRPr="0040045E">
        <w:rPr>
          <w:rFonts w:ascii="Arial" w:hAnsi="Arial"/>
          <w:sz w:val="22"/>
          <w:szCs w:val="22"/>
        </w:rPr>
        <w:t>Committee from previous submission</w:t>
      </w:r>
      <w:r w:rsidR="00F96F80" w:rsidRPr="0040045E">
        <w:rPr>
          <w:rFonts w:ascii="Arial" w:hAnsi="Arial"/>
          <w:sz w:val="22"/>
          <w:szCs w:val="22"/>
        </w:rPr>
        <w:t xml:space="preserve"> considered at the November 2014 meeting</w:t>
      </w:r>
      <w:r w:rsidRPr="0040045E">
        <w:rPr>
          <w:rFonts w:ascii="Arial" w:hAnsi="Arial"/>
          <w:sz w:val="22"/>
          <w:szCs w:val="22"/>
        </w:rPr>
        <w:t xml:space="preserve">. </w:t>
      </w:r>
    </w:p>
    <w:p w:rsidR="00BF472E" w:rsidRPr="0040045E" w:rsidRDefault="00BF472E" w:rsidP="00BF472E">
      <w:pPr>
        <w:widowControl w:val="0"/>
        <w:spacing w:after="120"/>
        <w:ind w:left="720"/>
        <w:contextualSpacing/>
        <w:jc w:val="both"/>
        <w:rPr>
          <w:rFonts w:ascii="Arial" w:hAnsi="Arial"/>
          <w:sz w:val="22"/>
          <w:szCs w:val="22"/>
        </w:rPr>
      </w:pPr>
    </w:p>
    <w:p w:rsidR="00F96F80" w:rsidRPr="0040045E" w:rsidRDefault="00F96F80" w:rsidP="008A3162">
      <w:pPr>
        <w:widowControl w:val="0"/>
        <w:numPr>
          <w:ilvl w:val="1"/>
          <w:numId w:val="25"/>
        </w:numPr>
        <w:spacing w:after="120"/>
        <w:contextualSpacing/>
        <w:jc w:val="both"/>
        <w:rPr>
          <w:rFonts w:ascii="Arial" w:hAnsi="Arial"/>
          <w:sz w:val="22"/>
          <w:szCs w:val="22"/>
        </w:rPr>
      </w:pPr>
      <w:r w:rsidRPr="0040045E">
        <w:rPr>
          <w:rFonts w:ascii="Arial" w:hAnsi="Arial"/>
          <w:sz w:val="22"/>
          <w:szCs w:val="22"/>
        </w:rPr>
        <w:t xml:space="preserve">The PBAC agreed that the nominated comparator </w:t>
      </w:r>
      <w:proofErr w:type="spellStart"/>
      <w:r w:rsidR="0041316E" w:rsidRPr="0040045E">
        <w:rPr>
          <w:rFonts w:ascii="Arial" w:hAnsi="Arial"/>
          <w:sz w:val="22"/>
          <w:szCs w:val="22"/>
        </w:rPr>
        <w:t>itraconazole</w:t>
      </w:r>
      <w:proofErr w:type="spellEnd"/>
      <w:r w:rsidR="0041316E" w:rsidRPr="0040045E">
        <w:rPr>
          <w:rFonts w:ascii="Arial" w:hAnsi="Arial"/>
          <w:sz w:val="22"/>
          <w:szCs w:val="22"/>
        </w:rPr>
        <w:t xml:space="preserve"> 100mg capsule </w:t>
      </w:r>
      <w:r w:rsidRPr="0040045E">
        <w:rPr>
          <w:rFonts w:ascii="Arial" w:hAnsi="Arial"/>
          <w:sz w:val="22"/>
          <w:szCs w:val="22"/>
        </w:rPr>
        <w:t>was reasonable.</w:t>
      </w:r>
    </w:p>
    <w:p w:rsidR="00F96F80" w:rsidRPr="0040045E" w:rsidRDefault="00F96F80" w:rsidP="00F96F80">
      <w:pPr>
        <w:widowControl w:val="0"/>
        <w:spacing w:after="120"/>
        <w:ind w:left="720"/>
        <w:contextualSpacing/>
        <w:jc w:val="both"/>
        <w:rPr>
          <w:rFonts w:ascii="Arial" w:hAnsi="Arial"/>
          <w:sz w:val="22"/>
          <w:szCs w:val="22"/>
        </w:rPr>
      </w:pPr>
    </w:p>
    <w:p w:rsidR="008A3162" w:rsidRPr="0040045E" w:rsidRDefault="00D04278" w:rsidP="008A3162">
      <w:pPr>
        <w:widowControl w:val="0"/>
        <w:numPr>
          <w:ilvl w:val="1"/>
          <w:numId w:val="25"/>
        </w:numPr>
        <w:spacing w:after="120"/>
        <w:contextualSpacing/>
        <w:jc w:val="both"/>
        <w:rPr>
          <w:rFonts w:ascii="Arial" w:hAnsi="Arial"/>
          <w:sz w:val="22"/>
          <w:szCs w:val="22"/>
        </w:rPr>
      </w:pPr>
      <w:r w:rsidRPr="0040045E">
        <w:rPr>
          <w:rFonts w:ascii="Arial" w:hAnsi="Arial"/>
          <w:sz w:val="22"/>
          <w:szCs w:val="22"/>
        </w:rPr>
        <w:t xml:space="preserve">The PBAC </w:t>
      </w:r>
      <w:r w:rsidR="005176D0">
        <w:rPr>
          <w:rFonts w:ascii="Arial" w:hAnsi="Arial"/>
          <w:sz w:val="22"/>
          <w:szCs w:val="22"/>
        </w:rPr>
        <w:t>noted</w:t>
      </w:r>
      <w:r w:rsidR="005176D0" w:rsidRPr="0040045E">
        <w:rPr>
          <w:rFonts w:ascii="Arial" w:hAnsi="Arial"/>
          <w:sz w:val="22"/>
          <w:szCs w:val="22"/>
        </w:rPr>
        <w:t xml:space="preserve"> </w:t>
      </w:r>
      <w:r w:rsidRPr="0040045E">
        <w:rPr>
          <w:rFonts w:ascii="Arial" w:hAnsi="Arial"/>
          <w:sz w:val="22"/>
          <w:szCs w:val="22"/>
        </w:rPr>
        <w:t xml:space="preserve">that the clinical trial </w:t>
      </w:r>
      <w:r w:rsidR="005176D0">
        <w:rPr>
          <w:rFonts w:ascii="Arial" w:hAnsi="Arial"/>
          <w:sz w:val="22"/>
          <w:szCs w:val="22"/>
        </w:rPr>
        <w:t xml:space="preserve">presented </w:t>
      </w:r>
      <w:r w:rsidRPr="0040045E">
        <w:rPr>
          <w:rFonts w:ascii="Arial" w:hAnsi="Arial"/>
          <w:sz w:val="22"/>
          <w:szCs w:val="22"/>
        </w:rPr>
        <w:t>was not powered to demonstrate bio</w:t>
      </w:r>
      <w:r w:rsidR="008848ED" w:rsidRPr="0040045E">
        <w:rPr>
          <w:rFonts w:ascii="Arial" w:hAnsi="Arial"/>
          <w:sz w:val="22"/>
          <w:szCs w:val="22"/>
        </w:rPr>
        <w:noBreakHyphen/>
      </w:r>
      <w:r w:rsidRPr="0040045E">
        <w:rPr>
          <w:rFonts w:ascii="Arial" w:hAnsi="Arial"/>
          <w:sz w:val="22"/>
          <w:szCs w:val="22"/>
        </w:rPr>
        <w:t>equivalence</w:t>
      </w:r>
      <w:r w:rsidR="005176D0">
        <w:rPr>
          <w:rFonts w:ascii="Arial" w:hAnsi="Arial"/>
          <w:sz w:val="22"/>
          <w:szCs w:val="22"/>
        </w:rPr>
        <w:t>.</w:t>
      </w:r>
      <w:r w:rsidRPr="0040045E">
        <w:rPr>
          <w:rFonts w:ascii="Arial" w:hAnsi="Arial"/>
          <w:sz w:val="22"/>
          <w:szCs w:val="22"/>
        </w:rPr>
        <w:t xml:space="preserve"> </w:t>
      </w:r>
      <w:r w:rsidR="005176D0">
        <w:rPr>
          <w:rFonts w:ascii="Arial" w:hAnsi="Arial"/>
          <w:sz w:val="22"/>
          <w:szCs w:val="22"/>
        </w:rPr>
        <w:t xml:space="preserve"> The PBAC also noted </w:t>
      </w:r>
      <w:r w:rsidR="0041316E" w:rsidRPr="0040045E">
        <w:rPr>
          <w:rFonts w:ascii="Arial" w:hAnsi="Arial"/>
          <w:sz w:val="22"/>
          <w:szCs w:val="22"/>
        </w:rPr>
        <w:t>that</w:t>
      </w:r>
      <w:r w:rsidRPr="0040045E">
        <w:rPr>
          <w:rFonts w:ascii="Arial" w:hAnsi="Arial"/>
          <w:sz w:val="22"/>
          <w:szCs w:val="22"/>
        </w:rPr>
        <w:t xml:space="preserve"> </w:t>
      </w:r>
      <w:r w:rsidR="005176D0">
        <w:rPr>
          <w:rFonts w:ascii="Arial" w:hAnsi="Arial"/>
          <w:sz w:val="22"/>
          <w:szCs w:val="22"/>
        </w:rPr>
        <w:t xml:space="preserve">although </w:t>
      </w:r>
      <w:r w:rsidR="000964D8" w:rsidRPr="0040045E">
        <w:rPr>
          <w:rFonts w:ascii="Arial" w:hAnsi="Arial"/>
          <w:sz w:val="22"/>
          <w:szCs w:val="22"/>
        </w:rPr>
        <w:t>the sponsor’s claim of higher bioavailability</w:t>
      </w:r>
      <w:r w:rsidR="005176D0">
        <w:rPr>
          <w:rFonts w:ascii="Arial" w:hAnsi="Arial"/>
          <w:sz w:val="22"/>
          <w:szCs w:val="22"/>
        </w:rPr>
        <w:t xml:space="preserve"> was true for </w:t>
      </w:r>
      <w:proofErr w:type="spellStart"/>
      <w:r w:rsidR="005176D0">
        <w:rPr>
          <w:rFonts w:ascii="Arial" w:hAnsi="Arial"/>
          <w:sz w:val="22"/>
          <w:szCs w:val="22"/>
        </w:rPr>
        <w:t>itraconazole</w:t>
      </w:r>
      <w:proofErr w:type="spellEnd"/>
      <w:r w:rsidR="005176D0">
        <w:rPr>
          <w:rFonts w:ascii="Arial" w:hAnsi="Arial"/>
          <w:sz w:val="22"/>
          <w:szCs w:val="22"/>
        </w:rPr>
        <w:t xml:space="preserve"> 50 mg, the PBAC considered that</w:t>
      </w:r>
      <w:r w:rsidR="00C35911">
        <w:rPr>
          <w:rFonts w:ascii="Arial" w:hAnsi="Arial"/>
          <w:sz w:val="22"/>
          <w:szCs w:val="22"/>
        </w:rPr>
        <w:t xml:space="preserve"> the </w:t>
      </w:r>
      <w:proofErr w:type="spellStart"/>
      <w:r w:rsidR="00C35911">
        <w:rPr>
          <w:rFonts w:ascii="Arial" w:hAnsi="Arial"/>
          <w:sz w:val="22"/>
          <w:szCs w:val="22"/>
        </w:rPr>
        <w:t>Cmax</w:t>
      </w:r>
      <w:proofErr w:type="spellEnd"/>
      <w:r w:rsidR="00C35911">
        <w:rPr>
          <w:rFonts w:ascii="Arial" w:hAnsi="Arial"/>
          <w:sz w:val="22"/>
          <w:szCs w:val="22"/>
        </w:rPr>
        <w:t xml:space="preserve"> and area under the curve were numerically lower compared with the comparator because the 50 mg dose is less than 100 mg.</w:t>
      </w:r>
      <w:r w:rsidR="00F555AB">
        <w:rPr>
          <w:rFonts w:ascii="Arial" w:hAnsi="Arial"/>
          <w:sz w:val="22"/>
          <w:szCs w:val="22"/>
        </w:rPr>
        <w:t xml:space="preserve"> </w:t>
      </w:r>
    </w:p>
    <w:p w:rsidR="00BF472E" w:rsidRPr="0040045E" w:rsidRDefault="00BF472E" w:rsidP="00BF472E">
      <w:pPr>
        <w:widowControl w:val="0"/>
        <w:spacing w:after="120"/>
        <w:ind w:left="720"/>
        <w:contextualSpacing/>
        <w:jc w:val="both"/>
        <w:rPr>
          <w:rFonts w:ascii="Arial" w:hAnsi="Arial"/>
          <w:sz w:val="22"/>
          <w:szCs w:val="22"/>
        </w:rPr>
      </w:pPr>
    </w:p>
    <w:p w:rsidR="000964D8" w:rsidRPr="0040045E" w:rsidRDefault="000964D8" w:rsidP="008A3162">
      <w:pPr>
        <w:widowControl w:val="0"/>
        <w:numPr>
          <w:ilvl w:val="1"/>
          <w:numId w:val="25"/>
        </w:numPr>
        <w:spacing w:after="120"/>
        <w:contextualSpacing/>
        <w:jc w:val="both"/>
        <w:rPr>
          <w:rFonts w:ascii="Arial" w:hAnsi="Arial"/>
          <w:sz w:val="22"/>
          <w:szCs w:val="22"/>
        </w:rPr>
      </w:pPr>
      <w:r w:rsidRPr="0040045E">
        <w:rPr>
          <w:rFonts w:ascii="Arial" w:hAnsi="Arial"/>
          <w:sz w:val="22"/>
          <w:szCs w:val="22"/>
        </w:rPr>
        <w:t xml:space="preserve">The PBAC </w:t>
      </w:r>
      <w:r w:rsidR="00D3760E">
        <w:rPr>
          <w:rFonts w:ascii="Arial" w:hAnsi="Arial"/>
          <w:sz w:val="22"/>
          <w:szCs w:val="22"/>
        </w:rPr>
        <w:t>accepted</w:t>
      </w:r>
      <w:r w:rsidR="00D3760E" w:rsidRPr="0040045E">
        <w:rPr>
          <w:rFonts w:ascii="Arial" w:hAnsi="Arial"/>
          <w:sz w:val="22"/>
          <w:szCs w:val="22"/>
        </w:rPr>
        <w:t xml:space="preserve"> </w:t>
      </w:r>
      <w:r w:rsidRPr="0040045E">
        <w:rPr>
          <w:rFonts w:ascii="Arial" w:hAnsi="Arial"/>
          <w:sz w:val="22"/>
          <w:szCs w:val="22"/>
        </w:rPr>
        <w:t xml:space="preserve">the </w:t>
      </w:r>
      <w:r w:rsidR="00D3760E">
        <w:rPr>
          <w:rFonts w:ascii="Arial" w:hAnsi="Arial"/>
          <w:sz w:val="22"/>
          <w:szCs w:val="22"/>
        </w:rPr>
        <w:t>submission’s c</w:t>
      </w:r>
      <w:r w:rsidRPr="0040045E">
        <w:rPr>
          <w:rFonts w:ascii="Arial" w:hAnsi="Arial"/>
          <w:sz w:val="22"/>
          <w:szCs w:val="22"/>
        </w:rPr>
        <w:t xml:space="preserve">laim of lower inter- and intra-patient variability with </w:t>
      </w:r>
      <w:proofErr w:type="spellStart"/>
      <w:r w:rsidR="0041316E" w:rsidRPr="0040045E">
        <w:rPr>
          <w:rFonts w:ascii="Arial" w:hAnsi="Arial"/>
          <w:sz w:val="22"/>
          <w:szCs w:val="22"/>
        </w:rPr>
        <w:t>itraconazole</w:t>
      </w:r>
      <w:proofErr w:type="spellEnd"/>
      <w:r w:rsidR="0041316E" w:rsidRPr="0040045E">
        <w:rPr>
          <w:rFonts w:ascii="Arial" w:hAnsi="Arial"/>
          <w:sz w:val="22"/>
          <w:szCs w:val="22"/>
        </w:rPr>
        <w:t xml:space="preserve"> 50mg</w:t>
      </w:r>
      <w:r w:rsidRPr="0040045E">
        <w:rPr>
          <w:rFonts w:ascii="Arial" w:hAnsi="Arial"/>
          <w:sz w:val="22"/>
          <w:szCs w:val="22"/>
        </w:rPr>
        <w:t xml:space="preserve"> compared to </w:t>
      </w:r>
      <w:proofErr w:type="spellStart"/>
      <w:r w:rsidR="0041316E" w:rsidRPr="0040045E">
        <w:rPr>
          <w:rFonts w:ascii="Arial" w:hAnsi="Arial"/>
          <w:sz w:val="22"/>
          <w:szCs w:val="22"/>
        </w:rPr>
        <w:t>itraconazole</w:t>
      </w:r>
      <w:proofErr w:type="spellEnd"/>
      <w:r w:rsidR="0041316E" w:rsidRPr="0040045E">
        <w:rPr>
          <w:rFonts w:ascii="Arial" w:hAnsi="Arial"/>
          <w:sz w:val="22"/>
          <w:szCs w:val="22"/>
        </w:rPr>
        <w:t xml:space="preserve"> 100mg</w:t>
      </w:r>
      <w:r w:rsidR="00D3760E">
        <w:rPr>
          <w:rFonts w:ascii="Arial" w:hAnsi="Arial"/>
          <w:sz w:val="22"/>
          <w:szCs w:val="22"/>
        </w:rPr>
        <w:t xml:space="preserve"> and claim of therapeutic equivalence</w:t>
      </w:r>
      <w:r w:rsidRPr="0040045E">
        <w:rPr>
          <w:rFonts w:ascii="Arial" w:hAnsi="Arial"/>
          <w:sz w:val="22"/>
          <w:szCs w:val="22"/>
        </w:rPr>
        <w:t>.</w:t>
      </w:r>
    </w:p>
    <w:p w:rsidR="00BF472E" w:rsidRPr="0040045E" w:rsidRDefault="00BF472E" w:rsidP="00BF472E">
      <w:pPr>
        <w:widowControl w:val="0"/>
        <w:spacing w:after="120"/>
        <w:ind w:left="720"/>
        <w:contextualSpacing/>
        <w:jc w:val="both"/>
        <w:rPr>
          <w:rFonts w:ascii="Arial" w:hAnsi="Arial"/>
          <w:sz w:val="22"/>
          <w:szCs w:val="22"/>
        </w:rPr>
      </w:pPr>
    </w:p>
    <w:p w:rsidR="00D04278" w:rsidRPr="0040045E" w:rsidRDefault="00D04278" w:rsidP="008A3162">
      <w:pPr>
        <w:widowControl w:val="0"/>
        <w:numPr>
          <w:ilvl w:val="1"/>
          <w:numId w:val="25"/>
        </w:numPr>
        <w:spacing w:after="120"/>
        <w:contextualSpacing/>
        <w:jc w:val="both"/>
        <w:rPr>
          <w:rFonts w:ascii="Arial" w:hAnsi="Arial"/>
          <w:sz w:val="22"/>
          <w:szCs w:val="22"/>
        </w:rPr>
      </w:pPr>
      <w:r w:rsidRPr="0040045E">
        <w:rPr>
          <w:rFonts w:ascii="Arial" w:hAnsi="Arial"/>
          <w:sz w:val="22"/>
          <w:szCs w:val="22"/>
        </w:rPr>
        <w:t xml:space="preserve">The PBAC noted </w:t>
      </w:r>
      <w:r w:rsidR="00D96287" w:rsidRPr="0040045E">
        <w:rPr>
          <w:rFonts w:ascii="Arial" w:hAnsi="Arial"/>
          <w:sz w:val="22"/>
          <w:szCs w:val="22"/>
        </w:rPr>
        <w:t>that although the clinical efficacy and safety trials</w:t>
      </w:r>
      <w:r w:rsidR="000964D8" w:rsidRPr="0040045E">
        <w:rPr>
          <w:rFonts w:ascii="Arial" w:hAnsi="Arial"/>
          <w:sz w:val="22"/>
          <w:szCs w:val="22"/>
        </w:rPr>
        <w:t xml:space="preserve"> were based on superficial mycoses,</w:t>
      </w:r>
      <w:r w:rsidR="00D96287" w:rsidRPr="0040045E">
        <w:rPr>
          <w:rFonts w:ascii="Arial" w:hAnsi="Arial"/>
          <w:sz w:val="22"/>
          <w:szCs w:val="22"/>
        </w:rPr>
        <w:t xml:space="preserve"> </w:t>
      </w:r>
      <w:r w:rsidRPr="0040045E">
        <w:rPr>
          <w:rFonts w:ascii="Arial" w:hAnsi="Arial"/>
          <w:sz w:val="22"/>
          <w:szCs w:val="22"/>
        </w:rPr>
        <w:t xml:space="preserve">the </w:t>
      </w:r>
      <w:r w:rsidR="002B3245" w:rsidRPr="0040045E">
        <w:rPr>
          <w:rFonts w:ascii="Arial" w:hAnsi="Arial"/>
          <w:sz w:val="22"/>
          <w:szCs w:val="22"/>
        </w:rPr>
        <w:t xml:space="preserve">TGA </w:t>
      </w:r>
      <w:r w:rsidR="00005703" w:rsidRPr="0040045E">
        <w:rPr>
          <w:rFonts w:ascii="Arial" w:hAnsi="Arial"/>
          <w:sz w:val="22"/>
          <w:szCs w:val="22"/>
        </w:rPr>
        <w:t xml:space="preserve">accepted </w:t>
      </w:r>
      <w:r w:rsidR="002B3245" w:rsidRPr="0040045E">
        <w:rPr>
          <w:rFonts w:ascii="Arial" w:hAnsi="Arial"/>
          <w:sz w:val="22"/>
          <w:szCs w:val="22"/>
        </w:rPr>
        <w:t xml:space="preserve">extrapolation of evidence </w:t>
      </w:r>
      <w:r w:rsidRPr="0040045E">
        <w:rPr>
          <w:rFonts w:ascii="Arial" w:hAnsi="Arial"/>
          <w:sz w:val="22"/>
          <w:szCs w:val="22"/>
        </w:rPr>
        <w:t xml:space="preserve">for the two indications: superficial mycoses and systemic mycoses. </w:t>
      </w:r>
    </w:p>
    <w:p w:rsidR="00AA7F22" w:rsidRPr="0040045E" w:rsidRDefault="00AA7F22" w:rsidP="00AA7F22">
      <w:pPr>
        <w:pStyle w:val="ListParagraph"/>
        <w:rPr>
          <w:rFonts w:ascii="Arial" w:hAnsi="Arial"/>
          <w:sz w:val="22"/>
          <w:szCs w:val="22"/>
        </w:rPr>
      </w:pPr>
    </w:p>
    <w:p w:rsidR="00AA7F22" w:rsidRPr="0040045E" w:rsidRDefault="00AA7F22" w:rsidP="00AA7F22">
      <w:pPr>
        <w:widowControl w:val="0"/>
        <w:numPr>
          <w:ilvl w:val="1"/>
          <w:numId w:val="25"/>
        </w:numPr>
        <w:spacing w:after="120"/>
        <w:contextualSpacing/>
        <w:jc w:val="both"/>
        <w:rPr>
          <w:rFonts w:ascii="Arial" w:hAnsi="Arial"/>
          <w:sz w:val="22"/>
          <w:szCs w:val="22"/>
        </w:rPr>
      </w:pPr>
      <w:r w:rsidRPr="0040045E">
        <w:rPr>
          <w:rFonts w:ascii="Arial" w:hAnsi="Arial"/>
          <w:sz w:val="22"/>
          <w:szCs w:val="22"/>
        </w:rPr>
        <w:t xml:space="preserve">In making this recommendation, the PBAC noted the sponsor’s </w:t>
      </w:r>
      <w:r w:rsidR="00677456">
        <w:rPr>
          <w:rFonts w:ascii="Arial" w:hAnsi="Arial"/>
          <w:sz w:val="22"/>
          <w:szCs w:val="22"/>
        </w:rPr>
        <w:t>offer</w:t>
      </w:r>
      <w:r w:rsidRPr="0040045E">
        <w:rPr>
          <w:rFonts w:ascii="Arial" w:hAnsi="Arial"/>
          <w:sz w:val="22"/>
          <w:szCs w:val="22"/>
        </w:rPr>
        <w:t xml:space="preserve"> of </w:t>
      </w:r>
      <w:r w:rsidR="00BB10A6">
        <w:rPr>
          <w:rFonts w:ascii="Arial" w:hAnsi="Arial"/>
          <w:noProof/>
          <w:color w:val="000000"/>
          <w:sz w:val="22"/>
          <w:szCs w:val="22"/>
          <w:highlight w:val="black"/>
        </w:rPr>
        <w:t>'''''''</w:t>
      </w:r>
      <w:r w:rsidRPr="0040045E">
        <w:rPr>
          <w:rFonts w:ascii="Arial" w:hAnsi="Arial"/>
          <w:sz w:val="22"/>
          <w:szCs w:val="22"/>
        </w:rPr>
        <w:t>%</w:t>
      </w:r>
      <w:r w:rsidR="004054E2" w:rsidRPr="0040045E">
        <w:rPr>
          <w:rFonts w:ascii="Arial" w:hAnsi="Arial"/>
          <w:sz w:val="22"/>
          <w:szCs w:val="22"/>
        </w:rPr>
        <w:t> </w:t>
      </w:r>
      <w:r w:rsidRPr="0040045E">
        <w:rPr>
          <w:rFonts w:ascii="Arial" w:hAnsi="Arial"/>
          <w:sz w:val="22"/>
          <w:szCs w:val="22"/>
        </w:rPr>
        <w:t xml:space="preserve">price reduction of </w:t>
      </w:r>
      <w:proofErr w:type="spellStart"/>
      <w:r w:rsidRPr="0040045E">
        <w:rPr>
          <w:rFonts w:ascii="Arial" w:hAnsi="Arial"/>
          <w:sz w:val="22"/>
          <w:szCs w:val="22"/>
        </w:rPr>
        <w:t>itraconazole</w:t>
      </w:r>
      <w:proofErr w:type="spellEnd"/>
      <w:r w:rsidRPr="0040045E">
        <w:rPr>
          <w:rFonts w:ascii="Arial" w:hAnsi="Arial"/>
          <w:sz w:val="22"/>
          <w:szCs w:val="22"/>
        </w:rPr>
        <w:t xml:space="preserve"> 50mg capsule </w:t>
      </w:r>
      <w:r w:rsidR="00CE4049">
        <w:rPr>
          <w:rFonts w:ascii="Arial" w:hAnsi="Arial"/>
          <w:sz w:val="22"/>
          <w:szCs w:val="22"/>
        </w:rPr>
        <w:t xml:space="preserve">compared </w:t>
      </w:r>
      <w:r w:rsidRPr="0040045E">
        <w:rPr>
          <w:rFonts w:ascii="Arial" w:hAnsi="Arial"/>
          <w:sz w:val="22"/>
          <w:szCs w:val="22"/>
        </w:rPr>
        <w:t xml:space="preserve">to the existing PBS-listed </w:t>
      </w:r>
      <w:proofErr w:type="spellStart"/>
      <w:r w:rsidRPr="0040045E">
        <w:rPr>
          <w:rFonts w:ascii="Arial" w:hAnsi="Arial"/>
          <w:sz w:val="22"/>
          <w:szCs w:val="22"/>
        </w:rPr>
        <w:lastRenderedPageBreak/>
        <w:t>itraconazole</w:t>
      </w:r>
      <w:proofErr w:type="spellEnd"/>
      <w:r w:rsidRPr="0040045E">
        <w:rPr>
          <w:rFonts w:ascii="Arial" w:hAnsi="Arial"/>
          <w:sz w:val="22"/>
          <w:szCs w:val="22"/>
        </w:rPr>
        <w:t xml:space="preserve"> 100mg capsule.</w:t>
      </w:r>
      <w:r w:rsidR="005C69CC" w:rsidRPr="005C69CC">
        <w:rPr>
          <w:rFonts w:ascii="Arial" w:hAnsi="Arial" w:cs="Arial"/>
          <w:color w:val="1F497D"/>
          <w:sz w:val="18"/>
          <w:szCs w:val="18"/>
        </w:rPr>
        <w:t xml:space="preserve"> </w:t>
      </w:r>
      <w:r w:rsidR="005C69CC" w:rsidRPr="005C69CC">
        <w:rPr>
          <w:rFonts w:ascii="Arial" w:hAnsi="Arial"/>
          <w:sz w:val="22"/>
          <w:szCs w:val="22"/>
        </w:rPr>
        <w:t>The PBAC was of the view that an equivalent cost per treatment course should apply to both products, as both are expected to deliver the same clinical outcomes.</w:t>
      </w:r>
    </w:p>
    <w:p w:rsidR="00BF472E" w:rsidRPr="0040045E" w:rsidRDefault="00BF472E" w:rsidP="00AA7F22">
      <w:pPr>
        <w:widowControl w:val="0"/>
        <w:spacing w:after="120"/>
        <w:contextualSpacing/>
        <w:jc w:val="both"/>
        <w:rPr>
          <w:rFonts w:ascii="Arial" w:hAnsi="Arial"/>
          <w:sz w:val="22"/>
          <w:szCs w:val="22"/>
        </w:rPr>
      </w:pPr>
    </w:p>
    <w:p w:rsidR="00D04278" w:rsidRPr="0040045E" w:rsidRDefault="00D04278" w:rsidP="008A3162">
      <w:pPr>
        <w:widowControl w:val="0"/>
        <w:numPr>
          <w:ilvl w:val="1"/>
          <w:numId w:val="25"/>
        </w:numPr>
        <w:spacing w:after="120"/>
        <w:contextualSpacing/>
        <w:jc w:val="both"/>
        <w:rPr>
          <w:rFonts w:ascii="Arial" w:hAnsi="Arial"/>
          <w:sz w:val="22"/>
          <w:szCs w:val="22"/>
        </w:rPr>
      </w:pPr>
      <w:r w:rsidRPr="0040045E">
        <w:rPr>
          <w:rFonts w:ascii="Arial" w:hAnsi="Arial"/>
          <w:sz w:val="22"/>
          <w:szCs w:val="22"/>
        </w:rPr>
        <w:t xml:space="preserve">The PBAC </w:t>
      </w:r>
      <w:r w:rsidR="002B3245" w:rsidRPr="0040045E">
        <w:rPr>
          <w:rFonts w:ascii="Arial" w:hAnsi="Arial"/>
          <w:sz w:val="22"/>
          <w:szCs w:val="22"/>
        </w:rPr>
        <w:t xml:space="preserve">considered that there </w:t>
      </w:r>
      <w:r w:rsidR="00B84AC5" w:rsidRPr="0040045E">
        <w:rPr>
          <w:rFonts w:ascii="Arial" w:hAnsi="Arial"/>
          <w:sz w:val="22"/>
          <w:szCs w:val="22"/>
        </w:rPr>
        <w:t>may be</w:t>
      </w:r>
      <w:r w:rsidR="002B3245" w:rsidRPr="0040045E">
        <w:rPr>
          <w:rFonts w:ascii="Arial" w:hAnsi="Arial"/>
          <w:sz w:val="22"/>
          <w:szCs w:val="22"/>
        </w:rPr>
        <w:t xml:space="preserve"> </w:t>
      </w:r>
      <w:r w:rsidR="00B84AC5" w:rsidRPr="0040045E">
        <w:rPr>
          <w:rFonts w:ascii="Arial" w:hAnsi="Arial"/>
          <w:sz w:val="22"/>
          <w:szCs w:val="22"/>
        </w:rPr>
        <w:t xml:space="preserve">potential </w:t>
      </w:r>
      <w:r w:rsidR="002B3245" w:rsidRPr="0040045E">
        <w:rPr>
          <w:rFonts w:ascii="Arial" w:hAnsi="Arial"/>
          <w:sz w:val="22"/>
          <w:szCs w:val="22"/>
        </w:rPr>
        <w:t xml:space="preserve">risk of leakage to superficial </w:t>
      </w:r>
      <w:proofErr w:type="gramStart"/>
      <w:r w:rsidR="002B3245" w:rsidRPr="0040045E">
        <w:rPr>
          <w:rFonts w:ascii="Arial" w:hAnsi="Arial"/>
          <w:sz w:val="22"/>
          <w:szCs w:val="22"/>
        </w:rPr>
        <w:t>mycos</w:t>
      </w:r>
      <w:r w:rsidR="00B84AC5" w:rsidRPr="0040045E">
        <w:rPr>
          <w:rFonts w:ascii="Arial" w:hAnsi="Arial"/>
          <w:sz w:val="22"/>
          <w:szCs w:val="22"/>
        </w:rPr>
        <w:t>e</w:t>
      </w:r>
      <w:r w:rsidR="002B3245" w:rsidRPr="0040045E">
        <w:rPr>
          <w:rFonts w:ascii="Arial" w:hAnsi="Arial"/>
          <w:sz w:val="22"/>
          <w:szCs w:val="22"/>
        </w:rPr>
        <w:t>s</w:t>
      </w:r>
      <w:proofErr w:type="gramEnd"/>
      <w:r w:rsidR="002B3245" w:rsidRPr="0040045E">
        <w:rPr>
          <w:rFonts w:ascii="Arial" w:hAnsi="Arial"/>
          <w:sz w:val="22"/>
          <w:szCs w:val="22"/>
        </w:rPr>
        <w:t xml:space="preserve"> and mould prophylaxis and advised to include </w:t>
      </w:r>
      <w:r w:rsidR="003A42B4" w:rsidRPr="0040045E">
        <w:rPr>
          <w:rFonts w:ascii="Arial" w:hAnsi="Arial"/>
          <w:sz w:val="22"/>
          <w:szCs w:val="22"/>
        </w:rPr>
        <w:t>an</w:t>
      </w:r>
      <w:r w:rsidR="002B3245" w:rsidRPr="0040045E">
        <w:rPr>
          <w:rFonts w:ascii="Arial" w:hAnsi="Arial"/>
          <w:sz w:val="22"/>
          <w:szCs w:val="22"/>
        </w:rPr>
        <w:t xml:space="preserve"> </w:t>
      </w:r>
      <w:r w:rsidR="004054E2" w:rsidRPr="0040045E">
        <w:rPr>
          <w:rFonts w:ascii="Arial" w:hAnsi="Arial"/>
          <w:sz w:val="22"/>
          <w:szCs w:val="22"/>
        </w:rPr>
        <w:t>administrative</w:t>
      </w:r>
      <w:r w:rsidR="002B3245" w:rsidRPr="0040045E">
        <w:rPr>
          <w:rFonts w:ascii="Arial" w:hAnsi="Arial"/>
          <w:sz w:val="22"/>
          <w:szCs w:val="22"/>
        </w:rPr>
        <w:t xml:space="preserve"> note </w:t>
      </w:r>
      <w:r w:rsidR="00BC36B0" w:rsidRPr="0040045E">
        <w:rPr>
          <w:rFonts w:ascii="Arial" w:hAnsi="Arial"/>
          <w:sz w:val="22"/>
          <w:szCs w:val="22"/>
        </w:rPr>
        <w:t xml:space="preserve">in the restriction </w:t>
      </w:r>
      <w:r w:rsidR="002B3245" w:rsidRPr="0040045E">
        <w:rPr>
          <w:rFonts w:ascii="Arial" w:hAnsi="Arial"/>
          <w:sz w:val="22"/>
          <w:szCs w:val="22"/>
        </w:rPr>
        <w:t>that it is not for use in superficial mycoses.</w:t>
      </w:r>
      <w:r w:rsidR="00BC36B0" w:rsidRPr="0040045E">
        <w:rPr>
          <w:rFonts w:ascii="Arial" w:hAnsi="Arial"/>
          <w:sz w:val="22"/>
          <w:szCs w:val="22"/>
        </w:rPr>
        <w:t xml:space="preserve"> </w:t>
      </w:r>
      <w:r w:rsidR="00B84AC5" w:rsidRPr="0040045E">
        <w:rPr>
          <w:rFonts w:ascii="Arial" w:hAnsi="Arial"/>
          <w:sz w:val="22"/>
          <w:szCs w:val="22"/>
        </w:rPr>
        <w:t xml:space="preserve"> The PBAC advised prescriber education/awareness through National Prescribing Service to mitigate the risk of prescriber confusion between the 50mg and 100mg capsules.</w:t>
      </w:r>
    </w:p>
    <w:p w:rsidR="00BF472E" w:rsidRPr="0040045E" w:rsidRDefault="00BF472E" w:rsidP="00BF472E">
      <w:pPr>
        <w:widowControl w:val="0"/>
        <w:spacing w:after="120"/>
        <w:ind w:left="720"/>
        <w:contextualSpacing/>
        <w:jc w:val="both"/>
        <w:rPr>
          <w:rFonts w:ascii="Arial" w:hAnsi="Arial"/>
          <w:sz w:val="22"/>
          <w:szCs w:val="22"/>
        </w:rPr>
      </w:pPr>
    </w:p>
    <w:p w:rsidR="00B84AC5" w:rsidRPr="0040045E" w:rsidRDefault="00005703" w:rsidP="00B84AC5">
      <w:pPr>
        <w:widowControl w:val="0"/>
        <w:numPr>
          <w:ilvl w:val="1"/>
          <w:numId w:val="25"/>
        </w:numPr>
        <w:spacing w:after="120"/>
        <w:contextualSpacing/>
        <w:jc w:val="both"/>
        <w:rPr>
          <w:rFonts w:ascii="Arial" w:hAnsi="Arial"/>
          <w:sz w:val="22"/>
          <w:szCs w:val="22"/>
        </w:rPr>
      </w:pPr>
      <w:r w:rsidRPr="0040045E">
        <w:rPr>
          <w:rFonts w:ascii="Arial" w:hAnsi="Arial"/>
          <w:sz w:val="22"/>
          <w:szCs w:val="22"/>
        </w:rPr>
        <w:t xml:space="preserve">In accordance with </w:t>
      </w:r>
      <w:r w:rsidR="00B84AC5" w:rsidRPr="0040045E">
        <w:rPr>
          <w:rFonts w:ascii="Arial" w:hAnsi="Arial"/>
          <w:sz w:val="22"/>
          <w:szCs w:val="22"/>
        </w:rPr>
        <w:t xml:space="preserve"> subsection 101(3BA) of the </w:t>
      </w:r>
      <w:r w:rsidR="00B84AC5" w:rsidRPr="0040045E">
        <w:rPr>
          <w:rFonts w:ascii="Arial" w:hAnsi="Arial"/>
          <w:i/>
          <w:sz w:val="22"/>
          <w:szCs w:val="22"/>
        </w:rPr>
        <w:t>National Health Act 1953</w:t>
      </w:r>
      <w:r w:rsidR="00B84AC5" w:rsidRPr="0040045E">
        <w:rPr>
          <w:rFonts w:ascii="Arial" w:hAnsi="Arial"/>
          <w:sz w:val="22"/>
          <w:szCs w:val="22"/>
        </w:rPr>
        <w:t>,</w:t>
      </w:r>
      <w:r w:rsidRPr="0040045E">
        <w:rPr>
          <w:rFonts w:ascii="Arial" w:hAnsi="Arial"/>
          <w:sz w:val="22"/>
          <w:szCs w:val="22"/>
        </w:rPr>
        <w:t xml:space="preserve">  the PBAC advised</w:t>
      </w:r>
      <w:r w:rsidR="00B84AC5" w:rsidRPr="0040045E">
        <w:rPr>
          <w:rFonts w:ascii="Arial" w:hAnsi="Arial"/>
          <w:sz w:val="22"/>
          <w:szCs w:val="22"/>
        </w:rPr>
        <w:t xml:space="preserve"> that </w:t>
      </w:r>
      <w:proofErr w:type="spellStart"/>
      <w:r w:rsidR="00BF472E" w:rsidRPr="0040045E">
        <w:rPr>
          <w:rFonts w:ascii="Arial" w:hAnsi="Arial"/>
          <w:sz w:val="22"/>
          <w:szCs w:val="22"/>
        </w:rPr>
        <w:t>itraconazole</w:t>
      </w:r>
      <w:proofErr w:type="spellEnd"/>
      <w:r w:rsidR="00BF472E" w:rsidRPr="0040045E">
        <w:rPr>
          <w:rFonts w:ascii="Arial" w:hAnsi="Arial"/>
          <w:sz w:val="22"/>
          <w:szCs w:val="22"/>
        </w:rPr>
        <w:t xml:space="preserve"> 50mg</w:t>
      </w:r>
      <w:r w:rsidR="00B84AC5" w:rsidRPr="0040045E">
        <w:rPr>
          <w:rFonts w:ascii="Arial" w:hAnsi="Arial"/>
          <w:sz w:val="22"/>
          <w:szCs w:val="22"/>
        </w:rPr>
        <w:t xml:space="preserve"> </w:t>
      </w:r>
      <w:r w:rsidR="0041316E" w:rsidRPr="0040045E">
        <w:rPr>
          <w:rFonts w:ascii="Arial" w:hAnsi="Arial"/>
          <w:sz w:val="22"/>
          <w:szCs w:val="22"/>
        </w:rPr>
        <w:t xml:space="preserve">capsule </w:t>
      </w:r>
      <w:r w:rsidR="00B84AC5" w:rsidRPr="0040045E">
        <w:rPr>
          <w:rFonts w:ascii="Arial" w:hAnsi="Arial"/>
          <w:sz w:val="22"/>
          <w:szCs w:val="22"/>
        </w:rPr>
        <w:t xml:space="preserve">should not be treated as interchangeable on an individual patient basis with any other drug. </w:t>
      </w:r>
    </w:p>
    <w:p w:rsidR="00B84AC5" w:rsidRPr="0040045E" w:rsidRDefault="00B84AC5" w:rsidP="00B84AC5">
      <w:pPr>
        <w:widowControl w:val="0"/>
        <w:spacing w:after="120"/>
        <w:ind w:left="720"/>
        <w:contextualSpacing/>
        <w:jc w:val="both"/>
        <w:rPr>
          <w:rFonts w:ascii="Arial" w:hAnsi="Arial"/>
          <w:sz w:val="22"/>
          <w:szCs w:val="22"/>
        </w:rPr>
      </w:pPr>
    </w:p>
    <w:p w:rsidR="00B84AC5" w:rsidRPr="0040045E" w:rsidRDefault="00B84AC5" w:rsidP="00B84AC5">
      <w:pPr>
        <w:widowControl w:val="0"/>
        <w:numPr>
          <w:ilvl w:val="1"/>
          <w:numId w:val="25"/>
        </w:numPr>
        <w:spacing w:after="120"/>
        <w:contextualSpacing/>
        <w:jc w:val="both"/>
        <w:rPr>
          <w:rFonts w:ascii="Arial" w:hAnsi="Arial"/>
          <w:sz w:val="22"/>
          <w:szCs w:val="22"/>
        </w:rPr>
      </w:pPr>
      <w:r w:rsidRPr="0040045E">
        <w:rPr>
          <w:rFonts w:ascii="Arial" w:hAnsi="Arial"/>
          <w:sz w:val="22"/>
          <w:szCs w:val="22"/>
        </w:rPr>
        <w:t xml:space="preserve">The PBAC advised that </w:t>
      </w:r>
      <w:proofErr w:type="spellStart"/>
      <w:r w:rsidR="000F64F8" w:rsidRPr="0040045E">
        <w:rPr>
          <w:rFonts w:ascii="Arial" w:hAnsi="Arial"/>
          <w:sz w:val="22"/>
          <w:szCs w:val="22"/>
        </w:rPr>
        <w:t>itraconazole</w:t>
      </w:r>
      <w:proofErr w:type="spellEnd"/>
      <w:r w:rsidR="0041316E" w:rsidRPr="0040045E">
        <w:rPr>
          <w:rFonts w:ascii="Arial" w:hAnsi="Arial"/>
          <w:sz w:val="22"/>
          <w:szCs w:val="22"/>
        </w:rPr>
        <w:t xml:space="preserve"> 50mg</w:t>
      </w:r>
      <w:r w:rsidRPr="0040045E">
        <w:rPr>
          <w:rFonts w:ascii="Arial" w:hAnsi="Arial"/>
          <w:sz w:val="22"/>
          <w:szCs w:val="22"/>
        </w:rPr>
        <w:t xml:space="preserve"> is suitable for prescribing by nurse practitioners</w:t>
      </w:r>
      <w:r w:rsidR="00CE1ED8" w:rsidRPr="0040045E">
        <w:rPr>
          <w:rFonts w:ascii="Arial" w:hAnsi="Arial"/>
          <w:sz w:val="22"/>
          <w:szCs w:val="22"/>
        </w:rPr>
        <w:t xml:space="preserve"> within a shared care model, as per the current PBS listing for </w:t>
      </w:r>
      <w:proofErr w:type="spellStart"/>
      <w:r w:rsidR="00CE1ED8" w:rsidRPr="0040045E">
        <w:rPr>
          <w:rFonts w:ascii="Arial" w:hAnsi="Arial"/>
          <w:sz w:val="22"/>
          <w:szCs w:val="22"/>
        </w:rPr>
        <w:t>itraconazole</w:t>
      </w:r>
      <w:proofErr w:type="spellEnd"/>
      <w:r w:rsidR="00CE1ED8" w:rsidRPr="0040045E">
        <w:rPr>
          <w:rFonts w:ascii="Arial" w:hAnsi="Arial"/>
          <w:sz w:val="22"/>
          <w:szCs w:val="22"/>
        </w:rPr>
        <w:t xml:space="preserve"> 100mg</w:t>
      </w:r>
      <w:r w:rsidRPr="0040045E">
        <w:rPr>
          <w:rFonts w:ascii="Arial" w:hAnsi="Arial"/>
          <w:sz w:val="22"/>
          <w:szCs w:val="22"/>
        </w:rPr>
        <w:t>.</w:t>
      </w:r>
    </w:p>
    <w:p w:rsidR="00B84AC5" w:rsidRPr="0040045E" w:rsidRDefault="00B84AC5" w:rsidP="00B84AC5">
      <w:pPr>
        <w:widowControl w:val="0"/>
        <w:spacing w:after="120"/>
        <w:ind w:left="720"/>
        <w:contextualSpacing/>
        <w:jc w:val="both"/>
        <w:rPr>
          <w:rFonts w:ascii="Arial" w:hAnsi="Arial"/>
          <w:sz w:val="22"/>
          <w:szCs w:val="22"/>
        </w:rPr>
      </w:pPr>
    </w:p>
    <w:p w:rsidR="00B84AC5" w:rsidRPr="0040045E" w:rsidRDefault="00B84AC5" w:rsidP="00B84AC5">
      <w:pPr>
        <w:widowControl w:val="0"/>
        <w:numPr>
          <w:ilvl w:val="1"/>
          <w:numId w:val="25"/>
        </w:numPr>
        <w:spacing w:after="120"/>
        <w:contextualSpacing/>
        <w:jc w:val="both"/>
        <w:rPr>
          <w:rFonts w:ascii="Arial" w:hAnsi="Arial"/>
          <w:sz w:val="22"/>
          <w:szCs w:val="22"/>
        </w:rPr>
      </w:pPr>
      <w:r w:rsidRPr="0040045E">
        <w:rPr>
          <w:rFonts w:ascii="Arial" w:hAnsi="Arial"/>
          <w:sz w:val="22"/>
          <w:szCs w:val="22"/>
        </w:rPr>
        <w:t xml:space="preserve">The PBAC recommended that the Safety Net 20 Day rule should </w:t>
      </w:r>
      <w:r w:rsidR="00C329A4" w:rsidRPr="0040045E">
        <w:rPr>
          <w:rFonts w:ascii="Arial" w:hAnsi="Arial"/>
          <w:sz w:val="22"/>
          <w:szCs w:val="22"/>
        </w:rPr>
        <w:t xml:space="preserve">not </w:t>
      </w:r>
      <w:r w:rsidRPr="0040045E">
        <w:rPr>
          <w:rFonts w:ascii="Arial" w:hAnsi="Arial"/>
          <w:sz w:val="22"/>
          <w:szCs w:val="22"/>
        </w:rPr>
        <w:t>apply</w:t>
      </w:r>
      <w:r w:rsidR="00C329A4" w:rsidRPr="0040045E">
        <w:rPr>
          <w:rFonts w:ascii="Arial" w:hAnsi="Arial"/>
          <w:sz w:val="22"/>
          <w:szCs w:val="22"/>
        </w:rPr>
        <w:t xml:space="preserve"> as it currently does not apply to </w:t>
      </w:r>
      <w:proofErr w:type="spellStart"/>
      <w:r w:rsidR="00C329A4" w:rsidRPr="0040045E">
        <w:rPr>
          <w:rFonts w:ascii="Arial" w:hAnsi="Arial"/>
          <w:sz w:val="22"/>
          <w:szCs w:val="22"/>
        </w:rPr>
        <w:t>itraconazole</w:t>
      </w:r>
      <w:proofErr w:type="spellEnd"/>
      <w:r w:rsidR="00C329A4" w:rsidRPr="0040045E">
        <w:rPr>
          <w:rFonts w:ascii="Arial" w:hAnsi="Arial"/>
          <w:sz w:val="22"/>
          <w:szCs w:val="22"/>
        </w:rPr>
        <w:t xml:space="preserve"> 100 mg capsule</w:t>
      </w:r>
      <w:r w:rsidRPr="0040045E">
        <w:rPr>
          <w:rFonts w:ascii="Arial" w:hAnsi="Arial"/>
          <w:sz w:val="22"/>
          <w:szCs w:val="22"/>
        </w:rPr>
        <w:t>.</w:t>
      </w:r>
    </w:p>
    <w:p w:rsidR="00B84AC5" w:rsidRPr="0040045E" w:rsidRDefault="00B84AC5" w:rsidP="00B84AC5">
      <w:pPr>
        <w:widowControl w:val="0"/>
        <w:spacing w:after="120"/>
        <w:ind w:left="720"/>
        <w:contextualSpacing/>
        <w:jc w:val="both"/>
        <w:rPr>
          <w:rFonts w:ascii="Arial" w:hAnsi="Arial"/>
          <w:sz w:val="22"/>
          <w:szCs w:val="22"/>
        </w:rPr>
      </w:pPr>
    </w:p>
    <w:p w:rsidR="008A3162" w:rsidRPr="0040045E" w:rsidRDefault="008A3162" w:rsidP="008A3162">
      <w:pPr>
        <w:jc w:val="both"/>
        <w:rPr>
          <w:rFonts w:ascii="Arial" w:hAnsi="Arial" w:cs="Arial"/>
          <w:b/>
          <w:bCs/>
          <w:snapToGrid w:val="0"/>
          <w:sz w:val="22"/>
          <w:szCs w:val="22"/>
          <w:lang w:eastAsia="en-US"/>
        </w:rPr>
      </w:pPr>
    </w:p>
    <w:p w:rsidR="008A3162" w:rsidRPr="0040045E" w:rsidRDefault="008A3162" w:rsidP="00F555AB">
      <w:pPr>
        <w:pStyle w:val="Heading2"/>
        <w:rPr>
          <w:snapToGrid w:val="0"/>
          <w:lang w:eastAsia="en-US"/>
        </w:rPr>
      </w:pPr>
      <w:r w:rsidRPr="0040045E">
        <w:rPr>
          <w:snapToGrid w:val="0"/>
          <w:lang w:eastAsia="en-US"/>
        </w:rPr>
        <w:t>Outcome:</w:t>
      </w:r>
    </w:p>
    <w:p w:rsidR="008A3162" w:rsidRPr="0040045E" w:rsidRDefault="008A3162" w:rsidP="008A3162">
      <w:pPr>
        <w:jc w:val="both"/>
        <w:rPr>
          <w:rFonts w:ascii="Arial" w:hAnsi="Arial" w:cs="Arial"/>
          <w:bCs/>
          <w:snapToGrid w:val="0"/>
          <w:sz w:val="22"/>
          <w:szCs w:val="22"/>
          <w:lang w:eastAsia="en-US"/>
        </w:rPr>
      </w:pPr>
      <w:r w:rsidRPr="0040045E">
        <w:rPr>
          <w:rFonts w:ascii="Arial" w:hAnsi="Arial" w:cs="Arial"/>
          <w:bCs/>
          <w:snapToGrid w:val="0"/>
          <w:sz w:val="22"/>
          <w:szCs w:val="22"/>
          <w:lang w:eastAsia="en-US"/>
        </w:rPr>
        <w:t xml:space="preserve">Recommended </w:t>
      </w:r>
    </w:p>
    <w:p w:rsidR="008A3162" w:rsidRPr="0040045E" w:rsidRDefault="008A3162" w:rsidP="008A3162">
      <w:pPr>
        <w:widowControl w:val="0"/>
        <w:tabs>
          <w:tab w:val="left" w:pos="1591"/>
        </w:tabs>
        <w:jc w:val="both"/>
        <w:rPr>
          <w:rFonts w:ascii="Arial" w:hAnsi="Arial" w:cs="Arial"/>
          <w:bCs/>
          <w:snapToGrid w:val="0"/>
          <w:sz w:val="22"/>
          <w:szCs w:val="22"/>
          <w:lang w:eastAsia="en-US"/>
        </w:rPr>
      </w:pPr>
    </w:p>
    <w:p w:rsidR="008A3162" w:rsidRPr="0040045E" w:rsidRDefault="008A3162" w:rsidP="00F555AB">
      <w:pPr>
        <w:pStyle w:val="Heading1"/>
        <w:rPr>
          <w:snapToGrid w:val="0"/>
          <w:lang w:eastAsia="en-US"/>
        </w:rPr>
      </w:pPr>
      <w:r w:rsidRPr="0040045E">
        <w:rPr>
          <w:snapToGrid w:val="0"/>
          <w:lang w:eastAsia="en-US"/>
        </w:rPr>
        <w:t>Recommended listing</w:t>
      </w:r>
    </w:p>
    <w:p w:rsidR="008A3162" w:rsidRPr="0040045E" w:rsidRDefault="008A3162" w:rsidP="008A3162">
      <w:pPr>
        <w:widowControl w:val="0"/>
        <w:ind w:firstLine="720"/>
        <w:jc w:val="both"/>
        <w:rPr>
          <w:rFonts w:ascii="Arial" w:hAnsi="Arial" w:cs="Arial"/>
          <w:bCs/>
          <w:snapToGrid w:val="0"/>
          <w:sz w:val="22"/>
          <w:szCs w:val="22"/>
          <w:lang w:eastAsia="en-US"/>
        </w:rPr>
      </w:pPr>
      <w:r w:rsidRPr="0040045E">
        <w:rPr>
          <w:rFonts w:ascii="Arial" w:hAnsi="Arial" w:cs="Arial"/>
          <w:bCs/>
          <w:snapToGrid w:val="0"/>
          <w:sz w:val="22"/>
          <w:szCs w:val="22"/>
          <w:lang w:eastAsia="en-US"/>
        </w:rPr>
        <w:t>Add new item:</w:t>
      </w:r>
    </w:p>
    <w:p w:rsidR="008A3162" w:rsidRPr="0040045E" w:rsidRDefault="008A3162" w:rsidP="008A3162">
      <w:pPr>
        <w:ind w:left="720"/>
        <w:jc w:val="both"/>
        <w:rPr>
          <w:rFonts w:ascii="Arial" w:hAnsi="Arial" w:cs="Arial"/>
          <w:b/>
          <w:sz w:val="22"/>
          <w:szCs w:val="22"/>
        </w:rPr>
      </w:pPr>
    </w:p>
    <w:tbl>
      <w:tblPr>
        <w:tblW w:w="8789" w:type="dxa"/>
        <w:tblInd w:w="108" w:type="dxa"/>
        <w:tblLayout w:type="fixed"/>
        <w:tblLook w:val="0000" w:firstRow="0" w:lastRow="0" w:firstColumn="0" w:lastColumn="0" w:noHBand="0" w:noVBand="0"/>
      </w:tblPr>
      <w:tblGrid>
        <w:gridCol w:w="3261"/>
        <w:gridCol w:w="567"/>
        <w:gridCol w:w="850"/>
        <w:gridCol w:w="1701"/>
        <w:gridCol w:w="1559"/>
        <w:gridCol w:w="851"/>
      </w:tblGrid>
      <w:tr w:rsidR="004D2191" w:rsidRPr="0040045E" w:rsidTr="00A80A04">
        <w:trPr>
          <w:cantSplit/>
          <w:trHeight w:val="471"/>
        </w:trPr>
        <w:tc>
          <w:tcPr>
            <w:tcW w:w="3261"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t>Name, Restriction,</w:t>
            </w:r>
          </w:p>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t>Max.</w:t>
            </w:r>
          </w:p>
          <w:p w:rsidR="004D2191" w:rsidRPr="0040045E" w:rsidRDefault="004D2191" w:rsidP="00A80A04">
            <w:pPr>
              <w:keepNext/>
              <w:ind w:left="-108"/>
              <w:rPr>
                <w:rFonts w:ascii="Arial Narrow" w:hAnsi="Arial Narrow" w:cs="Arial"/>
                <w:sz w:val="20"/>
                <w:szCs w:val="20"/>
              </w:rPr>
            </w:pPr>
            <w:proofErr w:type="spellStart"/>
            <w:r w:rsidRPr="0040045E">
              <w:rPr>
                <w:rFonts w:ascii="Arial Narrow" w:hAnsi="Arial Narrow" w:cs="Arial"/>
                <w:sz w:val="20"/>
                <w:szCs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t>№.of</w:t>
            </w:r>
          </w:p>
          <w:p w:rsidR="004D2191" w:rsidRPr="0040045E" w:rsidRDefault="004D2191" w:rsidP="00A80A04">
            <w:pPr>
              <w:keepNext/>
              <w:ind w:left="-108"/>
              <w:rPr>
                <w:rFonts w:ascii="Arial Narrow" w:hAnsi="Arial Narrow" w:cs="Arial"/>
                <w:sz w:val="20"/>
                <w:szCs w:val="20"/>
              </w:rPr>
            </w:pPr>
            <w:proofErr w:type="spellStart"/>
            <w:r w:rsidRPr="0040045E">
              <w:rPr>
                <w:rFonts w:ascii="Arial Narrow" w:hAnsi="Arial Narrow" w:cs="Arial"/>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p>
        </w:tc>
        <w:tc>
          <w:tcPr>
            <w:tcW w:w="2410"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Proprietary Name and Manufacturer</w:t>
            </w:r>
          </w:p>
        </w:tc>
      </w:tr>
      <w:tr w:rsidR="004D2191" w:rsidRPr="0040045E" w:rsidTr="00A80A04">
        <w:trPr>
          <w:cantSplit/>
          <w:trHeight w:val="577"/>
        </w:trPr>
        <w:tc>
          <w:tcPr>
            <w:tcW w:w="3261"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jc w:val="both"/>
              <w:rPr>
                <w:rFonts w:ascii="Arial Narrow" w:hAnsi="Arial Narrow" w:cs="Arial"/>
                <w:sz w:val="20"/>
                <w:szCs w:val="20"/>
              </w:rPr>
            </w:pPr>
            <w:r w:rsidRPr="0040045E">
              <w:rPr>
                <w:rFonts w:ascii="Arial Narrow" w:hAnsi="Arial Narrow" w:cs="Arial"/>
                <w:smallCaps/>
                <w:sz w:val="20"/>
                <w:szCs w:val="20"/>
              </w:rPr>
              <w:t>ITRACONAZOLE</w:t>
            </w:r>
          </w:p>
          <w:p w:rsidR="004D2191" w:rsidRPr="0040045E" w:rsidRDefault="004D2191" w:rsidP="00A80A04">
            <w:pPr>
              <w:keepNext/>
              <w:ind w:left="-108"/>
              <w:jc w:val="both"/>
              <w:rPr>
                <w:rFonts w:ascii="Arial Narrow" w:hAnsi="Arial Narrow" w:cs="Arial"/>
                <w:sz w:val="20"/>
                <w:szCs w:val="20"/>
              </w:rPr>
            </w:pPr>
            <w:r w:rsidRPr="0040045E">
              <w:rPr>
                <w:rFonts w:ascii="Arial Narrow" w:hAnsi="Arial Narrow" w:cs="Arial"/>
                <w:sz w:val="20"/>
                <w:szCs w:val="20"/>
              </w:rPr>
              <w:t>Capsule, 50mg, 60</w:t>
            </w:r>
          </w:p>
        </w:tc>
        <w:tc>
          <w:tcPr>
            <w:tcW w:w="567"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ind w:left="-108"/>
              <w:jc w:val="center"/>
              <w:rPr>
                <w:rFonts w:ascii="Arial Narrow" w:hAnsi="Arial Narrow" w:cs="Arial"/>
                <w:sz w:val="20"/>
                <w:szCs w:val="20"/>
              </w:rPr>
            </w:pPr>
            <w:r w:rsidRPr="0040045E">
              <w:rPr>
                <w:rFonts w:ascii="Arial Narrow"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ind w:left="-108"/>
              <w:jc w:val="center"/>
              <w:rPr>
                <w:rFonts w:ascii="Arial Narrow" w:hAnsi="Arial Narrow" w:cs="Arial"/>
                <w:sz w:val="20"/>
                <w:szCs w:val="20"/>
              </w:rPr>
            </w:pPr>
            <w:r w:rsidRPr="0040045E">
              <w:rPr>
                <w:rFonts w:ascii="Arial Narrow" w:hAnsi="Arial Narrow" w:cs="Arial"/>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proofErr w:type="spellStart"/>
            <w:r w:rsidRPr="0040045E">
              <w:rPr>
                <w:rFonts w:ascii="Arial Narrow" w:hAnsi="Arial Narrow" w:cs="Arial"/>
                <w:sz w:val="20"/>
                <w:szCs w:val="20"/>
              </w:rPr>
              <w:t>Lozanoc</w:t>
            </w:r>
            <w:proofErr w:type="spellEnd"/>
            <w:r w:rsidRPr="0040045E">
              <w:rPr>
                <w:rFonts w:ascii="Arial Narrow" w:hAnsi="Arial Narrow" w:cs="Arial"/>
                <w:sz w:val="20"/>
                <w:szCs w:val="20"/>
                <w:vertAlign w:val="superscript"/>
              </w:rPr>
              <w:t>®</w:t>
            </w:r>
          </w:p>
        </w:tc>
        <w:tc>
          <w:tcPr>
            <w:tcW w:w="851"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r w:rsidRPr="0040045E">
              <w:rPr>
                <w:rFonts w:ascii="Arial Narrow" w:hAnsi="Arial Narrow" w:cs="Arial"/>
                <w:sz w:val="20"/>
                <w:szCs w:val="20"/>
              </w:rPr>
              <w:t>Mayne Pharma</w:t>
            </w:r>
          </w:p>
        </w:tc>
      </w:tr>
    </w:tbl>
    <w:p w:rsidR="004054E2" w:rsidRPr="0040045E" w:rsidRDefault="004054E2"/>
    <w:tbl>
      <w:tblPr>
        <w:tblW w:w="8789" w:type="dxa"/>
        <w:tblInd w:w="108" w:type="dxa"/>
        <w:tblLayout w:type="fixed"/>
        <w:tblLook w:val="0000" w:firstRow="0" w:lastRow="0" w:firstColumn="0" w:lastColumn="0" w:noHBand="0" w:noVBand="0"/>
        <w:tblCaption w:val="Recommended PBS listing - Systemic aspergillosis"/>
      </w:tblPr>
      <w:tblGrid>
        <w:gridCol w:w="2835"/>
        <w:gridCol w:w="5954"/>
      </w:tblGrid>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lastRenderedPageBreak/>
              <w:t>Category / Program</w:t>
            </w:r>
          </w:p>
        </w:tc>
        <w:tc>
          <w:tcPr>
            <w:tcW w:w="5954"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GENERAL – General Schedule (Code GE)</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Prescriber type:</w:t>
            </w:r>
          </w:p>
        </w:tc>
        <w:tc>
          <w:tcPr>
            <w:tcW w:w="5954"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Dental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Medical Practitioners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Nurse practitioners  </w:t>
            </w: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Optometrists</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Midwives</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Condition:</w:t>
            </w:r>
          </w:p>
        </w:tc>
        <w:tc>
          <w:tcPr>
            <w:tcW w:w="5954"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 xml:space="preserve">Systemic </w:t>
            </w:r>
            <w:proofErr w:type="spellStart"/>
            <w:r w:rsidRPr="0040045E">
              <w:rPr>
                <w:rFonts w:ascii="Arial Narrow" w:hAnsi="Arial Narrow" w:cs="Arial"/>
                <w:sz w:val="20"/>
                <w:szCs w:val="20"/>
              </w:rPr>
              <w:t>aspergillosis</w:t>
            </w:r>
            <w:proofErr w:type="spellEnd"/>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PBS Indication:</w:t>
            </w:r>
          </w:p>
        </w:tc>
        <w:tc>
          <w:tcPr>
            <w:tcW w:w="5954"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 xml:space="preserve">Systemic </w:t>
            </w:r>
            <w:proofErr w:type="spellStart"/>
            <w:r w:rsidRPr="0040045E">
              <w:rPr>
                <w:rFonts w:ascii="Arial Narrow" w:hAnsi="Arial Narrow" w:cs="Arial"/>
                <w:sz w:val="20"/>
                <w:szCs w:val="20"/>
              </w:rPr>
              <w:t>aspergillosis</w:t>
            </w:r>
            <w:proofErr w:type="spellEnd"/>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Restriction Level / Method:</w:t>
            </w:r>
          </w:p>
          <w:p w:rsidR="004D2191" w:rsidRPr="0040045E" w:rsidRDefault="004D2191" w:rsidP="00A80A04">
            <w:pPr>
              <w:keepNext/>
              <w:rPr>
                <w:rFonts w:ascii="Arial Narrow" w:hAnsi="Arial Narrow" w:cs="Arial"/>
                <w:sz w:val="20"/>
                <w:szCs w:val="20"/>
              </w:rPr>
            </w:pPr>
          </w:p>
        </w:tc>
        <w:tc>
          <w:tcPr>
            <w:tcW w:w="5954"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Restricted benefit</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In Writing</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3"/>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Telephone</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Emergency</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Electronic</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Streamlined</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Administrative Advice</w:t>
            </w:r>
          </w:p>
          <w:p w:rsidR="004D2191" w:rsidRPr="0040045E" w:rsidRDefault="004D2191" w:rsidP="00A80A04">
            <w:pPr>
              <w:keepNext/>
              <w:jc w:val="both"/>
              <w:rPr>
                <w:rFonts w:ascii="Arial Narrow" w:hAnsi="Arial Narrow" w:cs="Arial"/>
                <w:i/>
                <w:sz w:val="20"/>
                <w:szCs w:val="20"/>
              </w:rPr>
            </w:pPr>
          </w:p>
        </w:tc>
        <w:tc>
          <w:tcPr>
            <w:tcW w:w="5954"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 xml:space="preserve">One capsule of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50 mg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therapeutically equivalent to one 100 mg capsule of conventional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 xml:space="preserve">The recommended dose of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therefore half the recommended dose for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50 mg capsules and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100 mg capsules are not interchangeable.</w:t>
            </w:r>
          </w:p>
          <w:p w:rsidR="003A42B4" w:rsidRPr="0040045E" w:rsidRDefault="003A42B4" w:rsidP="00A80A04">
            <w:pPr>
              <w:keepNext/>
              <w:rPr>
                <w:rFonts w:ascii="Arial Narrow" w:hAnsi="Arial Narrow" w:cs="Arial"/>
                <w:i/>
                <w:sz w:val="20"/>
                <w:szCs w:val="20"/>
              </w:rPr>
            </w:pPr>
          </w:p>
          <w:p w:rsidR="003A42B4" w:rsidRPr="0040045E" w:rsidRDefault="003A42B4" w:rsidP="00A80A04">
            <w:pPr>
              <w:keepNext/>
              <w:rPr>
                <w:rFonts w:ascii="Arial Narrow" w:hAnsi="Arial Narrow" w:cs="Arial"/>
                <w:i/>
                <w:sz w:val="20"/>
                <w:szCs w:val="20"/>
              </w:rPr>
            </w:pPr>
            <w:r w:rsidRPr="0040045E">
              <w:rPr>
                <w:rFonts w:ascii="Arial Narrow" w:hAnsi="Arial Narrow" w:cs="Arial"/>
                <w:i/>
                <w:sz w:val="20"/>
                <w:szCs w:val="20"/>
              </w:rPr>
              <w:t>Not for use in superficial mycoses.</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Shared Care Model:</w:t>
            </w: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8A3162" w:rsidRPr="0040045E" w:rsidRDefault="008A3162" w:rsidP="008A3162">
      <w:pPr>
        <w:jc w:val="both"/>
        <w:rPr>
          <w:rFonts w:ascii="Arial" w:hAnsi="Arial" w:cs="Arial"/>
          <w:b/>
          <w:sz w:val="22"/>
          <w:szCs w:val="22"/>
        </w:rPr>
      </w:pPr>
    </w:p>
    <w:p w:rsidR="004D2191" w:rsidRPr="0040045E" w:rsidRDefault="004D2191">
      <w:pPr>
        <w:rPr>
          <w:rFonts w:ascii="Arial" w:hAnsi="Arial" w:cs="Arial"/>
          <w:b/>
          <w:sz w:val="22"/>
          <w:szCs w:val="22"/>
        </w:rPr>
      </w:pPr>
    </w:p>
    <w:p w:rsidR="00BF472E" w:rsidRPr="0040045E" w:rsidRDefault="00BF472E">
      <w:pPr>
        <w:rPr>
          <w:rFonts w:ascii="Arial" w:hAnsi="Arial" w:cs="Arial"/>
          <w:b/>
          <w:sz w:val="22"/>
          <w:szCs w:val="22"/>
        </w:rPr>
      </w:pPr>
      <w:r w:rsidRPr="0040045E">
        <w:rPr>
          <w:rFonts w:ascii="Arial" w:hAnsi="Arial" w:cs="Arial"/>
          <w:b/>
          <w:sz w:val="22"/>
          <w:szCs w:val="22"/>
        </w:rPr>
        <w:br w:type="page"/>
      </w:r>
    </w:p>
    <w:p w:rsidR="008A3162" w:rsidRPr="0040045E" w:rsidRDefault="008A3162" w:rsidP="008A3162">
      <w:pPr>
        <w:jc w:val="both"/>
        <w:rPr>
          <w:rFonts w:ascii="Arial" w:hAnsi="Arial" w:cs="Arial"/>
          <w:b/>
          <w:sz w:val="22"/>
          <w:szCs w:val="22"/>
        </w:rPr>
      </w:pPr>
    </w:p>
    <w:tbl>
      <w:tblPr>
        <w:tblW w:w="8789" w:type="dxa"/>
        <w:tblInd w:w="108" w:type="dxa"/>
        <w:tblLayout w:type="fixed"/>
        <w:tblLook w:val="0000" w:firstRow="0" w:lastRow="0" w:firstColumn="0" w:lastColumn="0" w:noHBand="0" w:noVBand="0"/>
        <w:tblCaption w:val="Recommended PBS listing - Systemic sporotrichosis"/>
      </w:tblPr>
      <w:tblGrid>
        <w:gridCol w:w="2835"/>
        <w:gridCol w:w="426"/>
        <w:gridCol w:w="567"/>
        <w:gridCol w:w="850"/>
        <w:gridCol w:w="1701"/>
        <w:gridCol w:w="1559"/>
        <w:gridCol w:w="851"/>
      </w:tblGrid>
      <w:tr w:rsidR="004D2191" w:rsidRPr="0040045E" w:rsidTr="00A80A04">
        <w:trPr>
          <w:cantSplit/>
          <w:trHeight w:val="471"/>
        </w:trPr>
        <w:tc>
          <w:tcPr>
            <w:tcW w:w="3261"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rPr>
                <w:rFonts w:ascii="Arial Narrow" w:hAnsi="Arial Narrow" w:cs="Arial"/>
                <w:sz w:val="20"/>
                <w:szCs w:val="20"/>
              </w:rPr>
            </w:pPr>
            <w:r w:rsidRPr="0040045E">
              <w:rPr>
                <w:rFonts w:ascii="Arial Narrow" w:hAnsi="Arial Narrow" w:cs="Arial"/>
                <w:sz w:val="20"/>
                <w:szCs w:val="20"/>
              </w:rPr>
              <w:t>Name, Restriction,</w:t>
            </w:r>
          </w:p>
          <w:p w:rsidR="004D2191" w:rsidRPr="0040045E" w:rsidRDefault="004D2191" w:rsidP="00A80A04">
            <w:pPr>
              <w:ind w:left="-108"/>
              <w:rPr>
                <w:rFonts w:ascii="Arial Narrow" w:hAnsi="Arial Narrow" w:cs="Arial"/>
                <w:sz w:val="20"/>
                <w:szCs w:val="20"/>
              </w:rPr>
            </w:pPr>
            <w:r w:rsidRPr="0040045E">
              <w:rPr>
                <w:rFonts w:ascii="Arial Narrow" w:hAnsi="Arial Narrow" w:cs="Arial"/>
                <w:sz w:val="20"/>
                <w:szCs w:val="20"/>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rPr>
                <w:rFonts w:ascii="Arial Narrow" w:hAnsi="Arial Narrow" w:cs="Arial"/>
                <w:sz w:val="20"/>
                <w:szCs w:val="20"/>
              </w:rPr>
            </w:pPr>
            <w:r w:rsidRPr="0040045E">
              <w:rPr>
                <w:rFonts w:ascii="Arial Narrow" w:hAnsi="Arial Narrow" w:cs="Arial"/>
                <w:sz w:val="20"/>
                <w:szCs w:val="20"/>
              </w:rPr>
              <w:t>Max.</w:t>
            </w:r>
          </w:p>
          <w:p w:rsidR="004D2191" w:rsidRPr="0040045E" w:rsidRDefault="004D2191" w:rsidP="00A80A04">
            <w:pPr>
              <w:ind w:left="-108"/>
              <w:rPr>
                <w:rFonts w:ascii="Arial Narrow" w:hAnsi="Arial Narrow" w:cs="Arial"/>
                <w:sz w:val="20"/>
                <w:szCs w:val="20"/>
              </w:rPr>
            </w:pPr>
            <w:proofErr w:type="spellStart"/>
            <w:r w:rsidRPr="0040045E">
              <w:rPr>
                <w:rFonts w:ascii="Arial Narrow" w:hAnsi="Arial Narrow" w:cs="Arial"/>
                <w:sz w:val="20"/>
                <w:szCs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rPr>
                <w:rFonts w:ascii="Arial Narrow" w:hAnsi="Arial Narrow" w:cs="Arial"/>
                <w:sz w:val="20"/>
                <w:szCs w:val="20"/>
              </w:rPr>
            </w:pPr>
            <w:r w:rsidRPr="0040045E">
              <w:rPr>
                <w:rFonts w:ascii="Arial Narrow" w:hAnsi="Arial Narrow" w:cs="Arial"/>
                <w:sz w:val="20"/>
                <w:szCs w:val="20"/>
              </w:rPr>
              <w:t>№.of</w:t>
            </w:r>
          </w:p>
          <w:p w:rsidR="004D2191" w:rsidRPr="0040045E" w:rsidRDefault="004D2191" w:rsidP="00A80A04">
            <w:pPr>
              <w:ind w:left="-108"/>
              <w:rPr>
                <w:rFonts w:ascii="Arial Narrow" w:hAnsi="Arial Narrow" w:cs="Arial"/>
                <w:sz w:val="20"/>
                <w:szCs w:val="20"/>
              </w:rPr>
            </w:pPr>
            <w:proofErr w:type="spellStart"/>
            <w:r w:rsidRPr="0040045E">
              <w:rPr>
                <w:rFonts w:ascii="Arial Narrow" w:hAnsi="Arial Narrow" w:cs="Arial"/>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rPr>
                <w:rFonts w:ascii="Arial Narrow" w:hAnsi="Arial Narrow" w:cs="Arial"/>
                <w:sz w:val="20"/>
                <w:szCs w:val="20"/>
              </w:rPr>
            </w:pPr>
          </w:p>
        </w:tc>
        <w:tc>
          <w:tcPr>
            <w:tcW w:w="2410"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t>Proprietary Name and Manufacturer</w:t>
            </w:r>
          </w:p>
        </w:tc>
      </w:tr>
      <w:tr w:rsidR="004D2191" w:rsidRPr="0040045E" w:rsidTr="00A80A04">
        <w:trPr>
          <w:cantSplit/>
          <w:trHeight w:val="577"/>
        </w:trPr>
        <w:tc>
          <w:tcPr>
            <w:tcW w:w="3261"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jc w:val="both"/>
              <w:rPr>
                <w:rFonts w:ascii="Arial Narrow" w:hAnsi="Arial Narrow" w:cs="Arial"/>
                <w:sz w:val="20"/>
                <w:szCs w:val="20"/>
              </w:rPr>
            </w:pPr>
            <w:r w:rsidRPr="0040045E">
              <w:rPr>
                <w:rFonts w:ascii="Arial Narrow" w:hAnsi="Arial Narrow" w:cs="Arial"/>
                <w:smallCaps/>
                <w:sz w:val="20"/>
                <w:szCs w:val="20"/>
              </w:rPr>
              <w:t>ITRACONAZOLE</w:t>
            </w:r>
          </w:p>
          <w:p w:rsidR="004D2191" w:rsidRPr="0040045E" w:rsidRDefault="004D2191" w:rsidP="00A80A04">
            <w:pPr>
              <w:ind w:left="-108"/>
              <w:jc w:val="both"/>
              <w:rPr>
                <w:rFonts w:ascii="Arial Narrow" w:hAnsi="Arial Narrow" w:cs="Arial"/>
                <w:sz w:val="20"/>
                <w:szCs w:val="20"/>
              </w:rPr>
            </w:pPr>
            <w:r w:rsidRPr="0040045E">
              <w:rPr>
                <w:rFonts w:ascii="Arial Narrow" w:hAnsi="Arial Narrow" w:cs="Arial"/>
                <w:sz w:val="20"/>
                <w:szCs w:val="20"/>
              </w:rPr>
              <w:t>Capsule, 50mg, 60</w:t>
            </w:r>
          </w:p>
        </w:tc>
        <w:tc>
          <w:tcPr>
            <w:tcW w:w="567"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jc w:val="center"/>
              <w:rPr>
                <w:rFonts w:ascii="Arial Narrow" w:hAnsi="Arial Narrow" w:cs="Arial"/>
                <w:sz w:val="20"/>
                <w:szCs w:val="20"/>
              </w:rPr>
            </w:pPr>
            <w:r w:rsidRPr="0040045E">
              <w:rPr>
                <w:rFonts w:ascii="Arial Narrow"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jc w:val="center"/>
              <w:rPr>
                <w:rFonts w:ascii="Arial Narrow" w:hAnsi="Arial Narrow" w:cs="Arial"/>
                <w:sz w:val="20"/>
                <w:szCs w:val="20"/>
              </w:rPr>
            </w:pPr>
            <w:r w:rsidRPr="0040045E">
              <w:rPr>
                <w:rFonts w:ascii="Arial Narrow" w:hAnsi="Arial Narrow" w:cs="Arial"/>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jc w:val="center"/>
              <w:rPr>
                <w:rFonts w:ascii="Arial Narrow" w:hAnsi="Arial Narrow" w:cs="Arial"/>
                <w:sz w:val="20"/>
                <w:szCs w:val="20"/>
              </w:rPr>
            </w:pPr>
            <w:proofErr w:type="spellStart"/>
            <w:r w:rsidRPr="0040045E">
              <w:rPr>
                <w:rFonts w:ascii="Arial Narrow" w:hAnsi="Arial Narrow" w:cs="Arial"/>
                <w:sz w:val="20"/>
                <w:szCs w:val="20"/>
              </w:rPr>
              <w:t>Lozanoc</w:t>
            </w:r>
            <w:proofErr w:type="spellEnd"/>
            <w:r w:rsidRPr="0040045E">
              <w:rPr>
                <w:rFonts w:ascii="Arial Narrow" w:hAnsi="Arial Narrow" w:cs="Arial"/>
                <w:sz w:val="20"/>
                <w:szCs w:val="20"/>
                <w:vertAlign w:val="superscript"/>
              </w:rPr>
              <w:t>®</w:t>
            </w:r>
          </w:p>
        </w:tc>
        <w:tc>
          <w:tcPr>
            <w:tcW w:w="851"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jc w:val="center"/>
              <w:rPr>
                <w:rFonts w:ascii="Arial Narrow" w:hAnsi="Arial Narrow" w:cs="Arial"/>
                <w:sz w:val="20"/>
                <w:szCs w:val="20"/>
              </w:rPr>
            </w:pPr>
            <w:r w:rsidRPr="0040045E">
              <w:rPr>
                <w:rFonts w:ascii="Arial Narrow" w:hAnsi="Arial Narrow" w:cs="Arial"/>
                <w:sz w:val="20"/>
                <w:szCs w:val="20"/>
              </w:rPr>
              <w:t>Mayne Pharma</w:t>
            </w:r>
          </w:p>
        </w:tc>
      </w:tr>
      <w:tr w:rsidR="004D2191" w:rsidRPr="0040045E" w:rsidTr="00A80A04">
        <w:trPr>
          <w:cantSplit/>
          <w:trHeight w:val="360"/>
        </w:trPr>
        <w:tc>
          <w:tcPr>
            <w:tcW w:w="8789" w:type="dxa"/>
            <w:gridSpan w:val="7"/>
            <w:tcBorders>
              <w:top w:val="single" w:sz="4" w:space="0" w:color="auto"/>
              <w:bottom w:val="single" w:sz="4" w:space="0" w:color="auto"/>
            </w:tcBorders>
          </w:tcPr>
          <w:p w:rsidR="004D2191" w:rsidRPr="0040045E" w:rsidRDefault="004D2191" w:rsidP="00A80A04">
            <w:pPr>
              <w:jc w:val="both"/>
              <w:rPr>
                <w:rFonts w:ascii="Arial Narrow" w:hAnsi="Arial Narrow" w:cs="Arial"/>
                <w:sz w:val="20"/>
                <w:szCs w:val="20"/>
              </w:rPr>
            </w:pP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 xml:space="preserve">Category / </w:t>
            </w:r>
          </w:p>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Program</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t>GENERAL – General Schedule (Code GE)</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Prescriber type:</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Dental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Medical Practitioners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Nurse practitioners  </w:t>
            </w: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Optometrists</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Midwives</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Condition:</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t xml:space="preserve">Systemic </w:t>
            </w:r>
            <w:proofErr w:type="spellStart"/>
            <w:r w:rsidRPr="0040045E">
              <w:rPr>
                <w:rFonts w:ascii="Arial Narrow" w:hAnsi="Arial Narrow" w:cs="Arial"/>
                <w:sz w:val="20"/>
                <w:szCs w:val="20"/>
              </w:rPr>
              <w:t>sporotrichosis</w:t>
            </w:r>
            <w:proofErr w:type="spellEnd"/>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PBS Indication:</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t xml:space="preserve">Systemic </w:t>
            </w:r>
            <w:proofErr w:type="spellStart"/>
            <w:r w:rsidRPr="0040045E">
              <w:rPr>
                <w:rFonts w:ascii="Arial Narrow" w:hAnsi="Arial Narrow" w:cs="Arial"/>
                <w:sz w:val="20"/>
                <w:szCs w:val="20"/>
              </w:rPr>
              <w:t>sporotrichosis</w:t>
            </w:r>
            <w:proofErr w:type="spellEnd"/>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Restriction Level / Method:</w:t>
            </w:r>
          </w:p>
          <w:p w:rsidR="004D2191" w:rsidRPr="0040045E" w:rsidRDefault="004D2191" w:rsidP="00A80A04">
            <w:pPr>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Restricted benefit</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In Writing</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3"/>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Telephone</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Emergency</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Electronic</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Streamlined</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Administrative Advice</w:t>
            </w:r>
          </w:p>
          <w:p w:rsidR="004D2191" w:rsidRPr="0040045E" w:rsidRDefault="004D2191" w:rsidP="00A80A04">
            <w:pPr>
              <w:jc w:val="both"/>
              <w:rPr>
                <w:rFonts w:ascii="Arial Narrow" w:hAnsi="Arial Narrow" w:cs="Arial"/>
                <w:i/>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 xml:space="preserve">One capsule of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50 mg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therapeutically equivalent to one 100 mg capsule of conventional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 xml:space="preserve">The recommended dose of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therefore half the recommended dose for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50 mg capsules and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100 mg capsules are not interchangeable.</w:t>
            </w:r>
          </w:p>
          <w:p w:rsidR="004D2191" w:rsidRPr="0040045E" w:rsidRDefault="004D2191" w:rsidP="00A80A04">
            <w:pPr>
              <w:keepNext/>
              <w:rPr>
                <w:rFonts w:ascii="Arial Narrow" w:hAnsi="Arial Narrow" w:cs="Arial"/>
                <w:i/>
                <w:sz w:val="20"/>
                <w:szCs w:val="20"/>
              </w:rPr>
            </w:pPr>
          </w:p>
          <w:p w:rsidR="003A42B4" w:rsidRPr="0040045E" w:rsidRDefault="003A42B4" w:rsidP="00A80A04">
            <w:pPr>
              <w:keepNext/>
              <w:rPr>
                <w:rFonts w:ascii="Arial Narrow" w:hAnsi="Arial Narrow" w:cs="Arial"/>
                <w:i/>
                <w:sz w:val="20"/>
                <w:szCs w:val="20"/>
              </w:rPr>
            </w:pPr>
            <w:r w:rsidRPr="0040045E">
              <w:rPr>
                <w:rFonts w:ascii="Arial Narrow" w:hAnsi="Arial Narrow" w:cs="Arial"/>
                <w:i/>
                <w:sz w:val="20"/>
                <w:szCs w:val="20"/>
              </w:rPr>
              <w:t>Not for use in superficial mycoses.</w:t>
            </w:r>
          </w:p>
          <w:p w:rsidR="003A42B4" w:rsidRPr="0040045E" w:rsidRDefault="003A42B4"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Shared Care Model:</w:t>
            </w:r>
          </w:p>
          <w:p w:rsidR="004D2191" w:rsidRPr="0040045E" w:rsidRDefault="004D2191" w:rsidP="00A80A04">
            <w:pPr>
              <w:rPr>
                <w:rFonts w:ascii="Arial Narrow" w:hAnsi="Arial Narrow" w:cs="Arial"/>
                <w:i/>
                <w:sz w:val="20"/>
                <w:szCs w:val="20"/>
              </w:rPr>
            </w:pPr>
            <w:r w:rsidRPr="0040045E">
              <w:rPr>
                <w:rFonts w:ascii="Arial Narrow" w:hAnsi="Arial Narrow" w:cs="Arial"/>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4D2191" w:rsidRPr="0040045E" w:rsidRDefault="004D2191" w:rsidP="008A3162">
      <w:pPr>
        <w:pStyle w:val="ListParagraph"/>
        <w:ind w:left="360"/>
        <w:rPr>
          <w:rFonts w:ascii="Calibri" w:hAnsi="Calibri" w:cs="Calibri"/>
        </w:rPr>
      </w:pPr>
    </w:p>
    <w:p w:rsidR="004D2191" w:rsidRPr="0040045E" w:rsidRDefault="004D2191">
      <w:pPr>
        <w:rPr>
          <w:rFonts w:ascii="Calibri" w:hAnsi="Calibri" w:cs="Calibri"/>
        </w:rPr>
      </w:pPr>
      <w:r w:rsidRPr="0040045E">
        <w:rPr>
          <w:rFonts w:ascii="Calibri" w:hAnsi="Calibri" w:cs="Calibri"/>
        </w:rPr>
        <w:br w:type="page"/>
      </w:r>
    </w:p>
    <w:p w:rsidR="004D2191" w:rsidRPr="0040045E" w:rsidRDefault="004D2191" w:rsidP="008A3162">
      <w:pPr>
        <w:pStyle w:val="ListParagraph"/>
        <w:ind w:left="360"/>
        <w:rPr>
          <w:rFonts w:ascii="Calibri" w:hAnsi="Calibri" w:cs="Calibri"/>
        </w:rPr>
      </w:pPr>
    </w:p>
    <w:tbl>
      <w:tblPr>
        <w:tblW w:w="8789" w:type="dxa"/>
        <w:tblInd w:w="108" w:type="dxa"/>
        <w:tblLayout w:type="fixed"/>
        <w:tblLook w:val="0000" w:firstRow="0" w:lastRow="0" w:firstColumn="0" w:lastColumn="0" w:noHBand="0" w:noVBand="0"/>
        <w:tblCaption w:val="Recommended PBS listing - Systemic histoplasmosis"/>
      </w:tblPr>
      <w:tblGrid>
        <w:gridCol w:w="2835"/>
        <w:gridCol w:w="426"/>
        <w:gridCol w:w="567"/>
        <w:gridCol w:w="850"/>
        <w:gridCol w:w="1701"/>
        <w:gridCol w:w="1559"/>
        <w:gridCol w:w="851"/>
      </w:tblGrid>
      <w:tr w:rsidR="004D2191" w:rsidRPr="0040045E" w:rsidTr="00A80A04">
        <w:trPr>
          <w:cantSplit/>
          <w:trHeight w:val="471"/>
        </w:trPr>
        <w:tc>
          <w:tcPr>
            <w:tcW w:w="3261"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rPr>
                <w:rFonts w:ascii="Arial Narrow" w:hAnsi="Arial Narrow" w:cs="Arial"/>
                <w:sz w:val="20"/>
                <w:szCs w:val="20"/>
              </w:rPr>
            </w:pPr>
            <w:r w:rsidRPr="0040045E">
              <w:rPr>
                <w:rFonts w:ascii="Arial Narrow" w:hAnsi="Arial Narrow" w:cs="Arial"/>
                <w:sz w:val="20"/>
                <w:szCs w:val="20"/>
              </w:rPr>
              <w:t>Name, Restriction,</w:t>
            </w:r>
          </w:p>
          <w:p w:rsidR="004D2191" w:rsidRPr="0040045E" w:rsidRDefault="004D2191" w:rsidP="00A80A04">
            <w:pPr>
              <w:ind w:left="-108"/>
              <w:rPr>
                <w:rFonts w:ascii="Arial Narrow" w:hAnsi="Arial Narrow" w:cs="Arial"/>
                <w:sz w:val="20"/>
                <w:szCs w:val="20"/>
              </w:rPr>
            </w:pPr>
            <w:r w:rsidRPr="0040045E">
              <w:rPr>
                <w:rFonts w:ascii="Arial Narrow" w:hAnsi="Arial Narrow" w:cs="Arial"/>
                <w:sz w:val="20"/>
                <w:szCs w:val="20"/>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rPr>
                <w:rFonts w:ascii="Arial Narrow" w:hAnsi="Arial Narrow" w:cs="Arial"/>
                <w:sz w:val="20"/>
                <w:szCs w:val="20"/>
              </w:rPr>
            </w:pPr>
            <w:r w:rsidRPr="0040045E">
              <w:rPr>
                <w:rFonts w:ascii="Arial Narrow" w:hAnsi="Arial Narrow" w:cs="Arial"/>
                <w:sz w:val="20"/>
                <w:szCs w:val="20"/>
              </w:rPr>
              <w:t>Max.</w:t>
            </w:r>
          </w:p>
          <w:p w:rsidR="004D2191" w:rsidRPr="0040045E" w:rsidRDefault="004D2191" w:rsidP="00A80A04">
            <w:pPr>
              <w:ind w:left="-108"/>
              <w:rPr>
                <w:rFonts w:ascii="Arial Narrow" w:hAnsi="Arial Narrow" w:cs="Arial"/>
                <w:sz w:val="20"/>
                <w:szCs w:val="20"/>
              </w:rPr>
            </w:pPr>
            <w:proofErr w:type="spellStart"/>
            <w:r w:rsidRPr="0040045E">
              <w:rPr>
                <w:rFonts w:ascii="Arial Narrow" w:hAnsi="Arial Narrow" w:cs="Arial"/>
                <w:sz w:val="20"/>
                <w:szCs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rPr>
                <w:rFonts w:ascii="Arial Narrow" w:hAnsi="Arial Narrow" w:cs="Arial"/>
                <w:sz w:val="20"/>
                <w:szCs w:val="20"/>
              </w:rPr>
            </w:pPr>
            <w:r w:rsidRPr="0040045E">
              <w:rPr>
                <w:rFonts w:ascii="Arial Narrow" w:hAnsi="Arial Narrow" w:cs="Arial"/>
                <w:sz w:val="20"/>
                <w:szCs w:val="20"/>
              </w:rPr>
              <w:t>№.of</w:t>
            </w:r>
          </w:p>
          <w:p w:rsidR="004D2191" w:rsidRPr="0040045E" w:rsidRDefault="004D2191" w:rsidP="00A80A04">
            <w:pPr>
              <w:ind w:left="-108"/>
              <w:rPr>
                <w:rFonts w:ascii="Arial Narrow" w:hAnsi="Arial Narrow" w:cs="Arial"/>
                <w:sz w:val="20"/>
                <w:szCs w:val="20"/>
              </w:rPr>
            </w:pPr>
            <w:proofErr w:type="spellStart"/>
            <w:r w:rsidRPr="0040045E">
              <w:rPr>
                <w:rFonts w:ascii="Arial Narrow" w:hAnsi="Arial Narrow" w:cs="Arial"/>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rPr>
                <w:rFonts w:ascii="Arial Narrow" w:hAnsi="Arial Narrow" w:cs="Arial"/>
                <w:sz w:val="20"/>
                <w:szCs w:val="20"/>
              </w:rPr>
            </w:pPr>
          </w:p>
        </w:tc>
        <w:tc>
          <w:tcPr>
            <w:tcW w:w="2410"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t>Proprietary Name and Manufacturer</w:t>
            </w:r>
          </w:p>
        </w:tc>
      </w:tr>
      <w:tr w:rsidR="004D2191" w:rsidRPr="0040045E" w:rsidTr="00A80A04">
        <w:trPr>
          <w:cantSplit/>
          <w:trHeight w:val="577"/>
        </w:trPr>
        <w:tc>
          <w:tcPr>
            <w:tcW w:w="3261"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jc w:val="both"/>
              <w:rPr>
                <w:rFonts w:ascii="Arial Narrow" w:hAnsi="Arial Narrow" w:cs="Arial"/>
                <w:sz w:val="20"/>
                <w:szCs w:val="20"/>
              </w:rPr>
            </w:pPr>
            <w:r w:rsidRPr="0040045E">
              <w:rPr>
                <w:rFonts w:ascii="Arial Narrow" w:hAnsi="Arial Narrow" w:cs="Arial"/>
                <w:smallCaps/>
                <w:sz w:val="20"/>
                <w:szCs w:val="20"/>
              </w:rPr>
              <w:t>ITRACONAZOLE</w:t>
            </w:r>
          </w:p>
          <w:p w:rsidR="004D2191" w:rsidRPr="0040045E" w:rsidRDefault="004D2191" w:rsidP="00A80A04">
            <w:pPr>
              <w:ind w:left="-108"/>
              <w:jc w:val="both"/>
              <w:rPr>
                <w:rFonts w:ascii="Arial Narrow" w:hAnsi="Arial Narrow" w:cs="Arial"/>
                <w:sz w:val="20"/>
                <w:szCs w:val="20"/>
              </w:rPr>
            </w:pPr>
            <w:r w:rsidRPr="0040045E">
              <w:rPr>
                <w:rFonts w:ascii="Arial Narrow" w:hAnsi="Arial Narrow" w:cs="Arial"/>
                <w:sz w:val="20"/>
                <w:szCs w:val="20"/>
              </w:rPr>
              <w:t>Capsule, 50mg, 60</w:t>
            </w:r>
          </w:p>
        </w:tc>
        <w:tc>
          <w:tcPr>
            <w:tcW w:w="567"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jc w:val="center"/>
              <w:rPr>
                <w:rFonts w:ascii="Arial Narrow" w:hAnsi="Arial Narrow" w:cs="Arial"/>
                <w:sz w:val="20"/>
                <w:szCs w:val="20"/>
              </w:rPr>
            </w:pPr>
            <w:r w:rsidRPr="0040045E">
              <w:rPr>
                <w:rFonts w:ascii="Arial Narrow"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jc w:val="center"/>
              <w:rPr>
                <w:rFonts w:ascii="Arial Narrow" w:hAnsi="Arial Narrow" w:cs="Arial"/>
                <w:sz w:val="20"/>
                <w:szCs w:val="20"/>
              </w:rPr>
            </w:pPr>
            <w:r w:rsidRPr="0040045E">
              <w:rPr>
                <w:rFonts w:ascii="Arial Narrow" w:hAnsi="Arial Narrow" w:cs="Arial"/>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jc w:val="center"/>
              <w:rPr>
                <w:rFonts w:ascii="Arial Narrow" w:hAnsi="Arial Narrow" w:cs="Arial"/>
                <w:sz w:val="20"/>
                <w:szCs w:val="20"/>
              </w:rPr>
            </w:pPr>
            <w:proofErr w:type="spellStart"/>
            <w:r w:rsidRPr="0040045E">
              <w:rPr>
                <w:rFonts w:ascii="Arial Narrow" w:hAnsi="Arial Narrow" w:cs="Arial"/>
                <w:sz w:val="20"/>
                <w:szCs w:val="20"/>
              </w:rPr>
              <w:t>Lozanoc</w:t>
            </w:r>
            <w:proofErr w:type="spellEnd"/>
            <w:r w:rsidRPr="0040045E">
              <w:rPr>
                <w:rFonts w:ascii="Arial Narrow" w:hAnsi="Arial Narrow"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jc w:val="center"/>
              <w:rPr>
                <w:rFonts w:ascii="Arial Narrow" w:hAnsi="Arial Narrow" w:cs="Arial"/>
                <w:sz w:val="20"/>
                <w:szCs w:val="20"/>
              </w:rPr>
            </w:pPr>
            <w:r w:rsidRPr="0040045E">
              <w:rPr>
                <w:rFonts w:ascii="Arial Narrow" w:hAnsi="Arial Narrow" w:cs="Arial"/>
                <w:sz w:val="20"/>
                <w:szCs w:val="20"/>
              </w:rPr>
              <w:t>Mayne Pharma</w:t>
            </w:r>
          </w:p>
        </w:tc>
      </w:tr>
      <w:tr w:rsidR="004D2191" w:rsidRPr="0040045E" w:rsidTr="00A80A04">
        <w:trPr>
          <w:cantSplit/>
          <w:trHeight w:val="360"/>
        </w:trPr>
        <w:tc>
          <w:tcPr>
            <w:tcW w:w="8789" w:type="dxa"/>
            <w:gridSpan w:val="7"/>
            <w:tcBorders>
              <w:top w:val="single" w:sz="4" w:space="0" w:color="auto"/>
              <w:bottom w:val="single" w:sz="4" w:space="0" w:color="auto"/>
            </w:tcBorders>
          </w:tcPr>
          <w:p w:rsidR="004D2191" w:rsidRPr="0040045E" w:rsidRDefault="004D2191" w:rsidP="00A80A04">
            <w:pPr>
              <w:jc w:val="both"/>
              <w:rPr>
                <w:rFonts w:ascii="Arial Narrow" w:hAnsi="Arial Narrow" w:cs="Arial"/>
                <w:sz w:val="20"/>
                <w:szCs w:val="20"/>
              </w:rPr>
            </w:pP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 xml:space="preserve">Category / </w:t>
            </w:r>
          </w:p>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Program</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t>GENERAL – General Schedule (Code GE)</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Prescriber type:</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Dental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Medical Practitioners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Nurse practitioners  </w:t>
            </w: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Optometrists</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Midwives</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Condition:</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t>Systemic histoplasmosis</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PBS Indication:</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t>Systemic histoplasmosis</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Restriction Level / Method:</w:t>
            </w:r>
          </w:p>
          <w:p w:rsidR="004D2191" w:rsidRPr="0040045E" w:rsidRDefault="004D2191" w:rsidP="00A80A04">
            <w:pPr>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Restricted benefit</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In Writing</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3"/>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Telephone</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Emergency</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Electronic</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Streamlined</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Administrative Advice</w:t>
            </w:r>
          </w:p>
          <w:p w:rsidR="004D2191" w:rsidRPr="0040045E" w:rsidRDefault="004D2191" w:rsidP="00A80A04">
            <w:pPr>
              <w:jc w:val="both"/>
              <w:rPr>
                <w:rFonts w:ascii="Arial Narrow" w:hAnsi="Arial Narrow" w:cs="Arial"/>
                <w:i/>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 xml:space="preserve">One capsule of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50 mg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therapeutically equivalent to one 100 mg capsule of conventional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 xml:space="preserve">The recommended dose of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therefore half the recommended dose for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50 mg capsules and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100 mg capsules are not interchangeable.</w:t>
            </w:r>
          </w:p>
          <w:p w:rsidR="004D2191" w:rsidRPr="0040045E" w:rsidRDefault="004D2191" w:rsidP="00A80A04">
            <w:pPr>
              <w:keepNext/>
              <w:rPr>
                <w:rFonts w:ascii="Arial Narrow" w:hAnsi="Arial Narrow" w:cs="Arial"/>
                <w:i/>
                <w:sz w:val="20"/>
                <w:szCs w:val="20"/>
              </w:rPr>
            </w:pPr>
          </w:p>
          <w:p w:rsidR="003A42B4" w:rsidRPr="0040045E" w:rsidRDefault="003A42B4" w:rsidP="00A80A04">
            <w:pPr>
              <w:keepNext/>
              <w:rPr>
                <w:rFonts w:ascii="Arial Narrow" w:hAnsi="Arial Narrow" w:cs="Arial"/>
                <w:i/>
                <w:sz w:val="20"/>
                <w:szCs w:val="20"/>
              </w:rPr>
            </w:pPr>
            <w:r w:rsidRPr="0040045E">
              <w:rPr>
                <w:rFonts w:ascii="Arial Narrow" w:hAnsi="Arial Narrow" w:cs="Arial"/>
                <w:i/>
                <w:sz w:val="20"/>
                <w:szCs w:val="20"/>
              </w:rPr>
              <w:t>Not for use in superficial mycoses.</w:t>
            </w:r>
          </w:p>
          <w:p w:rsidR="003A42B4" w:rsidRPr="0040045E" w:rsidRDefault="003A42B4"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Shared Care Model:</w:t>
            </w:r>
          </w:p>
          <w:p w:rsidR="004D2191" w:rsidRPr="0040045E" w:rsidRDefault="004D2191" w:rsidP="00A80A04">
            <w:pPr>
              <w:rPr>
                <w:rFonts w:ascii="Arial Narrow" w:hAnsi="Arial Narrow" w:cs="Arial"/>
                <w:i/>
                <w:sz w:val="20"/>
                <w:szCs w:val="20"/>
              </w:rPr>
            </w:pPr>
            <w:r w:rsidRPr="0040045E">
              <w:rPr>
                <w:rFonts w:ascii="Arial Narrow" w:hAnsi="Arial Narrow" w:cs="Arial"/>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4D2191" w:rsidRPr="0040045E" w:rsidRDefault="004D2191" w:rsidP="008A3162">
      <w:pPr>
        <w:pStyle w:val="ListParagraph"/>
        <w:ind w:left="360"/>
        <w:rPr>
          <w:rFonts w:ascii="Calibri" w:hAnsi="Calibri" w:cs="Calibri"/>
        </w:rPr>
      </w:pPr>
    </w:p>
    <w:p w:rsidR="004D2191" w:rsidRPr="0040045E" w:rsidRDefault="004D2191" w:rsidP="008A3162">
      <w:pPr>
        <w:pStyle w:val="ListParagraph"/>
        <w:ind w:left="360"/>
        <w:rPr>
          <w:rFonts w:ascii="Calibri" w:hAnsi="Calibri" w:cs="Calibri"/>
        </w:rPr>
      </w:pPr>
    </w:p>
    <w:tbl>
      <w:tblPr>
        <w:tblW w:w="8789" w:type="dxa"/>
        <w:tblInd w:w="108" w:type="dxa"/>
        <w:tblLayout w:type="fixed"/>
        <w:tblLook w:val="0000" w:firstRow="0" w:lastRow="0" w:firstColumn="0" w:lastColumn="0" w:noHBand="0" w:noVBand="0"/>
        <w:tblCaption w:val="Recommended PBS listing - Disseminated pulmonary histoplasmosis infection"/>
      </w:tblPr>
      <w:tblGrid>
        <w:gridCol w:w="2835"/>
        <w:gridCol w:w="426"/>
        <w:gridCol w:w="567"/>
        <w:gridCol w:w="850"/>
        <w:gridCol w:w="1701"/>
        <w:gridCol w:w="1559"/>
        <w:gridCol w:w="851"/>
      </w:tblGrid>
      <w:tr w:rsidR="004D2191" w:rsidRPr="0040045E" w:rsidTr="00A80A04">
        <w:trPr>
          <w:cantSplit/>
          <w:trHeight w:val="471"/>
        </w:trPr>
        <w:tc>
          <w:tcPr>
            <w:tcW w:w="3261"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lastRenderedPageBreak/>
              <w:t>Name, Restriction,</w:t>
            </w:r>
          </w:p>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t>Max.</w:t>
            </w:r>
          </w:p>
          <w:p w:rsidR="004D2191" w:rsidRPr="0040045E" w:rsidRDefault="004D2191" w:rsidP="00A80A04">
            <w:pPr>
              <w:keepNext/>
              <w:ind w:left="-108"/>
              <w:rPr>
                <w:rFonts w:ascii="Arial Narrow" w:hAnsi="Arial Narrow" w:cs="Arial"/>
                <w:sz w:val="20"/>
                <w:szCs w:val="20"/>
              </w:rPr>
            </w:pPr>
            <w:proofErr w:type="spellStart"/>
            <w:r w:rsidRPr="0040045E">
              <w:rPr>
                <w:rFonts w:ascii="Arial Narrow" w:hAnsi="Arial Narrow" w:cs="Arial"/>
                <w:sz w:val="20"/>
                <w:szCs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t>№.of</w:t>
            </w:r>
          </w:p>
          <w:p w:rsidR="004D2191" w:rsidRPr="0040045E" w:rsidRDefault="004D2191" w:rsidP="00A80A04">
            <w:pPr>
              <w:keepNext/>
              <w:ind w:left="-108"/>
              <w:rPr>
                <w:rFonts w:ascii="Arial Narrow" w:hAnsi="Arial Narrow" w:cs="Arial"/>
                <w:sz w:val="20"/>
                <w:szCs w:val="20"/>
              </w:rPr>
            </w:pPr>
            <w:proofErr w:type="spellStart"/>
            <w:r w:rsidRPr="0040045E">
              <w:rPr>
                <w:rFonts w:ascii="Arial Narrow" w:hAnsi="Arial Narrow" w:cs="Arial"/>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p>
        </w:tc>
        <w:tc>
          <w:tcPr>
            <w:tcW w:w="2410"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Proprietary Name and Manufacturer</w:t>
            </w:r>
          </w:p>
        </w:tc>
      </w:tr>
      <w:tr w:rsidR="004D2191" w:rsidRPr="0040045E" w:rsidTr="00A80A04">
        <w:trPr>
          <w:cantSplit/>
          <w:trHeight w:val="577"/>
        </w:trPr>
        <w:tc>
          <w:tcPr>
            <w:tcW w:w="3261"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jc w:val="both"/>
              <w:rPr>
                <w:rFonts w:ascii="Arial Narrow" w:hAnsi="Arial Narrow" w:cs="Arial"/>
                <w:sz w:val="20"/>
                <w:szCs w:val="20"/>
              </w:rPr>
            </w:pPr>
            <w:r w:rsidRPr="0040045E">
              <w:rPr>
                <w:rFonts w:ascii="Arial Narrow" w:hAnsi="Arial Narrow" w:cs="Arial"/>
                <w:smallCaps/>
                <w:sz w:val="20"/>
                <w:szCs w:val="20"/>
              </w:rPr>
              <w:t>ITRACONAZOLE</w:t>
            </w:r>
          </w:p>
          <w:p w:rsidR="004D2191" w:rsidRPr="0040045E" w:rsidRDefault="004D2191" w:rsidP="00A80A04">
            <w:pPr>
              <w:keepNext/>
              <w:ind w:left="-108"/>
              <w:jc w:val="both"/>
              <w:rPr>
                <w:rFonts w:ascii="Arial Narrow" w:hAnsi="Arial Narrow" w:cs="Arial"/>
                <w:sz w:val="20"/>
                <w:szCs w:val="20"/>
              </w:rPr>
            </w:pPr>
            <w:r w:rsidRPr="0040045E">
              <w:rPr>
                <w:rFonts w:ascii="Arial Narrow" w:hAnsi="Arial Narrow" w:cs="Arial"/>
                <w:sz w:val="20"/>
                <w:szCs w:val="20"/>
              </w:rPr>
              <w:t>Capsule, 50mg, 60</w:t>
            </w:r>
          </w:p>
        </w:tc>
        <w:tc>
          <w:tcPr>
            <w:tcW w:w="567"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r w:rsidRPr="0040045E">
              <w:rPr>
                <w:rFonts w:ascii="Arial Narrow"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r w:rsidRPr="0040045E">
              <w:rPr>
                <w:rFonts w:ascii="Arial Narrow" w:hAnsi="Arial Narrow" w:cs="Arial"/>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proofErr w:type="spellStart"/>
            <w:r w:rsidRPr="0040045E">
              <w:rPr>
                <w:rFonts w:ascii="Arial Narrow" w:hAnsi="Arial Narrow" w:cs="Arial"/>
                <w:sz w:val="20"/>
                <w:szCs w:val="20"/>
              </w:rPr>
              <w:t>Lozanoc</w:t>
            </w:r>
            <w:proofErr w:type="spellEnd"/>
            <w:r w:rsidRPr="0040045E">
              <w:rPr>
                <w:rFonts w:ascii="Arial Narrow" w:hAnsi="Arial Narrow"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r w:rsidRPr="0040045E">
              <w:rPr>
                <w:rFonts w:ascii="Arial Narrow" w:hAnsi="Arial Narrow" w:cs="Arial"/>
                <w:sz w:val="20"/>
                <w:szCs w:val="20"/>
              </w:rPr>
              <w:t>Mayne Pharma</w:t>
            </w:r>
          </w:p>
        </w:tc>
      </w:tr>
      <w:tr w:rsidR="004D2191" w:rsidRPr="0040045E" w:rsidTr="00A80A04">
        <w:trPr>
          <w:cantSplit/>
          <w:trHeight w:val="360"/>
        </w:trPr>
        <w:tc>
          <w:tcPr>
            <w:tcW w:w="8789" w:type="dxa"/>
            <w:gridSpan w:val="7"/>
            <w:tcBorders>
              <w:top w:val="single" w:sz="4" w:space="0" w:color="auto"/>
              <w:bottom w:val="single" w:sz="4" w:space="0" w:color="auto"/>
            </w:tcBorders>
          </w:tcPr>
          <w:p w:rsidR="004D2191" w:rsidRPr="0040045E" w:rsidRDefault="004D2191" w:rsidP="00A80A04">
            <w:pPr>
              <w:keepNext/>
              <w:jc w:val="both"/>
              <w:rPr>
                <w:rFonts w:ascii="Arial Narrow" w:hAnsi="Arial Narrow" w:cs="Arial"/>
                <w:sz w:val="20"/>
                <w:szCs w:val="20"/>
              </w:rPr>
            </w:pP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 xml:space="preserve">Category / </w:t>
            </w:r>
          </w:p>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Program</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GENERAL – General Schedule (Code GE)</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Prescriber type:</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Dental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Medical Practitioners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Nurse practitioners  </w:t>
            </w: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Optometrists</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Midwives</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Condition:</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Disseminated pulmonary histoplasmosis infection</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PBS Indication:</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Disseminated pulmonary histoplasmosis infection</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Treatment phase:</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Treatment and maintenance therapy</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Restriction Level / Method:</w:t>
            </w:r>
          </w:p>
          <w:p w:rsidR="004D2191" w:rsidRPr="0040045E" w:rsidRDefault="004D2191" w:rsidP="00A80A04">
            <w:pPr>
              <w:keepNext/>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Restricted benefit</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In Writing</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3"/>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Telephone</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Emergency</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Electronic</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Streamlined</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Clinical criteria:</w:t>
            </w:r>
          </w:p>
          <w:p w:rsidR="004D2191" w:rsidRPr="0040045E" w:rsidRDefault="004D2191" w:rsidP="00A80A04">
            <w:pPr>
              <w:keepNext/>
              <w:jc w:val="both"/>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sz w:val="20"/>
                <w:szCs w:val="20"/>
              </w:rPr>
            </w:pPr>
            <w:r w:rsidRPr="0040045E">
              <w:rPr>
                <w:rFonts w:ascii="Arial Narrow" w:hAnsi="Arial Narrow" w:cs="Arial"/>
                <w:sz w:val="20"/>
                <w:szCs w:val="20"/>
              </w:rPr>
              <w:t>Patient</w:t>
            </w:r>
            <w:r w:rsidRPr="0040045E">
              <w:rPr>
                <w:rFonts w:ascii="Arial Narrow" w:hAnsi="Arial Narrow" w:cs="Arial"/>
                <w:strike/>
                <w:sz w:val="20"/>
                <w:szCs w:val="20"/>
              </w:rPr>
              <w:t>s</w:t>
            </w:r>
            <w:r w:rsidRPr="0040045E">
              <w:rPr>
                <w:rFonts w:ascii="Arial Narrow" w:hAnsi="Arial Narrow" w:cs="Arial"/>
                <w:sz w:val="20"/>
                <w:szCs w:val="20"/>
              </w:rPr>
              <w:t xml:space="preserve"> </w:t>
            </w:r>
            <w:r w:rsidRPr="0040045E">
              <w:rPr>
                <w:rFonts w:ascii="Arial Narrow" w:hAnsi="Arial Narrow" w:cs="Arial"/>
                <w:i/>
                <w:sz w:val="20"/>
                <w:szCs w:val="20"/>
              </w:rPr>
              <w:t>must be diagnosed</w:t>
            </w:r>
            <w:r w:rsidRPr="0040045E">
              <w:rPr>
                <w:rFonts w:ascii="Arial Narrow" w:hAnsi="Arial Narrow" w:cs="Arial"/>
                <w:sz w:val="20"/>
                <w:szCs w:val="20"/>
              </w:rPr>
              <w:t xml:space="preserve"> with </w:t>
            </w:r>
            <w:r w:rsidRPr="0040045E">
              <w:rPr>
                <w:rFonts w:ascii="Arial Narrow" w:hAnsi="Arial Narrow" w:cs="Arial"/>
                <w:i/>
                <w:sz w:val="20"/>
                <w:szCs w:val="20"/>
              </w:rPr>
              <w:t>acquired immunodeficiency syndrome (</w:t>
            </w:r>
            <w:r w:rsidRPr="0040045E">
              <w:rPr>
                <w:rFonts w:ascii="Arial Narrow" w:hAnsi="Arial Narrow" w:cs="Arial"/>
                <w:sz w:val="20"/>
                <w:szCs w:val="20"/>
              </w:rPr>
              <w:t>AIDS</w:t>
            </w:r>
            <w:r w:rsidRPr="0040045E">
              <w:rPr>
                <w:rFonts w:ascii="Arial Narrow" w:hAnsi="Arial Narrow" w:cs="Arial"/>
                <w:i/>
                <w:sz w:val="20"/>
                <w:szCs w:val="20"/>
              </w:rPr>
              <w:t>)</w:t>
            </w:r>
            <w:r w:rsidRPr="0040045E">
              <w:rPr>
                <w:rFonts w:ascii="Arial Narrow" w:hAnsi="Arial Narrow" w:cs="Arial"/>
                <w:sz w:val="20"/>
                <w:szCs w:val="20"/>
              </w:rPr>
              <w:t>.</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Administrative Advice</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 xml:space="preserve">One capsule of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50 mg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therapeutically equivalent to one 100 mg capsule of conventional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 xml:space="preserve">The recommended dose of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therefore half the recommended dose for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50 mg capsules and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100 mg capsules are not interchangeable.</w:t>
            </w:r>
          </w:p>
          <w:p w:rsidR="004D2191" w:rsidRPr="0040045E" w:rsidRDefault="004D2191" w:rsidP="00A80A04">
            <w:pPr>
              <w:keepNext/>
              <w:rPr>
                <w:rFonts w:ascii="Arial Narrow" w:hAnsi="Arial Narrow" w:cs="Arial"/>
                <w:i/>
                <w:sz w:val="20"/>
                <w:szCs w:val="20"/>
              </w:rPr>
            </w:pPr>
          </w:p>
          <w:p w:rsidR="003A42B4" w:rsidRPr="0040045E" w:rsidRDefault="003A42B4" w:rsidP="00A80A04">
            <w:pPr>
              <w:keepNext/>
              <w:rPr>
                <w:rFonts w:ascii="Arial Narrow" w:hAnsi="Arial Narrow" w:cs="Arial"/>
                <w:i/>
                <w:sz w:val="20"/>
                <w:szCs w:val="20"/>
              </w:rPr>
            </w:pPr>
            <w:r w:rsidRPr="0040045E">
              <w:rPr>
                <w:rFonts w:ascii="Arial Narrow" w:hAnsi="Arial Narrow" w:cs="Arial"/>
                <w:i/>
                <w:sz w:val="20"/>
                <w:szCs w:val="20"/>
              </w:rPr>
              <w:t>Not for use in superficial mycoses.</w:t>
            </w:r>
          </w:p>
          <w:p w:rsidR="003A42B4" w:rsidRPr="0040045E" w:rsidRDefault="003A42B4"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Shared Care Model:</w:t>
            </w: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4D2191" w:rsidRPr="0040045E" w:rsidRDefault="004D2191" w:rsidP="008A3162">
      <w:pPr>
        <w:pStyle w:val="ListParagraph"/>
        <w:ind w:left="360"/>
        <w:rPr>
          <w:rFonts w:ascii="Calibri" w:hAnsi="Calibri" w:cs="Calibri"/>
        </w:rPr>
      </w:pPr>
    </w:p>
    <w:p w:rsidR="004D2191" w:rsidRPr="0040045E" w:rsidRDefault="004D2191" w:rsidP="008A3162">
      <w:pPr>
        <w:pStyle w:val="ListParagraph"/>
        <w:ind w:left="360"/>
        <w:rPr>
          <w:rFonts w:ascii="Calibri" w:hAnsi="Calibri" w:cs="Calibri"/>
        </w:rPr>
      </w:pPr>
    </w:p>
    <w:p w:rsidR="004D2191" w:rsidRPr="0040045E" w:rsidRDefault="004D2191" w:rsidP="008A3162">
      <w:pPr>
        <w:pStyle w:val="ListParagraph"/>
        <w:ind w:left="360"/>
        <w:rPr>
          <w:rFonts w:ascii="Calibri" w:hAnsi="Calibri" w:cs="Calibri"/>
        </w:rPr>
      </w:pPr>
    </w:p>
    <w:tbl>
      <w:tblPr>
        <w:tblW w:w="8789" w:type="dxa"/>
        <w:tblInd w:w="108" w:type="dxa"/>
        <w:tblLayout w:type="fixed"/>
        <w:tblLook w:val="0000" w:firstRow="0" w:lastRow="0" w:firstColumn="0" w:lastColumn="0" w:noHBand="0" w:noVBand="0"/>
        <w:tblCaption w:val="Recommended PBS listing - Chronic pulmonary histoplasmosis infection"/>
      </w:tblPr>
      <w:tblGrid>
        <w:gridCol w:w="2835"/>
        <w:gridCol w:w="426"/>
        <w:gridCol w:w="567"/>
        <w:gridCol w:w="850"/>
        <w:gridCol w:w="1701"/>
        <w:gridCol w:w="1559"/>
        <w:gridCol w:w="851"/>
      </w:tblGrid>
      <w:tr w:rsidR="004D2191" w:rsidRPr="0040045E" w:rsidTr="00A80A04">
        <w:trPr>
          <w:cantSplit/>
          <w:trHeight w:val="471"/>
        </w:trPr>
        <w:tc>
          <w:tcPr>
            <w:tcW w:w="3261"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lastRenderedPageBreak/>
              <w:t>Name, Restriction,</w:t>
            </w:r>
          </w:p>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t>Max.</w:t>
            </w:r>
          </w:p>
          <w:p w:rsidR="004D2191" w:rsidRPr="0040045E" w:rsidRDefault="004D2191" w:rsidP="00A80A04">
            <w:pPr>
              <w:keepNext/>
              <w:ind w:left="-108"/>
              <w:rPr>
                <w:rFonts w:ascii="Arial Narrow" w:hAnsi="Arial Narrow" w:cs="Arial"/>
                <w:sz w:val="20"/>
                <w:szCs w:val="20"/>
              </w:rPr>
            </w:pPr>
            <w:proofErr w:type="spellStart"/>
            <w:r w:rsidRPr="0040045E">
              <w:rPr>
                <w:rFonts w:ascii="Arial Narrow" w:hAnsi="Arial Narrow" w:cs="Arial"/>
                <w:sz w:val="20"/>
                <w:szCs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t>№.of</w:t>
            </w:r>
          </w:p>
          <w:p w:rsidR="004D2191" w:rsidRPr="0040045E" w:rsidRDefault="004D2191" w:rsidP="00A80A04">
            <w:pPr>
              <w:keepNext/>
              <w:ind w:left="-108"/>
              <w:rPr>
                <w:rFonts w:ascii="Arial Narrow" w:hAnsi="Arial Narrow" w:cs="Arial"/>
                <w:sz w:val="20"/>
                <w:szCs w:val="20"/>
              </w:rPr>
            </w:pPr>
            <w:proofErr w:type="spellStart"/>
            <w:r w:rsidRPr="0040045E">
              <w:rPr>
                <w:rFonts w:ascii="Arial Narrow" w:hAnsi="Arial Narrow" w:cs="Arial"/>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p>
        </w:tc>
        <w:tc>
          <w:tcPr>
            <w:tcW w:w="2410"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Proprietary Name and Manufacturer</w:t>
            </w:r>
          </w:p>
        </w:tc>
      </w:tr>
      <w:tr w:rsidR="004D2191" w:rsidRPr="0040045E" w:rsidTr="00A80A04">
        <w:trPr>
          <w:cantSplit/>
          <w:trHeight w:val="577"/>
        </w:trPr>
        <w:tc>
          <w:tcPr>
            <w:tcW w:w="3261"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jc w:val="both"/>
              <w:rPr>
                <w:rFonts w:ascii="Arial Narrow" w:hAnsi="Arial Narrow" w:cs="Arial"/>
                <w:sz w:val="20"/>
                <w:szCs w:val="20"/>
              </w:rPr>
            </w:pPr>
            <w:r w:rsidRPr="0040045E">
              <w:rPr>
                <w:rFonts w:ascii="Arial Narrow" w:hAnsi="Arial Narrow" w:cs="Arial"/>
                <w:smallCaps/>
                <w:sz w:val="20"/>
                <w:szCs w:val="20"/>
              </w:rPr>
              <w:t>ITRACONAZOLE</w:t>
            </w:r>
          </w:p>
          <w:p w:rsidR="004D2191" w:rsidRPr="0040045E" w:rsidRDefault="004D2191" w:rsidP="00A80A04">
            <w:pPr>
              <w:keepNext/>
              <w:ind w:left="-108"/>
              <w:jc w:val="both"/>
              <w:rPr>
                <w:rFonts w:ascii="Arial Narrow" w:hAnsi="Arial Narrow" w:cs="Arial"/>
                <w:sz w:val="20"/>
                <w:szCs w:val="20"/>
              </w:rPr>
            </w:pPr>
            <w:r w:rsidRPr="0040045E">
              <w:rPr>
                <w:rFonts w:ascii="Arial Narrow" w:hAnsi="Arial Narrow" w:cs="Arial"/>
                <w:sz w:val="20"/>
                <w:szCs w:val="20"/>
              </w:rPr>
              <w:t>Capsule, 50mg, 60</w:t>
            </w:r>
          </w:p>
        </w:tc>
        <w:tc>
          <w:tcPr>
            <w:tcW w:w="567"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r w:rsidRPr="0040045E">
              <w:rPr>
                <w:rFonts w:ascii="Arial Narrow"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r w:rsidRPr="0040045E">
              <w:rPr>
                <w:rFonts w:ascii="Arial Narrow" w:hAnsi="Arial Narrow" w:cs="Arial"/>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proofErr w:type="spellStart"/>
            <w:r w:rsidRPr="0040045E">
              <w:rPr>
                <w:rFonts w:ascii="Arial Narrow" w:hAnsi="Arial Narrow" w:cs="Arial"/>
                <w:sz w:val="20"/>
                <w:szCs w:val="20"/>
              </w:rPr>
              <w:t>Lozanoc</w:t>
            </w:r>
            <w:proofErr w:type="spellEnd"/>
            <w:r w:rsidRPr="0040045E">
              <w:rPr>
                <w:rFonts w:ascii="Arial Narrow" w:hAnsi="Arial Narrow"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r w:rsidRPr="0040045E">
              <w:rPr>
                <w:rFonts w:ascii="Arial Narrow" w:hAnsi="Arial Narrow" w:cs="Arial"/>
                <w:sz w:val="20"/>
                <w:szCs w:val="20"/>
              </w:rPr>
              <w:t>Mayne Pharma</w:t>
            </w:r>
          </w:p>
        </w:tc>
      </w:tr>
      <w:tr w:rsidR="004D2191" w:rsidRPr="0040045E" w:rsidTr="00A80A04">
        <w:trPr>
          <w:cantSplit/>
          <w:trHeight w:val="360"/>
        </w:trPr>
        <w:tc>
          <w:tcPr>
            <w:tcW w:w="8789" w:type="dxa"/>
            <w:gridSpan w:val="7"/>
            <w:tcBorders>
              <w:top w:val="single" w:sz="4" w:space="0" w:color="auto"/>
              <w:bottom w:val="single" w:sz="4" w:space="0" w:color="auto"/>
            </w:tcBorders>
          </w:tcPr>
          <w:p w:rsidR="004D2191" w:rsidRPr="0040045E" w:rsidRDefault="004D2191" w:rsidP="00A80A04">
            <w:pPr>
              <w:keepNext/>
              <w:jc w:val="both"/>
              <w:rPr>
                <w:rFonts w:ascii="Arial Narrow" w:hAnsi="Arial Narrow" w:cs="Arial"/>
                <w:sz w:val="20"/>
                <w:szCs w:val="20"/>
              </w:rPr>
            </w:pP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 xml:space="preserve">Category / </w:t>
            </w:r>
          </w:p>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Program</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GENERAL – General Schedule (Code GE)</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Prescriber type:</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Dental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Medical Practitioners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Nurse practitioners  </w:t>
            </w: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Optometrists</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Midwives</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Condition:</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Chronic pulmonary histoplasmosis infection</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PBS Indication:</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Chronic pulmonary histoplasmosis infection</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Treatment phase:</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Treatment and maintenance therapy</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Restriction Level / Method:</w:t>
            </w:r>
          </w:p>
          <w:p w:rsidR="004D2191" w:rsidRPr="0040045E" w:rsidRDefault="004D2191" w:rsidP="00A80A04">
            <w:pPr>
              <w:keepNext/>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Restricted benefit</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In Writing</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3"/>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Telephone</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Emergency</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Electronic</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Streamlined</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Clinical criteria:</w:t>
            </w:r>
          </w:p>
          <w:p w:rsidR="004D2191" w:rsidRPr="0040045E" w:rsidRDefault="004D2191" w:rsidP="00A80A04">
            <w:pPr>
              <w:keepNext/>
              <w:jc w:val="both"/>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sz w:val="20"/>
                <w:szCs w:val="20"/>
              </w:rPr>
            </w:pPr>
            <w:r w:rsidRPr="0040045E">
              <w:rPr>
                <w:rFonts w:ascii="Arial Narrow" w:hAnsi="Arial Narrow" w:cs="Arial"/>
                <w:sz w:val="20"/>
                <w:szCs w:val="20"/>
              </w:rPr>
              <w:t>Patient</w:t>
            </w:r>
            <w:r w:rsidRPr="0040045E">
              <w:rPr>
                <w:rFonts w:ascii="Arial Narrow" w:hAnsi="Arial Narrow" w:cs="Arial"/>
                <w:strike/>
                <w:sz w:val="20"/>
                <w:szCs w:val="20"/>
              </w:rPr>
              <w:t>s</w:t>
            </w:r>
            <w:r w:rsidRPr="0040045E">
              <w:rPr>
                <w:rFonts w:ascii="Arial Narrow" w:hAnsi="Arial Narrow" w:cs="Arial"/>
                <w:sz w:val="20"/>
                <w:szCs w:val="20"/>
              </w:rPr>
              <w:t xml:space="preserve"> </w:t>
            </w:r>
            <w:r w:rsidRPr="0040045E">
              <w:rPr>
                <w:rFonts w:ascii="Arial Narrow" w:hAnsi="Arial Narrow" w:cs="Arial"/>
                <w:i/>
                <w:sz w:val="20"/>
                <w:szCs w:val="20"/>
              </w:rPr>
              <w:t>must be diagnosed</w:t>
            </w:r>
            <w:r w:rsidRPr="0040045E">
              <w:rPr>
                <w:rFonts w:ascii="Arial Narrow" w:hAnsi="Arial Narrow" w:cs="Arial"/>
                <w:sz w:val="20"/>
                <w:szCs w:val="20"/>
              </w:rPr>
              <w:t xml:space="preserve"> with </w:t>
            </w:r>
            <w:r w:rsidRPr="0040045E">
              <w:rPr>
                <w:rFonts w:ascii="Arial Narrow" w:hAnsi="Arial Narrow" w:cs="Arial"/>
                <w:i/>
                <w:sz w:val="20"/>
                <w:szCs w:val="20"/>
              </w:rPr>
              <w:t>acquired immunodeficiency syndrome (</w:t>
            </w:r>
            <w:r w:rsidRPr="0040045E">
              <w:rPr>
                <w:rFonts w:ascii="Arial Narrow" w:hAnsi="Arial Narrow" w:cs="Arial"/>
                <w:sz w:val="20"/>
                <w:szCs w:val="20"/>
              </w:rPr>
              <w:t>AIDS</w:t>
            </w:r>
            <w:r w:rsidRPr="0040045E">
              <w:rPr>
                <w:rFonts w:ascii="Arial Narrow" w:hAnsi="Arial Narrow" w:cs="Arial"/>
                <w:i/>
                <w:sz w:val="20"/>
                <w:szCs w:val="20"/>
              </w:rPr>
              <w:t>)</w:t>
            </w:r>
            <w:r w:rsidRPr="0040045E">
              <w:rPr>
                <w:rFonts w:ascii="Arial Narrow" w:hAnsi="Arial Narrow" w:cs="Arial"/>
                <w:sz w:val="20"/>
                <w:szCs w:val="20"/>
              </w:rPr>
              <w:t>.</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Administrative Advice</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 xml:space="preserve">One capsule of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50 mg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therapeutically equivalent to one 100 mg capsule of conventional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 xml:space="preserve">The recommended dose of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therefore half the recommended dose for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50 mg capsules and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100 mg capsules are not interchangeable.</w:t>
            </w:r>
          </w:p>
          <w:p w:rsidR="004D2191" w:rsidRPr="0040045E" w:rsidRDefault="004D2191" w:rsidP="00A80A04">
            <w:pPr>
              <w:keepNext/>
              <w:rPr>
                <w:rFonts w:ascii="Arial Narrow" w:hAnsi="Arial Narrow" w:cs="Arial"/>
                <w:i/>
                <w:sz w:val="20"/>
                <w:szCs w:val="20"/>
              </w:rPr>
            </w:pPr>
          </w:p>
          <w:p w:rsidR="00BE71F9" w:rsidRPr="0040045E" w:rsidRDefault="00BE71F9" w:rsidP="00A80A04">
            <w:pPr>
              <w:keepNext/>
              <w:rPr>
                <w:rFonts w:ascii="Arial Narrow" w:hAnsi="Arial Narrow" w:cs="Arial"/>
                <w:i/>
                <w:sz w:val="20"/>
                <w:szCs w:val="20"/>
              </w:rPr>
            </w:pPr>
            <w:r w:rsidRPr="0040045E">
              <w:rPr>
                <w:rFonts w:ascii="Arial Narrow" w:hAnsi="Arial Narrow" w:cs="Arial"/>
                <w:i/>
                <w:sz w:val="20"/>
                <w:szCs w:val="20"/>
              </w:rPr>
              <w:t>Not for use in superficial mycoses.</w:t>
            </w:r>
          </w:p>
          <w:p w:rsidR="00BE71F9" w:rsidRPr="0040045E" w:rsidRDefault="00BE71F9"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Shared Care Model:</w:t>
            </w: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4D2191" w:rsidRPr="0040045E" w:rsidRDefault="004D2191" w:rsidP="008A3162">
      <w:pPr>
        <w:pStyle w:val="ListParagraph"/>
        <w:ind w:left="360"/>
        <w:rPr>
          <w:rFonts w:ascii="Calibri" w:hAnsi="Calibri" w:cs="Calibri"/>
        </w:rPr>
      </w:pPr>
    </w:p>
    <w:p w:rsidR="004D2191" w:rsidRPr="0040045E" w:rsidRDefault="004D2191" w:rsidP="008A3162">
      <w:pPr>
        <w:pStyle w:val="ListParagraph"/>
        <w:ind w:left="360"/>
        <w:rPr>
          <w:rFonts w:ascii="Calibri" w:hAnsi="Calibri" w:cs="Calibri"/>
        </w:rPr>
      </w:pPr>
    </w:p>
    <w:tbl>
      <w:tblPr>
        <w:tblW w:w="8789" w:type="dxa"/>
        <w:tblInd w:w="108" w:type="dxa"/>
        <w:tblLayout w:type="fixed"/>
        <w:tblLook w:val="0000" w:firstRow="0" w:lastRow="0" w:firstColumn="0" w:lastColumn="0" w:noHBand="0" w:noVBand="0"/>
        <w:tblCaption w:val="Recommended PBS listing - Oropharyngeal candidiasis"/>
      </w:tblPr>
      <w:tblGrid>
        <w:gridCol w:w="2835"/>
        <w:gridCol w:w="426"/>
        <w:gridCol w:w="567"/>
        <w:gridCol w:w="850"/>
        <w:gridCol w:w="1701"/>
        <w:gridCol w:w="1559"/>
        <w:gridCol w:w="851"/>
      </w:tblGrid>
      <w:tr w:rsidR="004D2191" w:rsidRPr="0040045E" w:rsidTr="00A80A04">
        <w:trPr>
          <w:cantSplit/>
          <w:trHeight w:val="471"/>
        </w:trPr>
        <w:tc>
          <w:tcPr>
            <w:tcW w:w="3261"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lastRenderedPageBreak/>
              <w:t>Name, Restriction,</w:t>
            </w:r>
          </w:p>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t>Max.</w:t>
            </w:r>
          </w:p>
          <w:p w:rsidR="004D2191" w:rsidRPr="0040045E" w:rsidRDefault="004D2191" w:rsidP="00A80A04">
            <w:pPr>
              <w:keepNext/>
              <w:ind w:left="-108"/>
              <w:rPr>
                <w:rFonts w:ascii="Arial Narrow" w:hAnsi="Arial Narrow" w:cs="Arial"/>
                <w:sz w:val="20"/>
                <w:szCs w:val="20"/>
              </w:rPr>
            </w:pPr>
            <w:proofErr w:type="spellStart"/>
            <w:r w:rsidRPr="0040045E">
              <w:rPr>
                <w:rFonts w:ascii="Arial Narrow" w:hAnsi="Arial Narrow" w:cs="Arial"/>
                <w:sz w:val="20"/>
                <w:szCs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r w:rsidRPr="0040045E">
              <w:rPr>
                <w:rFonts w:ascii="Arial Narrow" w:hAnsi="Arial Narrow" w:cs="Arial"/>
                <w:sz w:val="20"/>
                <w:szCs w:val="20"/>
              </w:rPr>
              <w:t>№.of</w:t>
            </w:r>
          </w:p>
          <w:p w:rsidR="004D2191" w:rsidRPr="0040045E" w:rsidRDefault="004D2191" w:rsidP="00A80A04">
            <w:pPr>
              <w:keepNext/>
              <w:ind w:left="-108"/>
              <w:rPr>
                <w:rFonts w:ascii="Arial Narrow" w:hAnsi="Arial Narrow" w:cs="Arial"/>
                <w:sz w:val="20"/>
                <w:szCs w:val="20"/>
              </w:rPr>
            </w:pPr>
            <w:proofErr w:type="spellStart"/>
            <w:r w:rsidRPr="0040045E">
              <w:rPr>
                <w:rFonts w:ascii="Arial Narrow" w:hAnsi="Arial Narrow" w:cs="Arial"/>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rPr>
                <w:rFonts w:ascii="Arial Narrow" w:hAnsi="Arial Narrow" w:cs="Arial"/>
                <w:sz w:val="20"/>
                <w:szCs w:val="20"/>
              </w:rPr>
            </w:pPr>
          </w:p>
        </w:tc>
        <w:tc>
          <w:tcPr>
            <w:tcW w:w="2410"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Proprietary Name and Manufacturer</w:t>
            </w:r>
          </w:p>
        </w:tc>
      </w:tr>
      <w:tr w:rsidR="004D2191" w:rsidRPr="0040045E" w:rsidTr="00A80A04">
        <w:trPr>
          <w:cantSplit/>
          <w:trHeight w:val="577"/>
        </w:trPr>
        <w:tc>
          <w:tcPr>
            <w:tcW w:w="3261"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ind w:left="-108"/>
              <w:jc w:val="both"/>
              <w:rPr>
                <w:rFonts w:ascii="Arial Narrow" w:hAnsi="Arial Narrow" w:cs="Arial"/>
                <w:sz w:val="20"/>
                <w:szCs w:val="20"/>
              </w:rPr>
            </w:pPr>
            <w:r w:rsidRPr="0040045E">
              <w:rPr>
                <w:rFonts w:ascii="Arial Narrow" w:hAnsi="Arial Narrow" w:cs="Arial"/>
                <w:smallCaps/>
                <w:sz w:val="20"/>
                <w:szCs w:val="20"/>
              </w:rPr>
              <w:t>ITRACONAZOLE</w:t>
            </w:r>
          </w:p>
          <w:p w:rsidR="004D2191" w:rsidRPr="0040045E" w:rsidRDefault="004D2191" w:rsidP="00A80A04">
            <w:pPr>
              <w:keepNext/>
              <w:ind w:left="-108"/>
              <w:jc w:val="both"/>
              <w:rPr>
                <w:rFonts w:ascii="Arial Narrow" w:hAnsi="Arial Narrow" w:cs="Arial"/>
                <w:sz w:val="20"/>
                <w:szCs w:val="20"/>
              </w:rPr>
            </w:pPr>
            <w:r w:rsidRPr="0040045E">
              <w:rPr>
                <w:rFonts w:ascii="Arial Narrow" w:hAnsi="Arial Narrow" w:cs="Arial"/>
                <w:sz w:val="20"/>
                <w:szCs w:val="20"/>
              </w:rPr>
              <w:t>Capsule, 50mg, 60</w:t>
            </w:r>
          </w:p>
        </w:tc>
        <w:tc>
          <w:tcPr>
            <w:tcW w:w="567"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r w:rsidRPr="0040045E">
              <w:rPr>
                <w:rFonts w:ascii="Arial Narrow"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r w:rsidRPr="0040045E">
              <w:rPr>
                <w:rFonts w:ascii="Arial Narrow" w:hAnsi="Arial Narrow" w:cs="Arial"/>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proofErr w:type="spellStart"/>
            <w:r w:rsidRPr="0040045E">
              <w:rPr>
                <w:rFonts w:ascii="Arial Narrow" w:hAnsi="Arial Narrow" w:cs="Arial"/>
                <w:sz w:val="20"/>
                <w:szCs w:val="20"/>
              </w:rPr>
              <w:t>Lozanoc</w:t>
            </w:r>
            <w:proofErr w:type="spellEnd"/>
            <w:r w:rsidRPr="0040045E">
              <w:rPr>
                <w:rFonts w:ascii="Arial Narrow" w:hAnsi="Arial Narrow"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keepNext/>
              <w:jc w:val="center"/>
              <w:rPr>
                <w:rFonts w:ascii="Arial Narrow" w:hAnsi="Arial Narrow" w:cs="Arial"/>
                <w:sz w:val="20"/>
                <w:szCs w:val="20"/>
              </w:rPr>
            </w:pPr>
            <w:r w:rsidRPr="0040045E">
              <w:rPr>
                <w:rFonts w:ascii="Arial Narrow" w:hAnsi="Arial Narrow" w:cs="Arial"/>
                <w:sz w:val="20"/>
                <w:szCs w:val="20"/>
              </w:rPr>
              <w:t>Mayne Pharma</w:t>
            </w:r>
          </w:p>
        </w:tc>
      </w:tr>
      <w:tr w:rsidR="004D2191" w:rsidRPr="0040045E" w:rsidTr="00A80A04">
        <w:trPr>
          <w:cantSplit/>
          <w:trHeight w:val="360"/>
        </w:trPr>
        <w:tc>
          <w:tcPr>
            <w:tcW w:w="8789" w:type="dxa"/>
            <w:gridSpan w:val="7"/>
            <w:tcBorders>
              <w:top w:val="single" w:sz="4" w:space="0" w:color="auto"/>
              <w:bottom w:val="single" w:sz="4" w:space="0" w:color="auto"/>
            </w:tcBorders>
          </w:tcPr>
          <w:p w:rsidR="004D2191" w:rsidRPr="0040045E" w:rsidRDefault="004D2191" w:rsidP="00A80A04">
            <w:pPr>
              <w:keepNext/>
              <w:jc w:val="both"/>
              <w:rPr>
                <w:rFonts w:ascii="Arial Narrow" w:hAnsi="Arial Narrow" w:cs="Arial"/>
                <w:sz w:val="20"/>
                <w:szCs w:val="20"/>
              </w:rPr>
            </w:pP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 xml:space="preserve">Category / </w:t>
            </w:r>
          </w:p>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Program</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GENERAL – General Schedule (Code GE)</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Prescriber type:</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Dental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Medical Practitioners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Nurse practitioners  </w:t>
            </w: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Optometrists</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Midwives</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Condition:</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Oropharyngeal candidiasis</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PBS Indication:</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t>Oropharyngeal candidiasis</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Restriction Level / Method:</w:t>
            </w:r>
          </w:p>
          <w:p w:rsidR="004D2191" w:rsidRPr="0040045E" w:rsidRDefault="004D2191" w:rsidP="00A80A04">
            <w:pPr>
              <w:keepNext/>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Restricted benefit</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In Writing</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3"/>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Telephone</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Emergency</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Electronic</w:t>
            </w:r>
          </w:p>
          <w:p w:rsidR="004D2191" w:rsidRPr="0040045E" w:rsidRDefault="004D2191" w:rsidP="00A80A04">
            <w:pPr>
              <w:keepNext/>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Streamlined</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Clinical criteria:</w:t>
            </w:r>
          </w:p>
          <w:p w:rsidR="004D2191" w:rsidRPr="0040045E" w:rsidRDefault="004D2191" w:rsidP="00A80A04">
            <w:pPr>
              <w:keepNext/>
              <w:jc w:val="both"/>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sz w:val="20"/>
                <w:szCs w:val="20"/>
              </w:rPr>
            </w:pPr>
            <w:r w:rsidRPr="0040045E">
              <w:rPr>
                <w:rFonts w:ascii="Arial Narrow" w:hAnsi="Arial Narrow" w:cs="Arial"/>
                <w:i/>
                <w:sz w:val="20"/>
                <w:szCs w:val="20"/>
              </w:rPr>
              <w:t>Patient must be</w:t>
            </w:r>
            <w:r w:rsidRPr="0040045E">
              <w:rPr>
                <w:rFonts w:ascii="Arial Narrow" w:hAnsi="Arial Narrow" w:cs="Arial"/>
                <w:sz w:val="20"/>
                <w:szCs w:val="20"/>
              </w:rPr>
              <w:t xml:space="preserve"> immunosuppressed.</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jc w:val="both"/>
              <w:rPr>
                <w:rFonts w:ascii="Arial Narrow" w:hAnsi="Arial Narrow" w:cs="Arial"/>
                <w:b/>
                <w:sz w:val="20"/>
                <w:szCs w:val="20"/>
              </w:rPr>
            </w:pPr>
            <w:r w:rsidRPr="0040045E">
              <w:rPr>
                <w:rFonts w:ascii="Arial Narrow" w:hAnsi="Arial Narrow" w:cs="Arial"/>
                <w:b/>
                <w:sz w:val="20"/>
                <w:szCs w:val="20"/>
              </w:rPr>
              <w:t>Administrative Advice</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 xml:space="preserve">One capsule of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50 mg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therapeutically equivalent to one 100 mg capsule of conventional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 xml:space="preserve">The recommended dose of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therefore half the recommended dose for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50 mg capsules and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100 mg capsules are not interchangeable.</w:t>
            </w:r>
          </w:p>
          <w:p w:rsidR="002F1991" w:rsidRPr="0040045E" w:rsidRDefault="002F1991" w:rsidP="00A80A04">
            <w:pPr>
              <w:keepNext/>
              <w:rPr>
                <w:rFonts w:ascii="Arial Narrow" w:hAnsi="Arial Narrow" w:cs="Arial"/>
                <w:i/>
                <w:sz w:val="20"/>
                <w:szCs w:val="20"/>
              </w:rPr>
            </w:pPr>
          </w:p>
          <w:p w:rsidR="002F1991" w:rsidRPr="0040045E" w:rsidRDefault="002F1991" w:rsidP="00A80A04">
            <w:pPr>
              <w:keepNext/>
              <w:rPr>
                <w:rFonts w:ascii="Arial Narrow" w:hAnsi="Arial Narrow" w:cs="Arial"/>
                <w:i/>
                <w:sz w:val="20"/>
                <w:szCs w:val="20"/>
              </w:rPr>
            </w:pPr>
            <w:r w:rsidRPr="0040045E">
              <w:rPr>
                <w:rFonts w:ascii="Arial Narrow" w:hAnsi="Arial Narrow" w:cs="Arial"/>
                <w:i/>
                <w:sz w:val="20"/>
                <w:szCs w:val="20"/>
              </w:rPr>
              <w:t>Not for use in superficial mycoses.</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Shared Care Model:</w:t>
            </w: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4D2191" w:rsidRPr="0040045E" w:rsidRDefault="004D2191" w:rsidP="008A3162">
      <w:pPr>
        <w:pStyle w:val="ListParagraph"/>
        <w:ind w:left="360"/>
        <w:rPr>
          <w:rFonts w:ascii="Calibri" w:hAnsi="Calibri" w:cs="Calibri"/>
        </w:rPr>
      </w:pPr>
    </w:p>
    <w:p w:rsidR="004D2191" w:rsidRPr="0040045E" w:rsidRDefault="004D2191" w:rsidP="008A3162">
      <w:pPr>
        <w:pStyle w:val="ListParagraph"/>
        <w:ind w:left="360"/>
        <w:rPr>
          <w:rFonts w:ascii="Calibri" w:hAnsi="Calibri" w:cs="Calibri"/>
        </w:rPr>
      </w:pPr>
    </w:p>
    <w:p w:rsidR="004D2191" w:rsidRPr="0040045E" w:rsidRDefault="004D2191">
      <w:pPr>
        <w:rPr>
          <w:rFonts w:ascii="Calibri" w:hAnsi="Calibri" w:cs="Calibri"/>
        </w:rPr>
      </w:pPr>
      <w:r w:rsidRPr="0040045E">
        <w:rPr>
          <w:rFonts w:ascii="Calibri" w:hAnsi="Calibri" w:cs="Calibri"/>
        </w:rPr>
        <w:br w:type="page"/>
      </w:r>
    </w:p>
    <w:p w:rsidR="004D2191" w:rsidRPr="0040045E" w:rsidRDefault="004D2191" w:rsidP="008A3162">
      <w:pPr>
        <w:pStyle w:val="ListParagraph"/>
        <w:ind w:left="360"/>
        <w:rPr>
          <w:rFonts w:ascii="Calibri" w:hAnsi="Calibri" w:cs="Calibri"/>
        </w:rPr>
      </w:pPr>
    </w:p>
    <w:p w:rsidR="004D2191" w:rsidRPr="0040045E" w:rsidRDefault="004D2191" w:rsidP="008A3162">
      <w:pPr>
        <w:pStyle w:val="ListParagraph"/>
        <w:ind w:left="360"/>
        <w:rPr>
          <w:rFonts w:ascii="Calibri" w:hAnsi="Calibri" w:cs="Calibri"/>
        </w:rPr>
      </w:pPr>
    </w:p>
    <w:tbl>
      <w:tblPr>
        <w:tblW w:w="8789" w:type="dxa"/>
        <w:tblInd w:w="108" w:type="dxa"/>
        <w:tblLayout w:type="fixed"/>
        <w:tblLook w:val="0000" w:firstRow="0" w:lastRow="0" w:firstColumn="0" w:lastColumn="0" w:noHBand="0" w:noVBand="0"/>
        <w:tblCaption w:val="Recommended PBS listing - Oesophageal candidiasis"/>
      </w:tblPr>
      <w:tblGrid>
        <w:gridCol w:w="2835"/>
        <w:gridCol w:w="426"/>
        <w:gridCol w:w="567"/>
        <w:gridCol w:w="850"/>
        <w:gridCol w:w="1701"/>
        <w:gridCol w:w="1559"/>
        <w:gridCol w:w="851"/>
      </w:tblGrid>
      <w:tr w:rsidR="004D2191" w:rsidRPr="0040045E" w:rsidTr="00A80A04">
        <w:trPr>
          <w:cantSplit/>
          <w:trHeight w:val="471"/>
        </w:trPr>
        <w:tc>
          <w:tcPr>
            <w:tcW w:w="3261"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rPr>
                <w:rFonts w:ascii="Arial Narrow" w:hAnsi="Arial Narrow" w:cs="Arial"/>
                <w:sz w:val="20"/>
                <w:szCs w:val="20"/>
              </w:rPr>
            </w:pPr>
            <w:r w:rsidRPr="0040045E">
              <w:rPr>
                <w:rFonts w:ascii="Arial Narrow" w:hAnsi="Arial Narrow" w:cs="Arial"/>
                <w:sz w:val="20"/>
                <w:szCs w:val="20"/>
              </w:rPr>
              <w:t>Name, Restriction,</w:t>
            </w:r>
          </w:p>
          <w:p w:rsidR="004D2191" w:rsidRPr="0040045E" w:rsidRDefault="004D2191" w:rsidP="00A80A04">
            <w:pPr>
              <w:ind w:left="-108"/>
              <w:rPr>
                <w:rFonts w:ascii="Arial Narrow" w:hAnsi="Arial Narrow" w:cs="Arial"/>
                <w:sz w:val="20"/>
                <w:szCs w:val="20"/>
              </w:rPr>
            </w:pPr>
            <w:r w:rsidRPr="0040045E">
              <w:rPr>
                <w:rFonts w:ascii="Arial Narrow" w:hAnsi="Arial Narrow" w:cs="Arial"/>
                <w:sz w:val="20"/>
                <w:szCs w:val="20"/>
              </w:rPr>
              <w:t>Manner of administration and form</w:t>
            </w:r>
          </w:p>
        </w:tc>
        <w:tc>
          <w:tcPr>
            <w:tcW w:w="567"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rPr>
                <w:rFonts w:ascii="Arial Narrow" w:hAnsi="Arial Narrow" w:cs="Arial"/>
                <w:sz w:val="20"/>
                <w:szCs w:val="20"/>
              </w:rPr>
            </w:pPr>
            <w:r w:rsidRPr="0040045E">
              <w:rPr>
                <w:rFonts w:ascii="Arial Narrow" w:hAnsi="Arial Narrow" w:cs="Arial"/>
                <w:sz w:val="20"/>
                <w:szCs w:val="20"/>
              </w:rPr>
              <w:t>Max.</w:t>
            </w:r>
          </w:p>
          <w:p w:rsidR="004D2191" w:rsidRPr="0040045E" w:rsidRDefault="004D2191" w:rsidP="00A80A04">
            <w:pPr>
              <w:ind w:left="-108"/>
              <w:rPr>
                <w:rFonts w:ascii="Arial Narrow" w:hAnsi="Arial Narrow" w:cs="Arial"/>
                <w:sz w:val="20"/>
                <w:szCs w:val="20"/>
              </w:rPr>
            </w:pPr>
            <w:proofErr w:type="spellStart"/>
            <w:r w:rsidRPr="0040045E">
              <w:rPr>
                <w:rFonts w:ascii="Arial Narrow" w:hAnsi="Arial Narrow" w:cs="Arial"/>
                <w:sz w:val="20"/>
                <w:szCs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rPr>
                <w:rFonts w:ascii="Arial Narrow" w:hAnsi="Arial Narrow" w:cs="Arial"/>
                <w:sz w:val="20"/>
                <w:szCs w:val="20"/>
              </w:rPr>
            </w:pPr>
            <w:r w:rsidRPr="0040045E">
              <w:rPr>
                <w:rFonts w:ascii="Arial Narrow" w:hAnsi="Arial Narrow" w:cs="Arial"/>
                <w:sz w:val="20"/>
                <w:szCs w:val="20"/>
              </w:rPr>
              <w:t>№.of</w:t>
            </w:r>
          </w:p>
          <w:p w:rsidR="004D2191" w:rsidRPr="0040045E" w:rsidRDefault="004D2191" w:rsidP="00A80A04">
            <w:pPr>
              <w:ind w:left="-108"/>
              <w:rPr>
                <w:rFonts w:ascii="Arial Narrow" w:hAnsi="Arial Narrow" w:cs="Arial"/>
                <w:sz w:val="20"/>
                <w:szCs w:val="20"/>
              </w:rPr>
            </w:pPr>
            <w:proofErr w:type="spellStart"/>
            <w:r w:rsidRPr="0040045E">
              <w:rPr>
                <w:rFonts w:ascii="Arial Narrow" w:hAnsi="Arial Narrow" w:cs="Arial"/>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rPr>
                <w:rFonts w:ascii="Arial Narrow" w:hAnsi="Arial Narrow" w:cs="Arial"/>
                <w:sz w:val="20"/>
                <w:szCs w:val="20"/>
              </w:rPr>
            </w:pPr>
          </w:p>
        </w:tc>
        <w:tc>
          <w:tcPr>
            <w:tcW w:w="2410"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t>Proprietary Name and Manufacturer</w:t>
            </w:r>
          </w:p>
        </w:tc>
      </w:tr>
      <w:tr w:rsidR="004D2191" w:rsidRPr="0040045E" w:rsidTr="00A80A04">
        <w:trPr>
          <w:cantSplit/>
          <w:trHeight w:val="577"/>
        </w:trPr>
        <w:tc>
          <w:tcPr>
            <w:tcW w:w="3261" w:type="dxa"/>
            <w:gridSpan w:val="2"/>
            <w:tcBorders>
              <w:top w:val="single" w:sz="4" w:space="0" w:color="auto"/>
              <w:left w:val="single" w:sz="4" w:space="0" w:color="auto"/>
              <w:bottom w:val="single" w:sz="4" w:space="0" w:color="auto"/>
              <w:right w:val="single" w:sz="4" w:space="0" w:color="auto"/>
            </w:tcBorders>
          </w:tcPr>
          <w:p w:rsidR="004D2191" w:rsidRPr="0040045E" w:rsidRDefault="004D2191" w:rsidP="00A80A04">
            <w:pPr>
              <w:ind w:left="-108"/>
              <w:jc w:val="both"/>
              <w:rPr>
                <w:rFonts w:ascii="Arial Narrow" w:hAnsi="Arial Narrow" w:cs="Arial"/>
                <w:sz w:val="20"/>
                <w:szCs w:val="20"/>
              </w:rPr>
            </w:pPr>
            <w:r w:rsidRPr="0040045E">
              <w:rPr>
                <w:rFonts w:ascii="Arial Narrow" w:hAnsi="Arial Narrow" w:cs="Arial"/>
                <w:smallCaps/>
                <w:sz w:val="20"/>
                <w:szCs w:val="20"/>
              </w:rPr>
              <w:t>ITRACONAZOLE</w:t>
            </w:r>
          </w:p>
          <w:p w:rsidR="004D2191" w:rsidRPr="0040045E" w:rsidRDefault="004D2191" w:rsidP="00A80A04">
            <w:pPr>
              <w:ind w:left="-108"/>
              <w:jc w:val="both"/>
              <w:rPr>
                <w:rFonts w:ascii="Arial Narrow" w:hAnsi="Arial Narrow" w:cs="Arial"/>
                <w:sz w:val="20"/>
                <w:szCs w:val="20"/>
              </w:rPr>
            </w:pPr>
            <w:r w:rsidRPr="0040045E">
              <w:rPr>
                <w:rFonts w:ascii="Arial Narrow" w:hAnsi="Arial Narrow" w:cs="Arial"/>
                <w:sz w:val="20"/>
                <w:szCs w:val="20"/>
              </w:rPr>
              <w:t>Capsule, 50mg, 60</w:t>
            </w:r>
          </w:p>
        </w:tc>
        <w:tc>
          <w:tcPr>
            <w:tcW w:w="567"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jc w:val="center"/>
              <w:rPr>
                <w:rFonts w:ascii="Arial Narrow" w:hAnsi="Arial Narrow" w:cs="Arial"/>
                <w:sz w:val="20"/>
                <w:szCs w:val="20"/>
              </w:rPr>
            </w:pPr>
            <w:r w:rsidRPr="0040045E">
              <w:rPr>
                <w:rFonts w:ascii="Arial Narrow"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jc w:val="center"/>
              <w:rPr>
                <w:rFonts w:ascii="Arial Narrow" w:hAnsi="Arial Narrow" w:cs="Arial"/>
                <w:sz w:val="20"/>
                <w:szCs w:val="20"/>
              </w:rPr>
            </w:pPr>
            <w:r w:rsidRPr="0040045E">
              <w:rPr>
                <w:rFonts w:ascii="Arial Narrow" w:hAnsi="Arial Narrow" w:cs="Arial"/>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jc w:val="center"/>
              <w:rPr>
                <w:rFonts w:ascii="Arial Narrow" w:hAnsi="Arial Narrow" w:cs="Arial"/>
                <w:sz w:val="20"/>
                <w:szCs w:val="20"/>
              </w:rPr>
            </w:pPr>
            <w:proofErr w:type="spellStart"/>
            <w:r w:rsidRPr="0040045E">
              <w:rPr>
                <w:rFonts w:ascii="Arial Narrow" w:hAnsi="Arial Narrow" w:cs="Arial"/>
                <w:sz w:val="20"/>
                <w:szCs w:val="20"/>
              </w:rPr>
              <w:t>Lozanoc</w:t>
            </w:r>
            <w:proofErr w:type="spellEnd"/>
            <w:r w:rsidRPr="0040045E">
              <w:rPr>
                <w:rFonts w:ascii="Arial Narrow" w:hAnsi="Arial Narrow"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4D2191" w:rsidRPr="0040045E" w:rsidRDefault="004D2191" w:rsidP="00A80A04">
            <w:pPr>
              <w:jc w:val="center"/>
              <w:rPr>
                <w:rFonts w:ascii="Arial Narrow" w:hAnsi="Arial Narrow" w:cs="Arial"/>
                <w:sz w:val="20"/>
                <w:szCs w:val="20"/>
              </w:rPr>
            </w:pPr>
            <w:r w:rsidRPr="0040045E">
              <w:rPr>
                <w:rFonts w:ascii="Arial Narrow" w:hAnsi="Arial Narrow" w:cs="Arial"/>
                <w:sz w:val="20"/>
                <w:szCs w:val="20"/>
              </w:rPr>
              <w:t>Mayne Pharma</w:t>
            </w:r>
          </w:p>
        </w:tc>
      </w:tr>
      <w:tr w:rsidR="004D2191" w:rsidRPr="0040045E" w:rsidTr="00A80A04">
        <w:trPr>
          <w:cantSplit/>
          <w:trHeight w:val="360"/>
        </w:trPr>
        <w:tc>
          <w:tcPr>
            <w:tcW w:w="8789" w:type="dxa"/>
            <w:gridSpan w:val="7"/>
            <w:tcBorders>
              <w:top w:val="single" w:sz="4" w:space="0" w:color="auto"/>
              <w:bottom w:val="single" w:sz="4" w:space="0" w:color="auto"/>
            </w:tcBorders>
          </w:tcPr>
          <w:p w:rsidR="004D2191" w:rsidRPr="0040045E" w:rsidRDefault="004D2191" w:rsidP="00A80A04">
            <w:pPr>
              <w:jc w:val="both"/>
              <w:rPr>
                <w:rFonts w:ascii="Arial Narrow" w:hAnsi="Arial Narrow" w:cs="Arial"/>
                <w:sz w:val="20"/>
                <w:szCs w:val="20"/>
              </w:rPr>
            </w:pP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 xml:space="preserve">Category / </w:t>
            </w:r>
          </w:p>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Program</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t>GENERAL – General Schedule (Code GE)</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Prescriber type:</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Dental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Medical Practitioners  </w:t>
            </w:r>
            <w:r w:rsidRPr="0040045E">
              <w:rPr>
                <w:rFonts w:ascii="Arial Narrow" w:hAnsi="Arial Narrow" w:cs="Arial"/>
                <w:sz w:val="20"/>
                <w:szCs w:val="20"/>
              </w:rPr>
              <w:fldChar w:fldCharType="begin">
                <w:ffData>
                  <w:name w:val=""/>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 xml:space="preserve">Nurse practitioners  </w:t>
            </w: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Optometrists</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Midwives</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Condition:</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t>Oesophageal candidiasis</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PBS Indication:</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t>Oesophageal candidiasis</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Restriction Level / Method:</w:t>
            </w:r>
          </w:p>
          <w:p w:rsidR="004D2191" w:rsidRPr="0040045E" w:rsidRDefault="004D2191" w:rsidP="00A80A04">
            <w:pPr>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1"/>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Restricted benefit</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In Writing</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3"/>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Telephone</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Emergency</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0"/>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Authority Required - Electronic</w:t>
            </w:r>
          </w:p>
          <w:p w:rsidR="004D2191" w:rsidRPr="0040045E" w:rsidRDefault="004D2191" w:rsidP="00A80A04">
            <w:pPr>
              <w:rPr>
                <w:rFonts w:ascii="Arial Narrow" w:hAnsi="Arial Narrow" w:cs="Arial"/>
                <w:sz w:val="20"/>
                <w:szCs w:val="20"/>
              </w:rPr>
            </w:pPr>
            <w:r w:rsidRPr="0040045E">
              <w:rPr>
                <w:rFonts w:ascii="Arial Narrow" w:hAnsi="Arial Narrow" w:cs="Arial"/>
                <w:sz w:val="20"/>
                <w:szCs w:val="20"/>
              </w:rPr>
              <w:fldChar w:fldCharType="begin">
                <w:ffData>
                  <w:name w:val="Check5"/>
                  <w:enabled/>
                  <w:calcOnExit w:val="0"/>
                  <w:checkBox>
                    <w:sizeAuto/>
                    <w:default w:val="1"/>
                  </w:checkBox>
                </w:ffData>
              </w:fldChar>
            </w:r>
            <w:r w:rsidRPr="0040045E">
              <w:rPr>
                <w:rFonts w:ascii="Arial Narrow" w:hAnsi="Arial Narrow" w:cs="Arial"/>
                <w:sz w:val="20"/>
                <w:szCs w:val="20"/>
              </w:rPr>
              <w:instrText xml:space="preserve"> FORMCHECKBOX </w:instrText>
            </w:r>
            <w:r w:rsidR="00724E75">
              <w:rPr>
                <w:rFonts w:ascii="Arial Narrow" w:hAnsi="Arial Narrow" w:cs="Arial"/>
                <w:sz w:val="20"/>
                <w:szCs w:val="20"/>
              </w:rPr>
            </w:r>
            <w:r w:rsidR="00724E75">
              <w:rPr>
                <w:rFonts w:ascii="Arial Narrow" w:hAnsi="Arial Narrow" w:cs="Arial"/>
                <w:sz w:val="20"/>
                <w:szCs w:val="20"/>
              </w:rPr>
              <w:fldChar w:fldCharType="separate"/>
            </w:r>
            <w:r w:rsidRPr="0040045E">
              <w:rPr>
                <w:rFonts w:ascii="Arial Narrow" w:hAnsi="Arial Narrow" w:cs="Arial"/>
                <w:sz w:val="20"/>
                <w:szCs w:val="20"/>
              </w:rPr>
              <w:fldChar w:fldCharType="end"/>
            </w:r>
            <w:r w:rsidRPr="0040045E">
              <w:rPr>
                <w:rFonts w:ascii="Arial Narrow" w:hAnsi="Arial Narrow" w:cs="Arial"/>
                <w:sz w:val="20"/>
                <w:szCs w:val="20"/>
              </w:rPr>
              <w:t>Streamlined</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Clinical criteria:</w:t>
            </w:r>
          </w:p>
          <w:p w:rsidR="004D2191" w:rsidRPr="0040045E" w:rsidRDefault="004D2191" w:rsidP="00A80A04">
            <w:pPr>
              <w:jc w:val="both"/>
              <w:rPr>
                <w:rFonts w:ascii="Arial Narrow" w:hAnsi="Arial Narrow" w:cs="Arial"/>
                <w:sz w:val="20"/>
                <w:szCs w:val="20"/>
              </w:rPr>
            </w:pP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sz w:val="20"/>
                <w:szCs w:val="20"/>
              </w:rPr>
            </w:pPr>
            <w:r w:rsidRPr="0040045E">
              <w:rPr>
                <w:rFonts w:ascii="Arial Narrow" w:hAnsi="Arial Narrow" w:cs="Arial"/>
                <w:i/>
                <w:sz w:val="20"/>
                <w:szCs w:val="20"/>
              </w:rPr>
              <w:t xml:space="preserve">Patient must be </w:t>
            </w:r>
            <w:r w:rsidRPr="0040045E">
              <w:rPr>
                <w:rFonts w:ascii="Arial Narrow" w:hAnsi="Arial Narrow" w:cs="Arial"/>
                <w:sz w:val="20"/>
                <w:szCs w:val="20"/>
              </w:rPr>
              <w:t>immunosuppressed.</w:t>
            </w:r>
          </w:p>
        </w:tc>
      </w:tr>
      <w:tr w:rsidR="004D2191" w:rsidRPr="0040045E" w:rsidTr="00A80A04">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2191" w:rsidRPr="0040045E" w:rsidRDefault="004D2191" w:rsidP="00A80A04">
            <w:pPr>
              <w:jc w:val="both"/>
              <w:rPr>
                <w:rFonts w:ascii="Arial Narrow" w:hAnsi="Arial Narrow" w:cs="Arial"/>
                <w:b/>
                <w:sz w:val="20"/>
                <w:szCs w:val="20"/>
              </w:rPr>
            </w:pPr>
            <w:r w:rsidRPr="0040045E">
              <w:rPr>
                <w:rFonts w:ascii="Arial Narrow" w:hAnsi="Arial Narrow" w:cs="Arial"/>
                <w:b/>
                <w:sz w:val="20"/>
                <w:szCs w:val="20"/>
              </w:rPr>
              <w:t>Administrative Advice</w:t>
            </w:r>
          </w:p>
        </w:tc>
        <w:tc>
          <w:tcPr>
            <w:tcW w:w="5954" w:type="dxa"/>
            <w:gridSpan w:val="6"/>
            <w:tcBorders>
              <w:top w:val="single" w:sz="4" w:space="0" w:color="auto"/>
              <w:left w:val="single" w:sz="4" w:space="0" w:color="auto"/>
              <w:bottom w:val="single" w:sz="4" w:space="0" w:color="auto"/>
              <w:right w:val="single" w:sz="4" w:space="0" w:color="auto"/>
            </w:tcBorders>
          </w:tcPr>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 xml:space="preserve">One capsule of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50 mg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therapeutically equivalent to one 100 mg capsule of conventional </w:t>
            </w:r>
            <w:proofErr w:type="spellStart"/>
            <w:r w:rsidRPr="0040045E">
              <w:rPr>
                <w:rFonts w:ascii="Arial Narrow" w:hAnsi="Arial Narrow" w:cs="Arial"/>
                <w:i/>
                <w:sz w:val="20"/>
                <w:szCs w:val="20"/>
              </w:rPr>
              <w:t>itraconazole</w:t>
            </w:r>
            <w:proofErr w:type="spellEnd"/>
            <w:r w:rsidRPr="0040045E">
              <w:rPr>
                <w:rFonts w:ascii="Arial Narrow" w:hAnsi="Arial Narrow" w:cs="Arial"/>
                <w:i/>
                <w:sz w:val="20"/>
                <w:szCs w:val="20"/>
              </w:rPr>
              <w:t xml:space="preserve">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 xml:space="preserve">The recommended dose of </w:t>
            </w: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is therefore half the recommended dose for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w:t>
            </w:r>
          </w:p>
          <w:p w:rsidR="004D2191" w:rsidRPr="0040045E" w:rsidRDefault="004D21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proofErr w:type="spellStart"/>
            <w:r w:rsidRPr="0040045E">
              <w:rPr>
                <w:rFonts w:ascii="Arial Narrow" w:hAnsi="Arial Narrow" w:cs="Arial"/>
                <w:i/>
                <w:sz w:val="20"/>
                <w:szCs w:val="20"/>
              </w:rPr>
              <w:t>Lozanoc</w:t>
            </w:r>
            <w:proofErr w:type="spellEnd"/>
            <w:r w:rsidRPr="0040045E">
              <w:rPr>
                <w:rFonts w:ascii="Arial Narrow" w:hAnsi="Arial Narrow" w:cs="Arial"/>
                <w:i/>
                <w:sz w:val="20"/>
                <w:szCs w:val="20"/>
              </w:rPr>
              <w:t xml:space="preserve"> 50 mg capsules and </w:t>
            </w:r>
            <w:proofErr w:type="spellStart"/>
            <w:r w:rsidRPr="0040045E">
              <w:rPr>
                <w:rFonts w:ascii="Arial Narrow" w:hAnsi="Arial Narrow" w:cs="Arial"/>
                <w:i/>
                <w:sz w:val="20"/>
                <w:szCs w:val="20"/>
              </w:rPr>
              <w:t>Sporanox</w:t>
            </w:r>
            <w:proofErr w:type="spellEnd"/>
            <w:r w:rsidRPr="0040045E">
              <w:rPr>
                <w:rFonts w:ascii="Arial Narrow" w:hAnsi="Arial Narrow" w:cs="Arial"/>
                <w:i/>
                <w:sz w:val="20"/>
                <w:szCs w:val="20"/>
              </w:rPr>
              <w:t xml:space="preserve"> 100 mg capsules are not interchangeable.</w:t>
            </w:r>
          </w:p>
          <w:p w:rsidR="004D2191" w:rsidRPr="0040045E" w:rsidRDefault="004D2191" w:rsidP="00A80A04">
            <w:pPr>
              <w:keepNext/>
              <w:rPr>
                <w:rFonts w:ascii="Arial Narrow" w:hAnsi="Arial Narrow" w:cs="Arial"/>
                <w:i/>
                <w:sz w:val="20"/>
                <w:szCs w:val="20"/>
              </w:rPr>
            </w:pPr>
          </w:p>
          <w:p w:rsidR="002F1991" w:rsidRPr="0040045E" w:rsidRDefault="002F1991" w:rsidP="00A80A04">
            <w:pPr>
              <w:keepNext/>
              <w:rPr>
                <w:rFonts w:ascii="Arial Narrow" w:hAnsi="Arial Narrow" w:cs="Arial"/>
                <w:i/>
                <w:sz w:val="20"/>
                <w:szCs w:val="20"/>
              </w:rPr>
            </w:pPr>
            <w:r w:rsidRPr="0040045E">
              <w:rPr>
                <w:rFonts w:ascii="Arial Narrow" w:hAnsi="Arial Narrow" w:cs="Arial"/>
                <w:i/>
                <w:sz w:val="20"/>
                <w:szCs w:val="20"/>
              </w:rPr>
              <w:t>Not for use in superficial mycoses.</w:t>
            </w:r>
          </w:p>
          <w:p w:rsidR="002F1991" w:rsidRPr="0040045E" w:rsidRDefault="002F1991" w:rsidP="00A80A04">
            <w:pPr>
              <w:keepNext/>
              <w:rPr>
                <w:rFonts w:ascii="Arial Narrow" w:hAnsi="Arial Narrow" w:cs="Arial"/>
                <w:i/>
                <w:sz w:val="20"/>
                <w:szCs w:val="20"/>
              </w:rPr>
            </w:pPr>
          </w:p>
          <w:p w:rsidR="004D2191" w:rsidRPr="0040045E" w:rsidRDefault="004D2191" w:rsidP="00A80A04">
            <w:pPr>
              <w:keepNext/>
              <w:rPr>
                <w:rFonts w:ascii="Arial Narrow" w:hAnsi="Arial Narrow" w:cs="Arial"/>
                <w:i/>
                <w:sz w:val="20"/>
                <w:szCs w:val="20"/>
              </w:rPr>
            </w:pPr>
            <w:r w:rsidRPr="0040045E">
              <w:rPr>
                <w:rFonts w:ascii="Arial Narrow" w:hAnsi="Arial Narrow" w:cs="Arial"/>
                <w:i/>
                <w:sz w:val="20"/>
                <w:szCs w:val="20"/>
              </w:rPr>
              <w:t>Shared Care Model:</w:t>
            </w:r>
          </w:p>
          <w:p w:rsidR="004D2191" w:rsidRPr="0040045E" w:rsidRDefault="004D2191" w:rsidP="00A80A04">
            <w:pPr>
              <w:rPr>
                <w:rFonts w:ascii="Arial Narrow" w:hAnsi="Arial Narrow" w:cs="Arial"/>
                <w:i/>
                <w:sz w:val="20"/>
                <w:szCs w:val="20"/>
              </w:rPr>
            </w:pPr>
            <w:r w:rsidRPr="0040045E">
              <w:rPr>
                <w:rFonts w:ascii="Arial Narrow" w:hAnsi="Arial Narrow" w:cs="Arial"/>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8A3162" w:rsidRPr="0040045E" w:rsidRDefault="008A3162" w:rsidP="008A3162">
      <w:pPr>
        <w:jc w:val="both"/>
        <w:rPr>
          <w:rFonts w:ascii="Arial" w:hAnsi="Arial" w:cs="Arial"/>
          <w:b/>
          <w:sz w:val="22"/>
          <w:szCs w:val="22"/>
        </w:rPr>
      </w:pPr>
    </w:p>
    <w:p w:rsidR="00A7412C" w:rsidRPr="007869EC" w:rsidRDefault="00A7412C" w:rsidP="00A7412C">
      <w:pPr>
        <w:rPr>
          <w:rFonts w:ascii="Arial" w:hAnsi="Arial" w:cs="Arial"/>
          <w:bCs/>
          <w:snapToGrid w:val="0"/>
          <w:sz w:val="22"/>
          <w:szCs w:val="22"/>
          <w:lang w:eastAsia="en-US"/>
        </w:rPr>
      </w:pPr>
    </w:p>
    <w:p w:rsidR="00A7412C" w:rsidRPr="007869EC" w:rsidRDefault="00A7412C" w:rsidP="00F555AB">
      <w:pPr>
        <w:pStyle w:val="Heading1"/>
        <w:rPr>
          <w:rFonts w:eastAsia="SimSun"/>
          <w:snapToGrid w:val="0"/>
          <w:lang w:eastAsia="en-US"/>
        </w:rPr>
      </w:pPr>
      <w:r w:rsidRPr="007869EC">
        <w:rPr>
          <w:rFonts w:eastAsia="SimSun"/>
          <w:snapToGrid w:val="0"/>
          <w:lang w:eastAsia="en-US"/>
        </w:rPr>
        <w:t>Context for Decision</w:t>
      </w:r>
    </w:p>
    <w:p w:rsidR="00A7412C" w:rsidRPr="007869EC" w:rsidRDefault="00A7412C" w:rsidP="00A7412C">
      <w:pPr>
        <w:widowControl w:val="0"/>
        <w:ind w:left="720"/>
        <w:contextualSpacing/>
        <w:jc w:val="both"/>
        <w:rPr>
          <w:b/>
          <w:snapToGrid w:val="0"/>
        </w:rPr>
      </w:pPr>
    </w:p>
    <w:p w:rsidR="00A7412C" w:rsidRPr="007869EC" w:rsidRDefault="00A7412C" w:rsidP="00A7412C">
      <w:pPr>
        <w:widowControl w:val="0"/>
        <w:ind w:left="720"/>
        <w:jc w:val="both"/>
        <w:rPr>
          <w:rFonts w:ascii="Arial" w:hAnsi="Arial" w:cs="Arial"/>
          <w:bCs/>
          <w:snapToGrid w:val="0"/>
          <w:sz w:val="22"/>
          <w:szCs w:val="22"/>
          <w:lang w:eastAsia="en-US"/>
        </w:rPr>
      </w:pPr>
      <w:r w:rsidRPr="007869EC">
        <w:rPr>
          <w:rFonts w:ascii="Arial" w:hAnsi="Arial" w:cs="Arial"/>
          <w:bCs/>
          <w:snapToGrid w:val="0"/>
          <w:sz w:val="22"/>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7412C" w:rsidRPr="007869EC" w:rsidRDefault="00A7412C" w:rsidP="00A7412C">
      <w:pPr>
        <w:widowControl w:val="0"/>
        <w:jc w:val="both"/>
        <w:rPr>
          <w:lang w:eastAsia="en-US"/>
        </w:rPr>
      </w:pPr>
    </w:p>
    <w:p w:rsidR="00A7412C" w:rsidRPr="007869EC" w:rsidRDefault="00A7412C" w:rsidP="00F555AB">
      <w:pPr>
        <w:pStyle w:val="Heading1"/>
        <w:rPr>
          <w:rFonts w:eastAsia="SimSun"/>
          <w:snapToGrid w:val="0"/>
          <w:lang w:eastAsia="en-US"/>
        </w:rPr>
      </w:pPr>
      <w:r w:rsidRPr="007869EC">
        <w:rPr>
          <w:rFonts w:eastAsia="SimSun"/>
          <w:snapToGrid w:val="0"/>
          <w:lang w:eastAsia="en-US"/>
        </w:rPr>
        <w:t>Sponsor’s Comment</w:t>
      </w:r>
    </w:p>
    <w:p w:rsidR="00A7412C" w:rsidRPr="007869EC" w:rsidRDefault="00A7412C" w:rsidP="00A7412C">
      <w:pPr>
        <w:widowControl w:val="0"/>
        <w:tabs>
          <w:tab w:val="left" w:pos="2940"/>
        </w:tabs>
        <w:jc w:val="both"/>
        <w:rPr>
          <w:rFonts w:ascii="Arial" w:hAnsi="Arial"/>
          <w:snapToGrid w:val="0"/>
          <w:sz w:val="22"/>
          <w:szCs w:val="22"/>
        </w:rPr>
      </w:pPr>
    </w:p>
    <w:p w:rsidR="00C134DA" w:rsidRPr="00C134DA" w:rsidRDefault="00C134DA" w:rsidP="00872ADD">
      <w:pPr>
        <w:ind w:left="720"/>
        <w:jc w:val="both"/>
        <w:rPr>
          <w:rFonts w:ascii="Arial" w:hAnsi="Arial" w:cs="Arial"/>
          <w:bCs/>
          <w:snapToGrid w:val="0"/>
          <w:sz w:val="22"/>
          <w:szCs w:val="22"/>
          <w:lang w:eastAsia="en-US"/>
        </w:rPr>
      </w:pPr>
      <w:r w:rsidRPr="00C134DA">
        <w:rPr>
          <w:rFonts w:ascii="Arial" w:hAnsi="Arial" w:cs="Arial"/>
          <w:bCs/>
          <w:snapToGrid w:val="0"/>
          <w:sz w:val="22"/>
          <w:szCs w:val="22"/>
          <w:lang w:eastAsia="en-US"/>
        </w:rPr>
        <w:t xml:space="preserve">Mayne Pharma welcomes the PBAC’s decision to recommend </w:t>
      </w:r>
      <w:proofErr w:type="spellStart"/>
      <w:r w:rsidRPr="00C134DA">
        <w:rPr>
          <w:rFonts w:ascii="Arial" w:hAnsi="Arial" w:cs="Arial"/>
          <w:bCs/>
          <w:snapToGrid w:val="0"/>
          <w:sz w:val="22"/>
          <w:szCs w:val="22"/>
          <w:lang w:eastAsia="en-US"/>
        </w:rPr>
        <w:t>Lozanoc</w:t>
      </w:r>
      <w:proofErr w:type="spellEnd"/>
      <w:r w:rsidRPr="00C134DA">
        <w:rPr>
          <w:rFonts w:ascii="Arial" w:hAnsi="Arial" w:cs="Arial"/>
          <w:bCs/>
          <w:snapToGrid w:val="0"/>
          <w:sz w:val="22"/>
          <w:szCs w:val="22"/>
          <w:lang w:eastAsia="en-US"/>
        </w:rPr>
        <w:t xml:space="preserve"> for use in patients with systemic fungal infections. Mayne Pharma is delighted to have the </w:t>
      </w:r>
      <w:r w:rsidRPr="00C134DA">
        <w:rPr>
          <w:rFonts w:ascii="Arial" w:hAnsi="Arial" w:cs="Arial"/>
          <w:bCs/>
          <w:snapToGrid w:val="0"/>
          <w:sz w:val="22"/>
          <w:szCs w:val="22"/>
          <w:lang w:eastAsia="en-US"/>
        </w:rPr>
        <w:lastRenderedPageBreak/>
        <w:t>opportunity to work with the Department of Health to provide patients and healthcare professionals another option in treating these systemic fungal infections.</w:t>
      </w:r>
    </w:p>
    <w:p w:rsidR="00F64CC1" w:rsidRPr="0040045E" w:rsidRDefault="00F64CC1" w:rsidP="008A3162">
      <w:pPr>
        <w:jc w:val="both"/>
        <w:rPr>
          <w:rFonts w:ascii="Arial" w:hAnsi="Arial"/>
          <w:sz w:val="22"/>
          <w:szCs w:val="22"/>
        </w:rPr>
      </w:pPr>
    </w:p>
    <w:sectPr w:rsidR="00F64CC1" w:rsidRPr="0040045E"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0A6" w:rsidRDefault="00BB10A6">
      <w:r>
        <w:separator/>
      </w:r>
    </w:p>
    <w:p w:rsidR="00BB10A6" w:rsidRDefault="00BB10A6"/>
  </w:endnote>
  <w:endnote w:type="continuationSeparator" w:id="0">
    <w:p w:rsidR="00BB10A6" w:rsidRDefault="00BB10A6">
      <w:r>
        <w:continuationSeparator/>
      </w:r>
    </w:p>
    <w:p w:rsidR="00BB10A6" w:rsidRDefault="00BB1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B10A6" w:rsidTr="005A3173">
      <w:trPr>
        <w:trHeight w:val="151"/>
      </w:trPr>
      <w:tc>
        <w:tcPr>
          <w:tcW w:w="2250" w:type="pct"/>
          <w:tcBorders>
            <w:top w:val="nil"/>
            <w:left w:val="nil"/>
            <w:bottom w:val="single" w:sz="4" w:space="0" w:color="4F81BD"/>
            <w:right w:val="nil"/>
          </w:tcBorders>
        </w:tcPr>
        <w:p w:rsidR="00BB10A6" w:rsidRPr="005A3173" w:rsidRDefault="00BB10A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B10A6" w:rsidRPr="005A3173" w:rsidRDefault="00BB10A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B10A6" w:rsidRPr="005A3173" w:rsidRDefault="00BB10A6" w:rsidP="005A3173">
          <w:pPr>
            <w:pStyle w:val="Header"/>
            <w:spacing w:line="276" w:lineRule="auto"/>
            <w:rPr>
              <w:rFonts w:ascii="Calibri" w:eastAsia="MS Gothic" w:hAnsi="Calibri"/>
              <w:b/>
              <w:bCs/>
              <w:color w:val="4F81BD"/>
            </w:rPr>
          </w:pPr>
        </w:p>
      </w:tc>
    </w:tr>
    <w:tr w:rsidR="00BB10A6" w:rsidTr="005A3173">
      <w:trPr>
        <w:trHeight w:val="150"/>
      </w:trPr>
      <w:tc>
        <w:tcPr>
          <w:tcW w:w="2250" w:type="pct"/>
          <w:tcBorders>
            <w:top w:val="single" w:sz="4" w:space="0" w:color="4F81BD"/>
            <w:left w:val="nil"/>
            <w:bottom w:val="nil"/>
            <w:right w:val="nil"/>
          </w:tcBorders>
        </w:tcPr>
        <w:p w:rsidR="00BB10A6" w:rsidRPr="005A3173" w:rsidRDefault="00BB10A6" w:rsidP="005A3173">
          <w:pPr>
            <w:pStyle w:val="Header"/>
            <w:spacing w:line="276" w:lineRule="auto"/>
            <w:rPr>
              <w:rFonts w:ascii="Calibri" w:eastAsia="MS Gothic" w:hAnsi="Calibri"/>
              <w:b/>
              <w:bCs/>
              <w:color w:val="4F81BD"/>
            </w:rPr>
          </w:pPr>
        </w:p>
      </w:tc>
      <w:tc>
        <w:tcPr>
          <w:tcW w:w="0" w:type="auto"/>
          <w:vMerge/>
          <w:vAlign w:val="center"/>
          <w:hideMark/>
        </w:tcPr>
        <w:p w:rsidR="00BB10A6" w:rsidRPr="005A3173" w:rsidRDefault="00BB10A6" w:rsidP="005A3173">
          <w:pPr>
            <w:rPr>
              <w:rFonts w:ascii="Calibri" w:hAnsi="Calibri"/>
              <w:color w:val="365F91"/>
              <w:sz w:val="22"/>
              <w:szCs w:val="22"/>
            </w:rPr>
          </w:pPr>
        </w:p>
      </w:tc>
      <w:tc>
        <w:tcPr>
          <w:tcW w:w="2250" w:type="pct"/>
          <w:tcBorders>
            <w:top w:val="single" w:sz="4" w:space="0" w:color="4F81BD"/>
            <w:left w:val="nil"/>
            <w:bottom w:val="nil"/>
            <w:right w:val="nil"/>
          </w:tcBorders>
        </w:tcPr>
        <w:p w:rsidR="00BB10A6" w:rsidRPr="005A3173" w:rsidRDefault="00BB10A6" w:rsidP="005A3173">
          <w:pPr>
            <w:pStyle w:val="Header"/>
            <w:spacing w:line="276" w:lineRule="auto"/>
            <w:rPr>
              <w:rFonts w:ascii="Calibri" w:eastAsia="MS Gothic" w:hAnsi="Calibri"/>
              <w:b/>
              <w:bCs/>
              <w:color w:val="4F81BD"/>
            </w:rPr>
          </w:pPr>
        </w:p>
      </w:tc>
    </w:tr>
  </w:tbl>
  <w:p w:rsidR="00BB10A6" w:rsidRDefault="00BB10A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10A6" w:rsidRDefault="00BB10A6">
    <w:pPr>
      <w:pStyle w:val="Footer"/>
    </w:pPr>
  </w:p>
  <w:p w:rsidR="00BB10A6" w:rsidRDefault="00BB10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BB10A6" w:rsidRPr="008A3162" w:rsidRDefault="00BB10A6" w:rsidP="008A3162">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724E75">
          <w:rPr>
            <w:rFonts w:ascii="Arial Narrow" w:hAnsi="Arial Narrow"/>
            <w:noProof/>
            <w:sz w:val="20"/>
            <w:szCs w:val="20"/>
          </w:rPr>
          <w:t>11</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BB10A6" w:rsidTr="005A3173">
      <w:trPr>
        <w:trHeight w:val="151"/>
      </w:trPr>
      <w:tc>
        <w:tcPr>
          <w:tcW w:w="2250" w:type="pct"/>
          <w:tcBorders>
            <w:top w:val="nil"/>
            <w:left w:val="nil"/>
            <w:bottom w:val="single" w:sz="4" w:space="0" w:color="4F81BD"/>
            <w:right w:val="nil"/>
          </w:tcBorders>
        </w:tcPr>
        <w:p w:rsidR="00BB10A6" w:rsidRPr="005A3173" w:rsidRDefault="00BB10A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B10A6" w:rsidRPr="005A3173" w:rsidRDefault="00BB10A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B10A6" w:rsidRPr="005A3173" w:rsidRDefault="00BB10A6" w:rsidP="005A3173">
          <w:pPr>
            <w:pStyle w:val="Header"/>
            <w:spacing w:line="276" w:lineRule="auto"/>
            <w:rPr>
              <w:rFonts w:ascii="Calibri" w:eastAsia="MS Gothic" w:hAnsi="Calibri"/>
              <w:b/>
              <w:bCs/>
              <w:color w:val="4F81BD"/>
            </w:rPr>
          </w:pPr>
        </w:p>
      </w:tc>
    </w:tr>
    <w:tr w:rsidR="00BB10A6" w:rsidTr="005A3173">
      <w:trPr>
        <w:trHeight w:val="150"/>
      </w:trPr>
      <w:tc>
        <w:tcPr>
          <w:tcW w:w="2250" w:type="pct"/>
          <w:tcBorders>
            <w:top w:val="single" w:sz="4" w:space="0" w:color="4F81BD"/>
            <w:left w:val="nil"/>
            <w:bottom w:val="nil"/>
            <w:right w:val="nil"/>
          </w:tcBorders>
        </w:tcPr>
        <w:p w:rsidR="00BB10A6" w:rsidRPr="005A3173" w:rsidRDefault="00BB10A6" w:rsidP="005A3173">
          <w:pPr>
            <w:pStyle w:val="Header"/>
            <w:spacing w:line="276" w:lineRule="auto"/>
            <w:rPr>
              <w:rFonts w:ascii="Calibri" w:eastAsia="MS Gothic" w:hAnsi="Calibri"/>
              <w:b/>
              <w:bCs/>
              <w:color w:val="4F81BD"/>
            </w:rPr>
          </w:pPr>
        </w:p>
      </w:tc>
      <w:tc>
        <w:tcPr>
          <w:tcW w:w="0" w:type="auto"/>
          <w:vMerge/>
          <w:vAlign w:val="center"/>
          <w:hideMark/>
        </w:tcPr>
        <w:p w:rsidR="00BB10A6" w:rsidRPr="005A3173" w:rsidRDefault="00BB10A6" w:rsidP="005A3173">
          <w:pPr>
            <w:rPr>
              <w:rFonts w:ascii="Calibri" w:hAnsi="Calibri"/>
              <w:color w:val="365F91"/>
              <w:sz w:val="22"/>
              <w:szCs w:val="22"/>
            </w:rPr>
          </w:pPr>
        </w:p>
      </w:tc>
      <w:tc>
        <w:tcPr>
          <w:tcW w:w="2250" w:type="pct"/>
          <w:tcBorders>
            <w:top w:val="single" w:sz="4" w:space="0" w:color="4F81BD"/>
            <w:left w:val="nil"/>
            <w:bottom w:val="nil"/>
            <w:right w:val="nil"/>
          </w:tcBorders>
        </w:tcPr>
        <w:p w:rsidR="00BB10A6" w:rsidRPr="005A3173" w:rsidRDefault="00BB10A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B10A6" w:rsidTr="005A3173">
      <w:trPr>
        <w:trHeight w:val="151"/>
      </w:trPr>
      <w:tc>
        <w:tcPr>
          <w:tcW w:w="2250" w:type="pct"/>
          <w:tcBorders>
            <w:top w:val="nil"/>
            <w:left w:val="nil"/>
            <w:bottom w:val="single" w:sz="4" w:space="0" w:color="4F81BD"/>
            <w:right w:val="nil"/>
          </w:tcBorders>
        </w:tcPr>
        <w:p w:rsidR="00BB10A6" w:rsidRPr="005A3173" w:rsidRDefault="00BB10A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B10A6" w:rsidRPr="005A3173" w:rsidRDefault="00BB10A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B10A6" w:rsidRPr="005A3173" w:rsidRDefault="00BB10A6" w:rsidP="005A3173">
          <w:pPr>
            <w:pStyle w:val="Header"/>
            <w:spacing w:line="276" w:lineRule="auto"/>
            <w:rPr>
              <w:rFonts w:ascii="Calibri" w:eastAsia="MS Gothic" w:hAnsi="Calibri"/>
              <w:b/>
              <w:bCs/>
              <w:color w:val="4F81BD"/>
            </w:rPr>
          </w:pPr>
        </w:p>
      </w:tc>
    </w:tr>
    <w:tr w:rsidR="00BB10A6" w:rsidTr="005A3173">
      <w:trPr>
        <w:trHeight w:val="150"/>
      </w:trPr>
      <w:tc>
        <w:tcPr>
          <w:tcW w:w="2250" w:type="pct"/>
          <w:tcBorders>
            <w:top w:val="single" w:sz="4" w:space="0" w:color="4F81BD"/>
            <w:left w:val="nil"/>
            <w:bottom w:val="nil"/>
            <w:right w:val="nil"/>
          </w:tcBorders>
        </w:tcPr>
        <w:p w:rsidR="00BB10A6" w:rsidRPr="005A3173" w:rsidRDefault="00BB10A6" w:rsidP="005A3173">
          <w:pPr>
            <w:pStyle w:val="Header"/>
            <w:spacing w:line="276" w:lineRule="auto"/>
            <w:rPr>
              <w:rFonts w:ascii="Calibri" w:eastAsia="MS Gothic" w:hAnsi="Calibri"/>
              <w:b/>
              <w:bCs/>
              <w:color w:val="4F81BD"/>
            </w:rPr>
          </w:pPr>
        </w:p>
      </w:tc>
      <w:tc>
        <w:tcPr>
          <w:tcW w:w="0" w:type="auto"/>
          <w:vMerge/>
          <w:vAlign w:val="center"/>
          <w:hideMark/>
        </w:tcPr>
        <w:p w:rsidR="00BB10A6" w:rsidRPr="005A3173" w:rsidRDefault="00BB10A6" w:rsidP="005A3173">
          <w:pPr>
            <w:rPr>
              <w:rFonts w:ascii="Calibri" w:hAnsi="Calibri"/>
              <w:color w:val="365F91"/>
              <w:sz w:val="22"/>
              <w:szCs w:val="22"/>
            </w:rPr>
          </w:pPr>
        </w:p>
      </w:tc>
      <w:tc>
        <w:tcPr>
          <w:tcW w:w="2250" w:type="pct"/>
          <w:tcBorders>
            <w:top w:val="single" w:sz="4" w:space="0" w:color="4F81BD"/>
            <w:left w:val="nil"/>
            <w:bottom w:val="nil"/>
            <w:right w:val="nil"/>
          </w:tcBorders>
        </w:tcPr>
        <w:p w:rsidR="00BB10A6" w:rsidRPr="005A3173" w:rsidRDefault="00BB10A6" w:rsidP="005A3173">
          <w:pPr>
            <w:pStyle w:val="Header"/>
            <w:spacing w:line="276" w:lineRule="auto"/>
            <w:rPr>
              <w:rFonts w:ascii="Calibri" w:eastAsia="MS Gothic" w:hAnsi="Calibri"/>
              <w:b/>
              <w:bCs/>
              <w:color w:val="4F81BD"/>
            </w:rPr>
          </w:pPr>
        </w:p>
      </w:tc>
    </w:tr>
  </w:tbl>
  <w:p w:rsidR="00BB10A6" w:rsidRPr="007C0F57" w:rsidRDefault="00BB10A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B10A6" w:rsidRPr="007C0F57" w:rsidRDefault="00BB10A6" w:rsidP="007C0F57">
    <w:pPr>
      <w:pStyle w:val="Footer"/>
      <w:jc w:val="center"/>
      <w:rPr>
        <w:b/>
        <w:i/>
        <w:sz w:val="20"/>
        <w:szCs w:val="20"/>
      </w:rPr>
    </w:pPr>
    <w:r w:rsidRPr="007C0F57">
      <w:rPr>
        <w:b/>
        <w:i/>
        <w:sz w:val="20"/>
        <w:szCs w:val="20"/>
      </w:rPr>
      <w:t>Commercial-in-Confidence</w:t>
    </w:r>
  </w:p>
  <w:p w:rsidR="00BB10A6" w:rsidRDefault="00BB10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0A6" w:rsidRDefault="00BB10A6">
      <w:r>
        <w:separator/>
      </w:r>
    </w:p>
    <w:p w:rsidR="00BB10A6" w:rsidRDefault="00BB10A6"/>
  </w:footnote>
  <w:footnote w:type="continuationSeparator" w:id="0">
    <w:p w:rsidR="00BB10A6" w:rsidRDefault="00BB10A6">
      <w:r>
        <w:continuationSeparator/>
      </w:r>
    </w:p>
    <w:p w:rsidR="00BB10A6" w:rsidRDefault="00BB10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B10A6" w:rsidRPr="008E0D90" w:rsidTr="00A06225">
      <w:trPr>
        <w:trHeight w:val="151"/>
      </w:trPr>
      <w:tc>
        <w:tcPr>
          <w:tcW w:w="2389" w:type="pct"/>
          <w:tcBorders>
            <w:top w:val="nil"/>
            <w:left w:val="nil"/>
            <w:bottom w:val="single" w:sz="4" w:space="0" w:color="4F81BD"/>
            <w:right w:val="nil"/>
          </w:tcBorders>
        </w:tcPr>
        <w:p w:rsidR="00BB10A6" w:rsidRPr="00A06225" w:rsidRDefault="00BB10A6">
          <w:pPr>
            <w:pStyle w:val="Header"/>
            <w:spacing w:line="276" w:lineRule="auto"/>
            <w:rPr>
              <w:rFonts w:ascii="Cambria" w:eastAsia="MS Gothic" w:hAnsi="Cambria"/>
              <w:b/>
              <w:bCs/>
              <w:color w:val="4F81BD"/>
            </w:rPr>
          </w:pPr>
        </w:p>
      </w:tc>
      <w:tc>
        <w:tcPr>
          <w:tcW w:w="333" w:type="pct"/>
          <w:vMerge w:val="restart"/>
          <w:noWrap/>
          <w:vAlign w:val="center"/>
          <w:hideMark/>
        </w:tcPr>
        <w:p w:rsidR="00BB10A6" w:rsidRPr="00A06225" w:rsidRDefault="00BB10A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B10A6" w:rsidRPr="00A06225" w:rsidRDefault="00BB10A6">
          <w:pPr>
            <w:pStyle w:val="Header"/>
            <w:spacing w:line="276" w:lineRule="auto"/>
            <w:rPr>
              <w:rFonts w:ascii="Cambria" w:eastAsia="MS Gothic" w:hAnsi="Cambria"/>
              <w:b/>
              <w:bCs/>
              <w:color w:val="4F81BD"/>
            </w:rPr>
          </w:pPr>
        </w:p>
      </w:tc>
    </w:tr>
    <w:tr w:rsidR="00BB10A6" w:rsidRPr="008E0D90" w:rsidTr="00A06225">
      <w:trPr>
        <w:trHeight w:val="150"/>
      </w:trPr>
      <w:tc>
        <w:tcPr>
          <w:tcW w:w="2389" w:type="pct"/>
          <w:tcBorders>
            <w:top w:val="single" w:sz="4" w:space="0" w:color="4F81BD"/>
            <w:left w:val="nil"/>
            <w:bottom w:val="nil"/>
            <w:right w:val="nil"/>
          </w:tcBorders>
        </w:tcPr>
        <w:p w:rsidR="00BB10A6" w:rsidRPr="00A06225" w:rsidRDefault="00BB10A6">
          <w:pPr>
            <w:pStyle w:val="Header"/>
            <w:spacing w:line="276" w:lineRule="auto"/>
            <w:rPr>
              <w:rFonts w:ascii="Cambria" w:eastAsia="MS Gothic" w:hAnsi="Cambria"/>
              <w:b/>
              <w:bCs/>
              <w:color w:val="4F81BD"/>
            </w:rPr>
          </w:pPr>
        </w:p>
      </w:tc>
      <w:tc>
        <w:tcPr>
          <w:tcW w:w="0" w:type="auto"/>
          <w:vMerge/>
          <w:vAlign w:val="center"/>
          <w:hideMark/>
        </w:tcPr>
        <w:p w:rsidR="00BB10A6" w:rsidRPr="00A06225" w:rsidRDefault="00BB10A6">
          <w:pPr>
            <w:rPr>
              <w:rFonts w:ascii="Cambria" w:hAnsi="Cambria"/>
              <w:color w:val="4F81BD"/>
              <w:sz w:val="22"/>
              <w:szCs w:val="22"/>
            </w:rPr>
          </w:pPr>
        </w:p>
      </w:tc>
      <w:tc>
        <w:tcPr>
          <w:tcW w:w="2278" w:type="pct"/>
          <w:tcBorders>
            <w:top w:val="single" w:sz="4" w:space="0" w:color="4F81BD"/>
            <w:left w:val="nil"/>
            <w:bottom w:val="nil"/>
            <w:right w:val="nil"/>
          </w:tcBorders>
        </w:tcPr>
        <w:p w:rsidR="00BB10A6" w:rsidRPr="00A06225" w:rsidRDefault="00BB10A6">
          <w:pPr>
            <w:pStyle w:val="Header"/>
            <w:spacing w:line="276" w:lineRule="auto"/>
            <w:rPr>
              <w:rFonts w:ascii="Cambria" w:eastAsia="MS Gothic" w:hAnsi="Cambria"/>
              <w:b/>
              <w:bCs/>
              <w:color w:val="4F81BD"/>
            </w:rPr>
          </w:pPr>
        </w:p>
      </w:tc>
    </w:tr>
  </w:tbl>
  <w:p w:rsidR="00BB10A6" w:rsidRDefault="00BB10A6">
    <w:pPr>
      <w:pStyle w:val="Header"/>
    </w:pPr>
  </w:p>
  <w:p w:rsidR="00BB10A6" w:rsidRDefault="00BB10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0A6" w:rsidRPr="00BE15D7" w:rsidRDefault="00BB10A6" w:rsidP="00954FE0">
    <w:pPr>
      <w:pStyle w:val="Header"/>
      <w:jc w:val="center"/>
      <w:rPr>
        <w:rFonts w:ascii="Arial" w:hAnsi="Arial" w:cs="Arial"/>
        <w:sz w:val="22"/>
        <w:szCs w:val="22"/>
      </w:rPr>
    </w:pPr>
    <w:r w:rsidRPr="00BE15D7">
      <w:rPr>
        <w:rFonts w:ascii="Arial" w:hAnsi="Arial" w:cs="Arial"/>
        <w:i/>
        <w:color w:val="808080"/>
        <w:sz w:val="22"/>
        <w:szCs w:val="22"/>
      </w:rPr>
      <w:t>Public Summary Document – November 2015 PBAC Meeting</w:t>
    </w:r>
  </w:p>
  <w:p w:rsidR="00BB10A6" w:rsidRPr="008A3162" w:rsidRDefault="00BB10A6" w:rsidP="008A3162">
    <w:pPr>
      <w:pStyle w:val="Header"/>
    </w:pPr>
    <w:r>
      <w:rPr>
        <w:rFonts w:ascii="Arial" w:hAnsi="Arial" w:cs="Arial"/>
        <w:i/>
        <w:color w:val="808080"/>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0A6" w:rsidRDefault="00BB1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75B5E68"/>
    <w:multiLevelType w:val="multilevel"/>
    <w:tmpl w:val="E1B6AE60"/>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3">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nsid w:val="31821229"/>
    <w:multiLevelType w:val="hybridMultilevel"/>
    <w:tmpl w:val="BFBABA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43F19C5"/>
    <w:multiLevelType w:val="hybridMultilevel"/>
    <w:tmpl w:val="F8880E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3">
    <w:nsid w:val="442619BF"/>
    <w:multiLevelType w:val="hybridMultilevel"/>
    <w:tmpl w:val="F07A29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nsid w:val="50B7554C"/>
    <w:multiLevelType w:val="hybridMultilevel"/>
    <w:tmpl w:val="0FAA65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0">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8">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0">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2">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3">
    <w:nsid w:val="784D033C"/>
    <w:multiLevelType w:val="multilevel"/>
    <w:tmpl w:val="C4AA4DFA"/>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1"/>
  </w:num>
  <w:num w:numId="2">
    <w:abstractNumId w:val="39"/>
  </w:num>
  <w:num w:numId="3">
    <w:abstractNumId w:val="24"/>
  </w:num>
  <w:num w:numId="4">
    <w:abstractNumId w:val="0"/>
  </w:num>
  <w:num w:numId="5">
    <w:abstractNumId w:val="7"/>
  </w:num>
  <w:num w:numId="6">
    <w:abstractNumId w:val="22"/>
  </w:num>
  <w:num w:numId="7">
    <w:abstractNumId w:val="19"/>
  </w:num>
  <w:num w:numId="8">
    <w:abstractNumId w:val="6"/>
  </w:num>
  <w:num w:numId="9">
    <w:abstractNumId w:val="9"/>
  </w:num>
  <w:num w:numId="10">
    <w:abstractNumId w:val="37"/>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40"/>
  </w:num>
  <w:num w:numId="15">
    <w:abstractNumId w:val="32"/>
  </w:num>
  <w:num w:numId="16">
    <w:abstractNumId w:val="27"/>
  </w:num>
  <w:num w:numId="17">
    <w:abstractNumId w:val="42"/>
  </w:num>
  <w:num w:numId="18">
    <w:abstractNumId w:val="14"/>
  </w:num>
  <w:num w:numId="19">
    <w:abstractNumId w:val="21"/>
  </w:num>
  <w:num w:numId="20">
    <w:abstractNumId w:val="5"/>
  </w:num>
  <w:num w:numId="21">
    <w:abstractNumId w:val="35"/>
  </w:num>
  <w:num w:numId="22">
    <w:abstractNumId w:val="38"/>
  </w:num>
  <w:num w:numId="23">
    <w:abstractNumId w:val="44"/>
  </w:num>
  <w:num w:numId="24">
    <w:abstractNumId w:val="18"/>
  </w:num>
  <w:num w:numId="25">
    <w:abstractNumId w:val="43"/>
  </w:num>
  <w:num w:numId="26">
    <w:abstractNumId w:val="33"/>
  </w:num>
  <w:num w:numId="27">
    <w:abstractNumId w:val="13"/>
  </w:num>
  <w:num w:numId="28">
    <w:abstractNumId w:val="8"/>
  </w:num>
  <w:num w:numId="29">
    <w:abstractNumId w:val="30"/>
  </w:num>
  <w:num w:numId="30">
    <w:abstractNumId w:val="4"/>
  </w:num>
  <w:num w:numId="31">
    <w:abstractNumId w:val="31"/>
  </w:num>
  <w:num w:numId="32">
    <w:abstractNumId w:val="41"/>
  </w:num>
  <w:num w:numId="33">
    <w:abstractNumId w:val="29"/>
  </w:num>
  <w:num w:numId="34">
    <w:abstractNumId w:val="45"/>
  </w:num>
  <w:num w:numId="35">
    <w:abstractNumId w:val="12"/>
  </w:num>
  <w:num w:numId="36">
    <w:abstractNumId w:val="26"/>
  </w:num>
  <w:num w:numId="37">
    <w:abstractNumId w:val="34"/>
  </w:num>
  <w:num w:numId="38">
    <w:abstractNumId w:val="10"/>
  </w:num>
  <w:num w:numId="39">
    <w:abstractNumId w:val="20"/>
  </w:num>
  <w:num w:numId="40">
    <w:abstractNumId w:val="1"/>
  </w:num>
  <w:num w:numId="41">
    <w:abstractNumId w:val="17"/>
  </w:num>
  <w:num w:numId="42">
    <w:abstractNumId w:val="36"/>
  </w:num>
  <w:num w:numId="43">
    <w:abstractNumId w:val="3"/>
  </w:num>
  <w:num w:numId="44">
    <w:abstractNumId w:val="28"/>
  </w:num>
  <w:num w:numId="45">
    <w:abstractNumId w:val="2"/>
  </w:num>
  <w:num w:numId="46">
    <w:abstractNumId w:val="23"/>
  </w:num>
  <w:num w:numId="47">
    <w:abstractNumId w:val="15"/>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5703"/>
    <w:rsid w:val="0002464A"/>
    <w:rsid w:val="0003106B"/>
    <w:rsid w:val="00040CAC"/>
    <w:rsid w:val="000421A1"/>
    <w:rsid w:val="0004240E"/>
    <w:rsid w:val="00045E26"/>
    <w:rsid w:val="000514B5"/>
    <w:rsid w:val="00060E64"/>
    <w:rsid w:val="00066755"/>
    <w:rsid w:val="00080AFF"/>
    <w:rsid w:val="00086B01"/>
    <w:rsid w:val="0008728D"/>
    <w:rsid w:val="0009242E"/>
    <w:rsid w:val="000964D8"/>
    <w:rsid w:val="000969AD"/>
    <w:rsid w:val="000A3833"/>
    <w:rsid w:val="000A5689"/>
    <w:rsid w:val="000B558D"/>
    <w:rsid w:val="000C25D5"/>
    <w:rsid w:val="000C6996"/>
    <w:rsid w:val="000D23BA"/>
    <w:rsid w:val="000E52BB"/>
    <w:rsid w:val="000E6140"/>
    <w:rsid w:val="000E681E"/>
    <w:rsid w:val="000F4E6A"/>
    <w:rsid w:val="000F64F8"/>
    <w:rsid w:val="001107BF"/>
    <w:rsid w:val="0012417C"/>
    <w:rsid w:val="00142395"/>
    <w:rsid w:val="00142714"/>
    <w:rsid w:val="001452ED"/>
    <w:rsid w:val="00146AA5"/>
    <w:rsid w:val="00151715"/>
    <w:rsid w:val="001830CE"/>
    <w:rsid w:val="00185BB0"/>
    <w:rsid w:val="001908A8"/>
    <w:rsid w:val="00196307"/>
    <w:rsid w:val="001A2666"/>
    <w:rsid w:val="001B00D7"/>
    <w:rsid w:val="001B017F"/>
    <w:rsid w:val="001B3446"/>
    <w:rsid w:val="001B5129"/>
    <w:rsid w:val="001C1195"/>
    <w:rsid w:val="00205118"/>
    <w:rsid w:val="00213CFB"/>
    <w:rsid w:val="002248AC"/>
    <w:rsid w:val="00254991"/>
    <w:rsid w:val="00271BA1"/>
    <w:rsid w:val="00277505"/>
    <w:rsid w:val="00286BB7"/>
    <w:rsid w:val="0029458F"/>
    <w:rsid w:val="00294B80"/>
    <w:rsid w:val="002A104C"/>
    <w:rsid w:val="002A4960"/>
    <w:rsid w:val="002B1AE6"/>
    <w:rsid w:val="002B30F8"/>
    <w:rsid w:val="002B3245"/>
    <w:rsid w:val="002C212F"/>
    <w:rsid w:val="002E3153"/>
    <w:rsid w:val="002E72CA"/>
    <w:rsid w:val="002E74AD"/>
    <w:rsid w:val="002E7CD1"/>
    <w:rsid w:val="002F1991"/>
    <w:rsid w:val="002F4D10"/>
    <w:rsid w:val="0031016E"/>
    <w:rsid w:val="00321EF1"/>
    <w:rsid w:val="00326E79"/>
    <w:rsid w:val="003367EF"/>
    <w:rsid w:val="0034091D"/>
    <w:rsid w:val="00341AE4"/>
    <w:rsid w:val="003872CF"/>
    <w:rsid w:val="0039782C"/>
    <w:rsid w:val="003A42B4"/>
    <w:rsid w:val="003A58B7"/>
    <w:rsid w:val="003A5B4A"/>
    <w:rsid w:val="003B23C5"/>
    <w:rsid w:val="003B2450"/>
    <w:rsid w:val="003B2833"/>
    <w:rsid w:val="003B2A75"/>
    <w:rsid w:val="003D328C"/>
    <w:rsid w:val="003D4AC4"/>
    <w:rsid w:val="003D63B7"/>
    <w:rsid w:val="003E468B"/>
    <w:rsid w:val="003F5C8C"/>
    <w:rsid w:val="0040045E"/>
    <w:rsid w:val="004054E2"/>
    <w:rsid w:val="00407C7A"/>
    <w:rsid w:val="0041316E"/>
    <w:rsid w:val="00425E1E"/>
    <w:rsid w:val="004465BD"/>
    <w:rsid w:val="00457633"/>
    <w:rsid w:val="00466ADA"/>
    <w:rsid w:val="00476245"/>
    <w:rsid w:val="00485940"/>
    <w:rsid w:val="004A27CE"/>
    <w:rsid w:val="004A5A85"/>
    <w:rsid w:val="004B38F7"/>
    <w:rsid w:val="004B5640"/>
    <w:rsid w:val="004C1BD7"/>
    <w:rsid w:val="004C691D"/>
    <w:rsid w:val="004D2191"/>
    <w:rsid w:val="004E1E5D"/>
    <w:rsid w:val="004E41BF"/>
    <w:rsid w:val="004E692D"/>
    <w:rsid w:val="004F7594"/>
    <w:rsid w:val="00501554"/>
    <w:rsid w:val="00514CD7"/>
    <w:rsid w:val="005176D0"/>
    <w:rsid w:val="00523B9E"/>
    <w:rsid w:val="0052678E"/>
    <w:rsid w:val="005319B2"/>
    <w:rsid w:val="00532C74"/>
    <w:rsid w:val="00534E2E"/>
    <w:rsid w:val="00544552"/>
    <w:rsid w:val="00545125"/>
    <w:rsid w:val="00557112"/>
    <w:rsid w:val="00581932"/>
    <w:rsid w:val="00587ADB"/>
    <w:rsid w:val="005963BB"/>
    <w:rsid w:val="005A0695"/>
    <w:rsid w:val="005A3173"/>
    <w:rsid w:val="005A3223"/>
    <w:rsid w:val="005A3DA3"/>
    <w:rsid w:val="005A52C4"/>
    <w:rsid w:val="005C2D55"/>
    <w:rsid w:val="005C69CC"/>
    <w:rsid w:val="005D03AB"/>
    <w:rsid w:val="005D2AC3"/>
    <w:rsid w:val="005D5017"/>
    <w:rsid w:val="005D588C"/>
    <w:rsid w:val="005E2220"/>
    <w:rsid w:val="00601A91"/>
    <w:rsid w:val="00602BA3"/>
    <w:rsid w:val="00603B06"/>
    <w:rsid w:val="006040E3"/>
    <w:rsid w:val="00614159"/>
    <w:rsid w:val="00617C00"/>
    <w:rsid w:val="006263BF"/>
    <w:rsid w:val="00626875"/>
    <w:rsid w:val="00626ADD"/>
    <w:rsid w:val="0062748A"/>
    <w:rsid w:val="00630A2C"/>
    <w:rsid w:val="0064694D"/>
    <w:rsid w:val="00647F0F"/>
    <w:rsid w:val="00651169"/>
    <w:rsid w:val="00653D69"/>
    <w:rsid w:val="00663D35"/>
    <w:rsid w:val="00670A76"/>
    <w:rsid w:val="006711AA"/>
    <w:rsid w:val="00672B57"/>
    <w:rsid w:val="00674FD4"/>
    <w:rsid w:val="00675622"/>
    <w:rsid w:val="00677456"/>
    <w:rsid w:val="006906DB"/>
    <w:rsid w:val="00696006"/>
    <w:rsid w:val="006A12A5"/>
    <w:rsid w:val="006B0D94"/>
    <w:rsid w:val="006B3F85"/>
    <w:rsid w:val="006B485D"/>
    <w:rsid w:val="006C306D"/>
    <w:rsid w:val="006C708E"/>
    <w:rsid w:val="006D09AC"/>
    <w:rsid w:val="006D6EC7"/>
    <w:rsid w:val="006F5125"/>
    <w:rsid w:val="006F5E14"/>
    <w:rsid w:val="007174BB"/>
    <w:rsid w:val="00724E75"/>
    <w:rsid w:val="0073081C"/>
    <w:rsid w:val="00752404"/>
    <w:rsid w:val="00760BB4"/>
    <w:rsid w:val="0076420C"/>
    <w:rsid w:val="00764B71"/>
    <w:rsid w:val="007753C2"/>
    <w:rsid w:val="00776DF3"/>
    <w:rsid w:val="007838B8"/>
    <w:rsid w:val="00796C1C"/>
    <w:rsid w:val="007B2916"/>
    <w:rsid w:val="007B60C4"/>
    <w:rsid w:val="007C0F57"/>
    <w:rsid w:val="007C30F8"/>
    <w:rsid w:val="007C40B6"/>
    <w:rsid w:val="007C729F"/>
    <w:rsid w:val="007E1D28"/>
    <w:rsid w:val="007E755D"/>
    <w:rsid w:val="007F2641"/>
    <w:rsid w:val="007F7C36"/>
    <w:rsid w:val="00803DA2"/>
    <w:rsid w:val="00806796"/>
    <w:rsid w:val="00816B88"/>
    <w:rsid w:val="00826F6D"/>
    <w:rsid w:val="008359B5"/>
    <w:rsid w:val="00847391"/>
    <w:rsid w:val="00856DDD"/>
    <w:rsid w:val="00860A90"/>
    <w:rsid w:val="00863E68"/>
    <w:rsid w:val="00872ADD"/>
    <w:rsid w:val="00882085"/>
    <w:rsid w:val="00883188"/>
    <w:rsid w:val="008848ED"/>
    <w:rsid w:val="00897D58"/>
    <w:rsid w:val="008A1956"/>
    <w:rsid w:val="008A3162"/>
    <w:rsid w:val="008A4937"/>
    <w:rsid w:val="008D3C82"/>
    <w:rsid w:val="008D447E"/>
    <w:rsid w:val="008D7A41"/>
    <w:rsid w:val="008E3680"/>
    <w:rsid w:val="008E5870"/>
    <w:rsid w:val="008F1434"/>
    <w:rsid w:val="008F7355"/>
    <w:rsid w:val="009067B7"/>
    <w:rsid w:val="00915863"/>
    <w:rsid w:val="00930937"/>
    <w:rsid w:val="00933E6C"/>
    <w:rsid w:val="00942160"/>
    <w:rsid w:val="009506E6"/>
    <w:rsid w:val="009508C3"/>
    <w:rsid w:val="0095301D"/>
    <w:rsid w:val="00954FE0"/>
    <w:rsid w:val="009602C5"/>
    <w:rsid w:val="00974C21"/>
    <w:rsid w:val="00981109"/>
    <w:rsid w:val="009A4D0F"/>
    <w:rsid w:val="009B0F67"/>
    <w:rsid w:val="009C07D8"/>
    <w:rsid w:val="009C3FE9"/>
    <w:rsid w:val="009C703C"/>
    <w:rsid w:val="009D3CAA"/>
    <w:rsid w:val="009E2D1B"/>
    <w:rsid w:val="009E302A"/>
    <w:rsid w:val="009F0E24"/>
    <w:rsid w:val="009F4E46"/>
    <w:rsid w:val="009F5B65"/>
    <w:rsid w:val="009F5F2E"/>
    <w:rsid w:val="00A06225"/>
    <w:rsid w:val="00A10F67"/>
    <w:rsid w:val="00A128E6"/>
    <w:rsid w:val="00A20E70"/>
    <w:rsid w:val="00A221A5"/>
    <w:rsid w:val="00A37C8D"/>
    <w:rsid w:val="00A5273B"/>
    <w:rsid w:val="00A53A9D"/>
    <w:rsid w:val="00A55FEE"/>
    <w:rsid w:val="00A62C1A"/>
    <w:rsid w:val="00A62E7C"/>
    <w:rsid w:val="00A6426D"/>
    <w:rsid w:val="00A70622"/>
    <w:rsid w:val="00A70977"/>
    <w:rsid w:val="00A718C4"/>
    <w:rsid w:val="00A72D47"/>
    <w:rsid w:val="00A7412C"/>
    <w:rsid w:val="00A80A04"/>
    <w:rsid w:val="00A8390C"/>
    <w:rsid w:val="00A87197"/>
    <w:rsid w:val="00A928BD"/>
    <w:rsid w:val="00AA4D1C"/>
    <w:rsid w:val="00AA7F22"/>
    <w:rsid w:val="00AC5206"/>
    <w:rsid w:val="00AD0625"/>
    <w:rsid w:val="00AE11A5"/>
    <w:rsid w:val="00AE13E2"/>
    <w:rsid w:val="00AE73E5"/>
    <w:rsid w:val="00AF0DA9"/>
    <w:rsid w:val="00AF68CC"/>
    <w:rsid w:val="00B205AA"/>
    <w:rsid w:val="00B22E84"/>
    <w:rsid w:val="00B25F75"/>
    <w:rsid w:val="00B43E90"/>
    <w:rsid w:val="00B44C49"/>
    <w:rsid w:val="00B5354D"/>
    <w:rsid w:val="00B56118"/>
    <w:rsid w:val="00B6773F"/>
    <w:rsid w:val="00B801BA"/>
    <w:rsid w:val="00B84AC5"/>
    <w:rsid w:val="00B95BEB"/>
    <w:rsid w:val="00BB10A6"/>
    <w:rsid w:val="00BB654C"/>
    <w:rsid w:val="00BB69F5"/>
    <w:rsid w:val="00BB7EC3"/>
    <w:rsid w:val="00BC36B0"/>
    <w:rsid w:val="00BC4B9A"/>
    <w:rsid w:val="00BD784C"/>
    <w:rsid w:val="00BE14EC"/>
    <w:rsid w:val="00BE3700"/>
    <w:rsid w:val="00BE71F9"/>
    <w:rsid w:val="00BF3756"/>
    <w:rsid w:val="00BF472E"/>
    <w:rsid w:val="00BF4CB6"/>
    <w:rsid w:val="00C00DA7"/>
    <w:rsid w:val="00C12768"/>
    <w:rsid w:val="00C134DA"/>
    <w:rsid w:val="00C13633"/>
    <w:rsid w:val="00C27B58"/>
    <w:rsid w:val="00C329A4"/>
    <w:rsid w:val="00C35911"/>
    <w:rsid w:val="00C35996"/>
    <w:rsid w:val="00C5342C"/>
    <w:rsid w:val="00C6256A"/>
    <w:rsid w:val="00C86DD6"/>
    <w:rsid w:val="00C91449"/>
    <w:rsid w:val="00C92D10"/>
    <w:rsid w:val="00CA4E76"/>
    <w:rsid w:val="00CC4002"/>
    <w:rsid w:val="00CD16F9"/>
    <w:rsid w:val="00CE10C4"/>
    <w:rsid w:val="00CE1ED8"/>
    <w:rsid w:val="00CE27B5"/>
    <w:rsid w:val="00CE4049"/>
    <w:rsid w:val="00D0321E"/>
    <w:rsid w:val="00D04278"/>
    <w:rsid w:val="00D1455A"/>
    <w:rsid w:val="00D3280C"/>
    <w:rsid w:val="00D3406A"/>
    <w:rsid w:val="00D3760E"/>
    <w:rsid w:val="00D469B2"/>
    <w:rsid w:val="00D5536A"/>
    <w:rsid w:val="00D701C6"/>
    <w:rsid w:val="00D73E0E"/>
    <w:rsid w:val="00D741EB"/>
    <w:rsid w:val="00D81658"/>
    <w:rsid w:val="00D84934"/>
    <w:rsid w:val="00D91271"/>
    <w:rsid w:val="00D96287"/>
    <w:rsid w:val="00DA2CB5"/>
    <w:rsid w:val="00DA4BAC"/>
    <w:rsid w:val="00DB0299"/>
    <w:rsid w:val="00DE6D27"/>
    <w:rsid w:val="00DF217D"/>
    <w:rsid w:val="00DF26A7"/>
    <w:rsid w:val="00E10455"/>
    <w:rsid w:val="00E126DC"/>
    <w:rsid w:val="00E164B3"/>
    <w:rsid w:val="00E16910"/>
    <w:rsid w:val="00E34A03"/>
    <w:rsid w:val="00E372B5"/>
    <w:rsid w:val="00E65E54"/>
    <w:rsid w:val="00E733F1"/>
    <w:rsid w:val="00E778BF"/>
    <w:rsid w:val="00E80155"/>
    <w:rsid w:val="00E840D8"/>
    <w:rsid w:val="00E848C0"/>
    <w:rsid w:val="00E910F5"/>
    <w:rsid w:val="00E91B96"/>
    <w:rsid w:val="00E941A1"/>
    <w:rsid w:val="00E95CE3"/>
    <w:rsid w:val="00EA2825"/>
    <w:rsid w:val="00EB18DB"/>
    <w:rsid w:val="00EB5088"/>
    <w:rsid w:val="00EC000A"/>
    <w:rsid w:val="00ED1644"/>
    <w:rsid w:val="00EE2AC0"/>
    <w:rsid w:val="00EE41EB"/>
    <w:rsid w:val="00EE4B15"/>
    <w:rsid w:val="00EF44A0"/>
    <w:rsid w:val="00EF4FED"/>
    <w:rsid w:val="00F050BD"/>
    <w:rsid w:val="00F05657"/>
    <w:rsid w:val="00F25578"/>
    <w:rsid w:val="00F258E5"/>
    <w:rsid w:val="00F300BC"/>
    <w:rsid w:val="00F3334E"/>
    <w:rsid w:val="00F50EC4"/>
    <w:rsid w:val="00F555AB"/>
    <w:rsid w:val="00F57A6D"/>
    <w:rsid w:val="00F602B5"/>
    <w:rsid w:val="00F638CC"/>
    <w:rsid w:val="00F64CC1"/>
    <w:rsid w:val="00F8247A"/>
    <w:rsid w:val="00F849EA"/>
    <w:rsid w:val="00F9629A"/>
    <w:rsid w:val="00F96F80"/>
    <w:rsid w:val="00FA5883"/>
    <w:rsid w:val="00FA6055"/>
    <w:rsid w:val="00FB322F"/>
    <w:rsid w:val="00FB442F"/>
    <w:rsid w:val="00FB70DC"/>
    <w:rsid w:val="00FC1929"/>
    <w:rsid w:val="00FC5B46"/>
    <w:rsid w:val="00FC6784"/>
    <w:rsid w:val="00FF00BD"/>
    <w:rsid w:val="00FF1ED4"/>
    <w:rsid w:val="00FF2801"/>
    <w:rsid w:val="00FF2F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F555AB"/>
    <w:pPr>
      <w:numPr>
        <w:numId w:val="25"/>
      </w:numPr>
      <w:jc w:val="both"/>
      <w:outlineLvl w:val="0"/>
    </w:pPr>
    <w:rPr>
      <w:rFonts w:ascii="Arial" w:hAnsi="Arial"/>
      <w:b/>
      <w:sz w:val="22"/>
      <w:szCs w:val="22"/>
    </w:rPr>
  </w:style>
  <w:style w:type="paragraph" w:styleId="Heading2">
    <w:name w:val="heading 2"/>
    <w:basedOn w:val="Normal"/>
    <w:next w:val="Normal"/>
    <w:qFormat/>
    <w:rsid w:val="00F555AB"/>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customStyle="1" w:styleId="ListParagraphChar">
    <w:name w:val="List Paragraph Char"/>
    <w:aliases w:val="BulletPoints Char"/>
    <w:basedOn w:val="DefaultParagraphFont"/>
    <w:link w:val="ListParagraph"/>
    <w:uiPriority w:val="34"/>
    <w:rsid w:val="004A27CE"/>
    <w:rPr>
      <w:sz w:val="24"/>
      <w:szCs w:val="24"/>
    </w:rPr>
  </w:style>
  <w:style w:type="character" w:styleId="PlaceholderText">
    <w:name w:val="Placeholder Text"/>
    <w:basedOn w:val="DefaultParagraphFont"/>
    <w:uiPriority w:val="99"/>
    <w:unhideWhenUsed/>
    <w:rsid w:val="00BB654C"/>
    <w:rPr>
      <w:color w:val="808080"/>
    </w:rPr>
  </w:style>
  <w:style w:type="paragraph" w:styleId="Title">
    <w:name w:val="Title"/>
    <w:basedOn w:val="Normal"/>
    <w:next w:val="Normal"/>
    <w:link w:val="TitleChar"/>
    <w:qFormat/>
    <w:rsid w:val="00F555AB"/>
    <w:pPr>
      <w:ind w:left="720" w:hanging="720"/>
      <w:outlineLvl w:val="0"/>
    </w:pPr>
    <w:rPr>
      <w:rFonts w:ascii="Arial" w:hAnsi="Arial"/>
      <w:b/>
      <w:sz w:val="28"/>
      <w:szCs w:val="28"/>
    </w:rPr>
  </w:style>
  <w:style w:type="character" w:customStyle="1" w:styleId="TitleChar">
    <w:name w:val="Title Char"/>
    <w:basedOn w:val="DefaultParagraphFont"/>
    <w:link w:val="Title"/>
    <w:rsid w:val="00F555AB"/>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F555AB"/>
    <w:pPr>
      <w:numPr>
        <w:numId w:val="25"/>
      </w:numPr>
      <w:jc w:val="both"/>
      <w:outlineLvl w:val="0"/>
    </w:pPr>
    <w:rPr>
      <w:rFonts w:ascii="Arial" w:hAnsi="Arial"/>
      <w:b/>
      <w:sz w:val="22"/>
      <w:szCs w:val="22"/>
    </w:rPr>
  </w:style>
  <w:style w:type="paragraph" w:styleId="Heading2">
    <w:name w:val="heading 2"/>
    <w:basedOn w:val="Normal"/>
    <w:next w:val="Normal"/>
    <w:qFormat/>
    <w:rsid w:val="00F555AB"/>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customStyle="1" w:styleId="ListParagraphChar">
    <w:name w:val="List Paragraph Char"/>
    <w:aliases w:val="BulletPoints Char"/>
    <w:basedOn w:val="DefaultParagraphFont"/>
    <w:link w:val="ListParagraph"/>
    <w:uiPriority w:val="34"/>
    <w:rsid w:val="004A27CE"/>
    <w:rPr>
      <w:sz w:val="24"/>
      <w:szCs w:val="24"/>
    </w:rPr>
  </w:style>
  <w:style w:type="character" w:styleId="PlaceholderText">
    <w:name w:val="Placeholder Text"/>
    <w:basedOn w:val="DefaultParagraphFont"/>
    <w:uiPriority w:val="99"/>
    <w:unhideWhenUsed/>
    <w:rsid w:val="00BB654C"/>
    <w:rPr>
      <w:color w:val="808080"/>
    </w:rPr>
  </w:style>
  <w:style w:type="paragraph" w:styleId="Title">
    <w:name w:val="Title"/>
    <w:basedOn w:val="Normal"/>
    <w:next w:val="Normal"/>
    <w:link w:val="TitleChar"/>
    <w:qFormat/>
    <w:rsid w:val="00F555AB"/>
    <w:pPr>
      <w:ind w:left="720" w:hanging="720"/>
      <w:outlineLvl w:val="0"/>
    </w:pPr>
    <w:rPr>
      <w:rFonts w:ascii="Arial" w:hAnsi="Arial"/>
      <w:b/>
      <w:sz w:val="28"/>
      <w:szCs w:val="28"/>
    </w:rPr>
  </w:style>
  <w:style w:type="character" w:customStyle="1" w:styleId="TitleChar">
    <w:name w:val="Title Char"/>
    <w:basedOn w:val="DefaultParagraphFont"/>
    <w:link w:val="Title"/>
    <w:rsid w:val="00F555AB"/>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47670384">
      <w:bodyDiv w:val="1"/>
      <w:marLeft w:val="0"/>
      <w:marRight w:val="0"/>
      <w:marTop w:val="0"/>
      <w:marBottom w:val="0"/>
      <w:divBdr>
        <w:top w:val="none" w:sz="0" w:space="0" w:color="auto"/>
        <w:left w:val="none" w:sz="0" w:space="0" w:color="auto"/>
        <w:bottom w:val="none" w:sz="0" w:space="0" w:color="auto"/>
        <w:right w:val="none" w:sz="0" w:space="0" w:color="auto"/>
      </w:divBdr>
      <w:divsChild>
        <w:div w:id="1940991433">
          <w:marLeft w:val="0"/>
          <w:marRight w:val="0"/>
          <w:marTop w:val="240"/>
          <w:marBottom w:val="480"/>
          <w:divBdr>
            <w:top w:val="none" w:sz="0" w:space="0" w:color="auto"/>
            <w:left w:val="none" w:sz="0" w:space="0" w:color="auto"/>
            <w:bottom w:val="none" w:sz="0" w:space="0" w:color="auto"/>
            <w:right w:val="none" w:sz="0" w:space="0" w:color="auto"/>
          </w:divBdr>
          <w:divsChild>
            <w:div w:id="1211266576">
              <w:marLeft w:val="0"/>
              <w:marRight w:val="0"/>
              <w:marTop w:val="0"/>
              <w:marBottom w:val="0"/>
              <w:divBdr>
                <w:top w:val="none" w:sz="0" w:space="0" w:color="auto"/>
                <w:left w:val="none" w:sz="0" w:space="0" w:color="auto"/>
                <w:bottom w:val="none" w:sz="0" w:space="0" w:color="auto"/>
                <w:right w:val="none" w:sz="0" w:space="0" w:color="auto"/>
              </w:divBdr>
              <w:divsChild>
                <w:div w:id="935556268">
                  <w:marLeft w:val="0"/>
                  <w:marRight w:val="0"/>
                  <w:marTop w:val="0"/>
                  <w:marBottom w:val="0"/>
                  <w:divBdr>
                    <w:top w:val="none" w:sz="0" w:space="0" w:color="auto"/>
                    <w:left w:val="none" w:sz="0" w:space="0" w:color="auto"/>
                    <w:bottom w:val="none" w:sz="0" w:space="0" w:color="auto"/>
                    <w:right w:val="none" w:sz="0" w:space="0" w:color="auto"/>
                  </w:divBdr>
                  <w:divsChild>
                    <w:div w:id="1626040819">
                      <w:marLeft w:val="0"/>
                      <w:marRight w:val="0"/>
                      <w:marTop w:val="0"/>
                      <w:marBottom w:val="0"/>
                      <w:divBdr>
                        <w:top w:val="none" w:sz="0" w:space="0" w:color="auto"/>
                        <w:left w:val="none" w:sz="0" w:space="0" w:color="auto"/>
                        <w:bottom w:val="none" w:sz="0" w:space="0" w:color="auto"/>
                        <w:right w:val="none" w:sz="0" w:space="0" w:color="auto"/>
                      </w:divBdr>
                      <w:divsChild>
                        <w:div w:id="1573009341">
                          <w:marLeft w:val="0"/>
                          <w:marRight w:val="0"/>
                          <w:marTop w:val="0"/>
                          <w:marBottom w:val="0"/>
                          <w:divBdr>
                            <w:top w:val="none" w:sz="0" w:space="0" w:color="auto"/>
                            <w:left w:val="none" w:sz="0" w:space="0" w:color="auto"/>
                            <w:bottom w:val="none" w:sz="0" w:space="0" w:color="auto"/>
                            <w:right w:val="none" w:sz="0" w:space="0" w:color="auto"/>
                          </w:divBdr>
                          <w:divsChild>
                            <w:div w:id="536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0378">
      <w:bodyDiv w:val="1"/>
      <w:marLeft w:val="0"/>
      <w:marRight w:val="0"/>
      <w:marTop w:val="0"/>
      <w:marBottom w:val="0"/>
      <w:divBdr>
        <w:top w:val="none" w:sz="0" w:space="0" w:color="auto"/>
        <w:left w:val="none" w:sz="0" w:space="0" w:color="auto"/>
        <w:bottom w:val="none" w:sz="0" w:space="0" w:color="auto"/>
        <w:right w:val="none" w:sz="0" w:space="0" w:color="auto"/>
      </w:divBdr>
      <w:divsChild>
        <w:div w:id="532039805">
          <w:marLeft w:val="0"/>
          <w:marRight w:val="0"/>
          <w:marTop w:val="240"/>
          <w:marBottom w:val="480"/>
          <w:divBdr>
            <w:top w:val="none" w:sz="0" w:space="0" w:color="auto"/>
            <w:left w:val="none" w:sz="0" w:space="0" w:color="auto"/>
            <w:bottom w:val="none" w:sz="0" w:space="0" w:color="auto"/>
            <w:right w:val="none" w:sz="0" w:space="0" w:color="auto"/>
          </w:divBdr>
          <w:divsChild>
            <w:div w:id="11424454">
              <w:marLeft w:val="0"/>
              <w:marRight w:val="0"/>
              <w:marTop w:val="0"/>
              <w:marBottom w:val="0"/>
              <w:divBdr>
                <w:top w:val="none" w:sz="0" w:space="0" w:color="auto"/>
                <w:left w:val="none" w:sz="0" w:space="0" w:color="auto"/>
                <w:bottom w:val="none" w:sz="0" w:space="0" w:color="auto"/>
                <w:right w:val="none" w:sz="0" w:space="0" w:color="auto"/>
              </w:divBdr>
              <w:divsChild>
                <w:div w:id="1680426683">
                  <w:marLeft w:val="0"/>
                  <w:marRight w:val="0"/>
                  <w:marTop w:val="0"/>
                  <w:marBottom w:val="0"/>
                  <w:divBdr>
                    <w:top w:val="none" w:sz="0" w:space="0" w:color="auto"/>
                    <w:left w:val="none" w:sz="0" w:space="0" w:color="auto"/>
                    <w:bottom w:val="none" w:sz="0" w:space="0" w:color="auto"/>
                    <w:right w:val="none" w:sz="0" w:space="0" w:color="auto"/>
                  </w:divBdr>
                  <w:divsChild>
                    <w:div w:id="1122532904">
                      <w:marLeft w:val="0"/>
                      <w:marRight w:val="0"/>
                      <w:marTop w:val="0"/>
                      <w:marBottom w:val="0"/>
                      <w:divBdr>
                        <w:top w:val="none" w:sz="0" w:space="0" w:color="auto"/>
                        <w:left w:val="none" w:sz="0" w:space="0" w:color="auto"/>
                        <w:bottom w:val="none" w:sz="0" w:space="0" w:color="auto"/>
                        <w:right w:val="none" w:sz="0" w:space="0" w:color="auto"/>
                      </w:divBdr>
                      <w:divsChild>
                        <w:div w:id="2088526883">
                          <w:marLeft w:val="0"/>
                          <w:marRight w:val="0"/>
                          <w:marTop w:val="0"/>
                          <w:marBottom w:val="0"/>
                          <w:divBdr>
                            <w:top w:val="none" w:sz="0" w:space="0" w:color="auto"/>
                            <w:left w:val="none" w:sz="0" w:space="0" w:color="auto"/>
                            <w:bottom w:val="none" w:sz="0" w:space="0" w:color="auto"/>
                            <w:right w:val="none" w:sz="0" w:space="0" w:color="auto"/>
                          </w:divBdr>
                          <w:divsChild>
                            <w:div w:id="5549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77602542">
      <w:bodyDiv w:val="1"/>
      <w:marLeft w:val="0"/>
      <w:marRight w:val="0"/>
      <w:marTop w:val="0"/>
      <w:marBottom w:val="0"/>
      <w:divBdr>
        <w:top w:val="none" w:sz="0" w:space="0" w:color="auto"/>
        <w:left w:val="none" w:sz="0" w:space="0" w:color="auto"/>
        <w:bottom w:val="none" w:sz="0" w:space="0" w:color="auto"/>
        <w:right w:val="none" w:sz="0" w:space="0" w:color="auto"/>
      </w:divBdr>
      <w:divsChild>
        <w:div w:id="405762916">
          <w:marLeft w:val="0"/>
          <w:marRight w:val="0"/>
          <w:marTop w:val="240"/>
          <w:marBottom w:val="480"/>
          <w:divBdr>
            <w:top w:val="none" w:sz="0" w:space="0" w:color="auto"/>
            <w:left w:val="none" w:sz="0" w:space="0" w:color="auto"/>
            <w:bottom w:val="none" w:sz="0" w:space="0" w:color="auto"/>
            <w:right w:val="none" w:sz="0" w:space="0" w:color="auto"/>
          </w:divBdr>
          <w:divsChild>
            <w:div w:id="374281171">
              <w:marLeft w:val="0"/>
              <w:marRight w:val="0"/>
              <w:marTop w:val="0"/>
              <w:marBottom w:val="0"/>
              <w:divBdr>
                <w:top w:val="none" w:sz="0" w:space="0" w:color="auto"/>
                <w:left w:val="none" w:sz="0" w:space="0" w:color="auto"/>
                <w:bottom w:val="none" w:sz="0" w:space="0" w:color="auto"/>
                <w:right w:val="none" w:sz="0" w:space="0" w:color="auto"/>
              </w:divBdr>
              <w:divsChild>
                <w:div w:id="2147118056">
                  <w:marLeft w:val="0"/>
                  <w:marRight w:val="0"/>
                  <w:marTop w:val="0"/>
                  <w:marBottom w:val="0"/>
                  <w:divBdr>
                    <w:top w:val="none" w:sz="0" w:space="0" w:color="auto"/>
                    <w:left w:val="none" w:sz="0" w:space="0" w:color="auto"/>
                    <w:bottom w:val="none" w:sz="0" w:space="0" w:color="auto"/>
                    <w:right w:val="none" w:sz="0" w:space="0" w:color="auto"/>
                  </w:divBdr>
                  <w:divsChild>
                    <w:div w:id="1019894283">
                      <w:marLeft w:val="0"/>
                      <w:marRight w:val="0"/>
                      <w:marTop w:val="0"/>
                      <w:marBottom w:val="0"/>
                      <w:divBdr>
                        <w:top w:val="none" w:sz="0" w:space="0" w:color="auto"/>
                        <w:left w:val="none" w:sz="0" w:space="0" w:color="auto"/>
                        <w:bottom w:val="none" w:sz="0" w:space="0" w:color="auto"/>
                        <w:right w:val="none" w:sz="0" w:space="0" w:color="auto"/>
                      </w:divBdr>
                      <w:divsChild>
                        <w:div w:id="1829318204">
                          <w:marLeft w:val="0"/>
                          <w:marRight w:val="0"/>
                          <w:marTop w:val="0"/>
                          <w:marBottom w:val="0"/>
                          <w:divBdr>
                            <w:top w:val="none" w:sz="0" w:space="0" w:color="auto"/>
                            <w:left w:val="none" w:sz="0" w:space="0" w:color="auto"/>
                            <w:bottom w:val="none" w:sz="0" w:space="0" w:color="auto"/>
                            <w:right w:val="none" w:sz="0" w:space="0" w:color="auto"/>
                          </w:divBdr>
                          <w:divsChild>
                            <w:div w:id="998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538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642DB-724E-404C-A05F-456246B7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4975</Words>
  <Characters>33219</Characters>
  <Application>Microsoft Office Word</Application>
  <DocSecurity>0</DocSecurity>
  <Lines>276</Lines>
  <Paragraphs>76</Paragraphs>
  <ScaleCrop>false</ScaleCrop>
  <HeadingPairs>
    <vt:vector size="2" baseType="variant">
      <vt:variant>
        <vt:lpstr>Title</vt:lpstr>
      </vt:variant>
      <vt:variant>
        <vt:i4>1</vt:i4>
      </vt:variant>
    </vt:vector>
  </HeadingPairs>
  <TitlesOfParts>
    <vt:vector size="1" baseType="lpstr">
      <vt:lpstr>7.11 itraconazole</vt:lpstr>
    </vt:vector>
  </TitlesOfParts>
  <LinksUpToDate>false</LinksUpToDate>
  <CharactersWithSpaces>38118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7.11 itraconazole</dc:title>
  <dc:creator/>
  <cp:lastModifiedBy/>
  <cp:revision>1</cp:revision>
  <dcterms:created xsi:type="dcterms:W3CDTF">2016-02-25T23:42:00Z</dcterms:created>
  <dcterms:modified xsi:type="dcterms:W3CDTF">2016-02-26T01:27:00Z</dcterms:modified>
</cp:coreProperties>
</file>