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2BA" w:rsidRPr="001E3D25" w:rsidRDefault="00D517A0" w:rsidP="00362963">
      <w:pPr>
        <w:pStyle w:val="Title"/>
      </w:pPr>
      <w:bookmarkStart w:id="0" w:name="_Toc430012372"/>
      <w:r w:rsidRPr="001E3D25">
        <w:t>7.04</w:t>
      </w:r>
      <w:r w:rsidR="00EA1B29" w:rsidRPr="001E3D25">
        <w:tab/>
      </w:r>
      <w:r w:rsidR="005152BA" w:rsidRPr="001E3D25">
        <w:t>IDELALISIB</w:t>
      </w:r>
    </w:p>
    <w:p w:rsidR="005152BA" w:rsidRPr="001E3D25" w:rsidRDefault="00845983" w:rsidP="00DD756B">
      <w:pPr>
        <w:pStyle w:val="Title"/>
        <w:ind w:firstLine="709"/>
      </w:pPr>
      <w:r w:rsidRPr="001E3D25">
        <w:t>100 </w:t>
      </w:r>
      <w:r w:rsidR="0009297C" w:rsidRPr="001E3D25">
        <w:t>m</w:t>
      </w:r>
      <w:r w:rsidRPr="001E3D25">
        <w:t>g tablet, 60, 150 </w:t>
      </w:r>
      <w:r w:rsidR="005152BA" w:rsidRPr="001E3D25">
        <w:t>mg tablet, 60</w:t>
      </w:r>
    </w:p>
    <w:p w:rsidR="00B60939" w:rsidRPr="00362963" w:rsidRDefault="005152BA" w:rsidP="00DD756B">
      <w:pPr>
        <w:pStyle w:val="Title"/>
        <w:ind w:firstLine="709"/>
      </w:pPr>
      <w:proofErr w:type="spellStart"/>
      <w:r w:rsidRPr="001E3D25">
        <w:t>Zydelig</w:t>
      </w:r>
      <w:proofErr w:type="spellEnd"/>
      <w:r w:rsidRPr="001E3D25">
        <w:rPr>
          <w:vertAlign w:val="superscript"/>
        </w:rPr>
        <w:t>®</w:t>
      </w:r>
      <w:r w:rsidR="00AC4C27" w:rsidRPr="001E3D25">
        <w:t xml:space="preserve">, </w:t>
      </w:r>
      <w:bookmarkEnd w:id="0"/>
      <w:r w:rsidR="00DD756B" w:rsidRPr="009D1580">
        <w:t>Gilead Sciences Pty Ltd</w:t>
      </w:r>
    </w:p>
    <w:p w:rsidR="00B60939" w:rsidRDefault="00B60939" w:rsidP="0029025B">
      <w:pPr>
        <w:spacing w:line="480" w:lineRule="auto"/>
      </w:pPr>
      <w:bookmarkStart w:id="1" w:name="_GoBack"/>
      <w:bookmarkEnd w:id="1"/>
    </w:p>
    <w:p w:rsidR="00F338FF" w:rsidRPr="00C157F0" w:rsidRDefault="00F338FF" w:rsidP="00C157F0">
      <w:pPr>
        <w:pStyle w:val="Heading1"/>
      </w:pPr>
      <w:bookmarkStart w:id="2" w:name="_Toc430012374"/>
      <w:r w:rsidRPr="00C157F0">
        <w:t>Purpose of Application</w:t>
      </w:r>
      <w:bookmarkEnd w:id="2"/>
    </w:p>
    <w:p w:rsidR="00B60939" w:rsidRPr="00882085" w:rsidRDefault="00B60939" w:rsidP="00B60939">
      <w:pPr>
        <w:rPr>
          <w:szCs w:val="22"/>
        </w:rPr>
      </w:pPr>
    </w:p>
    <w:p w:rsidR="002D271D" w:rsidRPr="00F338FF" w:rsidRDefault="002D271D" w:rsidP="000154C7">
      <w:pPr>
        <w:pStyle w:val="ListParagraph"/>
        <w:widowControl/>
        <w:numPr>
          <w:ilvl w:val="1"/>
          <w:numId w:val="5"/>
        </w:numPr>
        <w:rPr>
          <w:szCs w:val="22"/>
        </w:rPr>
      </w:pPr>
      <w:r>
        <w:t xml:space="preserve">The </w:t>
      </w:r>
      <w:r w:rsidR="00CF3440">
        <w:t>re</w:t>
      </w:r>
      <w:r>
        <w:t>submission requested Section 85</w:t>
      </w:r>
      <w:r w:rsidRPr="004B3DDB">
        <w:t xml:space="preserve">, Authority </w:t>
      </w:r>
      <w:proofErr w:type="gramStart"/>
      <w:r w:rsidRPr="004B3DDB">
        <w:t>Required</w:t>
      </w:r>
      <w:proofErr w:type="gramEnd"/>
      <w:r>
        <w:t xml:space="preserve"> listing for idelalisib </w:t>
      </w:r>
      <w:r w:rsidRPr="004B3DDB">
        <w:t xml:space="preserve">for </w:t>
      </w:r>
      <w:r>
        <w:t xml:space="preserve">the second-line </w:t>
      </w:r>
      <w:r w:rsidRPr="004B3DDB">
        <w:t xml:space="preserve">treatment of </w:t>
      </w:r>
      <w:r w:rsidR="000154C7">
        <w:t>c</w:t>
      </w:r>
      <w:r w:rsidR="000154C7" w:rsidRPr="000154C7">
        <w:t xml:space="preserve">hronic </w:t>
      </w:r>
      <w:r w:rsidR="000154C7">
        <w:t>l</w:t>
      </w:r>
      <w:r w:rsidR="000154C7" w:rsidRPr="000154C7">
        <w:t xml:space="preserve">ymphocytic </w:t>
      </w:r>
      <w:r w:rsidR="000154C7">
        <w:t>l</w:t>
      </w:r>
      <w:r w:rsidR="000154C7" w:rsidRPr="000154C7">
        <w:t xml:space="preserve">eukaemia </w:t>
      </w:r>
      <w:r w:rsidR="000154C7">
        <w:t>(</w:t>
      </w:r>
      <w:r>
        <w:t>CLL</w:t>
      </w:r>
      <w:r w:rsidR="000154C7">
        <w:t>)</w:t>
      </w:r>
      <w:r>
        <w:t xml:space="preserve"> and </w:t>
      </w:r>
      <w:r w:rsidR="000154C7" w:rsidRPr="000154C7">
        <w:t xml:space="preserve">small lymphocytic lymphoma </w:t>
      </w:r>
      <w:r w:rsidR="000154C7">
        <w:t>(</w:t>
      </w:r>
      <w:r>
        <w:t>SLL</w:t>
      </w:r>
      <w:r w:rsidR="000154C7">
        <w:t>)</w:t>
      </w:r>
      <w:r w:rsidRPr="004B3DDB">
        <w:t>.</w:t>
      </w:r>
      <w:r>
        <w:t xml:space="preserve"> </w:t>
      </w:r>
      <w:r w:rsidRPr="00AE568B">
        <w:t>The first submission was</w:t>
      </w:r>
      <w:r>
        <w:t xml:space="preserve"> in</w:t>
      </w:r>
      <w:r w:rsidRPr="00AE568B">
        <w:t xml:space="preserve"> </w:t>
      </w:r>
      <w:r w:rsidR="00250AF3">
        <w:t>March 2015.</w:t>
      </w:r>
    </w:p>
    <w:p w:rsidR="001B6188" w:rsidRDefault="001B6188" w:rsidP="001E3D25">
      <w:pPr>
        <w:spacing w:line="480" w:lineRule="auto"/>
      </w:pPr>
    </w:p>
    <w:p w:rsidR="00F338FF" w:rsidRPr="00C157F0" w:rsidRDefault="00F338FF" w:rsidP="00C157F0">
      <w:pPr>
        <w:pStyle w:val="Heading1"/>
      </w:pPr>
      <w:bookmarkStart w:id="3" w:name="_Toc430012375"/>
      <w:r w:rsidRPr="00C157F0">
        <w:t>Requested listing</w:t>
      </w:r>
      <w:bookmarkEnd w:id="3"/>
    </w:p>
    <w:p w:rsidR="00B60939" w:rsidRPr="00882085" w:rsidRDefault="00B60939" w:rsidP="00497F10"/>
    <w:p w:rsidR="00617E12" w:rsidRPr="00805CD1" w:rsidRDefault="004946E5" w:rsidP="00B67FD5">
      <w:pPr>
        <w:pStyle w:val="ListParagraph"/>
        <w:widowControl/>
        <w:numPr>
          <w:ilvl w:val="1"/>
          <w:numId w:val="5"/>
        </w:numPr>
        <w:rPr>
          <w:szCs w:val="22"/>
        </w:rPr>
      </w:pPr>
      <w:r w:rsidRPr="009023FE">
        <w:rPr>
          <w:szCs w:val="22"/>
        </w:rPr>
        <w:t xml:space="preserve">The </w:t>
      </w:r>
      <w:r w:rsidR="00B67FD5" w:rsidRPr="009023FE">
        <w:rPr>
          <w:szCs w:val="22"/>
        </w:rPr>
        <w:t>requested</w:t>
      </w:r>
      <w:r w:rsidRPr="009023FE">
        <w:rPr>
          <w:szCs w:val="22"/>
        </w:rPr>
        <w:t xml:space="preserve"> restriction is shown below</w:t>
      </w:r>
      <w:r>
        <w:rPr>
          <w:i/>
          <w:szCs w:val="22"/>
        </w:rPr>
        <w:t xml:space="preserve">.  </w:t>
      </w:r>
      <w:r w:rsidR="00B67FD5" w:rsidRPr="00805CD1">
        <w:rPr>
          <w:rFonts w:eastAsia="SimSun"/>
          <w:iCs/>
          <w:color w:val="000000"/>
          <w:szCs w:val="22"/>
        </w:rPr>
        <w:t>Suggestions and additions proposed by the Secretariat to the requested listing are added in italics and suggested deletions are crossed out with strikethrough.</w:t>
      </w:r>
    </w:p>
    <w:p w:rsidR="002D271D" w:rsidRPr="00805CD1" w:rsidRDefault="002D271D" w:rsidP="00862402">
      <w:pPr>
        <w:pStyle w:val="TableFooter"/>
        <w:widowControl/>
        <w:rPr>
          <w:rFonts w:ascii="Arial" w:hAnsi="Arial"/>
          <w:sz w:val="22"/>
          <w:szCs w:val="22"/>
        </w:rPr>
      </w:pPr>
    </w:p>
    <w:tbl>
      <w:tblPr>
        <w:tblW w:w="8505" w:type="dxa"/>
        <w:tblInd w:w="817" w:type="dxa"/>
        <w:tblLayout w:type="fixed"/>
        <w:tblLook w:val="0000" w:firstRow="0" w:lastRow="0" w:firstColumn="0" w:lastColumn="0" w:noHBand="0" w:noVBand="0"/>
      </w:tblPr>
      <w:tblGrid>
        <w:gridCol w:w="2126"/>
        <w:gridCol w:w="426"/>
        <w:gridCol w:w="567"/>
        <w:gridCol w:w="850"/>
        <w:gridCol w:w="1701"/>
        <w:gridCol w:w="1559"/>
        <w:gridCol w:w="1276"/>
      </w:tblGrid>
      <w:tr w:rsidR="004946E5" w:rsidRPr="00260CE3" w:rsidTr="0018203D">
        <w:trPr>
          <w:cantSplit/>
          <w:trHeight w:val="471"/>
        </w:trPr>
        <w:tc>
          <w:tcPr>
            <w:tcW w:w="2552" w:type="dxa"/>
            <w:gridSpan w:val="2"/>
            <w:tcBorders>
              <w:bottom w:val="single" w:sz="4" w:space="0" w:color="auto"/>
            </w:tcBorders>
          </w:tcPr>
          <w:p w:rsidR="004946E5" w:rsidRPr="00260CE3" w:rsidRDefault="004946E5" w:rsidP="004946E5">
            <w:pPr>
              <w:keepNext/>
              <w:ind w:left="-108"/>
              <w:rPr>
                <w:rFonts w:ascii="Arial Narrow" w:hAnsi="Arial Narrow"/>
                <w:sz w:val="20"/>
              </w:rPr>
            </w:pPr>
            <w:r w:rsidRPr="00260CE3">
              <w:rPr>
                <w:rFonts w:ascii="Arial Narrow" w:hAnsi="Arial Narrow"/>
                <w:sz w:val="20"/>
              </w:rPr>
              <w:t>Name, Restriction,</w:t>
            </w:r>
          </w:p>
          <w:p w:rsidR="004946E5" w:rsidRPr="00260CE3" w:rsidRDefault="004946E5" w:rsidP="004946E5">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4946E5" w:rsidRPr="00260CE3" w:rsidRDefault="004946E5" w:rsidP="004946E5">
            <w:pPr>
              <w:keepNext/>
              <w:ind w:left="-108"/>
              <w:rPr>
                <w:rFonts w:ascii="Arial Narrow" w:hAnsi="Arial Narrow"/>
                <w:sz w:val="20"/>
              </w:rPr>
            </w:pPr>
            <w:r w:rsidRPr="00260CE3">
              <w:rPr>
                <w:rFonts w:ascii="Arial Narrow" w:hAnsi="Arial Narrow"/>
                <w:sz w:val="20"/>
              </w:rPr>
              <w:t>Max.</w:t>
            </w:r>
          </w:p>
          <w:p w:rsidR="004946E5" w:rsidRPr="00260CE3" w:rsidRDefault="004946E5" w:rsidP="004946E5">
            <w:pPr>
              <w:keepNext/>
              <w:ind w:left="-108"/>
              <w:rPr>
                <w:rFonts w:ascii="Arial Narrow" w:hAnsi="Arial Narrow"/>
                <w:sz w:val="20"/>
              </w:rPr>
            </w:pPr>
            <w:proofErr w:type="spellStart"/>
            <w:r w:rsidRPr="00260CE3">
              <w:rPr>
                <w:rFonts w:ascii="Arial Narrow" w:hAnsi="Arial Narrow"/>
                <w:sz w:val="20"/>
              </w:rPr>
              <w:t>Qty</w:t>
            </w:r>
            <w:proofErr w:type="spellEnd"/>
          </w:p>
        </w:tc>
        <w:tc>
          <w:tcPr>
            <w:tcW w:w="850" w:type="dxa"/>
            <w:tcBorders>
              <w:bottom w:val="single" w:sz="4" w:space="0" w:color="auto"/>
            </w:tcBorders>
          </w:tcPr>
          <w:p w:rsidR="004946E5" w:rsidRPr="00260CE3" w:rsidRDefault="004946E5" w:rsidP="004946E5">
            <w:pPr>
              <w:keepNext/>
              <w:ind w:left="-108"/>
              <w:rPr>
                <w:rFonts w:ascii="Arial Narrow" w:hAnsi="Arial Narrow"/>
                <w:sz w:val="20"/>
              </w:rPr>
            </w:pPr>
            <w:r w:rsidRPr="00260CE3">
              <w:rPr>
                <w:rFonts w:ascii="Arial Narrow" w:hAnsi="Arial Narrow"/>
                <w:sz w:val="20"/>
              </w:rPr>
              <w:t>№.of</w:t>
            </w:r>
          </w:p>
          <w:p w:rsidR="004946E5" w:rsidRPr="00260CE3" w:rsidRDefault="004946E5" w:rsidP="004946E5">
            <w:pPr>
              <w:keepNext/>
              <w:ind w:left="-108"/>
              <w:rPr>
                <w:rFonts w:ascii="Arial Narrow" w:hAnsi="Arial Narrow"/>
                <w:sz w:val="20"/>
              </w:rPr>
            </w:pPr>
            <w:proofErr w:type="spellStart"/>
            <w:r w:rsidRPr="00260CE3">
              <w:rPr>
                <w:rFonts w:ascii="Arial Narrow" w:hAnsi="Arial Narrow"/>
                <w:sz w:val="20"/>
              </w:rPr>
              <w:t>Rpts</w:t>
            </w:r>
            <w:proofErr w:type="spellEnd"/>
          </w:p>
        </w:tc>
        <w:tc>
          <w:tcPr>
            <w:tcW w:w="1701" w:type="dxa"/>
            <w:tcBorders>
              <w:bottom w:val="single" w:sz="4" w:space="0" w:color="auto"/>
            </w:tcBorders>
          </w:tcPr>
          <w:p w:rsidR="004946E5" w:rsidRPr="00260CE3" w:rsidRDefault="004946E5" w:rsidP="004946E5">
            <w:pPr>
              <w:keepNext/>
              <w:ind w:left="-108"/>
              <w:rPr>
                <w:rFonts w:ascii="Arial Narrow" w:hAnsi="Arial Narrow"/>
                <w:sz w:val="20"/>
              </w:rPr>
            </w:pPr>
            <w:r w:rsidRPr="00260CE3">
              <w:rPr>
                <w:rFonts w:ascii="Arial Narrow" w:hAnsi="Arial Narrow"/>
                <w:sz w:val="20"/>
              </w:rPr>
              <w:t xml:space="preserve">Dispensed Price for Max. </w:t>
            </w:r>
            <w:proofErr w:type="spellStart"/>
            <w:r w:rsidRPr="00260CE3">
              <w:rPr>
                <w:rFonts w:ascii="Arial Narrow" w:hAnsi="Arial Narrow"/>
                <w:sz w:val="20"/>
              </w:rPr>
              <w:t>Qty</w:t>
            </w:r>
            <w:proofErr w:type="spellEnd"/>
          </w:p>
        </w:tc>
        <w:tc>
          <w:tcPr>
            <w:tcW w:w="2835" w:type="dxa"/>
            <w:gridSpan w:val="2"/>
            <w:tcBorders>
              <w:bottom w:val="single" w:sz="4" w:space="0" w:color="auto"/>
            </w:tcBorders>
          </w:tcPr>
          <w:p w:rsidR="004946E5" w:rsidRPr="00260CE3" w:rsidRDefault="004946E5" w:rsidP="004946E5">
            <w:pPr>
              <w:keepNext/>
              <w:rPr>
                <w:rFonts w:ascii="Arial Narrow" w:hAnsi="Arial Narrow"/>
                <w:sz w:val="20"/>
                <w:lang w:val="fr-FR"/>
              </w:rPr>
            </w:pPr>
            <w:r w:rsidRPr="00260CE3">
              <w:rPr>
                <w:rFonts w:ascii="Arial Narrow" w:hAnsi="Arial Narrow"/>
                <w:sz w:val="20"/>
              </w:rPr>
              <w:t>Proprietary Name and Manufacturer</w:t>
            </w:r>
          </w:p>
        </w:tc>
      </w:tr>
      <w:tr w:rsidR="004946E5" w:rsidRPr="00260CE3" w:rsidTr="0018203D">
        <w:trPr>
          <w:cantSplit/>
          <w:trHeight w:val="577"/>
        </w:trPr>
        <w:tc>
          <w:tcPr>
            <w:tcW w:w="2552" w:type="dxa"/>
            <w:gridSpan w:val="2"/>
          </w:tcPr>
          <w:p w:rsidR="004946E5" w:rsidRPr="00260CE3" w:rsidRDefault="004946E5" w:rsidP="004946E5">
            <w:pPr>
              <w:keepNext/>
              <w:ind w:left="-108"/>
              <w:rPr>
                <w:rFonts w:ascii="Arial Narrow" w:hAnsi="Arial Narrow"/>
                <w:sz w:val="20"/>
              </w:rPr>
            </w:pPr>
            <w:r>
              <w:rPr>
                <w:rFonts w:ascii="Arial Narrow" w:hAnsi="Arial Narrow"/>
                <w:smallCaps/>
                <w:sz w:val="20"/>
              </w:rPr>
              <w:t>Idelalisib</w:t>
            </w:r>
          </w:p>
          <w:p w:rsidR="004946E5" w:rsidRDefault="004946E5" w:rsidP="004946E5">
            <w:pPr>
              <w:keepNext/>
              <w:ind w:left="-108"/>
              <w:rPr>
                <w:rFonts w:ascii="Arial Narrow" w:hAnsi="Arial Narrow"/>
                <w:sz w:val="20"/>
              </w:rPr>
            </w:pPr>
            <w:r>
              <w:rPr>
                <w:rFonts w:ascii="Arial Narrow" w:hAnsi="Arial Narrow"/>
                <w:sz w:val="20"/>
              </w:rPr>
              <w:t>Tablet, 150</w:t>
            </w:r>
            <w:r w:rsidR="00862402">
              <w:rPr>
                <w:rFonts w:ascii="Arial Narrow" w:hAnsi="Arial Narrow"/>
                <w:sz w:val="20"/>
              </w:rPr>
              <w:t> </w:t>
            </w:r>
            <w:r>
              <w:rPr>
                <w:rFonts w:ascii="Arial Narrow" w:hAnsi="Arial Narrow"/>
                <w:sz w:val="20"/>
              </w:rPr>
              <w:t>mg, 60</w:t>
            </w:r>
          </w:p>
          <w:p w:rsidR="004946E5" w:rsidRPr="00260CE3" w:rsidRDefault="004946E5" w:rsidP="004946E5">
            <w:pPr>
              <w:keepNext/>
              <w:ind w:left="-108"/>
              <w:rPr>
                <w:rFonts w:ascii="Arial Narrow" w:hAnsi="Arial Narrow"/>
                <w:sz w:val="20"/>
              </w:rPr>
            </w:pPr>
            <w:r>
              <w:rPr>
                <w:rFonts w:ascii="Arial Narrow" w:hAnsi="Arial Narrow"/>
                <w:sz w:val="20"/>
              </w:rPr>
              <w:t>Tablet, 100</w:t>
            </w:r>
            <w:r w:rsidR="00862402">
              <w:rPr>
                <w:rFonts w:ascii="Arial Narrow" w:hAnsi="Arial Narrow"/>
                <w:sz w:val="20"/>
              </w:rPr>
              <w:t> </w:t>
            </w:r>
            <w:r>
              <w:rPr>
                <w:rFonts w:ascii="Arial Narrow" w:hAnsi="Arial Narrow"/>
                <w:sz w:val="20"/>
              </w:rPr>
              <w:t>mg, 60</w:t>
            </w:r>
          </w:p>
        </w:tc>
        <w:tc>
          <w:tcPr>
            <w:tcW w:w="567" w:type="dxa"/>
          </w:tcPr>
          <w:p w:rsidR="004946E5" w:rsidRPr="00260CE3" w:rsidRDefault="004946E5" w:rsidP="004946E5">
            <w:pPr>
              <w:keepNext/>
              <w:ind w:left="-108"/>
              <w:rPr>
                <w:rFonts w:ascii="Arial Narrow" w:hAnsi="Arial Narrow"/>
                <w:sz w:val="20"/>
              </w:rPr>
            </w:pPr>
          </w:p>
          <w:p w:rsidR="004946E5" w:rsidRPr="00260CE3" w:rsidRDefault="004946E5" w:rsidP="004946E5">
            <w:pPr>
              <w:keepNext/>
              <w:ind w:left="-108"/>
              <w:rPr>
                <w:rFonts w:ascii="Arial Narrow" w:hAnsi="Arial Narrow"/>
                <w:sz w:val="20"/>
              </w:rPr>
            </w:pPr>
            <w:r>
              <w:rPr>
                <w:rFonts w:ascii="Arial Narrow" w:hAnsi="Arial Narrow"/>
                <w:sz w:val="20"/>
              </w:rPr>
              <w:t>1</w:t>
            </w:r>
          </w:p>
        </w:tc>
        <w:tc>
          <w:tcPr>
            <w:tcW w:w="850" w:type="dxa"/>
          </w:tcPr>
          <w:p w:rsidR="004946E5" w:rsidRPr="00260CE3" w:rsidRDefault="004946E5" w:rsidP="004946E5">
            <w:pPr>
              <w:keepNext/>
              <w:ind w:left="-108"/>
              <w:rPr>
                <w:rFonts w:ascii="Arial Narrow" w:hAnsi="Arial Narrow"/>
                <w:sz w:val="20"/>
              </w:rPr>
            </w:pPr>
          </w:p>
          <w:p w:rsidR="004946E5" w:rsidRPr="00260CE3" w:rsidRDefault="004946E5" w:rsidP="004946E5">
            <w:pPr>
              <w:keepNext/>
              <w:ind w:left="-108"/>
              <w:rPr>
                <w:rFonts w:ascii="Arial Narrow" w:hAnsi="Arial Narrow"/>
                <w:sz w:val="20"/>
              </w:rPr>
            </w:pPr>
            <w:r>
              <w:rPr>
                <w:rFonts w:ascii="Arial Narrow" w:hAnsi="Arial Narrow"/>
                <w:sz w:val="20"/>
              </w:rPr>
              <w:t>5</w:t>
            </w:r>
          </w:p>
        </w:tc>
        <w:tc>
          <w:tcPr>
            <w:tcW w:w="1701" w:type="dxa"/>
          </w:tcPr>
          <w:p w:rsidR="004946E5" w:rsidRPr="00260CE3" w:rsidRDefault="004946E5" w:rsidP="004946E5">
            <w:pPr>
              <w:keepNext/>
              <w:ind w:left="-108"/>
              <w:rPr>
                <w:rFonts w:ascii="Arial Narrow" w:hAnsi="Arial Narrow"/>
                <w:sz w:val="20"/>
              </w:rPr>
            </w:pPr>
          </w:p>
          <w:p w:rsidR="004946E5" w:rsidRDefault="004946E5" w:rsidP="004946E5">
            <w:pPr>
              <w:keepNext/>
              <w:ind w:left="-108"/>
              <w:rPr>
                <w:rFonts w:ascii="Arial Narrow" w:hAnsi="Arial Narrow"/>
                <w:sz w:val="20"/>
              </w:rPr>
            </w:pPr>
            <w:r>
              <w:rPr>
                <w:rFonts w:ascii="Arial Narrow" w:hAnsi="Arial Narrow"/>
                <w:sz w:val="20"/>
              </w:rPr>
              <w:t>$</w:t>
            </w:r>
            <w:r w:rsidR="006D3878">
              <w:rPr>
                <w:rFonts w:ascii="Arial Narrow" w:hAnsi="Arial Narrow"/>
                <w:noProof/>
                <w:color w:val="000000"/>
                <w:sz w:val="20"/>
                <w:highlight w:val="black"/>
              </w:rPr>
              <w:t>''''''''''''''''''''''</w:t>
            </w:r>
            <w:r>
              <w:rPr>
                <w:rFonts w:ascii="Arial Narrow" w:hAnsi="Arial Narrow"/>
                <w:sz w:val="20"/>
              </w:rPr>
              <w:t xml:space="preserve"> (published)</w:t>
            </w:r>
          </w:p>
          <w:p w:rsidR="004946E5" w:rsidRPr="00260CE3" w:rsidRDefault="004946E5" w:rsidP="004946E5">
            <w:pPr>
              <w:keepNext/>
              <w:ind w:left="-108"/>
              <w:rPr>
                <w:rFonts w:ascii="Arial Narrow" w:hAnsi="Arial Narrow"/>
                <w:sz w:val="20"/>
              </w:rPr>
            </w:pPr>
            <w:r>
              <w:rPr>
                <w:rFonts w:ascii="Arial Narrow" w:hAnsi="Arial Narrow"/>
                <w:sz w:val="20"/>
              </w:rPr>
              <w:t>$</w:t>
            </w:r>
            <w:r w:rsidR="006D3878">
              <w:rPr>
                <w:rFonts w:ascii="Arial Narrow" w:hAnsi="Arial Narrow"/>
                <w:noProof/>
                <w:color w:val="000000"/>
                <w:sz w:val="20"/>
                <w:highlight w:val="black"/>
              </w:rPr>
              <w:t>''''''''''''''''''''</w:t>
            </w:r>
            <w:r>
              <w:rPr>
                <w:rFonts w:ascii="Arial Narrow" w:hAnsi="Arial Narrow"/>
                <w:sz w:val="20"/>
              </w:rPr>
              <w:t xml:space="preserve"> (effective)</w:t>
            </w:r>
          </w:p>
        </w:tc>
        <w:tc>
          <w:tcPr>
            <w:tcW w:w="1559" w:type="dxa"/>
          </w:tcPr>
          <w:p w:rsidR="004946E5" w:rsidRPr="00074B59" w:rsidRDefault="004946E5" w:rsidP="004946E5">
            <w:pPr>
              <w:keepNext/>
              <w:jc w:val="center"/>
              <w:rPr>
                <w:rFonts w:ascii="Arial Narrow" w:hAnsi="Arial Narrow"/>
                <w:sz w:val="20"/>
              </w:rPr>
            </w:pPr>
            <w:proofErr w:type="spellStart"/>
            <w:r w:rsidRPr="00074B59">
              <w:rPr>
                <w:rFonts w:ascii="Arial Narrow" w:hAnsi="Arial Narrow"/>
                <w:sz w:val="20"/>
              </w:rPr>
              <w:t>Zydelig</w:t>
            </w:r>
            <w:proofErr w:type="spellEnd"/>
            <w:r w:rsidRPr="00074B59">
              <w:rPr>
                <w:rFonts w:ascii="Arial Narrow" w:hAnsi="Arial Narrow"/>
                <w:sz w:val="20"/>
                <w:vertAlign w:val="superscript"/>
              </w:rPr>
              <w:t>®</w:t>
            </w:r>
          </w:p>
        </w:tc>
        <w:tc>
          <w:tcPr>
            <w:tcW w:w="1276" w:type="dxa"/>
          </w:tcPr>
          <w:p w:rsidR="004946E5" w:rsidRPr="00074B59" w:rsidRDefault="004946E5" w:rsidP="004946E5">
            <w:pPr>
              <w:keepNext/>
              <w:jc w:val="center"/>
              <w:rPr>
                <w:rFonts w:ascii="Arial Narrow" w:hAnsi="Arial Narrow"/>
                <w:sz w:val="20"/>
              </w:rPr>
            </w:pPr>
            <w:r w:rsidRPr="00074B59">
              <w:rPr>
                <w:rFonts w:ascii="Arial Narrow" w:hAnsi="Arial Narrow"/>
                <w:sz w:val="20"/>
              </w:rPr>
              <w:t>Gilead</w:t>
            </w:r>
          </w:p>
        </w:tc>
      </w:tr>
      <w:tr w:rsidR="004946E5" w:rsidRPr="00260CE3" w:rsidTr="0018203D">
        <w:trPr>
          <w:cantSplit/>
          <w:trHeight w:val="360"/>
        </w:trPr>
        <w:tc>
          <w:tcPr>
            <w:tcW w:w="8505" w:type="dxa"/>
            <w:gridSpan w:val="7"/>
            <w:tcBorders>
              <w:bottom w:val="single" w:sz="4" w:space="0" w:color="auto"/>
            </w:tcBorders>
          </w:tcPr>
          <w:p w:rsidR="004946E5" w:rsidRPr="00260CE3" w:rsidRDefault="004946E5" w:rsidP="004946E5">
            <w:pPr>
              <w:rPr>
                <w:rFonts w:ascii="Arial Narrow" w:hAnsi="Arial Narrow"/>
                <w:sz w:val="20"/>
              </w:rPr>
            </w:pPr>
          </w:p>
        </w:tc>
      </w:tr>
      <w:tr w:rsidR="004946E5" w:rsidRPr="00260CE3" w:rsidTr="0018203D">
        <w:trPr>
          <w:cantSplit/>
          <w:trHeight w:val="360"/>
        </w:trPr>
        <w:tc>
          <w:tcPr>
            <w:tcW w:w="2126" w:type="dxa"/>
            <w:tcBorders>
              <w:top w:val="single" w:sz="4" w:space="0" w:color="auto"/>
              <w:left w:val="single" w:sz="4" w:space="0" w:color="auto"/>
              <w:bottom w:val="single" w:sz="4" w:space="0" w:color="auto"/>
              <w:right w:val="single" w:sz="4" w:space="0" w:color="auto"/>
            </w:tcBorders>
          </w:tcPr>
          <w:p w:rsidR="004946E5" w:rsidRPr="00260CE3" w:rsidRDefault="004946E5" w:rsidP="00862402">
            <w:pPr>
              <w:rPr>
                <w:rFonts w:ascii="Arial Narrow" w:hAnsi="Arial Narrow"/>
                <w:b/>
                <w:sz w:val="20"/>
              </w:rPr>
            </w:pPr>
            <w:r w:rsidRPr="00260CE3">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4946E5" w:rsidRPr="00260CE3" w:rsidRDefault="004946E5" w:rsidP="004946E5">
            <w:pPr>
              <w:rPr>
                <w:rFonts w:ascii="Arial Narrow" w:hAnsi="Arial Narrow"/>
                <w:sz w:val="20"/>
              </w:rPr>
            </w:pPr>
            <w:r w:rsidRPr="00260CE3">
              <w:rPr>
                <w:rFonts w:ascii="Arial Narrow" w:hAnsi="Arial Narrow"/>
                <w:sz w:val="20"/>
              </w:rPr>
              <w:t>GENERAL – General Schedule (Code GE)</w:t>
            </w:r>
          </w:p>
        </w:tc>
      </w:tr>
      <w:tr w:rsidR="004946E5" w:rsidRPr="00260CE3" w:rsidTr="0018203D">
        <w:trPr>
          <w:cantSplit/>
          <w:trHeight w:val="360"/>
        </w:trPr>
        <w:tc>
          <w:tcPr>
            <w:tcW w:w="2126" w:type="dxa"/>
            <w:tcBorders>
              <w:top w:val="single" w:sz="4" w:space="0" w:color="auto"/>
              <w:left w:val="single" w:sz="4" w:space="0" w:color="auto"/>
              <w:bottom w:val="single" w:sz="4" w:space="0" w:color="auto"/>
              <w:right w:val="single" w:sz="4" w:space="0" w:color="auto"/>
            </w:tcBorders>
          </w:tcPr>
          <w:p w:rsidR="004946E5" w:rsidRPr="00260CE3" w:rsidRDefault="004946E5" w:rsidP="00862402">
            <w:pPr>
              <w:rPr>
                <w:rFonts w:ascii="Arial Narrow" w:hAnsi="Arial Narrow"/>
                <w:b/>
                <w:sz w:val="20"/>
              </w:rPr>
            </w:pPr>
            <w:r w:rsidRPr="00260CE3">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4946E5" w:rsidRPr="00260CE3" w:rsidRDefault="004946E5" w:rsidP="004946E5">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DD756B">
              <w:rPr>
                <w:rFonts w:ascii="Arial Narrow" w:hAnsi="Arial Narrow"/>
                <w:sz w:val="20"/>
              </w:rPr>
            </w:r>
            <w:r w:rsidR="00DD756B">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DD756B">
              <w:rPr>
                <w:rFonts w:ascii="Arial Narrow" w:hAnsi="Arial Narrow"/>
                <w:sz w:val="20"/>
              </w:rPr>
            </w:r>
            <w:r w:rsidR="00DD756B">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DD756B">
              <w:rPr>
                <w:rFonts w:ascii="Arial Narrow" w:hAnsi="Arial Narrow"/>
                <w:sz w:val="20"/>
              </w:rPr>
            </w:r>
            <w:r w:rsidR="00DD756B">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DD756B">
              <w:rPr>
                <w:rFonts w:ascii="Arial Narrow" w:hAnsi="Arial Narrow"/>
                <w:sz w:val="20"/>
              </w:rPr>
            </w:r>
            <w:r w:rsidR="00DD756B">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4946E5" w:rsidRPr="00260CE3" w:rsidRDefault="004946E5" w:rsidP="004946E5">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DD756B">
              <w:rPr>
                <w:rFonts w:ascii="Arial Narrow" w:hAnsi="Arial Narrow"/>
                <w:sz w:val="20"/>
              </w:rPr>
            </w:r>
            <w:r w:rsidR="00DD756B">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4946E5" w:rsidRPr="00260CE3" w:rsidTr="0018203D">
        <w:trPr>
          <w:cantSplit/>
          <w:trHeight w:val="360"/>
        </w:trPr>
        <w:tc>
          <w:tcPr>
            <w:tcW w:w="2126" w:type="dxa"/>
            <w:tcBorders>
              <w:top w:val="single" w:sz="4" w:space="0" w:color="auto"/>
              <w:left w:val="single" w:sz="4" w:space="0" w:color="auto"/>
              <w:bottom w:val="single" w:sz="4" w:space="0" w:color="auto"/>
              <w:right w:val="single" w:sz="4" w:space="0" w:color="auto"/>
            </w:tcBorders>
          </w:tcPr>
          <w:p w:rsidR="004946E5" w:rsidRPr="00260CE3" w:rsidRDefault="004946E5" w:rsidP="004946E5">
            <w:pPr>
              <w:rPr>
                <w:rFonts w:ascii="Arial Narrow" w:hAnsi="Arial Narrow"/>
                <w:b/>
                <w:sz w:val="20"/>
              </w:rPr>
            </w:pPr>
            <w:r w:rsidRPr="00260CE3">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4946E5" w:rsidRPr="00260CE3" w:rsidRDefault="004946E5" w:rsidP="004946E5">
            <w:pPr>
              <w:rPr>
                <w:rFonts w:ascii="Arial Narrow" w:hAnsi="Arial Narrow"/>
                <w:sz w:val="20"/>
              </w:rPr>
            </w:pPr>
            <w:r>
              <w:rPr>
                <w:rFonts w:ascii="Arial Narrow" w:hAnsi="Arial Narrow"/>
                <w:sz w:val="20"/>
              </w:rPr>
              <w:t>Chronic lymphocytic leukaemia (CLL) or small lymphocytic lymphoma (SLL)</w:t>
            </w:r>
          </w:p>
        </w:tc>
      </w:tr>
      <w:tr w:rsidR="004946E5" w:rsidRPr="00260CE3" w:rsidTr="0018203D">
        <w:trPr>
          <w:cantSplit/>
          <w:trHeight w:val="360"/>
        </w:trPr>
        <w:tc>
          <w:tcPr>
            <w:tcW w:w="2126" w:type="dxa"/>
            <w:tcBorders>
              <w:top w:val="single" w:sz="4" w:space="0" w:color="auto"/>
              <w:left w:val="single" w:sz="4" w:space="0" w:color="auto"/>
              <w:bottom w:val="single" w:sz="4" w:space="0" w:color="auto"/>
              <w:right w:val="single" w:sz="4" w:space="0" w:color="auto"/>
            </w:tcBorders>
          </w:tcPr>
          <w:p w:rsidR="004946E5" w:rsidRPr="00260CE3" w:rsidRDefault="004946E5" w:rsidP="00862402">
            <w:pPr>
              <w:rPr>
                <w:rFonts w:ascii="Arial Narrow" w:hAnsi="Arial Narrow"/>
                <w:i/>
                <w:sz w:val="20"/>
              </w:rPr>
            </w:pPr>
            <w:r w:rsidRPr="00260CE3">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4946E5" w:rsidRPr="00A30CE9" w:rsidRDefault="004946E5" w:rsidP="004946E5">
            <w:pPr>
              <w:rPr>
                <w:rFonts w:ascii="Arial Narrow" w:hAnsi="Arial Narrow"/>
                <w:strike/>
                <w:sz w:val="20"/>
              </w:rPr>
            </w:pPr>
            <w:r w:rsidRPr="00A30CE9">
              <w:rPr>
                <w:rFonts w:ascii="Arial Narrow" w:hAnsi="Arial Narrow"/>
                <w:strike/>
                <w:sz w:val="20"/>
              </w:rPr>
              <w:t>Initial and continuing treatment</w:t>
            </w:r>
          </w:p>
        </w:tc>
      </w:tr>
      <w:tr w:rsidR="004946E5" w:rsidRPr="00260CE3" w:rsidTr="0018203D">
        <w:trPr>
          <w:cantSplit/>
          <w:trHeight w:val="360"/>
        </w:trPr>
        <w:tc>
          <w:tcPr>
            <w:tcW w:w="2126" w:type="dxa"/>
            <w:tcBorders>
              <w:top w:val="single" w:sz="4" w:space="0" w:color="auto"/>
              <w:left w:val="single" w:sz="4" w:space="0" w:color="auto"/>
              <w:bottom w:val="single" w:sz="4" w:space="0" w:color="auto"/>
              <w:right w:val="single" w:sz="4" w:space="0" w:color="auto"/>
            </w:tcBorders>
          </w:tcPr>
          <w:p w:rsidR="004946E5" w:rsidRPr="00A30CE9" w:rsidRDefault="004946E5" w:rsidP="004946E5">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6379" w:type="dxa"/>
            <w:gridSpan w:val="6"/>
            <w:tcBorders>
              <w:top w:val="single" w:sz="4" w:space="0" w:color="auto"/>
              <w:left w:val="single" w:sz="4" w:space="0" w:color="auto"/>
              <w:bottom w:val="single" w:sz="4" w:space="0" w:color="auto"/>
              <w:right w:val="single" w:sz="4" w:space="0" w:color="auto"/>
            </w:tcBorders>
          </w:tcPr>
          <w:p w:rsidR="004946E5" w:rsidRPr="00106BCF" w:rsidRDefault="004946E5" w:rsidP="004946E5">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DD756B">
              <w:rPr>
                <w:rFonts w:ascii="Arial Narrow" w:hAnsi="Arial Narrow"/>
                <w:sz w:val="20"/>
              </w:rPr>
            </w:r>
            <w:r w:rsidR="00DD756B">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4946E5" w:rsidRPr="00106BCF" w:rsidRDefault="004946E5" w:rsidP="004946E5">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DD756B">
              <w:rPr>
                <w:rFonts w:ascii="Arial Narrow" w:hAnsi="Arial Narrow"/>
                <w:sz w:val="20"/>
              </w:rPr>
            </w:r>
            <w:r w:rsidR="00DD756B">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4946E5" w:rsidRPr="00106BCF" w:rsidRDefault="004946E5" w:rsidP="004946E5">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DD756B">
              <w:rPr>
                <w:rFonts w:ascii="Arial Narrow" w:hAnsi="Arial Narrow"/>
                <w:sz w:val="20"/>
              </w:rPr>
            </w:r>
            <w:r w:rsidR="00DD756B">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4946E5" w:rsidRPr="00106BCF" w:rsidRDefault="004946E5" w:rsidP="004946E5">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DD756B">
              <w:rPr>
                <w:rFonts w:ascii="Arial Narrow" w:hAnsi="Arial Narrow"/>
                <w:sz w:val="20"/>
              </w:rPr>
            </w:r>
            <w:r w:rsidR="00DD756B">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4946E5" w:rsidRPr="00106BCF" w:rsidRDefault="004946E5" w:rsidP="004946E5">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DD756B">
              <w:rPr>
                <w:rFonts w:ascii="Arial Narrow" w:hAnsi="Arial Narrow"/>
                <w:sz w:val="20"/>
              </w:rPr>
            </w:r>
            <w:r w:rsidR="00DD756B">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4946E5" w:rsidRPr="00260CE3" w:rsidRDefault="004946E5" w:rsidP="004946E5">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DD756B">
              <w:rPr>
                <w:rFonts w:ascii="Arial Narrow" w:hAnsi="Arial Narrow"/>
                <w:sz w:val="20"/>
              </w:rPr>
            </w:r>
            <w:r w:rsidR="00DD756B">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4946E5" w:rsidRPr="00260CE3" w:rsidTr="0018203D">
        <w:trPr>
          <w:cantSplit/>
          <w:trHeight w:val="360"/>
        </w:trPr>
        <w:tc>
          <w:tcPr>
            <w:tcW w:w="2126" w:type="dxa"/>
            <w:tcBorders>
              <w:top w:val="single" w:sz="4" w:space="0" w:color="auto"/>
              <w:left w:val="single" w:sz="4" w:space="0" w:color="auto"/>
              <w:bottom w:val="single" w:sz="4" w:space="0" w:color="auto"/>
              <w:right w:val="single" w:sz="4" w:space="0" w:color="auto"/>
            </w:tcBorders>
          </w:tcPr>
          <w:p w:rsidR="004946E5" w:rsidRPr="00175A78" w:rsidRDefault="004946E5" w:rsidP="004946E5">
            <w:pPr>
              <w:rPr>
                <w:rFonts w:ascii="Arial Narrow" w:hAnsi="Arial Narrow"/>
                <w:b/>
                <w:sz w:val="20"/>
              </w:rPr>
            </w:pPr>
            <w:r w:rsidRPr="00260CE3">
              <w:rPr>
                <w:rFonts w:ascii="Arial Narrow" w:hAnsi="Arial Narrow"/>
                <w:b/>
                <w:sz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4946E5" w:rsidRDefault="004946E5" w:rsidP="004946E5">
            <w:pPr>
              <w:rPr>
                <w:rFonts w:ascii="Arial Narrow" w:hAnsi="Arial Narrow"/>
                <w:i/>
                <w:sz w:val="20"/>
              </w:rPr>
            </w:pPr>
            <w:r w:rsidRPr="00E67068">
              <w:rPr>
                <w:rFonts w:ascii="Arial Narrow" w:hAnsi="Arial Narrow"/>
                <w:i/>
                <w:sz w:val="20"/>
              </w:rPr>
              <w:t>The treatment must b</w:t>
            </w:r>
            <w:r>
              <w:rPr>
                <w:rFonts w:ascii="Arial Narrow" w:hAnsi="Arial Narrow"/>
                <w:i/>
                <w:sz w:val="20"/>
              </w:rPr>
              <w:t>e</w:t>
            </w:r>
            <w:r w:rsidR="00250AF3">
              <w:rPr>
                <w:rFonts w:ascii="Arial Narrow" w:hAnsi="Arial Narrow"/>
                <w:i/>
                <w:sz w:val="20"/>
              </w:rPr>
              <w:t xml:space="preserve"> in combination with rituximab;</w:t>
            </w:r>
          </w:p>
          <w:p w:rsidR="004946E5" w:rsidRDefault="004946E5" w:rsidP="004946E5">
            <w:pPr>
              <w:rPr>
                <w:rFonts w:ascii="Arial Narrow" w:hAnsi="Arial Narrow"/>
                <w:i/>
                <w:sz w:val="20"/>
              </w:rPr>
            </w:pPr>
          </w:p>
          <w:p w:rsidR="004946E5" w:rsidRDefault="00250AF3" w:rsidP="004946E5">
            <w:pPr>
              <w:rPr>
                <w:rFonts w:ascii="Arial Narrow" w:hAnsi="Arial Narrow"/>
                <w:i/>
                <w:sz w:val="20"/>
              </w:rPr>
            </w:pPr>
            <w:r>
              <w:rPr>
                <w:rFonts w:ascii="Arial Narrow" w:hAnsi="Arial Narrow"/>
                <w:i/>
                <w:sz w:val="20"/>
              </w:rPr>
              <w:t>AND</w:t>
            </w:r>
          </w:p>
          <w:p w:rsidR="004946E5" w:rsidRDefault="004946E5" w:rsidP="004946E5">
            <w:pPr>
              <w:rPr>
                <w:rFonts w:ascii="Arial Narrow" w:hAnsi="Arial Narrow"/>
                <w:i/>
                <w:sz w:val="20"/>
              </w:rPr>
            </w:pPr>
          </w:p>
          <w:p w:rsidR="004946E5" w:rsidRDefault="004946E5" w:rsidP="004946E5">
            <w:pPr>
              <w:rPr>
                <w:rFonts w:ascii="Arial Narrow" w:hAnsi="Arial Narrow"/>
                <w:i/>
                <w:sz w:val="20"/>
              </w:rPr>
            </w:pPr>
            <w:r>
              <w:rPr>
                <w:rFonts w:ascii="Arial Narrow" w:hAnsi="Arial Narrow"/>
                <w:i/>
                <w:sz w:val="20"/>
              </w:rPr>
              <w:t>The condition must have relapsed or be refract</w:t>
            </w:r>
            <w:r w:rsidR="00250AF3">
              <w:rPr>
                <w:rFonts w:ascii="Arial Narrow" w:hAnsi="Arial Narrow"/>
                <w:i/>
                <w:sz w:val="20"/>
              </w:rPr>
              <w:t>ory after at least one therapy;</w:t>
            </w:r>
          </w:p>
          <w:p w:rsidR="004946E5" w:rsidRDefault="004946E5" w:rsidP="004946E5">
            <w:pPr>
              <w:rPr>
                <w:rFonts w:ascii="Arial Narrow" w:hAnsi="Arial Narrow"/>
                <w:i/>
                <w:sz w:val="20"/>
              </w:rPr>
            </w:pPr>
          </w:p>
          <w:p w:rsidR="004946E5" w:rsidRDefault="00250AF3" w:rsidP="004946E5">
            <w:pPr>
              <w:rPr>
                <w:rFonts w:ascii="Arial Narrow" w:hAnsi="Arial Narrow"/>
                <w:i/>
                <w:sz w:val="20"/>
              </w:rPr>
            </w:pPr>
            <w:r>
              <w:rPr>
                <w:rFonts w:ascii="Arial Narrow" w:hAnsi="Arial Narrow"/>
                <w:i/>
                <w:sz w:val="20"/>
              </w:rPr>
              <w:t>AND</w:t>
            </w:r>
          </w:p>
          <w:p w:rsidR="004946E5" w:rsidRDefault="004946E5" w:rsidP="004946E5">
            <w:pPr>
              <w:rPr>
                <w:rFonts w:ascii="Arial Narrow" w:hAnsi="Arial Narrow"/>
                <w:i/>
                <w:sz w:val="20"/>
              </w:rPr>
            </w:pPr>
          </w:p>
          <w:p w:rsidR="004946E5" w:rsidRDefault="004946E5" w:rsidP="004946E5">
            <w:pPr>
              <w:rPr>
                <w:rFonts w:ascii="Arial Narrow" w:hAnsi="Arial Narrow"/>
                <w:i/>
                <w:sz w:val="20"/>
              </w:rPr>
            </w:pPr>
            <w:r w:rsidRPr="00114E63">
              <w:rPr>
                <w:rFonts w:ascii="Arial Narrow" w:hAnsi="Arial Narrow"/>
                <w:i/>
                <w:sz w:val="20"/>
              </w:rPr>
              <w:t>Patient must have a total cumulative illness rating scale (CIRS) score of greater than 6 (excluding CLL-induced illness or organ damage)</w:t>
            </w:r>
            <w:r w:rsidR="00250AF3">
              <w:rPr>
                <w:rFonts w:ascii="Arial Narrow" w:hAnsi="Arial Narrow"/>
                <w:i/>
                <w:sz w:val="20"/>
              </w:rPr>
              <w:t>;</w:t>
            </w:r>
          </w:p>
          <w:p w:rsidR="004946E5" w:rsidRDefault="004946E5" w:rsidP="004946E5">
            <w:pPr>
              <w:rPr>
                <w:rFonts w:ascii="Arial Narrow" w:hAnsi="Arial Narrow"/>
                <w:i/>
                <w:sz w:val="20"/>
              </w:rPr>
            </w:pPr>
          </w:p>
          <w:p w:rsidR="004946E5" w:rsidRDefault="004946E5" w:rsidP="004946E5">
            <w:pPr>
              <w:rPr>
                <w:rFonts w:ascii="Arial Narrow" w:hAnsi="Arial Narrow"/>
                <w:i/>
                <w:sz w:val="20"/>
              </w:rPr>
            </w:pPr>
            <w:r>
              <w:rPr>
                <w:rFonts w:ascii="Arial Narrow" w:hAnsi="Arial Narrow"/>
                <w:i/>
                <w:sz w:val="20"/>
              </w:rPr>
              <w:t>AND</w:t>
            </w:r>
          </w:p>
          <w:p w:rsidR="004946E5" w:rsidRDefault="004946E5" w:rsidP="004946E5">
            <w:pPr>
              <w:rPr>
                <w:rFonts w:ascii="Arial Narrow" w:hAnsi="Arial Narrow"/>
                <w:i/>
                <w:sz w:val="20"/>
              </w:rPr>
            </w:pPr>
          </w:p>
          <w:p w:rsidR="004946E5" w:rsidRPr="00175A78" w:rsidRDefault="004946E5" w:rsidP="004946E5">
            <w:pPr>
              <w:rPr>
                <w:rFonts w:ascii="Arial Narrow" w:hAnsi="Arial Narrow"/>
                <w:sz w:val="20"/>
              </w:rPr>
            </w:pPr>
            <w:r>
              <w:rPr>
                <w:rFonts w:ascii="Arial Narrow" w:hAnsi="Arial Narrow"/>
                <w:i/>
                <w:sz w:val="20"/>
              </w:rPr>
              <w:t xml:space="preserve">Patient must be inappropriate for chemo-immunotherapy </w:t>
            </w:r>
          </w:p>
        </w:tc>
      </w:tr>
      <w:tr w:rsidR="004946E5" w:rsidRPr="00260CE3" w:rsidTr="0018203D">
        <w:trPr>
          <w:cantSplit/>
          <w:trHeight w:val="360"/>
        </w:trPr>
        <w:tc>
          <w:tcPr>
            <w:tcW w:w="2126" w:type="dxa"/>
            <w:tcBorders>
              <w:top w:val="single" w:sz="4" w:space="0" w:color="auto"/>
              <w:left w:val="single" w:sz="4" w:space="0" w:color="auto"/>
              <w:bottom w:val="single" w:sz="4" w:space="0" w:color="auto"/>
              <w:right w:val="single" w:sz="4" w:space="0" w:color="auto"/>
            </w:tcBorders>
          </w:tcPr>
          <w:p w:rsidR="004946E5" w:rsidRPr="00175A78" w:rsidRDefault="004946E5" w:rsidP="004946E5">
            <w:pPr>
              <w:rPr>
                <w:rFonts w:ascii="Arial Narrow" w:hAnsi="Arial Narrow"/>
                <w:b/>
                <w:sz w:val="20"/>
              </w:rPr>
            </w:pPr>
            <w:r w:rsidRPr="00260CE3">
              <w:rPr>
                <w:rFonts w:ascii="Arial Narrow" w:hAnsi="Arial Narrow"/>
                <w:b/>
                <w:sz w:val="20"/>
              </w:rPr>
              <w:lastRenderedPageBreak/>
              <w:t>Prescriber Instructions</w:t>
            </w:r>
          </w:p>
        </w:tc>
        <w:tc>
          <w:tcPr>
            <w:tcW w:w="6379" w:type="dxa"/>
            <w:gridSpan w:val="6"/>
            <w:tcBorders>
              <w:top w:val="single" w:sz="4" w:space="0" w:color="auto"/>
              <w:left w:val="single" w:sz="4" w:space="0" w:color="auto"/>
              <w:bottom w:val="single" w:sz="4" w:space="0" w:color="auto"/>
              <w:right w:val="single" w:sz="4" w:space="0" w:color="auto"/>
            </w:tcBorders>
          </w:tcPr>
          <w:p w:rsidR="004946E5" w:rsidRDefault="004946E5" w:rsidP="004946E5">
            <w:pPr>
              <w:rPr>
                <w:rFonts w:ascii="Arial Narrow" w:hAnsi="Arial Narrow"/>
                <w:i/>
                <w:sz w:val="20"/>
              </w:rPr>
            </w:pPr>
            <w:r>
              <w:rPr>
                <w:rFonts w:ascii="Arial Narrow" w:hAnsi="Arial Narrow"/>
                <w:i/>
                <w:sz w:val="20"/>
              </w:rPr>
              <w:t>A patient is inappropriate for chemo-immunotherapy because of one or more of the following:</w:t>
            </w:r>
          </w:p>
          <w:p w:rsidR="004946E5" w:rsidRDefault="004946E5" w:rsidP="004946E5">
            <w:pPr>
              <w:widowControl/>
              <w:numPr>
                <w:ilvl w:val="0"/>
                <w:numId w:val="63"/>
              </w:numPr>
              <w:jc w:val="left"/>
              <w:rPr>
                <w:rFonts w:ascii="Arial Narrow" w:hAnsi="Arial Narrow"/>
                <w:i/>
                <w:sz w:val="20"/>
              </w:rPr>
            </w:pPr>
            <w:r>
              <w:rPr>
                <w:rFonts w:ascii="Arial Narrow" w:hAnsi="Arial Narrow"/>
                <w:i/>
                <w:sz w:val="20"/>
              </w:rPr>
              <w:t>Severe neutropenia; or</w:t>
            </w:r>
          </w:p>
          <w:p w:rsidR="004946E5" w:rsidRDefault="004946E5" w:rsidP="004946E5">
            <w:pPr>
              <w:widowControl/>
              <w:numPr>
                <w:ilvl w:val="0"/>
                <w:numId w:val="63"/>
              </w:numPr>
              <w:jc w:val="left"/>
              <w:rPr>
                <w:rFonts w:ascii="Arial Narrow" w:hAnsi="Arial Narrow"/>
                <w:i/>
                <w:sz w:val="20"/>
              </w:rPr>
            </w:pPr>
            <w:r>
              <w:rPr>
                <w:rFonts w:ascii="Arial Narrow" w:hAnsi="Arial Narrow"/>
                <w:i/>
                <w:sz w:val="20"/>
              </w:rPr>
              <w:t xml:space="preserve">Severe thrombocytopenia; or </w:t>
            </w:r>
          </w:p>
          <w:p w:rsidR="004946E5" w:rsidRDefault="004946E5" w:rsidP="004946E5">
            <w:pPr>
              <w:widowControl/>
              <w:numPr>
                <w:ilvl w:val="0"/>
                <w:numId w:val="63"/>
              </w:numPr>
              <w:jc w:val="left"/>
              <w:rPr>
                <w:rFonts w:ascii="Arial Narrow" w:hAnsi="Arial Narrow"/>
                <w:i/>
                <w:sz w:val="20"/>
              </w:rPr>
            </w:pPr>
            <w:r>
              <w:rPr>
                <w:rFonts w:ascii="Arial Narrow" w:hAnsi="Arial Narrow"/>
                <w:i/>
                <w:sz w:val="20"/>
              </w:rPr>
              <w:t>Presence of 17p deletion; or</w:t>
            </w:r>
          </w:p>
          <w:p w:rsidR="004946E5" w:rsidRPr="00433DAD" w:rsidRDefault="004946E5" w:rsidP="004946E5">
            <w:pPr>
              <w:widowControl/>
              <w:numPr>
                <w:ilvl w:val="0"/>
                <w:numId w:val="63"/>
              </w:numPr>
              <w:jc w:val="left"/>
              <w:rPr>
                <w:rFonts w:ascii="Arial Narrow" w:hAnsi="Arial Narrow"/>
                <w:i/>
                <w:sz w:val="20"/>
              </w:rPr>
            </w:pPr>
            <w:r w:rsidRPr="00433DAD">
              <w:rPr>
                <w:rFonts w:ascii="Arial Narrow" w:hAnsi="Arial Narrow"/>
                <w:i/>
                <w:sz w:val="20"/>
              </w:rPr>
              <w:t>Presence of TP53 mutation.</w:t>
            </w:r>
          </w:p>
        </w:tc>
      </w:tr>
      <w:tr w:rsidR="004946E5" w:rsidRPr="00260CE3" w:rsidTr="0018203D">
        <w:trPr>
          <w:cantSplit/>
          <w:trHeight w:val="360"/>
        </w:trPr>
        <w:tc>
          <w:tcPr>
            <w:tcW w:w="2126" w:type="dxa"/>
            <w:tcBorders>
              <w:top w:val="single" w:sz="4" w:space="0" w:color="auto"/>
              <w:left w:val="single" w:sz="4" w:space="0" w:color="auto"/>
              <w:bottom w:val="single" w:sz="4" w:space="0" w:color="auto"/>
              <w:right w:val="single" w:sz="4" w:space="0" w:color="auto"/>
            </w:tcBorders>
          </w:tcPr>
          <w:p w:rsidR="004946E5" w:rsidRPr="00260CE3" w:rsidRDefault="004946E5" w:rsidP="00862402">
            <w:pPr>
              <w:rPr>
                <w:rFonts w:ascii="Arial Narrow" w:hAnsi="Arial Narrow"/>
                <w:i/>
                <w:sz w:val="20"/>
              </w:rPr>
            </w:pPr>
            <w:r w:rsidRPr="00260CE3">
              <w:rPr>
                <w:rFonts w:ascii="Arial Narrow" w:hAnsi="Arial Narrow"/>
                <w:b/>
                <w:sz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4946E5" w:rsidRDefault="004946E5" w:rsidP="004946E5">
            <w:pPr>
              <w:rPr>
                <w:rFonts w:ascii="Arial Narrow" w:hAnsi="Arial Narrow"/>
                <w:sz w:val="20"/>
              </w:rPr>
            </w:pPr>
            <w:r>
              <w:rPr>
                <w:rFonts w:ascii="Arial Narrow" w:hAnsi="Arial Narrow"/>
                <w:sz w:val="20"/>
              </w:rPr>
              <w:t>Severe neutropenia defined as absolute neutrophil count ≤ 1.0 x 10</w:t>
            </w:r>
            <w:r w:rsidRPr="00C31CDF">
              <w:rPr>
                <w:rFonts w:ascii="Arial Narrow" w:hAnsi="Arial Narrow"/>
                <w:sz w:val="20"/>
                <w:vertAlign w:val="superscript"/>
              </w:rPr>
              <w:t>9</w:t>
            </w:r>
            <w:r>
              <w:rPr>
                <w:rFonts w:ascii="Arial Narrow" w:hAnsi="Arial Narrow"/>
                <w:sz w:val="20"/>
              </w:rPr>
              <w:t>/L</w:t>
            </w:r>
          </w:p>
          <w:p w:rsidR="004946E5" w:rsidRPr="00260CE3" w:rsidRDefault="004946E5" w:rsidP="004946E5">
            <w:pPr>
              <w:rPr>
                <w:rFonts w:ascii="Arial Narrow" w:hAnsi="Arial Narrow"/>
                <w:sz w:val="20"/>
              </w:rPr>
            </w:pPr>
            <w:r>
              <w:rPr>
                <w:rFonts w:ascii="Arial Narrow" w:hAnsi="Arial Narrow"/>
                <w:sz w:val="20"/>
              </w:rPr>
              <w:t>Severe thrombocytopenia defined as platelet count ≤ 50 x 10</w:t>
            </w:r>
            <w:r w:rsidRPr="00C31CDF">
              <w:rPr>
                <w:rFonts w:ascii="Arial Narrow" w:hAnsi="Arial Narrow"/>
                <w:sz w:val="20"/>
                <w:vertAlign w:val="superscript"/>
              </w:rPr>
              <w:t>9</w:t>
            </w:r>
            <w:r>
              <w:rPr>
                <w:rFonts w:ascii="Arial Narrow" w:hAnsi="Arial Narrow"/>
                <w:sz w:val="20"/>
              </w:rPr>
              <w:t>/L</w:t>
            </w:r>
          </w:p>
        </w:tc>
      </w:tr>
    </w:tbl>
    <w:p w:rsidR="004946E5" w:rsidRPr="00862402" w:rsidRDefault="004946E5" w:rsidP="00862402">
      <w:pPr>
        <w:pStyle w:val="TableFooter"/>
        <w:widowControl/>
        <w:rPr>
          <w:rFonts w:ascii="Arial" w:hAnsi="Arial"/>
          <w:sz w:val="22"/>
          <w:szCs w:val="22"/>
        </w:rPr>
      </w:pPr>
    </w:p>
    <w:p w:rsidR="002D271D" w:rsidRPr="00805CD1" w:rsidRDefault="00CF3440" w:rsidP="00114E63">
      <w:pPr>
        <w:pStyle w:val="ListParagraph"/>
        <w:numPr>
          <w:ilvl w:val="1"/>
          <w:numId w:val="6"/>
        </w:numPr>
        <w:rPr>
          <w:szCs w:val="22"/>
        </w:rPr>
      </w:pPr>
      <w:r>
        <w:rPr>
          <w:szCs w:val="22"/>
        </w:rPr>
        <w:t>The re</w:t>
      </w:r>
      <w:r w:rsidR="002D271D" w:rsidRPr="002D271D">
        <w:rPr>
          <w:szCs w:val="22"/>
        </w:rPr>
        <w:t>submission p</w:t>
      </w:r>
      <w:r w:rsidR="00E91206">
        <w:rPr>
          <w:szCs w:val="22"/>
        </w:rPr>
        <w:t>roposed that the PBAC consider</w:t>
      </w:r>
      <w:r w:rsidR="002D271D" w:rsidRPr="002D271D">
        <w:rPr>
          <w:szCs w:val="22"/>
        </w:rPr>
        <w:t xml:space="preserve"> whether the following criterion could also be included in the proposed restriction</w:t>
      </w:r>
      <w:r w:rsidR="00304B7A">
        <w:rPr>
          <w:szCs w:val="22"/>
        </w:rPr>
        <w:t xml:space="preserve"> “or other clinical features or comorbidities that </w:t>
      </w:r>
      <w:r w:rsidR="008B7108">
        <w:rPr>
          <w:szCs w:val="22"/>
        </w:rPr>
        <w:t>make</w:t>
      </w:r>
      <w:r w:rsidR="00304B7A">
        <w:rPr>
          <w:szCs w:val="22"/>
        </w:rPr>
        <w:t xml:space="preserve"> patient</w:t>
      </w:r>
      <w:r w:rsidR="008B7108">
        <w:rPr>
          <w:szCs w:val="22"/>
        </w:rPr>
        <w:t>s</w:t>
      </w:r>
      <w:r w:rsidR="00304B7A">
        <w:rPr>
          <w:szCs w:val="22"/>
        </w:rPr>
        <w:t xml:space="preserve"> inappropriate for chemotherapy”. This</w:t>
      </w:r>
      <w:r w:rsidR="00304B7A" w:rsidRPr="002D271D">
        <w:rPr>
          <w:szCs w:val="22"/>
        </w:rPr>
        <w:t xml:space="preserve"> criterion was added </w:t>
      </w:r>
      <w:r w:rsidR="00BB180F">
        <w:rPr>
          <w:szCs w:val="22"/>
        </w:rPr>
        <w:t xml:space="preserve">by the resubmission </w:t>
      </w:r>
      <w:r w:rsidR="00304B7A" w:rsidRPr="002D271D">
        <w:rPr>
          <w:szCs w:val="22"/>
        </w:rPr>
        <w:t xml:space="preserve">to ensure all patients who </w:t>
      </w:r>
      <w:r w:rsidR="00304B7A">
        <w:rPr>
          <w:szCs w:val="22"/>
        </w:rPr>
        <w:t xml:space="preserve">would be </w:t>
      </w:r>
      <w:r w:rsidR="00304B7A" w:rsidRPr="002D271D">
        <w:rPr>
          <w:szCs w:val="22"/>
        </w:rPr>
        <w:t>inappropriate for chemo-imm</w:t>
      </w:r>
      <w:r>
        <w:rPr>
          <w:szCs w:val="22"/>
        </w:rPr>
        <w:t>unotherapy were covered. The re</w:t>
      </w:r>
      <w:r w:rsidR="00304B7A" w:rsidRPr="002D271D">
        <w:rPr>
          <w:szCs w:val="22"/>
        </w:rPr>
        <w:t xml:space="preserve">submission argued that the criteria </w:t>
      </w:r>
      <w:r w:rsidR="00304B7A" w:rsidRPr="00174DB9">
        <w:rPr>
          <w:szCs w:val="22"/>
        </w:rPr>
        <w:t xml:space="preserve">proposed by the PBAC would exclude patients who had </w:t>
      </w:r>
      <w:proofErr w:type="spellStart"/>
      <w:r w:rsidR="00304B7A" w:rsidRPr="00174DB9">
        <w:rPr>
          <w:szCs w:val="22"/>
        </w:rPr>
        <w:t>myelosuppression</w:t>
      </w:r>
      <w:proofErr w:type="spellEnd"/>
      <w:r w:rsidR="00304B7A" w:rsidRPr="00174DB9">
        <w:rPr>
          <w:szCs w:val="22"/>
        </w:rPr>
        <w:t>, adequat</w:t>
      </w:r>
      <w:r w:rsidRPr="00174DB9">
        <w:rPr>
          <w:szCs w:val="22"/>
        </w:rPr>
        <w:t>e renal function and limited co</w:t>
      </w:r>
      <w:r w:rsidR="00304B7A" w:rsidRPr="00174DB9">
        <w:rPr>
          <w:szCs w:val="22"/>
        </w:rPr>
        <w:t xml:space="preserve">morbidities. These patients were included in the clinical trial and </w:t>
      </w:r>
      <w:r w:rsidRPr="00174DB9">
        <w:rPr>
          <w:szCs w:val="22"/>
        </w:rPr>
        <w:t>according to the re</w:t>
      </w:r>
      <w:r w:rsidR="00E077AC" w:rsidRPr="00174DB9">
        <w:rPr>
          <w:szCs w:val="22"/>
        </w:rPr>
        <w:t>submission should</w:t>
      </w:r>
      <w:r w:rsidR="00304B7A" w:rsidRPr="00174DB9">
        <w:rPr>
          <w:szCs w:val="22"/>
        </w:rPr>
        <w:t xml:space="preserve"> be included in the proposed PBS population. It was unclear whether </w:t>
      </w:r>
      <w:r w:rsidR="00E91206" w:rsidRPr="00174DB9">
        <w:rPr>
          <w:szCs w:val="22"/>
        </w:rPr>
        <w:t>the proposed additional c</w:t>
      </w:r>
      <w:r w:rsidR="00304B7A" w:rsidRPr="00174DB9">
        <w:rPr>
          <w:szCs w:val="22"/>
        </w:rPr>
        <w:t>riterion would capture this specific patient population or would result in a larger proportion of patients being eligible for treatment than intended.</w:t>
      </w:r>
      <w:r w:rsidR="008502AC">
        <w:rPr>
          <w:szCs w:val="22"/>
        </w:rPr>
        <w:t xml:space="preserve"> </w:t>
      </w:r>
      <w:r w:rsidR="008502AC" w:rsidRPr="00805CD1">
        <w:rPr>
          <w:szCs w:val="22"/>
        </w:rPr>
        <w:t>The ESC noted that</w:t>
      </w:r>
      <w:r w:rsidR="00862402" w:rsidRPr="00805CD1">
        <w:rPr>
          <w:szCs w:val="22"/>
        </w:rPr>
        <w:t>, although</w:t>
      </w:r>
      <w:r w:rsidR="008502AC" w:rsidRPr="00805CD1">
        <w:rPr>
          <w:szCs w:val="22"/>
        </w:rPr>
        <w:t xml:space="preserve"> this patient group w</w:t>
      </w:r>
      <w:r w:rsidR="00862402" w:rsidRPr="00805CD1">
        <w:rPr>
          <w:szCs w:val="22"/>
        </w:rPr>
        <w:t>as</w:t>
      </w:r>
      <w:r w:rsidR="008502AC" w:rsidRPr="00805CD1">
        <w:rPr>
          <w:szCs w:val="22"/>
        </w:rPr>
        <w:t xml:space="preserve"> eligible to enter the clinical trial, </w:t>
      </w:r>
      <w:r w:rsidR="00862402" w:rsidRPr="00805CD1">
        <w:rPr>
          <w:szCs w:val="22"/>
        </w:rPr>
        <w:t xml:space="preserve">it was </w:t>
      </w:r>
      <w:r w:rsidR="008502AC" w:rsidRPr="00805CD1">
        <w:rPr>
          <w:szCs w:val="22"/>
        </w:rPr>
        <w:t xml:space="preserve">not well represented in the final population, noting that 85% of patients had a CIRS score of </w:t>
      </w:r>
      <w:r w:rsidR="00EC5689" w:rsidRPr="00805CD1">
        <w:rPr>
          <w:szCs w:val="22"/>
        </w:rPr>
        <w:t xml:space="preserve">greater </w:t>
      </w:r>
      <w:r w:rsidR="008502AC" w:rsidRPr="00805CD1">
        <w:rPr>
          <w:szCs w:val="22"/>
        </w:rPr>
        <w:t xml:space="preserve">than 6. Therefore, </w:t>
      </w:r>
      <w:r w:rsidR="00EC5689" w:rsidRPr="00805CD1">
        <w:rPr>
          <w:szCs w:val="22"/>
        </w:rPr>
        <w:t xml:space="preserve">the ESC considered that </w:t>
      </w:r>
      <w:r w:rsidR="008502AC" w:rsidRPr="00805CD1">
        <w:rPr>
          <w:szCs w:val="22"/>
        </w:rPr>
        <w:t>adding this additional statement would broaden the eligible patient pool beyond the clinical evidence provided in the submission.</w:t>
      </w:r>
    </w:p>
    <w:p w:rsidR="00CE4F4C" w:rsidRPr="00862402" w:rsidRDefault="00CE4F4C" w:rsidP="00CE4F4C">
      <w:pPr>
        <w:rPr>
          <w:szCs w:val="22"/>
        </w:rPr>
      </w:pPr>
    </w:p>
    <w:p w:rsidR="004946E5" w:rsidRPr="00805CD1" w:rsidRDefault="00CE4F4C" w:rsidP="00114E63">
      <w:pPr>
        <w:pStyle w:val="ListParagraph"/>
        <w:numPr>
          <w:ilvl w:val="1"/>
          <w:numId w:val="6"/>
        </w:numPr>
        <w:rPr>
          <w:szCs w:val="22"/>
        </w:rPr>
      </w:pPr>
      <w:r w:rsidRPr="00805CD1">
        <w:rPr>
          <w:szCs w:val="22"/>
        </w:rPr>
        <w:t>The ESC noted that patients treated with idelalisib should be treated until progression, and that this should be incorporated into the restriction wording.</w:t>
      </w:r>
    </w:p>
    <w:p w:rsidR="00CE4F4C" w:rsidRPr="00805CD1" w:rsidRDefault="00CE4F4C" w:rsidP="0018203D">
      <w:pPr>
        <w:rPr>
          <w:szCs w:val="22"/>
        </w:rPr>
      </w:pPr>
    </w:p>
    <w:p w:rsidR="00CE4F4C" w:rsidRPr="002D271D" w:rsidRDefault="00444145" w:rsidP="00114E63">
      <w:pPr>
        <w:pStyle w:val="ListParagraph"/>
        <w:numPr>
          <w:ilvl w:val="1"/>
          <w:numId w:val="6"/>
        </w:numPr>
        <w:rPr>
          <w:szCs w:val="22"/>
        </w:rPr>
      </w:pPr>
      <w:r w:rsidRPr="00805CD1">
        <w:rPr>
          <w:szCs w:val="22"/>
        </w:rPr>
        <w:t>The ESC reiterated that it is appropriate for patients to receive 8 doses of rituximab as this is reflective of clinical trial data, noting that currently only 6 doses are subsidised</w:t>
      </w:r>
      <w:r>
        <w:rPr>
          <w:i/>
          <w:szCs w:val="22"/>
        </w:rPr>
        <w:t>.</w:t>
      </w:r>
    </w:p>
    <w:p w:rsidR="002D271D" w:rsidRPr="002D271D" w:rsidRDefault="002D271D" w:rsidP="00304B7A">
      <w:pPr>
        <w:widowControl/>
        <w:rPr>
          <w:szCs w:val="22"/>
        </w:rPr>
      </w:pPr>
    </w:p>
    <w:p w:rsidR="002D271D" w:rsidRPr="00447EDB" w:rsidRDefault="002D271D" w:rsidP="00114E63">
      <w:pPr>
        <w:pStyle w:val="ListParagraph"/>
        <w:widowControl/>
        <w:numPr>
          <w:ilvl w:val="1"/>
          <w:numId w:val="6"/>
        </w:numPr>
        <w:rPr>
          <w:szCs w:val="22"/>
        </w:rPr>
      </w:pPr>
      <w:r w:rsidRPr="00843874">
        <w:rPr>
          <w:szCs w:val="22"/>
        </w:rPr>
        <w:t xml:space="preserve">The </w:t>
      </w:r>
      <w:r w:rsidR="00CF3440">
        <w:rPr>
          <w:szCs w:val="22"/>
        </w:rPr>
        <w:t>re</w:t>
      </w:r>
      <w:r w:rsidRPr="00843874">
        <w:rPr>
          <w:szCs w:val="22"/>
        </w:rPr>
        <w:t xml:space="preserve">submission presented a cost-utility analysis of idelalisib plus rituximab compared to </w:t>
      </w:r>
      <w:r>
        <w:rPr>
          <w:szCs w:val="22"/>
        </w:rPr>
        <w:t>best supportive care</w:t>
      </w:r>
      <w:r w:rsidRPr="00843874">
        <w:rPr>
          <w:szCs w:val="22"/>
        </w:rPr>
        <w:t>.</w:t>
      </w:r>
    </w:p>
    <w:p w:rsidR="001B6188" w:rsidRDefault="001B6188" w:rsidP="00497F10"/>
    <w:p w:rsidR="00EF2DE5" w:rsidRDefault="00EF2DE5" w:rsidP="00EF2DE5">
      <w:pPr>
        <w:ind w:left="709"/>
        <w:rPr>
          <w:i/>
        </w:rPr>
      </w:pPr>
      <w:r>
        <w:rPr>
          <w:i/>
        </w:rPr>
        <w:t>For more detail on PBAC’s vie</w:t>
      </w:r>
      <w:r w:rsidR="00250AF3">
        <w:rPr>
          <w:i/>
        </w:rPr>
        <w:t>w, see section 7 “PBAC outcome”.</w:t>
      </w:r>
    </w:p>
    <w:p w:rsidR="005373A8" w:rsidRDefault="005373A8" w:rsidP="001E3D25">
      <w:pPr>
        <w:spacing w:line="480" w:lineRule="auto"/>
      </w:pPr>
    </w:p>
    <w:p w:rsidR="00F338FF" w:rsidRPr="00407F2D" w:rsidRDefault="00F338FF" w:rsidP="001E3D25">
      <w:pPr>
        <w:pStyle w:val="Heading1"/>
      </w:pPr>
      <w:bookmarkStart w:id="4" w:name="_Toc430012376"/>
      <w:r w:rsidRPr="00407F2D">
        <w:t>Background</w:t>
      </w:r>
      <w:bookmarkEnd w:id="4"/>
    </w:p>
    <w:p w:rsidR="00B60939" w:rsidRPr="00882085" w:rsidRDefault="00B60939" w:rsidP="00775D14">
      <w:pPr>
        <w:keepNext/>
        <w:rPr>
          <w:szCs w:val="22"/>
        </w:rPr>
      </w:pPr>
    </w:p>
    <w:p w:rsidR="00304B7A" w:rsidRPr="00304B7A" w:rsidRDefault="00EF2DE5" w:rsidP="00775D14">
      <w:pPr>
        <w:pStyle w:val="ListParagraph"/>
        <w:keepNext/>
        <w:widowControl/>
        <w:numPr>
          <w:ilvl w:val="1"/>
          <w:numId w:val="5"/>
        </w:numPr>
        <w:rPr>
          <w:szCs w:val="22"/>
        </w:rPr>
      </w:pPr>
      <w:r>
        <w:rPr>
          <w:b/>
          <w:szCs w:val="22"/>
        </w:rPr>
        <w:t>I</w:t>
      </w:r>
      <w:r w:rsidR="002D271D">
        <w:rPr>
          <w:szCs w:val="22"/>
        </w:rPr>
        <w:t xml:space="preserve">delalisib was TGA registered on </w:t>
      </w:r>
      <w:r w:rsidR="00304B7A">
        <w:rPr>
          <w:szCs w:val="22"/>
        </w:rPr>
        <w:t xml:space="preserve">9 </w:t>
      </w:r>
      <w:r w:rsidR="002D271D">
        <w:rPr>
          <w:szCs w:val="22"/>
        </w:rPr>
        <w:t>February 2015</w:t>
      </w:r>
      <w:r w:rsidR="002D271D" w:rsidRPr="005A2B63">
        <w:rPr>
          <w:szCs w:val="22"/>
        </w:rPr>
        <w:t xml:space="preserve"> for</w:t>
      </w:r>
      <w:r w:rsidR="002D271D">
        <w:rPr>
          <w:szCs w:val="22"/>
        </w:rPr>
        <w:t xml:space="preserve"> the</w:t>
      </w:r>
      <w:r w:rsidR="002D271D" w:rsidRPr="005A2B63">
        <w:t xml:space="preserve"> </w:t>
      </w:r>
      <w:r w:rsidR="005373A8">
        <w:t>indication:</w:t>
      </w:r>
    </w:p>
    <w:p w:rsidR="002D271D" w:rsidRPr="00304B7A" w:rsidRDefault="002D271D" w:rsidP="00775D14">
      <w:pPr>
        <w:keepNext/>
        <w:widowControl/>
        <w:ind w:left="720"/>
        <w:rPr>
          <w:szCs w:val="22"/>
        </w:rPr>
      </w:pPr>
      <w:r w:rsidRPr="00304B7A">
        <w:rPr>
          <w:szCs w:val="22"/>
        </w:rPr>
        <w:t>In combination with rituximab, for the treatment of patients with chronic lymphocytic leukaemia (CLL)</w:t>
      </w:r>
      <w:r w:rsidR="00524AB7">
        <w:rPr>
          <w:szCs w:val="22"/>
        </w:rPr>
        <w:t xml:space="preserve"> </w:t>
      </w:r>
      <w:r w:rsidRPr="00304B7A">
        <w:rPr>
          <w:szCs w:val="22"/>
        </w:rPr>
        <w:t>/</w:t>
      </w:r>
      <w:r w:rsidR="0073126B">
        <w:rPr>
          <w:szCs w:val="22"/>
        </w:rPr>
        <w:t xml:space="preserve"> </w:t>
      </w:r>
      <w:r w:rsidRPr="00304B7A">
        <w:rPr>
          <w:szCs w:val="22"/>
        </w:rPr>
        <w:t>small lymphocytic lymphoma (SLL</w:t>
      </w:r>
      <w:r w:rsidR="00AF463A">
        <w:rPr>
          <w:szCs w:val="22"/>
        </w:rPr>
        <w:t xml:space="preserve">) for </w:t>
      </w:r>
      <w:proofErr w:type="gramStart"/>
      <w:r w:rsidR="00AF463A">
        <w:rPr>
          <w:szCs w:val="22"/>
        </w:rPr>
        <w:t>whom</w:t>
      </w:r>
      <w:proofErr w:type="gramEnd"/>
      <w:r w:rsidR="00AF463A">
        <w:rPr>
          <w:szCs w:val="22"/>
        </w:rPr>
        <w:t xml:space="preserve"> chemo-immunotherapy wa</w:t>
      </w:r>
      <w:r w:rsidRPr="00304B7A">
        <w:rPr>
          <w:szCs w:val="22"/>
        </w:rPr>
        <w:t>s not considered suitable, either:</w:t>
      </w:r>
    </w:p>
    <w:p w:rsidR="002D271D" w:rsidRPr="002D271D" w:rsidRDefault="0073126B" w:rsidP="00114E63">
      <w:pPr>
        <w:pStyle w:val="ListParagraph"/>
        <w:widowControl/>
        <w:numPr>
          <w:ilvl w:val="0"/>
          <w:numId w:val="12"/>
        </w:numPr>
        <w:rPr>
          <w:szCs w:val="22"/>
        </w:rPr>
      </w:pPr>
      <w:r>
        <w:rPr>
          <w:szCs w:val="22"/>
        </w:rPr>
        <w:t>u</w:t>
      </w:r>
      <w:r w:rsidR="002D271D" w:rsidRPr="002D271D">
        <w:rPr>
          <w:szCs w:val="22"/>
        </w:rPr>
        <w:t>pon relapse after at least one prior therapy; or</w:t>
      </w:r>
    </w:p>
    <w:p w:rsidR="002D271D" w:rsidRPr="00882085" w:rsidRDefault="0073126B" w:rsidP="00114E63">
      <w:pPr>
        <w:pStyle w:val="ListParagraph"/>
        <w:widowControl/>
        <w:numPr>
          <w:ilvl w:val="0"/>
          <w:numId w:val="12"/>
        </w:numPr>
        <w:rPr>
          <w:szCs w:val="22"/>
        </w:rPr>
      </w:pPr>
      <w:proofErr w:type="gramStart"/>
      <w:r>
        <w:rPr>
          <w:szCs w:val="22"/>
        </w:rPr>
        <w:t>a</w:t>
      </w:r>
      <w:r w:rsidR="002D271D" w:rsidRPr="005A2B63">
        <w:rPr>
          <w:szCs w:val="22"/>
        </w:rPr>
        <w:t>s</w:t>
      </w:r>
      <w:proofErr w:type="gramEnd"/>
      <w:r w:rsidR="002D271D" w:rsidRPr="005A2B63">
        <w:rPr>
          <w:szCs w:val="22"/>
        </w:rPr>
        <w:t xml:space="preserve"> first</w:t>
      </w:r>
      <w:r>
        <w:rPr>
          <w:szCs w:val="22"/>
        </w:rPr>
        <w:t>-</w:t>
      </w:r>
      <w:r w:rsidR="002D271D" w:rsidRPr="005A2B63">
        <w:rPr>
          <w:szCs w:val="22"/>
        </w:rPr>
        <w:t>line treatment in the presence of 17p deletion or TP53 mutation.</w:t>
      </w:r>
    </w:p>
    <w:p w:rsidR="00B60939" w:rsidRPr="001971A6" w:rsidRDefault="00B60939" w:rsidP="00577717"/>
    <w:p w:rsidR="001D112E" w:rsidRPr="002D271D" w:rsidRDefault="002D271D" w:rsidP="004B69A7">
      <w:pPr>
        <w:pStyle w:val="ListParagraph"/>
        <w:widowControl/>
        <w:numPr>
          <w:ilvl w:val="1"/>
          <w:numId w:val="5"/>
        </w:numPr>
        <w:rPr>
          <w:rStyle w:val="BodyTextChar"/>
          <w:snapToGrid w:val="0"/>
        </w:rPr>
      </w:pPr>
      <w:r>
        <w:rPr>
          <w:rStyle w:val="BodyTextChar"/>
        </w:rPr>
        <w:t>This item was previously considered at the March 2015 PBAC meeting</w:t>
      </w:r>
      <w:r w:rsidR="0042318B">
        <w:rPr>
          <w:rStyle w:val="BodyTextChar"/>
        </w:rPr>
        <w:t>.</w:t>
      </w:r>
    </w:p>
    <w:p w:rsidR="00285362" w:rsidRDefault="00285362" w:rsidP="002D271D">
      <w:pPr>
        <w:ind w:firstLine="720"/>
        <w:rPr>
          <w:rStyle w:val="CommentReference"/>
        </w:rPr>
      </w:pPr>
    </w:p>
    <w:p w:rsidR="0029025B" w:rsidRDefault="0029025B">
      <w:pPr>
        <w:widowControl/>
        <w:jc w:val="left"/>
        <w:rPr>
          <w:rFonts w:ascii="Arial Narrow" w:hAnsi="Arial Narrow"/>
          <w:b/>
          <w:bCs/>
          <w:sz w:val="20"/>
        </w:rPr>
      </w:pPr>
      <w:r>
        <w:rPr>
          <w:rFonts w:ascii="Arial Narrow" w:hAnsi="Arial Narrow"/>
          <w:sz w:val="20"/>
        </w:rPr>
        <w:br w:type="page"/>
      </w:r>
    </w:p>
    <w:p w:rsidR="0029025B" w:rsidRPr="0029025B" w:rsidRDefault="0029025B" w:rsidP="0029025B">
      <w:pPr>
        <w:pStyle w:val="Caption"/>
        <w:keepNext/>
        <w:ind w:firstLine="720"/>
        <w:rPr>
          <w:rFonts w:ascii="Arial Narrow" w:hAnsi="Arial Narrow"/>
          <w:color w:val="auto"/>
          <w:sz w:val="20"/>
          <w:szCs w:val="20"/>
        </w:rPr>
      </w:pPr>
      <w:r w:rsidRPr="0029025B">
        <w:rPr>
          <w:rFonts w:ascii="Arial Narrow" w:hAnsi="Arial Narrow"/>
          <w:color w:val="auto"/>
          <w:sz w:val="20"/>
          <w:szCs w:val="20"/>
        </w:rPr>
        <w:lastRenderedPageBreak/>
        <w:t xml:space="preserve">Table </w:t>
      </w:r>
      <w:r w:rsidRPr="0029025B">
        <w:rPr>
          <w:rFonts w:ascii="Arial Narrow" w:hAnsi="Arial Narrow"/>
          <w:color w:val="auto"/>
          <w:sz w:val="20"/>
          <w:szCs w:val="20"/>
        </w:rPr>
        <w:fldChar w:fldCharType="begin"/>
      </w:r>
      <w:r w:rsidRPr="0029025B">
        <w:rPr>
          <w:rFonts w:ascii="Arial Narrow" w:hAnsi="Arial Narrow"/>
          <w:color w:val="auto"/>
          <w:sz w:val="20"/>
          <w:szCs w:val="20"/>
        </w:rPr>
        <w:instrText xml:space="preserve"> SEQ Table \* ARABIC </w:instrText>
      </w:r>
      <w:r w:rsidRPr="0029025B">
        <w:rPr>
          <w:rFonts w:ascii="Arial Narrow" w:hAnsi="Arial Narrow"/>
          <w:color w:val="auto"/>
          <w:sz w:val="20"/>
          <w:szCs w:val="20"/>
        </w:rPr>
        <w:fldChar w:fldCharType="separate"/>
      </w:r>
      <w:r w:rsidR="00AD392C">
        <w:rPr>
          <w:rFonts w:ascii="Arial Narrow" w:hAnsi="Arial Narrow"/>
          <w:noProof/>
          <w:color w:val="auto"/>
          <w:sz w:val="20"/>
          <w:szCs w:val="20"/>
        </w:rPr>
        <w:t>1</w:t>
      </w:r>
      <w:r w:rsidRPr="0029025B">
        <w:rPr>
          <w:rFonts w:ascii="Arial Narrow" w:hAnsi="Arial Narrow"/>
          <w:color w:val="auto"/>
          <w:sz w:val="20"/>
          <w:szCs w:val="20"/>
        </w:rPr>
        <w:fldChar w:fldCharType="end"/>
      </w:r>
      <w:r w:rsidRPr="0029025B">
        <w:rPr>
          <w:rFonts w:ascii="Arial Narrow" w:hAnsi="Arial Narrow"/>
          <w:color w:val="auto"/>
          <w:sz w:val="20"/>
          <w:szCs w:val="20"/>
        </w:rPr>
        <w:t>: Summary of the previous submission and current resubmission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Comparison of previous submission and current resubmission"/>
      </w:tblPr>
      <w:tblGrid>
        <w:gridCol w:w="966"/>
        <w:gridCol w:w="3994"/>
        <w:gridCol w:w="3385"/>
      </w:tblGrid>
      <w:tr w:rsidR="00BE776F" w:rsidRPr="005373A8" w:rsidTr="00A34711">
        <w:trPr>
          <w:cantSplit/>
          <w:trHeight w:val="20"/>
          <w:tblHeader/>
        </w:trPr>
        <w:tc>
          <w:tcPr>
            <w:tcW w:w="579" w:type="pct"/>
          </w:tcPr>
          <w:p w:rsidR="002D271D" w:rsidRPr="005373A8" w:rsidRDefault="002D271D" w:rsidP="002D271D">
            <w:pPr>
              <w:jc w:val="left"/>
              <w:rPr>
                <w:rFonts w:ascii="Arial Narrow" w:hAnsi="Arial Narrow"/>
                <w:sz w:val="19"/>
                <w:szCs w:val="19"/>
              </w:rPr>
            </w:pPr>
          </w:p>
        </w:tc>
        <w:tc>
          <w:tcPr>
            <w:tcW w:w="2393" w:type="pct"/>
            <w:vAlign w:val="center"/>
          </w:tcPr>
          <w:p w:rsidR="002D271D" w:rsidRPr="005373A8" w:rsidRDefault="00BE776F" w:rsidP="002D271D">
            <w:pPr>
              <w:jc w:val="center"/>
              <w:rPr>
                <w:rFonts w:ascii="Arial Narrow" w:hAnsi="Arial Narrow"/>
                <w:b/>
                <w:sz w:val="19"/>
                <w:szCs w:val="19"/>
              </w:rPr>
            </w:pPr>
            <w:r w:rsidRPr="005373A8">
              <w:rPr>
                <w:rFonts w:ascii="Arial Narrow" w:hAnsi="Arial Narrow"/>
                <w:b/>
                <w:sz w:val="19"/>
                <w:szCs w:val="19"/>
              </w:rPr>
              <w:t>I</w:t>
            </w:r>
            <w:r w:rsidR="002D271D" w:rsidRPr="005373A8">
              <w:rPr>
                <w:rFonts w:ascii="Arial Narrow" w:hAnsi="Arial Narrow"/>
                <w:b/>
                <w:sz w:val="19"/>
                <w:szCs w:val="19"/>
              </w:rPr>
              <w:t>delalisib March 2015</w:t>
            </w:r>
          </w:p>
        </w:tc>
        <w:tc>
          <w:tcPr>
            <w:tcW w:w="2028" w:type="pct"/>
            <w:vAlign w:val="center"/>
          </w:tcPr>
          <w:p w:rsidR="002D271D" w:rsidRPr="005373A8" w:rsidRDefault="00CF3440" w:rsidP="002D271D">
            <w:pPr>
              <w:jc w:val="center"/>
              <w:rPr>
                <w:rFonts w:ascii="Arial Narrow" w:hAnsi="Arial Narrow"/>
                <w:b/>
                <w:sz w:val="19"/>
                <w:szCs w:val="19"/>
              </w:rPr>
            </w:pPr>
            <w:r w:rsidRPr="005373A8">
              <w:rPr>
                <w:rFonts w:ascii="Arial Narrow" w:hAnsi="Arial Narrow"/>
                <w:b/>
                <w:sz w:val="19"/>
                <w:szCs w:val="19"/>
              </w:rPr>
              <w:t>Current re</w:t>
            </w:r>
            <w:r w:rsidR="002D271D" w:rsidRPr="005373A8">
              <w:rPr>
                <w:rFonts w:ascii="Arial Narrow" w:hAnsi="Arial Narrow"/>
                <w:b/>
                <w:sz w:val="19"/>
                <w:szCs w:val="19"/>
              </w:rPr>
              <w:t>submission</w:t>
            </w:r>
          </w:p>
        </w:tc>
      </w:tr>
      <w:tr w:rsidR="00BE776F" w:rsidRPr="005373A8" w:rsidTr="00A34711">
        <w:trPr>
          <w:cantSplit/>
          <w:trHeight w:val="20"/>
        </w:trPr>
        <w:tc>
          <w:tcPr>
            <w:tcW w:w="579" w:type="pct"/>
          </w:tcPr>
          <w:p w:rsidR="002D271D" w:rsidRPr="005373A8" w:rsidRDefault="002D271D" w:rsidP="002D271D">
            <w:pPr>
              <w:jc w:val="left"/>
              <w:rPr>
                <w:rFonts w:ascii="Arial Narrow" w:hAnsi="Arial Narrow"/>
                <w:sz w:val="19"/>
                <w:szCs w:val="19"/>
              </w:rPr>
            </w:pPr>
            <w:r w:rsidRPr="005373A8">
              <w:rPr>
                <w:rFonts w:ascii="Arial Narrow" w:hAnsi="Arial Narrow"/>
                <w:sz w:val="19"/>
                <w:szCs w:val="19"/>
              </w:rPr>
              <w:t>Requested PBS listing</w:t>
            </w:r>
          </w:p>
        </w:tc>
        <w:tc>
          <w:tcPr>
            <w:tcW w:w="2393" w:type="pct"/>
          </w:tcPr>
          <w:p w:rsidR="002D271D" w:rsidRPr="005373A8" w:rsidRDefault="002D271D" w:rsidP="002D271D">
            <w:pPr>
              <w:pStyle w:val="Tabletext"/>
            </w:pPr>
            <w:r w:rsidRPr="005373A8">
              <w:t>Patients with CLL who have progressive disease despite previous treatment.</w:t>
            </w:r>
          </w:p>
          <w:p w:rsidR="002D271D" w:rsidRPr="00250AF3" w:rsidRDefault="002D271D" w:rsidP="00250AF3">
            <w:pPr>
              <w:ind w:left="-2"/>
              <w:jc w:val="left"/>
              <w:rPr>
                <w:rFonts w:ascii="Arial Narrow" w:hAnsi="Arial Narrow"/>
                <w:sz w:val="19"/>
                <w:szCs w:val="19"/>
              </w:rPr>
            </w:pPr>
          </w:p>
          <w:p w:rsidR="002D271D" w:rsidRPr="005373A8" w:rsidRDefault="002D271D" w:rsidP="00304B7A">
            <w:pPr>
              <w:pStyle w:val="Tabletext"/>
            </w:pPr>
            <w:r w:rsidRPr="005373A8">
              <w:rPr>
                <w:b/>
              </w:rPr>
              <w:t>PBAC Comment</w:t>
            </w:r>
            <w:r w:rsidRPr="005373A8">
              <w:t>: The restriction was inconsistent with the clinical evidence provided, did not align with the indication proposed by ACPM and TGA, and should include SLL due to biological similarity (2.2). The patient inclusion criteria w</w:t>
            </w:r>
            <w:r w:rsidR="00304B7A" w:rsidRPr="005373A8">
              <w:t>ere</w:t>
            </w:r>
            <w:r w:rsidRPr="005373A8">
              <w:t xml:space="preserve"> too broad.</w:t>
            </w:r>
          </w:p>
        </w:tc>
        <w:tc>
          <w:tcPr>
            <w:tcW w:w="2028" w:type="pct"/>
          </w:tcPr>
          <w:p w:rsidR="002D271D" w:rsidRPr="005373A8" w:rsidRDefault="002D271D" w:rsidP="002D271D">
            <w:pPr>
              <w:pStyle w:val="Tabletext"/>
            </w:pPr>
            <w:r w:rsidRPr="005373A8">
              <w:t>Section 85 Authority Required (STREAMLINED) for the treatment of CLL or SLL</w:t>
            </w:r>
            <w:r w:rsidR="00AF463A" w:rsidRPr="005373A8">
              <w:t xml:space="preserve"> that wa</w:t>
            </w:r>
            <w:r w:rsidRPr="005373A8">
              <w:t>s relapsed or refractory after at least one therapy. Administer idelalisib in combination with rituximab</w:t>
            </w:r>
          </w:p>
        </w:tc>
      </w:tr>
      <w:tr w:rsidR="00BE776F" w:rsidRPr="005373A8" w:rsidTr="00A34711">
        <w:trPr>
          <w:cantSplit/>
          <w:trHeight w:val="20"/>
        </w:trPr>
        <w:tc>
          <w:tcPr>
            <w:tcW w:w="579" w:type="pct"/>
          </w:tcPr>
          <w:p w:rsidR="002D271D" w:rsidRPr="005373A8" w:rsidRDefault="002D271D" w:rsidP="002D271D">
            <w:pPr>
              <w:jc w:val="left"/>
              <w:rPr>
                <w:rFonts w:ascii="Arial Narrow" w:hAnsi="Arial Narrow"/>
                <w:sz w:val="19"/>
                <w:szCs w:val="19"/>
              </w:rPr>
            </w:pPr>
            <w:r w:rsidRPr="005373A8">
              <w:rPr>
                <w:rFonts w:ascii="Arial Narrow" w:hAnsi="Arial Narrow"/>
                <w:sz w:val="19"/>
                <w:szCs w:val="19"/>
              </w:rPr>
              <w:t>Requested price</w:t>
            </w:r>
          </w:p>
        </w:tc>
        <w:tc>
          <w:tcPr>
            <w:tcW w:w="2393" w:type="pct"/>
          </w:tcPr>
          <w:p w:rsidR="002D271D" w:rsidRPr="005373A8" w:rsidRDefault="002D271D" w:rsidP="002D271D">
            <w:pPr>
              <w:pStyle w:val="Tabletext"/>
            </w:pPr>
            <w:r w:rsidRPr="005373A8">
              <w:t>DPMQ: $</w:t>
            </w:r>
            <w:r w:rsidR="006D3878">
              <w:rPr>
                <w:noProof/>
                <w:color w:val="000000"/>
                <w:highlight w:val="black"/>
              </w:rPr>
              <w:t>'''''''''''''''''''''</w:t>
            </w:r>
          </w:p>
          <w:p w:rsidR="002D271D" w:rsidRPr="005373A8" w:rsidRDefault="002D271D" w:rsidP="002D271D">
            <w:pPr>
              <w:pStyle w:val="Tabletext"/>
            </w:pPr>
            <w:r w:rsidRPr="005373A8">
              <w:t>Effective: $</w:t>
            </w:r>
            <w:r w:rsidR="006D3878">
              <w:rPr>
                <w:noProof/>
                <w:color w:val="000000"/>
                <w:highlight w:val="black"/>
              </w:rPr>
              <w:t>'''''''''''''''''''''''</w:t>
            </w:r>
          </w:p>
        </w:tc>
        <w:tc>
          <w:tcPr>
            <w:tcW w:w="2028" w:type="pct"/>
          </w:tcPr>
          <w:p w:rsidR="002D271D" w:rsidRPr="005373A8" w:rsidRDefault="002D271D" w:rsidP="002D271D">
            <w:pPr>
              <w:pStyle w:val="Tabletext"/>
            </w:pPr>
            <w:r w:rsidRPr="005373A8">
              <w:t>DPMQ: $</w:t>
            </w:r>
            <w:r w:rsidR="006D3878">
              <w:rPr>
                <w:noProof/>
                <w:color w:val="000000"/>
                <w:highlight w:val="black"/>
              </w:rPr>
              <w:t>''''''''''''''''''''</w:t>
            </w:r>
          </w:p>
          <w:p w:rsidR="002D271D" w:rsidRPr="005373A8" w:rsidRDefault="002D271D" w:rsidP="002D271D">
            <w:pPr>
              <w:pStyle w:val="Tabletext"/>
              <w:rPr>
                <w:sz w:val="19"/>
                <w:szCs w:val="19"/>
              </w:rPr>
            </w:pPr>
            <w:r w:rsidRPr="005373A8">
              <w:t>Effective: $</w:t>
            </w:r>
            <w:r w:rsidR="006D3878">
              <w:rPr>
                <w:noProof/>
                <w:color w:val="000000"/>
                <w:highlight w:val="black"/>
              </w:rPr>
              <w:t>'''''''''''''''''''''</w:t>
            </w:r>
          </w:p>
        </w:tc>
      </w:tr>
      <w:tr w:rsidR="00BE776F" w:rsidRPr="005373A8" w:rsidTr="00A34711">
        <w:trPr>
          <w:cantSplit/>
          <w:trHeight w:val="20"/>
        </w:trPr>
        <w:tc>
          <w:tcPr>
            <w:tcW w:w="579" w:type="pct"/>
          </w:tcPr>
          <w:p w:rsidR="002D271D" w:rsidRPr="005373A8" w:rsidRDefault="002D271D" w:rsidP="002D271D">
            <w:pPr>
              <w:jc w:val="left"/>
              <w:rPr>
                <w:rFonts w:ascii="Arial Narrow" w:hAnsi="Arial Narrow"/>
                <w:sz w:val="19"/>
                <w:szCs w:val="19"/>
              </w:rPr>
            </w:pPr>
            <w:r w:rsidRPr="005373A8">
              <w:rPr>
                <w:rFonts w:ascii="Arial Narrow" w:hAnsi="Arial Narrow"/>
                <w:sz w:val="19"/>
                <w:szCs w:val="19"/>
              </w:rPr>
              <w:t>Main comparator</w:t>
            </w:r>
          </w:p>
        </w:tc>
        <w:tc>
          <w:tcPr>
            <w:tcW w:w="2393" w:type="pct"/>
          </w:tcPr>
          <w:p w:rsidR="002D271D" w:rsidRPr="005373A8" w:rsidRDefault="004F384A" w:rsidP="002D271D">
            <w:pPr>
              <w:pStyle w:val="Tabletext"/>
            </w:pPr>
            <w:r w:rsidRPr="005373A8">
              <w:t>R</w:t>
            </w:r>
            <w:r w:rsidR="002D271D" w:rsidRPr="005373A8">
              <w:t>ituximab monotherapy</w:t>
            </w:r>
          </w:p>
          <w:p w:rsidR="002D271D" w:rsidRPr="005373A8" w:rsidRDefault="002D271D" w:rsidP="002D271D">
            <w:pPr>
              <w:jc w:val="left"/>
              <w:rPr>
                <w:rFonts w:ascii="Arial Narrow" w:hAnsi="Arial Narrow"/>
                <w:sz w:val="19"/>
                <w:szCs w:val="19"/>
              </w:rPr>
            </w:pPr>
          </w:p>
          <w:p w:rsidR="002D271D" w:rsidRPr="005373A8" w:rsidRDefault="002D271D" w:rsidP="002D271D">
            <w:pPr>
              <w:pStyle w:val="Tabletext"/>
            </w:pPr>
            <w:r w:rsidRPr="005373A8">
              <w:rPr>
                <w:b/>
              </w:rPr>
              <w:t>PBAC Comment:</w:t>
            </w:r>
            <w:r w:rsidRPr="005373A8">
              <w:t xml:space="preserve"> This was not the appropriate comparator</w:t>
            </w:r>
            <w:r w:rsidR="00AF463A" w:rsidRPr="005373A8">
              <w:t xml:space="preserve"> because rituximab monotherapy wa</w:t>
            </w:r>
            <w:r w:rsidRPr="005373A8">
              <w:t>s not PBS-listed, TGA-approved or routinely used as a second-line treatment for CLL (5.1-2).</w:t>
            </w:r>
          </w:p>
        </w:tc>
        <w:tc>
          <w:tcPr>
            <w:tcW w:w="2028" w:type="pct"/>
          </w:tcPr>
          <w:p w:rsidR="002D271D" w:rsidRPr="005373A8" w:rsidRDefault="00AF463A" w:rsidP="002D271D">
            <w:pPr>
              <w:pStyle w:val="Tabletext"/>
            </w:pPr>
            <w:r w:rsidRPr="005373A8">
              <w:t>BSC wa</w:t>
            </w:r>
            <w:r w:rsidR="002D271D" w:rsidRPr="005373A8">
              <w:t xml:space="preserve">s main comparator, with rituximab monotherapy as a proxy. </w:t>
            </w:r>
          </w:p>
        </w:tc>
      </w:tr>
      <w:tr w:rsidR="00BE776F" w:rsidRPr="005373A8" w:rsidTr="00A34711">
        <w:trPr>
          <w:cantSplit/>
          <w:trHeight w:val="20"/>
        </w:trPr>
        <w:tc>
          <w:tcPr>
            <w:tcW w:w="579" w:type="pct"/>
          </w:tcPr>
          <w:p w:rsidR="002D271D" w:rsidRPr="005373A8" w:rsidRDefault="002D271D" w:rsidP="002D271D">
            <w:pPr>
              <w:jc w:val="left"/>
              <w:rPr>
                <w:rFonts w:ascii="Arial Narrow" w:hAnsi="Arial Narrow"/>
                <w:sz w:val="19"/>
                <w:szCs w:val="19"/>
              </w:rPr>
            </w:pPr>
            <w:r w:rsidRPr="005373A8">
              <w:rPr>
                <w:rFonts w:ascii="Arial Narrow" w:hAnsi="Arial Narrow"/>
                <w:sz w:val="19"/>
                <w:szCs w:val="19"/>
              </w:rPr>
              <w:t>Clinical evidence</w:t>
            </w:r>
          </w:p>
        </w:tc>
        <w:tc>
          <w:tcPr>
            <w:tcW w:w="2393" w:type="pct"/>
          </w:tcPr>
          <w:p w:rsidR="002D271D" w:rsidRPr="005373A8" w:rsidRDefault="002D271D" w:rsidP="002D271D">
            <w:pPr>
              <w:pStyle w:val="Tabletext"/>
            </w:pPr>
            <w:r w:rsidRPr="005373A8">
              <w:t>Trial 312-0116 (N=220) compared idelalisib plus rituximab to placebo plus rituximab.</w:t>
            </w:r>
          </w:p>
          <w:p w:rsidR="002D271D" w:rsidRPr="005373A8" w:rsidRDefault="002D271D" w:rsidP="002D271D">
            <w:pPr>
              <w:jc w:val="left"/>
              <w:rPr>
                <w:rFonts w:ascii="Arial Narrow" w:hAnsi="Arial Narrow"/>
                <w:sz w:val="19"/>
                <w:szCs w:val="19"/>
              </w:rPr>
            </w:pPr>
          </w:p>
          <w:p w:rsidR="002D271D" w:rsidRPr="005373A8" w:rsidRDefault="002D271D" w:rsidP="005373A8">
            <w:pPr>
              <w:pStyle w:val="Tabletext"/>
            </w:pPr>
            <w:r w:rsidRPr="005373A8">
              <w:rPr>
                <w:b/>
              </w:rPr>
              <w:t>PBAC Comment:</w:t>
            </w:r>
            <w:r w:rsidRPr="005373A8">
              <w:t xml:space="preserve"> The PBAC considered that the data from Trial 312-0116 would only be appli</w:t>
            </w:r>
            <w:r w:rsidR="00AF463A" w:rsidRPr="005373A8">
              <w:t>cable if rituximab monotherapy wa</w:t>
            </w:r>
            <w:r w:rsidRPr="005373A8">
              <w:t xml:space="preserve">s considered as a surrogate </w:t>
            </w:r>
            <w:r w:rsidR="0042318B" w:rsidRPr="005373A8">
              <w:t>BSC.</w:t>
            </w:r>
          </w:p>
        </w:tc>
        <w:tc>
          <w:tcPr>
            <w:tcW w:w="2028" w:type="pct"/>
          </w:tcPr>
          <w:p w:rsidR="00304B7A" w:rsidRPr="005373A8" w:rsidRDefault="002D271D" w:rsidP="002D271D">
            <w:pPr>
              <w:pStyle w:val="Tabletext"/>
            </w:pPr>
            <w:r w:rsidRPr="005373A8">
              <w:t xml:space="preserve">No new trials were presented, but longer follow-up. </w:t>
            </w:r>
            <w:r w:rsidR="00BA3864" w:rsidRPr="005373A8">
              <w:t>The re</w:t>
            </w:r>
            <w:r w:rsidR="00304B7A" w:rsidRPr="005373A8">
              <w:t xml:space="preserve">submission used the rituximab monotherapy as a proxy for </w:t>
            </w:r>
            <w:r w:rsidR="0042318B" w:rsidRPr="005373A8">
              <w:t>BSC</w:t>
            </w:r>
            <w:r w:rsidR="00304B7A" w:rsidRPr="005373A8">
              <w:t>.</w:t>
            </w:r>
          </w:p>
          <w:p w:rsidR="002D271D" w:rsidRPr="005373A8" w:rsidRDefault="002D271D" w:rsidP="00E91206">
            <w:pPr>
              <w:pStyle w:val="Tabletext"/>
            </w:pPr>
            <w:r w:rsidRPr="005373A8">
              <w:t xml:space="preserve">Further </w:t>
            </w:r>
            <w:r w:rsidR="00E91206" w:rsidRPr="005373A8">
              <w:t xml:space="preserve">RPSFT </w:t>
            </w:r>
            <w:r w:rsidRPr="005373A8">
              <w:t xml:space="preserve">methodology to adjust for switching was applied to OS. </w:t>
            </w:r>
          </w:p>
        </w:tc>
      </w:tr>
      <w:tr w:rsidR="00BE776F" w:rsidRPr="005373A8" w:rsidTr="00A34711">
        <w:trPr>
          <w:cantSplit/>
          <w:trHeight w:val="20"/>
        </w:trPr>
        <w:tc>
          <w:tcPr>
            <w:tcW w:w="579" w:type="pct"/>
          </w:tcPr>
          <w:p w:rsidR="002D271D" w:rsidRPr="005373A8" w:rsidRDefault="002D271D" w:rsidP="002D271D">
            <w:pPr>
              <w:jc w:val="left"/>
              <w:rPr>
                <w:rFonts w:ascii="Arial Narrow" w:hAnsi="Arial Narrow"/>
                <w:sz w:val="19"/>
                <w:szCs w:val="19"/>
              </w:rPr>
            </w:pPr>
            <w:r w:rsidRPr="005373A8">
              <w:rPr>
                <w:rFonts w:ascii="Arial Narrow" w:hAnsi="Arial Narrow"/>
                <w:sz w:val="19"/>
                <w:szCs w:val="19"/>
              </w:rPr>
              <w:t>Key effectiveness data</w:t>
            </w:r>
          </w:p>
        </w:tc>
        <w:tc>
          <w:tcPr>
            <w:tcW w:w="2393" w:type="pct"/>
          </w:tcPr>
          <w:p w:rsidR="002D271D" w:rsidRPr="005373A8" w:rsidRDefault="002D271D" w:rsidP="002D271D">
            <w:pPr>
              <w:pStyle w:val="Tabletext"/>
            </w:pPr>
            <w:r w:rsidRPr="005373A8">
              <w:t xml:space="preserve">PFS, HR (95% CI): </w:t>
            </w:r>
            <w:r w:rsidRPr="005373A8">
              <w:rPr>
                <w:b/>
              </w:rPr>
              <w:t>0.18 (0.10, 0.32)</w:t>
            </w:r>
            <w:r w:rsidRPr="005373A8">
              <w:t xml:space="preserve"> </w:t>
            </w:r>
          </w:p>
          <w:p w:rsidR="002D271D" w:rsidRPr="005373A8" w:rsidRDefault="002D271D" w:rsidP="002D271D">
            <w:pPr>
              <w:pStyle w:val="Tabletext"/>
            </w:pPr>
            <w:r w:rsidRPr="005373A8">
              <w:t xml:space="preserve">OS, HR (95% CI): </w:t>
            </w:r>
            <w:r w:rsidRPr="005373A8">
              <w:rPr>
                <w:b/>
              </w:rPr>
              <w:t>0.28 (0.11, 0.69)</w:t>
            </w:r>
          </w:p>
          <w:p w:rsidR="00BB180F" w:rsidRPr="005373A8" w:rsidRDefault="00BB180F" w:rsidP="00BB180F">
            <w:pPr>
              <w:jc w:val="left"/>
              <w:rPr>
                <w:rFonts w:ascii="Arial Narrow" w:hAnsi="Arial Narrow"/>
                <w:sz w:val="19"/>
                <w:szCs w:val="19"/>
              </w:rPr>
            </w:pPr>
            <w:r w:rsidRPr="005373A8">
              <w:rPr>
                <w:rFonts w:ascii="Arial Narrow" w:hAnsi="Arial Narrow"/>
                <w:sz w:val="19"/>
                <w:szCs w:val="19"/>
              </w:rPr>
              <w:t>Median follow-up:</w:t>
            </w:r>
          </w:p>
          <w:p w:rsidR="00BB180F" w:rsidRPr="005373A8" w:rsidRDefault="00DF1AA8" w:rsidP="00BB180F">
            <w:pPr>
              <w:jc w:val="left"/>
              <w:rPr>
                <w:rFonts w:ascii="Arial Narrow" w:hAnsi="Arial Narrow"/>
                <w:sz w:val="19"/>
                <w:szCs w:val="19"/>
              </w:rPr>
            </w:pPr>
            <w:r w:rsidRPr="005373A8">
              <w:rPr>
                <w:rFonts w:ascii="Arial Narrow" w:hAnsi="Arial Narrow"/>
                <w:sz w:val="19"/>
                <w:szCs w:val="19"/>
              </w:rPr>
              <w:t>Comparator</w:t>
            </w:r>
            <w:r w:rsidR="00BB180F" w:rsidRPr="005373A8">
              <w:rPr>
                <w:rFonts w:ascii="Arial Narrow" w:hAnsi="Arial Narrow"/>
                <w:sz w:val="19"/>
                <w:szCs w:val="19"/>
              </w:rPr>
              <w:t xml:space="preserve"> – </w:t>
            </w:r>
            <w:r w:rsidR="003041E6" w:rsidRPr="005373A8">
              <w:rPr>
                <w:rFonts w:ascii="Arial Narrow" w:hAnsi="Arial Narrow"/>
                <w:sz w:val="19"/>
                <w:szCs w:val="19"/>
              </w:rPr>
              <w:t>4.4</w:t>
            </w:r>
            <w:r w:rsidR="00BB180F" w:rsidRPr="005373A8">
              <w:rPr>
                <w:rFonts w:ascii="Arial Narrow" w:hAnsi="Arial Narrow"/>
                <w:sz w:val="19"/>
                <w:szCs w:val="19"/>
              </w:rPr>
              <w:t>months</w:t>
            </w:r>
          </w:p>
          <w:p w:rsidR="00BB180F" w:rsidRPr="005373A8" w:rsidRDefault="00BB180F" w:rsidP="002D271D">
            <w:pPr>
              <w:jc w:val="left"/>
              <w:rPr>
                <w:rFonts w:ascii="Arial Narrow" w:hAnsi="Arial Narrow"/>
                <w:sz w:val="19"/>
                <w:szCs w:val="19"/>
              </w:rPr>
            </w:pPr>
            <w:r w:rsidRPr="005373A8">
              <w:rPr>
                <w:rFonts w:ascii="Arial Narrow" w:hAnsi="Arial Narrow"/>
                <w:sz w:val="19"/>
                <w:szCs w:val="19"/>
              </w:rPr>
              <w:t xml:space="preserve">IR – </w:t>
            </w:r>
            <w:r w:rsidR="003041E6" w:rsidRPr="005373A8">
              <w:rPr>
                <w:rFonts w:ascii="Arial Narrow" w:hAnsi="Arial Narrow"/>
                <w:sz w:val="19"/>
                <w:szCs w:val="19"/>
              </w:rPr>
              <w:t xml:space="preserve">6.1 </w:t>
            </w:r>
            <w:r w:rsidRPr="005373A8">
              <w:rPr>
                <w:rFonts w:ascii="Arial Narrow" w:hAnsi="Arial Narrow"/>
                <w:sz w:val="19"/>
                <w:szCs w:val="19"/>
              </w:rPr>
              <w:t>months</w:t>
            </w:r>
          </w:p>
          <w:p w:rsidR="003041E6" w:rsidRPr="005373A8" w:rsidRDefault="003041E6" w:rsidP="002D271D">
            <w:pPr>
              <w:jc w:val="left"/>
              <w:rPr>
                <w:rFonts w:ascii="Arial Narrow" w:hAnsi="Arial Narrow"/>
                <w:sz w:val="19"/>
                <w:szCs w:val="19"/>
              </w:rPr>
            </w:pPr>
          </w:p>
          <w:p w:rsidR="002D271D" w:rsidRPr="005373A8" w:rsidRDefault="002D271D" w:rsidP="00250AF3">
            <w:pPr>
              <w:pStyle w:val="Tabletext"/>
            </w:pPr>
            <w:r w:rsidRPr="005373A8">
              <w:rPr>
                <w:b/>
              </w:rPr>
              <w:t>PBAC Comment:</w:t>
            </w:r>
            <w:r w:rsidRPr="005373A8">
              <w:t xml:space="preserve"> PBAC note</w:t>
            </w:r>
            <w:r w:rsidR="00250AF3">
              <w:t>d</w:t>
            </w:r>
            <w:r w:rsidRPr="005373A8">
              <w:t xml:space="preserve"> the gains in PFS and OS, although believes t</w:t>
            </w:r>
            <w:r w:rsidR="00AF463A" w:rsidRPr="005373A8">
              <w:t>he trial data wa</w:t>
            </w:r>
            <w:r w:rsidRPr="005373A8">
              <w:t xml:space="preserve">s immature with respect to overall survival. </w:t>
            </w:r>
          </w:p>
        </w:tc>
        <w:tc>
          <w:tcPr>
            <w:tcW w:w="2028" w:type="pct"/>
          </w:tcPr>
          <w:p w:rsidR="002D271D" w:rsidRPr="005373A8" w:rsidRDefault="002D271D" w:rsidP="002D271D">
            <w:pPr>
              <w:pStyle w:val="Tabletext"/>
            </w:pPr>
            <w:r w:rsidRPr="005373A8">
              <w:t xml:space="preserve">PFS, HR (95% CI): </w:t>
            </w:r>
            <w:r w:rsidRPr="005373A8">
              <w:rPr>
                <w:b/>
              </w:rPr>
              <w:t>0.15 (0.09, 0.24)</w:t>
            </w:r>
            <w:r w:rsidRPr="005373A8">
              <w:t xml:space="preserve"> </w:t>
            </w:r>
          </w:p>
          <w:p w:rsidR="002D271D" w:rsidRPr="005373A8" w:rsidRDefault="002D271D" w:rsidP="002D271D">
            <w:pPr>
              <w:pStyle w:val="Tabletext"/>
            </w:pPr>
            <w:r w:rsidRPr="005373A8">
              <w:t xml:space="preserve">OS, RPSFT HR (95% CI): </w:t>
            </w:r>
            <w:r w:rsidRPr="005373A8">
              <w:rPr>
                <w:b/>
              </w:rPr>
              <w:t>0.20 (0.10, 0.35)</w:t>
            </w:r>
          </w:p>
          <w:p w:rsidR="002D271D" w:rsidRPr="005373A8" w:rsidRDefault="002D271D" w:rsidP="00304B7A">
            <w:pPr>
              <w:pStyle w:val="Tabletext"/>
              <w:rPr>
                <w:b/>
              </w:rPr>
            </w:pPr>
            <w:r w:rsidRPr="005373A8">
              <w:t xml:space="preserve">OS, ITT HR (95% CI): </w:t>
            </w:r>
            <w:r w:rsidRPr="005373A8">
              <w:rPr>
                <w:b/>
              </w:rPr>
              <w:t>0.34 (0.19, 0.60)</w:t>
            </w:r>
          </w:p>
          <w:p w:rsidR="00E91206" w:rsidRPr="005373A8" w:rsidRDefault="00E91206" w:rsidP="00304B7A">
            <w:pPr>
              <w:pStyle w:val="Tabletext"/>
            </w:pPr>
            <w:r w:rsidRPr="005373A8">
              <w:t>Median follow-up:</w:t>
            </w:r>
          </w:p>
          <w:p w:rsidR="00E91206" w:rsidRPr="005373A8" w:rsidRDefault="00E91206" w:rsidP="00304B7A">
            <w:pPr>
              <w:pStyle w:val="Tabletext"/>
            </w:pPr>
            <w:r w:rsidRPr="005373A8">
              <w:t>BSC – 11.1 months</w:t>
            </w:r>
          </w:p>
          <w:p w:rsidR="00E91206" w:rsidRPr="005373A8" w:rsidRDefault="00E91206" w:rsidP="00304B7A">
            <w:pPr>
              <w:pStyle w:val="Tabletext"/>
            </w:pPr>
            <w:r w:rsidRPr="005373A8">
              <w:t>IR – 12.5 months</w:t>
            </w:r>
          </w:p>
        </w:tc>
      </w:tr>
      <w:tr w:rsidR="00BE776F" w:rsidRPr="005373A8" w:rsidTr="00A34711">
        <w:trPr>
          <w:cantSplit/>
          <w:trHeight w:val="20"/>
        </w:trPr>
        <w:tc>
          <w:tcPr>
            <w:tcW w:w="579" w:type="pct"/>
          </w:tcPr>
          <w:p w:rsidR="002D271D" w:rsidRPr="005373A8" w:rsidRDefault="002D271D" w:rsidP="002D271D">
            <w:pPr>
              <w:jc w:val="left"/>
              <w:rPr>
                <w:rFonts w:ascii="Arial Narrow" w:hAnsi="Arial Narrow"/>
                <w:sz w:val="19"/>
                <w:szCs w:val="19"/>
              </w:rPr>
            </w:pPr>
            <w:r w:rsidRPr="005373A8">
              <w:rPr>
                <w:rFonts w:ascii="Arial Narrow" w:hAnsi="Arial Narrow"/>
                <w:sz w:val="19"/>
                <w:szCs w:val="19"/>
              </w:rPr>
              <w:t>Key safety data</w:t>
            </w:r>
          </w:p>
        </w:tc>
        <w:tc>
          <w:tcPr>
            <w:tcW w:w="2393" w:type="pct"/>
          </w:tcPr>
          <w:p w:rsidR="002D271D" w:rsidRPr="005373A8" w:rsidRDefault="002D271D" w:rsidP="002D271D">
            <w:pPr>
              <w:pStyle w:val="Tabletext"/>
            </w:pPr>
            <w:r w:rsidRPr="005373A8">
              <w:t>Neutropenia, RD (95% CI): 0.11 (0.00, 0.22)</w:t>
            </w:r>
          </w:p>
          <w:p w:rsidR="002D271D" w:rsidRPr="005373A8" w:rsidRDefault="002D271D" w:rsidP="002D271D">
            <w:pPr>
              <w:pStyle w:val="Tabletext"/>
            </w:pPr>
            <w:r w:rsidRPr="005373A8">
              <w:t>Diarrhoea, RD (95% CI): 0.04 (-0.05, 0.14)</w:t>
            </w:r>
          </w:p>
          <w:p w:rsidR="002D271D" w:rsidRPr="005373A8" w:rsidRDefault="002D271D" w:rsidP="002D271D">
            <w:pPr>
              <w:pStyle w:val="Tabletext"/>
            </w:pPr>
            <w:r w:rsidRPr="005373A8">
              <w:t xml:space="preserve">Pyrexia, RD (95% CI): </w:t>
            </w:r>
            <w:r w:rsidRPr="005373A8">
              <w:rPr>
                <w:b/>
              </w:rPr>
              <w:t>0.18 (0.07, 0.29)</w:t>
            </w:r>
          </w:p>
          <w:p w:rsidR="002D271D" w:rsidRPr="005373A8" w:rsidRDefault="002D271D" w:rsidP="002D271D">
            <w:pPr>
              <w:jc w:val="left"/>
              <w:rPr>
                <w:rFonts w:ascii="Arial Narrow" w:hAnsi="Arial Narrow"/>
                <w:sz w:val="19"/>
                <w:szCs w:val="19"/>
              </w:rPr>
            </w:pPr>
            <w:r w:rsidRPr="005373A8">
              <w:rPr>
                <w:rFonts w:ascii="Arial Narrow" w:hAnsi="Arial Narrow"/>
                <w:sz w:val="19"/>
                <w:szCs w:val="19"/>
              </w:rPr>
              <w:t>Rash, RD (95% CI): 0.05 (-0.02, 0.12)</w:t>
            </w:r>
          </w:p>
          <w:p w:rsidR="002D271D" w:rsidRPr="005373A8" w:rsidRDefault="002D271D" w:rsidP="002D271D">
            <w:pPr>
              <w:jc w:val="left"/>
              <w:rPr>
                <w:rFonts w:ascii="Arial Narrow" w:hAnsi="Arial Narrow"/>
                <w:sz w:val="19"/>
                <w:szCs w:val="19"/>
              </w:rPr>
            </w:pPr>
            <w:r w:rsidRPr="005373A8">
              <w:rPr>
                <w:rFonts w:ascii="Arial Narrow" w:hAnsi="Arial Narrow"/>
                <w:sz w:val="19"/>
                <w:szCs w:val="19"/>
              </w:rPr>
              <w:t>Infusion related reaction, RD (95% CI): -0.11 (-0.22, 0.01)</w:t>
            </w:r>
          </w:p>
          <w:p w:rsidR="002D271D" w:rsidRPr="005373A8" w:rsidRDefault="002D271D" w:rsidP="002D271D">
            <w:pPr>
              <w:jc w:val="left"/>
              <w:rPr>
                <w:rFonts w:ascii="Arial Narrow" w:hAnsi="Arial Narrow"/>
                <w:sz w:val="19"/>
                <w:szCs w:val="19"/>
              </w:rPr>
            </w:pPr>
          </w:p>
          <w:p w:rsidR="002D271D" w:rsidRPr="005373A8" w:rsidRDefault="002D271D" w:rsidP="005C568F">
            <w:pPr>
              <w:jc w:val="left"/>
              <w:rPr>
                <w:rFonts w:ascii="Arial Narrow" w:hAnsi="Arial Narrow"/>
                <w:sz w:val="19"/>
                <w:szCs w:val="19"/>
              </w:rPr>
            </w:pPr>
            <w:r w:rsidRPr="005373A8">
              <w:rPr>
                <w:rFonts w:ascii="Arial Narrow" w:hAnsi="Arial Narrow"/>
                <w:b/>
                <w:sz w:val="19"/>
                <w:szCs w:val="19"/>
              </w:rPr>
              <w:t>PBAC Comment:</w:t>
            </w:r>
            <w:r w:rsidRPr="005373A8">
              <w:rPr>
                <w:rFonts w:ascii="Arial Narrow" w:hAnsi="Arial Narrow"/>
                <w:sz w:val="19"/>
                <w:szCs w:val="19"/>
              </w:rPr>
              <w:t xml:space="preserve"> </w:t>
            </w:r>
            <w:r w:rsidR="00BB180F" w:rsidRPr="005373A8">
              <w:rPr>
                <w:rFonts w:ascii="Arial Narrow" w:hAnsi="Arial Narrow"/>
                <w:sz w:val="19"/>
                <w:szCs w:val="19"/>
              </w:rPr>
              <w:t xml:space="preserve">The trial data </w:t>
            </w:r>
            <w:r w:rsidR="005C568F">
              <w:rPr>
                <w:rFonts w:ascii="Arial Narrow" w:hAnsi="Arial Narrow"/>
                <w:sz w:val="19"/>
                <w:szCs w:val="19"/>
              </w:rPr>
              <w:t>were</w:t>
            </w:r>
            <w:r w:rsidR="00BB180F" w:rsidRPr="005373A8">
              <w:rPr>
                <w:rFonts w:ascii="Arial Narrow" w:hAnsi="Arial Narrow"/>
                <w:sz w:val="19"/>
                <w:szCs w:val="19"/>
              </w:rPr>
              <w:t xml:space="preserve"> immature with respect to long-term safety. N</w:t>
            </w:r>
            <w:r w:rsidRPr="005373A8">
              <w:rPr>
                <w:rFonts w:ascii="Arial Narrow" w:hAnsi="Arial Narrow"/>
                <w:sz w:val="19"/>
                <w:szCs w:val="19"/>
              </w:rPr>
              <w:t>on-inferior safety profile not accepted</w:t>
            </w:r>
            <w:r w:rsidR="00250AF3">
              <w:rPr>
                <w:rFonts w:ascii="Arial Narrow" w:hAnsi="Arial Narrow"/>
                <w:sz w:val="19"/>
                <w:szCs w:val="19"/>
              </w:rPr>
              <w:t>.</w:t>
            </w:r>
          </w:p>
        </w:tc>
        <w:tc>
          <w:tcPr>
            <w:tcW w:w="2028" w:type="pct"/>
          </w:tcPr>
          <w:p w:rsidR="002D271D" w:rsidRPr="005373A8" w:rsidRDefault="002D271D" w:rsidP="002D271D">
            <w:pPr>
              <w:pStyle w:val="Tabletext"/>
            </w:pPr>
            <w:r w:rsidRPr="005373A8">
              <w:t>Neutropenia, RD (95% CI): 0.06 (-0.05, 0.17)</w:t>
            </w:r>
          </w:p>
          <w:p w:rsidR="002D271D" w:rsidRPr="005373A8" w:rsidRDefault="002D271D" w:rsidP="002D271D">
            <w:pPr>
              <w:pStyle w:val="Tabletext"/>
            </w:pPr>
            <w:r w:rsidRPr="005373A8">
              <w:t xml:space="preserve">Diarrhoea, RD (95% CI): </w:t>
            </w:r>
            <w:r w:rsidRPr="005373A8">
              <w:rPr>
                <w:b/>
              </w:rPr>
              <w:t>0.12 (0.00, 0.23)</w:t>
            </w:r>
            <w:r w:rsidRPr="005373A8">
              <w:t xml:space="preserve"> </w:t>
            </w:r>
          </w:p>
          <w:p w:rsidR="002D271D" w:rsidRPr="005373A8" w:rsidRDefault="002D271D" w:rsidP="002D271D">
            <w:pPr>
              <w:pStyle w:val="Tabletext"/>
              <w:rPr>
                <w:b/>
              </w:rPr>
            </w:pPr>
            <w:r w:rsidRPr="005373A8">
              <w:t xml:space="preserve">Pyrexia, RD (95% CI): </w:t>
            </w:r>
            <w:r w:rsidRPr="005373A8">
              <w:rPr>
                <w:b/>
              </w:rPr>
              <w:t>0.22 (0.10, 0.33)</w:t>
            </w:r>
          </w:p>
          <w:p w:rsidR="002D271D" w:rsidRPr="005373A8" w:rsidRDefault="002D271D" w:rsidP="002D271D">
            <w:pPr>
              <w:jc w:val="left"/>
              <w:rPr>
                <w:rFonts w:ascii="Arial Narrow" w:hAnsi="Arial Narrow"/>
                <w:sz w:val="19"/>
                <w:szCs w:val="19"/>
              </w:rPr>
            </w:pPr>
            <w:r w:rsidRPr="005373A8">
              <w:rPr>
                <w:rFonts w:ascii="Arial Narrow" w:hAnsi="Arial Narrow"/>
                <w:sz w:val="19"/>
                <w:szCs w:val="19"/>
              </w:rPr>
              <w:t xml:space="preserve">Rash, RD (95% CI): </w:t>
            </w:r>
            <w:r w:rsidRPr="005373A8">
              <w:rPr>
                <w:rFonts w:ascii="Arial Narrow" w:hAnsi="Arial Narrow"/>
                <w:b/>
                <w:sz w:val="19"/>
                <w:szCs w:val="19"/>
              </w:rPr>
              <w:t>0.10 (0.02, 0.18)</w:t>
            </w:r>
          </w:p>
          <w:p w:rsidR="002D271D" w:rsidRPr="005373A8" w:rsidRDefault="002D271D" w:rsidP="002D271D">
            <w:pPr>
              <w:jc w:val="left"/>
              <w:rPr>
                <w:rFonts w:ascii="Arial Narrow" w:hAnsi="Arial Narrow"/>
                <w:sz w:val="19"/>
                <w:szCs w:val="19"/>
              </w:rPr>
            </w:pPr>
            <w:r w:rsidRPr="005373A8">
              <w:rPr>
                <w:rFonts w:ascii="Arial Narrow" w:hAnsi="Arial Narrow"/>
                <w:sz w:val="19"/>
                <w:szCs w:val="19"/>
              </w:rPr>
              <w:t>Infusion related reaction, RD (95% CI): -0.11 (-0.22, 0.01)</w:t>
            </w:r>
          </w:p>
        </w:tc>
      </w:tr>
      <w:tr w:rsidR="00BE776F" w:rsidRPr="005373A8" w:rsidTr="00A34711">
        <w:trPr>
          <w:cantSplit/>
          <w:trHeight w:val="20"/>
        </w:trPr>
        <w:tc>
          <w:tcPr>
            <w:tcW w:w="579" w:type="pct"/>
          </w:tcPr>
          <w:p w:rsidR="002D271D" w:rsidRPr="005373A8" w:rsidRDefault="002D271D" w:rsidP="002D271D">
            <w:pPr>
              <w:jc w:val="left"/>
              <w:rPr>
                <w:rFonts w:ascii="Arial Narrow" w:hAnsi="Arial Narrow"/>
                <w:sz w:val="19"/>
                <w:szCs w:val="19"/>
              </w:rPr>
            </w:pPr>
            <w:r w:rsidRPr="005373A8">
              <w:rPr>
                <w:rFonts w:ascii="Arial Narrow" w:hAnsi="Arial Narrow"/>
                <w:sz w:val="19"/>
                <w:szCs w:val="19"/>
              </w:rPr>
              <w:t>Clinical claim</w:t>
            </w:r>
          </w:p>
        </w:tc>
        <w:tc>
          <w:tcPr>
            <w:tcW w:w="2393" w:type="pct"/>
          </w:tcPr>
          <w:p w:rsidR="002D271D" w:rsidRPr="005373A8" w:rsidRDefault="002D271D" w:rsidP="002D271D">
            <w:pPr>
              <w:pStyle w:val="Tabletext"/>
            </w:pPr>
            <w:r w:rsidRPr="005373A8">
              <w:t>Superior comparative effectiveness and non-inferior comparative safety</w:t>
            </w:r>
          </w:p>
          <w:p w:rsidR="002D271D" w:rsidRPr="00250AF3" w:rsidRDefault="002D271D" w:rsidP="002D271D">
            <w:pPr>
              <w:jc w:val="left"/>
              <w:rPr>
                <w:rFonts w:ascii="Arial Narrow" w:hAnsi="Arial Narrow"/>
                <w:sz w:val="19"/>
                <w:szCs w:val="19"/>
              </w:rPr>
            </w:pPr>
          </w:p>
          <w:p w:rsidR="002D271D" w:rsidRPr="005373A8" w:rsidRDefault="002D271D" w:rsidP="002D271D">
            <w:pPr>
              <w:jc w:val="left"/>
              <w:rPr>
                <w:rFonts w:ascii="Arial Narrow" w:hAnsi="Arial Narrow"/>
                <w:sz w:val="19"/>
                <w:szCs w:val="19"/>
              </w:rPr>
            </w:pPr>
            <w:r w:rsidRPr="005373A8">
              <w:rPr>
                <w:rFonts w:ascii="Arial Narrow" w:hAnsi="Arial Narrow"/>
                <w:b/>
                <w:sz w:val="19"/>
                <w:szCs w:val="19"/>
              </w:rPr>
              <w:t>PBAC Comment:</w:t>
            </w:r>
            <w:r w:rsidRPr="005373A8">
              <w:rPr>
                <w:rFonts w:ascii="Arial Narrow" w:hAnsi="Arial Narrow"/>
                <w:sz w:val="19"/>
                <w:szCs w:val="19"/>
              </w:rPr>
              <w:t xml:space="preserve">  Claim not accepted</w:t>
            </w:r>
            <w:r w:rsidR="00250AF3">
              <w:rPr>
                <w:rFonts w:ascii="Arial Narrow" w:hAnsi="Arial Narrow"/>
                <w:sz w:val="19"/>
                <w:szCs w:val="19"/>
              </w:rPr>
              <w:t>.</w:t>
            </w:r>
          </w:p>
        </w:tc>
        <w:tc>
          <w:tcPr>
            <w:tcW w:w="2028" w:type="pct"/>
          </w:tcPr>
          <w:p w:rsidR="002D271D" w:rsidRPr="005373A8" w:rsidRDefault="00D226E7" w:rsidP="0042318B">
            <w:pPr>
              <w:pStyle w:val="Tabletext"/>
            </w:pPr>
            <w:r w:rsidRPr="005373A8">
              <w:t>I</w:t>
            </w:r>
            <w:r w:rsidR="002D271D" w:rsidRPr="005373A8">
              <w:t xml:space="preserve">delalisib plus rituximab as having superior comparative effectiveness and slightly inferior comparative safety over </w:t>
            </w:r>
            <w:r w:rsidR="0042318B" w:rsidRPr="005373A8">
              <w:t>BSC.</w:t>
            </w:r>
          </w:p>
        </w:tc>
      </w:tr>
      <w:tr w:rsidR="00BE776F" w:rsidRPr="005373A8" w:rsidTr="00A34711">
        <w:trPr>
          <w:cantSplit/>
          <w:trHeight w:val="20"/>
        </w:trPr>
        <w:tc>
          <w:tcPr>
            <w:tcW w:w="579" w:type="pct"/>
          </w:tcPr>
          <w:p w:rsidR="002D271D" w:rsidRPr="005373A8" w:rsidRDefault="002D271D" w:rsidP="002D271D">
            <w:pPr>
              <w:jc w:val="left"/>
              <w:rPr>
                <w:rFonts w:ascii="Arial Narrow" w:hAnsi="Arial Narrow"/>
                <w:sz w:val="19"/>
                <w:szCs w:val="19"/>
              </w:rPr>
            </w:pPr>
            <w:r w:rsidRPr="005373A8">
              <w:rPr>
                <w:rFonts w:ascii="Arial Narrow" w:hAnsi="Arial Narrow"/>
                <w:sz w:val="19"/>
                <w:szCs w:val="19"/>
              </w:rPr>
              <w:lastRenderedPageBreak/>
              <w:t>Economic evaluation</w:t>
            </w:r>
          </w:p>
        </w:tc>
        <w:tc>
          <w:tcPr>
            <w:tcW w:w="2393" w:type="pct"/>
          </w:tcPr>
          <w:p w:rsidR="002D271D" w:rsidRPr="005373A8" w:rsidRDefault="002D271D" w:rsidP="002D271D">
            <w:pPr>
              <w:pStyle w:val="Tabletext"/>
              <w:rPr>
                <w:b/>
                <w:sz w:val="19"/>
                <w:szCs w:val="19"/>
              </w:rPr>
            </w:pPr>
            <w:r w:rsidRPr="005373A8">
              <w:rPr>
                <w:sz w:val="19"/>
                <w:szCs w:val="19"/>
              </w:rPr>
              <w:t>Cost-utility model with cost/QALY</w:t>
            </w:r>
          </w:p>
          <w:p w:rsidR="002D271D" w:rsidRPr="005373A8" w:rsidRDefault="002D271D" w:rsidP="002D271D">
            <w:pPr>
              <w:pStyle w:val="Tabletext"/>
              <w:rPr>
                <w:sz w:val="19"/>
                <w:szCs w:val="19"/>
              </w:rPr>
            </w:pPr>
          </w:p>
          <w:p w:rsidR="002D271D" w:rsidRPr="005373A8" w:rsidRDefault="002D271D" w:rsidP="002D271D">
            <w:pPr>
              <w:pStyle w:val="Tabletext"/>
              <w:rPr>
                <w:sz w:val="19"/>
                <w:szCs w:val="19"/>
              </w:rPr>
            </w:pPr>
            <w:r w:rsidRPr="005373A8">
              <w:rPr>
                <w:sz w:val="19"/>
                <w:szCs w:val="19"/>
              </w:rPr>
              <w:t xml:space="preserve">Model structure: 10 year time horizon, Alive with stable disease; alive with progressed disease; dead, </w:t>
            </w:r>
          </w:p>
          <w:p w:rsidR="002D271D" w:rsidRPr="005373A8" w:rsidRDefault="002D271D" w:rsidP="002D271D">
            <w:pPr>
              <w:pStyle w:val="Tabletext"/>
              <w:rPr>
                <w:sz w:val="19"/>
                <w:szCs w:val="19"/>
              </w:rPr>
            </w:pPr>
          </w:p>
          <w:p w:rsidR="002D271D" w:rsidRPr="005373A8" w:rsidRDefault="002D271D" w:rsidP="002D271D">
            <w:pPr>
              <w:pStyle w:val="Tabletext"/>
              <w:rPr>
                <w:sz w:val="19"/>
                <w:szCs w:val="19"/>
              </w:rPr>
            </w:pPr>
            <w:r w:rsidRPr="005373A8">
              <w:rPr>
                <w:sz w:val="19"/>
                <w:szCs w:val="19"/>
              </w:rPr>
              <w:t>Parametric extrapolation: ITT analysis set</w:t>
            </w:r>
            <w:r w:rsidRPr="005373A8">
              <w:rPr>
                <w:sz w:val="19"/>
                <w:szCs w:val="19"/>
              </w:rPr>
              <w:br/>
            </w:r>
          </w:p>
          <w:p w:rsidR="002D271D" w:rsidRPr="005373A8" w:rsidRDefault="002D271D" w:rsidP="002D271D">
            <w:pPr>
              <w:pStyle w:val="Tabletext"/>
              <w:rPr>
                <w:sz w:val="19"/>
                <w:szCs w:val="19"/>
              </w:rPr>
            </w:pPr>
            <w:r w:rsidRPr="005373A8">
              <w:rPr>
                <w:sz w:val="19"/>
                <w:szCs w:val="19"/>
              </w:rPr>
              <w:t>Comparator treatment costs: rituximab monotherapy</w:t>
            </w:r>
          </w:p>
          <w:p w:rsidR="002D271D" w:rsidRPr="00250AF3" w:rsidRDefault="002D271D" w:rsidP="002D271D">
            <w:pPr>
              <w:jc w:val="left"/>
              <w:rPr>
                <w:rFonts w:ascii="Arial Narrow" w:hAnsi="Arial Narrow"/>
                <w:sz w:val="19"/>
                <w:szCs w:val="19"/>
              </w:rPr>
            </w:pPr>
          </w:p>
          <w:p w:rsidR="002D271D" w:rsidRPr="005373A8" w:rsidRDefault="002D271D" w:rsidP="00DB3AA0">
            <w:pPr>
              <w:pStyle w:val="Tabletext"/>
            </w:pPr>
            <w:r w:rsidRPr="005373A8">
              <w:rPr>
                <w:b/>
              </w:rPr>
              <w:t>PBAC Comment:</w:t>
            </w:r>
            <w:r w:rsidRPr="005373A8">
              <w:t xml:space="preserve"> Rituximab monotherapy was an inappropriate comparator and the extrapolation of the 2</w:t>
            </w:r>
            <w:r w:rsidRPr="005373A8">
              <w:rPr>
                <w:vertAlign w:val="superscript"/>
              </w:rPr>
              <w:t>nd</w:t>
            </w:r>
            <w:r w:rsidRPr="005373A8">
              <w:t xml:space="preserve"> interim data from </w:t>
            </w:r>
            <w:r w:rsidR="00DB3AA0" w:rsidRPr="005373A8">
              <w:t>T</w:t>
            </w:r>
            <w:r w:rsidRPr="005373A8">
              <w:t xml:space="preserve">rial 312-0116 to the 10 year model length was inappropriate. </w:t>
            </w:r>
          </w:p>
        </w:tc>
        <w:tc>
          <w:tcPr>
            <w:tcW w:w="2028" w:type="pct"/>
          </w:tcPr>
          <w:p w:rsidR="002D271D" w:rsidRPr="005373A8" w:rsidRDefault="002D271D" w:rsidP="002D271D">
            <w:pPr>
              <w:jc w:val="left"/>
              <w:rPr>
                <w:rFonts w:ascii="Arial Narrow" w:hAnsi="Arial Narrow"/>
                <w:b/>
                <w:sz w:val="19"/>
                <w:szCs w:val="19"/>
              </w:rPr>
            </w:pPr>
            <w:r w:rsidRPr="005373A8">
              <w:rPr>
                <w:rFonts w:ascii="Arial Narrow" w:hAnsi="Arial Narrow"/>
                <w:sz w:val="19"/>
                <w:szCs w:val="19"/>
              </w:rPr>
              <w:t>Cost-utility model with cost/QALY</w:t>
            </w:r>
            <w:r w:rsidRPr="005373A8">
              <w:rPr>
                <w:rFonts w:ascii="Arial Narrow" w:hAnsi="Arial Narrow"/>
                <w:b/>
                <w:sz w:val="19"/>
                <w:szCs w:val="19"/>
              </w:rPr>
              <w:t xml:space="preserve"> </w:t>
            </w:r>
          </w:p>
          <w:p w:rsidR="002D271D" w:rsidRPr="005373A8" w:rsidRDefault="002D271D" w:rsidP="002D271D">
            <w:pPr>
              <w:jc w:val="left"/>
              <w:rPr>
                <w:rFonts w:ascii="Arial Narrow" w:hAnsi="Arial Narrow"/>
                <w:sz w:val="19"/>
                <w:szCs w:val="19"/>
              </w:rPr>
            </w:pPr>
          </w:p>
          <w:p w:rsidR="002D271D" w:rsidRPr="005373A8" w:rsidRDefault="002D271D" w:rsidP="002D271D">
            <w:pPr>
              <w:pStyle w:val="Tabletext"/>
              <w:rPr>
                <w:sz w:val="19"/>
                <w:szCs w:val="19"/>
              </w:rPr>
            </w:pPr>
            <w:r w:rsidRPr="005373A8">
              <w:t xml:space="preserve">Model structure: 8 year time horizon, </w:t>
            </w:r>
            <w:r w:rsidRPr="005373A8">
              <w:rPr>
                <w:sz w:val="19"/>
                <w:szCs w:val="19"/>
              </w:rPr>
              <w:t>Alive with stable disease; alive with progressed disease; dead,</w:t>
            </w:r>
          </w:p>
          <w:p w:rsidR="002D271D" w:rsidRPr="005373A8" w:rsidRDefault="002D271D" w:rsidP="002D271D">
            <w:pPr>
              <w:pStyle w:val="Tabletext"/>
              <w:rPr>
                <w:sz w:val="19"/>
                <w:szCs w:val="19"/>
              </w:rPr>
            </w:pPr>
          </w:p>
          <w:p w:rsidR="002D271D" w:rsidRPr="005373A8" w:rsidRDefault="002D271D" w:rsidP="002D271D">
            <w:pPr>
              <w:pStyle w:val="Tabletext"/>
              <w:rPr>
                <w:sz w:val="19"/>
                <w:szCs w:val="19"/>
              </w:rPr>
            </w:pPr>
            <w:r w:rsidRPr="005373A8">
              <w:rPr>
                <w:sz w:val="19"/>
                <w:szCs w:val="19"/>
              </w:rPr>
              <w:t>Parametric extrapolation: RPSFT analysis set</w:t>
            </w:r>
            <w:r w:rsidRPr="005373A8">
              <w:rPr>
                <w:sz w:val="19"/>
                <w:szCs w:val="19"/>
              </w:rPr>
              <w:br/>
            </w:r>
          </w:p>
          <w:p w:rsidR="002D271D" w:rsidRPr="005373A8" w:rsidRDefault="002D271D" w:rsidP="005373A8">
            <w:pPr>
              <w:pStyle w:val="Tabletext"/>
            </w:pPr>
            <w:r w:rsidRPr="005373A8">
              <w:rPr>
                <w:sz w:val="19"/>
                <w:szCs w:val="19"/>
              </w:rPr>
              <w:t>Comparator treatment costs: $0</w:t>
            </w:r>
          </w:p>
        </w:tc>
      </w:tr>
      <w:tr w:rsidR="00BE776F" w:rsidRPr="005373A8" w:rsidTr="00A34711">
        <w:trPr>
          <w:cantSplit/>
          <w:trHeight w:val="20"/>
        </w:trPr>
        <w:tc>
          <w:tcPr>
            <w:tcW w:w="579" w:type="pct"/>
          </w:tcPr>
          <w:p w:rsidR="002D271D" w:rsidRPr="005373A8" w:rsidRDefault="002D271D" w:rsidP="002D271D">
            <w:pPr>
              <w:jc w:val="left"/>
              <w:rPr>
                <w:rFonts w:ascii="Arial Narrow" w:hAnsi="Arial Narrow"/>
                <w:sz w:val="19"/>
                <w:szCs w:val="19"/>
              </w:rPr>
            </w:pPr>
            <w:r w:rsidRPr="005373A8">
              <w:rPr>
                <w:rFonts w:ascii="Arial Narrow" w:hAnsi="Arial Narrow"/>
                <w:sz w:val="19"/>
                <w:szCs w:val="19"/>
              </w:rPr>
              <w:t>ICER</w:t>
            </w:r>
          </w:p>
        </w:tc>
        <w:tc>
          <w:tcPr>
            <w:tcW w:w="2393" w:type="pct"/>
          </w:tcPr>
          <w:p w:rsidR="002D271D" w:rsidRPr="005373A8" w:rsidRDefault="002D271D" w:rsidP="002D271D">
            <w:pPr>
              <w:jc w:val="left"/>
              <w:rPr>
                <w:rFonts w:ascii="Arial Narrow" w:hAnsi="Arial Narrow"/>
                <w:sz w:val="19"/>
                <w:szCs w:val="19"/>
              </w:rPr>
            </w:pPr>
            <w:r w:rsidRPr="005373A8">
              <w:rPr>
                <w:rFonts w:ascii="Arial Narrow" w:hAnsi="Arial Narrow"/>
                <w:sz w:val="19"/>
                <w:szCs w:val="19"/>
              </w:rPr>
              <w:t>$</w:t>
            </w:r>
            <w:r w:rsidR="006D3878">
              <w:rPr>
                <w:rFonts w:ascii="Arial Narrow" w:hAnsi="Arial Narrow"/>
                <w:noProof/>
                <w:color w:val="000000"/>
                <w:sz w:val="19"/>
                <w:szCs w:val="19"/>
                <w:highlight w:val="black"/>
              </w:rPr>
              <w:t>'''''''''''''''</w:t>
            </w:r>
            <w:r w:rsidR="00BB180F" w:rsidRPr="005373A8">
              <w:rPr>
                <w:rFonts w:ascii="Arial Narrow" w:hAnsi="Arial Narrow"/>
                <w:sz w:val="19"/>
                <w:szCs w:val="19"/>
              </w:rPr>
              <w:t>/QALY</w:t>
            </w:r>
          </w:p>
        </w:tc>
        <w:tc>
          <w:tcPr>
            <w:tcW w:w="2028" w:type="pct"/>
          </w:tcPr>
          <w:p w:rsidR="002D271D" w:rsidRPr="005373A8" w:rsidRDefault="002D271D" w:rsidP="002D271D">
            <w:pPr>
              <w:jc w:val="left"/>
              <w:rPr>
                <w:rFonts w:ascii="Arial Narrow" w:hAnsi="Arial Narrow"/>
                <w:sz w:val="19"/>
                <w:szCs w:val="19"/>
              </w:rPr>
            </w:pPr>
            <w:r w:rsidRPr="005373A8">
              <w:rPr>
                <w:rFonts w:ascii="Arial Narrow" w:hAnsi="Arial Narrow"/>
                <w:sz w:val="19"/>
                <w:szCs w:val="19"/>
              </w:rPr>
              <w:t>$</w:t>
            </w:r>
            <w:r w:rsidR="006D3878">
              <w:rPr>
                <w:rFonts w:ascii="Arial Narrow" w:hAnsi="Arial Narrow"/>
                <w:noProof/>
                <w:color w:val="000000"/>
                <w:sz w:val="19"/>
                <w:szCs w:val="19"/>
                <w:highlight w:val="black"/>
              </w:rPr>
              <w:t>'''''''''''''''''</w:t>
            </w:r>
            <w:r w:rsidR="00BB180F" w:rsidRPr="005373A8">
              <w:rPr>
                <w:rFonts w:ascii="Arial Narrow" w:hAnsi="Arial Narrow"/>
                <w:sz w:val="19"/>
                <w:szCs w:val="19"/>
              </w:rPr>
              <w:t>/QALY</w:t>
            </w:r>
          </w:p>
        </w:tc>
      </w:tr>
      <w:tr w:rsidR="00BE776F" w:rsidRPr="005373A8" w:rsidTr="00A34711">
        <w:trPr>
          <w:cantSplit/>
          <w:trHeight w:val="20"/>
        </w:trPr>
        <w:tc>
          <w:tcPr>
            <w:tcW w:w="579" w:type="pct"/>
          </w:tcPr>
          <w:p w:rsidR="002D271D" w:rsidRPr="005373A8" w:rsidRDefault="002D271D" w:rsidP="002D271D">
            <w:pPr>
              <w:jc w:val="left"/>
              <w:rPr>
                <w:rFonts w:ascii="Arial Narrow" w:hAnsi="Arial Narrow"/>
                <w:sz w:val="19"/>
                <w:szCs w:val="19"/>
              </w:rPr>
            </w:pPr>
            <w:r w:rsidRPr="005373A8">
              <w:rPr>
                <w:rFonts w:ascii="Arial Narrow" w:hAnsi="Arial Narrow"/>
                <w:sz w:val="19"/>
                <w:szCs w:val="19"/>
              </w:rPr>
              <w:t>Number of patients</w:t>
            </w:r>
          </w:p>
        </w:tc>
        <w:tc>
          <w:tcPr>
            <w:tcW w:w="2393" w:type="pct"/>
          </w:tcPr>
          <w:p w:rsidR="002D271D" w:rsidRPr="005373A8" w:rsidRDefault="006D3878" w:rsidP="002D271D">
            <w:pPr>
              <w:jc w:val="left"/>
              <w:rPr>
                <w:rFonts w:ascii="Arial Narrow" w:hAnsi="Arial Narrow"/>
                <w:sz w:val="19"/>
                <w:szCs w:val="19"/>
              </w:rPr>
            </w:pPr>
            <w:r>
              <w:rPr>
                <w:rFonts w:ascii="Arial Narrow" w:hAnsi="Arial Narrow"/>
                <w:noProof/>
                <w:color w:val="000000"/>
                <w:sz w:val="19"/>
                <w:szCs w:val="19"/>
                <w:highlight w:val="black"/>
              </w:rPr>
              <w:t>'''''''</w:t>
            </w:r>
            <w:r w:rsidR="002D271D" w:rsidRPr="005373A8">
              <w:rPr>
                <w:rFonts w:ascii="Arial Narrow" w:hAnsi="Arial Narrow"/>
                <w:sz w:val="19"/>
                <w:szCs w:val="19"/>
              </w:rPr>
              <w:t xml:space="preserve"> in Year 1 increasing to </w:t>
            </w:r>
            <w:r>
              <w:rPr>
                <w:rFonts w:ascii="Arial Narrow" w:hAnsi="Arial Narrow"/>
                <w:noProof/>
                <w:color w:val="000000"/>
                <w:sz w:val="19"/>
                <w:szCs w:val="19"/>
                <w:highlight w:val="black"/>
              </w:rPr>
              <w:t>'''''''''</w:t>
            </w:r>
            <w:r w:rsidR="002D271D" w:rsidRPr="005373A8">
              <w:rPr>
                <w:rFonts w:ascii="Arial Narrow" w:hAnsi="Arial Narrow"/>
                <w:sz w:val="19"/>
                <w:szCs w:val="19"/>
              </w:rPr>
              <w:t xml:space="preserve"> in Year 5.</w:t>
            </w:r>
          </w:p>
          <w:p w:rsidR="002D271D" w:rsidRPr="00250AF3" w:rsidRDefault="002D271D" w:rsidP="002D271D">
            <w:pPr>
              <w:jc w:val="left"/>
              <w:rPr>
                <w:rFonts w:ascii="Arial Narrow" w:hAnsi="Arial Narrow"/>
                <w:sz w:val="19"/>
                <w:szCs w:val="19"/>
              </w:rPr>
            </w:pPr>
          </w:p>
          <w:p w:rsidR="002D271D" w:rsidRPr="005373A8" w:rsidRDefault="002D271D" w:rsidP="002D271D">
            <w:pPr>
              <w:pStyle w:val="Tabletext"/>
            </w:pPr>
            <w:r w:rsidRPr="005373A8">
              <w:rPr>
                <w:b/>
              </w:rPr>
              <w:t>PBAC Comment:</w:t>
            </w:r>
            <w:r w:rsidRPr="005373A8">
              <w:t xml:space="preserve"> PBAC considered the sponsor’s assumption in year five that one in ten patients would be new (initiating) inappropriate.  I</w:t>
            </w:r>
            <w:r w:rsidR="00AF463A" w:rsidRPr="005373A8">
              <w:t>t wa</w:t>
            </w:r>
            <w:r w:rsidRPr="005373A8">
              <w:t>s imperative that robust estimates of the numbers of patients requiring second or s</w:t>
            </w:r>
            <w:r w:rsidR="00AF463A" w:rsidRPr="005373A8">
              <w:t>ubsequent line therapy for CLL we</w:t>
            </w:r>
            <w:r w:rsidRPr="005373A8">
              <w:t>re generated.</w:t>
            </w:r>
          </w:p>
        </w:tc>
        <w:tc>
          <w:tcPr>
            <w:tcW w:w="2028" w:type="pct"/>
          </w:tcPr>
          <w:p w:rsidR="002D271D" w:rsidRPr="005373A8" w:rsidRDefault="006D3878" w:rsidP="002D271D">
            <w:pPr>
              <w:jc w:val="left"/>
              <w:rPr>
                <w:rFonts w:ascii="Arial Narrow" w:hAnsi="Arial Narrow"/>
                <w:sz w:val="19"/>
                <w:szCs w:val="19"/>
              </w:rPr>
            </w:pPr>
            <w:r>
              <w:rPr>
                <w:rFonts w:ascii="Arial Narrow" w:hAnsi="Arial Narrow"/>
                <w:noProof/>
                <w:color w:val="000000"/>
                <w:sz w:val="19"/>
                <w:szCs w:val="19"/>
                <w:highlight w:val="black"/>
              </w:rPr>
              <w:t>'''''''</w:t>
            </w:r>
            <w:r w:rsidR="002D271D" w:rsidRPr="005373A8">
              <w:rPr>
                <w:rFonts w:ascii="Arial Narrow" w:hAnsi="Arial Narrow"/>
                <w:sz w:val="19"/>
                <w:szCs w:val="19"/>
              </w:rPr>
              <w:t xml:space="preserve"> in Year 1 increasing to </w:t>
            </w:r>
            <w:r>
              <w:rPr>
                <w:rFonts w:ascii="Arial Narrow" w:hAnsi="Arial Narrow"/>
                <w:noProof/>
                <w:color w:val="000000"/>
                <w:sz w:val="19"/>
                <w:szCs w:val="19"/>
                <w:highlight w:val="black"/>
              </w:rPr>
              <w:t xml:space="preserve">''''''''' </w:t>
            </w:r>
            <w:r w:rsidR="002D271D" w:rsidRPr="005373A8">
              <w:rPr>
                <w:rFonts w:ascii="Arial Narrow" w:hAnsi="Arial Narrow"/>
                <w:sz w:val="19"/>
                <w:szCs w:val="19"/>
              </w:rPr>
              <w:t>in Year 5.</w:t>
            </w:r>
          </w:p>
          <w:p w:rsidR="00304B7A" w:rsidRPr="005373A8" w:rsidRDefault="00304B7A" w:rsidP="00304B7A">
            <w:pPr>
              <w:jc w:val="left"/>
              <w:rPr>
                <w:rFonts w:ascii="Arial Narrow" w:hAnsi="Arial Narrow"/>
                <w:i/>
                <w:sz w:val="19"/>
                <w:szCs w:val="19"/>
              </w:rPr>
            </w:pPr>
            <w:r w:rsidRPr="005373A8">
              <w:rPr>
                <w:rFonts w:ascii="Arial Narrow" w:hAnsi="Arial Narrow"/>
                <w:i/>
                <w:sz w:val="19"/>
                <w:szCs w:val="19"/>
              </w:rPr>
              <w:t xml:space="preserve">Prevalence and incidence approach: </w:t>
            </w:r>
            <w:r w:rsidR="00A61D1D" w:rsidRPr="005373A8">
              <w:rPr>
                <w:rFonts w:ascii="Arial Narrow" w:hAnsi="Arial Narrow"/>
                <w:i/>
                <w:sz w:val="19"/>
                <w:szCs w:val="19"/>
              </w:rPr>
              <w:t xml:space="preserve"> </w:t>
            </w:r>
            <w:r w:rsidR="006D3878">
              <w:rPr>
                <w:rFonts w:ascii="Arial Narrow" w:hAnsi="Arial Narrow"/>
                <w:i/>
                <w:noProof/>
                <w:color w:val="000000"/>
                <w:sz w:val="19"/>
                <w:szCs w:val="19"/>
                <w:highlight w:val="black"/>
              </w:rPr>
              <w:t>''''''''''</w:t>
            </w:r>
            <w:r w:rsidR="00A61D1D" w:rsidRPr="005373A8">
              <w:rPr>
                <w:rFonts w:ascii="Arial Narrow" w:hAnsi="Arial Narrow"/>
                <w:i/>
                <w:sz w:val="19"/>
                <w:szCs w:val="19"/>
              </w:rPr>
              <w:t xml:space="preserve"> in Year 1, decreasing to </w:t>
            </w:r>
            <w:r w:rsidR="006D3878">
              <w:rPr>
                <w:rFonts w:ascii="Arial Narrow" w:hAnsi="Arial Narrow"/>
                <w:i/>
                <w:noProof/>
                <w:color w:val="000000"/>
                <w:sz w:val="19"/>
                <w:szCs w:val="19"/>
                <w:highlight w:val="black"/>
              </w:rPr>
              <w:t>''''''</w:t>
            </w:r>
            <w:r w:rsidRPr="005373A8">
              <w:rPr>
                <w:rFonts w:ascii="Arial Narrow" w:hAnsi="Arial Narrow"/>
                <w:i/>
                <w:sz w:val="19"/>
                <w:szCs w:val="19"/>
              </w:rPr>
              <w:t xml:space="preserve"> in Year 5. </w:t>
            </w:r>
          </w:p>
        </w:tc>
      </w:tr>
      <w:tr w:rsidR="00BE776F" w:rsidRPr="005373A8" w:rsidTr="00A34711">
        <w:trPr>
          <w:cantSplit/>
          <w:trHeight w:val="20"/>
        </w:trPr>
        <w:tc>
          <w:tcPr>
            <w:tcW w:w="579" w:type="pct"/>
          </w:tcPr>
          <w:p w:rsidR="002D271D" w:rsidRPr="005373A8" w:rsidRDefault="002D271D" w:rsidP="002D271D">
            <w:pPr>
              <w:jc w:val="left"/>
              <w:rPr>
                <w:rFonts w:ascii="Arial Narrow" w:hAnsi="Arial Narrow"/>
                <w:sz w:val="19"/>
                <w:szCs w:val="19"/>
              </w:rPr>
            </w:pPr>
            <w:r w:rsidRPr="005373A8">
              <w:rPr>
                <w:rFonts w:ascii="Arial Narrow" w:hAnsi="Arial Narrow"/>
                <w:sz w:val="19"/>
                <w:szCs w:val="19"/>
              </w:rPr>
              <w:t>Estimated cost to PBS</w:t>
            </w:r>
            <w:r w:rsidR="0042318B" w:rsidRPr="005373A8">
              <w:rPr>
                <w:rFonts w:ascii="Arial Narrow" w:hAnsi="Arial Narrow"/>
                <w:sz w:val="19"/>
                <w:szCs w:val="19"/>
              </w:rPr>
              <w:t>/RPBS</w:t>
            </w:r>
          </w:p>
        </w:tc>
        <w:tc>
          <w:tcPr>
            <w:tcW w:w="2393" w:type="pct"/>
          </w:tcPr>
          <w:p w:rsidR="00304B7A" w:rsidRPr="005373A8" w:rsidRDefault="002D271D" w:rsidP="002D271D">
            <w:pPr>
              <w:jc w:val="left"/>
              <w:rPr>
                <w:rFonts w:ascii="Arial Narrow" w:hAnsi="Arial Narrow"/>
                <w:sz w:val="19"/>
                <w:szCs w:val="19"/>
              </w:rPr>
            </w:pPr>
            <w:r w:rsidRPr="005373A8">
              <w:rPr>
                <w:rFonts w:ascii="Arial Narrow" w:hAnsi="Arial Narrow"/>
                <w:sz w:val="19"/>
                <w:szCs w:val="19"/>
              </w:rPr>
              <w:t>$</w:t>
            </w:r>
            <w:r w:rsidR="006D3878">
              <w:rPr>
                <w:rFonts w:ascii="Arial Narrow" w:hAnsi="Arial Narrow"/>
                <w:noProof/>
                <w:color w:val="000000"/>
                <w:sz w:val="19"/>
                <w:szCs w:val="19"/>
                <w:highlight w:val="black"/>
              </w:rPr>
              <w:t>'''''''''''''''''''''''''''</w:t>
            </w:r>
            <w:r w:rsidRPr="005373A8">
              <w:rPr>
                <w:rFonts w:ascii="Arial Narrow" w:hAnsi="Arial Narrow"/>
                <w:sz w:val="19"/>
                <w:szCs w:val="19"/>
              </w:rPr>
              <w:t xml:space="preserve"> in Year 5</w:t>
            </w:r>
          </w:p>
          <w:p w:rsidR="002D271D" w:rsidRPr="005373A8" w:rsidRDefault="002D271D" w:rsidP="002D271D">
            <w:pPr>
              <w:jc w:val="left"/>
              <w:rPr>
                <w:rFonts w:ascii="Arial Narrow" w:hAnsi="Arial Narrow"/>
                <w:sz w:val="19"/>
                <w:szCs w:val="19"/>
              </w:rPr>
            </w:pPr>
            <w:r w:rsidRPr="005373A8">
              <w:rPr>
                <w:rFonts w:ascii="Arial Narrow" w:hAnsi="Arial Narrow"/>
                <w:sz w:val="19"/>
                <w:szCs w:val="19"/>
              </w:rPr>
              <w:t>$</w:t>
            </w:r>
            <w:r w:rsidR="006D3878">
              <w:rPr>
                <w:rFonts w:ascii="Arial Narrow" w:hAnsi="Arial Narrow"/>
                <w:noProof/>
                <w:color w:val="000000"/>
                <w:sz w:val="19"/>
                <w:szCs w:val="19"/>
                <w:highlight w:val="black"/>
              </w:rPr>
              <w:t>''''''''''''''''''''''''</w:t>
            </w:r>
            <w:r w:rsidRPr="005373A8">
              <w:rPr>
                <w:rFonts w:ascii="Arial Narrow" w:hAnsi="Arial Narrow"/>
                <w:sz w:val="19"/>
                <w:szCs w:val="19"/>
              </w:rPr>
              <w:t xml:space="preserve"> over the first 5 years of listing.</w:t>
            </w:r>
          </w:p>
          <w:p w:rsidR="002D271D" w:rsidRPr="005373A8" w:rsidRDefault="002D271D" w:rsidP="002D271D">
            <w:pPr>
              <w:jc w:val="left"/>
              <w:rPr>
                <w:rFonts w:ascii="Arial Narrow" w:hAnsi="Arial Narrow"/>
                <w:sz w:val="19"/>
                <w:szCs w:val="19"/>
              </w:rPr>
            </w:pPr>
          </w:p>
          <w:p w:rsidR="002D271D" w:rsidRPr="005373A8" w:rsidRDefault="002D271D" w:rsidP="002D271D">
            <w:pPr>
              <w:jc w:val="left"/>
              <w:rPr>
                <w:rFonts w:ascii="Arial Narrow" w:hAnsi="Arial Narrow"/>
                <w:sz w:val="19"/>
                <w:szCs w:val="19"/>
              </w:rPr>
            </w:pPr>
            <w:r w:rsidRPr="005373A8">
              <w:rPr>
                <w:rFonts w:ascii="Arial Narrow" w:hAnsi="Arial Narrow"/>
                <w:b/>
                <w:sz w:val="19"/>
                <w:szCs w:val="19"/>
              </w:rPr>
              <w:t>PBAC Comment:</w:t>
            </w:r>
            <w:r w:rsidRPr="005373A8">
              <w:rPr>
                <w:rFonts w:ascii="Arial Narrow" w:hAnsi="Arial Narrow"/>
                <w:sz w:val="19"/>
                <w:szCs w:val="19"/>
              </w:rPr>
              <w:t xml:space="preserve"> </w:t>
            </w:r>
            <w:r w:rsidRPr="005373A8">
              <w:rPr>
                <w:rStyle w:val="TabletextChar"/>
                <w:sz w:val="20"/>
              </w:rPr>
              <w:t>The PBAC considered that the financial estimates should not include any cost-offsets for the use of rituximab a</w:t>
            </w:r>
            <w:r w:rsidR="00AF463A" w:rsidRPr="005373A8">
              <w:rPr>
                <w:rStyle w:val="TabletextChar"/>
                <w:sz w:val="20"/>
              </w:rPr>
              <w:t>s monotherapy because such use wa</w:t>
            </w:r>
            <w:r w:rsidRPr="005373A8">
              <w:rPr>
                <w:rStyle w:val="TabletextChar"/>
                <w:sz w:val="20"/>
              </w:rPr>
              <w:t>s outside the PBS restriction for rituximab</w:t>
            </w:r>
          </w:p>
        </w:tc>
        <w:tc>
          <w:tcPr>
            <w:tcW w:w="2028" w:type="pct"/>
          </w:tcPr>
          <w:p w:rsidR="002D271D" w:rsidRPr="005373A8" w:rsidRDefault="002D271D" w:rsidP="002D271D">
            <w:pPr>
              <w:jc w:val="left"/>
              <w:rPr>
                <w:rFonts w:ascii="Arial Narrow" w:hAnsi="Arial Narrow"/>
                <w:sz w:val="19"/>
                <w:szCs w:val="19"/>
              </w:rPr>
            </w:pPr>
            <w:r w:rsidRPr="005373A8">
              <w:rPr>
                <w:rFonts w:ascii="Arial Narrow" w:hAnsi="Arial Narrow"/>
                <w:sz w:val="19"/>
                <w:szCs w:val="19"/>
              </w:rPr>
              <w:t>$</w:t>
            </w:r>
            <w:r w:rsidR="006D3878">
              <w:rPr>
                <w:rFonts w:ascii="Arial Narrow" w:hAnsi="Arial Narrow"/>
                <w:noProof/>
                <w:color w:val="000000"/>
                <w:sz w:val="19"/>
                <w:szCs w:val="19"/>
                <w:highlight w:val="black"/>
              </w:rPr>
              <w:t>'''''''''''''''''''''''</w:t>
            </w:r>
            <w:r w:rsidRPr="005373A8">
              <w:rPr>
                <w:rFonts w:ascii="Arial Narrow" w:hAnsi="Arial Narrow"/>
                <w:sz w:val="19"/>
                <w:szCs w:val="19"/>
              </w:rPr>
              <w:t xml:space="preserve"> in Year 5 for a total of $</w:t>
            </w:r>
            <w:r w:rsidR="006D3878">
              <w:rPr>
                <w:rFonts w:ascii="Arial Narrow" w:hAnsi="Arial Narrow"/>
                <w:noProof/>
                <w:color w:val="000000"/>
                <w:sz w:val="19"/>
                <w:szCs w:val="19"/>
                <w:highlight w:val="black"/>
              </w:rPr>
              <w:t>'''''''''''''''''''''''''''''</w:t>
            </w:r>
            <w:r w:rsidRPr="005373A8">
              <w:rPr>
                <w:rFonts w:ascii="Arial Narrow" w:hAnsi="Arial Narrow"/>
                <w:sz w:val="19"/>
                <w:szCs w:val="19"/>
              </w:rPr>
              <w:t xml:space="preserve"> over the first 5 years of listing.</w:t>
            </w:r>
            <w:r w:rsidR="0042318B" w:rsidRPr="005373A8">
              <w:rPr>
                <w:rFonts w:ascii="Arial Narrow" w:hAnsi="Arial Narrow"/>
                <w:sz w:val="19"/>
                <w:szCs w:val="19"/>
              </w:rPr>
              <w:t xml:space="preserve"> Rituximab monotherapy cost-offsets included.</w:t>
            </w:r>
          </w:p>
          <w:p w:rsidR="0042318B" w:rsidRPr="005373A8" w:rsidRDefault="0042318B" w:rsidP="002D271D">
            <w:pPr>
              <w:jc w:val="left"/>
              <w:rPr>
                <w:rFonts w:ascii="Arial Narrow" w:hAnsi="Arial Narrow"/>
                <w:sz w:val="19"/>
                <w:szCs w:val="19"/>
              </w:rPr>
            </w:pPr>
          </w:p>
          <w:p w:rsidR="0042318B" w:rsidRPr="005373A8" w:rsidRDefault="0042318B" w:rsidP="002D271D">
            <w:pPr>
              <w:jc w:val="left"/>
              <w:rPr>
                <w:rFonts w:ascii="Arial Narrow" w:hAnsi="Arial Narrow"/>
                <w:sz w:val="19"/>
                <w:szCs w:val="19"/>
              </w:rPr>
            </w:pPr>
            <w:r w:rsidRPr="005373A8">
              <w:rPr>
                <w:rFonts w:ascii="Arial Narrow" w:hAnsi="Arial Narrow"/>
                <w:sz w:val="19"/>
                <w:szCs w:val="19"/>
              </w:rPr>
              <w:t>Prevalence/incidence approach:</w:t>
            </w:r>
          </w:p>
          <w:p w:rsidR="0042318B" w:rsidRPr="005373A8" w:rsidRDefault="009F7244" w:rsidP="00A61D1D">
            <w:pPr>
              <w:jc w:val="left"/>
              <w:rPr>
                <w:rFonts w:ascii="Arial Narrow" w:hAnsi="Arial Narrow"/>
                <w:sz w:val="19"/>
                <w:szCs w:val="19"/>
              </w:rPr>
            </w:pPr>
            <w:r w:rsidRPr="005373A8">
              <w:rPr>
                <w:rFonts w:ascii="Arial Narrow" w:hAnsi="Arial Narrow"/>
                <w:sz w:val="19"/>
                <w:szCs w:val="19"/>
              </w:rPr>
              <w:t>$</w:t>
            </w:r>
            <w:r w:rsidR="006D3878">
              <w:rPr>
                <w:rFonts w:ascii="Arial Narrow" w:hAnsi="Arial Narrow"/>
                <w:noProof/>
                <w:color w:val="000000"/>
                <w:sz w:val="19"/>
                <w:szCs w:val="19"/>
                <w:highlight w:val="black"/>
              </w:rPr>
              <w:t>'''''''''''''''''''''</w:t>
            </w:r>
            <w:r w:rsidRPr="005373A8">
              <w:rPr>
                <w:rFonts w:ascii="Arial Narrow" w:hAnsi="Arial Narrow"/>
                <w:sz w:val="19"/>
                <w:szCs w:val="19"/>
              </w:rPr>
              <w:t xml:space="preserve"> in Year 5 for a total of $</w:t>
            </w:r>
            <w:r w:rsidR="006D3878">
              <w:rPr>
                <w:rFonts w:ascii="Arial Narrow" w:hAnsi="Arial Narrow"/>
                <w:noProof/>
                <w:color w:val="000000"/>
                <w:sz w:val="19"/>
                <w:szCs w:val="19"/>
                <w:highlight w:val="black"/>
              </w:rPr>
              <w:t>'''''''''''''''''''''''''</w:t>
            </w:r>
            <w:r w:rsidRPr="005373A8">
              <w:rPr>
                <w:rFonts w:ascii="Arial Narrow" w:hAnsi="Arial Narrow"/>
                <w:sz w:val="19"/>
                <w:szCs w:val="19"/>
              </w:rPr>
              <w:t xml:space="preserve"> over the first 5 years of listing. Rituximab monotherapy cost-offsets excluded.</w:t>
            </w:r>
          </w:p>
        </w:tc>
      </w:tr>
      <w:tr w:rsidR="00BE776F" w:rsidRPr="005373A8" w:rsidTr="00A34711">
        <w:trPr>
          <w:cantSplit/>
          <w:trHeight w:val="20"/>
        </w:trPr>
        <w:tc>
          <w:tcPr>
            <w:tcW w:w="579" w:type="pct"/>
          </w:tcPr>
          <w:p w:rsidR="002D271D" w:rsidRPr="005373A8" w:rsidRDefault="002D271D" w:rsidP="002D271D">
            <w:pPr>
              <w:jc w:val="left"/>
              <w:rPr>
                <w:rFonts w:ascii="Arial Narrow" w:hAnsi="Arial Narrow"/>
                <w:sz w:val="19"/>
                <w:szCs w:val="19"/>
              </w:rPr>
            </w:pPr>
            <w:r w:rsidRPr="005373A8">
              <w:rPr>
                <w:rFonts w:ascii="Arial Narrow" w:hAnsi="Arial Narrow"/>
              </w:rPr>
              <w:br w:type="page"/>
            </w:r>
            <w:r w:rsidRPr="005373A8">
              <w:rPr>
                <w:rFonts w:ascii="Arial Narrow" w:hAnsi="Arial Narrow"/>
                <w:sz w:val="19"/>
                <w:szCs w:val="19"/>
              </w:rPr>
              <w:t>PBAC decision</w:t>
            </w:r>
          </w:p>
        </w:tc>
        <w:tc>
          <w:tcPr>
            <w:tcW w:w="2393" w:type="pct"/>
          </w:tcPr>
          <w:p w:rsidR="002D271D" w:rsidRPr="005373A8" w:rsidRDefault="002D271D" w:rsidP="00BB180F">
            <w:pPr>
              <w:jc w:val="left"/>
              <w:rPr>
                <w:rFonts w:ascii="Arial Narrow" w:hAnsi="Arial Narrow"/>
                <w:sz w:val="19"/>
                <w:szCs w:val="19"/>
              </w:rPr>
            </w:pPr>
            <w:r w:rsidRPr="005373A8">
              <w:rPr>
                <w:rFonts w:ascii="Arial Narrow" w:hAnsi="Arial Narrow"/>
                <w:sz w:val="19"/>
                <w:szCs w:val="19"/>
              </w:rPr>
              <w:t>Reject.</w:t>
            </w:r>
          </w:p>
        </w:tc>
        <w:tc>
          <w:tcPr>
            <w:tcW w:w="2028" w:type="pct"/>
          </w:tcPr>
          <w:p w:rsidR="002D271D" w:rsidRPr="005373A8" w:rsidRDefault="002D271D" w:rsidP="002D271D">
            <w:pPr>
              <w:jc w:val="left"/>
              <w:rPr>
                <w:rFonts w:ascii="Arial Narrow" w:hAnsi="Arial Narrow"/>
                <w:sz w:val="19"/>
                <w:szCs w:val="19"/>
              </w:rPr>
            </w:pPr>
            <w:r w:rsidRPr="005373A8">
              <w:rPr>
                <w:rFonts w:ascii="Arial Narrow" w:hAnsi="Arial Narrow"/>
                <w:sz w:val="19"/>
                <w:szCs w:val="19"/>
              </w:rPr>
              <w:t>-</w:t>
            </w:r>
          </w:p>
        </w:tc>
      </w:tr>
    </w:tbl>
    <w:p w:rsidR="00B60939" w:rsidRPr="005373A8" w:rsidRDefault="001D112E" w:rsidP="002D271D">
      <w:pPr>
        <w:pStyle w:val="TableFooter"/>
        <w:ind w:left="720"/>
      </w:pPr>
      <w:r w:rsidRPr="005373A8">
        <w:t xml:space="preserve">Source: </w:t>
      </w:r>
      <w:r w:rsidR="00302DB6" w:rsidRPr="005373A8">
        <w:t>c</w:t>
      </w:r>
      <w:r w:rsidRPr="005373A8">
        <w:t>ompiled during the evaluation</w:t>
      </w:r>
    </w:p>
    <w:p w:rsidR="0042318B" w:rsidRPr="005373A8" w:rsidRDefault="0042318B" w:rsidP="002D271D">
      <w:pPr>
        <w:pStyle w:val="TableFooter"/>
        <w:ind w:left="720"/>
      </w:pPr>
      <w:r w:rsidRPr="005373A8">
        <w:t>QALY =</w:t>
      </w:r>
      <w:r w:rsidR="008846AC" w:rsidRPr="005373A8">
        <w:t xml:space="preserve"> quality-adjusted life year</w:t>
      </w:r>
      <w:r w:rsidRPr="005373A8">
        <w:t xml:space="preserve">; RPSFT = </w:t>
      </w:r>
      <w:r w:rsidR="008846AC" w:rsidRPr="005373A8">
        <w:t xml:space="preserve">rank preserving </w:t>
      </w:r>
      <w:r w:rsidR="00FE5988" w:rsidRPr="005373A8">
        <w:t>s</w:t>
      </w:r>
      <w:r w:rsidR="00D53EF2" w:rsidRPr="005373A8">
        <w:t>tructural</w:t>
      </w:r>
      <w:r w:rsidR="00FE5988" w:rsidRPr="005373A8">
        <w:t xml:space="preserve"> </w:t>
      </w:r>
      <w:r w:rsidR="008846AC" w:rsidRPr="005373A8">
        <w:t>failure time</w:t>
      </w:r>
      <w:r w:rsidRPr="005373A8">
        <w:t xml:space="preserve">; ICER = </w:t>
      </w:r>
      <w:r w:rsidR="008846AC" w:rsidRPr="005373A8">
        <w:t>incremental cost-effectiveness ratio</w:t>
      </w:r>
      <w:r w:rsidRPr="005373A8">
        <w:t>; CLL =</w:t>
      </w:r>
      <w:r w:rsidR="008846AC" w:rsidRPr="005373A8">
        <w:t xml:space="preserve"> chronic lymphocytic leukaemia</w:t>
      </w:r>
      <w:r w:rsidRPr="005373A8">
        <w:t xml:space="preserve">; SLL = </w:t>
      </w:r>
      <w:r w:rsidR="008846AC" w:rsidRPr="005373A8">
        <w:t>small lymphocytic lymphoma</w:t>
      </w:r>
      <w:r w:rsidRPr="005373A8">
        <w:t xml:space="preserve">; HR = </w:t>
      </w:r>
      <w:r w:rsidR="008846AC" w:rsidRPr="005373A8">
        <w:t>hazard ratio</w:t>
      </w:r>
      <w:r w:rsidRPr="005373A8">
        <w:t xml:space="preserve">; RD = </w:t>
      </w:r>
      <w:r w:rsidR="008846AC" w:rsidRPr="005373A8">
        <w:t>risk difference</w:t>
      </w:r>
      <w:r w:rsidR="004A32C1" w:rsidRPr="005373A8">
        <w:t xml:space="preserve">; PFS =  </w:t>
      </w:r>
      <w:r w:rsidR="008846AC" w:rsidRPr="005373A8">
        <w:t>progression free survival</w:t>
      </w:r>
      <w:r w:rsidRPr="005373A8">
        <w:t xml:space="preserve">; OS = </w:t>
      </w:r>
      <w:r w:rsidR="008846AC" w:rsidRPr="005373A8">
        <w:t>overall survival</w:t>
      </w:r>
      <w:r w:rsidRPr="005373A8">
        <w:t xml:space="preserve">; ACPM = </w:t>
      </w:r>
      <w:r w:rsidR="008846AC" w:rsidRPr="005373A8">
        <w:t>Advisory Committee on Prescription Medicines</w:t>
      </w:r>
      <w:r w:rsidR="004A32C1" w:rsidRPr="005373A8">
        <w:t xml:space="preserve">; TGA  =  </w:t>
      </w:r>
      <w:r w:rsidR="008846AC" w:rsidRPr="005373A8">
        <w:t>Therapeutic Goods Administration</w:t>
      </w:r>
      <w:r w:rsidRPr="005373A8">
        <w:t xml:space="preserve">; DPMQ = </w:t>
      </w:r>
      <w:r w:rsidR="008846AC" w:rsidRPr="005373A8">
        <w:t>dispensed price for maximum quantity</w:t>
      </w:r>
      <w:r w:rsidRPr="005373A8">
        <w:t xml:space="preserve">; BSC = </w:t>
      </w:r>
      <w:r w:rsidR="008846AC" w:rsidRPr="005373A8">
        <w:t>best supportive care</w:t>
      </w:r>
      <w:r w:rsidRPr="005373A8">
        <w:t xml:space="preserve">; </w:t>
      </w:r>
      <w:r w:rsidR="00487805" w:rsidRPr="005373A8">
        <w:t xml:space="preserve">IR = idelalisib plus rituximab; </w:t>
      </w:r>
      <w:r w:rsidRPr="005373A8">
        <w:t xml:space="preserve">PBAC = </w:t>
      </w:r>
      <w:r w:rsidR="008846AC" w:rsidRPr="005373A8">
        <w:t>Pharmaceutical Benefits Advisory Committee</w:t>
      </w:r>
      <w:r w:rsidR="00D226E7" w:rsidRPr="005373A8">
        <w:t>; PBS = Pharmaceutical Benefits Scheme; RPBS = Repatriation Pharmaceutical Benefits Scheme; CI = confidence interval</w:t>
      </w:r>
      <w:r w:rsidR="00543102" w:rsidRPr="005373A8">
        <w:t>;</w:t>
      </w:r>
      <w:r w:rsidR="00C5420B" w:rsidRPr="005373A8">
        <w:t xml:space="preserve"> RPSFT = rank preserving structural survival failure time;</w:t>
      </w:r>
      <w:r w:rsidR="00543102" w:rsidRPr="005373A8">
        <w:t xml:space="preserve"> </w:t>
      </w:r>
      <w:r w:rsidR="00543102" w:rsidRPr="005373A8">
        <w:rPr>
          <w:b/>
        </w:rPr>
        <w:t>Bold</w:t>
      </w:r>
      <w:r w:rsidR="00543102" w:rsidRPr="005373A8">
        <w:t xml:space="preserve"> = </w:t>
      </w:r>
      <w:r w:rsidR="00C827C3" w:rsidRPr="005373A8">
        <w:t>statistically significant</w:t>
      </w:r>
    </w:p>
    <w:p w:rsidR="0018203D" w:rsidRPr="005373A8" w:rsidRDefault="0018203D" w:rsidP="0018203D">
      <w:pPr>
        <w:widowControl/>
      </w:pPr>
    </w:p>
    <w:p w:rsidR="0042318B" w:rsidRDefault="0042318B" w:rsidP="0018203D">
      <w:pPr>
        <w:pStyle w:val="ListParagraph"/>
        <w:widowControl/>
        <w:numPr>
          <w:ilvl w:val="1"/>
          <w:numId w:val="5"/>
        </w:numPr>
      </w:pPr>
      <w:r w:rsidRPr="00B52707">
        <w:t>At the November 2015 PBAC meeting, idelalisib monotherapy for the treatment of</w:t>
      </w:r>
      <w:r>
        <w:t xml:space="preserve"> patients with relapsed/refractory follicular ly</w:t>
      </w:r>
      <w:r w:rsidR="005373A8">
        <w:t>mphoma will also be considered.</w:t>
      </w:r>
    </w:p>
    <w:p w:rsidR="0029025B" w:rsidRDefault="0029025B" w:rsidP="0029025B">
      <w:pPr>
        <w:pStyle w:val="ListParagraph"/>
        <w:widowControl/>
        <w:spacing w:line="480" w:lineRule="auto"/>
      </w:pPr>
    </w:p>
    <w:p w:rsidR="00F338FF" w:rsidRPr="00407F2D" w:rsidRDefault="00F338FF" w:rsidP="001E3D25">
      <w:pPr>
        <w:pStyle w:val="Heading1"/>
      </w:pPr>
      <w:bookmarkStart w:id="5" w:name="_Toc430012377"/>
      <w:r w:rsidRPr="00407F2D">
        <w:t>Clinical place for the proposed therapy</w:t>
      </w:r>
      <w:bookmarkEnd w:id="5"/>
    </w:p>
    <w:p w:rsidR="00B60939" w:rsidRDefault="00B60939" w:rsidP="00B60939">
      <w:pPr>
        <w:rPr>
          <w:szCs w:val="22"/>
        </w:rPr>
      </w:pPr>
    </w:p>
    <w:p w:rsidR="00497F10" w:rsidRPr="00F338FF" w:rsidRDefault="002D271D" w:rsidP="004B69A7">
      <w:pPr>
        <w:pStyle w:val="ListParagraph"/>
        <w:widowControl/>
        <w:numPr>
          <w:ilvl w:val="1"/>
          <w:numId w:val="5"/>
        </w:numPr>
        <w:rPr>
          <w:szCs w:val="22"/>
        </w:rPr>
      </w:pPr>
      <w:r w:rsidRPr="0016058B">
        <w:t xml:space="preserve">Idelalisib </w:t>
      </w:r>
      <w:r>
        <w:t>wa</w:t>
      </w:r>
      <w:r w:rsidRPr="0016058B">
        <w:t xml:space="preserve">s </w:t>
      </w:r>
      <w:r>
        <w:t>evaluated</w:t>
      </w:r>
      <w:r w:rsidRPr="0016058B">
        <w:t xml:space="preserve"> as a second-line treatment for patients with relapsed CLL, </w:t>
      </w:r>
      <w:r>
        <w:t xml:space="preserve">who </w:t>
      </w:r>
      <w:r w:rsidR="00AF463A">
        <w:t>were</w:t>
      </w:r>
      <w:r>
        <w:t xml:space="preserve"> unfit for chemotherapy</w:t>
      </w:r>
      <w:r w:rsidRPr="0016058B">
        <w:t xml:space="preserve">. It </w:t>
      </w:r>
      <w:r>
        <w:t>should be</w:t>
      </w:r>
      <w:r w:rsidRPr="0016058B">
        <w:t xml:space="preserve"> used in combination with rituximab</w:t>
      </w:r>
      <w:r>
        <w:t>.</w:t>
      </w:r>
    </w:p>
    <w:p w:rsidR="00504583" w:rsidRDefault="00504583" w:rsidP="0029025B">
      <w:pPr>
        <w:widowControl/>
        <w:spacing w:line="480" w:lineRule="auto"/>
        <w:jc w:val="left"/>
        <w:rPr>
          <w:b/>
          <w:szCs w:val="22"/>
        </w:rPr>
      </w:pPr>
      <w:bookmarkStart w:id="6" w:name="_Toc430012378"/>
    </w:p>
    <w:p w:rsidR="00F338FF" w:rsidRPr="00407F2D" w:rsidRDefault="00F338FF" w:rsidP="001E3D25">
      <w:pPr>
        <w:pStyle w:val="Heading1"/>
      </w:pPr>
      <w:r w:rsidRPr="00407F2D">
        <w:t>Comparator</w:t>
      </w:r>
      <w:bookmarkEnd w:id="6"/>
    </w:p>
    <w:p w:rsidR="00497F10" w:rsidRPr="00882085" w:rsidRDefault="00497F10" w:rsidP="00577717"/>
    <w:p w:rsidR="002D271D" w:rsidRPr="00174DB9" w:rsidRDefault="005D1113" w:rsidP="004B69A7">
      <w:pPr>
        <w:pStyle w:val="ListParagraph"/>
        <w:widowControl/>
        <w:numPr>
          <w:ilvl w:val="1"/>
          <w:numId w:val="5"/>
        </w:numPr>
      </w:pPr>
      <w:r w:rsidRPr="00174DB9">
        <w:rPr>
          <w:rStyle w:val="BodyTextChar"/>
        </w:rPr>
        <w:t>The main comparator in the re</w:t>
      </w:r>
      <w:r w:rsidR="002D271D" w:rsidRPr="00174DB9">
        <w:rPr>
          <w:rStyle w:val="BodyTextChar"/>
        </w:rPr>
        <w:t xml:space="preserve">submission was best supportive care. This was recommended </w:t>
      </w:r>
      <w:r w:rsidR="009E7AF3">
        <w:rPr>
          <w:rStyle w:val="BodyTextChar"/>
        </w:rPr>
        <w:t>at</w:t>
      </w:r>
      <w:r w:rsidR="002D271D" w:rsidRPr="00174DB9">
        <w:rPr>
          <w:rStyle w:val="BodyTextChar"/>
        </w:rPr>
        <w:t xml:space="preserve"> the March 2015 PBAC meeting.</w:t>
      </w:r>
      <w:r w:rsidR="002D271D" w:rsidRPr="00174DB9">
        <w:t xml:space="preserve"> The comparator from the previous </w:t>
      </w:r>
      <w:r w:rsidR="002D271D" w:rsidRPr="00174DB9">
        <w:lastRenderedPageBreak/>
        <w:t>submission, rituximab monotherapy, was used as a proxy for best supportive care in the clinical evaluation. This was appropriate</w:t>
      </w:r>
      <w:r w:rsidR="00BB180F" w:rsidRPr="00174DB9">
        <w:t xml:space="preserve"> for the clinical efficacy but might be inappropriate for clinical safety</w:t>
      </w:r>
      <w:r w:rsidR="005373A8">
        <w:t>.</w:t>
      </w:r>
    </w:p>
    <w:p w:rsidR="00551567" w:rsidRDefault="00551567" w:rsidP="001E3D25">
      <w:pPr>
        <w:spacing w:line="480" w:lineRule="auto"/>
      </w:pPr>
    </w:p>
    <w:p w:rsidR="00D06FD4" w:rsidRPr="00407F2D" w:rsidRDefault="00472359" w:rsidP="001E3D25">
      <w:pPr>
        <w:pStyle w:val="Heading1"/>
      </w:pPr>
      <w:bookmarkStart w:id="7" w:name="_Toc430012379"/>
      <w:r>
        <w:t>C</w:t>
      </w:r>
      <w:r w:rsidR="00D06FD4" w:rsidRPr="00407F2D">
        <w:t>onsideration of the evidence</w:t>
      </w:r>
      <w:bookmarkEnd w:id="7"/>
    </w:p>
    <w:p w:rsidR="00EF2DE5" w:rsidRDefault="00EF2DE5" w:rsidP="00996B1A">
      <w:pPr>
        <w:widowControl/>
        <w:rPr>
          <w:bCs/>
          <w:szCs w:val="22"/>
          <w:highlight w:val="yellow"/>
        </w:rPr>
      </w:pPr>
    </w:p>
    <w:p w:rsidR="00EF2DE5" w:rsidRPr="001E3D25" w:rsidRDefault="00250AF3" w:rsidP="0023214B">
      <w:pPr>
        <w:pStyle w:val="Heading2"/>
      </w:pPr>
      <w:r w:rsidRPr="001E3D25">
        <w:t>Sponsor hearing</w:t>
      </w:r>
    </w:p>
    <w:p w:rsidR="00EF2DE5" w:rsidRPr="00250AF3" w:rsidRDefault="00EF2DE5" w:rsidP="00996B1A">
      <w:pPr>
        <w:widowControl/>
        <w:rPr>
          <w:bCs/>
          <w:szCs w:val="22"/>
        </w:rPr>
      </w:pPr>
    </w:p>
    <w:p w:rsidR="00B60939" w:rsidRDefault="00EF2DE5" w:rsidP="00EF2DE5">
      <w:pPr>
        <w:pStyle w:val="ListParagraph"/>
        <w:widowControl/>
        <w:numPr>
          <w:ilvl w:val="1"/>
          <w:numId w:val="5"/>
        </w:numPr>
        <w:rPr>
          <w:bCs/>
          <w:szCs w:val="22"/>
        </w:rPr>
      </w:pPr>
      <w:r w:rsidRPr="00EF2DE5">
        <w:rPr>
          <w:szCs w:val="22"/>
        </w:rPr>
        <w:t>There</w:t>
      </w:r>
      <w:r w:rsidRPr="00EF2DE5">
        <w:rPr>
          <w:bCs/>
          <w:szCs w:val="22"/>
        </w:rPr>
        <w:t xml:space="preserve"> was no hearing for this item</w:t>
      </w:r>
      <w:r w:rsidR="00250AF3">
        <w:rPr>
          <w:bCs/>
          <w:szCs w:val="22"/>
        </w:rPr>
        <w:t>.</w:t>
      </w:r>
    </w:p>
    <w:p w:rsidR="00EF2DE5" w:rsidRDefault="00EF2DE5" w:rsidP="00996B1A">
      <w:pPr>
        <w:widowControl/>
        <w:rPr>
          <w:bCs/>
          <w:szCs w:val="22"/>
        </w:rPr>
      </w:pPr>
    </w:p>
    <w:p w:rsidR="00EF2DE5" w:rsidRPr="001E3D25" w:rsidRDefault="00250AF3" w:rsidP="0023214B">
      <w:pPr>
        <w:pStyle w:val="Heading2"/>
      </w:pPr>
      <w:r w:rsidRPr="001E3D25">
        <w:t>Consumer comments</w:t>
      </w:r>
    </w:p>
    <w:p w:rsidR="00EF2DE5" w:rsidRPr="00250AF3" w:rsidRDefault="00EF2DE5" w:rsidP="00996B1A">
      <w:pPr>
        <w:widowControl/>
        <w:rPr>
          <w:szCs w:val="22"/>
        </w:rPr>
      </w:pPr>
    </w:p>
    <w:p w:rsidR="00EF2DE5" w:rsidRPr="00C25EEB" w:rsidRDefault="00EF2DE5" w:rsidP="00EF2DE5">
      <w:pPr>
        <w:pStyle w:val="ListParagraph"/>
        <w:widowControl/>
        <w:numPr>
          <w:ilvl w:val="1"/>
          <w:numId w:val="5"/>
        </w:numPr>
        <w:rPr>
          <w:szCs w:val="22"/>
        </w:rPr>
      </w:pPr>
      <w:r w:rsidRPr="00C25EEB">
        <w:rPr>
          <w:szCs w:val="22"/>
        </w:rPr>
        <w:t>The PBAC noted and welcomed the input from individuals (6) and organisations (1) via the Consumer Comments facility on the PBS website. The comments described</w:t>
      </w:r>
      <w:r w:rsidR="00C25EEB" w:rsidRPr="00C25EEB">
        <w:rPr>
          <w:szCs w:val="22"/>
        </w:rPr>
        <w:t xml:space="preserve"> a range of benefits of treatment with idelalisib for patients with CLL including increased survival with fewer adverse e</w:t>
      </w:r>
      <w:r w:rsidR="00250AF3">
        <w:rPr>
          <w:szCs w:val="22"/>
        </w:rPr>
        <w:t>vents compared to chemotherapy.</w:t>
      </w:r>
    </w:p>
    <w:p w:rsidR="00EF2DE5" w:rsidRPr="00250AF3" w:rsidRDefault="00EF2DE5" w:rsidP="001E3D25">
      <w:bookmarkStart w:id="8" w:name="_Toc430012380"/>
    </w:p>
    <w:p w:rsidR="00B60939" w:rsidRPr="001E3D25" w:rsidRDefault="00B60939" w:rsidP="00497F10">
      <w:pPr>
        <w:pStyle w:val="Heading2"/>
      </w:pPr>
      <w:r w:rsidRPr="001E3D25">
        <w:t>Clinical trials</w:t>
      </w:r>
      <w:bookmarkEnd w:id="8"/>
    </w:p>
    <w:p w:rsidR="00B60939" w:rsidRPr="00882085" w:rsidRDefault="00B60939" w:rsidP="00B60939">
      <w:pPr>
        <w:rPr>
          <w:szCs w:val="22"/>
        </w:rPr>
      </w:pPr>
    </w:p>
    <w:p w:rsidR="002D271D" w:rsidRPr="00174DB9" w:rsidRDefault="002D271D" w:rsidP="004B69A7">
      <w:pPr>
        <w:pStyle w:val="ListParagraph"/>
        <w:widowControl/>
        <w:numPr>
          <w:ilvl w:val="1"/>
          <w:numId w:val="5"/>
        </w:numPr>
        <w:rPr>
          <w:szCs w:val="22"/>
        </w:rPr>
      </w:pPr>
      <w:r w:rsidRPr="00174DB9">
        <w:t xml:space="preserve">The </w:t>
      </w:r>
      <w:r w:rsidR="005D1113" w:rsidRPr="00174DB9">
        <w:t>re</w:t>
      </w:r>
      <w:r w:rsidRPr="00174DB9">
        <w:t xml:space="preserve">submission was based on one head-to-head trial comparing idelalisib plus rituximab to </w:t>
      </w:r>
      <w:r w:rsidR="00162A48" w:rsidRPr="00174DB9">
        <w:t>placebo plus rituximab</w:t>
      </w:r>
      <w:r w:rsidRPr="00174DB9">
        <w:t xml:space="preserve"> (n=220). This </w:t>
      </w:r>
      <w:r w:rsidR="0042318B" w:rsidRPr="00174DB9">
        <w:t>wa</w:t>
      </w:r>
      <w:r w:rsidRPr="00174DB9">
        <w:t xml:space="preserve">s the same trial as </w:t>
      </w:r>
      <w:r w:rsidR="0042318B" w:rsidRPr="00174DB9">
        <w:t xml:space="preserve">presented in </w:t>
      </w:r>
      <w:r w:rsidRPr="00174DB9">
        <w:t>the previous submission. The resubmission presented t</w:t>
      </w:r>
      <w:r w:rsidR="00DB3AA0" w:rsidRPr="00174DB9">
        <w:t>he final analysis of data from T</w:t>
      </w:r>
      <w:r w:rsidRPr="00174DB9">
        <w:t xml:space="preserve">rial 312-0116, as opposed to the previous submission which presented the </w:t>
      </w:r>
      <w:r w:rsidR="0042318B" w:rsidRPr="00174DB9">
        <w:t xml:space="preserve">second </w:t>
      </w:r>
      <w:r w:rsidRPr="00174DB9">
        <w:t xml:space="preserve">interim analysis results of </w:t>
      </w:r>
      <w:r w:rsidR="00DB3AA0" w:rsidRPr="00174DB9">
        <w:t>T</w:t>
      </w:r>
      <w:r w:rsidRPr="00174DB9">
        <w:t>rial 312-0116</w:t>
      </w:r>
      <w:r w:rsidR="0042318B" w:rsidRPr="00174DB9">
        <w:t>.</w:t>
      </w:r>
    </w:p>
    <w:p w:rsidR="002D271D" w:rsidRPr="005373A8" w:rsidRDefault="002D271D" w:rsidP="002D271D">
      <w:pPr>
        <w:widowControl/>
        <w:rPr>
          <w:szCs w:val="22"/>
        </w:rPr>
      </w:pPr>
    </w:p>
    <w:p w:rsidR="002D271D" w:rsidRPr="00D06FD4" w:rsidRDefault="002D271D" w:rsidP="004B69A7">
      <w:pPr>
        <w:pStyle w:val="ListParagraph"/>
        <w:widowControl/>
        <w:numPr>
          <w:ilvl w:val="1"/>
          <w:numId w:val="5"/>
        </w:numPr>
        <w:rPr>
          <w:szCs w:val="22"/>
        </w:rPr>
      </w:pPr>
      <w:r w:rsidRPr="00D06FD4">
        <w:rPr>
          <w:szCs w:val="22"/>
        </w:rPr>
        <w:t>Details of the tr</w:t>
      </w:r>
      <w:r w:rsidR="002A0FC9">
        <w:rPr>
          <w:szCs w:val="22"/>
        </w:rPr>
        <w:t>ial</w:t>
      </w:r>
      <w:r w:rsidR="005D1113">
        <w:rPr>
          <w:szCs w:val="22"/>
        </w:rPr>
        <w:t xml:space="preserve"> presented in the re</w:t>
      </w:r>
      <w:r w:rsidRPr="00D06FD4">
        <w:rPr>
          <w:szCs w:val="22"/>
        </w:rPr>
        <w:t xml:space="preserve">submission </w:t>
      </w:r>
      <w:r w:rsidR="0073126B">
        <w:rPr>
          <w:szCs w:val="22"/>
        </w:rPr>
        <w:t xml:space="preserve">are </w:t>
      </w:r>
      <w:r w:rsidR="005373A8">
        <w:rPr>
          <w:szCs w:val="22"/>
        </w:rPr>
        <w:t>provided in the table below.</w:t>
      </w:r>
    </w:p>
    <w:p w:rsidR="002D271D" w:rsidRPr="001B6188" w:rsidRDefault="002D271D" w:rsidP="002D271D">
      <w:pPr>
        <w:widowControl/>
        <w:rPr>
          <w:szCs w:val="22"/>
        </w:rPr>
      </w:pPr>
    </w:p>
    <w:p w:rsidR="0029025B" w:rsidRPr="0029025B" w:rsidRDefault="0029025B" w:rsidP="0029025B">
      <w:pPr>
        <w:pStyle w:val="Caption"/>
        <w:keepNext/>
        <w:ind w:firstLine="720"/>
        <w:rPr>
          <w:rFonts w:ascii="Arial Narrow" w:hAnsi="Arial Narrow"/>
          <w:color w:val="auto"/>
          <w:sz w:val="20"/>
          <w:szCs w:val="20"/>
        </w:rPr>
      </w:pPr>
      <w:r w:rsidRPr="0029025B">
        <w:rPr>
          <w:rFonts w:ascii="Arial Narrow" w:hAnsi="Arial Narrow"/>
          <w:color w:val="auto"/>
          <w:sz w:val="20"/>
          <w:szCs w:val="20"/>
        </w:rPr>
        <w:t xml:space="preserve">Table </w:t>
      </w:r>
      <w:r w:rsidRPr="0029025B">
        <w:rPr>
          <w:rFonts w:ascii="Arial Narrow" w:hAnsi="Arial Narrow"/>
          <w:color w:val="auto"/>
          <w:sz w:val="20"/>
          <w:szCs w:val="20"/>
        </w:rPr>
        <w:fldChar w:fldCharType="begin"/>
      </w:r>
      <w:r w:rsidRPr="0029025B">
        <w:rPr>
          <w:rFonts w:ascii="Arial Narrow" w:hAnsi="Arial Narrow"/>
          <w:color w:val="auto"/>
          <w:sz w:val="20"/>
          <w:szCs w:val="20"/>
        </w:rPr>
        <w:instrText xml:space="preserve"> SEQ Table \* ARABIC </w:instrText>
      </w:r>
      <w:r w:rsidRPr="0029025B">
        <w:rPr>
          <w:rFonts w:ascii="Arial Narrow" w:hAnsi="Arial Narrow"/>
          <w:color w:val="auto"/>
          <w:sz w:val="20"/>
          <w:szCs w:val="20"/>
        </w:rPr>
        <w:fldChar w:fldCharType="separate"/>
      </w:r>
      <w:r w:rsidR="00AD392C">
        <w:rPr>
          <w:rFonts w:ascii="Arial Narrow" w:hAnsi="Arial Narrow"/>
          <w:noProof/>
          <w:color w:val="auto"/>
          <w:sz w:val="20"/>
          <w:szCs w:val="20"/>
        </w:rPr>
        <w:t>2</w:t>
      </w:r>
      <w:r w:rsidRPr="0029025B">
        <w:rPr>
          <w:rFonts w:ascii="Arial Narrow" w:hAnsi="Arial Narrow"/>
          <w:color w:val="auto"/>
          <w:sz w:val="20"/>
          <w:szCs w:val="20"/>
        </w:rPr>
        <w:fldChar w:fldCharType="end"/>
      </w:r>
      <w:r w:rsidRPr="0029025B">
        <w:rPr>
          <w:rFonts w:ascii="Arial Narrow" w:hAnsi="Arial Narrow"/>
          <w:color w:val="auto"/>
          <w:sz w:val="20"/>
          <w:szCs w:val="20"/>
        </w:rPr>
        <w:t>: Trials and associated reports presented in the resubmission</w:t>
      </w:r>
    </w:p>
    <w:tbl>
      <w:tblPr>
        <w:tblW w:w="4636"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Trials and reports presented in the resubmission"/>
      </w:tblPr>
      <w:tblGrid>
        <w:gridCol w:w="1700"/>
        <w:gridCol w:w="4758"/>
        <w:gridCol w:w="1964"/>
      </w:tblGrid>
      <w:tr w:rsidR="002D271D" w:rsidRPr="004E2ADC" w:rsidTr="00A34711">
        <w:trPr>
          <w:tblHeader/>
        </w:trPr>
        <w:tc>
          <w:tcPr>
            <w:tcW w:w="1009" w:type="pct"/>
            <w:tcBorders>
              <w:top w:val="single" w:sz="4" w:space="0" w:color="auto"/>
              <w:left w:val="single" w:sz="4" w:space="0" w:color="auto"/>
              <w:bottom w:val="single" w:sz="4" w:space="0" w:color="auto"/>
              <w:right w:val="single" w:sz="4" w:space="0" w:color="auto"/>
            </w:tcBorders>
          </w:tcPr>
          <w:p w:rsidR="002D271D" w:rsidRPr="004E2ADC" w:rsidRDefault="002D271D" w:rsidP="002D271D">
            <w:pPr>
              <w:jc w:val="left"/>
              <w:rPr>
                <w:rFonts w:ascii="Arial Narrow" w:hAnsi="Arial Narrow"/>
                <w:b/>
                <w:sz w:val="20"/>
              </w:rPr>
            </w:pPr>
            <w:r w:rsidRPr="004E2ADC">
              <w:rPr>
                <w:rFonts w:ascii="Arial Narrow" w:hAnsi="Arial Narrow"/>
                <w:b/>
                <w:sz w:val="20"/>
              </w:rPr>
              <w:t>Trial ID</w:t>
            </w:r>
            <w:r>
              <w:rPr>
                <w:rFonts w:ascii="Arial Narrow" w:hAnsi="Arial Narrow"/>
                <w:b/>
                <w:sz w:val="20"/>
              </w:rPr>
              <w:t>/First Author</w:t>
            </w:r>
          </w:p>
        </w:tc>
        <w:tc>
          <w:tcPr>
            <w:tcW w:w="2825" w:type="pct"/>
            <w:tcBorders>
              <w:top w:val="single" w:sz="4" w:space="0" w:color="auto"/>
              <w:left w:val="single" w:sz="4" w:space="0" w:color="auto"/>
              <w:bottom w:val="single" w:sz="4" w:space="0" w:color="auto"/>
              <w:right w:val="single" w:sz="4" w:space="0" w:color="auto"/>
            </w:tcBorders>
          </w:tcPr>
          <w:p w:rsidR="002D271D" w:rsidRPr="004E2ADC" w:rsidRDefault="002D271D" w:rsidP="002D271D">
            <w:pPr>
              <w:jc w:val="center"/>
              <w:rPr>
                <w:rFonts w:ascii="Arial Narrow" w:hAnsi="Arial Narrow"/>
                <w:b/>
                <w:sz w:val="20"/>
              </w:rPr>
            </w:pPr>
            <w:r w:rsidRPr="004E2ADC">
              <w:rPr>
                <w:rFonts w:ascii="Arial Narrow" w:hAnsi="Arial Narrow"/>
                <w:b/>
                <w:sz w:val="20"/>
              </w:rPr>
              <w:t>Protocol title/ Publication title</w:t>
            </w:r>
          </w:p>
        </w:tc>
        <w:tc>
          <w:tcPr>
            <w:tcW w:w="1166" w:type="pct"/>
            <w:tcBorders>
              <w:top w:val="single" w:sz="4" w:space="0" w:color="auto"/>
              <w:left w:val="single" w:sz="4" w:space="0" w:color="auto"/>
              <w:bottom w:val="single" w:sz="4" w:space="0" w:color="auto"/>
              <w:right w:val="single" w:sz="4" w:space="0" w:color="auto"/>
            </w:tcBorders>
          </w:tcPr>
          <w:p w:rsidR="002D271D" w:rsidRPr="004E2ADC" w:rsidRDefault="002D271D" w:rsidP="002D271D">
            <w:pPr>
              <w:jc w:val="center"/>
              <w:rPr>
                <w:rFonts w:ascii="Arial Narrow" w:hAnsi="Arial Narrow"/>
                <w:b/>
                <w:sz w:val="20"/>
              </w:rPr>
            </w:pPr>
            <w:r w:rsidRPr="004E2ADC">
              <w:rPr>
                <w:rFonts w:ascii="Arial Narrow" w:hAnsi="Arial Narrow"/>
                <w:b/>
                <w:sz w:val="20"/>
              </w:rPr>
              <w:t>Publication citation</w:t>
            </w:r>
          </w:p>
        </w:tc>
      </w:tr>
      <w:tr w:rsidR="002D271D" w:rsidRPr="004E2ADC" w:rsidTr="00A34711">
        <w:tc>
          <w:tcPr>
            <w:tcW w:w="5000" w:type="pct"/>
            <w:gridSpan w:val="3"/>
          </w:tcPr>
          <w:p w:rsidR="002D271D" w:rsidRPr="004E2ADC" w:rsidRDefault="002D271D" w:rsidP="002D271D">
            <w:pPr>
              <w:jc w:val="left"/>
              <w:rPr>
                <w:rFonts w:ascii="Arial Narrow" w:hAnsi="Arial Narrow"/>
                <w:b/>
                <w:sz w:val="20"/>
              </w:rPr>
            </w:pPr>
            <w:r>
              <w:rPr>
                <w:rFonts w:ascii="Arial Narrow" w:hAnsi="Arial Narrow"/>
                <w:b/>
                <w:sz w:val="20"/>
              </w:rPr>
              <w:t>Direct randomised trial</w:t>
            </w:r>
          </w:p>
        </w:tc>
      </w:tr>
      <w:tr w:rsidR="002D271D" w:rsidRPr="004E2ADC" w:rsidTr="00A34711">
        <w:tc>
          <w:tcPr>
            <w:tcW w:w="1009" w:type="pct"/>
            <w:vMerge w:val="restart"/>
          </w:tcPr>
          <w:p w:rsidR="002D271D" w:rsidRPr="004E2ADC" w:rsidRDefault="002D271D" w:rsidP="00250AF3">
            <w:pPr>
              <w:jc w:val="left"/>
              <w:rPr>
                <w:rFonts w:ascii="Arial Narrow" w:hAnsi="Arial Narrow"/>
                <w:sz w:val="20"/>
              </w:rPr>
            </w:pPr>
            <w:r>
              <w:rPr>
                <w:rFonts w:ascii="Arial Narrow" w:hAnsi="Arial Narrow"/>
                <w:sz w:val="20"/>
              </w:rPr>
              <w:t>Trial 312-0116</w:t>
            </w:r>
          </w:p>
        </w:tc>
        <w:tc>
          <w:tcPr>
            <w:tcW w:w="2825" w:type="pct"/>
          </w:tcPr>
          <w:p w:rsidR="002D271D" w:rsidRPr="004E2ADC" w:rsidRDefault="002D271D" w:rsidP="002D271D">
            <w:pPr>
              <w:jc w:val="left"/>
              <w:rPr>
                <w:rFonts w:ascii="Arial Narrow" w:hAnsi="Arial Narrow"/>
                <w:b/>
                <w:sz w:val="20"/>
              </w:rPr>
            </w:pPr>
            <w:r>
              <w:rPr>
                <w:rFonts w:ascii="Arial Narrow" w:hAnsi="Arial Narrow"/>
                <w:sz w:val="20"/>
              </w:rPr>
              <w:t xml:space="preserve">A phase III, randomised, double-blind, placebo-controlled study evaluating the efficacy and safety of idelalisib (GS-1101) in combination with rituximab for previously treated chronic lymphocytic </w:t>
            </w:r>
            <w:r w:rsidR="00B76057">
              <w:rPr>
                <w:rFonts w:ascii="Arial Narrow" w:hAnsi="Arial Narrow"/>
                <w:sz w:val="20"/>
              </w:rPr>
              <w:t>leukaemia</w:t>
            </w:r>
            <w:r>
              <w:rPr>
                <w:rFonts w:ascii="Arial Narrow" w:hAnsi="Arial Narrow"/>
                <w:sz w:val="20"/>
              </w:rPr>
              <w:t>.</w:t>
            </w:r>
          </w:p>
        </w:tc>
        <w:tc>
          <w:tcPr>
            <w:tcW w:w="1166" w:type="pct"/>
          </w:tcPr>
          <w:p w:rsidR="002D271D" w:rsidRPr="00896F62" w:rsidRDefault="002D271D" w:rsidP="002D271D">
            <w:pPr>
              <w:jc w:val="left"/>
              <w:rPr>
                <w:rFonts w:ascii="Arial Narrow" w:hAnsi="Arial Narrow"/>
                <w:sz w:val="20"/>
              </w:rPr>
            </w:pPr>
            <w:r>
              <w:rPr>
                <w:rFonts w:ascii="Arial Narrow" w:hAnsi="Arial Narrow"/>
                <w:sz w:val="20"/>
              </w:rPr>
              <w:t>25 November 2014; Final Clinical Study Report; Study No: GS-US-312-0116</w:t>
            </w:r>
          </w:p>
        </w:tc>
      </w:tr>
      <w:tr w:rsidR="002D271D" w:rsidRPr="004E2ADC" w:rsidTr="00A34711">
        <w:tc>
          <w:tcPr>
            <w:tcW w:w="1009" w:type="pct"/>
            <w:vMerge/>
          </w:tcPr>
          <w:p w:rsidR="002D271D" w:rsidRPr="004E2ADC" w:rsidRDefault="002D271D" w:rsidP="002D271D">
            <w:pPr>
              <w:jc w:val="left"/>
              <w:rPr>
                <w:rFonts w:ascii="Arial Narrow" w:hAnsi="Arial Narrow"/>
                <w:sz w:val="20"/>
              </w:rPr>
            </w:pPr>
          </w:p>
        </w:tc>
        <w:tc>
          <w:tcPr>
            <w:tcW w:w="2825" w:type="pct"/>
          </w:tcPr>
          <w:p w:rsidR="002D271D" w:rsidRPr="004E2ADC" w:rsidRDefault="002D271D" w:rsidP="002D271D">
            <w:pPr>
              <w:jc w:val="left"/>
              <w:rPr>
                <w:rFonts w:ascii="Arial Narrow" w:hAnsi="Arial Narrow"/>
                <w:b/>
                <w:sz w:val="20"/>
              </w:rPr>
            </w:pPr>
            <w:r>
              <w:rPr>
                <w:rFonts w:ascii="Arial Narrow" w:hAnsi="Arial Narrow"/>
                <w:sz w:val="20"/>
              </w:rPr>
              <w:t xml:space="preserve">Furman RR, Sharman JP, </w:t>
            </w:r>
            <w:proofErr w:type="spellStart"/>
            <w:r>
              <w:rPr>
                <w:rFonts w:ascii="Arial Narrow" w:hAnsi="Arial Narrow"/>
                <w:sz w:val="20"/>
              </w:rPr>
              <w:t>Coutre</w:t>
            </w:r>
            <w:proofErr w:type="spellEnd"/>
            <w:r>
              <w:rPr>
                <w:rFonts w:ascii="Arial Narrow" w:hAnsi="Arial Narrow"/>
                <w:sz w:val="20"/>
              </w:rPr>
              <w:t xml:space="preserve"> SE, </w:t>
            </w:r>
            <w:r w:rsidRPr="0042318B">
              <w:rPr>
                <w:rFonts w:ascii="Arial Narrow" w:hAnsi="Arial Narrow"/>
                <w:i/>
                <w:sz w:val="20"/>
              </w:rPr>
              <w:t>et al</w:t>
            </w:r>
            <w:r>
              <w:rPr>
                <w:rFonts w:ascii="Arial Narrow" w:hAnsi="Arial Narrow"/>
                <w:sz w:val="20"/>
              </w:rPr>
              <w:t xml:space="preserve">. Idelalisib and rituximab in relapsed chronic lymphocytic </w:t>
            </w:r>
            <w:r w:rsidR="00B76057">
              <w:rPr>
                <w:rFonts w:ascii="Arial Narrow" w:hAnsi="Arial Narrow"/>
                <w:sz w:val="20"/>
              </w:rPr>
              <w:t>leukaemia</w:t>
            </w:r>
            <w:r>
              <w:rPr>
                <w:rFonts w:ascii="Arial Narrow" w:hAnsi="Arial Narrow"/>
                <w:sz w:val="20"/>
              </w:rPr>
              <w:t>.</w:t>
            </w:r>
          </w:p>
        </w:tc>
        <w:tc>
          <w:tcPr>
            <w:tcW w:w="1166" w:type="pct"/>
          </w:tcPr>
          <w:p w:rsidR="002D271D" w:rsidRPr="004E2ADC" w:rsidRDefault="002D271D" w:rsidP="002D271D">
            <w:pPr>
              <w:jc w:val="left"/>
              <w:rPr>
                <w:rFonts w:ascii="Arial Narrow" w:hAnsi="Arial Narrow"/>
                <w:b/>
                <w:sz w:val="20"/>
              </w:rPr>
            </w:pPr>
            <w:r>
              <w:rPr>
                <w:rFonts w:ascii="Arial Narrow" w:hAnsi="Arial Narrow"/>
                <w:sz w:val="20"/>
              </w:rPr>
              <w:t xml:space="preserve">N </w:t>
            </w:r>
            <w:proofErr w:type="spellStart"/>
            <w:r>
              <w:rPr>
                <w:rFonts w:ascii="Arial Narrow" w:hAnsi="Arial Narrow"/>
                <w:sz w:val="20"/>
              </w:rPr>
              <w:t>Eng</w:t>
            </w:r>
            <w:r w:rsidR="00250AF3">
              <w:rPr>
                <w:rFonts w:ascii="Arial Narrow" w:hAnsi="Arial Narrow"/>
                <w:sz w:val="20"/>
              </w:rPr>
              <w:t>l</w:t>
            </w:r>
            <w:proofErr w:type="spellEnd"/>
            <w:r>
              <w:rPr>
                <w:rFonts w:ascii="Arial Narrow" w:hAnsi="Arial Narrow"/>
                <w:sz w:val="20"/>
              </w:rPr>
              <w:t xml:space="preserve"> J Med; </w:t>
            </w:r>
            <w:r w:rsidR="0042318B">
              <w:rPr>
                <w:rFonts w:ascii="Arial Narrow" w:hAnsi="Arial Narrow"/>
                <w:sz w:val="20"/>
              </w:rPr>
              <w:t>2</w:t>
            </w:r>
            <w:r>
              <w:rPr>
                <w:rFonts w:ascii="Arial Narrow" w:hAnsi="Arial Narrow"/>
                <w:sz w:val="20"/>
              </w:rPr>
              <w:t>014;</w:t>
            </w:r>
            <w:r w:rsidR="0042318B">
              <w:rPr>
                <w:rFonts w:ascii="Arial Narrow" w:hAnsi="Arial Narrow"/>
                <w:sz w:val="20"/>
              </w:rPr>
              <w:t xml:space="preserve"> </w:t>
            </w:r>
            <w:r>
              <w:rPr>
                <w:rFonts w:ascii="Arial Narrow" w:hAnsi="Arial Narrow"/>
                <w:sz w:val="20"/>
              </w:rPr>
              <w:t>370(11):997-1007.</w:t>
            </w:r>
          </w:p>
        </w:tc>
      </w:tr>
    </w:tbl>
    <w:p w:rsidR="002D271D" w:rsidRPr="00D13A3E" w:rsidRDefault="002D271D" w:rsidP="002D271D">
      <w:pPr>
        <w:pStyle w:val="TableFooter"/>
        <w:keepNext/>
        <w:widowControl/>
        <w:ind w:firstLine="720"/>
      </w:pPr>
      <w:r w:rsidRPr="00D13A3E">
        <w:t xml:space="preserve">Source: </w:t>
      </w:r>
      <w:r>
        <w:t xml:space="preserve">Table B-5, p58 of the </w:t>
      </w:r>
      <w:r w:rsidR="00BA3864">
        <w:t>resubmission</w:t>
      </w:r>
    </w:p>
    <w:p w:rsidR="002D271D" w:rsidRPr="001B6188" w:rsidRDefault="002D271D" w:rsidP="002D271D">
      <w:pPr>
        <w:widowControl/>
        <w:rPr>
          <w:szCs w:val="22"/>
        </w:rPr>
      </w:pPr>
    </w:p>
    <w:p w:rsidR="002D271D" w:rsidRPr="00D06FD4" w:rsidRDefault="002D271D" w:rsidP="004B69A7">
      <w:pPr>
        <w:pStyle w:val="ListParagraph"/>
        <w:widowControl/>
        <w:numPr>
          <w:ilvl w:val="1"/>
          <w:numId w:val="5"/>
        </w:numPr>
        <w:rPr>
          <w:szCs w:val="22"/>
        </w:rPr>
      </w:pPr>
      <w:r w:rsidRPr="00D06FD4">
        <w:rPr>
          <w:szCs w:val="22"/>
        </w:rPr>
        <w:t xml:space="preserve">The key features </w:t>
      </w:r>
      <w:r>
        <w:rPr>
          <w:szCs w:val="22"/>
        </w:rPr>
        <w:t xml:space="preserve">of the direct randomised trial </w:t>
      </w:r>
      <w:r w:rsidR="0073126B">
        <w:rPr>
          <w:szCs w:val="22"/>
        </w:rPr>
        <w:t xml:space="preserve">are </w:t>
      </w:r>
      <w:r>
        <w:rPr>
          <w:szCs w:val="22"/>
        </w:rPr>
        <w:t>summarised in T</w:t>
      </w:r>
      <w:r w:rsidRPr="00D06FD4">
        <w:rPr>
          <w:szCs w:val="22"/>
        </w:rPr>
        <w:t>able</w:t>
      </w:r>
      <w:r>
        <w:rPr>
          <w:szCs w:val="22"/>
        </w:rPr>
        <w:t xml:space="preserve"> </w:t>
      </w:r>
      <w:r w:rsidR="0042318B">
        <w:rPr>
          <w:szCs w:val="22"/>
        </w:rPr>
        <w:t>3</w:t>
      </w:r>
      <w:r w:rsidR="005373A8">
        <w:rPr>
          <w:szCs w:val="22"/>
        </w:rPr>
        <w:t>.</w:t>
      </w:r>
    </w:p>
    <w:p w:rsidR="002D271D" w:rsidRDefault="002D271D" w:rsidP="002D271D">
      <w:pPr>
        <w:widowControl/>
        <w:rPr>
          <w:szCs w:val="22"/>
        </w:rPr>
      </w:pPr>
    </w:p>
    <w:p w:rsidR="0029025B" w:rsidRPr="0029025B" w:rsidRDefault="0029025B" w:rsidP="0029025B">
      <w:pPr>
        <w:pStyle w:val="Caption"/>
        <w:keepNext/>
        <w:ind w:left="720"/>
        <w:rPr>
          <w:rFonts w:ascii="Arial Narrow" w:hAnsi="Arial Narrow"/>
          <w:color w:val="auto"/>
          <w:sz w:val="20"/>
          <w:szCs w:val="20"/>
        </w:rPr>
      </w:pPr>
      <w:r w:rsidRPr="0029025B">
        <w:rPr>
          <w:rFonts w:ascii="Arial Narrow" w:hAnsi="Arial Narrow"/>
          <w:color w:val="auto"/>
          <w:sz w:val="20"/>
          <w:szCs w:val="20"/>
        </w:rPr>
        <w:t xml:space="preserve">Table </w:t>
      </w:r>
      <w:r w:rsidRPr="0029025B">
        <w:rPr>
          <w:rFonts w:ascii="Arial Narrow" w:hAnsi="Arial Narrow"/>
          <w:color w:val="auto"/>
          <w:sz w:val="20"/>
          <w:szCs w:val="20"/>
        </w:rPr>
        <w:fldChar w:fldCharType="begin"/>
      </w:r>
      <w:r w:rsidRPr="0029025B">
        <w:rPr>
          <w:rFonts w:ascii="Arial Narrow" w:hAnsi="Arial Narrow"/>
          <w:color w:val="auto"/>
          <w:sz w:val="20"/>
          <w:szCs w:val="20"/>
        </w:rPr>
        <w:instrText xml:space="preserve"> SEQ Table \* ARABIC </w:instrText>
      </w:r>
      <w:r w:rsidRPr="0029025B">
        <w:rPr>
          <w:rFonts w:ascii="Arial Narrow" w:hAnsi="Arial Narrow"/>
          <w:color w:val="auto"/>
          <w:sz w:val="20"/>
          <w:szCs w:val="20"/>
        </w:rPr>
        <w:fldChar w:fldCharType="separate"/>
      </w:r>
      <w:r w:rsidR="00AD392C">
        <w:rPr>
          <w:rFonts w:ascii="Arial Narrow" w:hAnsi="Arial Narrow"/>
          <w:noProof/>
          <w:color w:val="auto"/>
          <w:sz w:val="20"/>
          <w:szCs w:val="20"/>
        </w:rPr>
        <w:t>3</w:t>
      </w:r>
      <w:r w:rsidRPr="0029025B">
        <w:rPr>
          <w:rFonts w:ascii="Arial Narrow" w:hAnsi="Arial Narrow"/>
          <w:color w:val="auto"/>
          <w:sz w:val="20"/>
          <w:szCs w:val="20"/>
        </w:rPr>
        <w:fldChar w:fldCharType="end"/>
      </w:r>
      <w:r w:rsidRPr="0029025B">
        <w:rPr>
          <w:rFonts w:ascii="Arial Narrow" w:hAnsi="Arial Narrow"/>
          <w:color w:val="auto"/>
          <w:sz w:val="20"/>
          <w:szCs w:val="20"/>
        </w:rPr>
        <w:t>: Key features of the included evidence – idelalisib plus rituximab vs. placebo plus rituximab</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Features of evidence"/>
      </w:tblPr>
      <w:tblGrid>
        <w:gridCol w:w="852"/>
        <w:gridCol w:w="568"/>
        <w:gridCol w:w="1558"/>
        <w:gridCol w:w="710"/>
        <w:gridCol w:w="1984"/>
        <w:gridCol w:w="1133"/>
        <w:gridCol w:w="1540"/>
      </w:tblGrid>
      <w:tr w:rsidR="002D271D" w:rsidRPr="00E2771E" w:rsidTr="00A34711">
        <w:trPr>
          <w:tblHeader/>
        </w:trPr>
        <w:tc>
          <w:tcPr>
            <w:tcW w:w="510" w:type="pct"/>
            <w:shd w:val="clear" w:color="auto" w:fill="auto"/>
            <w:vAlign w:val="center"/>
          </w:tcPr>
          <w:p w:rsidR="002D271D" w:rsidRPr="00E2771E" w:rsidRDefault="002D271D" w:rsidP="002D271D">
            <w:pPr>
              <w:jc w:val="left"/>
              <w:rPr>
                <w:rFonts w:ascii="Arial Narrow" w:hAnsi="Arial Narrow"/>
                <w:b/>
                <w:sz w:val="20"/>
                <w:lang w:val="en-US"/>
              </w:rPr>
            </w:pPr>
            <w:r w:rsidRPr="00E2771E">
              <w:rPr>
                <w:rFonts w:ascii="Arial Narrow" w:hAnsi="Arial Narrow"/>
                <w:b/>
                <w:sz w:val="20"/>
                <w:lang w:val="en-US"/>
              </w:rPr>
              <w:t>Trial</w:t>
            </w:r>
          </w:p>
        </w:tc>
        <w:tc>
          <w:tcPr>
            <w:tcW w:w="340" w:type="pct"/>
            <w:shd w:val="clear" w:color="auto" w:fill="auto"/>
            <w:vAlign w:val="center"/>
          </w:tcPr>
          <w:p w:rsidR="002D271D" w:rsidRPr="00E2771E" w:rsidRDefault="002D271D" w:rsidP="002D271D">
            <w:pPr>
              <w:jc w:val="center"/>
              <w:rPr>
                <w:rFonts w:ascii="Arial Narrow" w:hAnsi="Arial Narrow"/>
                <w:b/>
                <w:sz w:val="20"/>
                <w:lang w:val="en-US"/>
              </w:rPr>
            </w:pPr>
            <w:r w:rsidRPr="00E2771E">
              <w:rPr>
                <w:rFonts w:ascii="Arial Narrow" w:hAnsi="Arial Narrow"/>
                <w:b/>
                <w:sz w:val="20"/>
                <w:lang w:val="en-US"/>
              </w:rPr>
              <w:t>N</w:t>
            </w:r>
          </w:p>
        </w:tc>
        <w:tc>
          <w:tcPr>
            <w:tcW w:w="933" w:type="pct"/>
            <w:shd w:val="clear" w:color="auto" w:fill="auto"/>
            <w:vAlign w:val="center"/>
          </w:tcPr>
          <w:p w:rsidR="002D271D" w:rsidRPr="00E2771E" w:rsidRDefault="002D271D" w:rsidP="002D271D">
            <w:pPr>
              <w:jc w:val="center"/>
              <w:rPr>
                <w:rFonts w:ascii="Arial Narrow" w:hAnsi="Arial Narrow"/>
                <w:b/>
                <w:sz w:val="20"/>
                <w:lang w:val="en-US"/>
              </w:rPr>
            </w:pPr>
            <w:r w:rsidRPr="00E2771E">
              <w:rPr>
                <w:rFonts w:ascii="Arial Narrow" w:hAnsi="Arial Narrow"/>
                <w:b/>
                <w:sz w:val="20"/>
                <w:lang w:val="en-US"/>
              </w:rPr>
              <w:t>Design/ duration</w:t>
            </w:r>
          </w:p>
        </w:tc>
        <w:tc>
          <w:tcPr>
            <w:tcW w:w="425" w:type="pct"/>
            <w:shd w:val="clear" w:color="auto" w:fill="auto"/>
            <w:vAlign w:val="center"/>
          </w:tcPr>
          <w:p w:rsidR="002D271D" w:rsidRPr="00E2771E" w:rsidRDefault="002D271D" w:rsidP="002D271D">
            <w:pPr>
              <w:jc w:val="center"/>
              <w:rPr>
                <w:rFonts w:ascii="Arial Narrow" w:hAnsi="Arial Narrow"/>
                <w:b/>
                <w:sz w:val="20"/>
                <w:lang w:val="en-US"/>
              </w:rPr>
            </w:pPr>
            <w:r w:rsidRPr="00E2771E">
              <w:rPr>
                <w:rFonts w:ascii="Arial Narrow" w:hAnsi="Arial Narrow"/>
                <w:b/>
                <w:sz w:val="20"/>
                <w:lang w:val="en-US"/>
              </w:rPr>
              <w:t>Risk of bias</w:t>
            </w:r>
          </w:p>
        </w:tc>
        <w:tc>
          <w:tcPr>
            <w:tcW w:w="1189" w:type="pct"/>
            <w:shd w:val="clear" w:color="auto" w:fill="auto"/>
            <w:vAlign w:val="center"/>
          </w:tcPr>
          <w:p w:rsidR="002D271D" w:rsidRPr="00E2771E" w:rsidRDefault="002D271D" w:rsidP="002D271D">
            <w:pPr>
              <w:jc w:val="center"/>
              <w:rPr>
                <w:rFonts w:ascii="Arial Narrow" w:hAnsi="Arial Narrow"/>
                <w:b/>
                <w:sz w:val="20"/>
                <w:lang w:val="en-US"/>
              </w:rPr>
            </w:pPr>
            <w:r w:rsidRPr="00E2771E">
              <w:rPr>
                <w:rFonts w:ascii="Arial Narrow" w:hAnsi="Arial Narrow"/>
                <w:b/>
                <w:sz w:val="20"/>
                <w:lang w:val="en-US"/>
              </w:rPr>
              <w:t>Patient population</w:t>
            </w:r>
          </w:p>
        </w:tc>
        <w:tc>
          <w:tcPr>
            <w:tcW w:w="679" w:type="pct"/>
            <w:shd w:val="clear" w:color="auto" w:fill="auto"/>
            <w:vAlign w:val="center"/>
          </w:tcPr>
          <w:p w:rsidR="002D271D" w:rsidRPr="00E2771E" w:rsidRDefault="002D271D" w:rsidP="002D271D">
            <w:pPr>
              <w:jc w:val="center"/>
              <w:rPr>
                <w:rFonts w:ascii="Arial Narrow" w:hAnsi="Arial Narrow"/>
                <w:b/>
                <w:sz w:val="20"/>
                <w:lang w:val="en-US"/>
              </w:rPr>
            </w:pPr>
            <w:r w:rsidRPr="00E2771E">
              <w:rPr>
                <w:rFonts w:ascii="Arial Narrow" w:hAnsi="Arial Narrow"/>
                <w:b/>
                <w:sz w:val="20"/>
                <w:lang w:val="en-US"/>
              </w:rPr>
              <w:t>Outcome(s)</w:t>
            </w:r>
          </w:p>
        </w:tc>
        <w:tc>
          <w:tcPr>
            <w:tcW w:w="923" w:type="pct"/>
            <w:shd w:val="clear" w:color="auto" w:fill="auto"/>
            <w:vAlign w:val="center"/>
          </w:tcPr>
          <w:p w:rsidR="002D271D" w:rsidRPr="00E2771E" w:rsidRDefault="002D271D" w:rsidP="002D271D">
            <w:pPr>
              <w:jc w:val="center"/>
              <w:rPr>
                <w:rFonts w:ascii="Arial Narrow" w:hAnsi="Arial Narrow"/>
                <w:b/>
                <w:sz w:val="20"/>
                <w:lang w:val="en-US"/>
              </w:rPr>
            </w:pPr>
            <w:r w:rsidRPr="00E2771E">
              <w:rPr>
                <w:rFonts w:ascii="Arial Narrow" w:hAnsi="Arial Narrow"/>
                <w:b/>
                <w:sz w:val="20"/>
                <w:lang w:val="en-US"/>
              </w:rPr>
              <w:t>Use in modelled evaluation</w:t>
            </w:r>
          </w:p>
        </w:tc>
      </w:tr>
      <w:tr w:rsidR="002D271D" w:rsidRPr="00E2771E" w:rsidTr="00A34711">
        <w:tc>
          <w:tcPr>
            <w:tcW w:w="510" w:type="pct"/>
            <w:shd w:val="clear" w:color="auto" w:fill="auto"/>
            <w:vAlign w:val="center"/>
          </w:tcPr>
          <w:p w:rsidR="002D271D" w:rsidRPr="00E2771E" w:rsidRDefault="002D271D" w:rsidP="002D271D">
            <w:pPr>
              <w:jc w:val="left"/>
              <w:rPr>
                <w:rFonts w:ascii="Arial Narrow" w:hAnsi="Arial Narrow"/>
                <w:sz w:val="20"/>
                <w:lang w:val="en-US"/>
              </w:rPr>
            </w:pPr>
            <w:r>
              <w:rPr>
                <w:rFonts w:ascii="Arial Narrow" w:hAnsi="Arial Narrow"/>
                <w:sz w:val="20"/>
                <w:lang w:val="en-US"/>
              </w:rPr>
              <w:t>312-0116</w:t>
            </w:r>
          </w:p>
        </w:tc>
        <w:tc>
          <w:tcPr>
            <w:tcW w:w="340" w:type="pct"/>
            <w:shd w:val="clear" w:color="auto" w:fill="auto"/>
            <w:vAlign w:val="center"/>
          </w:tcPr>
          <w:p w:rsidR="002D271D" w:rsidRPr="00E2771E" w:rsidRDefault="002D271D" w:rsidP="002D271D">
            <w:pPr>
              <w:jc w:val="center"/>
              <w:rPr>
                <w:rFonts w:ascii="Arial Narrow" w:hAnsi="Arial Narrow"/>
                <w:sz w:val="20"/>
                <w:lang w:val="en-US"/>
              </w:rPr>
            </w:pPr>
            <w:r>
              <w:rPr>
                <w:rFonts w:ascii="Arial Narrow" w:hAnsi="Arial Narrow"/>
                <w:sz w:val="20"/>
                <w:lang w:val="en-US"/>
              </w:rPr>
              <w:t>220</w:t>
            </w:r>
          </w:p>
        </w:tc>
        <w:tc>
          <w:tcPr>
            <w:tcW w:w="933" w:type="pct"/>
            <w:shd w:val="clear" w:color="auto" w:fill="auto"/>
            <w:vAlign w:val="center"/>
          </w:tcPr>
          <w:p w:rsidR="002D271D" w:rsidRDefault="002D271D" w:rsidP="002D271D">
            <w:pPr>
              <w:keepNext/>
              <w:widowControl/>
              <w:jc w:val="center"/>
              <w:rPr>
                <w:rFonts w:ascii="Arial Narrow" w:hAnsi="Arial Narrow"/>
                <w:sz w:val="20"/>
                <w:lang w:val="en-US"/>
              </w:rPr>
            </w:pPr>
            <w:r>
              <w:rPr>
                <w:rFonts w:ascii="Arial Narrow" w:hAnsi="Arial Narrow"/>
                <w:sz w:val="20"/>
                <w:lang w:val="en-US"/>
              </w:rPr>
              <w:t>R, DB, MC, PC</w:t>
            </w:r>
          </w:p>
          <w:p w:rsidR="002D271D" w:rsidRPr="00E2771E" w:rsidRDefault="002D271D" w:rsidP="002D271D">
            <w:pPr>
              <w:jc w:val="center"/>
              <w:rPr>
                <w:rFonts w:ascii="Arial Narrow" w:hAnsi="Arial Narrow"/>
                <w:sz w:val="20"/>
                <w:lang w:val="en-US"/>
              </w:rPr>
            </w:pPr>
            <w:r>
              <w:rPr>
                <w:rFonts w:ascii="Arial Narrow" w:hAnsi="Arial Narrow"/>
                <w:sz w:val="20"/>
                <w:lang w:val="en-US"/>
              </w:rPr>
              <w:t>Approx. 6 months</w:t>
            </w:r>
          </w:p>
        </w:tc>
        <w:tc>
          <w:tcPr>
            <w:tcW w:w="425" w:type="pct"/>
            <w:shd w:val="clear" w:color="auto" w:fill="auto"/>
            <w:vAlign w:val="center"/>
          </w:tcPr>
          <w:p w:rsidR="002D271D" w:rsidRPr="00E2771E" w:rsidRDefault="002D271D" w:rsidP="002D271D">
            <w:pPr>
              <w:jc w:val="center"/>
              <w:rPr>
                <w:rFonts w:ascii="Arial Narrow" w:hAnsi="Arial Narrow"/>
                <w:sz w:val="20"/>
                <w:lang w:val="en-US"/>
              </w:rPr>
            </w:pPr>
            <w:r w:rsidRPr="00E2771E">
              <w:rPr>
                <w:rFonts w:ascii="Arial Narrow" w:hAnsi="Arial Narrow"/>
                <w:sz w:val="20"/>
                <w:lang w:val="en-US"/>
              </w:rPr>
              <w:t>Low</w:t>
            </w:r>
          </w:p>
        </w:tc>
        <w:tc>
          <w:tcPr>
            <w:tcW w:w="1189" w:type="pct"/>
            <w:shd w:val="clear" w:color="auto" w:fill="auto"/>
            <w:vAlign w:val="center"/>
          </w:tcPr>
          <w:p w:rsidR="002D271D" w:rsidRDefault="002D271D" w:rsidP="002D271D">
            <w:pPr>
              <w:keepNext/>
              <w:widowControl/>
              <w:jc w:val="center"/>
              <w:rPr>
                <w:rFonts w:ascii="Arial Narrow" w:hAnsi="Arial Narrow"/>
                <w:sz w:val="20"/>
                <w:lang w:val="en-US"/>
              </w:rPr>
            </w:pPr>
            <w:r>
              <w:rPr>
                <w:rFonts w:ascii="Arial Narrow" w:hAnsi="Arial Narrow"/>
                <w:sz w:val="20"/>
                <w:lang w:val="en-US"/>
              </w:rPr>
              <w:t>Relapsed</w:t>
            </w:r>
          </w:p>
          <w:p w:rsidR="002D271D" w:rsidRPr="00E2771E" w:rsidRDefault="002D271D" w:rsidP="002D271D">
            <w:pPr>
              <w:jc w:val="center"/>
              <w:rPr>
                <w:rFonts w:ascii="Arial Narrow" w:hAnsi="Arial Narrow"/>
                <w:sz w:val="20"/>
                <w:lang w:val="en-US"/>
              </w:rPr>
            </w:pPr>
            <w:r>
              <w:rPr>
                <w:rFonts w:ascii="Arial Narrow" w:hAnsi="Arial Narrow"/>
                <w:sz w:val="20"/>
                <w:lang w:val="en-US"/>
              </w:rPr>
              <w:t>Unfit for chemotherapy</w:t>
            </w:r>
          </w:p>
        </w:tc>
        <w:tc>
          <w:tcPr>
            <w:tcW w:w="679" w:type="pct"/>
            <w:shd w:val="clear" w:color="auto" w:fill="auto"/>
            <w:vAlign w:val="center"/>
          </w:tcPr>
          <w:p w:rsidR="002D271D" w:rsidRPr="00E2771E" w:rsidRDefault="002D271D" w:rsidP="002D271D">
            <w:pPr>
              <w:jc w:val="center"/>
              <w:rPr>
                <w:rFonts w:ascii="Arial Narrow" w:hAnsi="Arial Narrow"/>
                <w:sz w:val="20"/>
                <w:lang w:val="en-US"/>
              </w:rPr>
            </w:pPr>
            <w:r>
              <w:rPr>
                <w:rFonts w:ascii="Arial Narrow" w:hAnsi="Arial Narrow"/>
                <w:sz w:val="20"/>
                <w:lang w:val="en-US"/>
              </w:rPr>
              <w:t>PFS, OS</w:t>
            </w:r>
          </w:p>
        </w:tc>
        <w:tc>
          <w:tcPr>
            <w:tcW w:w="923" w:type="pct"/>
            <w:shd w:val="clear" w:color="auto" w:fill="auto"/>
            <w:vAlign w:val="center"/>
          </w:tcPr>
          <w:p w:rsidR="002D271D" w:rsidRPr="00E2771E" w:rsidRDefault="002D271D" w:rsidP="002D271D">
            <w:pPr>
              <w:jc w:val="center"/>
              <w:rPr>
                <w:rFonts w:ascii="Arial Narrow" w:hAnsi="Arial Narrow"/>
                <w:sz w:val="20"/>
                <w:lang w:val="en-US"/>
              </w:rPr>
            </w:pPr>
            <w:r>
              <w:rPr>
                <w:rFonts w:ascii="Arial Narrow" w:hAnsi="Arial Narrow"/>
                <w:sz w:val="20"/>
                <w:lang w:val="en-US"/>
              </w:rPr>
              <w:t>Yes</w:t>
            </w:r>
          </w:p>
        </w:tc>
      </w:tr>
    </w:tbl>
    <w:p w:rsidR="002D271D" w:rsidRPr="00174DB9" w:rsidRDefault="002D271D" w:rsidP="002D271D">
      <w:pPr>
        <w:pStyle w:val="TableFooter"/>
        <w:keepNext/>
        <w:widowControl/>
        <w:ind w:firstLine="720"/>
      </w:pPr>
      <w:r w:rsidRPr="00174DB9">
        <w:t>Source: compiled during the evaluation</w:t>
      </w:r>
    </w:p>
    <w:p w:rsidR="002D271D" w:rsidRPr="0072416F" w:rsidRDefault="00F63809" w:rsidP="002D271D">
      <w:pPr>
        <w:pStyle w:val="TableFooter"/>
        <w:keepNext/>
        <w:widowControl/>
        <w:ind w:left="720"/>
      </w:pPr>
      <w:r>
        <w:t xml:space="preserve">Approx. = approximately; </w:t>
      </w:r>
      <w:r w:rsidR="002D271D" w:rsidRPr="0072416F">
        <w:t>DB</w:t>
      </w:r>
      <w:r w:rsidR="002D271D">
        <w:t xml:space="preserve"> </w:t>
      </w:r>
      <w:r w:rsidR="002D271D" w:rsidRPr="0072416F">
        <w:t>=</w:t>
      </w:r>
      <w:r w:rsidR="002D271D">
        <w:t xml:space="preserve"> </w:t>
      </w:r>
      <w:r w:rsidR="002D271D" w:rsidRPr="0072416F">
        <w:t>double blind; MC</w:t>
      </w:r>
      <w:r w:rsidR="002D271D">
        <w:t xml:space="preserve"> </w:t>
      </w:r>
      <w:r w:rsidR="002D271D" w:rsidRPr="0072416F">
        <w:t>=</w:t>
      </w:r>
      <w:r w:rsidR="002D271D">
        <w:t xml:space="preserve"> </w:t>
      </w:r>
      <w:r w:rsidR="002D271D" w:rsidRPr="0072416F">
        <w:t>multi-centre; OS</w:t>
      </w:r>
      <w:r w:rsidR="002D271D">
        <w:t xml:space="preserve"> </w:t>
      </w:r>
      <w:r w:rsidR="002D271D" w:rsidRPr="0072416F">
        <w:t>=</w:t>
      </w:r>
      <w:r w:rsidR="002D271D">
        <w:t xml:space="preserve"> </w:t>
      </w:r>
      <w:r w:rsidR="002D271D" w:rsidRPr="0072416F">
        <w:t xml:space="preserve">overall survival; </w:t>
      </w:r>
      <w:r w:rsidR="002D271D">
        <w:t xml:space="preserve">PC = placebo controlled; </w:t>
      </w:r>
      <w:r w:rsidR="002D271D" w:rsidRPr="0072416F">
        <w:t>PFS</w:t>
      </w:r>
      <w:r w:rsidR="004A32C1">
        <w:t> </w:t>
      </w:r>
      <w:r w:rsidR="002D271D" w:rsidRPr="0072416F">
        <w:t>=</w:t>
      </w:r>
      <w:r w:rsidR="004A32C1">
        <w:t> </w:t>
      </w:r>
      <w:r w:rsidR="002D271D" w:rsidRPr="0072416F">
        <w:t>progression</w:t>
      </w:r>
      <w:r w:rsidR="009C58F6">
        <w:t xml:space="preserve"> </w:t>
      </w:r>
      <w:r w:rsidR="002D271D" w:rsidRPr="0072416F">
        <w:t>free survival; R</w:t>
      </w:r>
      <w:r w:rsidR="002D271D">
        <w:t xml:space="preserve"> </w:t>
      </w:r>
      <w:r w:rsidR="002D271D" w:rsidRPr="0072416F">
        <w:t>=</w:t>
      </w:r>
      <w:r w:rsidR="002D271D">
        <w:t xml:space="preserve"> randomised</w:t>
      </w:r>
    </w:p>
    <w:p w:rsidR="002D271D" w:rsidRDefault="002D271D" w:rsidP="002D271D"/>
    <w:p w:rsidR="007708BE" w:rsidRPr="00805CD1" w:rsidRDefault="0042318B" w:rsidP="00677F3C">
      <w:pPr>
        <w:pStyle w:val="ListParagraph"/>
        <w:widowControl/>
        <w:numPr>
          <w:ilvl w:val="1"/>
          <w:numId w:val="5"/>
        </w:numPr>
      </w:pPr>
      <w:r w:rsidRPr="007708BE">
        <w:rPr>
          <w:szCs w:val="22"/>
        </w:rPr>
        <w:lastRenderedPageBreak/>
        <w:t xml:space="preserve">In the key trial, patients in the </w:t>
      </w:r>
      <w:r w:rsidR="00BB180F">
        <w:rPr>
          <w:szCs w:val="22"/>
        </w:rPr>
        <w:t xml:space="preserve">placebo plus </w:t>
      </w:r>
      <w:r w:rsidRPr="007708BE">
        <w:rPr>
          <w:szCs w:val="22"/>
        </w:rPr>
        <w:t xml:space="preserve">rituximab arm who had progressive disease were switched to idelalisib treatment, while patients in the idelalisib plus rituximab arm were </w:t>
      </w:r>
      <w:r w:rsidR="00FC05F2">
        <w:rPr>
          <w:szCs w:val="22"/>
        </w:rPr>
        <w:t xml:space="preserve">treated with </w:t>
      </w:r>
      <w:r w:rsidRPr="007708BE">
        <w:rPr>
          <w:szCs w:val="22"/>
        </w:rPr>
        <w:t xml:space="preserve">a higher dose of idelalisib. </w:t>
      </w:r>
      <w:r w:rsidR="00844B78" w:rsidRPr="00805CD1">
        <w:rPr>
          <w:szCs w:val="22"/>
        </w:rPr>
        <w:t>The ESC noted that</w:t>
      </w:r>
      <w:r w:rsidR="005373A8" w:rsidRPr="00805CD1">
        <w:rPr>
          <w:szCs w:val="22"/>
        </w:rPr>
        <w:t>,</w:t>
      </w:r>
      <w:r w:rsidR="00844B78" w:rsidRPr="00805CD1">
        <w:rPr>
          <w:szCs w:val="22"/>
        </w:rPr>
        <w:t xml:space="preserve"> </w:t>
      </w:r>
      <w:r w:rsidR="00677F3C" w:rsidRPr="00805CD1">
        <w:rPr>
          <w:szCs w:val="22"/>
        </w:rPr>
        <w:t>i</w:t>
      </w:r>
      <w:r w:rsidR="00677F3C" w:rsidRPr="00805CD1">
        <w:t xml:space="preserve">n the active treatment arm, 70 patients who </w:t>
      </w:r>
      <w:r w:rsidR="00FC05F2" w:rsidRPr="00805CD1">
        <w:t xml:space="preserve">progressed on idelalisib </w:t>
      </w:r>
      <w:r w:rsidR="00677F3C" w:rsidRPr="00805CD1">
        <w:t xml:space="preserve">received double the dose of idelalisib which may have provided </w:t>
      </w:r>
      <w:r w:rsidR="00FC05F2" w:rsidRPr="00805CD1">
        <w:t xml:space="preserve">them with </w:t>
      </w:r>
      <w:r w:rsidR="00677F3C" w:rsidRPr="00805CD1">
        <w:t>an additional overall survival benefit. This was particularly relevant, as the resubmission did not include those costs of further idelalisib treatmen</w:t>
      </w:r>
      <w:r w:rsidR="005373A8" w:rsidRPr="00805CD1">
        <w:t>t for patients who progressed.</w:t>
      </w:r>
    </w:p>
    <w:p w:rsidR="007708BE" w:rsidRPr="007708BE" w:rsidRDefault="007708BE" w:rsidP="007708BE">
      <w:pPr>
        <w:widowControl/>
      </w:pPr>
    </w:p>
    <w:p w:rsidR="007708BE" w:rsidRDefault="0042318B" w:rsidP="004B69A7">
      <w:pPr>
        <w:pStyle w:val="ListParagraph"/>
        <w:widowControl/>
        <w:numPr>
          <w:ilvl w:val="1"/>
          <w:numId w:val="5"/>
        </w:numPr>
      </w:pPr>
      <w:r w:rsidRPr="003B01BC">
        <w:t>The trial was stopped after a median follow-up of 6.1 months for the idelalisib plus rituximab arm and 4.4 months for the placebo plus rituximab arm due to meeting predefined efficacy criteria.</w:t>
      </w:r>
      <w:r>
        <w:t xml:space="preserve"> After this period, all patients from the </w:t>
      </w:r>
      <w:r w:rsidR="00BB180F">
        <w:t xml:space="preserve">placebo plus </w:t>
      </w:r>
      <w:r>
        <w:t>rituximab arm coul</w:t>
      </w:r>
      <w:r w:rsidR="007708BE">
        <w:t>d switch to idelalisib treatment in the follow-up study 312-0117</w:t>
      </w:r>
      <w:r>
        <w:t xml:space="preserve">. The median follow-up in the final analysis was approximately 12 months. </w:t>
      </w:r>
      <w:r w:rsidR="007708BE">
        <w:t xml:space="preserve">In the </w:t>
      </w:r>
      <w:r w:rsidR="00BB180F">
        <w:t xml:space="preserve">placebo plus </w:t>
      </w:r>
      <w:r w:rsidR="007708BE">
        <w:t>rituximab arm, 48/110 (43.6%) patients switched to idelalisib due to disease progression and 39/110 (35.5%) due to reaching the time point when the tri</w:t>
      </w:r>
      <w:r w:rsidR="005373A8">
        <w:t>al was stopped.</w:t>
      </w:r>
    </w:p>
    <w:p w:rsidR="007708BE" w:rsidRDefault="007708BE" w:rsidP="007708BE"/>
    <w:p w:rsidR="00BD41FF" w:rsidRPr="00174DB9" w:rsidRDefault="005D1113" w:rsidP="00BB096C">
      <w:pPr>
        <w:pStyle w:val="ListParagraph"/>
        <w:widowControl/>
        <w:numPr>
          <w:ilvl w:val="1"/>
          <w:numId w:val="5"/>
        </w:numPr>
      </w:pPr>
      <w:r w:rsidRPr="00174DB9">
        <w:t>The re</w:t>
      </w:r>
      <w:r w:rsidR="007708BE" w:rsidRPr="00174DB9">
        <w:t xml:space="preserve">submission addressed the possible confounded overall survival </w:t>
      </w:r>
      <w:r w:rsidR="00250AF3">
        <w:t>us</w:t>
      </w:r>
      <w:r w:rsidR="007708BE" w:rsidRPr="00174DB9">
        <w:t>in</w:t>
      </w:r>
      <w:r w:rsidR="00250AF3">
        <w:t>g</w:t>
      </w:r>
      <w:r w:rsidR="007708BE" w:rsidRPr="00174DB9">
        <w:t xml:space="preserve"> the </w:t>
      </w:r>
      <w:r w:rsidR="00BB096C" w:rsidRPr="00174DB9">
        <w:t>rank preserving structural failure time (</w:t>
      </w:r>
      <w:r w:rsidR="007708BE" w:rsidRPr="00174DB9">
        <w:t>RPSFT</w:t>
      </w:r>
      <w:r w:rsidR="00BB096C" w:rsidRPr="00174DB9">
        <w:t>)</w:t>
      </w:r>
      <w:r w:rsidR="007708BE" w:rsidRPr="00174DB9">
        <w:t xml:space="preserve"> analysis set. The RPSFT analysis was explained in the resubmission,</w:t>
      </w:r>
      <w:r w:rsidR="00BD41FF" w:rsidRPr="00174DB9">
        <w:t xml:space="preserve"> but the workings were not provided. Hence, the following </w:t>
      </w:r>
      <w:r w:rsidR="005373A8">
        <w:t>concerns could not be answered:</w:t>
      </w:r>
    </w:p>
    <w:p w:rsidR="00BD41FF" w:rsidRPr="00174DB9" w:rsidRDefault="00BD41FF" w:rsidP="00114E63">
      <w:pPr>
        <w:pStyle w:val="ListParagraph"/>
        <w:numPr>
          <w:ilvl w:val="1"/>
          <w:numId w:val="43"/>
        </w:numPr>
        <w:ind w:left="1134" w:hanging="425"/>
      </w:pPr>
      <w:r w:rsidRPr="00174DB9">
        <w:t xml:space="preserve">The RPSFT method produced a new overall survival time for the placebo plus rituximab arm by </w:t>
      </w:r>
      <w:r w:rsidR="00722899">
        <w:rPr>
          <w:i/>
        </w:rPr>
        <w:t>accelerating</w:t>
      </w:r>
      <w:r w:rsidR="00722899" w:rsidRPr="00174DB9">
        <w:t xml:space="preserve"> </w:t>
      </w:r>
      <w:r w:rsidRPr="00174DB9">
        <w:t>the time with idelalisib treatment</w:t>
      </w:r>
      <w:r w:rsidR="00722899">
        <w:t xml:space="preserve"> </w:t>
      </w:r>
      <w:r w:rsidR="00722899" w:rsidRPr="00805CD1">
        <w:t>in the placebo plus rituximab arm</w:t>
      </w:r>
      <w:r w:rsidRPr="00805CD1">
        <w:t xml:space="preserve"> by an accelerator factor </w:t>
      </w:r>
      <w:r w:rsidR="001432DF" w:rsidRPr="00805CD1">
        <w:t>stated as</w:t>
      </w:r>
      <w:r w:rsidRPr="00805CD1">
        <w:t xml:space="preserve"> 0.31, with no variance around this point</w:t>
      </w:r>
      <w:r w:rsidR="005373A8" w:rsidRPr="00805CD1">
        <w:t xml:space="preserve"> </w:t>
      </w:r>
      <w:r w:rsidRPr="00805CD1">
        <w:t>estimate provided.</w:t>
      </w:r>
      <w:r w:rsidR="00722899" w:rsidRPr="00805CD1">
        <w:t xml:space="preserve"> The ESC noted that the presentation of this</w:t>
      </w:r>
      <w:r w:rsidR="00722899">
        <w:rPr>
          <w:i/>
        </w:rPr>
        <w:t xml:space="preserve"> </w:t>
      </w:r>
      <w:r w:rsidR="00722899" w:rsidRPr="00805CD1">
        <w:t>acceleration factor</w:t>
      </w:r>
      <w:r w:rsidR="001432DF" w:rsidRPr="00805CD1">
        <w:t>, as the reciprocal,</w:t>
      </w:r>
      <w:r w:rsidR="00722899" w:rsidRPr="00805CD1">
        <w:t xml:space="preserve"> was incorrect, and should instead be the inverse of that presented</w:t>
      </w:r>
      <w:r w:rsidR="00C337A6" w:rsidRPr="00805CD1">
        <w:t xml:space="preserve"> (1/0.31)</w:t>
      </w:r>
      <w:r w:rsidR="00722899" w:rsidRPr="00805CD1">
        <w:t>, thus giving an acceleration factor of 3.2. The ESC interpreted the acceleration factor to mean that every 3.2 months of recorded survival time in the placebo + rituximab arm would be adjusted down to 1 month.</w:t>
      </w:r>
      <w:r w:rsidR="00823202" w:rsidRPr="00805CD1">
        <w:t xml:space="preserve"> As the same acceleration factor was applied to all</w:t>
      </w:r>
      <w:r w:rsidR="00C337A6" w:rsidRPr="00805CD1">
        <w:t xml:space="preserve"> patients</w:t>
      </w:r>
      <w:r w:rsidR="00823202" w:rsidRPr="00805CD1">
        <w:t xml:space="preserve"> who crossed over regardless of the reason for crossing over, this assumption was not supported.</w:t>
      </w:r>
      <w:r w:rsidRPr="00174DB9">
        <w:t xml:space="preserve"> This method should bring increased uncertainty into the hazard ratio, due to uncertainty surrounding this acceleration factor. However, the confidence interval for the RPSFT hazard ratio was smaller than for the </w:t>
      </w:r>
      <w:r w:rsidR="00BB096C" w:rsidRPr="00174DB9">
        <w:t>intention-to-treat (</w:t>
      </w:r>
      <w:r w:rsidRPr="00174DB9">
        <w:t>ITT</w:t>
      </w:r>
      <w:r w:rsidR="00BB096C" w:rsidRPr="00174DB9">
        <w:t>)</w:t>
      </w:r>
      <w:r w:rsidR="005373A8">
        <w:t xml:space="preserve"> analysis.</w:t>
      </w:r>
    </w:p>
    <w:p w:rsidR="00BD41FF" w:rsidRPr="00174DB9" w:rsidRDefault="00BD41FF" w:rsidP="00114E63">
      <w:pPr>
        <w:pStyle w:val="ListParagraph"/>
        <w:numPr>
          <w:ilvl w:val="1"/>
          <w:numId w:val="43"/>
        </w:numPr>
        <w:ind w:left="1134" w:hanging="425"/>
      </w:pPr>
      <w:r w:rsidRPr="00174DB9">
        <w:t xml:space="preserve">The methodology for deriving the confidence intervals around the hazard ratio was not clearly described in the resubmission. The methodology included bootstrapping. </w:t>
      </w:r>
      <w:r w:rsidR="002F240E" w:rsidRPr="00805CD1">
        <w:t xml:space="preserve">The ESC considered that including bootstrapping to derive confidence intervals for the hazard ratio point estimates was </w:t>
      </w:r>
      <w:r w:rsidR="005373A8" w:rsidRPr="00805CD1">
        <w:t xml:space="preserve">a </w:t>
      </w:r>
      <w:r w:rsidR="002F240E" w:rsidRPr="00805CD1">
        <w:t>reasonable</w:t>
      </w:r>
      <w:r w:rsidR="005373A8" w:rsidRPr="00805CD1">
        <w:t xml:space="preserve"> method</w:t>
      </w:r>
      <w:r w:rsidR="001432DF" w:rsidRPr="00805CD1">
        <w:t>, although confidence intervals around the point estimate of the acceleration factor were not presented for comparison</w:t>
      </w:r>
      <w:r w:rsidR="002F240E">
        <w:rPr>
          <w:i/>
        </w:rPr>
        <w:t xml:space="preserve">. </w:t>
      </w:r>
      <w:r w:rsidRPr="00174DB9">
        <w:t>From the resubmission</w:t>
      </w:r>
      <w:r w:rsidR="00BB096C" w:rsidRPr="00174DB9">
        <w:t>,</w:t>
      </w:r>
      <w:r w:rsidRPr="00174DB9">
        <w:t xml:space="preserve"> it was unclear whether the confidence interval around the </w:t>
      </w:r>
      <w:r w:rsidR="00D1380E">
        <w:t>acceleration factor</w:t>
      </w:r>
      <w:r w:rsidRPr="00174DB9">
        <w:t xml:space="preserve"> value was samp</w:t>
      </w:r>
      <w:r w:rsidR="001432DF">
        <w:t>led in the bootstrapping method</w:t>
      </w:r>
      <w:r w:rsidR="005373A8">
        <w:t>.</w:t>
      </w:r>
    </w:p>
    <w:p w:rsidR="00BD41FF" w:rsidRDefault="00BD41FF" w:rsidP="00114E63">
      <w:pPr>
        <w:pStyle w:val="ListParagraph"/>
        <w:numPr>
          <w:ilvl w:val="1"/>
          <w:numId w:val="43"/>
        </w:numPr>
        <w:ind w:left="1134" w:hanging="425"/>
      </w:pPr>
      <w:r w:rsidRPr="00174DB9">
        <w:t>The proposed PBS restriction state</w:t>
      </w:r>
      <w:r w:rsidR="00BB096C" w:rsidRPr="00174DB9">
        <w:t>d</w:t>
      </w:r>
      <w:r w:rsidRPr="00174DB9">
        <w:t xml:space="preserve"> treatment must stop after disease progression. The RPSFT adjustment placed increased significance on the treatment provided after disease progression. This </w:t>
      </w:r>
      <w:r w:rsidR="00BB096C" w:rsidRPr="00174DB9">
        <w:t xml:space="preserve">might </w:t>
      </w:r>
      <w:r w:rsidRPr="00174DB9">
        <w:t>possibly be a treatment benefit the PBS population will not receive</w:t>
      </w:r>
      <w:r w:rsidR="00BB096C" w:rsidRPr="00174DB9">
        <w:t>.</w:t>
      </w:r>
    </w:p>
    <w:p w:rsidR="009E7AF3" w:rsidRDefault="009E7AF3" w:rsidP="009E7AF3"/>
    <w:p w:rsidR="0029025B" w:rsidRDefault="0029025B">
      <w:pPr>
        <w:widowControl/>
        <w:jc w:val="left"/>
        <w:rPr>
          <w:b/>
        </w:rPr>
      </w:pPr>
      <w:bookmarkStart w:id="9" w:name="_Toc430012381"/>
      <w:r>
        <w:br w:type="page"/>
      </w:r>
    </w:p>
    <w:p w:rsidR="00BD41FF" w:rsidRPr="001E3D25" w:rsidRDefault="00BD41FF" w:rsidP="00BD41FF">
      <w:pPr>
        <w:pStyle w:val="Heading2"/>
      </w:pPr>
      <w:r w:rsidRPr="001E3D25">
        <w:lastRenderedPageBreak/>
        <w:t>Comparative effectiveness</w:t>
      </w:r>
      <w:bookmarkEnd w:id="9"/>
    </w:p>
    <w:p w:rsidR="00BD41FF" w:rsidRDefault="00BD41FF" w:rsidP="005373A8"/>
    <w:p w:rsidR="00823202" w:rsidRPr="00A73C21" w:rsidRDefault="002D271D" w:rsidP="0018203D">
      <w:pPr>
        <w:pStyle w:val="ListParagraph"/>
        <w:widowControl/>
        <w:numPr>
          <w:ilvl w:val="1"/>
          <w:numId w:val="5"/>
        </w:numPr>
        <w:rPr>
          <w:i/>
        </w:rPr>
      </w:pPr>
      <w:r w:rsidRPr="0098139D">
        <w:rPr>
          <w:szCs w:val="22"/>
        </w:rPr>
        <w:t xml:space="preserve">Results of the primary outcome, progression free survival, </w:t>
      </w:r>
      <w:r w:rsidR="0098139D" w:rsidRPr="0098139D">
        <w:rPr>
          <w:szCs w:val="22"/>
        </w:rPr>
        <w:t xml:space="preserve">from the final analysis </w:t>
      </w:r>
      <w:r w:rsidR="00BB096C" w:rsidRPr="0098139D">
        <w:rPr>
          <w:szCs w:val="22"/>
        </w:rPr>
        <w:t xml:space="preserve">are </w:t>
      </w:r>
      <w:r w:rsidRPr="0098139D">
        <w:rPr>
          <w:szCs w:val="22"/>
        </w:rPr>
        <w:t>presente</w:t>
      </w:r>
      <w:r w:rsidRPr="00853D18">
        <w:rPr>
          <w:szCs w:val="22"/>
        </w:rPr>
        <w:t xml:space="preserve">d in Table </w:t>
      </w:r>
      <w:r w:rsidR="00B2528C" w:rsidRPr="00853D18">
        <w:rPr>
          <w:szCs w:val="22"/>
        </w:rPr>
        <w:t>4.</w:t>
      </w:r>
    </w:p>
    <w:p w:rsidR="00285362" w:rsidRDefault="00285362" w:rsidP="00285362">
      <w:pPr>
        <w:pStyle w:val="TableHeader"/>
        <w:ind w:left="720"/>
        <w:rPr>
          <w:rFonts w:ascii="Arial Narrow" w:hAnsi="Arial Narrow"/>
          <w:bCs/>
        </w:rPr>
      </w:pPr>
    </w:p>
    <w:p w:rsidR="0029025B" w:rsidRPr="0029025B" w:rsidRDefault="0029025B" w:rsidP="0029025B">
      <w:pPr>
        <w:pStyle w:val="Caption"/>
        <w:keepNext/>
        <w:ind w:left="720"/>
        <w:rPr>
          <w:rFonts w:ascii="Arial Narrow" w:hAnsi="Arial Narrow"/>
          <w:color w:val="auto"/>
          <w:sz w:val="20"/>
        </w:rPr>
      </w:pPr>
      <w:r w:rsidRPr="0029025B">
        <w:rPr>
          <w:rFonts w:ascii="Arial Narrow" w:hAnsi="Arial Narrow"/>
          <w:color w:val="auto"/>
          <w:sz w:val="20"/>
        </w:rPr>
        <w:t xml:space="preserve">Table </w:t>
      </w:r>
      <w:r w:rsidRPr="0029025B">
        <w:rPr>
          <w:rFonts w:ascii="Arial Narrow" w:hAnsi="Arial Narrow"/>
          <w:color w:val="auto"/>
          <w:sz w:val="20"/>
        </w:rPr>
        <w:fldChar w:fldCharType="begin"/>
      </w:r>
      <w:r w:rsidRPr="0029025B">
        <w:rPr>
          <w:rFonts w:ascii="Arial Narrow" w:hAnsi="Arial Narrow"/>
          <w:color w:val="auto"/>
          <w:sz w:val="20"/>
        </w:rPr>
        <w:instrText xml:space="preserve"> SEQ Table \* ARABIC </w:instrText>
      </w:r>
      <w:r w:rsidRPr="0029025B">
        <w:rPr>
          <w:rFonts w:ascii="Arial Narrow" w:hAnsi="Arial Narrow"/>
          <w:color w:val="auto"/>
          <w:sz w:val="20"/>
        </w:rPr>
        <w:fldChar w:fldCharType="separate"/>
      </w:r>
      <w:r w:rsidR="00AD392C">
        <w:rPr>
          <w:rFonts w:ascii="Arial Narrow" w:hAnsi="Arial Narrow"/>
          <w:noProof/>
          <w:color w:val="auto"/>
          <w:sz w:val="20"/>
        </w:rPr>
        <w:t>4</w:t>
      </w:r>
      <w:r w:rsidRPr="0029025B">
        <w:rPr>
          <w:rFonts w:ascii="Arial Narrow" w:hAnsi="Arial Narrow"/>
          <w:color w:val="auto"/>
          <w:sz w:val="20"/>
        </w:rPr>
        <w:fldChar w:fldCharType="end"/>
      </w:r>
      <w:r w:rsidRPr="0029025B">
        <w:rPr>
          <w:rFonts w:ascii="Arial Narrow" w:hAnsi="Arial Narrow"/>
          <w:color w:val="auto"/>
          <w:sz w:val="20"/>
        </w:rPr>
        <w:t>: Results of progression free survival (primary outcome) and overall survival (secondary outcome) from Trial 312-0116 – final results</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Comparative effectiveness results"/>
        <w:tblDescription w:val="Progression-free survival and overall survival from Trial 312-0116"/>
      </w:tblPr>
      <w:tblGrid>
        <w:gridCol w:w="2825"/>
        <w:gridCol w:w="2769"/>
        <w:gridCol w:w="2769"/>
      </w:tblGrid>
      <w:tr w:rsidR="00C337A6" w:rsidRPr="00E2771E" w:rsidTr="0029025B">
        <w:trPr>
          <w:cantSplit/>
          <w:tblHeader/>
        </w:trPr>
        <w:tc>
          <w:tcPr>
            <w:tcW w:w="0" w:type="auto"/>
            <w:shd w:val="clear" w:color="auto" w:fill="auto"/>
            <w:vAlign w:val="center"/>
          </w:tcPr>
          <w:p w:rsidR="00C337A6" w:rsidRPr="00E2771E" w:rsidRDefault="00C337A6" w:rsidP="00380AB3">
            <w:pPr>
              <w:keepNext/>
              <w:jc w:val="left"/>
              <w:rPr>
                <w:rFonts w:ascii="Arial Narrow" w:hAnsi="Arial Narrow"/>
                <w:b/>
                <w:sz w:val="20"/>
                <w:lang w:val="en-US"/>
              </w:rPr>
            </w:pPr>
          </w:p>
        </w:tc>
        <w:tc>
          <w:tcPr>
            <w:tcW w:w="2755" w:type="dxa"/>
            <w:vAlign w:val="center"/>
          </w:tcPr>
          <w:p w:rsidR="00C337A6" w:rsidRPr="00CF743B" w:rsidRDefault="00C337A6" w:rsidP="00380AB3">
            <w:pPr>
              <w:keepNext/>
              <w:jc w:val="center"/>
              <w:rPr>
                <w:rFonts w:ascii="Arial Narrow" w:hAnsi="Arial Narrow"/>
                <w:b/>
                <w:sz w:val="20"/>
              </w:rPr>
            </w:pPr>
            <w:r w:rsidRPr="00CF743B">
              <w:rPr>
                <w:rFonts w:ascii="Arial Narrow" w:hAnsi="Arial Narrow"/>
                <w:b/>
                <w:sz w:val="20"/>
              </w:rPr>
              <w:t>Idelalisib + rituximab</w:t>
            </w:r>
          </w:p>
          <w:p w:rsidR="00C337A6" w:rsidRPr="00CF743B" w:rsidRDefault="00C337A6" w:rsidP="00380AB3">
            <w:pPr>
              <w:keepNext/>
              <w:jc w:val="center"/>
              <w:rPr>
                <w:rFonts w:ascii="Arial Narrow" w:hAnsi="Arial Narrow"/>
                <w:b/>
                <w:sz w:val="20"/>
              </w:rPr>
            </w:pPr>
            <w:r w:rsidRPr="00CF743B">
              <w:rPr>
                <w:rFonts w:ascii="Arial Narrow" w:hAnsi="Arial Narrow"/>
                <w:b/>
                <w:sz w:val="20"/>
              </w:rPr>
              <w:t>(n = 110)</w:t>
            </w:r>
          </w:p>
        </w:tc>
        <w:tc>
          <w:tcPr>
            <w:tcW w:w="2755" w:type="dxa"/>
            <w:vAlign w:val="center"/>
          </w:tcPr>
          <w:p w:rsidR="00C337A6" w:rsidRPr="00CF743B" w:rsidRDefault="00C337A6" w:rsidP="00380AB3">
            <w:pPr>
              <w:keepNext/>
              <w:jc w:val="center"/>
              <w:rPr>
                <w:rFonts w:ascii="Arial Narrow" w:hAnsi="Arial Narrow"/>
                <w:b/>
                <w:sz w:val="20"/>
              </w:rPr>
            </w:pPr>
            <w:r w:rsidRPr="00CF743B">
              <w:rPr>
                <w:rFonts w:ascii="Arial Narrow" w:hAnsi="Arial Narrow"/>
                <w:b/>
                <w:sz w:val="20"/>
              </w:rPr>
              <w:t>Placebo + rituximab</w:t>
            </w:r>
          </w:p>
          <w:p w:rsidR="00C337A6" w:rsidRPr="00CF743B" w:rsidRDefault="00C337A6" w:rsidP="00380AB3">
            <w:pPr>
              <w:keepNext/>
              <w:jc w:val="center"/>
              <w:rPr>
                <w:rFonts w:ascii="Arial Narrow" w:hAnsi="Arial Narrow"/>
                <w:b/>
                <w:sz w:val="20"/>
              </w:rPr>
            </w:pPr>
            <w:r w:rsidRPr="00CF743B">
              <w:rPr>
                <w:rFonts w:ascii="Arial Narrow" w:hAnsi="Arial Narrow"/>
                <w:b/>
                <w:sz w:val="20"/>
              </w:rPr>
              <w:t>(n = 110)</w:t>
            </w:r>
          </w:p>
        </w:tc>
      </w:tr>
      <w:tr w:rsidR="00C337A6" w:rsidRPr="00E2771E" w:rsidTr="0029025B">
        <w:trPr>
          <w:cantSplit/>
        </w:trPr>
        <w:tc>
          <w:tcPr>
            <w:tcW w:w="0" w:type="auto"/>
            <w:shd w:val="clear" w:color="auto" w:fill="auto"/>
            <w:vAlign w:val="center"/>
          </w:tcPr>
          <w:p w:rsidR="00C337A6" w:rsidRDefault="00C337A6" w:rsidP="00380AB3">
            <w:pPr>
              <w:keepNext/>
              <w:jc w:val="left"/>
              <w:rPr>
                <w:rFonts w:ascii="Arial Narrow" w:hAnsi="Arial Narrow"/>
                <w:sz w:val="20"/>
                <w:lang w:val="en-US"/>
              </w:rPr>
            </w:pPr>
            <w:r>
              <w:rPr>
                <w:rFonts w:ascii="Arial Narrow" w:hAnsi="Arial Narrow"/>
                <w:sz w:val="20"/>
                <w:lang w:val="en-US"/>
              </w:rPr>
              <w:t>Median duration of follow-up (months)</w:t>
            </w:r>
          </w:p>
        </w:tc>
        <w:tc>
          <w:tcPr>
            <w:tcW w:w="2755" w:type="dxa"/>
            <w:vAlign w:val="center"/>
          </w:tcPr>
          <w:p w:rsidR="00C337A6" w:rsidRPr="007C0911" w:rsidRDefault="00C337A6" w:rsidP="00380AB3">
            <w:pPr>
              <w:keepNext/>
              <w:jc w:val="center"/>
              <w:rPr>
                <w:rFonts w:ascii="Arial Narrow" w:hAnsi="Arial Narrow"/>
                <w:i/>
                <w:sz w:val="20"/>
              </w:rPr>
            </w:pPr>
            <w:r>
              <w:rPr>
                <w:rFonts w:ascii="Arial Narrow" w:hAnsi="Arial Narrow"/>
                <w:i/>
                <w:sz w:val="20"/>
              </w:rPr>
              <w:t>12.5</w:t>
            </w:r>
          </w:p>
        </w:tc>
        <w:tc>
          <w:tcPr>
            <w:tcW w:w="2755" w:type="dxa"/>
            <w:vAlign w:val="center"/>
          </w:tcPr>
          <w:p w:rsidR="00C337A6" w:rsidRPr="007C0911" w:rsidRDefault="00C337A6" w:rsidP="00380AB3">
            <w:pPr>
              <w:keepNext/>
              <w:jc w:val="center"/>
              <w:rPr>
                <w:rFonts w:ascii="Arial Narrow" w:hAnsi="Arial Narrow"/>
                <w:i/>
                <w:sz w:val="20"/>
              </w:rPr>
            </w:pPr>
            <w:r>
              <w:rPr>
                <w:rFonts w:ascii="Arial Narrow" w:hAnsi="Arial Narrow"/>
                <w:i/>
                <w:sz w:val="20"/>
              </w:rPr>
              <w:t>11.1</w:t>
            </w:r>
          </w:p>
        </w:tc>
      </w:tr>
      <w:tr w:rsidR="00C337A6" w:rsidRPr="00E2771E" w:rsidTr="00A34711">
        <w:trPr>
          <w:cantSplit/>
        </w:trPr>
        <w:tc>
          <w:tcPr>
            <w:tcW w:w="8363" w:type="dxa"/>
            <w:gridSpan w:val="3"/>
            <w:shd w:val="clear" w:color="auto" w:fill="auto"/>
            <w:vAlign w:val="center"/>
          </w:tcPr>
          <w:p w:rsidR="00C337A6" w:rsidRPr="00B2528C" w:rsidRDefault="00C337A6" w:rsidP="00380AB3">
            <w:pPr>
              <w:keepNext/>
              <w:jc w:val="left"/>
              <w:rPr>
                <w:rFonts w:ascii="Arial Narrow" w:hAnsi="Arial Narrow"/>
                <w:b/>
                <w:sz w:val="20"/>
              </w:rPr>
            </w:pPr>
            <w:r w:rsidRPr="00B2528C">
              <w:rPr>
                <w:rFonts w:ascii="Arial Narrow" w:hAnsi="Arial Narrow"/>
                <w:b/>
                <w:sz w:val="20"/>
                <w:lang w:val="en-US"/>
              </w:rPr>
              <w:t>Progression free survival</w:t>
            </w:r>
            <w:r>
              <w:rPr>
                <w:rFonts w:ascii="Arial Narrow" w:hAnsi="Arial Narrow"/>
                <w:b/>
                <w:sz w:val="20"/>
                <w:lang w:val="en-US"/>
              </w:rPr>
              <w:t xml:space="preserve"> – ITT analysis</w:t>
            </w:r>
          </w:p>
        </w:tc>
      </w:tr>
      <w:tr w:rsidR="00C337A6" w:rsidRPr="00E2771E" w:rsidTr="0029025B">
        <w:trPr>
          <w:cantSplit/>
        </w:trPr>
        <w:tc>
          <w:tcPr>
            <w:tcW w:w="0" w:type="auto"/>
            <w:shd w:val="clear" w:color="auto" w:fill="auto"/>
            <w:vAlign w:val="center"/>
          </w:tcPr>
          <w:p w:rsidR="00C337A6" w:rsidRPr="00E2771E" w:rsidRDefault="00C337A6" w:rsidP="00380AB3">
            <w:pPr>
              <w:keepNext/>
              <w:ind w:firstLine="256"/>
              <w:jc w:val="left"/>
              <w:rPr>
                <w:rFonts w:ascii="Arial Narrow" w:hAnsi="Arial Narrow"/>
                <w:sz w:val="20"/>
                <w:lang w:val="en-US"/>
              </w:rPr>
            </w:pPr>
            <w:r>
              <w:rPr>
                <w:rFonts w:ascii="Arial Narrow" w:hAnsi="Arial Narrow"/>
                <w:sz w:val="20"/>
                <w:lang w:val="en-US"/>
              </w:rPr>
              <w:t>Patients with events; n/N (%)</w:t>
            </w:r>
          </w:p>
        </w:tc>
        <w:tc>
          <w:tcPr>
            <w:tcW w:w="2755" w:type="dxa"/>
          </w:tcPr>
          <w:p w:rsidR="00C337A6" w:rsidRPr="00C531E1" w:rsidRDefault="00C337A6" w:rsidP="00380AB3">
            <w:pPr>
              <w:keepNext/>
              <w:jc w:val="center"/>
              <w:rPr>
                <w:rFonts w:ascii="Arial Narrow" w:hAnsi="Arial Narrow"/>
                <w:sz w:val="20"/>
              </w:rPr>
            </w:pPr>
            <w:r>
              <w:rPr>
                <w:rFonts w:ascii="Arial Narrow" w:hAnsi="Arial Narrow"/>
                <w:sz w:val="20"/>
              </w:rPr>
              <w:t>25 (22.7%)</w:t>
            </w:r>
          </w:p>
        </w:tc>
        <w:tc>
          <w:tcPr>
            <w:tcW w:w="2755" w:type="dxa"/>
          </w:tcPr>
          <w:p w:rsidR="00C337A6" w:rsidRPr="00C531E1" w:rsidRDefault="00C337A6" w:rsidP="00380AB3">
            <w:pPr>
              <w:keepNext/>
              <w:jc w:val="center"/>
              <w:rPr>
                <w:rFonts w:ascii="Arial Narrow" w:hAnsi="Arial Narrow"/>
                <w:sz w:val="20"/>
              </w:rPr>
            </w:pPr>
            <w:r>
              <w:rPr>
                <w:rFonts w:ascii="Arial Narrow" w:hAnsi="Arial Narrow"/>
                <w:sz w:val="20"/>
              </w:rPr>
              <w:t>70 (63.6%)</w:t>
            </w:r>
          </w:p>
        </w:tc>
      </w:tr>
      <w:tr w:rsidR="00C337A6" w:rsidRPr="00E2771E" w:rsidTr="0029025B">
        <w:trPr>
          <w:cantSplit/>
        </w:trPr>
        <w:tc>
          <w:tcPr>
            <w:tcW w:w="0" w:type="auto"/>
            <w:shd w:val="clear" w:color="auto" w:fill="auto"/>
            <w:vAlign w:val="center"/>
          </w:tcPr>
          <w:p w:rsidR="00C337A6" w:rsidRDefault="00C337A6" w:rsidP="00380AB3">
            <w:pPr>
              <w:keepNext/>
              <w:ind w:firstLine="256"/>
              <w:jc w:val="left"/>
              <w:rPr>
                <w:rFonts w:ascii="Arial Narrow" w:hAnsi="Arial Narrow"/>
                <w:sz w:val="20"/>
                <w:lang w:val="en-US"/>
              </w:rPr>
            </w:pPr>
            <w:r>
              <w:rPr>
                <w:rFonts w:ascii="Arial Narrow" w:hAnsi="Arial Narrow"/>
                <w:sz w:val="20"/>
                <w:lang w:val="en-US"/>
              </w:rPr>
              <w:t>Patients censored; n/N (%)</w:t>
            </w:r>
          </w:p>
          <w:p w:rsidR="00C337A6" w:rsidRDefault="00C337A6" w:rsidP="00380AB3">
            <w:pPr>
              <w:keepNext/>
              <w:ind w:firstLine="397"/>
              <w:jc w:val="left"/>
              <w:rPr>
                <w:rFonts w:ascii="Arial Narrow" w:hAnsi="Arial Narrow"/>
                <w:sz w:val="20"/>
                <w:lang w:val="en-US"/>
              </w:rPr>
            </w:pPr>
            <w:r>
              <w:rPr>
                <w:rFonts w:ascii="Arial Narrow" w:hAnsi="Arial Narrow"/>
                <w:sz w:val="20"/>
                <w:lang w:val="en-US"/>
              </w:rPr>
              <w:t>Ongoing</w:t>
            </w:r>
          </w:p>
          <w:p w:rsidR="00C337A6" w:rsidRPr="00E2771E" w:rsidRDefault="00C337A6" w:rsidP="00380AB3">
            <w:pPr>
              <w:keepNext/>
              <w:ind w:firstLine="397"/>
              <w:jc w:val="left"/>
              <w:rPr>
                <w:rFonts w:ascii="Arial Narrow" w:hAnsi="Arial Narrow"/>
                <w:sz w:val="20"/>
                <w:lang w:val="en-US"/>
              </w:rPr>
            </w:pPr>
            <w:r>
              <w:rPr>
                <w:rFonts w:ascii="Arial Narrow" w:hAnsi="Arial Narrow"/>
                <w:sz w:val="20"/>
                <w:lang w:val="en-US"/>
              </w:rPr>
              <w:t>Discontinued without event</w:t>
            </w:r>
          </w:p>
        </w:tc>
        <w:tc>
          <w:tcPr>
            <w:tcW w:w="2755" w:type="dxa"/>
          </w:tcPr>
          <w:p w:rsidR="00C337A6" w:rsidRDefault="00C337A6" w:rsidP="00380AB3">
            <w:pPr>
              <w:keepNext/>
              <w:jc w:val="center"/>
              <w:rPr>
                <w:rFonts w:ascii="Arial Narrow" w:hAnsi="Arial Narrow"/>
                <w:sz w:val="20"/>
              </w:rPr>
            </w:pPr>
            <w:r>
              <w:rPr>
                <w:rFonts w:ascii="Arial Narrow" w:hAnsi="Arial Narrow"/>
                <w:sz w:val="20"/>
              </w:rPr>
              <w:t>85 (77.3%)</w:t>
            </w:r>
          </w:p>
          <w:p w:rsidR="00C337A6" w:rsidRDefault="00C337A6" w:rsidP="00380AB3">
            <w:pPr>
              <w:keepNext/>
              <w:jc w:val="center"/>
              <w:rPr>
                <w:rFonts w:ascii="Arial Narrow" w:hAnsi="Arial Narrow"/>
                <w:sz w:val="20"/>
              </w:rPr>
            </w:pPr>
            <w:r>
              <w:rPr>
                <w:rFonts w:ascii="Arial Narrow" w:hAnsi="Arial Narrow"/>
                <w:sz w:val="20"/>
              </w:rPr>
              <w:t>69 (62.7%)</w:t>
            </w:r>
          </w:p>
          <w:p w:rsidR="00C337A6" w:rsidRPr="00C531E1" w:rsidRDefault="00C337A6" w:rsidP="00380AB3">
            <w:pPr>
              <w:keepNext/>
              <w:jc w:val="center"/>
              <w:rPr>
                <w:rFonts w:ascii="Arial Narrow" w:hAnsi="Arial Narrow"/>
                <w:sz w:val="20"/>
              </w:rPr>
            </w:pPr>
            <w:r>
              <w:rPr>
                <w:rFonts w:ascii="Arial Narrow" w:hAnsi="Arial Narrow"/>
                <w:sz w:val="20"/>
              </w:rPr>
              <w:t>16 (14.5%)</w:t>
            </w:r>
          </w:p>
        </w:tc>
        <w:tc>
          <w:tcPr>
            <w:tcW w:w="2755" w:type="dxa"/>
          </w:tcPr>
          <w:p w:rsidR="00C337A6" w:rsidRDefault="00C337A6" w:rsidP="00380AB3">
            <w:pPr>
              <w:keepNext/>
              <w:jc w:val="center"/>
              <w:rPr>
                <w:rFonts w:ascii="Arial Narrow" w:hAnsi="Arial Narrow"/>
                <w:sz w:val="20"/>
              </w:rPr>
            </w:pPr>
            <w:r>
              <w:rPr>
                <w:rFonts w:ascii="Arial Narrow" w:hAnsi="Arial Narrow"/>
                <w:sz w:val="20"/>
              </w:rPr>
              <w:t>40 (36.4%)</w:t>
            </w:r>
          </w:p>
          <w:p w:rsidR="00C337A6" w:rsidRDefault="00C337A6" w:rsidP="00380AB3">
            <w:pPr>
              <w:keepNext/>
              <w:jc w:val="center"/>
              <w:rPr>
                <w:rFonts w:ascii="Arial Narrow" w:hAnsi="Arial Narrow"/>
                <w:sz w:val="20"/>
              </w:rPr>
            </w:pPr>
            <w:r>
              <w:rPr>
                <w:rFonts w:ascii="Arial Narrow" w:hAnsi="Arial Narrow"/>
                <w:sz w:val="20"/>
              </w:rPr>
              <w:t>33 (30.0%)</w:t>
            </w:r>
          </w:p>
          <w:p w:rsidR="00C337A6" w:rsidRPr="00C531E1" w:rsidRDefault="00C337A6" w:rsidP="00380AB3">
            <w:pPr>
              <w:keepNext/>
              <w:jc w:val="center"/>
              <w:rPr>
                <w:rFonts w:ascii="Arial Narrow" w:hAnsi="Arial Narrow"/>
                <w:sz w:val="20"/>
              </w:rPr>
            </w:pPr>
            <w:r>
              <w:rPr>
                <w:rFonts w:ascii="Arial Narrow" w:hAnsi="Arial Narrow"/>
                <w:sz w:val="20"/>
              </w:rPr>
              <w:t>7 (6.4%)</w:t>
            </w:r>
          </w:p>
        </w:tc>
      </w:tr>
      <w:tr w:rsidR="00C337A6" w:rsidRPr="00E2771E" w:rsidTr="0029025B">
        <w:trPr>
          <w:cantSplit/>
        </w:trPr>
        <w:tc>
          <w:tcPr>
            <w:tcW w:w="0" w:type="auto"/>
            <w:shd w:val="clear" w:color="auto" w:fill="auto"/>
            <w:vAlign w:val="center"/>
          </w:tcPr>
          <w:p w:rsidR="00C337A6" w:rsidRPr="00E2771E" w:rsidRDefault="00C337A6" w:rsidP="00380AB3">
            <w:pPr>
              <w:keepNext/>
              <w:ind w:firstLine="256"/>
              <w:jc w:val="left"/>
              <w:rPr>
                <w:rFonts w:ascii="Arial Narrow" w:hAnsi="Arial Narrow"/>
                <w:sz w:val="20"/>
                <w:lang w:val="en-US"/>
              </w:rPr>
            </w:pPr>
            <w:r>
              <w:rPr>
                <w:rFonts w:ascii="Arial Narrow" w:hAnsi="Arial Narrow"/>
                <w:sz w:val="20"/>
                <w:lang w:val="en-US"/>
              </w:rPr>
              <w:t>median PFS,</w:t>
            </w:r>
            <w:r w:rsidR="00380AB3">
              <w:rPr>
                <w:rFonts w:ascii="Arial Narrow" w:hAnsi="Arial Narrow"/>
                <w:sz w:val="20"/>
                <w:lang w:val="en-US"/>
              </w:rPr>
              <w:t xml:space="preserve"> </w:t>
            </w:r>
            <w:r>
              <w:rPr>
                <w:rFonts w:ascii="Arial Narrow" w:hAnsi="Arial Narrow"/>
                <w:sz w:val="20"/>
                <w:lang w:val="en-US"/>
              </w:rPr>
              <w:t>months (95% CI)</w:t>
            </w:r>
          </w:p>
        </w:tc>
        <w:tc>
          <w:tcPr>
            <w:tcW w:w="2755" w:type="dxa"/>
            <w:vAlign w:val="center"/>
          </w:tcPr>
          <w:p w:rsidR="00C337A6" w:rsidRPr="00337E33" w:rsidRDefault="00C337A6" w:rsidP="00380AB3">
            <w:pPr>
              <w:keepNext/>
              <w:jc w:val="center"/>
              <w:rPr>
                <w:rFonts w:ascii="Arial Narrow" w:hAnsi="Arial Narrow"/>
                <w:sz w:val="20"/>
              </w:rPr>
            </w:pPr>
            <w:r>
              <w:rPr>
                <w:rFonts w:ascii="Arial Narrow" w:hAnsi="Arial Narrow"/>
                <w:sz w:val="20"/>
              </w:rPr>
              <w:t>19.4 (12.3, NR)</w:t>
            </w:r>
          </w:p>
        </w:tc>
        <w:tc>
          <w:tcPr>
            <w:tcW w:w="2755" w:type="dxa"/>
            <w:vAlign w:val="center"/>
          </w:tcPr>
          <w:p w:rsidR="00C337A6" w:rsidRPr="00337E33" w:rsidRDefault="00C337A6" w:rsidP="00380AB3">
            <w:pPr>
              <w:keepNext/>
              <w:jc w:val="center"/>
              <w:rPr>
                <w:rFonts w:ascii="Arial Narrow" w:hAnsi="Arial Narrow"/>
                <w:sz w:val="20"/>
              </w:rPr>
            </w:pPr>
            <w:r>
              <w:rPr>
                <w:rFonts w:ascii="Arial Narrow" w:hAnsi="Arial Narrow"/>
                <w:sz w:val="20"/>
              </w:rPr>
              <w:t>6.5 (4.0, 7.3)</w:t>
            </w:r>
          </w:p>
        </w:tc>
      </w:tr>
      <w:tr w:rsidR="00C337A6" w:rsidRPr="00E2771E" w:rsidTr="0029025B">
        <w:trPr>
          <w:cantSplit/>
        </w:trPr>
        <w:tc>
          <w:tcPr>
            <w:tcW w:w="0" w:type="auto"/>
            <w:shd w:val="clear" w:color="auto" w:fill="auto"/>
            <w:vAlign w:val="center"/>
          </w:tcPr>
          <w:p w:rsidR="00C337A6" w:rsidRPr="00EF142B" w:rsidRDefault="00C337A6" w:rsidP="00380AB3">
            <w:pPr>
              <w:keepNext/>
              <w:ind w:firstLine="256"/>
              <w:jc w:val="left"/>
              <w:rPr>
                <w:rFonts w:ascii="Arial Narrow" w:hAnsi="Arial Narrow"/>
                <w:b/>
                <w:sz w:val="20"/>
                <w:lang w:val="en-US"/>
              </w:rPr>
            </w:pPr>
            <w:r>
              <w:rPr>
                <w:rFonts w:ascii="Arial Narrow" w:hAnsi="Arial Narrow"/>
                <w:sz w:val="20"/>
                <w:lang w:val="en-US"/>
              </w:rPr>
              <w:t>Adjusted HR (95% CI)</w:t>
            </w:r>
            <w:r>
              <w:rPr>
                <w:rFonts w:ascii="Arial Narrow" w:hAnsi="Arial Narrow"/>
                <w:sz w:val="20"/>
              </w:rPr>
              <w:t xml:space="preserve"> </w:t>
            </w:r>
            <w:r>
              <w:rPr>
                <w:rFonts w:ascii="Arial Narrow" w:hAnsi="Arial Narrow"/>
                <w:sz w:val="20"/>
                <w:vertAlign w:val="superscript"/>
              </w:rPr>
              <w:t>a</w:t>
            </w:r>
          </w:p>
        </w:tc>
        <w:tc>
          <w:tcPr>
            <w:tcW w:w="5510" w:type="dxa"/>
            <w:gridSpan w:val="2"/>
          </w:tcPr>
          <w:p w:rsidR="00C337A6" w:rsidRPr="00EF142B" w:rsidRDefault="00C337A6" w:rsidP="00380AB3">
            <w:pPr>
              <w:keepNext/>
              <w:jc w:val="center"/>
              <w:rPr>
                <w:rFonts w:ascii="Arial Narrow" w:hAnsi="Arial Narrow"/>
                <w:b/>
                <w:sz w:val="20"/>
                <w:lang w:val="en-US"/>
              </w:rPr>
            </w:pPr>
            <w:r>
              <w:rPr>
                <w:rFonts w:ascii="Arial Narrow" w:hAnsi="Arial Narrow"/>
                <w:b/>
                <w:sz w:val="20"/>
              </w:rPr>
              <w:t>0.15 (0.09, 0.24)</w:t>
            </w:r>
          </w:p>
        </w:tc>
      </w:tr>
      <w:tr w:rsidR="00C337A6" w:rsidRPr="00E2771E" w:rsidTr="00A34711">
        <w:trPr>
          <w:cantSplit/>
        </w:trPr>
        <w:tc>
          <w:tcPr>
            <w:tcW w:w="8363" w:type="dxa"/>
            <w:gridSpan w:val="3"/>
            <w:shd w:val="clear" w:color="auto" w:fill="auto"/>
            <w:vAlign w:val="center"/>
          </w:tcPr>
          <w:p w:rsidR="00C337A6" w:rsidRDefault="00C337A6" w:rsidP="00380AB3">
            <w:pPr>
              <w:keepNext/>
              <w:jc w:val="left"/>
              <w:rPr>
                <w:rFonts w:ascii="Arial Narrow" w:hAnsi="Arial Narrow"/>
                <w:sz w:val="20"/>
              </w:rPr>
            </w:pPr>
            <w:r w:rsidRPr="00B2528C">
              <w:rPr>
                <w:rFonts w:ascii="Arial Narrow" w:hAnsi="Arial Narrow"/>
                <w:b/>
                <w:sz w:val="20"/>
                <w:lang w:val="en-US"/>
              </w:rPr>
              <w:t>Overall survival</w:t>
            </w:r>
          </w:p>
        </w:tc>
      </w:tr>
      <w:tr w:rsidR="00C337A6" w:rsidRPr="00E2771E" w:rsidTr="0029025B">
        <w:trPr>
          <w:cantSplit/>
        </w:trPr>
        <w:tc>
          <w:tcPr>
            <w:tcW w:w="0" w:type="auto"/>
            <w:shd w:val="clear" w:color="auto" w:fill="auto"/>
            <w:vAlign w:val="center"/>
          </w:tcPr>
          <w:p w:rsidR="00C337A6" w:rsidRDefault="00C337A6" w:rsidP="00380AB3">
            <w:pPr>
              <w:keepNext/>
              <w:jc w:val="left"/>
              <w:rPr>
                <w:rFonts w:ascii="Arial Narrow" w:hAnsi="Arial Narrow"/>
                <w:sz w:val="20"/>
              </w:rPr>
            </w:pPr>
            <w:r w:rsidRPr="00B2528C">
              <w:rPr>
                <w:rFonts w:ascii="Arial Narrow" w:hAnsi="Arial Narrow"/>
                <w:b/>
                <w:sz w:val="20"/>
              </w:rPr>
              <w:t>ITT analysis</w:t>
            </w:r>
          </w:p>
        </w:tc>
        <w:tc>
          <w:tcPr>
            <w:tcW w:w="2755" w:type="dxa"/>
          </w:tcPr>
          <w:p w:rsidR="00C337A6" w:rsidRDefault="00C337A6" w:rsidP="00380AB3">
            <w:pPr>
              <w:keepNext/>
              <w:jc w:val="center"/>
              <w:rPr>
                <w:rFonts w:ascii="Arial Narrow" w:hAnsi="Arial Narrow"/>
                <w:sz w:val="20"/>
              </w:rPr>
            </w:pPr>
          </w:p>
        </w:tc>
        <w:tc>
          <w:tcPr>
            <w:tcW w:w="2755" w:type="dxa"/>
          </w:tcPr>
          <w:p w:rsidR="00C337A6" w:rsidRDefault="00C337A6" w:rsidP="00380AB3">
            <w:pPr>
              <w:keepNext/>
              <w:jc w:val="center"/>
              <w:rPr>
                <w:rFonts w:ascii="Arial Narrow" w:hAnsi="Arial Narrow"/>
                <w:sz w:val="20"/>
              </w:rPr>
            </w:pPr>
          </w:p>
        </w:tc>
      </w:tr>
      <w:tr w:rsidR="00C337A6" w:rsidRPr="00E2771E" w:rsidTr="0029025B">
        <w:trPr>
          <w:cantSplit/>
        </w:trPr>
        <w:tc>
          <w:tcPr>
            <w:tcW w:w="0" w:type="auto"/>
            <w:shd w:val="clear" w:color="auto" w:fill="auto"/>
            <w:vAlign w:val="center"/>
          </w:tcPr>
          <w:p w:rsidR="00C337A6" w:rsidRDefault="00C337A6" w:rsidP="00380AB3">
            <w:pPr>
              <w:keepNext/>
              <w:ind w:firstLine="256"/>
              <w:jc w:val="left"/>
              <w:rPr>
                <w:rFonts w:ascii="Arial Narrow" w:hAnsi="Arial Narrow"/>
                <w:sz w:val="20"/>
                <w:lang w:val="en-US"/>
              </w:rPr>
            </w:pPr>
            <w:r>
              <w:rPr>
                <w:rFonts w:ascii="Arial Narrow" w:hAnsi="Arial Narrow"/>
                <w:sz w:val="20"/>
              </w:rPr>
              <w:t>Patients who died; n (%)</w:t>
            </w:r>
          </w:p>
        </w:tc>
        <w:tc>
          <w:tcPr>
            <w:tcW w:w="2755" w:type="dxa"/>
          </w:tcPr>
          <w:p w:rsidR="00C337A6" w:rsidRDefault="00C337A6" w:rsidP="00380AB3">
            <w:pPr>
              <w:keepNext/>
              <w:jc w:val="center"/>
              <w:rPr>
                <w:rFonts w:ascii="Arial Narrow" w:hAnsi="Arial Narrow"/>
                <w:sz w:val="20"/>
              </w:rPr>
            </w:pPr>
            <w:r>
              <w:rPr>
                <w:rFonts w:ascii="Arial Narrow" w:hAnsi="Arial Narrow"/>
                <w:sz w:val="20"/>
              </w:rPr>
              <w:t>17 (15.5%)</w:t>
            </w:r>
          </w:p>
        </w:tc>
        <w:tc>
          <w:tcPr>
            <w:tcW w:w="2755" w:type="dxa"/>
          </w:tcPr>
          <w:p w:rsidR="00C337A6" w:rsidRDefault="00C337A6" w:rsidP="00380AB3">
            <w:pPr>
              <w:keepNext/>
              <w:jc w:val="center"/>
              <w:rPr>
                <w:rFonts w:ascii="Arial Narrow" w:hAnsi="Arial Narrow"/>
                <w:sz w:val="20"/>
              </w:rPr>
            </w:pPr>
            <w:r>
              <w:rPr>
                <w:rFonts w:ascii="Arial Narrow" w:hAnsi="Arial Narrow"/>
                <w:sz w:val="20"/>
              </w:rPr>
              <w:t>40 (36.4%)</w:t>
            </w:r>
          </w:p>
        </w:tc>
      </w:tr>
      <w:tr w:rsidR="00C337A6" w:rsidRPr="00E2771E" w:rsidTr="0029025B">
        <w:trPr>
          <w:cantSplit/>
        </w:trPr>
        <w:tc>
          <w:tcPr>
            <w:tcW w:w="0" w:type="auto"/>
            <w:shd w:val="clear" w:color="auto" w:fill="auto"/>
            <w:vAlign w:val="center"/>
          </w:tcPr>
          <w:p w:rsidR="00C337A6" w:rsidRPr="004E2ADC" w:rsidRDefault="00C337A6" w:rsidP="00380AB3">
            <w:pPr>
              <w:keepNext/>
              <w:ind w:right="-108" w:firstLine="256"/>
              <w:jc w:val="left"/>
              <w:rPr>
                <w:rFonts w:ascii="Arial Narrow" w:hAnsi="Arial Narrow"/>
                <w:sz w:val="20"/>
              </w:rPr>
            </w:pPr>
            <w:r>
              <w:rPr>
                <w:rFonts w:ascii="Arial Narrow" w:hAnsi="Arial Narrow"/>
                <w:sz w:val="20"/>
              </w:rPr>
              <w:t>Patients censored; n (%)</w:t>
            </w:r>
          </w:p>
          <w:p w:rsidR="00C337A6" w:rsidRDefault="00C337A6" w:rsidP="00380AB3">
            <w:pPr>
              <w:keepNext/>
              <w:ind w:right="-108" w:firstLine="397"/>
              <w:jc w:val="left"/>
              <w:rPr>
                <w:rFonts w:ascii="Arial Narrow" w:hAnsi="Arial Narrow"/>
                <w:sz w:val="20"/>
              </w:rPr>
            </w:pPr>
            <w:r>
              <w:rPr>
                <w:rFonts w:ascii="Arial Narrow" w:hAnsi="Arial Narrow"/>
                <w:sz w:val="20"/>
              </w:rPr>
              <w:t>Ongoing</w:t>
            </w:r>
          </w:p>
          <w:p w:rsidR="00C337A6" w:rsidRDefault="00C337A6" w:rsidP="00380AB3">
            <w:pPr>
              <w:keepNext/>
              <w:ind w:firstLine="397"/>
              <w:jc w:val="left"/>
              <w:rPr>
                <w:rFonts w:ascii="Arial Narrow" w:hAnsi="Arial Narrow"/>
                <w:sz w:val="20"/>
                <w:lang w:val="en-US"/>
              </w:rPr>
            </w:pPr>
            <w:r>
              <w:rPr>
                <w:rFonts w:ascii="Arial Narrow" w:hAnsi="Arial Narrow"/>
                <w:sz w:val="20"/>
              </w:rPr>
              <w:t>Discontinued without event</w:t>
            </w:r>
          </w:p>
        </w:tc>
        <w:tc>
          <w:tcPr>
            <w:tcW w:w="2755" w:type="dxa"/>
          </w:tcPr>
          <w:p w:rsidR="00C337A6" w:rsidRDefault="00C337A6" w:rsidP="00380AB3">
            <w:pPr>
              <w:keepNext/>
              <w:jc w:val="center"/>
              <w:rPr>
                <w:rFonts w:ascii="Arial Narrow" w:hAnsi="Arial Narrow"/>
                <w:sz w:val="20"/>
              </w:rPr>
            </w:pPr>
            <w:r>
              <w:rPr>
                <w:rFonts w:ascii="Arial Narrow" w:hAnsi="Arial Narrow"/>
                <w:sz w:val="20"/>
              </w:rPr>
              <w:t>93 (84.5%)</w:t>
            </w:r>
          </w:p>
          <w:p w:rsidR="00C337A6" w:rsidRDefault="00C337A6" w:rsidP="00380AB3">
            <w:pPr>
              <w:keepNext/>
              <w:jc w:val="center"/>
              <w:rPr>
                <w:rFonts w:ascii="Arial Narrow" w:hAnsi="Arial Narrow"/>
                <w:sz w:val="20"/>
              </w:rPr>
            </w:pPr>
            <w:r>
              <w:rPr>
                <w:rFonts w:ascii="Arial Narrow" w:hAnsi="Arial Narrow"/>
                <w:sz w:val="20"/>
              </w:rPr>
              <w:t>60 (54.5%)</w:t>
            </w:r>
          </w:p>
          <w:p w:rsidR="00C337A6" w:rsidRDefault="00C337A6" w:rsidP="00380AB3">
            <w:pPr>
              <w:keepNext/>
              <w:jc w:val="center"/>
              <w:rPr>
                <w:rFonts w:ascii="Arial Narrow" w:hAnsi="Arial Narrow"/>
                <w:sz w:val="20"/>
              </w:rPr>
            </w:pPr>
            <w:r>
              <w:rPr>
                <w:rFonts w:ascii="Arial Narrow" w:hAnsi="Arial Narrow"/>
                <w:sz w:val="20"/>
              </w:rPr>
              <w:t>33 (30.0%)</w:t>
            </w:r>
          </w:p>
        </w:tc>
        <w:tc>
          <w:tcPr>
            <w:tcW w:w="2755" w:type="dxa"/>
          </w:tcPr>
          <w:p w:rsidR="00C337A6" w:rsidRDefault="00C337A6" w:rsidP="00380AB3">
            <w:pPr>
              <w:keepNext/>
              <w:jc w:val="center"/>
              <w:rPr>
                <w:rFonts w:ascii="Arial Narrow" w:hAnsi="Arial Narrow"/>
                <w:sz w:val="20"/>
              </w:rPr>
            </w:pPr>
            <w:r>
              <w:rPr>
                <w:rFonts w:ascii="Arial Narrow" w:hAnsi="Arial Narrow"/>
                <w:sz w:val="20"/>
              </w:rPr>
              <w:t>70 (63.6%)</w:t>
            </w:r>
          </w:p>
          <w:p w:rsidR="00C337A6" w:rsidRDefault="00C337A6" w:rsidP="00380AB3">
            <w:pPr>
              <w:keepNext/>
              <w:jc w:val="center"/>
              <w:rPr>
                <w:rFonts w:ascii="Arial Narrow" w:hAnsi="Arial Narrow"/>
                <w:sz w:val="20"/>
              </w:rPr>
            </w:pPr>
            <w:r>
              <w:rPr>
                <w:rFonts w:ascii="Arial Narrow" w:hAnsi="Arial Narrow"/>
                <w:sz w:val="20"/>
              </w:rPr>
              <w:t>38 (34.5%)</w:t>
            </w:r>
          </w:p>
          <w:p w:rsidR="00C337A6" w:rsidRDefault="00C337A6" w:rsidP="00380AB3">
            <w:pPr>
              <w:keepNext/>
              <w:jc w:val="center"/>
              <w:rPr>
                <w:rFonts w:ascii="Arial Narrow" w:hAnsi="Arial Narrow"/>
                <w:sz w:val="20"/>
              </w:rPr>
            </w:pPr>
            <w:r>
              <w:rPr>
                <w:rFonts w:ascii="Arial Narrow" w:hAnsi="Arial Narrow"/>
                <w:sz w:val="20"/>
              </w:rPr>
              <w:t>32 (29.1%)</w:t>
            </w:r>
          </w:p>
        </w:tc>
      </w:tr>
      <w:tr w:rsidR="00C337A6" w:rsidRPr="00E2771E" w:rsidTr="0029025B">
        <w:trPr>
          <w:cantSplit/>
        </w:trPr>
        <w:tc>
          <w:tcPr>
            <w:tcW w:w="0" w:type="auto"/>
            <w:shd w:val="clear" w:color="auto" w:fill="auto"/>
            <w:vAlign w:val="center"/>
          </w:tcPr>
          <w:p w:rsidR="00C337A6" w:rsidRDefault="00C337A6" w:rsidP="00380AB3">
            <w:pPr>
              <w:keepNext/>
              <w:ind w:firstLine="256"/>
              <w:jc w:val="left"/>
              <w:rPr>
                <w:rFonts w:ascii="Arial Narrow" w:hAnsi="Arial Narrow"/>
                <w:sz w:val="20"/>
                <w:lang w:val="en-US"/>
              </w:rPr>
            </w:pPr>
            <w:r>
              <w:rPr>
                <w:rFonts w:ascii="Arial Narrow" w:hAnsi="Arial Narrow"/>
                <w:sz w:val="20"/>
              </w:rPr>
              <w:t>M</w:t>
            </w:r>
            <w:r w:rsidRPr="00F858D9">
              <w:rPr>
                <w:rFonts w:ascii="Arial Narrow" w:hAnsi="Arial Narrow"/>
                <w:sz w:val="20"/>
              </w:rPr>
              <w:t xml:space="preserve">edian </w:t>
            </w:r>
            <w:r>
              <w:rPr>
                <w:rFonts w:ascii="Arial Narrow" w:hAnsi="Arial Narrow"/>
                <w:sz w:val="20"/>
              </w:rPr>
              <w:t xml:space="preserve">OS, months </w:t>
            </w:r>
            <w:r w:rsidRPr="00F858D9">
              <w:rPr>
                <w:rFonts w:ascii="Arial Narrow" w:hAnsi="Arial Narrow"/>
                <w:sz w:val="20"/>
              </w:rPr>
              <w:t>(95% CI)</w:t>
            </w:r>
          </w:p>
        </w:tc>
        <w:tc>
          <w:tcPr>
            <w:tcW w:w="2755" w:type="dxa"/>
            <w:vAlign w:val="center"/>
          </w:tcPr>
          <w:p w:rsidR="00C337A6" w:rsidRDefault="00C337A6" w:rsidP="00380AB3">
            <w:pPr>
              <w:keepNext/>
              <w:jc w:val="center"/>
              <w:rPr>
                <w:rFonts w:ascii="Arial Narrow" w:hAnsi="Arial Narrow"/>
                <w:sz w:val="20"/>
              </w:rPr>
            </w:pPr>
            <w:r w:rsidRPr="00C57DF1">
              <w:rPr>
                <w:rFonts w:ascii="Arial Narrow" w:hAnsi="Arial Narrow"/>
                <w:sz w:val="20"/>
              </w:rPr>
              <w:t>NR (NR, NR)</w:t>
            </w:r>
          </w:p>
        </w:tc>
        <w:tc>
          <w:tcPr>
            <w:tcW w:w="2755" w:type="dxa"/>
            <w:vAlign w:val="center"/>
          </w:tcPr>
          <w:p w:rsidR="00C337A6" w:rsidRDefault="00C337A6" w:rsidP="00380AB3">
            <w:pPr>
              <w:keepNext/>
              <w:jc w:val="center"/>
              <w:rPr>
                <w:rFonts w:ascii="Arial Narrow" w:hAnsi="Arial Narrow"/>
                <w:sz w:val="20"/>
              </w:rPr>
            </w:pPr>
            <w:r w:rsidRPr="00C57DF1">
              <w:rPr>
                <w:rFonts w:ascii="Arial Narrow" w:hAnsi="Arial Narrow"/>
                <w:sz w:val="20"/>
              </w:rPr>
              <w:t>20.8 (14.8, NR)</w:t>
            </w:r>
          </w:p>
        </w:tc>
      </w:tr>
      <w:tr w:rsidR="00C337A6" w:rsidRPr="00E2771E" w:rsidTr="0029025B">
        <w:trPr>
          <w:cantSplit/>
        </w:trPr>
        <w:tc>
          <w:tcPr>
            <w:tcW w:w="0" w:type="auto"/>
            <w:shd w:val="clear" w:color="auto" w:fill="auto"/>
            <w:vAlign w:val="center"/>
          </w:tcPr>
          <w:p w:rsidR="00C337A6" w:rsidRPr="00C57DF1" w:rsidRDefault="00C337A6" w:rsidP="00380AB3">
            <w:pPr>
              <w:keepNext/>
              <w:ind w:firstLine="256"/>
              <w:jc w:val="left"/>
              <w:rPr>
                <w:rFonts w:ascii="Arial Narrow" w:hAnsi="Arial Narrow"/>
                <w:sz w:val="20"/>
              </w:rPr>
            </w:pPr>
            <w:r>
              <w:rPr>
                <w:rFonts w:ascii="Arial Narrow" w:hAnsi="Arial Narrow"/>
                <w:sz w:val="20"/>
              </w:rPr>
              <w:t xml:space="preserve">Adjusted HR (95% CI) </w:t>
            </w:r>
            <w:r>
              <w:rPr>
                <w:rFonts w:ascii="Arial Narrow" w:hAnsi="Arial Narrow"/>
                <w:sz w:val="20"/>
                <w:vertAlign w:val="superscript"/>
              </w:rPr>
              <w:t>a</w:t>
            </w:r>
          </w:p>
        </w:tc>
        <w:tc>
          <w:tcPr>
            <w:tcW w:w="5510" w:type="dxa"/>
            <w:gridSpan w:val="2"/>
          </w:tcPr>
          <w:p w:rsidR="00C337A6" w:rsidRPr="00C57DF1" w:rsidRDefault="00C337A6" w:rsidP="00380AB3">
            <w:pPr>
              <w:keepNext/>
              <w:jc w:val="center"/>
              <w:rPr>
                <w:rFonts w:ascii="Arial Narrow" w:hAnsi="Arial Narrow"/>
                <w:sz w:val="20"/>
              </w:rPr>
            </w:pPr>
            <w:r>
              <w:rPr>
                <w:rFonts w:ascii="Arial Narrow" w:hAnsi="Arial Narrow"/>
                <w:b/>
                <w:sz w:val="20"/>
              </w:rPr>
              <w:t>0.34 (0.19, 0.60)</w:t>
            </w:r>
          </w:p>
        </w:tc>
      </w:tr>
      <w:tr w:rsidR="00C337A6" w:rsidRPr="00E2771E" w:rsidTr="0029025B">
        <w:trPr>
          <w:cantSplit/>
        </w:trPr>
        <w:tc>
          <w:tcPr>
            <w:tcW w:w="0" w:type="auto"/>
            <w:shd w:val="clear" w:color="auto" w:fill="auto"/>
            <w:vAlign w:val="center"/>
          </w:tcPr>
          <w:p w:rsidR="00C337A6" w:rsidRPr="00C57DF1" w:rsidRDefault="00C337A6" w:rsidP="00380AB3">
            <w:pPr>
              <w:keepNext/>
              <w:jc w:val="left"/>
              <w:rPr>
                <w:rFonts w:ascii="Arial Narrow" w:hAnsi="Arial Narrow"/>
                <w:sz w:val="20"/>
              </w:rPr>
            </w:pPr>
            <w:r w:rsidRPr="00B2528C">
              <w:rPr>
                <w:rFonts w:ascii="Arial Narrow" w:hAnsi="Arial Narrow"/>
                <w:b/>
                <w:sz w:val="20"/>
              </w:rPr>
              <w:t>RPSFT analysis</w:t>
            </w:r>
          </w:p>
        </w:tc>
        <w:tc>
          <w:tcPr>
            <w:tcW w:w="2755" w:type="dxa"/>
            <w:vAlign w:val="center"/>
          </w:tcPr>
          <w:p w:rsidR="00C337A6" w:rsidRPr="00C57DF1" w:rsidRDefault="00C337A6" w:rsidP="00380AB3">
            <w:pPr>
              <w:keepNext/>
              <w:jc w:val="center"/>
              <w:rPr>
                <w:rFonts w:ascii="Arial Narrow" w:hAnsi="Arial Narrow"/>
                <w:sz w:val="20"/>
              </w:rPr>
            </w:pPr>
          </w:p>
        </w:tc>
        <w:tc>
          <w:tcPr>
            <w:tcW w:w="2755" w:type="dxa"/>
            <w:vAlign w:val="center"/>
          </w:tcPr>
          <w:p w:rsidR="00C337A6" w:rsidRPr="00C57DF1" w:rsidRDefault="00C337A6" w:rsidP="00380AB3">
            <w:pPr>
              <w:keepNext/>
              <w:jc w:val="center"/>
              <w:rPr>
                <w:rFonts w:ascii="Arial Narrow" w:hAnsi="Arial Narrow"/>
                <w:sz w:val="20"/>
              </w:rPr>
            </w:pPr>
          </w:p>
        </w:tc>
      </w:tr>
      <w:tr w:rsidR="00C337A6" w:rsidRPr="00E2771E" w:rsidTr="0029025B">
        <w:trPr>
          <w:cantSplit/>
        </w:trPr>
        <w:tc>
          <w:tcPr>
            <w:tcW w:w="0" w:type="auto"/>
            <w:shd w:val="clear" w:color="auto" w:fill="auto"/>
            <w:vAlign w:val="center"/>
          </w:tcPr>
          <w:p w:rsidR="00C337A6" w:rsidRPr="00C57DF1" w:rsidRDefault="00C337A6" w:rsidP="00380AB3">
            <w:pPr>
              <w:keepNext/>
              <w:ind w:firstLine="256"/>
              <w:jc w:val="left"/>
              <w:rPr>
                <w:rFonts w:ascii="Arial Narrow" w:hAnsi="Arial Narrow"/>
                <w:sz w:val="20"/>
              </w:rPr>
            </w:pPr>
            <w:r>
              <w:rPr>
                <w:rFonts w:ascii="Arial Narrow" w:hAnsi="Arial Narrow"/>
                <w:sz w:val="20"/>
              </w:rPr>
              <w:t>M</w:t>
            </w:r>
            <w:r w:rsidRPr="00F858D9">
              <w:rPr>
                <w:rFonts w:ascii="Arial Narrow" w:hAnsi="Arial Narrow"/>
                <w:sz w:val="20"/>
              </w:rPr>
              <w:t xml:space="preserve">edian </w:t>
            </w:r>
            <w:r>
              <w:rPr>
                <w:rFonts w:ascii="Arial Narrow" w:hAnsi="Arial Narrow"/>
                <w:sz w:val="20"/>
              </w:rPr>
              <w:t xml:space="preserve">OS, months </w:t>
            </w:r>
            <w:r w:rsidRPr="00F858D9">
              <w:rPr>
                <w:rFonts w:ascii="Arial Narrow" w:hAnsi="Arial Narrow"/>
                <w:sz w:val="20"/>
              </w:rPr>
              <w:t>(95% CI)</w:t>
            </w:r>
          </w:p>
        </w:tc>
        <w:tc>
          <w:tcPr>
            <w:tcW w:w="2755" w:type="dxa"/>
            <w:vAlign w:val="center"/>
          </w:tcPr>
          <w:p w:rsidR="00C337A6" w:rsidRPr="00C57DF1" w:rsidRDefault="00C337A6" w:rsidP="00380AB3">
            <w:pPr>
              <w:keepNext/>
              <w:jc w:val="center"/>
              <w:rPr>
                <w:rFonts w:ascii="Arial Narrow" w:hAnsi="Arial Narrow"/>
                <w:sz w:val="20"/>
              </w:rPr>
            </w:pPr>
            <w:r w:rsidRPr="00C57DF1">
              <w:rPr>
                <w:rFonts w:ascii="Arial Narrow" w:hAnsi="Arial Narrow"/>
                <w:sz w:val="20"/>
              </w:rPr>
              <w:t>NR (NR, NR)</w:t>
            </w:r>
          </w:p>
        </w:tc>
        <w:tc>
          <w:tcPr>
            <w:tcW w:w="2755" w:type="dxa"/>
            <w:vAlign w:val="center"/>
          </w:tcPr>
          <w:p w:rsidR="00C337A6" w:rsidRPr="00C57DF1" w:rsidRDefault="00C337A6" w:rsidP="00380AB3">
            <w:pPr>
              <w:keepNext/>
              <w:jc w:val="center"/>
              <w:rPr>
                <w:rFonts w:ascii="Arial Narrow" w:hAnsi="Arial Narrow"/>
                <w:sz w:val="20"/>
              </w:rPr>
            </w:pPr>
            <w:r w:rsidRPr="00C57DF1">
              <w:rPr>
                <w:rFonts w:ascii="Arial Narrow" w:hAnsi="Arial Narrow"/>
                <w:sz w:val="20"/>
              </w:rPr>
              <w:t>11.6 (8.2, NR)</w:t>
            </w:r>
          </w:p>
        </w:tc>
      </w:tr>
      <w:tr w:rsidR="00C337A6" w:rsidRPr="00E2771E" w:rsidTr="0029025B">
        <w:trPr>
          <w:cantSplit/>
        </w:trPr>
        <w:tc>
          <w:tcPr>
            <w:tcW w:w="0" w:type="auto"/>
            <w:shd w:val="clear" w:color="auto" w:fill="auto"/>
            <w:vAlign w:val="center"/>
          </w:tcPr>
          <w:p w:rsidR="00C337A6" w:rsidRPr="00C827C3" w:rsidRDefault="00C337A6" w:rsidP="00380AB3">
            <w:pPr>
              <w:keepNext/>
              <w:ind w:firstLine="256"/>
              <w:jc w:val="left"/>
              <w:rPr>
                <w:rFonts w:ascii="Arial Narrow" w:hAnsi="Arial Narrow"/>
                <w:sz w:val="20"/>
                <w:vertAlign w:val="superscript"/>
              </w:rPr>
            </w:pPr>
            <w:r>
              <w:rPr>
                <w:rFonts w:ascii="Arial Narrow" w:hAnsi="Arial Narrow"/>
                <w:sz w:val="20"/>
              </w:rPr>
              <w:t xml:space="preserve">Adjusted HR (95% CI) </w:t>
            </w:r>
            <w:r>
              <w:rPr>
                <w:rFonts w:ascii="Arial Narrow" w:hAnsi="Arial Narrow"/>
                <w:sz w:val="20"/>
                <w:vertAlign w:val="superscript"/>
              </w:rPr>
              <w:t>a</w:t>
            </w:r>
          </w:p>
        </w:tc>
        <w:tc>
          <w:tcPr>
            <w:tcW w:w="5510" w:type="dxa"/>
            <w:gridSpan w:val="2"/>
          </w:tcPr>
          <w:p w:rsidR="00C337A6" w:rsidRPr="00C57DF1" w:rsidRDefault="00C337A6" w:rsidP="00380AB3">
            <w:pPr>
              <w:keepNext/>
              <w:jc w:val="center"/>
              <w:rPr>
                <w:rFonts w:ascii="Arial Narrow" w:hAnsi="Arial Narrow"/>
                <w:sz w:val="20"/>
              </w:rPr>
            </w:pPr>
            <w:r w:rsidRPr="00EB5EE0">
              <w:rPr>
                <w:rFonts w:ascii="Arial Narrow" w:hAnsi="Arial Narrow"/>
                <w:b/>
                <w:sz w:val="20"/>
              </w:rPr>
              <w:t>0.20 (0.10,</w:t>
            </w:r>
            <w:r w:rsidRPr="000A3F1A">
              <w:rPr>
                <w:rFonts w:ascii="Arial Narrow" w:hAnsi="Arial Narrow"/>
                <w:b/>
                <w:i/>
                <w:sz w:val="20"/>
              </w:rPr>
              <w:t>0.36</w:t>
            </w:r>
            <w:r>
              <w:rPr>
                <w:rFonts w:ascii="Arial Narrow" w:hAnsi="Arial Narrow"/>
                <w:b/>
                <w:i/>
                <w:sz w:val="20"/>
              </w:rPr>
              <w:t xml:space="preserve"> </w:t>
            </w:r>
            <w:r>
              <w:rPr>
                <w:rFonts w:ascii="Arial Narrow" w:hAnsi="Arial Narrow"/>
                <w:b/>
                <w:sz w:val="20"/>
                <w:vertAlign w:val="superscript"/>
              </w:rPr>
              <w:t>b</w:t>
            </w:r>
            <w:r w:rsidRPr="00EB5EE0">
              <w:rPr>
                <w:rFonts w:ascii="Arial Narrow" w:hAnsi="Arial Narrow"/>
                <w:b/>
                <w:sz w:val="20"/>
              </w:rPr>
              <w:t>)</w:t>
            </w:r>
            <w:r>
              <w:rPr>
                <w:rFonts w:ascii="Arial Narrow" w:hAnsi="Arial Narrow"/>
                <w:b/>
                <w:sz w:val="20"/>
              </w:rPr>
              <w:t xml:space="preserve"> </w:t>
            </w:r>
          </w:p>
        </w:tc>
      </w:tr>
    </w:tbl>
    <w:p w:rsidR="00C337A6" w:rsidRDefault="00C337A6" w:rsidP="00C337A6">
      <w:pPr>
        <w:pStyle w:val="TableFooter"/>
        <w:keepNext/>
        <w:ind w:firstLine="720"/>
      </w:pPr>
      <w:r>
        <w:t>Source: Table B-19, p73, Tables B-22 to B-25, pp77-79 of the resubmission; and Ghia (2015)</w:t>
      </w:r>
    </w:p>
    <w:p w:rsidR="00C337A6" w:rsidRDefault="00C337A6" w:rsidP="00C337A6">
      <w:pPr>
        <w:pStyle w:val="TableFooter"/>
        <w:keepNext/>
        <w:ind w:left="709" w:firstLine="11"/>
      </w:pPr>
      <w:r>
        <w:t>CI = confidence interval; ITT = intention-to-treat; NR = not reached; HR = hazard ratio; OS = overall survival; PFS = progression free survival; RPSFT = </w:t>
      </w:r>
      <w:r w:rsidRPr="00570A2C">
        <w:t>rank preserving structural failure time</w:t>
      </w:r>
      <w:r>
        <w:t xml:space="preserve">; </w:t>
      </w:r>
      <w:r w:rsidRPr="006F3626">
        <w:t xml:space="preserve">IGHV </w:t>
      </w:r>
      <w:r>
        <w:t>=</w:t>
      </w:r>
      <w:r w:rsidRPr="00B73A44">
        <w:t xml:space="preserve"> immunoglobulin heavy chain variable</w:t>
      </w:r>
      <w:r>
        <w:t xml:space="preserve">; </w:t>
      </w:r>
      <w:r w:rsidRPr="007708BE">
        <w:rPr>
          <w:b/>
        </w:rPr>
        <w:t>Bold</w:t>
      </w:r>
      <w:r>
        <w:rPr>
          <w:b/>
        </w:rPr>
        <w:t> </w:t>
      </w:r>
      <w:r>
        <w:t>= statistically significant</w:t>
      </w:r>
    </w:p>
    <w:p w:rsidR="00C337A6" w:rsidRPr="00174DB9" w:rsidRDefault="00C337A6" w:rsidP="00C337A6">
      <w:pPr>
        <w:pStyle w:val="TableFooter"/>
        <w:keepNext/>
        <w:ind w:left="709" w:firstLine="11"/>
      </w:pPr>
      <w:proofErr w:type="spellStart"/>
      <w:proofErr w:type="gramStart"/>
      <w:r w:rsidRPr="00174DB9">
        <w:rPr>
          <w:vertAlign w:val="superscript"/>
        </w:rPr>
        <w:t>a</w:t>
      </w:r>
      <w:proofErr w:type="spellEnd"/>
      <w:proofErr w:type="gramEnd"/>
      <w:r w:rsidRPr="00174DB9">
        <w:t xml:space="preserve"> Adjusted for randomisation stratification factors (17p deletion/TP53 mutation and IGHV mutation)</w:t>
      </w:r>
    </w:p>
    <w:p w:rsidR="00C337A6" w:rsidRDefault="00C337A6" w:rsidP="00C337A6">
      <w:pPr>
        <w:pStyle w:val="TableFooter"/>
        <w:keepNext/>
        <w:ind w:left="709" w:firstLine="11"/>
      </w:pPr>
      <w:proofErr w:type="gramStart"/>
      <w:r w:rsidRPr="00174DB9">
        <w:rPr>
          <w:vertAlign w:val="superscript"/>
        </w:rPr>
        <w:t>b</w:t>
      </w:r>
      <w:proofErr w:type="gramEnd"/>
      <w:r w:rsidRPr="00174DB9">
        <w:t xml:space="preserve"> Value was updated as it was incorrectly reported in the resubmission</w:t>
      </w:r>
    </w:p>
    <w:p w:rsidR="00496601" w:rsidRPr="005373A8" w:rsidRDefault="00496601" w:rsidP="005373A8">
      <w:pPr>
        <w:pStyle w:val="TableFooter"/>
        <w:rPr>
          <w:rFonts w:ascii="Arial" w:hAnsi="Arial"/>
          <w:sz w:val="22"/>
          <w:szCs w:val="22"/>
        </w:rPr>
      </w:pPr>
    </w:p>
    <w:p w:rsidR="00496601" w:rsidRPr="005373A8" w:rsidRDefault="00496601" w:rsidP="005373A8">
      <w:pPr>
        <w:pStyle w:val="ListParagraph"/>
        <w:widowControl/>
        <w:numPr>
          <w:ilvl w:val="1"/>
          <w:numId w:val="5"/>
        </w:numPr>
        <w:rPr>
          <w:szCs w:val="22"/>
        </w:rPr>
      </w:pPr>
      <w:r w:rsidRPr="005373A8">
        <w:rPr>
          <w:szCs w:val="22"/>
        </w:rPr>
        <w:t>The median progression free survival for the idelalisib plus rituximab arm of Trial 312-0116 was 19.4 months (95% confidence interval (CI): 12.3 to not reached) and for the placebo plus rituximab arm 6.5 months (95% CI: 4.0 to 7.3). This resulted in a progression free survival hazard rati</w:t>
      </w:r>
      <w:r w:rsidR="005373A8" w:rsidRPr="005373A8">
        <w:rPr>
          <w:szCs w:val="22"/>
        </w:rPr>
        <w:t>o of 0.15 (95% CI: 0.09, 0.24).</w:t>
      </w:r>
    </w:p>
    <w:p w:rsidR="00496601" w:rsidRPr="005373A8" w:rsidRDefault="00496601" w:rsidP="005373A8">
      <w:pPr>
        <w:widowControl/>
        <w:rPr>
          <w:rStyle w:val="CommentReference"/>
          <w:rFonts w:ascii="Arial" w:hAnsi="Arial"/>
          <w:b w:val="0"/>
          <w:sz w:val="22"/>
          <w:szCs w:val="22"/>
        </w:rPr>
      </w:pPr>
    </w:p>
    <w:p w:rsidR="00496601" w:rsidRDefault="00496601" w:rsidP="005373A8">
      <w:pPr>
        <w:pStyle w:val="ListParagraph"/>
        <w:widowControl/>
        <w:numPr>
          <w:ilvl w:val="1"/>
          <w:numId w:val="5"/>
        </w:numPr>
      </w:pPr>
      <w:r>
        <w:t>Figures 1 and 2 below show Kaplan-Meier curves of overall survival from the pooled ITT and RPSFT analysis</w:t>
      </w:r>
      <w:r w:rsidR="005373A8">
        <w:t xml:space="preserve"> set, respectively.</w:t>
      </w:r>
    </w:p>
    <w:p w:rsidR="004D67EC" w:rsidRDefault="004D67EC" w:rsidP="00496601"/>
    <w:p w:rsidR="0029025B" w:rsidRDefault="0029025B">
      <w:pPr>
        <w:widowControl/>
        <w:jc w:val="left"/>
        <w:rPr>
          <w:rFonts w:ascii="Arial Narrow" w:hAnsi="Arial Narrow"/>
          <w:b/>
          <w:bCs/>
          <w:sz w:val="20"/>
          <w:szCs w:val="18"/>
        </w:rPr>
      </w:pPr>
      <w:r>
        <w:rPr>
          <w:rFonts w:ascii="Arial Narrow" w:hAnsi="Arial Narrow"/>
          <w:sz w:val="20"/>
        </w:rPr>
        <w:br w:type="page"/>
      </w:r>
    </w:p>
    <w:p w:rsidR="0029025B" w:rsidRPr="0029025B" w:rsidRDefault="0029025B" w:rsidP="0029025B">
      <w:pPr>
        <w:pStyle w:val="Caption"/>
        <w:rPr>
          <w:rFonts w:ascii="Arial Narrow" w:hAnsi="Arial Narrow"/>
          <w:color w:val="auto"/>
          <w:sz w:val="20"/>
        </w:rPr>
      </w:pPr>
      <w:r w:rsidRPr="0029025B">
        <w:rPr>
          <w:rFonts w:ascii="Arial Narrow" w:hAnsi="Arial Narrow"/>
          <w:color w:val="auto"/>
          <w:sz w:val="20"/>
        </w:rPr>
        <w:lastRenderedPageBreak/>
        <w:t xml:space="preserve">Figure </w:t>
      </w:r>
      <w:r w:rsidR="00591ABB">
        <w:rPr>
          <w:rFonts w:ascii="Arial Narrow" w:hAnsi="Arial Narrow"/>
          <w:color w:val="auto"/>
          <w:sz w:val="20"/>
        </w:rPr>
        <w:fldChar w:fldCharType="begin"/>
      </w:r>
      <w:r w:rsidR="00591ABB">
        <w:rPr>
          <w:rFonts w:ascii="Arial Narrow" w:hAnsi="Arial Narrow"/>
          <w:color w:val="auto"/>
          <w:sz w:val="20"/>
        </w:rPr>
        <w:instrText xml:space="preserve"> SEQ Figure \* ARABIC </w:instrText>
      </w:r>
      <w:r w:rsidR="00591ABB">
        <w:rPr>
          <w:rFonts w:ascii="Arial Narrow" w:hAnsi="Arial Narrow"/>
          <w:color w:val="auto"/>
          <w:sz w:val="20"/>
        </w:rPr>
        <w:fldChar w:fldCharType="separate"/>
      </w:r>
      <w:r w:rsidR="00AD392C">
        <w:rPr>
          <w:rFonts w:ascii="Arial Narrow" w:hAnsi="Arial Narrow"/>
          <w:noProof/>
          <w:color w:val="auto"/>
          <w:sz w:val="20"/>
        </w:rPr>
        <w:t>1</w:t>
      </w:r>
      <w:r w:rsidR="00591ABB">
        <w:rPr>
          <w:rFonts w:ascii="Arial Narrow" w:hAnsi="Arial Narrow"/>
          <w:color w:val="auto"/>
          <w:sz w:val="20"/>
        </w:rPr>
        <w:fldChar w:fldCharType="end"/>
      </w:r>
      <w:r w:rsidRPr="0029025B">
        <w:rPr>
          <w:rFonts w:ascii="Arial Narrow" w:hAnsi="Arial Narrow"/>
          <w:color w:val="auto"/>
          <w:sz w:val="20"/>
        </w:rPr>
        <w:t>: Kaplan-Meier curve of overall survival from Trials 312-0116 and 312-0117 (ITT analysis set)</w:t>
      </w:r>
    </w:p>
    <w:p w:rsidR="0029025B" w:rsidRDefault="00C33572" w:rsidP="0029025B">
      <w:pPr>
        <w:keepNext/>
      </w:pPr>
      <w:r w:rsidRPr="009E514B">
        <w:rPr>
          <w:noProof/>
          <w:lang w:eastAsia="en-AU"/>
        </w:rPr>
        <w:drawing>
          <wp:inline distT="0" distB="0" distL="0" distR="0" wp14:anchorId="7210948E" wp14:editId="012003B3">
            <wp:extent cx="5781675" cy="2752725"/>
            <wp:effectExtent l="0" t="0" r="9525" b="9525"/>
            <wp:docPr id="23" name="Picture 23" title="Kaplan-Meier curve of overall survival (ITT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158" b="9849"/>
                    <a:stretch/>
                  </pic:blipFill>
                  <pic:spPr bwMode="auto">
                    <a:xfrm>
                      <a:off x="0" y="0"/>
                      <a:ext cx="5793878" cy="2758535"/>
                    </a:xfrm>
                    <a:prstGeom prst="rect">
                      <a:avLst/>
                    </a:prstGeom>
                    <a:noFill/>
                    <a:ln>
                      <a:noFill/>
                    </a:ln>
                    <a:extLst>
                      <a:ext uri="{53640926-AAD7-44D8-BBD7-CCE9431645EC}">
                        <a14:shadowObscured xmlns:a14="http://schemas.microsoft.com/office/drawing/2010/main"/>
                      </a:ext>
                    </a:extLst>
                  </pic:spPr>
                </pic:pic>
              </a:graphicData>
            </a:graphic>
          </wp:inline>
        </w:drawing>
      </w:r>
    </w:p>
    <w:p w:rsidR="00C33572" w:rsidRPr="002426CC" w:rsidRDefault="00C33572" w:rsidP="002C047A">
      <w:pPr>
        <w:pStyle w:val="TableFooter"/>
        <w:keepNext/>
        <w:widowControl/>
        <w:rPr>
          <w:sz w:val="16"/>
          <w:szCs w:val="16"/>
        </w:rPr>
      </w:pPr>
      <w:r w:rsidRPr="002426CC">
        <w:rPr>
          <w:sz w:val="16"/>
          <w:szCs w:val="16"/>
        </w:rPr>
        <w:t>N at risk (events)</w:t>
      </w:r>
    </w:p>
    <w:p w:rsidR="00C33572" w:rsidRDefault="00C33572" w:rsidP="00C33572">
      <w:pPr>
        <w:pStyle w:val="TableFooter"/>
        <w:keepNext/>
        <w:widowControl/>
        <w:pBdr>
          <w:top w:val="single" w:sz="4" w:space="1" w:color="auto"/>
          <w:bottom w:val="single" w:sz="4" w:space="1" w:color="auto"/>
        </w:pBdr>
        <w:jc w:val="left"/>
        <w:rPr>
          <w:sz w:val="16"/>
          <w:szCs w:val="16"/>
        </w:rPr>
      </w:pPr>
      <w:r w:rsidRPr="002426CC">
        <w:rPr>
          <w:sz w:val="16"/>
          <w:szCs w:val="16"/>
        </w:rPr>
        <w:t>IDELA +</w:t>
      </w:r>
      <w:r>
        <w:rPr>
          <w:sz w:val="16"/>
          <w:szCs w:val="16"/>
        </w:rPr>
        <w:t xml:space="preserve"> </w:t>
      </w:r>
      <w:r w:rsidRPr="002426CC">
        <w:rPr>
          <w:sz w:val="16"/>
          <w:szCs w:val="16"/>
        </w:rPr>
        <w:t xml:space="preserve">R          </w:t>
      </w:r>
      <w:r>
        <w:rPr>
          <w:sz w:val="16"/>
          <w:szCs w:val="16"/>
        </w:rPr>
        <w:t xml:space="preserve"> </w:t>
      </w:r>
      <w:r w:rsidRPr="002426CC">
        <w:rPr>
          <w:sz w:val="16"/>
          <w:szCs w:val="16"/>
        </w:rPr>
        <w:t xml:space="preserve"> </w:t>
      </w:r>
      <w:r>
        <w:rPr>
          <w:sz w:val="16"/>
          <w:szCs w:val="16"/>
        </w:rPr>
        <w:t xml:space="preserve">   </w:t>
      </w:r>
      <w:r w:rsidRPr="002426CC">
        <w:rPr>
          <w:sz w:val="16"/>
          <w:szCs w:val="16"/>
        </w:rPr>
        <w:t>110 (0)</w:t>
      </w:r>
      <w:r>
        <w:rPr>
          <w:sz w:val="16"/>
          <w:szCs w:val="16"/>
        </w:rPr>
        <w:t xml:space="preserve">    107 (2)    101 (4)    99 (5)    93 (9)     85 (10)   60 (11)    41 (13)   30 (13)   23 (15)   13 (17)    6 (17)    3 (17)     0 (17)     0 (17)</w:t>
      </w:r>
    </w:p>
    <w:p w:rsidR="00C33572" w:rsidRPr="002426CC" w:rsidRDefault="00C33572" w:rsidP="00C33572">
      <w:pPr>
        <w:pStyle w:val="TableFooter"/>
        <w:keepNext/>
        <w:widowControl/>
        <w:pBdr>
          <w:top w:val="single" w:sz="4" w:space="1" w:color="auto"/>
          <w:bottom w:val="single" w:sz="4" w:space="1" w:color="auto"/>
        </w:pBdr>
        <w:jc w:val="left"/>
        <w:rPr>
          <w:color w:val="FF0000"/>
          <w:sz w:val="16"/>
          <w:szCs w:val="16"/>
        </w:rPr>
      </w:pPr>
      <w:r w:rsidRPr="002426CC">
        <w:rPr>
          <w:color w:val="FF0000"/>
          <w:sz w:val="16"/>
          <w:szCs w:val="16"/>
        </w:rPr>
        <w:t>Placebo + R</w:t>
      </w:r>
      <w:r>
        <w:rPr>
          <w:color w:val="FF0000"/>
          <w:sz w:val="16"/>
          <w:szCs w:val="16"/>
        </w:rPr>
        <w:t xml:space="preserve"> </w:t>
      </w:r>
      <w:r w:rsidRPr="002426CC">
        <w:rPr>
          <w:color w:val="FF0000"/>
          <w:sz w:val="16"/>
          <w:szCs w:val="16"/>
        </w:rPr>
        <w:t xml:space="preserve">         </w:t>
      </w:r>
      <w:r>
        <w:rPr>
          <w:color w:val="FF0000"/>
          <w:sz w:val="16"/>
          <w:szCs w:val="16"/>
        </w:rPr>
        <w:t xml:space="preserve">  </w:t>
      </w:r>
      <w:r w:rsidRPr="00592762">
        <w:rPr>
          <w:color w:val="FF0000"/>
          <w:sz w:val="16"/>
          <w:szCs w:val="16"/>
        </w:rPr>
        <w:t xml:space="preserve">110 (0) </w:t>
      </w:r>
      <w:r>
        <w:rPr>
          <w:color w:val="FF0000"/>
          <w:sz w:val="16"/>
          <w:szCs w:val="16"/>
        </w:rPr>
        <w:t xml:space="preserve">   </w:t>
      </w:r>
      <w:r w:rsidRPr="00592762">
        <w:rPr>
          <w:color w:val="FF0000"/>
          <w:sz w:val="16"/>
          <w:szCs w:val="16"/>
        </w:rPr>
        <w:t xml:space="preserve"> </w:t>
      </w:r>
      <w:r>
        <w:rPr>
          <w:color w:val="FF0000"/>
          <w:sz w:val="16"/>
          <w:szCs w:val="16"/>
        </w:rPr>
        <w:t>99 (8</w:t>
      </w:r>
      <w:r w:rsidRPr="00592762">
        <w:rPr>
          <w:color w:val="FF0000"/>
          <w:sz w:val="16"/>
          <w:szCs w:val="16"/>
        </w:rPr>
        <w:t xml:space="preserve">)  </w:t>
      </w:r>
      <w:r>
        <w:rPr>
          <w:color w:val="FF0000"/>
          <w:sz w:val="16"/>
          <w:szCs w:val="16"/>
        </w:rPr>
        <w:t xml:space="preserve">  </w:t>
      </w:r>
      <w:r w:rsidRPr="00592762">
        <w:rPr>
          <w:color w:val="FF0000"/>
          <w:sz w:val="16"/>
          <w:szCs w:val="16"/>
        </w:rPr>
        <w:t xml:space="preserve"> </w:t>
      </w:r>
      <w:r>
        <w:rPr>
          <w:color w:val="FF0000"/>
          <w:sz w:val="16"/>
          <w:szCs w:val="16"/>
        </w:rPr>
        <w:t>93</w:t>
      </w:r>
      <w:r w:rsidRPr="00592762">
        <w:rPr>
          <w:color w:val="FF0000"/>
          <w:sz w:val="16"/>
          <w:szCs w:val="16"/>
        </w:rPr>
        <w:t xml:space="preserve"> (</w:t>
      </w:r>
      <w:r>
        <w:rPr>
          <w:color w:val="FF0000"/>
          <w:sz w:val="16"/>
          <w:szCs w:val="16"/>
        </w:rPr>
        <w:t>12</w:t>
      </w:r>
      <w:r w:rsidRPr="00592762">
        <w:rPr>
          <w:color w:val="FF0000"/>
          <w:sz w:val="16"/>
          <w:szCs w:val="16"/>
        </w:rPr>
        <w:t xml:space="preserve">)   </w:t>
      </w:r>
      <w:r>
        <w:rPr>
          <w:color w:val="FF0000"/>
          <w:sz w:val="16"/>
          <w:szCs w:val="16"/>
        </w:rPr>
        <w:t>90</w:t>
      </w:r>
      <w:r w:rsidRPr="00592762">
        <w:rPr>
          <w:color w:val="FF0000"/>
          <w:sz w:val="16"/>
          <w:szCs w:val="16"/>
        </w:rPr>
        <w:t xml:space="preserve"> (</w:t>
      </w:r>
      <w:r>
        <w:rPr>
          <w:color w:val="FF0000"/>
          <w:sz w:val="16"/>
          <w:szCs w:val="16"/>
        </w:rPr>
        <w:t>15)   84</w:t>
      </w:r>
      <w:r w:rsidRPr="00592762">
        <w:rPr>
          <w:color w:val="FF0000"/>
          <w:sz w:val="16"/>
          <w:szCs w:val="16"/>
        </w:rPr>
        <w:t xml:space="preserve"> (</w:t>
      </w:r>
      <w:r>
        <w:rPr>
          <w:color w:val="FF0000"/>
          <w:sz w:val="16"/>
          <w:szCs w:val="16"/>
        </w:rPr>
        <w:t>20</w:t>
      </w:r>
      <w:r w:rsidRPr="00592762">
        <w:rPr>
          <w:color w:val="FF0000"/>
          <w:sz w:val="16"/>
          <w:szCs w:val="16"/>
        </w:rPr>
        <w:t xml:space="preserve">) </w:t>
      </w:r>
      <w:r>
        <w:rPr>
          <w:color w:val="FF0000"/>
          <w:sz w:val="16"/>
          <w:szCs w:val="16"/>
        </w:rPr>
        <w:t xml:space="preserve"> </w:t>
      </w:r>
      <w:r w:rsidRPr="00592762">
        <w:rPr>
          <w:color w:val="FF0000"/>
          <w:sz w:val="16"/>
          <w:szCs w:val="16"/>
        </w:rPr>
        <w:t xml:space="preserve">  </w:t>
      </w:r>
      <w:r>
        <w:rPr>
          <w:color w:val="FF0000"/>
          <w:sz w:val="16"/>
          <w:szCs w:val="16"/>
        </w:rPr>
        <w:t>66</w:t>
      </w:r>
      <w:r w:rsidRPr="00592762">
        <w:rPr>
          <w:color w:val="FF0000"/>
          <w:sz w:val="16"/>
          <w:szCs w:val="16"/>
        </w:rPr>
        <w:t xml:space="preserve"> (</w:t>
      </w:r>
      <w:r>
        <w:rPr>
          <w:color w:val="FF0000"/>
          <w:sz w:val="16"/>
          <w:szCs w:val="16"/>
        </w:rPr>
        <w:t>29</w:t>
      </w:r>
      <w:r w:rsidRPr="00592762">
        <w:rPr>
          <w:color w:val="FF0000"/>
          <w:sz w:val="16"/>
          <w:szCs w:val="16"/>
        </w:rPr>
        <w:t xml:space="preserve">)   </w:t>
      </w:r>
      <w:r>
        <w:rPr>
          <w:color w:val="FF0000"/>
          <w:sz w:val="16"/>
          <w:szCs w:val="16"/>
        </w:rPr>
        <w:t>42</w:t>
      </w:r>
      <w:r w:rsidRPr="00592762">
        <w:rPr>
          <w:color w:val="FF0000"/>
          <w:sz w:val="16"/>
          <w:szCs w:val="16"/>
        </w:rPr>
        <w:t xml:space="preserve"> (</w:t>
      </w:r>
      <w:r>
        <w:rPr>
          <w:color w:val="FF0000"/>
          <w:sz w:val="16"/>
          <w:szCs w:val="16"/>
        </w:rPr>
        <w:t>33</w:t>
      </w:r>
      <w:r w:rsidRPr="00592762">
        <w:rPr>
          <w:color w:val="FF0000"/>
          <w:sz w:val="16"/>
          <w:szCs w:val="16"/>
        </w:rPr>
        <w:t xml:space="preserve">)  </w:t>
      </w:r>
      <w:r>
        <w:rPr>
          <w:color w:val="FF0000"/>
          <w:sz w:val="16"/>
          <w:szCs w:val="16"/>
        </w:rPr>
        <w:t xml:space="preserve">  27</w:t>
      </w:r>
      <w:r w:rsidRPr="00592762">
        <w:rPr>
          <w:color w:val="FF0000"/>
          <w:sz w:val="16"/>
          <w:szCs w:val="16"/>
        </w:rPr>
        <w:t xml:space="preserve"> (3</w:t>
      </w:r>
      <w:r>
        <w:rPr>
          <w:color w:val="FF0000"/>
          <w:sz w:val="16"/>
          <w:szCs w:val="16"/>
        </w:rPr>
        <w:t>5</w:t>
      </w:r>
      <w:proofErr w:type="gramStart"/>
      <w:r w:rsidRPr="00592762">
        <w:rPr>
          <w:color w:val="FF0000"/>
          <w:sz w:val="16"/>
          <w:szCs w:val="16"/>
        </w:rPr>
        <w:t xml:space="preserve">)  </w:t>
      </w:r>
      <w:r>
        <w:rPr>
          <w:color w:val="FF0000"/>
          <w:sz w:val="16"/>
          <w:szCs w:val="16"/>
        </w:rPr>
        <w:t>19</w:t>
      </w:r>
      <w:proofErr w:type="gramEnd"/>
      <w:r w:rsidRPr="00592762">
        <w:rPr>
          <w:color w:val="FF0000"/>
          <w:sz w:val="16"/>
          <w:szCs w:val="16"/>
        </w:rPr>
        <w:t xml:space="preserve"> (</w:t>
      </w:r>
      <w:r>
        <w:rPr>
          <w:color w:val="FF0000"/>
          <w:sz w:val="16"/>
          <w:szCs w:val="16"/>
        </w:rPr>
        <w:t>37</w:t>
      </w:r>
      <w:r w:rsidRPr="00592762">
        <w:rPr>
          <w:color w:val="FF0000"/>
          <w:sz w:val="16"/>
          <w:szCs w:val="16"/>
        </w:rPr>
        <w:t xml:space="preserve">)   </w:t>
      </w:r>
      <w:r>
        <w:rPr>
          <w:color w:val="FF0000"/>
          <w:sz w:val="16"/>
          <w:szCs w:val="16"/>
        </w:rPr>
        <w:t>13</w:t>
      </w:r>
      <w:r w:rsidRPr="00592762">
        <w:rPr>
          <w:color w:val="FF0000"/>
          <w:sz w:val="16"/>
          <w:szCs w:val="16"/>
        </w:rPr>
        <w:t xml:space="preserve"> (</w:t>
      </w:r>
      <w:r>
        <w:rPr>
          <w:color w:val="FF0000"/>
          <w:sz w:val="16"/>
          <w:szCs w:val="16"/>
        </w:rPr>
        <w:t>38</w:t>
      </w:r>
      <w:r w:rsidRPr="00592762">
        <w:rPr>
          <w:color w:val="FF0000"/>
          <w:sz w:val="16"/>
          <w:szCs w:val="16"/>
        </w:rPr>
        <w:t xml:space="preserve">)   </w:t>
      </w:r>
      <w:r>
        <w:rPr>
          <w:color w:val="FF0000"/>
          <w:sz w:val="16"/>
          <w:szCs w:val="16"/>
        </w:rPr>
        <w:t xml:space="preserve"> 8</w:t>
      </w:r>
      <w:r w:rsidRPr="00592762">
        <w:rPr>
          <w:color w:val="FF0000"/>
          <w:sz w:val="16"/>
          <w:szCs w:val="16"/>
        </w:rPr>
        <w:t xml:space="preserve"> (</w:t>
      </w:r>
      <w:r>
        <w:rPr>
          <w:color w:val="FF0000"/>
          <w:sz w:val="16"/>
          <w:szCs w:val="16"/>
        </w:rPr>
        <w:t>39</w:t>
      </w:r>
      <w:r w:rsidRPr="00592762">
        <w:rPr>
          <w:color w:val="FF0000"/>
          <w:sz w:val="16"/>
          <w:szCs w:val="16"/>
        </w:rPr>
        <w:t xml:space="preserve">) </w:t>
      </w:r>
      <w:r>
        <w:rPr>
          <w:color w:val="FF0000"/>
          <w:sz w:val="16"/>
          <w:szCs w:val="16"/>
        </w:rPr>
        <w:t xml:space="preserve">  </w:t>
      </w:r>
      <w:r w:rsidRPr="00592762">
        <w:rPr>
          <w:color w:val="FF0000"/>
          <w:sz w:val="16"/>
          <w:szCs w:val="16"/>
        </w:rPr>
        <w:t xml:space="preserve">  </w:t>
      </w:r>
      <w:r>
        <w:rPr>
          <w:color w:val="FF0000"/>
          <w:sz w:val="16"/>
          <w:szCs w:val="16"/>
        </w:rPr>
        <w:t>4</w:t>
      </w:r>
      <w:r w:rsidRPr="00592762">
        <w:rPr>
          <w:color w:val="FF0000"/>
          <w:sz w:val="16"/>
          <w:szCs w:val="16"/>
        </w:rPr>
        <w:t xml:space="preserve"> (</w:t>
      </w:r>
      <w:r>
        <w:rPr>
          <w:color w:val="FF0000"/>
          <w:sz w:val="16"/>
          <w:szCs w:val="16"/>
        </w:rPr>
        <w:t>40</w:t>
      </w:r>
      <w:r w:rsidRPr="00592762">
        <w:rPr>
          <w:color w:val="FF0000"/>
          <w:sz w:val="16"/>
          <w:szCs w:val="16"/>
        </w:rPr>
        <w:t xml:space="preserve">)  </w:t>
      </w:r>
      <w:r>
        <w:rPr>
          <w:color w:val="FF0000"/>
          <w:sz w:val="16"/>
          <w:szCs w:val="16"/>
        </w:rPr>
        <w:t xml:space="preserve"> </w:t>
      </w:r>
      <w:r w:rsidRPr="00592762">
        <w:rPr>
          <w:color w:val="FF0000"/>
          <w:sz w:val="16"/>
          <w:szCs w:val="16"/>
        </w:rPr>
        <w:t xml:space="preserve">  </w:t>
      </w:r>
      <w:r>
        <w:rPr>
          <w:color w:val="FF0000"/>
          <w:sz w:val="16"/>
          <w:szCs w:val="16"/>
        </w:rPr>
        <w:t>1</w:t>
      </w:r>
      <w:r w:rsidRPr="00592762">
        <w:rPr>
          <w:color w:val="FF0000"/>
          <w:sz w:val="16"/>
          <w:szCs w:val="16"/>
        </w:rPr>
        <w:t xml:space="preserve"> (</w:t>
      </w:r>
      <w:r>
        <w:rPr>
          <w:color w:val="FF0000"/>
          <w:sz w:val="16"/>
          <w:szCs w:val="16"/>
        </w:rPr>
        <w:t>40</w:t>
      </w:r>
      <w:r w:rsidRPr="00592762">
        <w:rPr>
          <w:color w:val="FF0000"/>
          <w:sz w:val="16"/>
          <w:szCs w:val="16"/>
        </w:rPr>
        <w:t xml:space="preserve">) </w:t>
      </w:r>
      <w:r>
        <w:rPr>
          <w:color w:val="FF0000"/>
          <w:sz w:val="16"/>
          <w:szCs w:val="16"/>
        </w:rPr>
        <w:t xml:space="preserve"> </w:t>
      </w:r>
      <w:r w:rsidRPr="00592762">
        <w:rPr>
          <w:color w:val="FF0000"/>
          <w:sz w:val="16"/>
          <w:szCs w:val="16"/>
        </w:rPr>
        <w:t xml:space="preserve">  </w:t>
      </w:r>
      <w:r>
        <w:rPr>
          <w:color w:val="FF0000"/>
          <w:sz w:val="16"/>
          <w:szCs w:val="16"/>
        </w:rPr>
        <w:t>0</w:t>
      </w:r>
      <w:r w:rsidRPr="00592762">
        <w:rPr>
          <w:color w:val="FF0000"/>
          <w:sz w:val="16"/>
          <w:szCs w:val="16"/>
        </w:rPr>
        <w:t xml:space="preserve"> (</w:t>
      </w:r>
      <w:r>
        <w:rPr>
          <w:color w:val="FF0000"/>
          <w:sz w:val="16"/>
          <w:szCs w:val="16"/>
        </w:rPr>
        <w:t>40</w:t>
      </w:r>
      <w:r w:rsidRPr="00592762">
        <w:rPr>
          <w:color w:val="FF0000"/>
          <w:sz w:val="16"/>
          <w:szCs w:val="16"/>
        </w:rPr>
        <w:t xml:space="preserve">)    </w:t>
      </w:r>
      <w:r>
        <w:rPr>
          <w:color w:val="FF0000"/>
          <w:sz w:val="16"/>
          <w:szCs w:val="16"/>
        </w:rPr>
        <w:t xml:space="preserve"> </w:t>
      </w:r>
      <w:r w:rsidRPr="00592762">
        <w:rPr>
          <w:color w:val="FF0000"/>
          <w:sz w:val="16"/>
          <w:szCs w:val="16"/>
        </w:rPr>
        <w:t>0 (</w:t>
      </w:r>
      <w:r>
        <w:rPr>
          <w:color w:val="FF0000"/>
          <w:sz w:val="16"/>
          <w:szCs w:val="16"/>
        </w:rPr>
        <w:t>40)</w:t>
      </w:r>
    </w:p>
    <w:p w:rsidR="00C33572" w:rsidRDefault="00C33572" w:rsidP="00C33572">
      <w:pPr>
        <w:pStyle w:val="TableFooter"/>
        <w:keepNext/>
        <w:widowControl/>
      </w:pPr>
      <w:r>
        <w:t>Source: Figure B-3, p77 of the resubmission</w:t>
      </w:r>
    </w:p>
    <w:p w:rsidR="00C33572" w:rsidRDefault="00C33572" w:rsidP="00926FCF">
      <w:pPr>
        <w:pStyle w:val="TableFooter"/>
        <w:widowControl/>
      </w:pPr>
      <w:r>
        <w:t>IDELA = idelalisib; ITT = in</w:t>
      </w:r>
      <w:r w:rsidR="00926FCF">
        <w:t>tention-to-treat; R = rituximab</w:t>
      </w:r>
    </w:p>
    <w:p w:rsidR="00A73C21" w:rsidRDefault="00A73C21">
      <w:pPr>
        <w:widowControl/>
        <w:jc w:val="left"/>
        <w:rPr>
          <w:rStyle w:val="CommentReference"/>
        </w:rPr>
      </w:pPr>
    </w:p>
    <w:p w:rsidR="0029025B" w:rsidRPr="0029025B" w:rsidRDefault="0029025B" w:rsidP="0029025B">
      <w:pPr>
        <w:pStyle w:val="Caption"/>
        <w:jc w:val="left"/>
        <w:rPr>
          <w:rFonts w:ascii="Arial Narrow" w:hAnsi="Arial Narrow"/>
          <w:color w:val="auto"/>
          <w:sz w:val="20"/>
        </w:rPr>
      </w:pPr>
      <w:r w:rsidRPr="0029025B">
        <w:rPr>
          <w:rFonts w:ascii="Arial Narrow" w:hAnsi="Arial Narrow"/>
          <w:color w:val="auto"/>
          <w:sz w:val="20"/>
        </w:rPr>
        <w:t xml:space="preserve">Figure </w:t>
      </w:r>
      <w:r w:rsidR="00591ABB">
        <w:rPr>
          <w:rFonts w:ascii="Arial Narrow" w:hAnsi="Arial Narrow"/>
          <w:color w:val="auto"/>
          <w:sz w:val="20"/>
        </w:rPr>
        <w:fldChar w:fldCharType="begin"/>
      </w:r>
      <w:r w:rsidR="00591ABB">
        <w:rPr>
          <w:rFonts w:ascii="Arial Narrow" w:hAnsi="Arial Narrow"/>
          <w:color w:val="auto"/>
          <w:sz w:val="20"/>
        </w:rPr>
        <w:instrText xml:space="preserve"> SEQ Figure \* ARABIC </w:instrText>
      </w:r>
      <w:r w:rsidR="00591ABB">
        <w:rPr>
          <w:rFonts w:ascii="Arial Narrow" w:hAnsi="Arial Narrow"/>
          <w:color w:val="auto"/>
          <w:sz w:val="20"/>
        </w:rPr>
        <w:fldChar w:fldCharType="separate"/>
      </w:r>
      <w:r w:rsidR="00AD392C">
        <w:rPr>
          <w:rFonts w:ascii="Arial Narrow" w:hAnsi="Arial Narrow"/>
          <w:noProof/>
          <w:color w:val="auto"/>
          <w:sz w:val="20"/>
        </w:rPr>
        <w:t>2</w:t>
      </w:r>
      <w:r w:rsidR="00591ABB">
        <w:rPr>
          <w:rFonts w:ascii="Arial Narrow" w:hAnsi="Arial Narrow"/>
          <w:color w:val="auto"/>
          <w:sz w:val="20"/>
        </w:rPr>
        <w:fldChar w:fldCharType="end"/>
      </w:r>
      <w:r w:rsidRPr="0029025B">
        <w:rPr>
          <w:rFonts w:ascii="Arial Narrow" w:hAnsi="Arial Narrow"/>
          <w:color w:val="auto"/>
          <w:sz w:val="20"/>
        </w:rPr>
        <w:t>: Kaplan-Meier curve of overall survival from Trials 312-0116 and 312-0117 (RPSFT analysis set)</w:t>
      </w:r>
    </w:p>
    <w:p w:rsidR="0029025B" w:rsidRDefault="00C33572" w:rsidP="0029025B">
      <w:pPr>
        <w:pStyle w:val="BodyText"/>
        <w:keepNext/>
        <w:keepLines/>
      </w:pPr>
      <w:r>
        <w:rPr>
          <w:noProof/>
          <w:snapToGrid/>
          <w:lang w:eastAsia="en-AU"/>
        </w:rPr>
        <w:drawing>
          <wp:inline distT="0" distB="0" distL="0" distR="0" wp14:anchorId="2C4CF41B" wp14:editId="1F3D83CE">
            <wp:extent cx="5781675" cy="3457055"/>
            <wp:effectExtent l="0" t="0" r="0" b="0"/>
            <wp:docPr id="2" name="Picture 2" title="Kaplan-Meier curve of overall survival (RPSFT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88790" cy="3461309"/>
                    </a:xfrm>
                    <a:prstGeom prst="rect">
                      <a:avLst/>
                    </a:prstGeom>
                  </pic:spPr>
                </pic:pic>
              </a:graphicData>
            </a:graphic>
          </wp:inline>
        </w:drawing>
      </w:r>
    </w:p>
    <w:p w:rsidR="00C33572" w:rsidRDefault="00C33572" w:rsidP="00C33572">
      <w:pPr>
        <w:pStyle w:val="TableFooter"/>
        <w:keepNext/>
      </w:pPr>
      <w:r>
        <w:t>Source: Figure B-4, p78 of the resubmission</w:t>
      </w:r>
    </w:p>
    <w:p w:rsidR="00C33572" w:rsidRDefault="00C33572" w:rsidP="00926FCF">
      <w:pPr>
        <w:pStyle w:val="TableFooter"/>
      </w:pPr>
      <w:r>
        <w:t xml:space="preserve">IDELA = idelalisib plus rituximab; Placebo = placebo plus rituximab; RPSFT = </w:t>
      </w:r>
      <w:r w:rsidRPr="0066442F">
        <w:t>rank preserving structural failure time</w:t>
      </w:r>
      <w:r>
        <w:t>; OS = overall survival</w:t>
      </w:r>
    </w:p>
    <w:p w:rsidR="00C33572" w:rsidRDefault="00C33572" w:rsidP="005373A8">
      <w:pPr>
        <w:widowControl/>
      </w:pPr>
    </w:p>
    <w:p w:rsidR="005A5FAB" w:rsidRPr="00805CD1" w:rsidRDefault="009B26AC" w:rsidP="005373A8">
      <w:pPr>
        <w:pStyle w:val="ListParagraph"/>
        <w:widowControl/>
        <w:numPr>
          <w:ilvl w:val="1"/>
          <w:numId w:val="5"/>
        </w:numPr>
      </w:pPr>
      <w:r>
        <w:lastRenderedPageBreak/>
        <w:t xml:space="preserve">The </w:t>
      </w:r>
      <w:r w:rsidR="004337E9">
        <w:t>hazard ratio for</w:t>
      </w:r>
      <w:r>
        <w:t xml:space="preserve"> overall survival was 0.34 (95% CI: 0.19 to 0.60) </w:t>
      </w:r>
      <w:r w:rsidR="004337E9">
        <w:t>in</w:t>
      </w:r>
      <w:r>
        <w:t xml:space="preserve"> the ITT analysis set and </w:t>
      </w:r>
      <w:r w:rsidRPr="009B26AC">
        <w:t xml:space="preserve">0.20 (95% CI: </w:t>
      </w:r>
      <w:r w:rsidR="00092F7A">
        <w:t xml:space="preserve">0.10 to </w:t>
      </w:r>
      <w:r w:rsidRPr="009B26AC">
        <w:t>0.36)</w:t>
      </w:r>
      <w:r>
        <w:t xml:space="preserve"> </w:t>
      </w:r>
      <w:r w:rsidR="004337E9">
        <w:t>in</w:t>
      </w:r>
      <w:r>
        <w:t xml:space="preserve"> the RPSFT analysis set. </w:t>
      </w:r>
      <w:r w:rsidR="00092F7A">
        <w:t>Neither the ITT nor</w:t>
      </w:r>
      <w:r>
        <w:t xml:space="preserve"> RPSFT analyses sets reached the median </w:t>
      </w:r>
      <w:r w:rsidR="004337E9">
        <w:t xml:space="preserve">overall </w:t>
      </w:r>
      <w:r>
        <w:t xml:space="preserve">survival </w:t>
      </w:r>
      <w:r w:rsidR="004337E9">
        <w:t>in the</w:t>
      </w:r>
      <w:r>
        <w:t xml:space="preserve"> idelalisib plus </w:t>
      </w:r>
      <w:r w:rsidRPr="00174DB9">
        <w:t>rituximab arm.</w:t>
      </w:r>
      <w:r w:rsidR="000B4A7A" w:rsidRPr="00174DB9">
        <w:t xml:space="preserve"> For the placebo plus rituximab group, the calculated median overall survival was much shorter using the RPSFT methodology compared to the final ITT analysis (11.6 months vs. 20.8</w:t>
      </w:r>
      <w:r w:rsidR="00BB096C" w:rsidRPr="00174DB9">
        <w:t> </w:t>
      </w:r>
      <w:r w:rsidR="000B4A7A" w:rsidRPr="00174DB9">
        <w:t>months</w:t>
      </w:r>
      <w:r w:rsidR="009C58F6" w:rsidRPr="00174DB9">
        <w:t>, respectively</w:t>
      </w:r>
      <w:r w:rsidR="000B4A7A" w:rsidRPr="00174DB9">
        <w:t xml:space="preserve">). </w:t>
      </w:r>
      <w:r w:rsidR="00BB180F" w:rsidRPr="00174DB9">
        <w:t>W</w:t>
      </w:r>
      <w:r w:rsidR="000B4A7A" w:rsidRPr="00174DB9">
        <w:t>hile it might be appropriate to use a statist</w:t>
      </w:r>
      <w:r w:rsidR="00CB22E0" w:rsidRPr="00174DB9">
        <w:t>ical method to adjust for cross</w:t>
      </w:r>
      <w:r w:rsidR="002D681D">
        <w:t>-</w:t>
      </w:r>
      <w:r w:rsidR="000B4A7A" w:rsidRPr="00174DB9">
        <w:t>over, the RPSFT was not the appropriate model.</w:t>
      </w:r>
      <w:r w:rsidR="00B52707">
        <w:t xml:space="preserve"> </w:t>
      </w:r>
      <w:r w:rsidR="000B4A7A" w:rsidRPr="00174DB9">
        <w:t xml:space="preserve">This was because the RPSFT model assumed that patients who crossed over from </w:t>
      </w:r>
      <w:r w:rsidR="004D67EC" w:rsidRPr="00174DB9">
        <w:t xml:space="preserve">placebo plus rituximab </w:t>
      </w:r>
      <w:r w:rsidR="000B4A7A" w:rsidRPr="00174DB9">
        <w:t xml:space="preserve">to idelalisib </w:t>
      </w:r>
      <w:r w:rsidR="004D67EC" w:rsidRPr="00174DB9">
        <w:t xml:space="preserve">plus rituximab </w:t>
      </w:r>
      <w:r w:rsidR="000B4A7A" w:rsidRPr="00174DB9">
        <w:t xml:space="preserve">for any reason would have </w:t>
      </w:r>
      <w:r w:rsidR="004D67EC" w:rsidRPr="00174DB9">
        <w:t xml:space="preserve">a </w:t>
      </w:r>
      <w:r w:rsidR="000B4A7A" w:rsidRPr="00174DB9">
        <w:t>similar life expectancy. This was not valid, as some patients switched after disease progression, while other patients switched when Trial 312-0116 was stopped and patients could move into the follow-up study 312-117.</w:t>
      </w:r>
      <w:r w:rsidR="00B52707" w:rsidRPr="00B52707">
        <w:rPr>
          <w:i/>
        </w:rPr>
        <w:t xml:space="preserve"> </w:t>
      </w:r>
      <w:r w:rsidR="00B52707" w:rsidRPr="00805CD1">
        <w:t xml:space="preserve">The </w:t>
      </w:r>
      <w:r w:rsidR="00926FCF">
        <w:t>Pre-Sub-Committee Response (</w:t>
      </w:r>
      <w:r w:rsidR="00B52707" w:rsidRPr="00805CD1">
        <w:t>PSCR</w:t>
      </w:r>
      <w:r w:rsidR="00926FCF">
        <w:t>)</w:t>
      </w:r>
      <w:r w:rsidR="00B52707" w:rsidRPr="00805CD1">
        <w:t xml:space="preserve"> (p1) maintained that </w:t>
      </w:r>
      <w:r w:rsidR="00926FCF">
        <w:t xml:space="preserve">the </w:t>
      </w:r>
      <w:r w:rsidR="00B52707" w:rsidRPr="00805CD1">
        <w:t>RPSFT was the most appropriate methodology</w:t>
      </w:r>
      <w:r w:rsidR="005A5FAB" w:rsidRPr="00805CD1">
        <w:t>, and that as 39 of the patients who crossed over had not progressed, the common treatment effect assumption is valid. The ESC considered that this was not necessarily demonstrated as the majority of patients who had crossed over had progressed.</w:t>
      </w:r>
    </w:p>
    <w:p w:rsidR="003E7C24" w:rsidRDefault="003E7C24" w:rsidP="005A5FAB"/>
    <w:p w:rsidR="007B3FCC" w:rsidRPr="00805CD1" w:rsidRDefault="007B3FCC" w:rsidP="005373A8">
      <w:pPr>
        <w:pStyle w:val="ListParagraph"/>
        <w:widowControl/>
        <w:numPr>
          <w:ilvl w:val="1"/>
          <w:numId w:val="5"/>
        </w:numPr>
        <w:rPr>
          <w:szCs w:val="22"/>
        </w:rPr>
      </w:pPr>
      <w:r w:rsidRPr="00805CD1">
        <w:rPr>
          <w:szCs w:val="22"/>
        </w:rPr>
        <w:t xml:space="preserve">The ESC </w:t>
      </w:r>
      <w:r w:rsidR="00C73543" w:rsidRPr="00805CD1">
        <w:rPr>
          <w:szCs w:val="22"/>
        </w:rPr>
        <w:t xml:space="preserve">considered that the RPSFT </w:t>
      </w:r>
      <w:r w:rsidR="00823202" w:rsidRPr="00805CD1">
        <w:rPr>
          <w:szCs w:val="22"/>
        </w:rPr>
        <w:t>overestimated the adjustment for cross</w:t>
      </w:r>
      <w:r w:rsidR="002D681D" w:rsidRPr="00805CD1">
        <w:rPr>
          <w:szCs w:val="22"/>
        </w:rPr>
        <w:t>-</w:t>
      </w:r>
      <w:r w:rsidR="00823202" w:rsidRPr="00805CD1">
        <w:rPr>
          <w:szCs w:val="22"/>
        </w:rPr>
        <w:t xml:space="preserve">over and </w:t>
      </w:r>
      <w:r w:rsidR="00C73543" w:rsidRPr="00805CD1">
        <w:rPr>
          <w:szCs w:val="22"/>
        </w:rPr>
        <w:t xml:space="preserve">was not an appropriate method. In forming this view, ESC </w:t>
      </w:r>
      <w:r w:rsidRPr="00805CD1">
        <w:rPr>
          <w:szCs w:val="22"/>
        </w:rPr>
        <w:t>considered a range of factors including:</w:t>
      </w:r>
    </w:p>
    <w:p w:rsidR="007B3FCC" w:rsidRPr="00805CD1" w:rsidRDefault="007B3FCC" w:rsidP="005373A8">
      <w:pPr>
        <w:pStyle w:val="NormalWeb"/>
        <w:numPr>
          <w:ilvl w:val="0"/>
          <w:numId w:val="66"/>
        </w:numPr>
        <w:spacing w:before="0" w:after="0"/>
        <w:ind w:left="1134"/>
        <w:jc w:val="both"/>
        <w:rPr>
          <w:rFonts w:ascii="Arial" w:hAnsi="Arial" w:cs="Arial"/>
          <w:sz w:val="22"/>
          <w:szCs w:val="22"/>
        </w:rPr>
      </w:pPr>
      <w:r w:rsidRPr="00805CD1">
        <w:rPr>
          <w:rFonts w:ascii="Arial" w:hAnsi="Arial" w:cs="Arial"/>
          <w:sz w:val="22"/>
          <w:szCs w:val="22"/>
        </w:rPr>
        <w:t>the high degree of cross</w:t>
      </w:r>
      <w:r w:rsidR="002D681D" w:rsidRPr="00805CD1">
        <w:rPr>
          <w:rFonts w:ascii="Arial" w:hAnsi="Arial" w:cs="Arial"/>
          <w:sz w:val="22"/>
          <w:szCs w:val="22"/>
        </w:rPr>
        <w:t>-</w:t>
      </w:r>
      <w:r w:rsidRPr="00805CD1">
        <w:rPr>
          <w:rFonts w:ascii="Arial" w:hAnsi="Arial" w:cs="Arial"/>
          <w:sz w:val="22"/>
          <w:szCs w:val="22"/>
        </w:rPr>
        <w:t>over; with 79% of patients from the placebo arm of the trial crossing over to idelalisib</w:t>
      </w:r>
    </w:p>
    <w:p w:rsidR="00AC7309" w:rsidRPr="00805CD1" w:rsidRDefault="007B3FCC" w:rsidP="005373A8">
      <w:pPr>
        <w:pStyle w:val="NormalWeb"/>
        <w:numPr>
          <w:ilvl w:val="0"/>
          <w:numId w:val="66"/>
        </w:numPr>
        <w:spacing w:before="0" w:after="0"/>
        <w:ind w:left="1134"/>
        <w:jc w:val="both"/>
        <w:rPr>
          <w:rFonts w:ascii="Arial" w:hAnsi="Arial" w:cs="Arial"/>
          <w:sz w:val="22"/>
          <w:szCs w:val="22"/>
        </w:rPr>
      </w:pPr>
      <w:r w:rsidRPr="00805CD1">
        <w:rPr>
          <w:rFonts w:ascii="Arial" w:hAnsi="Arial" w:cs="Arial"/>
          <w:sz w:val="22"/>
          <w:szCs w:val="22"/>
        </w:rPr>
        <w:t>the small number of patients upon which the adjustment methods are based, with only 23 of the 110 patients randomised to placebo who did not cross</w:t>
      </w:r>
      <w:r w:rsidR="002D681D" w:rsidRPr="00805CD1">
        <w:rPr>
          <w:rFonts w:ascii="Arial" w:hAnsi="Arial" w:cs="Arial"/>
          <w:sz w:val="22"/>
          <w:szCs w:val="22"/>
        </w:rPr>
        <w:t>-</w:t>
      </w:r>
      <w:r w:rsidRPr="00805CD1">
        <w:rPr>
          <w:rFonts w:ascii="Arial" w:hAnsi="Arial" w:cs="Arial"/>
          <w:sz w:val="22"/>
          <w:szCs w:val="22"/>
        </w:rPr>
        <w:t>over to idelalisib</w:t>
      </w:r>
    </w:p>
    <w:p w:rsidR="00AC7309" w:rsidRPr="00805CD1" w:rsidRDefault="00C73543" w:rsidP="005373A8">
      <w:pPr>
        <w:pStyle w:val="NormalWeb"/>
        <w:numPr>
          <w:ilvl w:val="0"/>
          <w:numId w:val="66"/>
        </w:numPr>
        <w:spacing w:before="0" w:after="0"/>
        <w:ind w:left="1134"/>
        <w:jc w:val="both"/>
        <w:rPr>
          <w:rFonts w:ascii="Arial" w:hAnsi="Arial" w:cs="Arial"/>
          <w:sz w:val="22"/>
          <w:szCs w:val="22"/>
        </w:rPr>
      </w:pPr>
      <w:proofErr w:type="gramStart"/>
      <w:r w:rsidRPr="00805CD1">
        <w:rPr>
          <w:rFonts w:ascii="Arial" w:hAnsi="Arial" w:cs="Arial"/>
          <w:sz w:val="22"/>
          <w:szCs w:val="22"/>
        </w:rPr>
        <w:t>t</w:t>
      </w:r>
      <w:r w:rsidR="00AC7309" w:rsidRPr="00805CD1">
        <w:rPr>
          <w:rFonts w:ascii="Arial" w:hAnsi="Arial" w:cs="Arial"/>
          <w:sz w:val="22"/>
          <w:szCs w:val="22"/>
        </w:rPr>
        <w:t>he</w:t>
      </w:r>
      <w:proofErr w:type="gramEnd"/>
      <w:r w:rsidR="00AC7309" w:rsidRPr="00805CD1">
        <w:rPr>
          <w:rFonts w:ascii="Arial" w:hAnsi="Arial" w:cs="Arial"/>
          <w:sz w:val="22"/>
          <w:szCs w:val="22"/>
        </w:rPr>
        <w:t xml:space="preserve"> </w:t>
      </w:r>
      <w:r w:rsidRPr="00805CD1">
        <w:rPr>
          <w:rFonts w:ascii="Arial" w:hAnsi="Arial" w:cs="Arial"/>
          <w:sz w:val="22"/>
          <w:szCs w:val="22"/>
        </w:rPr>
        <w:t>acceleration factor was large (3.2)</w:t>
      </w:r>
      <w:r w:rsidR="00AC7309" w:rsidRPr="00805CD1">
        <w:rPr>
          <w:rFonts w:ascii="Arial" w:hAnsi="Arial" w:cs="Arial"/>
          <w:sz w:val="22"/>
          <w:szCs w:val="22"/>
        </w:rPr>
        <w:t xml:space="preserve"> and was applied to the majority of patients who were randomised to the comparator arm, significantly biasing results</w:t>
      </w:r>
      <w:r w:rsidR="005A5FAB" w:rsidRPr="00805CD1">
        <w:rPr>
          <w:rFonts w:ascii="Arial" w:hAnsi="Arial" w:cs="Arial"/>
          <w:sz w:val="22"/>
          <w:szCs w:val="22"/>
        </w:rPr>
        <w:t>. Further information around how the acceleration factor was derived and variance around the acceleration factor, is necessary</w:t>
      </w:r>
      <w:r w:rsidR="002C047A" w:rsidRPr="00805CD1">
        <w:rPr>
          <w:rFonts w:ascii="Arial" w:hAnsi="Arial" w:cs="Arial"/>
          <w:sz w:val="22"/>
          <w:szCs w:val="22"/>
        </w:rPr>
        <w:t xml:space="preserve"> to determine its appropriateness</w:t>
      </w:r>
    </w:p>
    <w:p w:rsidR="00C73543" w:rsidRPr="00805CD1" w:rsidRDefault="007B3FCC" w:rsidP="005373A8">
      <w:pPr>
        <w:pStyle w:val="NormalWeb"/>
        <w:numPr>
          <w:ilvl w:val="0"/>
          <w:numId w:val="66"/>
        </w:numPr>
        <w:spacing w:before="0" w:after="0"/>
        <w:ind w:left="1134"/>
        <w:jc w:val="both"/>
        <w:rPr>
          <w:rFonts w:ascii="Arial" w:hAnsi="Arial" w:cs="Arial"/>
          <w:sz w:val="22"/>
          <w:szCs w:val="22"/>
        </w:rPr>
      </w:pPr>
      <w:r w:rsidRPr="00805CD1">
        <w:rPr>
          <w:rFonts w:ascii="Arial" w:hAnsi="Arial" w:cs="Arial"/>
          <w:sz w:val="22"/>
          <w:szCs w:val="22"/>
        </w:rPr>
        <w:t>the ITT results did show a statistically significant improvement in OS</w:t>
      </w:r>
      <w:r w:rsidR="002D681D" w:rsidRPr="00805CD1">
        <w:rPr>
          <w:rFonts w:ascii="Arial" w:hAnsi="Arial" w:cs="Arial"/>
          <w:sz w:val="22"/>
          <w:szCs w:val="22"/>
        </w:rPr>
        <w:t xml:space="preserve">, </w:t>
      </w:r>
      <w:r w:rsidRPr="00805CD1">
        <w:rPr>
          <w:rFonts w:ascii="Arial" w:hAnsi="Arial" w:cs="Arial"/>
          <w:sz w:val="22"/>
          <w:szCs w:val="22"/>
        </w:rPr>
        <w:t>however the magnitude of this benefit was small</w:t>
      </w:r>
      <w:r w:rsidR="002D681D" w:rsidRPr="00805CD1">
        <w:rPr>
          <w:rFonts w:ascii="Arial" w:hAnsi="Arial" w:cs="Arial"/>
          <w:sz w:val="22"/>
          <w:szCs w:val="22"/>
        </w:rPr>
        <w:t>er than for the RPSFT results</w:t>
      </w:r>
    </w:p>
    <w:p w:rsidR="007B3FCC" w:rsidRPr="00805CD1" w:rsidRDefault="007B3FCC" w:rsidP="005373A8">
      <w:pPr>
        <w:pStyle w:val="NormalWeb"/>
        <w:numPr>
          <w:ilvl w:val="0"/>
          <w:numId w:val="66"/>
        </w:numPr>
        <w:spacing w:before="0" w:after="0"/>
        <w:ind w:left="1134"/>
        <w:jc w:val="both"/>
        <w:rPr>
          <w:rFonts w:ascii="Arial" w:hAnsi="Arial" w:cs="Arial"/>
          <w:sz w:val="22"/>
          <w:szCs w:val="22"/>
        </w:rPr>
      </w:pPr>
      <w:proofErr w:type="gramStart"/>
      <w:r w:rsidRPr="00805CD1">
        <w:rPr>
          <w:rFonts w:ascii="Arial" w:hAnsi="Arial" w:cs="Arial"/>
          <w:sz w:val="22"/>
          <w:szCs w:val="22"/>
        </w:rPr>
        <w:t>the</w:t>
      </w:r>
      <w:proofErr w:type="gramEnd"/>
      <w:r w:rsidRPr="00805CD1">
        <w:rPr>
          <w:rFonts w:ascii="Arial" w:hAnsi="Arial" w:cs="Arial"/>
          <w:sz w:val="22"/>
          <w:szCs w:val="22"/>
        </w:rPr>
        <w:t xml:space="preserve"> confidence intervals around the RPSFT were much sma</w:t>
      </w:r>
      <w:r w:rsidR="00C73543" w:rsidRPr="00805CD1">
        <w:rPr>
          <w:rFonts w:ascii="Arial" w:hAnsi="Arial" w:cs="Arial"/>
          <w:sz w:val="22"/>
          <w:szCs w:val="22"/>
        </w:rPr>
        <w:t>ller than for the ITT analysis</w:t>
      </w:r>
      <w:r w:rsidR="00A65A25" w:rsidRPr="00805CD1">
        <w:rPr>
          <w:rFonts w:ascii="Arial" w:hAnsi="Arial" w:cs="Arial"/>
          <w:sz w:val="22"/>
          <w:szCs w:val="22"/>
        </w:rPr>
        <w:t>. Due to uncertainty introduced by the acceleration factor, it was unclear why the con</w:t>
      </w:r>
      <w:r w:rsidR="005373A8" w:rsidRPr="00805CD1">
        <w:rPr>
          <w:rFonts w:ascii="Arial" w:hAnsi="Arial" w:cs="Arial"/>
          <w:sz w:val="22"/>
          <w:szCs w:val="22"/>
        </w:rPr>
        <w:t>fidence intervals were smaller</w:t>
      </w:r>
    </w:p>
    <w:p w:rsidR="005A5FAB" w:rsidRPr="00805CD1" w:rsidRDefault="007B3FCC" w:rsidP="005373A8">
      <w:pPr>
        <w:pStyle w:val="ListParagraph"/>
        <w:numPr>
          <w:ilvl w:val="0"/>
          <w:numId w:val="66"/>
        </w:numPr>
        <w:ind w:left="1134"/>
      </w:pPr>
      <w:proofErr w:type="gramStart"/>
      <w:r w:rsidRPr="00805CD1">
        <w:rPr>
          <w:szCs w:val="22"/>
        </w:rPr>
        <w:t>the</w:t>
      </w:r>
      <w:proofErr w:type="gramEnd"/>
      <w:r w:rsidRPr="00805CD1">
        <w:rPr>
          <w:szCs w:val="22"/>
        </w:rPr>
        <w:t xml:space="preserve"> assumptions underlying the presented adjustment methods </w:t>
      </w:r>
      <w:r w:rsidR="002D681D" w:rsidRPr="00805CD1">
        <w:rPr>
          <w:szCs w:val="22"/>
        </w:rPr>
        <w:t>were not shown to be fulfilled.</w:t>
      </w:r>
      <w:r w:rsidRPr="00805CD1">
        <w:rPr>
          <w:szCs w:val="22"/>
        </w:rPr>
        <w:t xml:space="preserve"> The validity of the underlying assumption upon which RPSFT is based – the com</w:t>
      </w:r>
      <w:r w:rsidR="00AC7309" w:rsidRPr="00805CD1">
        <w:rPr>
          <w:szCs w:val="22"/>
        </w:rPr>
        <w:t>mon treatment effect assumption</w:t>
      </w:r>
      <w:r w:rsidR="002D681D" w:rsidRPr="00805CD1">
        <w:rPr>
          <w:szCs w:val="22"/>
        </w:rPr>
        <w:t xml:space="preserve"> – was not </w:t>
      </w:r>
      <w:r w:rsidR="001432DF" w:rsidRPr="00805CD1">
        <w:rPr>
          <w:szCs w:val="22"/>
        </w:rPr>
        <w:t xml:space="preserve">reasonably </w:t>
      </w:r>
      <w:r w:rsidR="002D681D" w:rsidRPr="00805CD1">
        <w:rPr>
          <w:szCs w:val="22"/>
        </w:rPr>
        <w:t>fulfilled</w:t>
      </w:r>
      <w:r w:rsidR="001432DF" w:rsidRPr="00805CD1">
        <w:rPr>
          <w:szCs w:val="22"/>
        </w:rPr>
        <w:t xml:space="preserve"> or otherwise justified</w:t>
      </w:r>
      <w:r w:rsidR="002D681D" w:rsidRPr="00805CD1">
        <w:rPr>
          <w:szCs w:val="22"/>
        </w:rPr>
        <w:t>.</w:t>
      </w:r>
      <w:r w:rsidRPr="00805CD1">
        <w:rPr>
          <w:szCs w:val="22"/>
        </w:rPr>
        <w:t xml:space="preserve"> That is, it was unclear whether patients have an equal likelihood of responding to idelalisib irrespective of whether or n</w:t>
      </w:r>
      <w:r w:rsidR="002D681D" w:rsidRPr="00805CD1">
        <w:rPr>
          <w:szCs w:val="22"/>
        </w:rPr>
        <w:t>ot they received placebo first.</w:t>
      </w:r>
      <w:r w:rsidRPr="00805CD1">
        <w:rPr>
          <w:szCs w:val="22"/>
        </w:rPr>
        <w:t xml:space="preserve"> </w:t>
      </w:r>
      <w:r w:rsidR="005A5FAB" w:rsidRPr="00805CD1">
        <w:rPr>
          <w:szCs w:val="22"/>
        </w:rPr>
        <w:t xml:space="preserve">The ESC considered that the common treatment effect assumption was not likely to be clinically plausible. </w:t>
      </w:r>
      <w:r w:rsidR="002D681D" w:rsidRPr="00805CD1">
        <w:rPr>
          <w:szCs w:val="22"/>
        </w:rPr>
        <w:t>Although</w:t>
      </w:r>
      <w:r w:rsidR="005A5FAB" w:rsidRPr="00805CD1">
        <w:t xml:space="preserve"> the RPSFT method is reasonably robust to small deviations from the common treatment effect assumption, the size of the bias fluctuates with the size of the treatment effect and thus bias is likely to be considerable given the </w:t>
      </w:r>
      <w:r w:rsidR="002D681D" w:rsidRPr="00805CD1">
        <w:t xml:space="preserve">relatively large </w:t>
      </w:r>
      <w:r w:rsidR="005A5FAB" w:rsidRPr="00805CD1">
        <w:t xml:space="preserve">treatment </w:t>
      </w:r>
      <w:r w:rsidR="00D1380E" w:rsidRPr="00805CD1">
        <w:t>effect</w:t>
      </w:r>
      <w:r w:rsidR="005A5FAB" w:rsidRPr="00805CD1">
        <w:t xml:space="preserve"> estimate</w:t>
      </w:r>
      <w:r w:rsidR="00D1380E" w:rsidRPr="00805CD1">
        <w:t>s</w:t>
      </w:r>
      <w:r w:rsidR="005A5FAB" w:rsidRPr="00805CD1">
        <w:t xml:space="preserve"> in the submission.</w:t>
      </w:r>
    </w:p>
    <w:p w:rsidR="007B3FCC" w:rsidRPr="00805CD1" w:rsidRDefault="007B3FCC" w:rsidP="005A5FAB">
      <w:pPr>
        <w:pStyle w:val="NormalWeb"/>
        <w:spacing w:before="0" w:after="0"/>
        <w:ind w:left="720"/>
        <w:rPr>
          <w:rFonts w:ascii="Arial" w:hAnsi="Arial" w:cs="Arial"/>
          <w:sz w:val="22"/>
          <w:szCs w:val="22"/>
        </w:rPr>
      </w:pPr>
      <w:r w:rsidRPr="00805CD1">
        <w:rPr>
          <w:rFonts w:ascii="Arial" w:hAnsi="Arial" w:cs="Arial"/>
          <w:sz w:val="22"/>
          <w:szCs w:val="22"/>
        </w:rPr>
        <w:t>Accordingly, it was unclear whether the RPSFT estimate would be less biased than the unadjusted survival estimate.</w:t>
      </w:r>
    </w:p>
    <w:p w:rsidR="002D681D" w:rsidRPr="002D681D" w:rsidRDefault="002D681D" w:rsidP="002D681D">
      <w:pPr>
        <w:widowControl/>
        <w:rPr>
          <w:i/>
        </w:rPr>
      </w:pPr>
    </w:p>
    <w:p w:rsidR="003E7C24" w:rsidRPr="00EF2DE5" w:rsidRDefault="003E7C24" w:rsidP="002D681D">
      <w:pPr>
        <w:pStyle w:val="ListParagraph"/>
        <w:widowControl/>
        <w:numPr>
          <w:ilvl w:val="1"/>
          <w:numId w:val="5"/>
        </w:numPr>
      </w:pPr>
      <w:r w:rsidRPr="00EF2DE5">
        <w:lastRenderedPageBreak/>
        <w:t xml:space="preserve">The ESC noted </w:t>
      </w:r>
      <w:r w:rsidR="006A1BE9" w:rsidRPr="00EF2DE5">
        <w:t xml:space="preserve">that two </w:t>
      </w:r>
      <w:r w:rsidRPr="00EF2DE5">
        <w:t xml:space="preserve">sensitivity analyses </w:t>
      </w:r>
      <w:r w:rsidR="006A1BE9" w:rsidRPr="00EF2DE5">
        <w:t xml:space="preserve">were </w:t>
      </w:r>
      <w:r w:rsidRPr="00EF2DE5">
        <w:t xml:space="preserve">presented in the resubmission </w:t>
      </w:r>
      <w:r w:rsidR="006A1BE9" w:rsidRPr="00EF2DE5">
        <w:t xml:space="preserve">to gauge the impact of the adjustment method on OS estimates. These </w:t>
      </w:r>
      <w:r w:rsidRPr="00EF2DE5">
        <w:t xml:space="preserve">are shown in Table </w:t>
      </w:r>
      <w:r w:rsidR="0018203D" w:rsidRPr="00EF2DE5">
        <w:t>5</w:t>
      </w:r>
      <w:r w:rsidR="002D681D" w:rsidRPr="00EF2DE5">
        <w:t xml:space="preserve"> below.</w:t>
      </w:r>
    </w:p>
    <w:p w:rsidR="003E7C24" w:rsidRDefault="003E7C24" w:rsidP="002D681D">
      <w:pPr>
        <w:widowControl/>
        <w:rPr>
          <w:i/>
        </w:rPr>
      </w:pPr>
    </w:p>
    <w:p w:rsidR="0029025B" w:rsidRPr="0029025B" w:rsidRDefault="0029025B" w:rsidP="0029025B">
      <w:pPr>
        <w:pStyle w:val="Caption"/>
        <w:keepNext/>
        <w:ind w:firstLine="720"/>
        <w:rPr>
          <w:rFonts w:ascii="Arial Narrow" w:hAnsi="Arial Narrow"/>
          <w:color w:val="auto"/>
          <w:sz w:val="20"/>
        </w:rPr>
      </w:pPr>
      <w:r w:rsidRPr="0029025B">
        <w:rPr>
          <w:rFonts w:ascii="Arial Narrow" w:hAnsi="Arial Narrow"/>
          <w:color w:val="auto"/>
          <w:sz w:val="20"/>
        </w:rPr>
        <w:t xml:space="preserve">Table </w:t>
      </w:r>
      <w:r w:rsidRPr="0029025B">
        <w:rPr>
          <w:rFonts w:ascii="Arial Narrow" w:hAnsi="Arial Narrow"/>
          <w:color w:val="auto"/>
          <w:sz w:val="20"/>
        </w:rPr>
        <w:fldChar w:fldCharType="begin"/>
      </w:r>
      <w:r w:rsidRPr="0029025B">
        <w:rPr>
          <w:rFonts w:ascii="Arial Narrow" w:hAnsi="Arial Narrow"/>
          <w:color w:val="auto"/>
          <w:sz w:val="20"/>
        </w:rPr>
        <w:instrText xml:space="preserve"> SEQ Table \* ARABIC </w:instrText>
      </w:r>
      <w:r w:rsidRPr="0029025B">
        <w:rPr>
          <w:rFonts w:ascii="Arial Narrow" w:hAnsi="Arial Narrow"/>
          <w:color w:val="auto"/>
          <w:sz w:val="20"/>
        </w:rPr>
        <w:fldChar w:fldCharType="separate"/>
      </w:r>
      <w:r w:rsidR="00AD392C">
        <w:rPr>
          <w:rFonts w:ascii="Arial Narrow" w:hAnsi="Arial Narrow"/>
          <w:noProof/>
          <w:color w:val="auto"/>
          <w:sz w:val="20"/>
        </w:rPr>
        <w:t>5</w:t>
      </w:r>
      <w:r w:rsidRPr="0029025B">
        <w:rPr>
          <w:rFonts w:ascii="Arial Narrow" w:hAnsi="Arial Narrow"/>
          <w:color w:val="auto"/>
          <w:sz w:val="20"/>
        </w:rPr>
        <w:fldChar w:fldCharType="end"/>
      </w:r>
      <w:r w:rsidRPr="0029025B">
        <w:rPr>
          <w:rFonts w:ascii="Arial Narrow" w:hAnsi="Arial Narrow"/>
          <w:color w:val="auto"/>
          <w:sz w:val="20"/>
        </w:rPr>
        <w:t>: Results of overall survival sensitivity analysis from Trial 312-0116 – final results</w:t>
      </w:r>
    </w:p>
    <w:tbl>
      <w:tblPr>
        <w:tblStyle w:val="TableGrid"/>
        <w:tblW w:w="0" w:type="auto"/>
        <w:tblInd w:w="817" w:type="dxa"/>
        <w:tblLook w:val="0620" w:firstRow="1" w:lastRow="0" w:firstColumn="0" w:lastColumn="0" w:noHBand="1" w:noVBand="1"/>
        <w:tblCaption w:val="Results of overall survival sensitivity analysis"/>
      </w:tblPr>
      <w:tblGrid>
        <w:gridCol w:w="3804"/>
        <w:gridCol w:w="4622"/>
      </w:tblGrid>
      <w:tr w:rsidR="003E7C24" w:rsidTr="00A34711">
        <w:trPr>
          <w:tblHeader/>
        </w:trPr>
        <w:tc>
          <w:tcPr>
            <w:tcW w:w="3804" w:type="dxa"/>
            <w:vAlign w:val="center"/>
          </w:tcPr>
          <w:p w:rsidR="003E7C24" w:rsidRDefault="003E7C24" w:rsidP="003E7C24">
            <w:pPr>
              <w:keepNext/>
              <w:widowControl/>
              <w:rPr>
                <w:i/>
              </w:rPr>
            </w:pPr>
            <w:r>
              <w:rPr>
                <w:rFonts w:ascii="Arial Narrow" w:hAnsi="Arial Narrow"/>
                <w:b/>
                <w:sz w:val="20"/>
              </w:rPr>
              <w:t>Sensitivity analyses</w:t>
            </w:r>
          </w:p>
        </w:tc>
        <w:tc>
          <w:tcPr>
            <w:tcW w:w="4622" w:type="dxa"/>
          </w:tcPr>
          <w:p w:rsidR="003E7C24" w:rsidRDefault="003E7C24" w:rsidP="003E7C24">
            <w:pPr>
              <w:keepNext/>
              <w:widowControl/>
              <w:rPr>
                <w:i/>
              </w:rPr>
            </w:pPr>
            <w:r>
              <w:rPr>
                <w:rFonts w:ascii="Arial Narrow" w:hAnsi="Arial Narrow"/>
                <w:b/>
                <w:sz w:val="20"/>
              </w:rPr>
              <w:t>HR (95% CI)</w:t>
            </w:r>
          </w:p>
        </w:tc>
      </w:tr>
      <w:tr w:rsidR="003E7C24" w:rsidTr="00A34711">
        <w:tc>
          <w:tcPr>
            <w:tcW w:w="3804" w:type="dxa"/>
            <w:vAlign w:val="center"/>
          </w:tcPr>
          <w:p w:rsidR="003E7C24" w:rsidRDefault="003E7C24" w:rsidP="003E7C24">
            <w:pPr>
              <w:keepNext/>
              <w:widowControl/>
              <w:rPr>
                <w:i/>
              </w:rPr>
            </w:pPr>
            <w:r>
              <w:rPr>
                <w:rFonts w:ascii="Arial Narrow" w:hAnsi="Arial Narrow"/>
                <w:sz w:val="20"/>
              </w:rPr>
              <w:t>312-0116 only (ITT)</w:t>
            </w:r>
          </w:p>
        </w:tc>
        <w:tc>
          <w:tcPr>
            <w:tcW w:w="4622" w:type="dxa"/>
            <w:vAlign w:val="center"/>
          </w:tcPr>
          <w:p w:rsidR="003E7C24" w:rsidRDefault="003E7C24" w:rsidP="003E7C24">
            <w:pPr>
              <w:keepNext/>
              <w:widowControl/>
              <w:rPr>
                <w:i/>
              </w:rPr>
            </w:pPr>
            <w:r>
              <w:rPr>
                <w:rFonts w:ascii="Arial Narrow" w:hAnsi="Arial Narrow"/>
                <w:b/>
                <w:sz w:val="20"/>
              </w:rPr>
              <w:t>0.41 (0.18, 0.95)</w:t>
            </w:r>
          </w:p>
        </w:tc>
      </w:tr>
      <w:tr w:rsidR="003E7C24" w:rsidTr="00A34711">
        <w:tc>
          <w:tcPr>
            <w:tcW w:w="3804" w:type="dxa"/>
            <w:vAlign w:val="center"/>
          </w:tcPr>
          <w:p w:rsidR="003E7C24" w:rsidRDefault="003E7C24" w:rsidP="00EC3014">
            <w:pPr>
              <w:keepNext/>
              <w:widowControl/>
              <w:ind w:right="-108"/>
              <w:jc w:val="left"/>
              <w:rPr>
                <w:rFonts w:ascii="Arial Narrow" w:hAnsi="Arial Narrow"/>
                <w:sz w:val="20"/>
              </w:rPr>
            </w:pPr>
            <w:r>
              <w:rPr>
                <w:rFonts w:ascii="Arial Narrow" w:hAnsi="Arial Narrow"/>
                <w:sz w:val="20"/>
              </w:rPr>
              <w:t>Ide + R: 312-0016 + 312-0117</w:t>
            </w:r>
          </w:p>
          <w:p w:rsidR="003E7C24" w:rsidRDefault="003E7C24" w:rsidP="003E7C24">
            <w:pPr>
              <w:keepNext/>
              <w:widowControl/>
              <w:rPr>
                <w:i/>
              </w:rPr>
            </w:pPr>
            <w:r>
              <w:rPr>
                <w:rFonts w:ascii="Arial Narrow" w:hAnsi="Arial Narrow"/>
                <w:sz w:val="20"/>
              </w:rPr>
              <w:t>PBO + R: Up to first dose of Ide if crossed over</w:t>
            </w:r>
          </w:p>
        </w:tc>
        <w:tc>
          <w:tcPr>
            <w:tcW w:w="4622" w:type="dxa"/>
            <w:vAlign w:val="center"/>
          </w:tcPr>
          <w:p w:rsidR="003E7C24" w:rsidRDefault="003E7C24" w:rsidP="0029025B">
            <w:pPr>
              <w:keepNext/>
              <w:widowControl/>
              <w:rPr>
                <w:i/>
              </w:rPr>
            </w:pPr>
            <w:r w:rsidRPr="00F269F0">
              <w:rPr>
                <w:rFonts w:ascii="Arial Narrow" w:hAnsi="Arial Narrow"/>
                <w:b/>
                <w:sz w:val="20"/>
              </w:rPr>
              <w:t>0.43 (0.20, 0.95)</w:t>
            </w:r>
          </w:p>
        </w:tc>
      </w:tr>
    </w:tbl>
    <w:p w:rsidR="003E7C24" w:rsidRPr="00926FCF" w:rsidRDefault="001C16F5" w:rsidP="0018203D">
      <w:pPr>
        <w:keepNext/>
        <w:widowControl/>
        <w:ind w:firstLine="720"/>
        <w:rPr>
          <w:rFonts w:ascii="Arial Narrow" w:hAnsi="Arial Narrow"/>
          <w:sz w:val="18"/>
          <w:szCs w:val="18"/>
        </w:rPr>
      </w:pPr>
      <w:r w:rsidRPr="00926FCF">
        <w:rPr>
          <w:rFonts w:ascii="Arial Narrow" w:hAnsi="Arial Narrow"/>
          <w:sz w:val="18"/>
          <w:szCs w:val="18"/>
        </w:rPr>
        <w:t>Source:</w:t>
      </w:r>
      <w:r w:rsidR="00926FCF" w:rsidRPr="00926FCF">
        <w:rPr>
          <w:rFonts w:ascii="Arial Narrow" w:hAnsi="Arial Narrow"/>
          <w:sz w:val="18"/>
          <w:szCs w:val="18"/>
        </w:rPr>
        <w:t xml:space="preserve"> Table B.6.2 of the commentary.</w:t>
      </w:r>
    </w:p>
    <w:p w:rsidR="001C16F5" w:rsidRDefault="001C16F5" w:rsidP="0018203D">
      <w:pPr>
        <w:pStyle w:val="TableFooter"/>
        <w:keepNext/>
        <w:widowControl/>
        <w:ind w:firstLine="720"/>
      </w:pPr>
      <w:r>
        <w:t xml:space="preserve">ITT = intention-to-treat; </w:t>
      </w:r>
      <w:r w:rsidRPr="000A3F1A">
        <w:t>Ide + R</w:t>
      </w:r>
      <w:r>
        <w:t xml:space="preserve"> = idelalisib and rituximab; </w:t>
      </w:r>
      <w:r w:rsidRPr="000A3F1A">
        <w:t>PBO + R</w:t>
      </w:r>
      <w:r>
        <w:t xml:space="preserve"> = placebo and rituximab; HR = hazard ratio; </w:t>
      </w:r>
    </w:p>
    <w:p w:rsidR="001C16F5" w:rsidRDefault="001C16F5" w:rsidP="00926FCF">
      <w:pPr>
        <w:pStyle w:val="TableFooter"/>
        <w:widowControl/>
        <w:ind w:firstLine="720"/>
      </w:pPr>
      <w:r w:rsidRPr="00C531E1">
        <w:rPr>
          <w:b/>
        </w:rPr>
        <w:t>Bold</w:t>
      </w:r>
      <w:r>
        <w:t xml:space="preserve"> = statistically significant</w:t>
      </w:r>
    </w:p>
    <w:p w:rsidR="001C16F5" w:rsidRDefault="001C16F5" w:rsidP="002D681D">
      <w:pPr>
        <w:widowControl/>
        <w:rPr>
          <w:i/>
        </w:rPr>
      </w:pPr>
    </w:p>
    <w:p w:rsidR="005A5FAB" w:rsidRPr="00805CD1" w:rsidRDefault="005A5FAB" w:rsidP="002D681D">
      <w:pPr>
        <w:pStyle w:val="ListParagraph"/>
        <w:widowControl/>
        <w:numPr>
          <w:ilvl w:val="1"/>
          <w:numId w:val="5"/>
        </w:numPr>
      </w:pPr>
      <w:r w:rsidRPr="00805CD1">
        <w:t>The ESC considered that these estimates are likely biased in favour of idelalisib given the use of post-progression treatment in the idelalisib arm.</w:t>
      </w:r>
    </w:p>
    <w:p w:rsidR="005A5FAB" w:rsidRPr="00805CD1" w:rsidRDefault="005A5FAB" w:rsidP="002D681D">
      <w:pPr>
        <w:widowControl/>
      </w:pPr>
    </w:p>
    <w:p w:rsidR="00B60939" w:rsidRPr="001E3D25" w:rsidRDefault="00B60939" w:rsidP="001E3D25">
      <w:pPr>
        <w:pStyle w:val="Heading2"/>
      </w:pPr>
      <w:bookmarkStart w:id="10" w:name="_Toc430012382"/>
      <w:r w:rsidRPr="001E3D25">
        <w:t>Comparative harms</w:t>
      </w:r>
      <w:bookmarkEnd w:id="10"/>
    </w:p>
    <w:p w:rsidR="00B60939" w:rsidRPr="00882085" w:rsidRDefault="00B60939" w:rsidP="00B60939">
      <w:pPr>
        <w:ind w:left="720" w:hanging="720"/>
        <w:rPr>
          <w:szCs w:val="22"/>
        </w:rPr>
      </w:pPr>
    </w:p>
    <w:p w:rsidR="002D271D" w:rsidRPr="007F3753" w:rsidRDefault="00C861E5" w:rsidP="00D701FA">
      <w:pPr>
        <w:pStyle w:val="ListParagraph"/>
        <w:keepNext/>
        <w:widowControl/>
        <w:numPr>
          <w:ilvl w:val="1"/>
          <w:numId w:val="5"/>
        </w:numPr>
        <w:rPr>
          <w:szCs w:val="22"/>
        </w:rPr>
      </w:pPr>
      <w:r>
        <w:t>The incidence of treatment-</w:t>
      </w:r>
      <w:r w:rsidR="002D271D" w:rsidRPr="007F3753">
        <w:t xml:space="preserve">emergent adverse events occurring </w:t>
      </w:r>
      <w:r w:rsidR="002D271D">
        <w:t xml:space="preserve">in </w:t>
      </w:r>
      <w:r w:rsidR="002D271D" w:rsidRPr="007F3753">
        <w:t>at least 10% of participants was fairly similar across both treatment arms of Tr</w:t>
      </w:r>
      <w:r w:rsidR="00926FCF">
        <w:t>i</w:t>
      </w:r>
      <w:r w:rsidR="002D271D" w:rsidRPr="007F3753">
        <w:t xml:space="preserve">al 312-0116. Idelalisib plus rituximab resulted in significantly increased rates of </w:t>
      </w:r>
      <w:r w:rsidR="002D271D" w:rsidRPr="00B25D74">
        <w:t xml:space="preserve">neutropenia, </w:t>
      </w:r>
      <w:r w:rsidR="00D701FA" w:rsidRPr="00D701FA">
        <w:t xml:space="preserve">increased transaminases and alanine aminotransferase </w:t>
      </w:r>
      <w:r w:rsidR="002D271D" w:rsidRPr="00B25D74">
        <w:t>and gastrointestinal disorders (diarrhoea and colitis)</w:t>
      </w:r>
      <w:r w:rsidR="002D271D" w:rsidRPr="007F3753">
        <w:t>.</w:t>
      </w:r>
    </w:p>
    <w:p w:rsidR="002D271D" w:rsidRPr="002D681D" w:rsidRDefault="002D271D" w:rsidP="002D271D">
      <w:pPr>
        <w:widowControl/>
      </w:pPr>
    </w:p>
    <w:p w:rsidR="001C16F5" w:rsidRPr="0009378B" w:rsidRDefault="002D271D" w:rsidP="004B69A7">
      <w:pPr>
        <w:pStyle w:val="ListParagraph"/>
        <w:widowControl/>
        <w:numPr>
          <w:ilvl w:val="1"/>
          <w:numId w:val="5"/>
        </w:numPr>
        <w:rPr>
          <w:szCs w:val="22"/>
        </w:rPr>
      </w:pPr>
      <w:r w:rsidRPr="007F3753">
        <w:t>Idelalisib ha</w:t>
      </w:r>
      <w:r>
        <w:t>s</w:t>
      </w:r>
      <w:r w:rsidRPr="007F3753">
        <w:t xml:space="preserve"> a</w:t>
      </w:r>
      <w:r w:rsidR="009C58F6">
        <w:t>n</w:t>
      </w:r>
      <w:r w:rsidRPr="007F3753">
        <w:t xml:space="preserve"> FDA boxed warning </w:t>
      </w:r>
      <w:r>
        <w:t>based on longer</w:t>
      </w:r>
      <w:r w:rsidR="009C58F6">
        <w:t>-</w:t>
      </w:r>
      <w:r>
        <w:t xml:space="preserve">term analyses </w:t>
      </w:r>
      <w:r w:rsidRPr="007F3753">
        <w:t>stating that treatment can result in fatal and serious toxicities including hepatotoxicity, severe diarrhoea or colitis, pneumonitis and intestinal perforation</w:t>
      </w:r>
      <w:r>
        <w:t>.</w:t>
      </w:r>
    </w:p>
    <w:p w:rsidR="001C16F5" w:rsidRPr="002D681D" w:rsidRDefault="001C16F5" w:rsidP="0009378B">
      <w:pPr>
        <w:rPr>
          <w:i/>
        </w:rPr>
      </w:pPr>
    </w:p>
    <w:p w:rsidR="001C16F5" w:rsidRPr="00805CD1" w:rsidRDefault="001C16F5" w:rsidP="001C16F5">
      <w:pPr>
        <w:pStyle w:val="ListParagraph"/>
        <w:widowControl/>
        <w:numPr>
          <w:ilvl w:val="1"/>
          <w:numId w:val="5"/>
        </w:numPr>
        <w:rPr>
          <w:szCs w:val="22"/>
        </w:rPr>
      </w:pPr>
      <w:r w:rsidRPr="007A71C0">
        <w:rPr>
          <w:szCs w:val="22"/>
        </w:rPr>
        <w:t xml:space="preserve">The Australian Product Information does not have a black box warning but recommends precaution in hepatic infection, anaphylaxis, intestinal perforation, progressive multifocal leukoencephalopathy and use in special patient populations. </w:t>
      </w:r>
      <w:r w:rsidRPr="00805CD1">
        <w:t>The PSCR (p2) considered hepatotoxicity to be transient and reversible, and considered that difference in US and Australian safety recommendations</w:t>
      </w:r>
      <w:r w:rsidRPr="00805CD1">
        <w:rPr>
          <w:szCs w:val="22"/>
        </w:rPr>
        <w:t xml:space="preserve"> reflects registration approval timelines, the availability of additional safety data and the updated risk-benefit relationship at the time of respective registration. The ESC considered this reasonable</w:t>
      </w:r>
      <w:r w:rsidR="002D681D" w:rsidRPr="00805CD1">
        <w:rPr>
          <w:szCs w:val="22"/>
        </w:rPr>
        <w:t>,</w:t>
      </w:r>
      <w:r w:rsidRPr="00805CD1">
        <w:rPr>
          <w:szCs w:val="22"/>
        </w:rPr>
        <w:t xml:space="preserve"> however reiterated that the harms presented in the submission are likely underestimated and favour idelalisib.</w:t>
      </w:r>
    </w:p>
    <w:p w:rsidR="00B60939" w:rsidRDefault="00B60939" w:rsidP="007F1017">
      <w:pPr>
        <w:pStyle w:val="ListParagraph"/>
        <w:ind w:left="0"/>
        <w:rPr>
          <w:szCs w:val="22"/>
        </w:rPr>
      </w:pPr>
    </w:p>
    <w:p w:rsidR="007F1017" w:rsidRPr="00D22B9E" w:rsidRDefault="007F1017" w:rsidP="00775D14">
      <w:pPr>
        <w:pStyle w:val="Heading2"/>
        <w:rPr>
          <w:szCs w:val="22"/>
        </w:rPr>
      </w:pPr>
      <w:bookmarkStart w:id="11" w:name="_Toc430012383"/>
      <w:r w:rsidRPr="00D22B9E">
        <w:t>Benefits/harms</w:t>
      </w:r>
      <w:bookmarkEnd w:id="11"/>
    </w:p>
    <w:p w:rsidR="007F1017" w:rsidRPr="007F1017" w:rsidRDefault="007F1017" w:rsidP="00775D14">
      <w:pPr>
        <w:pStyle w:val="ListParagraph"/>
        <w:ind w:left="0"/>
        <w:rPr>
          <w:szCs w:val="22"/>
        </w:rPr>
      </w:pPr>
    </w:p>
    <w:p w:rsidR="002D271D" w:rsidRDefault="002D271D" w:rsidP="00775D14">
      <w:pPr>
        <w:pStyle w:val="ListParagraph"/>
        <w:numPr>
          <w:ilvl w:val="1"/>
          <w:numId w:val="5"/>
        </w:numPr>
        <w:rPr>
          <w:szCs w:val="22"/>
        </w:rPr>
      </w:pPr>
      <w:r w:rsidRPr="00B50DB8">
        <w:rPr>
          <w:szCs w:val="22"/>
        </w:rPr>
        <w:t xml:space="preserve">A summary of the comparative benefits and harms for </w:t>
      </w:r>
      <w:r>
        <w:rPr>
          <w:szCs w:val="22"/>
        </w:rPr>
        <w:t xml:space="preserve">idelalisib plus rituximab </w:t>
      </w:r>
      <w:r w:rsidRPr="00B50DB8">
        <w:rPr>
          <w:szCs w:val="22"/>
        </w:rPr>
        <w:t xml:space="preserve">versus </w:t>
      </w:r>
      <w:r>
        <w:rPr>
          <w:szCs w:val="22"/>
        </w:rPr>
        <w:t>placebo plus rituximab</w:t>
      </w:r>
      <w:r w:rsidR="00221C1A">
        <w:rPr>
          <w:szCs w:val="22"/>
        </w:rPr>
        <w:t xml:space="preserve"> </w:t>
      </w:r>
      <w:r w:rsidR="009C58F6">
        <w:rPr>
          <w:szCs w:val="22"/>
        </w:rPr>
        <w:t>is</w:t>
      </w:r>
      <w:r w:rsidR="009C58F6" w:rsidRPr="00B50DB8">
        <w:rPr>
          <w:szCs w:val="22"/>
        </w:rPr>
        <w:t xml:space="preserve"> </w:t>
      </w:r>
      <w:r w:rsidRPr="00B50DB8">
        <w:rPr>
          <w:szCs w:val="22"/>
        </w:rPr>
        <w:t xml:space="preserve">presented </w:t>
      </w:r>
      <w:r>
        <w:rPr>
          <w:szCs w:val="22"/>
        </w:rPr>
        <w:t>in T</w:t>
      </w:r>
      <w:r w:rsidRPr="00B50DB8">
        <w:rPr>
          <w:szCs w:val="22"/>
        </w:rPr>
        <w:t>able</w:t>
      </w:r>
      <w:r>
        <w:rPr>
          <w:szCs w:val="22"/>
        </w:rPr>
        <w:t xml:space="preserve"> </w:t>
      </w:r>
      <w:r w:rsidR="0018203D">
        <w:rPr>
          <w:szCs w:val="22"/>
        </w:rPr>
        <w:t>6</w:t>
      </w:r>
      <w:r w:rsidR="0018203D" w:rsidRPr="00B50DB8">
        <w:rPr>
          <w:szCs w:val="22"/>
        </w:rPr>
        <w:t xml:space="preserve"> </w:t>
      </w:r>
      <w:r w:rsidR="002D681D">
        <w:rPr>
          <w:szCs w:val="22"/>
        </w:rPr>
        <w:t>below.</w:t>
      </w:r>
    </w:p>
    <w:p w:rsidR="002D271D" w:rsidRPr="002D681D" w:rsidRDefault="002D271D" w:rsidP="002D681D">
      <w:pPr>
        <w:rPr>
          <w:rStyle w:val="CommentReference"/>
          <w:rFonts w:ascii="Arial" w:hAnsi="Arial"/>
          <w:b w:val="0"/>
          <w:sz w:val="22"/>
          <w:szCs w:val="22"/>
        </w:rPr>
      </w:pPr>
    </w:p>
    <w:p w:rsidR="00504583" w:rsidRDefault="00504583">
      <w:pPr>
        <w:widowControl/>
        <w:jc w:val="left"/>
        <w:rPr>
          <w:rFonts w:ascii="Arial Narrow" w:hAnsi="Arial Narrow"/>
          <w:b/>
          <w:bCs/>
          <w:sz w:val="20"/>
        </w:rPr>
      </w:pPr>
      <w:r>
        <w:rPr>
          <w:rFonts w:ascii="Arial Narrow" w:hAnsi="Arial Narrow"/>
          <w:bCs/>
        </w:rPr>
        <w:br w:type="page"/>
      </w:r>
    </w:p>
    <w:p w:rsidR="0029025B" w:rsidRPr="0029025B" w:rsidRDefault="0029025B" w:rsidP="0029025B">
      <w:pPr>
        <w:pStyle w:val="Caption"/>
        <w:keepNext/>
        <w:ind w:left="720"/>
        <w:rPr>
          <w:rFonts w:ascii="Arial Narrow" w:hAnsi="Arial Narrow"/>
          <w:color w:val="auto"/>
          <w:sz w:val="20"/>
        </w:rPr>
      </w:pPr>
      <w:r w:rsidRPr="0029025B">
        <w:rPr>
          <w:rFonts w:ascii="Arial Narrow" w:hAnsi="Arial Narrow"/>
          <w:color w:val="auto"/>
          <w:sz w:val="20"/>
        </w:rPr>
        <w:lastRenderedPageBreak/>
        <w:t xml:space="preserve">Table </w:t>
      </w:r>
      <w:r w:rsidRPr="0029025B">
        <w:rPr>
          <w:rFonts w:ascii="Arial Narrow" w:hAnsi="Arial Narrow"/>
          <w:color w:val="auto"/>
          <w:sz w:val="20"/>
        </w:rPr>
        <w:fldChar w:fldCharType="begin"/>
      </w:r>
      <w:r w:rsidRPr="0029025B">
        <w:rPr>
          <w:rFonts w:ascii="Arial Narrow" w:hAnsi="Arial Narrow"/>
          <w:color w:val="auto"/>
          <w:sz w:val="20"/>
        </w:rPr>
        <w:instrText xml:space="preserve"> SEQ Table \* ARABIC </w:instrText>
      </w:r>
      <w:r w:rsidRPr="0029025B">
        <w:rPr>
          <w:rFonts w:ascii="Arial Narrow" w:hAnsi="Arial Narrow"/>
          <w:color w:val="auto"/>
          <w:sz w:val="20"/>
        </w:rPr>
        <w:fldChar w:fldCharType="separate"/>
      </w:r>
      <w:r w:rsidR="00AD392C">
        <w:rPr>
          <w:rFonts w:ascii="Arial Narrow" w:hAnsi="Arial Narrow"/>
          <w:noProof/>
          <w:color w:val="auto"/>
          <w:sz w:val="20"/>
        </w:rPr>
        <w:t>6</w:t>
      </w:r>
      <w:r w:rsidRPr="0029025B">
        <w:rPr>
          <w:rFonts w:ascii="Arial Narrow" w:hAnsi="Arial Narrow"/>
          <w:color w:val="auto"/>
          <w:sz w:val="20"/>
        </w:rPr>
        <w:fldChar w:fldCharType="end"/>
      </w:r>
      <w:r w:rsidRPr="0029025B">
        <w:rPr>
          <w:rFonts w:ascii="Arial Narrow" w:hAnsi="Arial Narrow"/>
          <w:color w:val="auto"/>
          <w:sz w:val="20"/>
        </w:rPr>
        <w:t>: Summary of comparative benefits and harms for idelalisib plus rituximab and placebo plus rituximab from Trial 312-0116 – final results</w:t>
      </w:r>
    </w:p>
    <w:tbl>
      <w:tblPr>
        <w:tblStyle w:val="TableGrid"/>
        <w:tblW w:w="4625" w:type="pct"/>
        <w:tblInd w:w="698" w:type="dxa"/>
        <w:tblLayout w:type="fixed"/>
        <w:tblCellMar>
          <w:left w:w="28" w:type="dxa"/>
          <w:right w:w="28" w:type="dxa"/>
        </w:tblCellMar>
        <w:tblLook w:val="0620" w:firstRow="1" w:lastRow="0" w:firstColumn="0" w:lastColumn="0" w:noHBand="1" w:noVBand="1"/>
        <w:tblCaption w:val="Comparative benefits and harms"/>
        <w:tblDescription w:val="Idelalisib + rituximab versis placebo + rituximab"/>
      </w:tblPr>
      <w:tblGrid>
        <w:gridCol w:w="1034"/>
        <w:gridCol w:w="1135"/>
        <w:gridCol w:w="1136"/>
        <w:gridCol w:w="139"/>
        <w:gridCol w:w="1277"/>
        <w:gridCol w:w="566"/>
        <w:gridCol w:w="573"/>
        <w:gridCol w:w="561"/>
        <w:gridCol w:w="425"/>
        <w:gridCol w:w="1556"/>
      </w:tblGrid>
      <w:tr w:rsidR="002D271D" w:rsidRPr="00E2771E" w:rsidTr="00A34711">
        <w:trPr>
          <w:cantSplit/>
          <w:tblHeader/>
        </w:trPr>
        <w:tc>
          <w:tcPr>
            <w:tcW w:w="5000" w:type="pct"/>
            <w:gridSpan w:val="10"/>
            <w:shd w:val="clear" w:color="auto" w:fill="auto"/>
            <w:vAlign w:val="center"/>
          </w:tcPr>
          <w:p w:rsidR="002D271D" w:rsidRPr="00E2771E" w:rsidRDefault="002D271D" w:rsidP="003A7D72">
            <w:pPr>
              <w:keepNext/>
              <w:keepLines/>
              <w:jc w:val="left"/>
              <w:rPr>
                <w:rFonts w:ascii="Arial Narrow" w:hAnsi="Arial Narrow"/>
                <w:b/>
                <w:color w:val="000000"/>
                <w:sz w:val="20"/>
                <w:szCs w:val="18"/>
              </w:rPr>
            </w:pPr>
            <w:r>
              <w:rPr>
                <w:rFonts w:ascii="Arial Narrow" w:hAnsi="Arial Narrow"/>
                <w:b/>
                <w:color w:val="000000"/>
                <w:sz w:val="20"/>
                <w:szCs w:val="18"/>
              </w:rPr>
              <w:t>BENEFITS</w:t>
            </w:r>
          </w:p>
        </w:tc>
      </w:tr>
      <w:tr w:rsidR="002D271D" w:rsidRPr="00E2771E" w:rsidTr="0029025B">
        <w:trPr>
          <w:cantSplit/>
        </w:trPr>
        <w:tc>
          <w:tcPr>
            <w:tcW w:w="1290" w:type="pct"/>
            <w:gridSpan w:val="2"/>
            <w:shd w:val="clear" w:color="auto" w:fill="auto"/>
            <w:vAlign w:val="center"/>
          </w:tcPr>
          <w:p w:rsidR="002D271D" w:rsidRPr="0024505F" w:rsidRDefault="000B4A7A" w:rsidP="003A7D72">
            <w:pPr>
              <w:keepNext/>
              <w:keepLines/>
              <w:jc w:val="left"/>
              <w:rPr>
                <w:rFonts w:ascii="Arial Narrow" w:hAnsi="Arial Narrow"/>
                <w:b/>
                <w:color w:val="000000"/>
                <w:sz w:val="20"/>
                <w:szCs w:val="18"/>
              </w:rPr>
            </w:pPr>
            <w:r>
              <w:rPr>
                <w:rFonts w:ascii="Arial Narrow" w:hAnsi="Arial Narrow"/>
                <w:b/>
                <w:color w:val="000000"/>
                <w:sz w:val="20"/>
                <w:szCs w:val="18"/>
              </w:rPr>
              <w:t>Final results</w:t>
            </w:r>
          </w:p>
        </w:tc>
        <w:tc>
          <w:tcPr>
            <w:tcW w:w="759" w:type="pct"/>
            <w:gridSpan w:val="2"/>
            <w:vAlign w:val="center"/>
          </w:tcPr>
          <w:p w:rsidR="002D271D" w:rsidRPr="00E2771E" w:rsidRDefault="002D271D" w:rsidP="003A7D72">
            <w:pPr>
              <w:keepNext/>
              <w:keepLines/>
              <w:jc w:val="center"/>
              <w:rPr>
                <w:rFonts w:ascii="Arial Narrow" w:hAnsi="Arial Narrow"/>
                <w:b/>
                <w:color w:val="000000"/>
                <w:sz w:val="20"/>
                <w:szCs w:val="18"/>
              </w:rPr>
            </w:pPr>
            <w:r>
              <w:rPr>
                <w:rFonts w:ascii="Arial Narrow" w:hAnsi="Arial Narrow"/>
                <w:b/>
                <w:color w:val="000000"/>
                <w:sz w:val="20"/>
                <w:szCs w:val="18"/>
              </w:rPr>
              <w:t>Idelalisib + rituximab</w:t>
            </w:r>
          </w:p>
        </w:tc>
        <w:tc>
          <w:tcPr>
            <w:tcW w:w="1097" w:type="pct"/>
            <w:gridSpan w:val="2"/>
            <w:vAlign w:val="center"/>
          </w:tcPr>
          <w:p w:rsidR="00B039A8" w:rsidRDefault="002D271D" w:rsidP="003A7D72">
            <w:pPr>
              <w:keepNext/>
              <w:keepLines/>
              <w:jc w:val="center"/>
              <w:rPr>
                <w:rFonts w:ascii="Arial Narrow" w:hAnsi="Arial Narrow"/>
                <w:b/>
                <w:color w:val="000000"/>
                <w:sz w:val="20"/>
                <w:szCs w:val="18"/>
              </w:rPr>
            </w:pPr>
            <w:r>
              <w:rPr>
                <w:rFonts w:ascii="Arial Narrow" w:hAnsi="Arial Narrow"/>
                <w:b/>
                <w:color w:val="000000"/>
                <w:sz w:val="20"/>
                <w:szCs w:val="18"/>
              </w:rPr>
              <w:t xml:space="preserve">Placebo + </w:t>
            </w:r>
          </w:p>
          <w:p w:rsidR="002D271D" w:rsidRPr="00E2771E" w:rsidRDefault="002D681D" w:rsidP="003A7D72">
            <w:pPr>
              <w:keepNext/>
              <w:keepLines/>
              <w:jc w:val="center"/>
              <w:rPr>
                <w:rFonts w:ascii="Arial Narrow" w:hAnsi="Arial Narrow"/>
                <w:b/>
                <w:color w:val="000000"/>
                <w:sz w:val="20"/>
                <w:szCs w:val="18"/>
              </w:rPr>
            </w:pPr>
            <w:r>
              <w:rPr>
                <w:rFonts w:ascii="Arial Narrow" w:hAnsi="Arial Narrow"/>
                <w:b/>
                <w:color w:val="000000"/>
                <w:sz w:val="20"/>
                <w:szCs w:val="18"/>
              </w:rPr>
              <w:t>R</w:t>
            </w:r>
            <w:r w:rsidR="002D271D">
              <w:rPr>
                <w:rFonts w:ascii="Arial Narrow" w:hAnsi="Arial Narrow"/>
                <w:b/>
                <w:color w:val="000000"/>
                <w:sz w:val="20"/>
                <w:szCs w:val="18"/>
              </w:rPr>
              <w:t>ituximab</w:t>
            </w:r>
          </w:p>
        </w:tc>
        <w:tc>
          <w:tcPr>
            <w:tcW w:w="675" w:type="pct"/>
            <w:gridSpan w:val="2"/>
            <w:vAlign w:val="center"/>
          </w:tcPr>
          <w:p w:rsidR="002D271D" w:rsidRPr="00B25D74" w:rsidRDefault="002D271D" w:rsidP="003A7D72">
            <w:pPr>
              <w:keepNext/>
              <w:keepLines/>
              <w:jc w:val="center"/>
              <w:rPr>
                <w:rFonts w:ascii="Arial Narrow" w:hAnsi="Arial Narrow"/>
                <w:b/>
                <w:color w:val="000000"/>
                <w:sz w:val="20"/>
                <w:szCs w:val="18"/>
              </w:rPr>
            </w:pPr>
            <w:r w:rsidRPr="00B25D74">
              <w:rPr>
                <w:rFonts w:ascii="Arial Narrow" w:hAnsi="Arial Narrow"/>
                <w:b/>
                <w:color w:val="000000"/>
                <w:sz w:val="20"/>
                <w:szCs w:val="18"/>
              </w:rPr>
              <w:t>Absolute Difference</w:t>
            </w:r>
          </w:p>
        </w:tc>
        <w:tc>
          <w:tcPr>
            <w:tcW w:w="1180" w:type="pct"/>
            <w:gridSpan w:val="2"/>
            <w:vAlign w:val="center"/>
          </w:tcPr>
          <w:p w:rsidR="002D271D" w:rsidRPr="00E2771E" w:rsidRDefault="002D271D" w:rsidP="003A7D72">
            <w:pPr>
              <w:keepNext/>
              <w:keepLines/>
              <w:jc w:val="center"/>
              <w:rPr>
                <w:rFonts w:ascii="Arial Narrow" w:hAnsi="Arial Narrow"/>
                <w:b/>
                <w:color w:val="000000"/>
                <w:sz w:val="20"/>
                <w:szCs w:val="18"/>
              </w:rPr>
            </w:pPr>
            <w:r w:rsidRPr="00E2771E">
              <w:rPr>
                <w:rFonts w:ascii="Arial Narrow" w:hAnsi="Arial Narrow"/>
                <w:b/>
                <w:color w:val="000000"/>
                <w:sz w:val="20"/>
                <w:szCs w:val="18"/>
              </w:rPr>
              <w:t>HR (95% CI)</w:t>
            </w:r>
          </w:p>
        </w:tc>
      </w:tr>
      <w:tr w:rsidR="002D271D" w:rsidRPr="00E2771E" w:rsidTr="00A34711">
        <w:trPr>
          <w:cantSplit/>
        </w:trPr>
        <w:tc>
          <w:tcPr>
            <w:tcW w:w="5000" w:type="pct"/>
            <w:gridSpan w:val="10"/>
            <w:shd w:val="clear" w:color="auto" w:fill="auto"/>
            <w:vAlign w:val="center"/>
          </w:tcPr>
          <w:p w:rsidR="002D271D" w:rsidRPr="0024505F" w:rsidRDefault="002D271D" w:rsidP="003A7D72">
            <w:pPr>
              <w:keepNext/>
              <w:keepLines/>
              <w:jc w:val="left"/>
              <w:rPr>
                <w:rFonts w:ascii="Arial Narrow" w:hAnsi="Arial Narrow"/>
                <w:b/>
                <w:color w:val="000000"/>
                <w:sz w:val="20"/>
                <w:szCs w:val="18"/>
                <w:vertAlign w:val="superscript"/>
              </w:rPr>
            </w:pPr>
            <w:r w:rsidRPr="00B25D74">
              <w:rPr>
                <w:rFonts w:ascii="Arial Narrow" w:hAnsi="Arial Narrow"/>
                <w:b/>
                <w:color w:val="000000"/>
                <w:sz w:val="20"/>
                <w:szCs w:val="18"/>
              </w:rPr>
              <w:t xml:space="preserve">Progression free survival </w:t>
            </w:r>
            <w:r w:rsidR="002A0FC9">
              <w:rPr>
                <w:rFonts w:ascii="Arial Narrow" w:hAnsi="Arial Narrow"/>
                <w:b/>
                <w:color w:val="000000"/>
                <w:sz w:val="20"/>
                <w:szCs w:val="18"/>
                <w:vertAlign w:val="superscript"/>
              </w:rPr>
              <w:t>a</w:t>
            </w:r>
          </w:p>
        </w:tc>
      </w:tr>
      <w:tr w:rsidR="002D271D" w:rsidRPr="00701D9E" w:rsidTr="0029025B">
        <w:trPr>
          <w:cantSplit/>
        </w:trPr>
        <w:tc>
          <w:tcPr>
            <w:tcW w:w="1290" w:type="pct"/>
            <w:gridSpan w:val="2"/>
            <w:shd w:val="clear" w:color="auto" w:fill="auto"/>
            <w:vAlign w:val="center"/>
          </w:tcPr>
          <w:p w:rsidR="002D271D" w:rsidRPr="00E2771E" w:rsidRDefault="002D271D" w:rsidP="003A7D72">
            <w:pPr>
              <w:keepNext/>
              <w:keepLines/>
              <w:jc w:val="left"/>
              <w:rPr>
                <w:rFonts w:ascii="Arial Narrow" w:hAnsi="Arial Narrow"/>
                <w:color w:val="000000"/>
                <w:sz w:val="20"/>
                <w:szCs w:val="18"/>
              </w:rPr>
            </w:pPr>
            <w:r>
              <w:rPr>
                <w:rFonts w:ascii="Arial Narrow" w:hAnsi="Arial Narrow"/>
                <w:color w:val="000000"/>
                <w:sz w:val="20"/>
                <w:szCs w:val="18"/>
              </w:rPr>
              <w:t>Progressed disease; n/N (%)</w:t>
            </w:r>
          </w:p>
        </w:tc>
        <w:tc>
          <w:tcPr>
            <w:tcW w:w="759" w:type="pct"/>
            <w:gridSpan w:val="2"/>
          </w:tcPr>
          <w:p w:rsidR="002D271D" w:rsidRPr="00E2771E" w:rsidRDefault="002D271D" w:rsidP="003A7D72">
            <w:pPr>
              <w:keepNext/>
              <w:keepLines/>
              <w:jc w:val="center"/>
              <w:rPr>
                <w:rFonts w:ascii="Arial Narrow" w:hAnsi="Arial Narrow"/>
                <w:sz w:val="20"/>
              </w:rPr>
            </w:pPr>
            <w:r>
              <w:rPr>
                <w:rFonts w:ascii="Arial Narrow" w:hAnsi="Arial Narrow"/>
                <w:sz w:val="20"/>
              </w:rPr>
              <w:t>25/110 (22.7%)</w:t>
            </w:r>
          </w:p>
        </w:tc>
        <w:tc>
          <w:tcPr>
            <w:tcW w:w="1097" w:type="pct"/>
            <w:gridSpan w:val="2"/>
          </w:tcPr>
          <w:p w:rsidR="002D271D" w:rsidRPr="00E2771E" w:rsidRDefault="002D271D" w:rsidP="003A7D72">
            <w:pPr>
              <w:keepNext/>
              <w:keepLines/>
              <w:jc w:val="center"/>
              <w:rPr>
                <w:rFonts w:ascii="Arial Narrow" w:hAnsi="Arial Narrow"/>
                <w:sz w:val="20"/>
              </w:rPr>
            </w:pPr>
            <w:r>
              <w:rPr>
                <w:rFonts w:ascii="Arial Narrow" w:hAnsi="Arial Narrow"/>
                <w:sz w:val="20"/>
              </w:rPr>
              <w:t>70/110 (63.6%)</w:t>
            </w:r>
          </w:p>
        </w:tc>
        <w:tc>
          <w:tcPr>
            <w:tcW w:w="675" w:type="pct"/>
            <w:gridSpan w:val="2"/>
            <w:vAlign w:val="center"/>
          </w:tcPr>
          <w:p w:rsidR="002D271D" w:rsidRPr="00E2771E" w:rsidRDefault="002D271D" w:rsidP="003A7D72">
            <w:pPr>
              <w:keepNext/>
              <w:keepLines/>
              <w:jc w:val="center"/>
              <w:rPr>
                <w:rFonts w:ascii="Arial Narrow" w:hAnsi="Arial Narrow"/>
                <w:color w:val="000000"/>
                <w:sz w:val="20"/>
                <w:szCs w:val="18"/>
              </w:rPr>
            </w:pPr>
            <w:r w:rsidRPr="00E2771E">
              <w:rPr>
                <w:rFonts w:ascii="Arial Narrow" w:hAnsi="Arial Narrow"/>
                <w:color w:val="000000"/>
                <w:sz w:val="20"/>
                <w:szCs w:val="18"/>
              </w:rPr>
              <w:t>-</w:t>
            </w:r>
          </w:p>
        </w:tc>
        <w:tc>
          <w:tcPr>
            <w:tcW w:w="1180" w:type="pct"/>
            <w:gridSpan w:val="2"/>
            <w:vAlign w:val="center"/>
          </w:tcPr>
          <w:p w:rsidR="002D271D" w:rsidRPr="00701D9E" w:rsidRDefault="002D271D" w:rsidP="003A7D72">
            <w:pPr>
              <w:keepNext/>
              <w:keepLines/>
              <w:jc w:val="center"/>
              <w:rPr>
                <w:rFonts w:ascii="Arial Narrow" w:hAnsi="Arial Narrow"/>
                <w:b/>
                <w:color w:val="000000"/>
                <w:sz w:val="20"/>
                <w:szCs w:val="18"/>
              </w:rPr>
            </w:pPr>
            <w:r w:rsidRPr="00701D9E">
              <w:rPr>
                <w:rFonts w:ascii="Arial Narrow" w:hAnsi="Arial Narrow"/>
                <w:b/>
                <w:color w:val="000000"/>
                <w:sz w:val="20"/>
                <w:szCs w:val="18"/>
              </w:rPr>
              <w:t>0.1</w:t>
            </w:r>
            <w:r>
              <w:rPr>
                <w:rFonts w:ascii="Arial Narrow" w:hAnsi="Arial Narrow"/>
                <w:b/>
                <w:color w:val="000000"/>
                <w:sz w:val="20"/>
                <w:szCs w:val="18"/>
              </w:rPr>
              <w:t>5 (0.09</w:t>
            </w:r>
            <w:r w:rsidRPr="00701D9E">
              <w:rPr>
                <w:rFonts w:ascii="Arial Narrow" w:hAnsi="Arial Narrow"/>
                <w:b/>
                <w:color w:val="000000"/>
                <w:sz w:val="20"/>
                <w:szCs w:val="18"/>
              </w:rPr>
              <w:t>, 0.3)</w:t>
            </w:r>
          </w:p>
        </w:tc>
      </w:tr>
      <w:tr w:rsidR="002D271D" w:rsidRPr="00E2771E" w:rsidTr="0029025B">
        <w:trPr>
          <w:cantSplit/>
        </w:trPr>
        <w:tc>
          <w:tcPr>
            <w:tcW w:w="1290" w:type="pct"/>
            <w:gridSpan w:val="2"/>
            <w:shd w:val="clear" w:color="auto" w:fill="auto"/>
            <w:vAlign w:val="center"/>
          </w:tcPr>
          <w:p w:rsidR="002D271D" w:rsidRPr="00E2771E" w:rsidRDefault="002D271D" w:rsidP="003A7D72">
            <w:pPr>
              <w:keepNext/>
              <w:keepLines/>
              <w:jc w:val="left"/>
              <w:rPr>
                <w:rFonts w:ascii="Arial Narrow" w:hAnsi="Arial Narrow"/>
                <w:color w:val="000000"/>
                <w:sz w:val="20"/>
                <w:szCs w:val="18"/>
              </w:rPr>
            </w:pPr>
            <w:r w:rsidRPr="00E2771E">
              <w:rPr>
                <w:rFonts w:ascii="Arial Narrow" w:hAnsi="Arial Narrow"/>
                <w:color w:val="000000"/>
                <w:sz w:val="20"/>
                <w:szCs w:val="18"/>
              </w:rPr>
              <w:t>Median (m</w:t>
            </w:r>
            <w:r>
              <w:rPr>
                <w:rFonts w:ascii="Arial Narrow" w:hAnsi="Arial Narrow"/>
                <w:color w:val="000000"/>
                <w:sz w:val="20"/>
                <w:szCs w:val="18"/>
              </w:rPr>
              <w:t>on</w:t>
            </w:r>
            <w:r w:rsidRPr="00E2771E">
              <w:rPr>
                <w:rFonts w:ascii="Arial Narrow" w:hAnsi="Arial Narrow"/>
                <w:color w:val="000000"/>
                <w:sz w:val="20"/>
                <w:szCs w:val="18"/>
              </w:rPr>
              <w:t>ths)</w:t>
            </w:r>
          </w:p>
        </w:tc>
        <w:tc>
          <w:tcPr>
            <w:tcW w:w="759" w:type="pct"/>
            <w:gridSpan w:val="2"/>
          </w:tcPr>
          <w:p w:rsidR="002D271D" w:rsidRPr="00E2771E" w:rsidRDefault="002D271D" w:rsidP="003A7D72">
            <w:pPr>
              <w:keepNext/>
              <w:keepLines/>
              <w:jc w:val="center"/>
              <w:rPr>
                <w:rFonts w:ascii="Arial Narrow" w:hAnsi="Arial Narrow"/>
                <w:sz w:val="20"/>
              </w:rPr>
            </w:pPr>
            <w:r>
              <w:rPr>
                <w:rFonts w:ascii="Arial Narrow" w:hAnsi="Arial Narrow"/>
                <w:sz w:val="20"/>
              </w:rPr>
              <w:t>19.4 (12.3, NR)</w:t>
            </w:r>
          </w:p>
        </w:tc>
        <w:tc>
          <w:tcPr>
            <w:tcW w:w="1097" w:type="pct"/>
            <w:gridSpan w:val="2"/>
          </w:tcPr>
          <w:p w:rsidR="002D271D" w:rsidRPr="00E2771E" w:rsidRDefault="002D271D" w:rsidP="003A7D72">
            <w:pPr>
              <w:keepNext/>
              <w:keepLines/>
              <w:jc w:val="center"/>
              <w:rPr>
                <w:rFonts w:ascii="Arial Narrow" w:hAnsi="Arial Narrow"/>
                <w:sz w:val="20"/>
              </w:rPr>
            </w:pPr>
            <w:r>
              <w:rPr>
                <w:rFonts w:ascii="Arial Narrow" w:hAnsi="Arial Narrow"/>
                <w:sz w:val="20"/>
              </w:rPr>
              <w:t>6.5 (4.0, 7.3)</w:t>
            </w:r>
          </w:p>
        </w:tc>
        <w:tc>
          <w:tcPr>
            <w:tcW w:w="675" w:type="pct"/>
            <w:gridSpan w:val="2"/>
            <w:vAlign w:val="center"/>
          </w:tcPr>
          <w:p w:rsidR="002D271D" w:rsidRPr="00E2771E" w:rsidRDefault="002D271D" w:rsidP="003A7D72">
            <w:pPr>
              <w:keepNext/>
              <w:keepLines/>
              <w:jc w:val="center"/>
              <w:rPr>
                <w:rFonts w:ascii="Arial Narrow" w:hAnsi="Arial Narrow"/>
                <w:color w:val="000000"/>
                <w:sz w:val="20"/>
                <w:szCs w:val="18"/>
              </w:rPr>
            </w:pPr>
            <w:r>
              <w:rPr>
                <w:rFonts w:ascii="Arial Narrow" w:hAnsi="Arial Narrow"/>
                <w:color w:val="000000"/>
                <w:sz w:val="20"/>
                <w:szCs w:val="18"/>
              </w:rPr>
              <w:t>NC</w:t>
            </w:r>
          </w:p>
        </w:tc>
        <w:tc>
          <w:tcPr>
            <w:tcW w:w="1180" w:type="pct"/>
            <w:gridSpan w:val="2"/>
            <w:vAlign w:val="center"/>
          </w:tcPr>
          <w:p w:rsidR="002D271D" w:rsidRPr="00E2771E" w:rsidRDefault="002D271D" w:rsidP="003A7D72">
            <w:pPr>
              <w:keepNext/>
              <w:keepLines/>
              <w:jc w:val="center"/>
              <w:rPr>
                <w:rFonts w:ascii="Arial Narrow" w:hAnsi="Arial Narrow"/>
                <w:color w:val="000000"/>
                <w:sz w:val="20"/>
                <w:szCs w:val="18"/>
              </w:rPr>
            </w:pPr>
            <w:r w:rsidRPr="00E2771E">
              <w:rPr>
                <w:rFonts w:ascii="Arial Narrow" w:hAnsi="Arial Narrow"/>
                <w:color w:val="000000"/>
                <w:sz w:val="20"/>
                <w:szCs w:val="18"/>
              </w:rPr>
              <w:t>-</w:t>
            </w:r>
          </w:p>
        </w:tc>
      </w:tr>
      <w:tr w:rsidR="002D271D" w:rsidRPr="002B5D05" w:rsidTr="00A34711">
        <w:trPr>
          <w:cantSplit/>
        </w:trPr>
        <w:tc>
          <w:tcPr>
            <w:tcW w:w="5000" w:type="pct"/>
            <w:gridSpan w:val="10"/>
            <w:shd w:val="clear" w:color="auto" w:fill="auto"/>
            <w:vAlign w:val="center"/>
          </w:tcPr>
          <w:p w:rsidR="002D271D" w:rsidRPr="0024505F" w:rsidRDefault="002D271D" w:rsidP="003A7D72">
            <w:pPr>
              <w:keepNext/>
              <w:keepLines/>
              <w:jc w:val="left"/>
              <w:rPr>
                <w:rFonts w:ascii="Arial Narrow" w:hAnsi="Arial Narrow"/>
                <w:b/>
                <w:color w:val="000000"/>
                <w:sz w:val="20"/>
                <w:szCs w:val="18"/>
                <w:vertAlign w:val="superscript"/>
              </w:rPr>
            </w:pPr>
            <w:r w:rsidRPr="002B5D05">
              <w:rPr>
                <w:rFonts w:ascii="Arial Narrow" w:hAnsi="Arial Narrow"/>
                <w:b/>
                <w:color w:val="000000"/>
                <w:sz w:val="20"/>
                <w:szCs w:val="18"/>
              </w:rPr>
              <w:t>Overall survival</w:t>
            </w:r>
            <w:r>
              <w:rPr>
                <w:rFonts w:ascii="Arial Narrow" w:hAnsi="Arial Narrow"/>
                <w:b/>
                <w:color w:val="000000"/>
                <w:sz w:val="20"/>
                <w:szCs w:val="18"/>
              </w:rPr>
              <w:t xml:space="preserve"> </w:t>
            </w:r>
            <w:r w:rsidR="002A0FC9">
              <w:rPr>
                <w:rFonts w:ascii="Arial Narrow" w:hAnsi="Arial Narrow"/>
                <w:b/>
                <w:color w:val="000000"/>
                <w:sz w:val="20"/>
                <w:szCs w:val="18"/>
                <w:vertAlign w:val="superscript"/>
              </w:rPr>
              <w:t>a</w:t>
            </w:r>
          </w:p>
        </w:tc>
      </w:tr>
      <w:tr w:rsidR="002D271D" w:rsidRPr="00701D9E" w:rsidTr="0029025B">
        <w:trPr>
          <w:cantSplit/>
        </w:trPr>
        <w:tc>
          <w:tcPr>
            <w:tcW w:w="1290" w:type="pct"/>
            <w:gridSpan w:val="2"/>
            <w:shd w:val="clear" w:color="auto" w:fill="auto"/>
            <w:vAlign w:val="center"/>
          </w:tcPr>
          <w:p w:rsidR="002D271D" w:rsidRPr="00E2771E" w:rsidRDefault="002D271D" w:rsidP="003A7D72">
            <w:pPr>
              <w:keepNext/>
              <w:keepLines/>
              <w:jc w:val="left"/>
              <w:rPr>
                <w:rFonts w:ascii="Arial Narrow" w:hAnsi="Arial Narrow"/>
                <w:color w:val="000000"/>
                <w:sz w:val="20"/>
                <w:szCs w:val="18"/>
              </w:rPr>
            </w:pPr>
            <w:r>
              <w:rPr>
                <w:rFonts w:ascii="Arial Narrow" w:hAnsi="Arial Narrow"/>
                <w:color w:val="000000"/>
                <w:sz w:val="20"/>
                <w:szCs w:val="18"/>
              </w:rPr>
              <w:t>Died; n/N (%)</w:t>
            </w:r>
          </w:p>
        </w:tc>
        <w:tc>
          <w:tcPr>
            <w:tcW w:w="759" w:type="pct"/>
            <w:gridSpan w:val="2"/>
            <w:vAlign w:val="center"/>
          </w:tcPr>
          <w:p w:rsidR="002D271D" w:rsidRDefault="002D271D" w:rsidP="003A7D72">
            <w:pPr>
              <w:keepNext/>
              <w:keepLines/>
              <w:jc w:val="center"/>
              <w:rPr>
                <w:rFonts w:ascii="Arial Narrow" w:hAnsi="Arial Narrow"/>
                <w:sz w:val="20"/>
              </w:rPr>
            </w:pPr>
            <w:r>
              <w:rPr>
                <w:rFonts w:ascii="Arial Narrow" w:hAnsi="Arial Narrow"/>
                <w:sz w:val="20"/>
              </w:rPr>
              <w:t>17/110 (15.5%)</w:t>
            </w:r>
          </w:p>
        </w:tc>
        <w:tc>
          <w:tcPr>
            <w:tcW w:w="1097" w:type="pct"/>
            <w:gridSpan w:val="2"/>
            <w:vAlign w:val="center"/>
          </w:tcPr>
          <w:p w:rsidR="002D271D" w:rsidRDefault="002D271D" w:rsidP="003A7D72">
            <w:pPr>
              <w:keepNext/>
              <w:keepLines/>
              <w:jc w:val="center"/>
              <w:rPr>
                <w:rFonts w:ascii="Arial Narrow" w:hAnsi="Arial Narrow"/>
                <w:sz w:val="20"/>
              </w:rPr>
            </w:pPr>
            <w:r>
              <w:rPr>
                <w:rFonts w:ascii="Arial Narrow" w:hAnsi="Arial Narrow"/>
                <w:sz w:val="20"/>
              </w:rPr>
              <w:t>40/110 (36.4%)</w:t>
            </w:r>
          </w:p>
        </w:tc>
        <w:tc>
          <w:tcPr>
            <w:tcW w:w="675" w:type="pct"/>
            <w:gridSpan w:val="2"/>
            <w:vAlign w:val="center"/>
          </w:tcPr>
          <w:p w:rsidR="002D271D" w:rsidRPr="00E2771E" w:rsidRDefault="002D271D" w:rsidP="003A7D72">
            <w:pPr>
              <w:keepNext/>
              <w:keepLines/>
              <w:jc w:val="center"/>
              <w:rPr>
                <w:rFonts w:ascii="Arial Narrow" w:hAnsi="Arial Narrow"/>
                <w:color w:val="000000"/>
                <w:sz w:val="20"/>
                <w:szCs w:val="18"/>
              </w:rPr>
            </w:pPr>
            <w:r>
              <w:rPr>
                <w:rFonts w:ascii="Arial Narrow" w:hAnsi="Arial Narrow"/>
                <w:color w:val="000000"/>
                <w:sz w:val="20"/>
                <w:szCs w:val="18"/>
              </w:rPr>
              <w:t>-</w:t>
            </w:r>
          </w:p>
        </w:tc>
        <w:tc>
          <w:tcPr>
            <w:tcW w:w="1180" w:type="pct"/>
            <w:gridSpan w:val="2"/>
            <w:vAlign w:val="center"/>
          </w:tcPr>
          <w:p w:rsidR="00B039A8" w:rsidRDefault="00B039A8" w:rsidP="003A7D72">
            <w:pPr>
              <w:keepNext/>
              <w:keepLines/>
              <w:jc w:val="left"/>
              <w:rPr>
                <w:rFonts w:ascii="Arial Narrow" w:hAnsi="Arial Narrow"/>
                <w:b/>
                <w:sz w:val="20"/>
              </w:rPr>
            </w:pPr>
            <w:r>
              <w:rPr>
                <w:rFonts w:ascii="Arial Narrow" w:hAnsi="Arial Narrow"/>
                <w:b/>
                <w:sz w:val="20"/>
              </w:rPr>
              <w:t>ITT: 0.34 (0.19, 0.60)</w:t>
            </w:r>
          </w:p>
          <w:p w:rsidR="002D271D" w:rsidRPr="0024505F" w:rsidRDefault="00B039A8" w:rsidP="003A7D72">
            <w:pPr>
              <w:keepNext/>
              <w:keepLines/>
              <w:jc w:val="left"/>
              <w:rPr>
                <w:rFonts w:ascii="Arial Narrow" w:hAnsi="Arial Narrow"/>
                <w:b/>
                <w:color w:val="000000"/>
                <w:sz w:val="20"/>
                <w:szCs w:val="18"/>
                <w:vertAlign w:val="superscript"/>
              </w:rPr>
            </w:pPr>
            <w:r>
              <w:rPr>
                <w:rFonts w:ascii="Arial Narrow" w:hAnsi="Arial Narrow"/>
                <w:b/>
                <w:sz w:val="20"/>
              </w:rPr>
              <w:t xml:space="preserve">RPSFT: </w:t>
            </w:r>
            <w:r w:rsidR="002D271D" w:rsidRPr="00EB5EE0">
              <w:rPr>
                <w:rFonts w:ascii="Arial Narrow" w:hAnsi="Arial Narrow"/>
                <w:b/>
                <w:sz w:val="20"/>
              </w:rPr>
              <w:t>0.20 (0.10,</w:t>
            </w:r>
            <w:r w:rsidR="002D271D" w:rsidRPr="000A3F1A">
              <w:rPr>
                <w:rFonts w:ascii="Arial Narrow" w:hAnsi="Arial Narrow"/>
                <w:b/>
                <w:i/>
                <w:sz w:val="20"/>
              </w:rPr>
              <w:t>0.36</w:t>
            </w:r>
            <w:r w:rsidR="002D271D" w:rsidRPr="00EB5EE0">
              <w:rPr>
                <w:rFonts w:ascii="Arial Narrow" w:hAnsi="Arial Narrow"/>
                <w:b/>
                <w:sz w:val="20"/>
              </w:rPr>
              <w:t>)</w:t>
            </w:r>
          </w:p>
        </w:tc>
      </w:tr>
      <w:tr w:rsidR="00B039A8" w:rsidRPr="00701D9E" w:rsidTr="0029025B">
        <w:trPr>
          <w:cantSplit/>
        </w:trPr>
        <w:tc>
          <w:tcPr>
            <w:tcW w:w="1290" w:type="pct"/>
            <w:gridSpan w:val="2"/>
            <w:shd w:val="clear" w:color="auto" w:fill="auto"/>
            <w:vAlign w:val="center"/>
          </w:tcPr>
          <w:p w:rsidR="00B039A8" w:rsidRDefault="00B039A8" w:rsidP="003A7D72">
            <w:pPr>
              <w:keepNext/>
              <w:keepLines/>
              <w:jc w:val="left"/>
              <w:rPr>
                <w:rFonts w:ascii="Arial Narrow" w:hAnsi="Arial Narrow"/>
                <w:color w:val="000000"/>
                <w:sz w:val="20"/>
                <w:szCs w:val="18"/>
              </w:rPr>
            </w:pPr>
            <w:r w:rsidRPr="00E2771E">
              <w:rPr>
                <w:rFonts w:ascii="Arial Narrow" w:hAnsi="Arial Narrow"/>
                <w:color w:val="000000"/>
                <w:sz w:val="20"/>
                <w:szCs w:val="18"/>
              </w:rPr>
              <w:t>Median (m</w:t>
            </w:r>
            <w:r>
              <w:rPr>
                <w:rFonts w:ascii="Arial Narrow" w:hAnsi="Arial Narrow"/>
                <w:color w:val="000000"/>
                <w:sz w:val="20"/>
                <w:szCs w:val="18"/>
              </w:rPr>
              <w:t>on</w:t>
            </w:r>
            <w:r w:rsidRPr="00E2771E">
              <w:rPr>
                <w:rFonts w:ascii="Arial Narrow" w:hAnsi="Arial Narrow"/>
                <w:color w:val="000000"/>
                <w:sz w:val="20"/>
                <w:szCs w:val="18"/>
              </w:rPr>
              <w:t>ths)</w:t>
            </w:r>
          </w:p>
        </w:tc>
        <w:tc>
          <w:tcPr>
            <w:tcW w:w="759" w:type="pct"/>
            <w:gridSpan w:val="2"/>
            <w:vAlign w:val="center"/>
          </w:tcPr>
          <w:p w:rsidR="00B039A8" w:rsidRDefault="00B039A8" w:rsidP="003A7D72">
            <w:pPr>
              <w:keepNext/>
              <w:keepLines/>
              <w:jc w:val="center"/>
              <w:rPr>
                <w:rFonts w:ascii="Arial Narrow" w:hAnsi="Arial Narrow"/>
                <w:sz w:val="20"/>
              </w:rPr>
            </w:pPr>
            <w:r w:rsidRPr="00C57DF1">
              <w:rPr>
                <w:rFonts w:ascii="Arial Narrow" w:hAnsi="Arial Narrow"/>
                <w:sz w:val="20"/>
              </w:rPr>
              <w:t>NR (NR, NR)</w:t>
            </w:r>
          </w:p>
        </w:tc>
        <w:tc>
          <w:tcPr>
            <w:tcW w:w="1097" w:type="pct"/>
            <w:gridSpan w:val="2"/>
            <w:vAlign w:val="center"/>
          </w:tcPr>
          <w:p w:rsidR="00B039A8" w:rsidRDefault="00B039A8" w:rsidP="003A7D72">
            <w:pPr>
              <w:keepNext/>
              <w:keepLines/>
              <w:jc w:val="left"/>
              <w:rPr>
                <w:rFonts w:ascii="Arial Narrow" w:hAnsi="Arial Narrow"/>
                <w:sz w:val="20"/>
              </w:rPr>
            </w:pPr>
            <w:r>
              <w:rPr>
                <w:rFonts w:ascii="Arial Narrow" w:hAnsi="Arial Narrow"/>
                <w:sz w:val="20"/>
              </w:rPr>
              <w:t>ITT:</w:t>
            </w:r>
            <w:r w:rsidR="00360099">
              <w:rPr>
                <w:rFonts w:ascii="Arial Narrow" w:hAnsi="Arial Narrow"/>
                <w:sz w:val="20"/>
              </w:rPr>
              <w:t xml:space="preserve"> </w:t>
            </w:r>
            <w:r w:rsidRPr="00C57DF1">
              <w:rPr>
                <w:rFonts w:ascii="Arial Narrow" w:hAnsi="Arial Narrow"/>
                <w:sz w:val="20"/>
              </w:rPr>
              <w:t>20.8 (14.8, NR)</w:t>
            </w:r>
          </w:p>
          <w:p w:rsidR="00B039A8" w:rsidRDefault="00B039A8" w:rsidP="003A7D72">
            <w:pPr>
              <w:keepNext/>
              <w:keepLines/>
              <w:jc w:val="left"/>
              <w:rPr>
                <w:rFonts w:ascii="Arial Narrow" w:hAnsi="Arial Narrow"/>
                <w:sz w:val="20"/>
              </w:rPr>
            </w:pPr>
            <w:r>
              <w:rPr>
                <w:rFonts w:ascii="Arial Narrow" w:hAnsi="Arial Narrow"/>
                <w:sz w:val="20"/>
              </w:rPr>
              <w:t xml:space="preserve">RPSFT: </w:t>
            </w:r>
            <w:r w:rsidRPr="00C57DF1">
              <w:rPr>
                <w:rFonts w:ascii="Arial Narrow" w:hAnsi="Arial Narrow"/>
                <w:sz w:val="20"/>
              </w:rPr>
              <w:t>11.6 (8.2, NR)</w:t>
            </w:r>
          </w:p>
        </w:tc>
        <w:tc>
          <w:tcPr>
            <w:tcW w:w="675" w:type="pct"/>
            <w:gridSpan w:val="2"/>
            <w:vAlign w:val="center"/>
          </w:tcPr>
          <w:p w:rsidR="00B039A8" w:rsidRDefault="00B039A8" w:rsidP="003A7D72">
            <w:pPr>
              <w:keepNext/>
              <w:keepLines/>
              <w:jc w:val="center"/>
              <w:rPr>
                <w:rFonts w:ascii="Arial Narrow" w:hAnsi="Arial Narrow"/>
                <w:color w:val="000000"/>
                <w:sz w:val="20"/>
                <w:szCs w:val="18"/>
              </w:rPr>
            </w:pPr>
            <w:r>
              <w:rPr>
                <w:rFonts w:ascii="Arial Narrow" w:hAnsi="Arial Narrow"/>
                <w:color w:val="000000"/>
                <w:sz w:val="20"/>
                <w:szCs w:val="18"/>
              </w:rPr>
              <w:t>NC</w:t>
            </w:r>
          </w:p>
        </w:tc>
        <w:tc>
          <w:tcPr>
            <w:tcW w:w="1180" w:type="pct"/>
            <w:gridSpan w:val="2"/>
            <w:vAlign w:val="center"/>
          </w:tcPr>
          <w:p w:rsidR="00B039A8" w:rsidRDefault="00B039A8" w:rsidP="003A7D72">
            <w:pPr>
              <w:keepNext/>
              <w:keepLines/>
              <w:jc w:val="left"/>
              <w:rPr>
                <w:rFonts w:ascii="Arial Narrow" w:hAnsi="Arial Narrow"/>
                <w:b/>
                <w:sz w:val="20"/>
              </w:rPr>
            </w:pPr>
          </w:p>
        </w:tc>
      </w:tr>
      <w:tr w:rsidR="00B039A8" w:rsidRPr="00E2771E" w:rsidTr="00A34711">
        <w:trPr>
          <w:cantSplit/>
        </w:trPr>
        <w:tc>
          <w:tcPr>
            <w:tcW w:w="5000" w:type="pct"/>
            <w:gridSpan w:val="10"/>
            <w:tcBorders>
              <w:top w:val="double" w:sz="4" w:space="0" w:color="auto"/>
            </w:tcBorders>
            <w:shd w:val="clear" w:color="auto" w:fill="auto"/>
            <w:vAlign w:val="center"/>
          </w:tcPr>
          <w:p w:rsidR="00B039A8" w:rsidRPr="00E2771E" w:rsidRDefault="00B039A8" w:rsidP="003A7D72">
            <w:pPr>
              <w:keepNext/>
              <w:keepLines/>
              <w:jc w:val="left"/>
              <w:rPr>
                <w:rFonts w:ascii="Arial Narrow" w:hAnsi="Arial Narrow"/>
                <w:b/>
                <w:color w:val="000000"/>
                <w:sz w:val="20"/>
                <w:szCs w:val="18"/>
              </w:rPr>
            </w:pPr>
            <w:r w:rsidRPr="00E2771E">
              <w:rPr>
                <w:rFonts w:ascii="Arial Narrow" w:hAnsi="Arial Narrow"/>
                <w:b/>
                <w:color w:val="000000"/>
                <w:sz w:val="20"/>
                <w:szCs w:val="18"/>
              </w:rPr>
              <w:t>H</w:t>
            </w:r>
            <w:r>
              <w:rPr>
                <w:rFonts w:ascii="Arial Narrow" w:hAnsi="Arial Narrow"/>
                <w:b/>
                <w:color w:val="000000"/>
                <w:sz w:val="20"/>
                <w:szCs w:val="18"/>
              </w:rPr>
              <w:t>ARMS</w:t>
            </w:r>
          </w:p>
        </w:tc>
      </w:tr>
      <w:tr w:rsidR="00B039A8" w:rsidRPr="00E2771E" w:rsidTr="0029025B">
        <w:trPr>
          <w:cantSplit/>
          <w:trHeight w:val="70"/>
        </w:trPr>
        <w:tc>
          <w:tcPr>
            <w:tcW w:w="615" w:type="pct"/>
            <w:vMerge w:val="restart"/>
            <w:shd w:val="clear" w:color="auto" w:fill="auto"/>
            <w:vAlign w:val="center"/>
          </w:tcPr>
          <w:p w:rsidR="00B039A8" w:rsidRPr="00E2771E" w:rsidRDefault="00B039A8" w:rsidP="003A7D72">
            <w:pPr>
              <w:keepNext/>
              <w:keepLines/>
              <w:jc w:val="left"/>
              <w:rPr>
                <w:rFonts w:ascii="Arial Narrow" w:hAnsi="Arial Narrow"/>
                <w:b/>
                <w:color w:val="000000"/>
                <w:sz w:val="20"/>
                <w:szCs w:val="18"/>
              </w:rPr>
            </w:pPr>
            <w:r>
              <w:rPr>
                <w:rFonts w:ascii="Arial Narrow" w:hAnsi="Arial Narrow"/>
                <w:b/>
                <w:color w:val="000000"/>
                <w:sz w:val="20"/>
                <w:szCs w:val="18"/>
              </w:rPr>
              <w:t>Grade ≥3</w:t>
            </w:r>
          </w:p>
        </w:tc>
        <w:tc>
          <w:tcPr>
            <w:tcW w:w="674" w:type="pct"/>
            <w:vMerge w:val="restart"/>
            <w:vAlign w:val="center"/>
          </w:tcPr>
          <w:p w:rsidR="00B039A8" w:rsidRPr="00E2771E" w:rsidRDefault="00B039A8" w:rsidP="003A7D72">
            <w:pPr>
              <w:keepNext/>
              <w:keepLines/>
              <w:jc w:val="center"/>
              <w:rPr>
                <w:rFonts w:ascii="Arial Narrow" w:hAnsi="Arial Narrow"/>
                <w:b/>
                <w:color w:val="000000"/>
                <w:sz w:val="20"/>
                <w:szCs w:val="18"/>
              </w:rPr>
            </w:pPr>
            <w:r>
              <w:rPr>
                <w:rFonts w:ascii="Arial Narrow" w:hAnsi="Arial Narrow"/>
                <w:b/>
                <w:color w:val="000000"/>
                <w:sz w:val="20"/>
                <w:szCs w:val="18"/>
              </w:rPr>
              <w:t>Idelalisib + rituximab</w:t>
            </w:r>
          </w:p>
        </w:tc>
        <w:tc>
          <w:tcPr>
            <w:tcW w:w="676" w:type="pct"/>
            <w:vMerge w:val="restart"/>
            <w:vAlign w:val="center"/>
          </w:tcPr>
          <w:p w:rsidR="00B039A8" w:rsidRPr="00E2771E" w:rsidRDefault="00B039A8" w:rsidP="003A7D72">
            <w:pPr>
              <w:keepNext/>
              <w:keepLines/>
              <w:jc w:val="center"/>
              <w:rPr>
                <w:rFonts w:ascii="Arial Narrow" w:hAnsi="Arial Narrow"/>
                <w:b/>
                <w:color w:val="000000"/>
                <w:sz w:val="20"/>
                <w:szCs w:val="18"/>
              </w:rPr>
            </w:pPr>
            <w:r>
              <w:rPr>
                <w:rFonts w:ascii="Arial Narrow" w:hAnsi="Arial Narrow"/>
                <w:b/>
                <w:color w:val="000000"/>
                <w:sz w:val="20"/>
                <w:szCs w:val="18"/>
              </w:rPr>
              <w:t>Placebo + rituximab</w:t>
            </w:r>
            <w:r w:rsidR="004D67EC">
              <w:rPr>
                <w:rFonts w:ascii="Arial Narrow" w:hAnsi="Arial Narrow"/>
                <w:b/>
                <w:color w:val="000000"/>
                <w:sz w:val="20"/>
                <w:szCs w:val="18"/>
              </w:rPr>
              <w:t xml:space="preserve"> </w:t>
            </w:r>
            <w:r w:rsidR="004D67EC" w:rsidRPr="004D67EC">
              <w:rPr>
                <w:rFonts w:ascii="Arial Narrow" w:hAnsi="Arial Narrow"/>
                <w:b/>
                <w:color w:val="000000"/>
                <w:sz w:val="20"/>
                <w:szCs w:val="18"/>
                <w:vertAlign w:val="superscript"/>
              </w:rPr>
              <w:t>b</w:t>
            </w:r>
          </w:p>
        </w:tc>
        <w:tc>
          <w:tcPr>
            <w:tcW w:w="843" w:type="pct"/>
            <w:gridSpan w:val="2"/>
            <w:vMerge w:val="restart"/>
            <w:vAlign w:val="center"/>
          </w:tcPr>
          <w:p w:rsidR="00B039A8" w:rsidRPr="00E2771E" w:rsidRDefault="00B039A8" w:rsidP="003A7D72">
            <w:pPr>
              <w:keepNext/>
              <w:keepLines/>
              <w:jc w:val="center"/>
              <w:rPr>
                <w:rFonts w:ascii="Arial Narrow" w:hAnsi="Arial Narrow"/>
                <w:b/>
                <w:color w:val="000000"/>
                <w:sz w:val="20"/>
                <w:szCs w:val="18"/>
              </w:rPr>
            </w:pPr>
            <w:r w:rsidRPr="00E2771E">
              <w:rPr>
                <w:rFonts w:ascii="Arial Narrow" w:hAnsi="Arial Narrow"/>
                <w:b/>
                <w:color w:val="000000"/>
                <w:sz w:val="20"/>
                <w:szCs w:val="18"/>
              </w:rPr>
              <w:t>RR</w:t>
            </w:r>
          </w:p>
          <w:p w:rsidR="00B039A8" w:rsidRPr="00E2771E" w:rsidRDefault="00B039A8" w:rsidP="003A7D72">
            <w:pPr>
              <w:keepNext/>
              <w:keepLines/>
              <w:jc w:val="center"/>
              <w:rPr>
                <w:rFonts w:ascii="Arial Narrow" w:hAnsi="Arial Narrow"/>
                <w:b/>
                <w:color w:val="000000"/>
                <w:sz w:val="20"/>
                <w:szCs w:val="18"/>
              </w:rPr>
            </w:pPr>
            <w:r w:rsidRPr="00E2771E">
              <w:rPr>
                <w:rFonts w:ascii="Arial Narrow" w:hAnsi="Arial Narrow"/>
                <w:b/>
                <w:color w:val="000000"/>
                <w:sz w:val="20"/>
                <w:szCs w:val="18"/>
              </w:rPr>
              <w:t>(95% CI)</w:t>
            </w:r>
          </w:p>
        </w:tc>
        <w:tc>
          <w:tcPr>
            <w:tcW w:w="1265" w:type="pct"/>
            <w:gridSpan w:val="4"/>
            <w:vAlign w:val="center"/>
          </w:tcPr>
          <w:p w:rsidR="00B039A8" w:rsidRPr="00E2771E" w:rsidRDefault="00B039A8" w:rsidP="003A7D72">
            <w:pPr>
              <w:keepNext/>
              <w:keepLines/>
              <w:jc w:val="center"/>
              <w:rPr>
                <w:rFonts w:ascii="Arial Narrow" w:hAnsi="Arial Narrow"/>
                <w:b/>
                <w:color w:val="000000"/>
                <w:sz w:val="20"/>
                <w:szCs w:val="18"/>
              </w:rPr>
            </w:pPr>
            <w:r w:rsidRPr="00E2771E">
              <w:rPr>
                <w:rFonts w:ascii="Arial Narrow" w:hAnsi="Arial Narrow"/>
                <w:b/>
                <w:color w:val="000000"/>
                <w:sz w:val="20"/>
                <w:szCs w:val="18"/>
              </w:rPr>
              <w:t>Event rate/100 patients</w:t>
            </w:r>
          </w:p>
        </w:tc>
        <w:tc>
          <w:tcPr>
            <w:tcW w:w="927" w:type="pct"/>
            <w:vMerge w:val="restart"/>
            <w:vAlign w:val="center"/>
          </w:tcPr>
          <w:p w:rsidR="00B039A8" w:rsidRPr="00E2771E" w:rsidRDefault="00B039A8" w:rsidP="003A7D72">
            <w:pPr>
              <w:keepNext/>
              <w:keepLines/>
              <w:jc w:val="center"/>
              <w:rPr>
                <w:rFonts w:ascii="Arial Narrow" w:hAnsi="Arial Narrow"/>
                <w:b/>
                <w:color w:val="000000"/>
                <w:sz w:val="20"/>
                <w:szCs w:val="18"/>
              </w:rPr>
            </w:pPr>
            <w:r w:rsidRPr="00E2771E">
              <w:rPr>
                <w:rFonts w:ascii="Arial Narrow" w:hAnsi="Arial Narrow"/>
                <w:b/>
                <w:color w:val="000000"/>
                <w:sz w:val="20"/>
                <w:szCs w:val="18"/>
              </w:rPr>
              <w:t>RD</w:t>
            </w:r>
          </w:p>
          <w:p w:rsidR="00B039A8" w:rsidRPr="00E2771E" w:rsidRDefault="00B039A8" w:rsidP="003A7D72">
            <w:pPr>
              <w:keepNext/>
              <w:keepLines/>
              <w:jc w:val="center"/>
              <w:rPr>
                <w:rFonts w:ascii="Arial Narrow" w:hAnsi="Arial Narrow"/>
                <w:b/>
                <w:color w:val="000000"/>
                <w:sz w:val="20"/>
                <w:szCs w:val="18"/>
              </w:rPr>
            </w:pPr>
            <w:r w:rsidRPr="00E2771E">
              <w:rPr>
                <w:rFonts w:ascii="Arial Narrow" w:hAnsi="Arial Narrow"/>
                <w:b/>
                <w:color w:val="000000"/>
                <w:sz w:val="20"/>
                <w:szCs w:val="18"/>
              </w:rPr>
              <w:t>(95% CI)</w:t>
            </w:r>
          </w:p>
        </w:tc>
      </w:tr>
      <w:tr w:rsidR="00B039A8" w:rsidRPr="00E2771E" w:rsidTr="0029025B">
        <w:trPr>
          <w:cantSplit/>
          <w:trHeight w:val="390"/>
        </w:trPr>
        <w:tc>
          <w:tcPr>
            <w:tcW w:w="615" w:type="pct"/>
            <w:vMerge/>
            <w:shd w:val="clear" w:color="auto" w:fill="auto"/>
            <w:vAlign w:val="center"/>
          </w:tcPr>
          <w:p w:rsidR="00B039A8" w:rsidRPr="00E2771E" w:rsidRDefault="00B039A8" w:rsidP="003A7D72">
            <w:pPr>
              <w:keepNext/>
              <w:keepLines/>
              <w:jc w:val="left"/>
              <w:rPr>
                <w:rFonts w:ascii="Arial Narrow" w:hAnsi="Arial Narrow"/>
                <w:b/>
                <w:color w:val="000000"/>
                <w:sz w:val="20"/>
                <w:szCs w:val="18"/>
              </w:rPr>
            </w:pPr>
          </w:p>
        </w:tc>
        <w:tc>
          <w:tcPr>
            <w:tcW w:w="674" w:type="pct"/>
            <w:vMerge/>
            <w:vAlign w:val="center"/>
          </w:tcPr>
          <w:p w:rsidR="00B039A8" w:rsidRPr="00E2771E" w:rsidRDefault="00B039A8" w:rsidP="003A7D72">
            <w:pPr>
              <w:keepNext/>
              <w:keepLines/>
              <w:jc w:val="center"/>
              <w:rPr>
                <w:rFonts w:ascii="Arial Narrow" w:hAnsi="Arial Narrow"/>
                <w:b/>
                <w:color w:val="000000"/>
                <w:sz w:val="20"/>
                <w:szCs w:val="18"/>
              </w:rPr>
            </w:pPr>
          </w:p>
        </w:tc>
        <w:tc>
          <w:tcPr>
            <w:tcW w:w="676" w:type="pct"/>
            <w:vMerge/>
            <w:vAlign w:val="center"/>
          </w:tcPr>
          <w:p w:rsidR="00B039A8" w:rsidRPr="00E2771E" w:rsidRDefault="00B039A8" w:rsidP="003A7D72">
            <w:pPr>
              <w:keepNext/>
              <w:keepLines/>
              <w:jc w:val="center"/>
              <w:rPr>
                <w:rFonts w:ascii="Arial Narrow" w:hAnsi="Arial Narrow"/>
                <w:b/>
                <w:color w:val="000000"/>
                <w:sz w:val="20"/>
                <w:szCs w:val="18"/>
              </w:rPr>
            </w:pPr>
          </w:p>
        </w:tc>
        <w:tc>
          <w:tcPr>
            <w:tcW w:w="843" w:type="pct"/>
            <w:gridSpan w:val="2"/>
            <w:vMerge/>
            <w:vAlign w:val="center"/>
          </w:tcPr>
          <w:p w:rsidR="00B039A8" w:rsidRPr="00E2771E" w:rsidRDefault="00B039A8" w:rsidP="003A7D72">
            <w:pPr>
              <w:keepNext/>
              <w:keepLines/>
              <w:jc w:val="center"/>
              <w:rPr>
                <w:rFonts w:ascii="Arial Narrow" w:hAnsi="Arial Narrow"/>
                <w:b/>
                <w:color w:val="000000"/>
                <w:sz w:val="20"/>
                <w:szCs w:val="18"/>
              </w:rPr>
            </w:pPr>
          </w:p>
        </w:tc>
        <w:tc>
          <w:tcPr>
            <w:tcW w:w="678" w:type="pct"/>
            <w:gridSpan w:val="2"/>
            <w:vAlign w:val="center"/>
          </w:tcPr>
          <w:p w:rsidR="00B039A8" w:rsidRPr="00E2771E" w:rsidRDefault="00B039A8" w:rsidP="003A7D72">
            <w:pPr>
              <w:keepNext/>
              <w:keepLines/>
              <w:jc w:val="center"/>
              <w:rPr>
                <w:rFonts w:ascii="Arial Narrow" w:hAnsi="Arial Narrow"/>
                <w:b/>
                <w:color w:val="000000"/>
                <w:sz w:val="20"/>
                <w:szCs w:val="18"/>
              </w:rPr>
            </w:pPr>
            <w:r>
              <w:rPr>
                <w:rFonts w:ascii="Arial Narrow" w:hAnsi="Arial Narrow"/>
                <w:b/>
                <w:color w:val="000000"/>
                <w:sz w:val="20"/>
                <w:szCs w:val="18"/>
              </w:rPr>
              <w:t>Idelalisib + rituximab</w:t>
            </w:r>
          </w:p>
        </w:tc>
        <w:tc>
          <w:tcPr>
            <w:tcW w:w="587" w:type="pct"/>
            <w:gridSpan w:val="2"/>
            <w:vAlign w:val="center"/>
          </w:tcPr>
          <w:p w:rsidR="00B039A8" w:rsidRPr="00E2771E" w:rsidRDefault="00B039A8" w:rsidP="003A7D72">
            <w:pPr>
              <w:keepNext/>
              <w:keepLines/>
              <w:jc w:val="center"/>
              <w:rPr>
                <w:rFonts w:ascii="Arial Narrow" w:hAnsi="Arial Narrow"/>
                <w:b/>
                <w:color w:val="000000"/>
                <w:sz w:val="20"/>
                <w:szCs w:val="18"/>
              </w:rPr>
            </w:pPr>
            <w:r>
              <w:rPr>
                <w:rFonts w:ascii="Arial Narrow" w:hAnsi="Arial Narrow"/>
                <w:b/>
                <w:color w:val="000000"/>
                <w:sz w:val="20"/>
                <w:szCs w:val="18"/>
              </w:rPr>
              <w:t>Placebo + rituximab</w:t>
            </w:r>
          </w:p>
        </w:tc>
        <w:tc>
          <w:tcPr>
            <w:tcW w:w="927" w:type="pct"/>
            <w:vMerge/>
            <w:vAlign w:val="center"/>
          </w:tcPr>
          <w:p w:rsidR="00B039A8" w:rsidRPr="00E2771E" w:rsidRDefault="00B039A8" w:rsidP="003A7D72">
            <w:pPr>
              <w:keepNext/>
              <w:keepLines/>
              <w:jc w:val="center"/>
              <w:rPr>
                <w:rFonts w:ascii="Arial Narrow" w:hAnsi="Arial Narrow"/>
                <w:b/>
                <w:color w:val="000000"/>
                <w:sz w:val="20"/>
                <w:szCs w:val="18"/>
              </w:rPr>
            </w:pPr>
          </w:p>
        </w:tc>
      </w:tr>
      <w:tr w:rsidR="00B039A8" w:rsidRPr="00926FCF" w:rsidTr="0029025B">
        <w:trPr>
          <w:cantSplit/>
        </w:trPr>
        <w:tc>
          <w:tcPr>
            <w:tcW w:w="615" w:type="pct"/>
            <w:shd w:val="clear" w:color="auto" w:fill="auto"/>
            <w:vAlign w:val="center"/>
          </w:tcPr>
          <w:p w:rsidR="00B039A8" w:rsidRPr="00926FCF" w:rsidRDefault="00B039A8" w:rsidP="003A7D72">
            <w:pPr>
              <w:keepNext/>
              <w:keepLines/>
              <w:jc w:val="left"/>
              <w:rPr>
                <w:rFonts w:ascii="Arial Narrow" w:hAnsi="Arial Narrow"/>
                <w:color w:val="000000"/>
                <w:sz w:val="20"/>
                <w:szCs w:val="18"/>
              </w:rPr>
            </w:pPr>
            <w:r w:rsidRPr="00926FCF">
              <w:rPr>
                <w:rFonts w:ascii="Arial Narrow" w:hAnsi="Arial Narrow"/>
                <w:color w:val="000000"/>
                <w:sz w:val="20"/>
                <w:szCs w:val="18"/>
              </w:rPr>
              <w:t>Neutropenia</w:t>
            </w:r>
          </w:p>
        </w:tc>
        <w:tc>
          <w:tcPr>
            <w:tcW w:w="674" w:type="pct"/>
            <w:vAlign w:val="center"/>
          </w:tcPr>
          <w:p w:rsidR="00B039A8" w:rsidRPr="00926FCF" w:rsidRDefault="00B039A8" w:rsidP="003A7D72">
            <w:pPr>
              <w:keepNext/>
              <w:keepLines/>
              <w:jc w:val="center"/>
              <w:rPr>
                <w:rFonts w:ascii="Arial Narrow" w:hAnsi="Arial Narrow"/>
                <w:color w:val="000000"/>
                <w:sz w:val="20"/>
                <w:szCs w:val="18"/>
              </w:rPr>
            </w:pPr>
            <w:r w:rsidRPr="00926FCF">
              <w:rPr>
                <w:rFonts w:ascii="Arial Narrow" w:hAnsi="Arial Narrow"/>
                <w:color w:val="000000"/>
                <w:sz w:val="20"/>
                <w:szCs w:val="18"/>
              </w:rPr>
              <w:t>25/110</w:t>
            </w:r>
          </w:p>
        </w:tc>
        <w:tc>
          <w:tcPr>
            <w:tcW w:w="676" w:type="pct"/>
            <w:vAlign w:val="center"/>
          </w:tcPr>
          <w:p w:rsidR="00B039A8" w:rsidRPr="00926FCF" w:rsidRDefault="00B039A8" w:rsidP="003A7D72">
            <w:pPr>
              <w:keepNext/>
              <w:keepLines/>
              <w:jc w:val="center"/>
              <w:rPr>
                <w:rFonts w:ascii="Arial Narrow" w:hAnsi="Arial Narrow"/>
                <w:color w:val="000000"/>
                <w:sz w:val="20"/>
                <w:szCs w:val="18"/>
              </w:rPr>
            </w:pPr>
            <w:r w:rsidRPr="00926FCF">
              <w:rPr>
                <w:rFonts w:ascii="Arial Narrow" w:hAnsi="Arial Narrow"/>
                <w:color w:val="000000"/>
                <w:sz w:val="20"/>
                <w:szCs w:val="18"/>
              </w:rPr>
              <w:t>18/108</w:t>
            </w:r>
          </w:p>
        </w:tc>
        <w:tc>
          <w:tcPr>
            <w:tcW w:w="843" w:type="pct"/>
            <w:gridSpan w:val="2"/>
            <w:vAlign w:val="center"/>
          </w:tcPr>
          <w:p w:rsidR="00B039A8" w:rsidRPr="00926FCF" w:rsidRDefault="002274DE" w:rsidP="003A7D72">
            <w:pPr>
              <w:keepNext/>
              <w:keepLines/>
              <w:jc w:val="center"/>
              <w:rPr>
                <w:rFonts w:ascii="Arial Narrow" w:hAnsi="Arial Narrow"/>
                <w:color w:val="000000"/>
                <w:sz w:val="20"/>
                <w:szCs w:val="18"/>
              </w:rPr>
            </w:pPr>
            <w:r w:rsidRPr="00926FCF">
              <w:rPr>
                <w:rFonts w:ascii="Arial Narrow" w:hAnsi="Arial Narrow"/>
                <w:color w:val="000000"/>
                <w:sz w:val="20"/>
                <w:szCs w:val="18"/>
              </w:rPr>
              <w:t>1.36 (0.79, 2.35)</w:t>
            </w:r>
          </w:p>
        </w:tc>
        <w:tc>
          <w:tcPr>
            <w:tcW w:w="678" w:type="pct"/>
            <w:gridSpan w:val="2"/>
            <w:vAlign w:val="center"/>
          </w:tcPr>
          <w:p w:rsidR="00B039A8" w:rsidRPr="00926FCF" w:rsidRDefault="00B039A8" w:rsidP="003A7D72">
            <w:pPr>
              <w:keepNext/>
              <w:keepLines/>
              <w:jc w:val="center"/>
              <w:rPr>
                <w:rFonts w:ascii="Arial Narrow" w:hAnsi="Arial Narrow"/>
                <w:color w:val="000000"/>
                <w:sz w:val="20"/>
                <w:szCs w:val="18"/>
              </w:rPr>
            </w:pPr>
            <w:r w:rsidRPr="00926FCF">
              <w:rPr>
                <w:rFonts w:ascii="Arial Narrow" w:hAnsi="Arial Narrow"/>
                <w:color w:val="000000"/>
                <w:sz w:val="20"/>
                <w:szCs w:val="18"/>
              </w:rPr>
              <w:t>22.7</w:t>
            </w:r>
          </w:p>
        </w:tc>
        <w:tc>
          <w:tcPr>
            <w:tcW w:w="587" w:type="pct"/>
            <w:gridSpan w:val="2"/>
            <w:vAlign w:val="center"/>
          </w:tcPr>
          <w:p w:rsidR="00B039A8" w:rsidRPr="00926FCF" w:rsidRDefault="00B039A8" w:rsidP="003A7D72">
            <w:pPr>
              <w:keepNext/>
              <w:keepLines/>
              <w:jc w:val="center"/>
              <w:rPr>
                <w:rFonts w:ascii="Arial Narrow" w:hAnsi="Arial Narrow"/>
                <w:color w:val="000000"/>
                <w:sz w:val="20"/>
                <w:szCs w:val="18"/>
              </w:rPr>
            </w:pPr>
            <w:r w:rsidRPr="00926FCF">
              <w:rPr>
                <w:rFonts w:ascii="Arial Narrow" w:hAnsi="Arial Narrow"/>
                <w:color w:val="000000"/>
                <w:sz w:val="20"/>
                <w:szCs w:val="18"/>
              </w:rPr>
              <w:t>16.7</w:t>
            </w:r>
          </w:p>
        </w:tc>
        <w:tc>
          <w:tcPr>
            <w:tcW w:w="927" w:type="pct"/>
            <w:vAlign w:val="center"/>
          </w:tcPr>
          <w:p w:rsidR="00B039A8" w:rsidRPr="00926FCF" w:rsidRDefault="00B039A8" w:rsidP="003A7D72">
            <w:pPr>
              <w:keepNext/>
              <w:keepLines/>
              <w:jc w:val="center"/>
              <w:rPr>
                <w:rFonts w:ascii="Arial Narrow" w:hAnsi="Arial Narrow"/>
                <w:color w:val="000000"/>
                <w:sz w:val="20"/>
                <w:szCs w:val="18"/>
              </w:rPr>
            </w:pPr>
            <w:r w:rsidRPr="00926FCF">
              <w:rPr>
                <w:rFonts w:ascii="Arial Narrow" w:hAnsi="Arial Narrow"/>
                <w:color w:val="000000"/>
                <w:sz w:val="20"/>
                <w:szCs w:val="18"/>
              </w:rPr>
              <w:t>0.06 (-0.04, 0.17)</w:t>
            </w:r>
          </w:p>
        </w:tc>
      </w:tr>
      <w:tr w:rsidR="00B039A8" w:rsidRPr="00926FCF" w:rsidTr="0029025B">
        <w:trPr>
          <w:cantSplit/>
        </w:trPr>
        <w:tc>
          <w:tcPr>
            <w:tcW w:w="615" w:type="pct"/>
            <w:shd w:val="clear" w:color="auto" w:fill="auto"/>
            <w:vAlign w:val="center"/>
          </w:tcPr>
          <w:p w:rsidR="00B039A8" w:rsidRPr="00926FCF" w:rsidRDefault="00B039A8" w:rsidP="003A7D72">
            <w:pPr>
              <w:keepNext/>
              <w:keepLines/>
              <w:jc w:val="left"/>
              <w:rPr>
                <w:rFonts w:ascii="Arial Narrow" w:hAnsi="Arial Narrow"/>
                <w:color w:val="000000"/>
                <w:sz w:val="20"/>
                <w:szCs w:val="18"/>
              </w:rPr>
            </w:pPr>
            <w:r w:rsidRPr="00926FCF">
              <w:rPr>
                <w:rFonts w:ascii="Arial Narrow" w:hAnsi="Arial Narrow"/>
                <w:color w:val="000000"/>
                <w:sz w:val="20"/>
                <w:szCs w:val="18"/>
              </w:rPr>
              <w:t>Pneumonia</w:t>
            </w:r>
          </w:p>
        </w:tc>
        <w:tc>
          <w:tcPr>
            <w:tcW w:w="674" w:type="pct"/>
            <w:vAlign w:val="center"/>
          </w:tcPr>
          <w:p w:rsidR="00B039A8" w:rsidRPr="00926FCF" w:rsidRDefault="00B039A8" w:rsidP="003A7D72">
            <w:pPr>
              <w:keepNext/>
              <w:keepLines/>
              <w:jc w:val="center"/>
              <w:rPr>
                <w:rFonts w:ascii="Arial Narrow" w:hAnsi="Arial Narrow"/>
                <w:color w:val="000000"/>
                <w:sz w:val="20"/>
                <w:szCs w:val="18"/>
              </w:rPr>
            </w:pPr>
            <w:r w:rsidRPr="00926FCF">
              <w:rPr>
                <w:rFonts w:ascii="Arial Narrow" w:hAnsi="Arial Narrow"/>
                <w:color w:val="000000"/>
                <w:sz w:val="20"/>
                <w:szCs w:val="18"/>
              </w:rPr>
              <w:t>11/110</w:t>
            </w:r>
          </w:p>
        </w:tc>
        <w:tc>
          <w:tcPr>
            <w:tcW w:w="676" w:type="pct"/>
            <w:vAlign w:val="center"/>
          </w:tcPr>
          <w:p w:rsidR="00B039A8" w:rsidRPr="00926FCF" w:rsidRDefault="00B039A8" w:rsidP="003A7D72">
            <w:pPr>
              <w:keepNext/>
              <w:keepLines/>
              <w:jc w:val="center"/>
              <w:rPr>
                <w:rFonts w:ascii="Arial Narrow" w:hAnsi="Arial Narrow"/>
                <w:color w:val="000000"/>
                <w:sz w:val="20"/>
                <w:szCs w:val="18"/>
              </w:rPr>
            </w:pPr>
            <w:r w:rsidRPr="00926FCF">
              <w:rPr>
                <w:rFonts w:ascii="Arial Narrow" w:hAnsi="Arial Narrow"/>
                <w:color w:val="000000"/>
                <w:sz w:val="20"/>
                <w:szCs w:val="18"/>
              </w:rPr>
              <w:t>10/108</w:t>
            </w:r>
          </w:p>
        </w:tc>
        <w:tc>
          <w:tcPr>
            <w:tcW w:w="843" w:type="pct"/>
            <w:gridSpan w:val="2"/>
            <w:vAlign w:val="center"/>
          </w:tcPr>
          <w:p w:rsidR="00B039A8" w:rsidRPr="00926FCF" w:rsidRDefault="002274DE" w:rsidP="003A7D72">
            <w:pPr>
              <w:keepNext/>
              <w:keepLines/>
              <w:jc w:val="center"/>
              <w:rPr>
                <w:rFonts w:ascii="Arial Narrow" w:hAnsi="Arial Narrow"/>
                <w:color w:val="000000"/>
                <w:sz w:val="20"/>
                <w:szCs w:val="18"/>
              </w:rPr>
            </w:pPr>
            <w:r w:rsidRPr="00926FCF">
              <w:rPr>
                <w:rFonts w:ascii="Arial Narrow" w:hAnsi="Arial Narrow"/>
                <w:color w:val="000000"/>
                <w:sz w:val="20"/>
                <w:szCs w:val="18"/>
              </w:rPr>
              <w:t>1.08 (0.48, 2.44)</w:t>
            </w:r>
          </w:p>
        </w:tc>
        <w:tc>
          <w:tcPr>
            <w:tcW w:w="678" w:type="pct"/>
            <w:gridSpan w:val="2"/>
            <w:vAlign w:val="center"/>
          </w:tcPr>
          <w:p w:rsidR="00B039A8" w:rsidRPr="00926FCF" w:rsidRDefault="00B039A8" w:rsidP="003A7D72">
            <w:pPr>
              <w:keepNext/>
              <w:keepLines/>
              <w:jc w:val="center"/>
              <w:rPr>
                <w:rFonts w:ascii="Arial Narrow" w:hAnsi="Arial Narrow"/>
                <w:color w:val="000000"/>
                <w:sz w:val="20"/>
                <w:szCs w:val="18"/>
              </w:rPr>
            </w:pPr>
            <w:r w:rsidRPr="00926FCF">
              <w:rPr>
                <w:rFonts w:ascii="Arial Narrow" w:hAnsi="Arial Narrow"/>
                <w:color w:val="000000"/>
                <w:sz w:val="20"/>
                <w:szCs w:val="18"/>
              </w:rPr>
              <w:t>10.0</w:t>
            </w:r>
          </w:p>
        </w:tc>
        <w:tc>
          <w:tcPr>
            <w:tcW w:w="587" w:type="pct"/>
            <w:gridSpan w:val="2"/>
            <w:vAlign w:val="center"/>
          </w:tcPr>
          <w:p w:rsidR="00B039A8" w:rsidRPr="00926FCF" w:rsidRDefault="00B039A8" w:rsidP="003A7D72">
            <w:pPr>
              <w:keepNext/>
              <w:keepLines/>
              <w:jc w:val="center"/>
              <w:rPr>
                <w:rFonts w:ascii="Arial Narrow" w:hAnsi="Arial Narrow"/>
                <w:color w:val="000000"/>
                <w:sz w:val="20"/>
                <w:szCs w:val="18"/>
              </w:rPr>
            </w:pPr>
            <w:r w:rsidRPr="00926FCF">
              <w:rPr>
                <w:rFonts w:ascii="Arial Narrow" w:hAnsi="Arial Narrow"/>
                <w:color w:val="000000"/>
                <w:sz w:val="20"/>
                <w:szCs w:val="18"/>
              </w:rPr>
              <w:t>9.3</w:t>
            </w:r>
          </w:p>
        </w:tc>
        <w:tc>
          <w:tcPr>
            <w:tcW w:w="927" w:type="pct"/>
            <w:vAlign w:val="center"/>
          </w:tcPr>
          <w:p w:rsidR="00B039A8" w:rsidRPr="00926FCF" w:rsidRDefault="00B039A8" w:rsidP="003A7D72">
            <w:pPr>
              <w:keepNext/>
              <w:keepLines/>
              <w:jc w:val="center"/>
              <w:rPr>
                <w:rFonts w:ascii="Arial Narrow" w:hAnsi="Arial Narrow"/>
                <w:color w:val="000000"/>
                <w:sz w:val="20"/>
                <w:szCs w:val="18"/>
              </w:rPr>
            </w:pPr>
            <w:r w:rsidRPr="00926FCF">
              <w:rPr>
                <w:rFonts w:ascii="Arial Narrow" w:hAnsi="Arial Narrow"/>
                <w:color w:val="000000"/>
                <w:sz w:val="20"/>
                <w:szCs w:val="18"/>
              </w:rPr>
              <w:t xml:space="preserve">0.01 (-0.07, 0.09) </w:t>
            </w:r>
          </w:p>
        </w:tc>
      </w:tr>
      <w:tr w:rsidR="00C828D2" w:rsidRPr="00926FCF" w:rsidTr="0029025B">
        <w:trPr>
          <w:cantSplit/>
        </w:trPr>
        <w:tc>
          <w:tcPr>
            <w:tcW w:w="615" w:type="pct"/>
            <w:shd w:val="clear" w:color="auto" w:fill="auto"/>
            <w:vAlign w:val="center"/>
          </w:tcPr>
          <w:p w:rsidR="00C828D2" w:rsidRPr="00926FCF" w:rsidRDefault="00C828D2" w:rsidP="003A7D72">
            <w:pPr>
              <w:keepNext/>
              <w:keepLines/>
              <w:jc w:val="left"/>
              <w:rPr>
                <w:rFonts w:ascii="Arial Narrow" w:hAnsi="Arial Narrow"/>
                <w:color w:val="000000"/>
                <w:sz w:val="20"/>
                <w:szCs w:val="18"/>
              </w:rPr>
            </w:pPr>
            <w:r w:rsidRPr="00926FCF">
              <w:rPr>
                <w:rFonts w:ascii="Arial Narrow" w:hAnsi="Arial Narrow"/>
                <w:color w:val="000000"/>
                <w:sz w:val="20"/>
                <w:szCs w:val="18"/>
              </w:rPr>
              <w:t>Febrile neutropenia</w:t>
            </w:r>
          </w:p>
        </w:tc>
        <w:tc>
          <w:tcPr>
            <w:tcW w:w="674" w:type="pct"/>
            <w:vAlign w:val="center"/>
          </w:tcPr>
          <w:p w:rsidR="00C828D2" w:rsidRPr="00926FCF" w:rsidRDefault="00C828D2" w:rsidP="003A7D72">
            <w:pPr>
              <w:keepNext/>
              <w:keepLines/>
              <w:jc w:val="center"/>
              <w:rPr>
                <w:rFonts w:ascii="Arial Narrow" w:hAnsi="Arial Narrow"/>
                <w:color w:val="000000"/>
                <w:sz w:val="20"/>
                <w:szCs w:val="18"/>
              </w:rPr>
            </w:pPr>
            <w:r w:rsidRPr="00926FCF">
              <w:rPr>
                <w:rFonts w:ascii="Arial Narrow" w:hAnsi="Arial Narrow"/>
                <w:color w:val="000000"/>
                <w:sz w:val="20"/>
                <w:szCs w:val="18"/>
              </w:rPr>
              <w:t>5/110</w:t>
            </w:r>
          </w:p>
        </w:tc>
        <w:tc>
          <w:tcPr>
            <w:tcW w:w="676" w:type="pct"/>
            <w:vAlign w:val="center"/>
          </w:tcPr>
          <w:p w:rsidR="00C828D2" w:rsidRPr="00926FCF" w:rsidRDefault="00C828D2" w:rsidP="003A7D72">
            <w:pPr>
              <w:keepNext/>
              <w:keepLines/>
              <w:jc w:val="center"/>
              <w:rPr>
                <w:rFonts w:ascii="Arial Narrow" w:hAnsi="Arial Narrow"/>
                <w:color w:val="000000"/>
                <w:sz w:val="20"/>
                <w:szCs w:val="18"/>
              </w:rPr>
            </w:pPr>
            <w:r w:rsidRPr="00926FCF">
              <w:rPr>
                <w:rFonts w:ascii="Arial Narrow" w:hAnsi="Arial Narrow"/>
                <w:color w:val="000000"/>
                <w:sz w:val="20"/>
                <w:szCs w:val="18"/>
              </w:rPr>
              <w:t>5/108</w:t>
            </w:r>
          </w:p>
        </w:tc>
        <w:tc>
          <w:tcPr>
            <w:tcW w:w="843" w:type="pct"/>
            <w:gridSpan w:val="2"/>
            <w:vAlign w:val="center"/>
          </w:tcPr>
          <w:p w:rsidR="00C828D2" w:rsidRPr="00926FCF" w:rsidRDefault="00C828D2" w:rsidP="003A7D72">
            <w:pPr>
              <w:keepNext/>
              <w:keepLines/>
              <w:jc w:val="center"/>
              <w:rPr>
                <w:rFonts w:ascii="Arial Narrow" w:hAnsi="Arial Narrow"/>
                <w:color w:val="000000"/>
                <w:sz w:val="20"/>
                <w:szCs w:val="18"/>
              </w:rPr>
            </w:pPr>
            <w:r w:rsidRPr="00926FCF">
              <w:rPr>
                <w:rFonts w:ascii="Arial Narrow" w:hAnsi="Arial Narrow"/>
                <w:color w:val="000000"/>
                <w:sz w:val="20"/>
                <w:szCs w:val="18"/>
              </w:rPr>
              <w:t>0.98 (0.29, 3.30)</w:t>
            </w:r>
          </w:p>
        </w:tc>
        <w:tc>
          <w:tcPr>
            <w:tcW w:w="678" w:type="pct"/>
            <w:gridSpan w:val="2"/>
            <w:vAlign w:val="center"/>
          </w:tcPr>
          <w:p w:rsidR="00C828D2" w:rsidRPr="00926FCF" w:rsidRDefault="00C828D2" w:rsidP="003A7D72">
            <w:pPr>
              <w:keepNext/>
              <w:keepLines/>
              <w:jc w:val="center"/>
              <w:rPr>
                <w:rFonts w:ascii="Arial Narrow" w:hAnsi="Arial Narrow"/>
                <w:color w:val="000000"/>
                <w:sz w:val="20"/>
                <w:szCs w:val="18"/>
              </w:rPr>
            </w:pPr>
            <w:r w:rsidRPr="00926FCF">
              <w:rPr>
                <w:rFonts w:ascii="Arial Narrow" w:hAnsi="Arial Narrow"/>
                <w:color w:val="000000"/>
                <w:sz w:val="20"/>
                <w:szCs w:val="18"/>
              </w:rPr>
              <w:t>4.5</w:t>
            </w:r>
          </w:p>
        </w:tc>
        <w:tc>
          <w:tcPr>
            <w:tcW w:w="587" w:type="pct"/>
            <w:gridSpan w:val="2"/>
            <w:vAlign w:val="center"/>
          </w:tcPr>
          <w:p w:rsidR="00C828D2" w:rsidRPr="00926FCF" w:rsidRDefault="00C828D2" w:rsidP="003A7D72">
            <w:pPr>
              <w:keepNext/>
              <w:keepLines/>
              <w:jc w:val="center"/>
              <w:rPr>
                <w:rFonts w:ascii="Arial Narrow" w:hAnsi="Arial Narrow"/>
                <w:color w:val="000000"/>
                <w:sz w:val="20"/>
                <w:szCs w:val="18"/>
              </w:rPr>
            </w:pPr>
            <w:r w:rsidRPr="00926FCF">
              <w:rPr>
                <w:rFonts w:ascii="Arial Narrow" w:hAnsi="Arial Narrow"/>
                <w:color w:val="000000"/>
                <w:sz w:val="20"/>
                <w:szCs w:val="18"/>
              </w:rPr>
              <w:t>4.6</w:t>
            </w:r>
          </w:p>
        </w:tc>
        <w:tc>
          <w:tcPr>
            <w:tcW w:w="927" w:type="pct"/>
            <w:vAlign w:val="center"/>
          </w:tcPr>
          <w:p w:rsidR="00C828D2" w:rsidRPr="00926FCF" w:rsidRDefault="00C828D2" w:rsidP="003A7D72">
            <w:pPr>
              <w:keepNext/>
              <w:keepLines/>
              <w:jc w:val="center"/>
              <w:rPr>
                <w:rFonts w:ascii="Arial Narrow" w:hAnsi="Arial Narrow"/>
                <w:color w:val="000000"/>
                <w:sz w:val="20"/>
                <w:szCs w:val="18"/>
              </w:rPr>
            </w:pPr>
            <w:r w:rsidRPr="00926FCF">
              <w:rPr>
                <w:rFonts w:ascii="Arial Narrow" w:hAnsi="Arial Narrow"/>
                <w:color w:val="000000"/>
                <w:sz w:val="20"/>
                <w:szCs w:val="18"/>
              </w:rPr>
              <w:t>-0.0008 (-0.06, 0.06)</w:t>
            </w:r>
          </w:p>
        </w:tc>
      </w:tr>
      <w:tr w:rsidR="00B039A8" w:rsidRPr="00926FCF" w:rsidTr="0029025B">
        <w:trPr>
          <w:cantSplit/>
        </w:trPr>
        <w:tc>
          <w:tcPr>
            <w:tcW w:w="615" w:type="pct"/>
            <w:shd w:val="clear" w:color="auto" w:fill="auto"/>
            <w:vAlign w:val="center"/>
          </w:tcPr>
          <w:p w:rsidR="00B039A8" w:rsidRPr="00926FCF" w:rsidRDefault="00B039A8" w:rsidP="003A7D72">
            <w:pPr>
              <w:keepNext/>
              <w:keepLines/>
              <w:jc w:val="left"/>
              <w:rPr>
                <w:rFonts w:ascii="Arial Narrow" w:hAnsi="Arial Narrow"/>
                <w:color w:val="000000"/>
                <w:sz w:val="20"/>
                <w:szCs w:val="18"/>
              </w:rPr>
            </w:pPr>
            <w:r w:rsidRPr="00926FCF">
              <w:rPr>
                <w:rFonts w:ascii="Arial Narrow" w:hAnsi="Arial Narrow"/>
                <w:color w:val="000000"/>
                <w:sz w:val="20"/>
                <w:szCs w:val="18"/>
              </w:rPr>
              <w:t>Sepsis</w:t>
            </w:r>
          </w:p>
        </w:tc>
        <w:tc>
          <w:tcPr>
            <w:tcW w:w="674" w:type="pct"/>
            <w:vAlign w:val="center"/>
          </w:tcPr>
          <w:p w:rsidR="00B039A8" w:rsidRPr="00926FCF" w:rsidRDefault="00B039A8" w:rsidP="003A7D72">
            <w:pPr>
              <w:keepNext/>
              <w:keepLines/>
              <w:jc w:val="center"/>
              <w:rPr>
                <w:rFonts w:ascii="Arial Narrow" w:hAnsi="Arial Narrow"/>
                <w:color w:val="000000"/>
                <w:sz w:val="20"/>
                <w:szCs w:val="18"/>
              </w:rPr>
            </w:pPr>
            <w:r w:rsidRPr="00926FCF">
              <w:rPr>
                <w:rFonts w:ascii="Arial Narrow" w:hAnsi="Arial Narrow"/>
                <w:color w:val="000000"/>
                <w:sz w:val="20"/>
                <w:szCs w:val="18"/>
              </w:rPr>
              <w:t>6/110</w:t>
            </w:r>
          </w:p>
        </w:tc>
        <w:tc>
          <w:tcPr>
            <w:tcW w:w="676" w:type="pct"/>
            <w:vAlign w:val="center"/>
          </w:tcPr>
          <w:p w:rsidR="00B039A8" w:rsidRPr="00926FCF" w:rsidRDefault="00B039A8" w:rsidP="003A7D72">
            <w:pPr>
              <w:keepNext/>
              <w:keepLines/>
              <w:jc w:val="center"/>
              <w:rPr>
                <w:rFonts w:ascii="Arial Narrow" w:hAnsi="Arial Narrow"/>
                <w:color w:val="000000"/>
                <w:sz w:val="20"/>
                <w:szCs w:val="18"/>
              </w:rPr>
            </w:pPr>
            <w:r w:rsidRPr="00926FCF">
              <w:rPr>
                <w:rFonts w:ascii="Arial Narrow" w:hAnsi="Arial Narrow"/>
                <w:color w:val="000000"/>
                <w:sz w:val="20"/>
                <w:szCs w:val="18"/>
              </w:rPr>
              <w:t>3/108</w:t>
            </w:r>
          </w:p>
        </w:tc>
        <w:tc>
          <w:tcPr>
            <w:tcW w:w="843" w:type="pct"/>
            <w:gridSpan w:val="2"/>
            <w:vAlign w:val="center"/>
          </w:tcPr>
          <w:p w:rsidR="00B039A8" w:rsidRPr="00926FCF" w:rsidRDefault="002274DE" w:rsidP="003A7D72">
            <w:pPr>
              <w:keepNext/>
              <w:keepLines/>
              <w:jc w:val="center"/>
              <w:rPr>
                <w:rFonts w:ascii="Arial Narrow" w:hAnsi="Arial Narrow"/>
                <w:color w:val="000000"/>
                <w:sz w:val="20"/>
                <w:szCs w:val="18"/>
              </w:rPr>
            </w:pPr>
            <w:r w:rsidRPr="00926FCF">
              <w:rPr>
                <w:rFonts w:ascii="Arial Narrow" w:hAnsi="Arial Narrow"/>
                <w:color w:val="000000"/>
                <w:sz w:val="20"/>
                <w:szCs w:val="18"/>
              </w:rPr>
              <w:t>1.96 (0.50, 7.65)</w:t>
            </w:r>
          </w:p>
        </w:tc>
        <w:tc>
          <w:tcPr>
            <w:tcW w:w="678" w:type="pct"/>
            <w:gridSpan w:val="2"/>
            <w:vAlign w:val="center"/>
          </w:tcPr>
          <w:p w:rsidR="00B039A8" w:rsidRPr="00926FCF" w:rsidRDefault="00B039A8" w:rsidP="003A7D72">
            <w:pPr>
              <w:keepNext/>
              <w:keepLines/>
              <w:jc w:val="center"/>
              <w:rPr>
                <w:rFonts w:ascii="Arial Narrow" w:hAnsi="Arial Narrow"/>
                <w:color w:val="000000"/>
                <w:sz w:val="20"/>
                <w:szCs w:val="18"/>
              </w:rPr>
            </w:pPr>
            <w:r w:rsidRPr="00926FCF">
              <w:rPr>
                <w:rFonts w:ascii="Arial Narrow" w:hAnsi="Arial Narrow"/>
                <w:color w:val="000000"/>
                <w:sz w:val="20"/>
                <w:szCs w:val="18"/>
              </w:rPr>
              <w:t>5.5</w:t>
            </w:r>
          </w:p>
        </w:tc>
        <w:tc>
          <w:tcPr>
            <w:tcW w:w="587" w:type="pct"/>
            <w:gridSpan w:val="2"/>
            <w:vAlign w:val="center"/>
          </w:tcPr>
          <w:p w:rsidR="00B039A8" w:rsidRPr="00926FCF" w:rsidRDefault="00B039A8" w:rsidP="003A7D72">
            <w:pPr>
              <w:keepNext/>
              <w:keepLines/>
              <w:jc w:val="center"/>
              <w:rPr>
                <w:rFonts w:ascii="Arial Narrow" w:hAnsi="Arial Narrow"/>
                <w:color w:val="000000"/>
                <w:sz w:val="20"/>
                <w:szCs w:val="18"/>
              </w:rPr>
            </w:pPr>
            <w:r w:rsidRPr="00926FCF">
              <w:rPr>
                <w:rFonts w:ascii="Arial Narrow" w:hAnsi="Arial Narrow"/>
                <w:color w:val="000000"/>
                <w:sz w:val="20"/>
                <w:szCs w:val="18"/>
              </w:rPr>
              <w:t>2.8</w:t>
            </w:r>
          </w:p>
        </w:tc>
        <w:tc>
          <w:tcPr>
            <w:tcW w:w="927" w:type="pct"/>
            <w:vAlign w:val="center"/>
          </w:tcPr>
          <w:p w:rsidR="00B039A8" w:rsidRPr="00926FCF" w:rsidRDefault="00B039A8" w:rsidP="003A7D72">
            <w:pPr>
              <w:keepNext/>
              <w:keepLines/>
              <w:jc w:val="center"/>
              <w:rPr>
                <w:rFonts w:ascii="Arial Narrow" w:hAnsi="Arial Narrow"/>
                <w:color w:val="000000"/>
                <w:sz w:val="20"/>
                <w:szCs w:val="18"/>
              </w:rPr>
            </w:pPr>
            <w:r w:rsidRPr="00926FCF">
              <w:rPr>
                <w:rFonts w:ascii="Arial Narrow" w:hAnsi="Arial Narrow"/>
                <w:color w:val="000000"/>
                <w:sz w:val="20"/>
                <w:szCs w:val="18"/>
              </w:rPr>
              <w:t>0.03 (-0.03, 0.21)</w:t>
            </w:r>
          </w:p>
        </w:tc>
      </w:tr>
      <w:tr w:rsidR="00B039A8" w:rsidRPr="00926FCF" w:rsidTr="0029025B">
        <w:trPr>
          <w:cantSplit/>
        </w:trPr>
        <w:tc>
          <w:tcPr>
            <w:tcW w:w="615" w:type="pct"/>
            <w:shd w:val="clear" w:color="auto" w:fill="auto"/>
            <w:vAlign w:val="center"/>
          </w:tcPr>
          <w:p w:rsidR="00B039A8" w:rsidRPr="00926FCF" w:rsidRDefault="00B039A8" w:rsidP="003A7D72">
            <w:pPr>
              <w:keepNext/>
              <w:keepLines/>
              <w:jc w:val="left"/>
              <w:rPr>
                <w:rFonts w:ascii="Arial Narrow" w:hAnsi="Arial Narrow"/>
                <w:color w:val="000000"/>
                <w:sz w:val="20"/>
                <w:szCs w:val="18"/>
              </w:rPr>
            </w:pPr>
            <w:r w:rsidRPr="00926FCF">
              <w:rPr>
                <w:rFonts w:ascii="Arial Narrow" w:hAnsi="Arial Narrow"/>
                <w:color w:val="000000"/>
                <w:sz w:val="20"/>
                <w:szCs w:val="18"/>
              </w:rPr>
              <w:t>Diarrhoea</w:t>
            </w:r>
          </w:p>
        </w:tc>
        <w:tc>
          <w:tcPr>
            <w:tcW w:w="674" w:type="pct"/>
            <w:vAlign w:val="center"/>
          </w:tcPr>
          <w:p w:rsidR="00B039A8" w:rsidRPr="00926FCF" w:rsidRDefault="00B039A8" w:rsidP="003A7D72">
            <w:pPr>
              <w:keepNext/>
              <w:keepLines/>
              <w:jc w:val="center"/>
              <w:rPr>
                <w:rFonts w:ascii="Arial Narrow" w:hAnsi="Arial Narrow"/>
                <w:color w:val="000000"/>
                <w:sz w:val="20"/>
                <w:szCs w:val="18"/>
              </w:rPr>
            </w:pPr>
            <w:r w:rsidRPr="00926FCF">
              <w:rPr>
                <w:rFonts w:ascii="Arial Narrow" w:hAnsi="Arial Narrow"/>
                <w:color w:val="000000"/>
                <w:sz w:val="20"/>
                <w:szCs w:val="18"/>
              </w:rPr>
              <w:t>10/110</w:t>
            </w:r>
          </w:p>
        </w:tc>
        <w:tc>
          <w:tcPr>
            <w:tcW w:w="676" w:type="pct"/>
            <w:vAlign w:val="center"/>
          </w:tcPr>
          <w:p w:rsidR="00B039A8" w:rsidRPr="00926FCF" w:rsidRDefault="00B039A8" w:rsidP="003A7D72">
            <w:pPr>
              <w:keepNext/>
              <w:keepLines/>
              <w:jc w:val="center"/>
              <w:rPr>
                <w:rFonts w:ascii="Arial Narrow" w:hAnsi="Arial Narrow"/>
                <w:color w:val="000000"/>
                <w:sz w:val="20"/>
                <w:szCs w:val="18"/>
              </w:rPr>
            </w:pPr>
            <w:r w:rsidRPr="00926FCF">
              <w:rPr>
                <w:rFonts w:ascii="Arial Narrow" w:hAnsi="Arial Narrow"/>
                <w:color w:val="000000"/>
                <w:sz w:val="20"/>
                <w:szCs w:val="18"/>
              </w:rPr>
              <w:t>0/110</w:t>
            </w:r>
          </w:p>
        </w:tc>
        <w:tc>
          <w:tcPr>
            <w:tcW w:w="843" w:type="pct"/>
            <w:gridSpan w:val="2"/>
            <w:vAlign w:val="center"/>
          </w:tcPr>
          <w:p w:rsidR="00B039A8" w:rsidRPr="00926FCF" w:rsidRDefault="002274DE" w:rsidP="003A7D72">
            <w:pPr>
              <w:keepNext/>
              <w:keepLines/>
              <w:jc w:val="center"/>
              <w:rPr>
                <w:rFonts w:ascii="Arial Narrow" w:hAnsi="Arial Narrow"/>
                <w:b/>
                <w:color w:val="000000"/>
                <w:sz w:val="20"/>
                <w:szCs w:val="18"/>
              </w:rPr>
            </w:pPr>
            <w:r w:rsidRPr="00926FCF">
              <w:rPr>
                <w:rFonts w:ascii="Arial Narrow" w:hAnsi="Arial Narrow"/>
                <w:b/>
                <w:color w:val="000000"/>
                <w:sz w:val="20"/>
                <w:szCs w:val="18"/>
              </w:rPr>
              <w:t>21 (1.25, 354.03)</w:t>
            </w:r>
          </w:p>
        </w:tc>
        <w:tc>
          <w:tcPr>
            <w:tcW w:w="678" w:type="pct"/>
            <w:gridSpan w:val="2"/>
            <w:vAlign w:val="center"/>
          </w:tcPr>
          <w:p w:rsidR="00B039A8" w:rsidRPr="00926FCF" w:rsidRDefault="00B039A8" w:rsidP="003A7D72">
            <w:pPr>
              <w:keepNext/>
              <w:keepLines/>
              <w:jc w:val="center"/>
              <w:rPr>
                <w:rFonts w:ascii="Arial Narrow" w:hAnsi="Arial Narrow"/>
                <w:color w:val="000000"/>
                <w:sz w:val="20"/>
                <w:szCs w:val="18"/>
              </w:rPr>
            </w:pPr>
            <w:r w:rsidRPr="00926FCF">
              <w:rPr>
                <w:rFonts w:ascii="Arial Narrow" w:hAnsi="Arial Narrow"/>
                <w:color w:val="000000"/>
                <w:sz w:val="20"/>
                <w:szCs w:val="18"/>
              </w:rPr>
              <w:t>9.1</w:t>
            </w:r>
          </w:p>
        </w:tc>
        <w:tc>
          <w:tcPr>
            <w:tcW w:w="587" w:type="pct"/>
            <w:gridSpan w:val="2"/>
            <w:vAlign w:val="center"/>
          </w:tcPr>
          <w:p w:rsidR="00B039A8" w:rsidRPr="00926FCF" w:rsidRDefault="00B039A8" w:rsidP="003A7D72">
            <w:pPr>
              <w:keepNext/>
              <w:keepLines/>
              <w:jc w:val="center"/>
              <w:rPr>
                <w:rFonts w:ascii="Arial Narrow" w:hAnsi="Arial Narrow"/>
                <w:color w:val="000000"/>
                <w:sz w:val="20"/>
                <w:szCs w:val="18"/>
              </w:rPr>
            </w:pPr>
            <w:r w:rsidRPr="00926FCF">
              <w:rPr>
                <w:rFonts w:ascii="Arial Narrow" w:hAnsi="Arial Narrow"/>
                <w:color w:val="000000"/>
                <w:sz w:val="20"/>
                <w:szCs w:val="18"/>
              </w:rPr>
              <w:t>0</w:t>
            </w:r>
          </w:p>
        </w:tc>
        <w:tc>
          <w:tcPr>
            <w:tcW w:w="927" w:type="pct"/>
            <w:vAlign w:val="center"/>
          </w:tcPr>
          <w:p w:rsidR="00B039A8" w:rsidRPr="00926FCF" w:rsidRDefault="00B039A8" w:rsidP="003A7D72">
            <w:pPr>
              <w:keepNext/>
              <w:keepLines/>
              <w:jc w:val="center"/>
              <w:rPr>
                <w:rFonts w:ascii="Arial Narrow" w:hAnsi="Arial Narrow"/>
                <w:b/>
                <w:color w:val="000000"/>
                <w:sz w:val="20"/>
                <w:szCs w:val="18"/>
              </w:rPr>
            </w:pPr>
            <w:r w:rsidRPr="00926FCF">
              <w:rPr>
                <w:rFonts w:ascii="Arial Narrow" w:hAnsi="Arial Narrow"/>
                <w:b/>
                <w:color w:val="000000"/>
                <w:sz w:val="20"/>
                <w:szCs w:val="18"/>
              </w:rPr>
              <w:t>0.09 (0.04, 0.15)</w:t>
            </w:r>
          </w:p>
        </w:tc>
      </w:tr>
      <w:tr w:rsidR="00B039A8" w:rsidRPr="00926FCF" w:rsidTr="0029025B">
        <w:trPr>
          <w:cantSplit/>
        </w:trPr>
        <w:tc>
          <w:tcPr>
            <w:tcW w:w="615" w:type="pct"/>
            <w:shd w:val="clear" w:color="auto" w:fill="auto"/>
            <w:vAlign w:val="center"/>
          </w:tcPr>
          <w:p w:rsidR="00B039A8" w:rsidRPr="00926FCF" w:rsidRDefault="00B039A8" w:rsidP="003A7D72">
            <w:pPr>
              <w:keepNext/>
              <w:keepLines/>
              <w:jc w:val="left"/>
              <w:rPr>
                <w:rFonts w:ascii="Arial Narrow" w:hAnsi="Arial Narrow"/>
                <w:color w:val="000000"/>
                <w:sz w:val="20"/>
                <w:szCs w:val="18"/>
              </w:rPr>
            </w:pPr>
            <w:r w:rsidRPr="00926FCF">
              <w:rPr>
                <w:rFonts w:ascii="Arial Narrow" w:hAnsi="Arial Narrow"/>
                <w:color w:val="000000"/>
                <w:sz w:val="20"/>
                <w:szCs w:val="18"/>
              </w:rPr>
              <w:t>Colitis</w:t>
            </w:r>
          </w:p>
        </w:tc>
        <w:tc>
          <w:tcPr>
            <w:tcW w:w="674" w:type="pct"/>
            <w:vAlign w:val="center"/>
          </w:tcPr>
          <w:p w:rsidR="00B039A8" w:rsidRPr="00926FCF" w:rsidRDefault="00B039A8" w:rsidP="003A7D72">
            <w:pPr>
              <w:keepNext/>
              <w:keepLines/>
              <w:jc w:val="center"/>
              <w:rPr>
                <w:rFonts w:ascii="Arial Narrow" w:hAnsi="Arial Narrow"/>
                <w:color w:val="000000"/>
                <w:sz w:val="20"/>
                <w:szCs w:val="18"/>
              </w:rPr>
            </w:pPr>
            <w:r w:rsidRPr="00926FCF">
              <w:rPr>
                <w:rFonts w:ascii="Arial Narrow" w:hAnsi="Arial Narrow"/>
                <w:color w:val="000000"/>
                <w:sz w:val="20"/>
                <w:szCs w:val="18"/>
              </w:rPr>
              <w:t>5/110</w:t>
            </w:r>
          </w:p>
        </w:tc>
        <w:tc>
          <w:tcPr>
            <w:tcW w:w="676" w:type="pct"/>
            <w:vAlign w:val="center"/>
          </w:tcPr>
          <w:p w:rsidR="00B039A8" w:rsidRPr="00926FCF" w:rsidRDefault="00B039A8" w:rsidP="003A7D72">
            <w:pPr>
              <w:keepNext/>
              <w:keepLines/>
              <w:jc w:val="center"/>
              <w:rPr>
                <w:rFonts w:ascii="Arial Narrow" w:hAnsi="Arial Narrow"/>
                <w:color w:val="000000"/>
                <w:sz w:val="20"/>
                <w:szCs w:val="18"/>
              </w:rPr>
            </w:pPr>
            <w:r w:rsidRPr="00926FCF">
              <w:rPr>
                <w:rFonts w:ascii="Arial Narrow" w:hAnsi="Arial Narrow"/>
                <w:color w:val="000000"/>
                <w:sz w:val="20"/>
                <w:szCs w:val="18"/>
              </w:rPr>
              <w:t>0/110</w:t>
            </w:r>
          </w:p>
        </w:tc>
        <w:tc>
          <w:tcPr>
            <w:tcW w:w="843" w:type="pct"/>
            <w:gridSpan w:val="2"/>
            <w:vAlign w:val="center"/>
          </w:tcPr>
          <w:p w:rsidR="00B039A8" w:rsidRPr="00926FCF" w:rsidRDefault="002274DE" w:rsidP="003A7D72">
            <w:pPr>
              <w:keepNext/>
              <w:keepLines/>
              <w:jc w:val="center"/>
              <w:rPr>
                <w:rFonts w:ascii="Arial Narrow" w:hAnsi="Arial Narrow"/>
                <w:color w:val="000000"/>
                <w:sz w:val="20"/>
                <w:szCs w:val="18"/>
              </w:rPr>
            </w:pPr>
            <w:r w:rsidRPr="00926FCF">
              <w:rPr>
                <w:rFonts w:ascii="Arial Narrow" w:hAnsi="Arial Narrow"/>
                <w:color w:val="000000"/>
                <w:sz w:val="20"/>
                <w:szCs w:val="18"/>
              </w:rPr>
              <w:t>11 (0.62, 196.57)</w:t>
            </w:r>
          </w:p>
        </w:tc>
        <w:tc>
          <w:tcPr>
            <w:tcW w:w="678" w:type="pct"/>
            <w:gridSpan w:val="2"/>
            <w:vAlign w:val="center"/>
          </w:tcPr>
          <w:p w:rsidR="00B039A8" w:rsidRPr="00926FCF" w:rsidRDefault="00B039A8" w:rsidP="003A7D72">
            <w:pPr>
              <w:keepNext/>
              <w:keepLines/>
              <w:jc w:val="center"/>
              <w:rPr>
                <w:rFonts w:ascii="Arial Narrow" w:hAnsi="Arial Narrow"/>
                <w:color w:val="000000"/>
                <w:sz w:val="20"/>
                <w:szCs w:val="18"/>
              </w:rPr>
            </w:pPr>
            <w:r w:rsidRPr="00926FCF">
              <w:rPr>
                <w:rFonts w:ascii="Arial Narrow" w:hAnsi="Arial Narrow"/>
                <w:color w:val="000000"/>
                <w:sz w:val="20"/>
                <w:szCs w:val="18"/>
              </w:rPr>
              <w:t>4.5</w:t>
            </w:r>
          </w:p>
        </w:tc>
        <w:tc>
          <w:tcPr>
            <w:tcW w:w="587" w:type="pct"/>
            <w:gridSpan w:val="2"/>
            <w:vAlign w:val="center"/>
          </w:tcPr>
          <w:p w:rsidR="00B039A8" w:rsidRPr="00926FCF" w:rsidRDefault="00B039A8" w:rsidP="003A7D72">
            <w:pPr>
              <w:keepNext/>
              <w:keepLines/>
              <w:jc w:val="center"/>
              <w:rPr>
                <w:rFonts w:ascii="Arial Narrow" w:hAnsi="Arial Narrow"/>
                <w:color w:val="000000"/>
                <w:sz w:val="20"/>
                <w:szCs w:val="18"/>
              </w:rPr>
            </w:pPr>
            <w:r w:rsidRPr="00926FCF">
              <w:rPr>
                <w:rFonts w:ascii="Arial Narrow" w:hAnsi="Arial Narrow"/>
                <w:color w:val="000000"/>
                <w:sz w:val="20"/>
                <w:szCs w:val="18"/>
              </w:rPr>
              <w:t>0</w:t>
            </w:r>
          </w:p>
        </w:tc>
        <w:tc>
          <w:tcPr>
            <w:tcW w:w="927" w:type="pct"/>
            <w:vAlign w:val="center"/>
          </w:tcPr>
          <w:p w:rsidR="00B039A8" w:rsidRPr="00926FCF" w:rsidRDefault="00B039A8" w:rsidP="003A7D72">
            <w:pPr>
              <w:keepNext/>
              <w:keepLines/>
              <w:jc w:val="center"/>
              <w:rPr>
                <w:rFonts w:ascii="Arial Narrow" w:hAnsi="Arial Narrow"/>
                <w:b/>
                <w:color w:val="000000"/>
                <w:sz w:val="20"/>
                <w:szCs w:val="18"/>
              </w:rPr>
            </w:pPr>
            <w:r w:rsidRPr="00926FCF">
              <w:rPr>
                <w:rFonts w:ascii="Arial Narrow" w:hAnsi="Arial Narrow"/>
                <w:b/>
                <w:color w:val="000000"/>
                <w:sz w:val="20"/>
                <w:szCs w:val="18"/>
              </w:rPr>
              <w:t>0.05 (0.01, 0.08)</w:t>
            </w:r>
          </w:p>
        </w:tc>
      </w:tr>
    </w:tbl>
    <w:p w:rsidR="00360099" w:rsidRDefault="00360099" w:rsidP="003A7D72">
      <w:pPr>
        <w:pStyle w:val="TableFooter"/>
        <w:keepNext/>
        <w:keepLines/>
        <w:ind w:left="709"/>
      </w:pPr>
      <w:r w:rsidRPr="00926FCF">
        <w:t>Source: Table B-19, p73</w:t>
      </w:r>
      <w:r w:rsidR="00D92888" w:rsidRPr="00926FCF">
        <w:t>;</w:t>
      </w:r>
      <w:r w:rsidR="009A3D86" w:rsidRPr="00926FCF">
        <w:t xml:space="preserve"> Tables</w:t>
      </w:r>
      <w:r w:rsidR="00D92888" w:rsidRPr="00926FCF">
        <w:t xml:space="preserve"> </w:t>
      </w:r>
      <w:r w:rsidR="00604593" w:rsidRPr="00926FCF">
        <w:t>B-22</w:t>
      </w:r>
      <w:r w:rsidR="00926A14" w:rsidRPr="00926FCF">
        <w:t xml:space="preserve"> to B-</w:t>
      </w:r>
      <w:r w:rsidRPr="00926FCF">
        <w:t>25, pp77-79</w:t>
      </w:r>
      <w:r w:rsidR="00F36AA5" w:rsidRPr="00926FCF">
        <w:t>; Table B-30, p89</w:t>
      </w:r>
      <w:r w:rsidRPr="00926FCF">
        <w:t xml:space="preserve"> of the </w:t>
      </w:r>
      <w:r w:rsidR="00BA3864" w:rsidRPr="00926FCF">
        <w:t>resubmission</w:t>
      </w:r>
      <w:r w:rsidRPr="00926FCF">
        <w:t xml:space="preserve">; </w:t>
      </w:r>
      <w:r w:rsidR="00F36AA5" w:rsidRPr="00926FCF">
        <w:t xml:space="preserve">compiled during the evaluation; </w:t>
      </w:r>
      <w:r w:rsidR="00D92888">
        <w:t xml:space="preserve">and </w:t>
      </w:r>
      <w:r>
        <w:t xml:space="preserve">B.6.1-2, p5.10.com.25-26 of </w:t>
      </w:r>
      <w:r w:rsidR="00D92888">
        <w:t xml:space="preserve">the </w:t>
      </w:r>
      <w:r>
        <w:t>previous commentary</w:t>
      </w:r>
    </w:p>
    <w:p w:rsidR="00360099" w:rsidRPr="0072416F" w:rsidRDefault="00360099" w:rsidP="003A7D72">
      <w:pPr>
        <w:pStyle w:val="TableFooter"/>
        <w:keepNext/>
        <w:keepLines/>
        <w:ind w:left="720"/>
      </w:pPr>
      <w:r>
        <w:t>CI = confidence interval; HR = hazard ratio; NC = not reached; NR = not reported; RD = risk difference; RR = relative risk;</w:t>
      </w:r>
      <w:r w:rsidR="002A0FC9">
        <w:t xml:space="preserve"> IT</w:t>
      </w:r>
      <w:r w:rsidR="004A32C1">
        <w:t>T = </w:t>
      </w:r>
      <w:r w:rsidR="00471E54">
        <w:t xml:space="preserve">intention-to-treat; RPSFT = rank preserving </w:t>
      </w:r>
      <w:r w:rsidR="00D53EF2">
        <w:t xml:space="preserve">structural </w:t>
      </w:r>
      <w:r w:rsidR="00471E54">
        <w:t>failure time;</w:t>
      </w:r>
      <w:r>
        <w:t xml:space="preserve"> </w:t>
      </w:r>
      <w:r w:rsidRPr="00701D9E">
        <w:rPr>
          <w:b/>
        </w:rPr>
        <w:t>Bold</w:t>
      </w:r>
      <w:r>
        <w:t xml:space="preserve"> = </w:t>
      </w:r>
      <w:r w:rsidR="00C827C3">
        <w:t>statistically significant</w:t>
      </w:r>
    </w:p>
    <w:p w:rsidR="00471E54" w:rsidRDefault="002D271D" w:rsidP="003A7D72">
      <w:pPr>
        <w:pStyle w:val="TableFooter"/>
        <w:keepNext/>
        <w:keepLines/>
        <w:ind w:left="720"/>
      </w:pPr>
      <w:proofErr w:type="gramStart"/>
      <w:r>
        <w:rPr>
          <w:vertAlign w:val="superscript"/>
        </w:rPr>
        <w:t>a</w:t>
      </w:r>
      <w:proofErr w:type="gramEnd"/>
      <w:r w:rsidRPr="0072416F">
        <w:t xml:space="preserve"> Median</w:t>
      </w:r>
      <w:r>
        <w:t xml:space="preserve"> d</w:t>
      </w:r>
      <w:r w:rsidRPr="0072416F">
        <w:t>uration of follow-up</w:t>
      </w:r>
      <w:r>
        <w:t>: idelalisib plus rituximab = 12.5 months; placebo plus rituximab = 11.1 months</w:t>
      </w:r>
    </w:p>
    <w:p w:rsidR="004D67EC" w:rsidRPr="0024505F" w:rsidRDefault="004D67EC" w:rsidP="00775D14">
      <w:pPr>
        <w:pStyle w:val="TableFooter"/>
        <w:ind w:left="720"/>
      </w:pPr>
      <w:proofErr w:type="gramStart"/>
      <w:r w:rsidRPr="007B4183">
        <w:rPr>
          <w:vertAlign w:val="superscript"/>
        </w:rPr>
        <w:t>b</w:t>
      </w:r>
      <w:proofErr w:type="gramEnd"/>
      <w:r>
        <w:t xml:space="preserve"> Two pati</w:t>
      </w:r>
      <w:r w:rsidR="007B4183">
        <w:t xml:space="preserve">ents in this </w:t>
      </w:r>
      <w:r w:rsidR="00386DCD">
        <w:t xml:space="preserve">treatment </w:t>
      </w:r>
      <w:r w:rsidR="007B4183">
        <w:t>arm did not receive the allocated intervention</w:t>
      </w:r>
    </w:p>
    <w:p w:rsidR="00471E54" w:rsidRPr="002D681D" w:rsidRDefault="00471E54" w:rsidP="002D681D">
      <w:pPr>
        <w:pStyle w:val="TableFooter"/>
        <w:rPr>
          <w:rFonts w:ascii="Arial" w:hAnsi="Arial"/>
          <w:sz w:val="22"/>
          <w:szCs w:val="22"/>
        </w:rPr>
      </w:pPr>
    </w:p>
    <w:p w:rsidR="00C221B7" w:rsidRPr="0071189A" w:rsidRDefault="00C221B7" w:rsidP="00775D14">
      <w:pPr>
        <w:pStyle w:val="ListParagraph"/>
        <w:numPr>
          <w:ilvl w:val="1"/>
          <w:numId w:val="5"/>
        </w:numPr>
        <w:rPr>
          <w:szCs w:val="22"/>
        </w:rPr>
      </w:pPr>
      <w:r w:rsidRPr="0071189A">
        <w:rPr>
          <w:szCs w:val="22"/>
        </w:rPr>
        <w:t>On the basis of the head</w:t>
      </w:r>
      <w:r w:rsidR="009C58F6">
        <w:rPr>
          <w:szCs w:val="22"/>
        </w:rPr>
        <w:t>-</w:t>
      </w:r>
      <w:r w:rsidRPr="0071189A">
        <w:rPr>
          <w:szCs w:val="22"/>
        </w:rPr>
        <w:t>to</w:t>
      </w:r>
      <w:r w:rsidR="009C58F6">
        <w:rPr>
          <w:szCs w:val="22"/>
        </w:rPr>
        <w:t>-</w:t>
      </w:r>
      <w:r w:rsidRPr="0071189A">
        <w:rPr>
          <w:szCs w:val="22"/>
        </w:rPr>
        <w:t xml:space="preserve">head trial </w:t>
      </w:r>
      <w:r>
        <w:rPr>
          <w:szCs w:val="22"/>
        </w:rPr>
        <w:t>(</w:t>
      </w:r>
      <w:r w:rsidRPr="0071189A">
        <w:rPr>
          <w:szCs w:val="22"/>
        </w:rPr>
        <w:t>ITT</w:t>
      </w:r>
      <w:r>
        <w:rPr>
          <w:szCs w:val="22"/>
        </w:rPr>
        <w:t>)</w:t>
      </w:r>
      <w:r w:rsidRPr="0071189A">
        <w:rPr>
          <w:szCs w:val="22"/>
        </w:rPr>
        <w:t xml:space="preserve">, the comparison of </w:t>
      </w:r>
      <w:r>
        <w:rPr>
          <w:szCs w:val="22"/>
        </w:rPr>
        <w:t xml:space="preserve">idelalisib plus rituximab </w:t>
      </w:r>
      <w:r w:rsidRPr="0071189A">
        <w:rPr>
          <w:szCs w:val="22"/>
        </w:rPr>
        <w:t xml:space="preserve">and </w:t>
      </w:r>
      <w:r>
        <w:rPr>
          <w:szCs w:val="22"/>
        </w:rPr>
        <w:t>placebo plus rituximab</w:t>
      </w:r>
      <w:r w:rsidRPr="0071189A">
        <w:rPr>
          <w:szCs w:val="22"/>
        </w:rPr>
        <w:t xml:space="preserve"> </w:t>
      </w:r>
      <w:r w:rsidR="00C12314">
        <w:rPr>
          <w:szCs w:val="22"/>
        </w:rPr>
        <w:t xml:space="preserve">after a median 12.5 months follow-up </w:t>
      </w:r>
      <w:r w:rsidRPr="0071189A">
        <w:rPr>
          <w:szCs w:val="22"/>
        </w:rPr>
        <w:t>resulted in:</w:t>
      </w:r>
    </w:p>
    <w:p w:rsidR="00C221B7" w:rsidRDefault="009C58F6" w:rsidP="00114E63">
      <w:pPr>
        <w:pStyle w:val="ListParagraph"/>
        <w:numPr>
          <w:ilvl w:val="0"/>
          <w:numId w:val="44"/>
        </w:numPr>
        <w:ind w:left="1134" w:hanging="283"/>
        <w:rPr>
          <w:szCs w:val="22"/>
        </w:rPr>
      </w:pPr>
      <w:proofErr w:type="gramStart"/>
      <w:r>
        <w:rPr>
          <w:szCs w:val="22"/>
        </w:rPr>
        <w:t>a</w:t>
      </w:r>
      <w:r w:rsidR="00C221B7" w:rsidRPr="0071189A">
        <w:rPr>
          <w:szCs w:val="22"/>
        </w:rPr>
        <w:t>pproximately</w:t>
      </w:r>
      <w:proofErr w:type="gramEnd"/>
      <w:r w:rsidR="00C221B7" w:rsidRPr="0071189A">
        <w:rPr>
          <w:szCs w:val="22"/>
        </w:rPr>
        <w:t xml:space="preserve"> </w:t>
      </w:r>
      <w:r w:rsidR="00C221B7">
        <w:rPr>
          <w:szCs w:val="22"/>
        </w:rPr>
        <w:t>12.9 months</w:t>
      </w:r>
      <w:r w:rsidR="00C221B7" w:rsidRPr="0071189A">
        <w:rPr>
          <w:szCs w:val="22"/>
        </w:rPr>
        <w:t xml:space="preserve"> </w:t>
      </w:r>
      <w:r w:rsidR="00C12314">
        <w:rPr>
          <w:szCs w:val="22"/>
        </w:rPr>
        <w:t>improvement in median</w:t>
      </w:r>
      <w:r w:rsidR="00C221B7" w:rsidRPr="0071189A">
        <w:rPr>
          <w:szCs w:val="22"/>
        </w:rPr>
        <w:t xml:space="preserve"> </w:t>
      </w:r>
      <w:r w:rsidR="00DA25F4">
        <w:rPr>
          <w:szCs w:val="22"/>
        </w:rPr>
        <w:t>progression free survival</w:t>
      </w:r>
      <w:r w:rsidR="00926FCF">
        <w:rPr>
          <w:szCs w:val="22"/>
        </w:rPr>
        <w:t>.</w:t>
      </w:r>
    </w:p>
    <w:p w:rsidR="00C221B7" w:rsidRPr="002D681D" w:rsidRDefault="00C221B7" w:rsidP="002D681D">
      <w:pPr>
        <w:rPr>
          <w:szCs w:val="22"/>
        </w:rPr>
      </w:pPr>
    </w:p>
    <w:p w:rsidR="00B039A8" w:rsidRPr="0071189A" w:rsidRDefault="00B039A8" w:rsidP="004B69A7">
      <w:pPr>
        <w:pStyle w:val="ListParagraph"/>
        <w:widowControl/>
        <w:numPr>
          <w:ilvl w:val="1"/>
          <w:numId w:val="5"/>
        </w:numPr>
        <w:rPr>
          <w:szCs w:val="22"/>
        </w:rPr>
      </w:pPr>
      <w:r>
        <w:t xml:space="preserve">On the basis of </w:t>
      </w:r>
      <w:r w:rsidRPr="00CF6EE4">
        <w:t xml:space="preserve">direct comparison evidence presented by the </w:t>
      </w:r>
      <w:r w:rsidR="003E5534">
        <w:t>re</w:t>
      </w:r>
      <w:r w:rsidRPr="00CF6EE4">
        <w:t xml:space="preserve">submission, for every 100 patients treated with </w:t>
      </w:r>
      <w:r>
        <w:t>idelalisib plus rituximab</w:t>
      </w:r>
      <w:r w:rsidRPr="00CF6EE4">
        <w:t xml:space="preserve"> in comparison to </w:t>
      </w:r>
      <w:r w:rsidR="00BB180F">
        <w:t>placebo plus rituximab</w:t>
      </w:r>
      <w:r>
        <w:t xml:space="preserve"> over a median follow-up of 12.5 months</w:t>
      </w:r>
      <w:r w:rsidR="0071189A">
        <w:t>:</w:t>
      </w:r>
    </w:p>
    <w:p w:rsidR="002D271D" w:rsidRDefault="00902159" w:rsidP="000632B4">
      <w:pPr>
        <w:pStyle w:val="ListParagraph"/>
        <w:widowControl/>
        <w:numPr>
          <w:ilvl w:val="0"/>
          <w:numId w:val="4"/>
        </w:numPr>
        <w:ind w:left="1134" w:hanging="283"/>
      </w:pPr>
      <w:r>
        <w:t>a</w:t>
      </w:r>
      <w:r w:rsidR="002D271D">
        <w:t xml:space="preserve">pproximately </w:t>
      </w:r>
      <w:r w:rsidR="00B039A8">
        <w:t>41</w:t>
      </w:r>
      <w:r w:rsidR="002D271D">
        <w:t xml:space="preserve"> fewer patients would have progressed disease</w:t>
      </w:r>
      <w:r>
        <w:t>;</w:t>
      </w:r>
    </w:p>
    <w:p w:rsidR="002D271D" w:rsidRDefault="00902159" w:rsidP="000632B4">
      <w:pPr>
        <w:pStyle w:val="ListParagraph"/>
        <w:widowControl/>
        <w:numPr>
          <w:ilvl w:val="0"/>
          <w:numId w:val="4"/>
        </w:numPr>
        <w:ind w:left="1134" w:hanging="283"/>
      </w:pPr>
      <w:r>
        <w:t>a</w:t>
      </w:r>
      <w:r w:rsidR="002D271D">
        <w:t xml:space="preserve">pproximately </w:t>
      </w:r>
      <w:r w:rsidR="00B039A8">
        <w:t xml:space="preserve">21 </w:t>
      </w:r>
      <w:r w:rsidR="002D271D">
        <w:t>fewer patients would have died</w:t>
      </w:r>
      <w:r>
        <w:t>;</w:t>
      </w:r>
    </w:p>
    <w:p w:rsidR="002D271D" w:rsidRPr="00CF6EE4" w:rsidRDefault="00902159" w:rsidP="000632B4">
      <w:pPr>
        <w:pStyle w:val="ListParagraph"/>
        <w:widowControl/>
        <w:numPr>
          <w:ilvl w:val="0"/>
          <w:numId w:val="4"/>
        </w:numPr>
        <w:ind w:left="1134" w:hanging="283"/>
      </w:pPr>
      <w:r>
        <w:t>a</w:t>
      </w:r>
      <w:r w:rsidR="002D271D" w:rsidRPr="00CF6EE4">
        <w:t>pproxima</w:t>
      </w:r>
      <w:r w:rsidR="002D271D">
        <w:t xml:space="preserve">tely </w:t>
      </w:r>
      <w:r w:rsidR="00B039A8">
        <w:t>9</w:t>
      </w:r>
      <w:r w:rsidR="002D271D" w:rsidRPr="00CF6EE4">
        <w:t xml:space="preserve"> additional patients would have </w:t>
      </w:r>
      <w:r w:rsidR="00B039A8">
        <w:t>at least Grade 3 diarrhoea</w:t>
      </w:r>
      <w:r>
        <w:t>;</w:t>
      </w:r>
    </w:p>
    <w:p w:rsidR="002D271D" w:rsidRDefault="00902159" w:rsidP="000632B4">
      <w:pPr>
        <w:pStyle w:val="ListParagraph"/>
        <w:widowControl/>
        <w:numPr>
          <w:ilvl w:val="0"/>
          <w:numId w:val="4"/>
        </w:numPr>
        <w:ind w:left="1134" w:hanging="283"/>
      </w:pPr>
      <w:proofErr w:type="gramStart"/>
      <w:r>
        <w:t>a</w:t>
      </w:r>
      <w:r w:rsidR="002D271D" w:rsidRPr="00CF6EE4">
        <w:t>pproximately</w:t>
      </w:r>
      <w:proofErr w:type="gramEnd"/>
      <w:r w:rsidR="00B039A8">
        <w:t xml:space="preserve"> 5</w:t>
      </w:r>
      <w:r w:rsidR="002D271D">
        <w:t xml:space="preserve"> additional </w:t>
      </w:r>
      <w:r w:rsidR="002D271D" w:rsidRPr="00CF6EE4">
        <w:t xml:space="preserve">patients would have </w:t>
      </w:r>
      <w:r w:rsidR="00B039A8">
        <w:t>at least Grade 3 colitis</w:t>
      </w:r>
      <w:r w:rsidR="002D271D">
        <w:t>.</w:t>
      </w:r>
    </w:p>
    <w:p w:rsidR="00BB180F" w:rsidRDefault="00BB180F" w:rsidP="00FC1884"/>
    <w:p w:rsidR="00BB180F" w:rsidRPr="00174DB9" w:rsidRDefault="00BB180F" w:rsidP="00BB180F">
      <w:pPr>
        <w:pStyle w:val="ListParagraph"/>
        <w:widowControl/>
        <w:numPr>
          <w:ilvl w:val="1"/>
          <w:numId w:val="5"/>
        </w:numPr>
        <w:rPr>
          <w:szCs w:val="22"/>
        </w:rPr>
      </w:pPr>
      <w:r w:rsidRPr="00174DB9">
        <w:t xml:space="preserve">It should be noted that </w:t>
      </w:r>
      <w:r w:rsidR="00C12314">
        <w:t xml:space="preserve">while </w:t>
      </w:r>
      <w:r w:rsidRPr="00174DB9">
        <w:t>the placebo plus rituximab arm might be a reasonable proxy for best supportive care</w:t>
      </w:r>
      <w:r w:rsidR="00C12314">
        <w:t xml:space="preserve"> that includes no effective anti-CLL therapy</w:t>
      </w:r>
      <w:r w:rsidRPr="00174DB9">
        <w:t xml:space="preserve"> with regards to efficacy, </w:t>
      </w:r>
      <w:r w:rsidR="00C12314">
        <w:t>it</w:t>
      </w:r>
      <w:r w:rsidRPr="00174DB9">
        <w:t xml:space="preserve"> might be inappropriate for comparative safety</w:t>
      </w:r>
      <w:r w:rsidR="001F6BA5">
        <w:t>, as rituxima</w:t>
      </w:r>
      <w:r w:rsidR="003A7D72">
        <w:t>b has its own toxicity profile.</w:t>
      </w:r>
    </w:p>
    <w:p w:rsidR="00BB180F" w:rsidRPr="00882085" w:rsidRDefault="00BB180F" w:rsidP="00FC1884"/>
    <w:p w:rsidR="00B60939" w:rsidRPr="001E3D25" w:rsidRDefault="00B60939" w:rsidP="00D06FD4">
      <w:pPr>
        <w:pStyle w:val="Heading2"/>
      </w:pPr>
      <w:bookmarkStart w:id="12" w:name="_Toc430012384"/>
      <w:r w:rsidRPr="001E3D25">
        <w:t>Clinical claim</w:t>
      </w:r>
      <w:bookmarkEnd w:id="12"/>
    </w:p>
    <w:p w:rsidR="00B60939" w:rsidRPr="00882085" w:rsidRDefault="00B60939" w:rsidP="00D06FD4">
      <w:pPr>
        <w:pStyle w:val="BodyText"/>
      </w:pPr>
    </w:p>
    <w:p w:rsidR="002D271D" w:rsidRDefault="002D271D" w:rsidP="004B69A7">
      <w:pPr>
        <w:pStyle w:val="ListParagraph"/>
        <w:numPr>
          <w:ilvl w:val="1"/>
          <w:numId w:val="5"/>
        </w:numPr>
      </w:pPr>
      <w:r w:rsidRPr="002D271D">
        <w:t xml:space="preserve">The resubmission described idelalisib plus rituximab as having superior comparative </w:t>
      </w:r>
      <w:r w:rsidRPr="002D271D">
        <w:lastRenderedPageBreak/>
        <w:t>effectiveness and slightly inferior comparative safety over best supportive care.</w:t>
      </w:r>
    </w:p>
    <w:p w:rsidR="00360099" w:rsidRDefault="00360099" w:rsidP="00360099"/>
    <w:p w:rsidR="00360099" w:rsidRPr="00174DB9" w:rsidRDefault="00360099" w:rsidP="006F3626">
      <w:pPr>
        <w:pStyle w:val="ListParagraph"/>
        <w:keepNext/>
        <w:numPr>
          <w:ilvl w:val="1"/>
          <w:numId w:val="5"/>
        </w:numPr>
      </w:pPr>
      <w:r w:rsidRPr="00174DB9">
        <w:t>This superior comparative effectiveness claim might be reasonably supported:</w:t>
      </w:r>
    </w:p>
    <w:p w:rsidR="002D271D" w:rsidRPr="00174DB9" w:rsidRDefault="000632B4" w:rsidP="00114E63">
      <w:pPr>
        <w:pStyle w:val="ListParagraph"/>
        <w:keepNext/>
        <w:widowControl/>
        <w:numPr>
          <w:ilvl w:val="0"/>
          <w:numId w:val="15"/>
        </w:numPr>
        <w:ind w:left="1134" w:hanging="283"/>
      </w:pPr>
      <w:r w:rsidRPr="00174DB9">
        <w:t>t</w:t>
      </w:r>
      <w:r w:rsidR="002D271D" w:rsidRPr="00174DB9">
        <w:t>he PBAC considered that placebo plus rituximab might be a reasonable proxy for best supportive care in this patient group for overall survival (</w:t>
      </w:r>
      <w:r w:rsidR="00447EA3" w:rsidRPr="00174DB9">
        <w:t>Item</w:t>
      </w:r>
      <w:r w:rsidR="002D271D" w:rsidRPr="00174DB9">
        <w:t xml:space="preserve"> </w:t>
      </w:r>
      <w:r w:rsidR="00664376" w:rsidRPr="00174DB9">
        <w:t>7.8</w:t>
      </w:r>
      <w:r w:rsidR="00447EA3" w:rsidRPr="00174DB9">
        <w:t>, March 2015 PBAC</w:t>
      </w:r>
      <w:r w:rsidR="002D681D">
        <w:t>)</w:t>
      </w:r>
    </w:p>
    <w:p w:rsidR="002D271D" w:rsidRPr="00174DB9" w:rsidRDefault="000632B4" w:rsidP="00114E63">
      <w:pPr>
        <w:pStyle w:val="ListParagraph"/>
        <w:numPr>
          <w:ilvl w:val="0"/>
          <w:numId w:val="15"/>
        </w:numPr>
        <w:ind w:left="1134" w:hanging="283"/>
      </w:pPr>
      <w:proofErr w:type="gramStart"/>
      <w:r w:rsidRPr="00174DB9">
        <w:t>i</w:t>
      </w:r>
      <w:r w:rsidR="002D271D" w:rsidRPr="00174DB9">
        <w:t>delalisib</w:t>
      </w:r>
      <w:proofErr w:type="gramEnd"/>
      <w:r w:rsidR="002D271D" w:rsidRPr="00174DB9">
        <w:t xml:space="preserve"> plus rituximab showed superior progression free survival and overall survival benefits compared to placebo plus rituximab</w:t>
      </w:r>
      <w:r w:rsidR="00360099" w:rsidRPr="00174DB9">
        <w:t>, using the ITT analysis</w:t>
      </w:r>
      <w:r w:rsidR="002D271D" w:rsidRPr="00174DB9">
        <w:t>.</w:t>
      </w:r>
    </w:p>
    <w:p w:rsidR="001C16F5" w:rsidRDefault="001C16F5" w:rsidP="001C16F5"/>
    <w:p w:rsidR="001C16F5" w:rsidRDefault="001C16F5" w:rsidP="0018203D">
      <w:pPr>
        <w:pStyle w:val="ListParagraph"/>
        <w:numPr>
          <w:ilvl w:val="1"/>
          <w:numId w:val="5"/>
        </w:numPr>
      </w:pPr>
      <w:r>
        <w:t xml:space="preserve">However, </w:t>
      </w:r>
      <w:r w:rsidR="000632B4" w:rsidRPr="00174DB9">
        <w:t>t</w:t>
      </w:r>
      <w:r w:rsidR="002D271D" w:rsidRPr="00174DB9">
        <w:t xml:space="preserve">he duration of follow-up of Trial 312-0116 was short (12.5 months in the idelalisib plus rituximab arm) and overall survival results were </w:t>
      </w:r>
      <w:r w:rsidR="001F6BA5">
        <w:t xml:space="preserve">immature </w:t>
      </w:r>
      <w:r w:rsidR="002D271D" w:rsidRPr="00174DB9">
        <w:t>(15.5% and 36.4% of patients had died in the idelalisib plus rituximab, and the placebo plus rituximab arm, respectively).</w:t>
      </w:r>
    </w:p>
    <w:p w:rsidR="001C16F5" w:rsidRDefault="001C16F5" w:rsidP="001C16F5"/>
    <w:p w:rsidR="002D271D" w:rsidRPr="00805CD1" w:rsidRDefault="001C16F5" w:rsidP="0018203D">
      <w:pPr>
        <w:pStyle w:val="ListParagraph"/>
        <w:numPr>
          <w:ilvl w:val="1"/>
          <w:numId w:val="5"/>
        </w:numPr>
      </w:pPr>
      <w:r w:rsidRPr="00805CD1">
        <w:t xml:space="preserve">The ESC noted that </w:t>
      </w:r>
      <w:r w:rsidR="000632B4" w:rsidRPr="00805CD1">
        <w:t>t</w:t>
      </w:r>
      <w:r w:rsidR="002D271D" w:rsidRPr="00805CD1">
        <w:t>he RPSFT methodology</w:t>
      </w:r>
      <w:r w:rsidR="00664376" w:rsidRPr="00805CD1">
        <w:t>, used</w:t>
      </w:r>
      <w:r w:rsidR="002D271D" w:rsidRPr="00805CD1">
        <w:t xml:space="preserve"> to adjust </w:t>
      </w:r>
      <w:r w:rsidR="00664376" w:rsidRPr="00805CD1">
        <w:t xml:space="preserve">the overall survival estimate </w:t>
      </w:r>
      <w:r w:rsidR="002D271D" w:rsidRPr="00805CD1">
        <w:t xml:space="preserve">for </w:t>
      </w:r>
      <w:r w:rsidR="000C6535" w:rsidRPr="00805CD1">
        <w:t>treatment</w:t>
      </w:r>
      <w:r w:rsidR="002D271D" w:rsidRPr="00805CD1">
        <w:t xml:space="preserve"> switching</w:t>
      </w:r>
      <w:r w:rsidR="00664376" w:rsidRPr="00805CD1">
        <w:t>,</w:t>
      </w:r>
      <w:r w:rsidR="002D271D" w:rsidRPr="00805CD1">
        <w:t xml:space="preserve"> might not be appropriate</w:t>
      </w:r>
      <w:r w:rsidRPr="00805CD1">
        <w:t xml:space="preserve"> as t</w:t>
      </w:r>
      <w:r w:rsidR="002D271D" w:rsidRPr="00805CD1">
        <w:t xml:space="preserve">he </w:t>
      </w:r>
      <w:r w:rsidR="00E75CE7" w:rsidRPr="00805CD1">
        <w:t>re</w:t>
      </w:r>
      <w:r w:rsidR="002D271D" w:rsidRPr="00805CD1">
        <w:t xml:space="preserve">submission considered that </w:t>
      </w:r>
      <w:r w:rsidR="008726FA" w:rsidRPr="00805CD1">
        <w:t xml:space="preserve">the treatment effect across </w:t>
      </w:r>
      <w:r w:rsidR="002D271D" w:rsidRPr="00805CD1">
        <w:t xml:space="preserve">placebo plus rituximab patients who had </w:t>
      </w:r>
      <w:r w:rsidR="008726FA" w:rsidRPr="00805CD1">
        <w:t>switched before (n=</w:t>
      </w:r>
      <w:r w:rsidR="000C6535" w:rsidRPr="00805CD1">
        <w:t>39</w:t>
      </w:r>
      <w:r w:rsidR="004D67EC" w:rsidRPr="00805CD1">
        <w:t>/110</w:t>
      </w:r>
      <w:r w:rsidR="008726FA" w:rsidRPr="00805CD1">
        <w:t>) and after (n=</w:t>
      </w:r>
      <w:r w:rsidR="000C6535" w:rsidRPr="00805CD1">
        <w:t>48</w:t>
      </w:r>
      <w:r w:rsidR="004D67EC" w:rsidRPr="00805CD1">
        <w:t>/110</w:t>
      </w:r>
      <w:r w:rsidR="008726FA" w:rsidRPr="00805CD1">
        <w:t xml:space="preserve">) disease </w:t>
      </w:r>
      <w:r w:rsidR="002D271D" w:rsidRPr="00805CD1">
        <w:t>progress</w:t>
      </w:r>
      <w:r w:rsidR="008726FA" w:rsidRPr="00805CD1">
        <w:t>ion was the same.</w:t>
      </w:r>
      <w:r w:rsidRPr="00805CD1">
        <w:t xml:space="preserve"> The ESC further noted that a large acceleration factor was applied to the majority of patients who were randomised to the rituximab + placebo arm, biasing results in favour </w:t>
      </w:r>
      <w:r w:rsidR="002D681D" w:rsidRPr="00805CD1">
        <w:t>of idelalisib.</w:t>
      </w:r>
    </w:p>
    <w:p w:rsidR="008726FA" w:rsidRPr="00174DB9" w:rsidRDefault="008726FA" w:rsidP="008726FA"/>
    <w:p w:rsidR="002D271D" w:rsidRPr="00174DB9" w:rsidRDefault="002D271D" w:rsidP="004B69A7">
      <w:pPr>
        <w:pStyle w:val="ListParagraph"/>
        <w:numPr>
          <w:ilvl w:val="1"/>
          <w:numId w:val="5"/>
        </w:numPr>
      </w:pPr>
      <w:r w:rsidRPr="00174DB9">
        <w:t>The claim of slightly inferior comparative safety might not have been reasonable</w:t>
      </w:r>
      <w:r w:rsidR="001C16F5">
        <w:t xml:space="preserve"> as</w:t>
      </w:r>
      <w:r w:rsidRPr="00174DB9">
        <w:t>:</w:t>
      </w:r>
    </w:p>
    <w:p w:rsidR="002D271D" w:rsidRPr="00174DB9" w:rsidRDefault="00A477C3" w:rsidP="00114E63">
      <w:pPr>
        <w:pStyle w:val="ListParagraph"/>
        <w:numPr>
          <w:ilvl w:val="1"/>
          <w:numId w:val="16"/>
        </w:numPr>
        <w:ind w:left="1134" w:hanging="283"/>
      </w:pPr>
      <w:r w:rsidRPr="00174DB9">
        <w:t>t</w:t>
      </w:r>
      <w:r w:rsidR="002D271D" w:rsidRPr="00174DB9">
        <w:t>he short duration of follow-up meant the identification of long</w:t>
      </w:r>
      <w:r w:rsidR="00707C83" w:rsidRPr="00174DB9">
        <w:t>-</w:t>
      </w:r>
      <w:r w:rsidR="002D271D" w:rsidRPr="00174DB9">
        <w:t>term adverse events with idelalisib was not possible;</w:t>
      </w:r>
    </w:p>
    <w:p w:rsidR="002D271D" w:rsidRPr="00174DB9" w:rsidRDefault="00A477C3" w:rsidP="00114E63">
      <w:pPr>
        <w:pStyle w:val="ListParagraph"/>
        <w:numPr>
          <w:ilvl w:val="1"/>
          <w:numId w:val="16"/>
        </w:numPr>
        <w:ind w:left="1134" w:hanging="283"/>
      </w:pPr>
      <w:r w:rsidRPr="00174DB9">
        <w:t>t</w:t>
      </w:r>
      <w:r w:rsidR="002D271D" w:rsidRPr="00174DB9">
        <w:t xml:space="preserve">he dosing regimen of rituximab in the trial differed to the approved Australian dosing regimen, making safety comparisons with the wider CLL </w:t>
      </w:r>
      <w:r w:rsidR="002D681D">
        <w:t>rituximab population difficult;</w:t>
      </w:r>
    </w:p>
    <w:p w:rsidR="00A477C3" w:rsidRPr="00174DB9" w:rsidRDefault="00A477C3" w:rsidP="00114E63">
      <w:pPr>
        <w:pStyle w:val="ListParagraph"/>
        <w:numPr>
          <w:ilvl w:val="1"/>
          <w:numId w:val="16"/>
        </w:numPr>
        <w:ind w:left="1134" w:hanging="283"/>
      </w:pPr>
      <w:r w:rsidRPr="00174DB9">
        <w:t>l</w:t>
      </w:r>
      <w:r w:rsidR="002D271D" w:rsidRPr="00174DB9">
        <w:t>ong</w:t>
      </w:r>
      <w:r w:rsidR="00707C83" w:rsidRPr="00174DB9">
        <w:t>-</w:t>
      </w:r>
      <w:r w:rsidR="002D271D" w:rsidRPr="00174DB9">
        <w:t>term idelalisib treatment resulted for some patients in fatal and/or serious hepatotoxicity, severe diarrhoea or colitis, pneumonitis and intestinal perforation</w:t>
      </w:r>
      <w:r w:rsidRPr="00174DB9">
        <w:t>; and</w:t>
      </w:r>
    </w:p>
    <w:p w:rsidR="000C03F2" w:rsidRPr="00174DB9" w:rsidRDefault="00BB180F" w:rsidP="00114E63">
      <w:pPr>
        <w:pStyle w:val="ListParagraph"/>
        <w:numPr>
          <w:ilvl w:val="1"/>
          <w:numId w:val="16"/>
        </w:numPr>
        <w:ind w:left="1134" w:hanging="283"/>
      </w:pPr>
      <w:proofErr w:type="gramStart"/>
      <w:r w:rsidRPr="00174DB9">
        <w:t>the</w:t>
      </w:r>
      <w:proofErr w:type="gramEnd"/>
      <w:r w:rsidRPr="00174DB9">
        <w:t xml:space="preserve"> adverse event rate with best supportive care would be likely to be</w:t>
      </w:r>
      <w:r w:rsidR="00A477C3" w:rsidRPr="00174DB9">
        <w:t xml:space="preserve"> lower than </w:t>
      </w:r>
      <w:r w:rsidRPr="00174DB9">
        <w:t>for</w:t>
      </w:r>
      <w:r w:rsidR="00A477C3" w:rsidRPr="00174DB9">
        <w:t xml:space="preserve"> </w:t>
      </w:r>
      <w:r w:rsidRPr="00174DB9">
        <w:t xml:space="preserve">placebo plus </w:t>
      </w:r>
      <w:r w:rsidR="00A477C3" w:rsidRPr="00174DB9">
        <w:t>rituximab</w:t>
      </w:r>
      <w:r w:rsidRPr="00174DB9">
        <w:t>.</w:t>
      </w:r>
    </w:p>
    <w:p w:rsidR="00B60939" w:rsidRDefault="00B60939" w:rsidP="00C7386C">
      <w:pPr>
        <w:widowControl/>
        <w:rPr>
          <w:szCs w:val="22"/>
        </w:rPr>
      </w:pPr>
    </w:p>
    <w:p w:rsidR="00C7386C" w:rsidRPr="00C20A87" w:rsidRDefault="002D681D" w:rsidP="00C7386C">
      <w:pPr>
        <w:widowControl/>
        <w:rPr>
          <w:i/>
          <w:szCs w:val="22"/>
          <w:u w:val="single"/>
        </w:rPr>
      </w:pPr>
      <w:r>
        <w:rPr>
          <w:i/>
          <w:szCs w:val="22"/>
          <w:u w:val="single"/>
        </w:rPr>
        <w:t>Translation issues</w:t>
      </w:r>
    </w:p>
    <w:p w:rsidR="00C7386C" w:rsidRPr="00C20A87" w:rsidRDefault="00C7386C" w:rsidP="00C7386C">
      <w:pPr>
        <w:widowControl/>
        <w:rPr>
          <w:i/>
          <w:szCs w:val="22"/>
          <w:u w:val="single"/>
        </w:rPr>
      </w:pPr>
    </w:p>
    <w:p w:rsidR="0011641A" w:rsidRPr="00805CD1" w:rsidRDefault="00BF2BCD" w:rsidP="002D681D">
      <w:pPr>
        <w:pStyle w:val="ListParagraph"/>
        <w:widowControl/>
        <w:numPr>
          <w:ilvl w:val="1"/>
          <w:numId w:val="5"/>
        </w:numPr>
        <w:rPr>
          <w:szCs w:val="22"/>
        </w:rPr>
      </w:pPr>
      <w:r w:rsidRPr="00805CD1">
        <w:rPr>
          <w:szCs w:val="22"/>
        </w:rPr>
        <w:t xml:space="preserve">The resubmission used </w:t>
      </w:r>
      <w:r w:rsidR="008A0027" w:rsidRPr="00805CD1">
        <w:rPr>
          <w:szCs w:val="22"/>
        </w:rPr>
        <w:t xml:space="preserve">parametric </w:t>
      </w:r>
      <w:r w:rsidR="00F37E3E" w:rsidRPr="00805CD1">
        <w:rPr>
          <w:szCs w:val="22"/>
        </w:rPr>
        <w:t>extrapolation of progression</w:t>
      </w:r>
      <w:r w:rsidR="002D681D" w:rsidRPr="00805CD1">
        <w:rPr>
          <w:szCs w:val="22"/>
        </w:rPr>
        <w:t>-</w:t>
      </w:r>
      <w:r w:rsidR="00F37E3E" w:rsidRPr="00805CD1">
        <w:rPr>
          <w:szCs w:val="22"/>
        </w:rPr>
        <w:t>free survival (ITT) and overall survival (RPSFT</w:t>
      </w:r>
      <w:r w:rsidR="003A7D72">
        <w:rPr>
          <w:szCs w:val="22"/>
        </w:rPr>
        <w:t>-adjusted</w:t>
      </w:r>
      <w:r w:rsidR="00F37E3E" w:rsidRPr="00805CD1">
        <w:rPr>
          <w:szCs w:val="22"/>
        </w:rPr>
        <w:t>)</w:t>
      </w:r>
      <w:r w:rsidRPr="00805CD1">
        <w:rPr>
          <w:szCs w:val="22"/>
        </w:rPr>
        <w:t xml:space="preserve"> trial data</w:t>
      </w:r>
      <w:r w:rsidR="008A0027" w:rsidRPr="00805CD1">
        <w:rPr>
          <w:szCs w:val="22"/>
        </w:rPr>
        <w:t xml:space="preserve"> beyond the end of the trial</w:t>
      </w:r>
      <w:r w:rsidRPr="00805CD1">
        <w:rPr>
          <w:szCs w:val="22"/>
        </w:rPr>
        <w:t xml:space="preserve"> to the likely time horizon of CLL using independent and joint modelling. </w:t>
      </w:r>
      <w:r w:rsidR="008A0027" w:rsidRPr="00805CD1">
        <w:rPr>
          <w:szCs w:val="22"/>
        </w:rPr>
        <w:t>The model used the whole KM cur</w:t>
      </w:r>
      <w:r w:rsidR="00677F3C" w:rsidRPr="00805CD1">
        <w:rPr>
          <w:szCs w:val="22"/>
        </w:rPr>
        <w:t>v</w:t>
      </w:r>
      <w:r w:rsidR="008A0027" w:rsidRPr="00805CD1">
        <w:rPr>
          <w:szCs w:val="22"/>
        </w:rPr>
        <w:t xml:space="preserve">e, which might be inappropriate as median follow up was 12.5 months for </w:t>
      </w:r>
      <w:r w:rsidR="00C20A87" w:rsidRPr="00805CD1">
        <w:rPr>
          <w:szCs w:val="22"/>
        </w:rPr>
        <w:t xml:space="preserve">idelalisib plus rituximab </w:t>
      </w:r>
      <w:r w:rsidR="008A0027" w:rsidRPr="00805CD1">
        <w:rPr>
          <w:szCs w:val="22"/>
        </w:rPr>
        <w:t xml:space="preserve">and 11.1 </w:t>
      </w:r>
      <w:r w:rsidR="002D681D" w:rsidRPr="00805CD1">
        <w:rPr>
          <w:szCs w:val="22"/>
        </w:rPr>
        <w:t>months for placebo + rituximab.</w:t>
      </w:r>
    </w:p>
    <w:p w:rsidR="0011641A" w:rsidRPr="00805CD1" w:rsidRDefault="0011641A" w:rsidP="002D681D">
      <w:pPr>
        <w:widowControl/>
        <w:rPr>
          <w:szCs w:val="22"/>
        </w:rPr>
      </w:pPr>
    </w:p>
    <w:p w:rsidR="00C7386C" w:rsidRPr="00805CD1" w:rsidRDefault="0011641A" w:rsidP="002D681D">
      <w:pPr>
        <w:pStyle w:val="ListParagraph"/>
        <w:widowControl/>
        <w:numPr>
          <w:ilvl w:val="1"/>
          <w:numId w:val="5"/>
        </w:numPr>
      </w:pPr>
      <w:r w:rsidRPr="00805CD1">
        <w:rPr>
          <w:szCs w:val="22"/>
        </w:rPr>
        <w:t xml:space="preserve">The ESC noted that </w:t>
      </w:r>
      <w:r w:rsidRPr="00805CD1">
        <w:t>only Weibull and log logistic curves were provided in the progression free survival curves,</w:t>
      </w:r>
      <w:r w:rsidR="00862402" w:rsidRPr="00805CD1">
        <w:t xml:space="preserve"> which did not adjust for cross-</w:t>
      </w:r>
      <w:r w:rsidRPr="00805CD1">
        <w:t xml:space="preserve">over. While the Weibull had a better </w:t>
      </w:r>
      <w:proofErr w:type="spellStart"/>
      <w:r w:rsidRPr="00805CD1">
        <w:t>Akaike’s</w:t>
      </w:r>
      <w:proofErr w:type="spellEnd"/>
      <w:r w:rsidRPr="00805CD1">
        <w:t xml:space="preserve"> information criterion test (AIC) and appeared more conservative, a justification should have been given for why alter</w:t>
      </w:r>
      <w:r w:rsidR="002D681D" w:rsidRPr="00805CD1">
        <w:t>nate curves were not presented.</w:t>
      </w:r>
    </w:p>
    <w:p w:rsidR="0006234F" w:rsidRPr="002D681D" w:rsidRDefault="0006234F" w:rsidP="002D681D">
      <w:pPr>
        <w:widowControl/>
        <w:rPr>
          <w:i/>
          <w:szCs w:val="22"/>
        </w:rPr>
      </w:pPr>
    </w:p>
    <w:p w:rsidR="0006234F" w:rsidRPr="00805CD1" w:rsidRDefault="0006234F" w:rsidP="002D681D">
      <w:pPr>
        <w:pStyle w:val="ListParagraph"/>
        <w:widowControl/>
        <w:numPr>
          <w:ilvl w:val="1"/>
          <w:numId w:val="5"/>
        </w:numPr>
        <w:rPr>
          <w:szCs w:val="22"/>
        </w:rPr>
      </w:pPr>
      <w:r w:rsidRPr="00805CD1">
        <w:rPr>
          <w:szCs w:val="22"/>
        </w:rPr>
        <w:t>The ESC noted that the accuracy of</w:t>
      </w:r>
      <w:r w:rsidR="0011641A" w:rsidRPr="00805CD1">
        <w:rPr>
          <w:szCs w:val="22"/>
        </w:rPr>
        <w:t xml:space="preserve"> overall survival</w:t>
      </w:r>
      <w:r w:rsidRPr="00805CD1">
        <w:rPr>
          <w:szCs w:val="22"/>
        </w:rPr>
        <w:t xml:space="preserve"> predictions may have been compromised as the tail was informed by a small proportion of patients</w:t>
      </w:r>
      <w:r w:rsidR="0011641A" w:rsidRPr="00805CD1">
        <w:rPr>
          <w:szCs w:val="22"/>
        </w:rPr>
        <w:t xml:space="preserve">, </w:t>
      </w:r>
      <w:r w:rsidR="00862402" w:rsidRPr="00805CD1">
        <w:rPr>
          <w:szCs w:val="22"/>
        </w:rPr>
        <w:t xml:space="preserve">due to the </w:t>
      </w:r>
      <w:r w:rsidR="00862402" w:rsidRPr="00805CD1">
        <w:rPr>
          <w:szCs w:val="22"/>
        </w:rPr>
        <w:lastRenderedPageBreak/>
        <w:t>high degree of cross-</w:t>
      </w:r>
      <w:r w:rsidR="0011641A" w:rsidRPr="00805CD1">
        <w:rPr>
          <w:szCs w:val="22"/>
        </w:rPr>
        <w:t>over</w:t>
      </w:r>
      <w:r w:rsidRPr="00805CD1">
        <w:rPr>
          <w:szCs w:val="22"/>
        </w:rPr>
        <w:t xml:space="preserve">. </w:t>
      </w:r>
      <w:r w:rsidRPr="00805CD1">
        <w:t xml:space="preserve">The ESC considered that OS should be extrapolated from an earlier time point, where patient numbers are greater. Use of the more flexible Royston &amp; </w:t>
      </w:r>
      <w:proofErr w:type="spellStart"/>
      <w:r w:rsidRPr="00805CD1">
        <w:t>Parmar</w:t>
      </w:r>
      <w:proofErr w:type="spellEnd"/>
      <w:r w:rsidRPr="00805CD1">
        <w:t xml:space="preserve"> models would overcome this issue, by fitting curves to the KM curve using multiple points of inflexion</w:t>
      </w:r>
      <w:r w:rsidRPr="00805CD1">
        <w:rPr>
          <w:rStyle w:val="FootnoteReference"/>
        </w:rPr>
        <w:footnoteReference w:id="1"/>
      </w:r>
      <w:r w:rsidRPr="00805CD1">
        <w:t>.</w:t>
      </w:r>
    </w:p>
    <w:p w:rsidR="0006234F" w:rsidRPr="002D681D" w:rsidRDefault="0006234F" w:rsidP="0011641A">
      <w:pPr>
        <w:rPr>
          <w:szCs w:val="22"/>
        </w:rPr>
      </w:pPr>
    </w:p>
    <w:p w:rsidR="0029025B" w:rsidRPr="0029025B" w:rsidRDefault="0029025B" w:rsidP="0029025B">
      <w:pPr>
        <w:pStyle w:val="Caption"/>
        <w:ind w:left="720"/>
        <w:rPr>
          <w:rFonts w:ascii="Arial Narrow" w:hAnsi="Arial Narrow"/>
          <w:color w:val="auto"/>
          <w:sz w:val="20"/>
        </w:rPr>
      </w:pPr>
      <w:r w:rsidRPr="0029025B">
        <w:rPr>
          <w:rFonts w:ascii="Arial Narrow" w:hAnsi="Arial Narrow"/>
          <w:color w:val="auto"/>
          <w:sz w:val="20"/>
        </w:rPr>
        <w:t xml:space="preserve">Figure </w:t>
      </w:r>
      <w:r w:rsidR="00591ABB">
        <w:rPr>
          <w:rFonts w:ascii="Arial Narrow" w:hAnsi="Arial Narrow"/>
          <w:color w:val="auto"/>
          <w:sz w:val="20"/>
        </w:rPr>
        <w:fldChar w:fldCharType="begin"/>
      </w:r>
      <w:r w:rsidR="00591ABB">
        <w:rPr>
          <w:rFonts w:ascii="Arial Narrow" w:hAnsi="Arial Narrow"/>
          <w:color w:val="auto"/>
          <w:sz w:val="20"/>
        </w:rPr>
        <w:instrText xml:space="preserve"> SEQ Figure \* ARABIC </w:instrText>
      </w:r>
      <w:r w:rsidR="00591ABB">
        <w:rPr>
          <w:rFonts w:ascii="Arial Narrow" w:hAnsi="Arial Narrow"/>
          <w:color w:val="auto"/>
          <w:sz w:val="20"/>
        </w:rPr>
        <w:fldChar w:fldCharType="separate"/>
      </w:r>
      <w:r w:rsidR="00AD392C">
        <w:rPr>
          <w:rFonts w:ascii="Arial Narrow" w:hAnsi="Arial Narrow"/>
          <w:noProof/>
          <w:color w:val="auto"/>
          <w:sz w:val="20"/>
        </w:rPr>
        <w:t>3</w:t>
      </w:r>
      <w:r w:rsidR="00591ABB">
        <w:rPr>
          <w:rFonts w:ascii="Arial Narrow" w:hAnsi="Arial Narrow"/>
          <w:color w:val="auto"/>
          <w:sz w:val="20"/>
        </w:rPr>
        <w:fldChar w:fldCharType="end"/>
      </w:r>
      <w:r w:rsidRPr="0029025B">
        <w:rPr>
          <w:rFonts w:ascii="Arial Narrow" w:hAnsi="Arial Narrow"/>
          <w:color w:val="auto"/>
          <w:sz w:val="20"/>
        </w:rPr>
        <w:t>: Comparison of observed and fitted overall survival using the Weibull and exponential distributions</w:t>
      </w:r>
    </w:p>
    <w:tbl>
      <w:tblPr>
        <w:tblStyle w:val="TableGrid"/>
        <w:tblW w:w="0" w:type="auto"/>
        <w:jc w:val="right"/>
        <w:tblLayout w:type="fixed"/>
        <w:tblLook w:val="0620" w:firstRow="1" w:lastRow="0" w:firstColumn="0" w:lastColumn="0" w:noHBand="1" w:noVBand="1"/>
        <w:tblCaption w:val="Comparison of observed and fitted overall survival"/>
      </w:tblPr>
      <w:tblGrid>
        <w:gridCol w:w="4098"/>
        <w:gridCol w:w="4303"/>
      </w:tblGrid>
      <w:tr w:rsidR="00C31277" w:rsidRPr="009D21E3" w:rsidTr="008B7EE7">
        <w:trPr>
          <w:trHeight w:val="434"/>
          <w:tblHeader/>
          <w:jc w:val="right"/>
        </w:trPr>
        <w:tc>
          <w:tcPr>
            <w:tcW w:w="4098" w:type="dxa"/>
          </w:tcPr>
          <w:p w:rsidR="00C31277" w:rsidRDefault="00C31277" w:rsidP="00380AB3">
            <w:pPr>
              <w:pStyle w:val="Tabletext"/>
              <w:keepNext/>
              <w:ind w:left="720"/>
              <w:jc w:val="center"/>
              <w:rPr>
                <w:b/>
              </w:rPr>
            </w:pPr>
            <w:r>
              <w:rPr>
                <w:b/>
              </w:rPr>
              <w:t>Idelalisib</w:t>
            </w:r>
            <w:r w:rsidRPr="009D21E3">
              <w:rPr>
                <w:b/>
              </w:rPr>
              <w:t xml:space="preserve"> + rituximab</w:t>
            </w:r>
          </w:p>
          <w:p w:rsidR="00C31277" w:rsidRPr="0005400F" w:rsidRDefault="00C31277" w:rsidP="00380AB3">
            <w:pPr>
              <w:pStyle w:val="Tabletext"/>
              <w:keepNext/>
              <w:ind w:left="720"/>
              <w:jc w:val="center"/>
            </w:pPr>
            <w:r w:rsidRPr="0005400F">
              <w:t xml:space="preserve">Median follow-up: </w:t>
            </w:r>
            <w:r>
              <w:t>12.5</w:t>
            </w:r>
            <w:r w:rsidRPr="0005400F">
              <w:t xml:space="preserve"> months</w:t>
            </w:r>
          </w:p>
        </w:tc>
        <w:tc>
          <w:tcPr>
            <w:tcW w:w="4303" w:type="dxa"/>
          </w:tcPr>
          <w:p w:rsidR="00C31277" w:rsidRDefault="00C31277" w:rsidP="00380AB3">
            <w:pPr>
              <w:pStyle w:val="Tabletext"/>
              <w:keepNext/>
              <w:ind w:left="720"/>
              <w:jc w:val="center"/>
              <w:rPr>
                <w:b/>
              </w:rPr>
            </w:pPr>
            <w:r>
              <w:rPr>
                <w:b/>
              </w:rPr>
              <w:t>Best supportive care</w:t>
            </w:r>
          </w:p>
          <w:p w:rsidR="00C31277" w:rsidRPr="0005400F" w:rsidRDefault="00C31277" w:rsidP="00380AB3">
            <w:pPr>
              <w:pStyle w:val="Tabletext"/>
              <w:keepNext/>
              <w:ind w:left="720"/>
              <w:jc w:val="center"/>
            </w:pPr>
            <w:r w:rsidRPr="0005400F">
              <w:t xml:space="preserve">Median follow-up: </w:t>
            </w:r>
            <w:r>
              <w:t>11.1</w:t>
            </w:r>
            <w:r w:rsidRPr="0005400F">
              <w:t xml:space="preserve"> months</w:t>
            </w:r>
          </w:p>
        </w:tc>
      </w:tr>
      <w:tr w:rsidR="00C31277" w:rsidTr="008B7EE7">
        <w:trPr>
          <w:trHeight w:val="2777"/>
          <w:jc w:val="right"/>
        </w:trPr>
        <w:tc>
          <w:tcPr>
            <w:tcW w:w="4098" w:type="dxa"/>
          </w:tcPr>
          <w:p w:rsidR="00C31277" w:rsidRPr="009664AC" w:rsidRDefault="00C31277" w:rsidP="00380AB3">
            <w:pPr>
              <w:keepNext/>
              <w:widowControl/>
            </w:pPr>
            <w:r>
              <w:rPr>
                <w:noProof/>
                <w:snapToGrid/>
                <w:lang w:eastAsia="en-AU"/>
              </w:rPr>
              <w:drawing>
                <wp:inline distT="0" distB="0" distL="0" distR="0" wp14:anchorId="13A63517" wp14:editId="6A4F5F90">
                  <wp:extent cx="2581989" cy="1828800"/>
                  <wp:effectExtent l="0" t="0" r="8890" b="0"/>
                  <wp:docPr id="7" name="Picture 7" descr="Idelalisib + rituximab using Weibull and exponential distributions" title="Comparison of observed and fitted overall suriv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16604" b="11732"/>
                          <a:stretch/>
                        </pic:blipFill>
                        <pic:spPr bwMode="auto">
                          <a:xfrm>
                            <a:off x="0" y="0"/>
                            <a:ext cx="2581814" cy="182867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03" w:type="dxa"/>
          </w:tcPr>
          <w:p w:rsidR="00C31277" w:rsidRPr="009664AC" w:rsidRDefault="00C31277" w:rsidP="0029025B">
            <w:pPr>
              <w:keepNext/>
              <w:widowControl/>
              <w:jc w:val="right"/>
            </w:pPr>
            <w:r>
              <w:rPr>
                <w:noProof/>
                <w:snapToGrid/>
                <w:lang w:eastAsia="en-AU"/>
              </w:rPr>
              <w:drawing>
                <wp:inline distT="0" distB="0" distL="0" distR="0" wp14:anchorId="0211F799" wp14:editId="06546BB9">
                  <wp:extent cx="3029734" cy="1828800"/>
                  <wp:effectExtent l="0" t="0" r="0" b="0"/>
                  <wp:docPr id="3" name="Picture 3" descr="Best supportive care using Weibull and exponential" title="Comparison of observed and fitted overall suriv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4833" b="12062"/>
                          <a:stretch/>
                        </pic:blipFill>
                        <pic:spPr bwMode="auto">
                          <a:xfrm>
                            <a:off x="0" y="0"/>
                            <a:ext cx="3036319" cy="1832775"/>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C31277" w:rsidRDefault="00C31277" w:rsidP="00C20A87">
      <w:pPr>
        <w:pStyle w:val="TableFooter"/>
        <w:keepNext/>
        <w:widowControl/>
        <w:ind w:firstLine="720"/>
      </w:pPr>
      <w:r>
        <w:t>Source: Section D workbook of the resubmission</w:t>
      </w:r>
    </w:p>
    <w:p w:rsidR="00C31277" w:rsidRPr="00C31277" w:rsidRDefault="00C31277" w:rsidP="00C20A87">
      <w:pPr>
        <w:widowControl/>
        <w:ind w:left="720"/>
        <w:rPr>
          <w:rFonts w:ascii="Arial Narrow" w:hAnsi="Arial Narrow"/>
          <w:sz w:val="18"/>
        </w:rPr>
      </w:pPr>
      <w:r w:rsidRPr="00C31277">
        <w:rPr>
          <w:rFonts w:ascii="Arial Narrow" w:hAnsi="Arial Narrow"/>
          <w:sz w:val="18"/>
        </w:rPr>
        <w:t>IR = idelalisib plus rituximab; R = rituximab; RPSFT = rank preserving structural failure time; KM = Kaplan-Meier; ITT = intention-to-treat</w:t>
      </w:r>
    </w:p>
    <w:p w:rsidR="00005FB9" w:rsidRDefault="00005FB9" w:rsidP="001E3D25">
      <w:bookmarkStart w:id="13" w:name="_Toc430012385"/>
    </w:p>
    <w:p w:rsidR="00B60939" w:rsidRPr="00DB10B2" w:rsidRDefault="00B60939" w:rsidP="00DB10B2">
      <w:pPr>
        <w:pStyle w:val="Heading2"/>
      </w:pPr>
      <w:r w:rsidRPr="00DB10B2">
        <w:t>Economic analysis</w:t>
      </w:r>
      <w:bookmarkEnd w:id="13"/>
    </w:p>
    <w:p w:rsidR="00496601" w:rsidRPr="00496601" w:rsidRDefault="00496601" w:rsidP="00496601"/>
    <w:p w:rsidR="002D271D" w:rsidRPr="00360099" w:rsidRDefault="002D271D" w:rsidP="004B69A7">
      <w:pPr>
        <w:pStyle w:val="ListParagraph"/>
        <w:keepNext/>
        <w:widowControl/>
        <w:numPr>
          <w:ilvl w:val="1"/>
          <w:numId w:val="5"/>
        </w:numPr>
        <w:rPr>
          <w:szCs w:val="22"/>
        </w:rPr>
      </w:pPr>
      <w:r w:rsidRPr="00197970">
        <w:t xml:space="preserve">The </w:t>
      </w:r>
      <w:r w:rsidR="00E75CE7">
        <w:t>re</w:t>
      </w:r>
      <w:r w:rsidRPr="00197970">
        <w:t>submission presented a cost</w:t>
      </w:r>
      <w:r w:rsidR="00221C1A">
        <w:t>-</w:t>
      </w:r>
      <w:r w:rsidRPr="00197970">
        <w:t>utility analysis, ba</w:t>
      </w:r>
      <w:r>
        <w:t>sed on the results of Trial 312</w:t>
      </w:r>
      <w:r>
        <w:noBreakHyphen/>
      </w:r>
      <w:r w:rsidRPr="00197970">
        <w:t>0116.</w:t>
      </w:r>
      <w:r>
        <w:t xml:space="preserve"> </w:t>
      </w:r>
      <w:r w:rsidR="00360099">
        <w:t>A comparison between the model presented in the resubmission and the previous submission</w:t>
      </w:r>
      <w:r w:rsidR="00221C1A">
        <w:t xml:space="preserve"> </w:t>
      </w:r>
      <w:r w:rsidR="00707C83">
        <w:t xml:space="preserve">is </w:t>
      </w:r>
      <w:r>
        <w:t xml:space="preserve">summarised in Table </w:t>
      </w:r>
      <w:r w:rsidR="0018203D">
        <w:t>7</w:t>
      </w:r>
      <w:r w:rsidR="002D681D">
        <w:t>.</w:t>
      </w:r>
    </w:p>
    <w:p w:rsidR="00285362" w:rsidRDefault="00285362" w:rsidP="00285362">
      <w:pPr>
        <w:pStyle w:val="TableHeader"/>
        <w:ind w:firstLine="720"/>
        <w:rPr>
          <w:rFonts w:ascii="Arial Narrow" w:hAnsi="Arial Narrow"/>
          <w:bCs/>
        </w:rPr>
      </w:pPr>
    </w:p>
    <w:p w:rsidR="00A34711" w:rsidRDefault="00A34711">
      <w:pPr>
        <w:widowControl/>
        <w:jc w:val="left"/>
        <w:rPr>
          <w:rFonts w:ascii="Arial Narrow" w:hAnsi="Arial Narrow"/>
          <w:b/>
          <w:bCs/>
          <w:sz w:val="20"/>
        </w:rPr>
      </w:pPr>
      <w:r>
        <w:rPr>
          <w:rFonts w:ascii="Arial Narrow" w:hAnsi="Arial Narrow"/>
          <w:bCs/>
        </w:rPr>
        <w:br w:type="page"/>
      </w:r>
    </w:p>
    <w:p w:rsidR="0029025B" w:rsidRPr="0029025B" w:rsidRDefault="0029025B" w:rsidP="0029025B">
      <w:pPr>
        <w:pStyle w:val="Caption"/>
        <w:keepNext/>
        <w:ind w:firstLine="720"/>
        <w:rPr>
          <w:rFonts w:ascii="Arial Narrow" w:hAnsi="Arial Narrow"/>
          <w:color w:val="auto"/>
          <w:sz w:val="20"/>
        </w:rPr>
      </w:pPr>
      <w:r w:rsidRPr="0029025B">
        <w:rPr>
          <w:rFonts w:ascii="Arial Narrow" w:hAnsi="Arial Narrow"/>
          <w:color w:val="auto"/>
          <w:sz w:val="20"/>
        </w:rPr>
        <w:lastRenderedPageBreak/>
        <w:t xml:space="preserve">Table </w:t>
      </w:r>
      <w:r w:rsidRPr="0029025B">
        <w:rPr>
          <w:rFonts w:ascii="Arial Narrow" w:hAnsi="Arial Narrow"/>
          <w:color w:val="auto"/>
          <w:sz w:val="20"/>
        </w:rPr>
        <w:fldChar w:fldCharType="begin"/>
      </w:r>
      <w:r w:rsidRPr="0029025B">
        <w:rPr>
          <w:rFonts w:ascii="Arial Narrow" w:hAnsi="Arial Narrow"/>
          <w:color w:val="auto"/>
          <w:sz w:val="20"/>
        </w:rPr>
        <w:instrText xml:space="preserve"> SEQ Table \* ARABIC </w:instrText>
      </w:r>
      <w:r w:rsidRPr="0029025B">
        <w:rPr>
          <w:rFonts w:ascii="Arial Narrow" w:hAnsi="Arial Narrow"/>
          <w:color w:val="auto"/>
          <w:sz w:val="20"/>
        </w:rPr>
        <w:fldChar w:fldCharType="separate"/>
      </w:r>
      <w:r w:rsidR="00AD392C">
        <w:rPr>
          <w:rFonts w:ascii="Arial Narrow" w:hAnsi="Arial Narrow"/>
          <w:noProof/>
          <w:color w:val="auto"/>
          <w:sz w:val="20"/>
        </w:rPr>
        <w:t>7</w:t>
      </w:r>
      <w:r w:rsidRPr="0029025B">
        <w:rPr>
          <w:rFonts w:ascii="Arial Narrow" w:hAnsi="Arial Narrow"/>
          <w:color w:val="auto"/>
          <w:sz w:val="20"/>
        </w:rPr>
        <w:fldChar w:fldCharType="end"/>
      </w:r>
      <w:r w:rsidRPr="0029025B">
        <w:rPr>
          <w:rFonts w:ascii="Arial Narrow" w:hAnsi="Arial Narrow"/>
          <w:color w:val="auto"/>
          <w:sz w:val="20"/>
        </w:rPr>
        <w:t>: 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Summary of economic model structure"/>
      </w:tblPr>
      <w:tblGrid>
        <w:gridCol w:w="1505"/>
        <w:gridCol w:w="1140"/>
        <w:gridCol w:w="1140"/>
        <w:gridCol w:w="1140"/>
        <w:gridCol w:w="1140"/>
        <w:gridCol w:w="1140"/>
        <w:gridCol w:w="1140"/>
      </w:tblGrid>
      <w:tr w:rsidR="00496601" w:rsidRPr="00E2771E" w:rsidTr="00A34711">
        <w:trPr>
          <w:cantSplit/>
          <w:tblHeader/>
        </w:trPr>
        <w:tc>
          <w:tcPr>
            <w:tcW w:w="902" w:type="pct"/>
            <w:shd w:val="clear" w:color="auto" w:fill="auto"/>
            <w:vAlign w:val="center"/>
          </w:tcPr>
          <w:p w:rsidR="00496601" w:rsidRPr="00E2771E" w:rsidRDefault="00496601" w:rsidP="00380AB3">
            <w:pPr>
              <w:keepNext/>
              <w:keepLines/>
              <w:widowControl/>
              <w:jc w:val="left"/>
              <w:rPr>
                <w:rFonts w:ascii="Arial Narrow" w:hAnsi="Arial Narrow"/>
                <w:b/>
                <w:sz w:val="20"/>
              </w:rPr>
            </w:pPr>
            <w:r w:rsidRPr="00E2771E">
              <w:rPr>
                <w:rFonts w:ascii="Arial Narrow" w:hAnsi="Arial Narrow"/>
                <w:b/>
                <w:sz w:val="20"/>
              </w:rPr>
              <w:t>Component</w:t>
            </w:r>
          </w:p>
        </w:tc>
        <w:tc>
          <w:tcPr>
            <w:tcW w:w="2049" w:type="pct"/>
            <w:gridSpan w:val="3"/>
            <w:shd w:val="clear" w:color="auto" w:fill="auto"/>
            <w:vAlign w:val="center"/>
          </w:tcPr>
          <w:p w:rsidR="00496601" w:rsidRDefault="00496601" w:rsidP="00380AB3">
            <w:pPr>
              <w:pStyle w:val="tablenotes"/>
              <w:keepNext/>
              <w:keepLines/>
              <w:widowControl/>
              <w:jc w:val="left"/>
              <w:rPr>
                <w:rFonts w:ascii="Arial Narrow" w:hAnsi="Arial Narrow"/>
                <w:b/>
              </w:rPr>
            </w:pPr>
            <w:r>
              <w:rPr>
                <w:rFonts w:ascii="Arial Narrow" w:hAnsi="Arial Narrow"/>
                <w:b/>
              </w:rPr>
              <w:t>Idelalisib November 2015:</w:t>
            </w:r>
          </w:p>
          <w:p w:rsidR="00496601" w:rsidRPr="00B61871" w:rsidRDefault="00496601" w:rsidP="00380AB3">
            <w:pPr>
              <w:pStyle w:val="tablenotes"/>
              <w:keepNext/>
              <w:keepLines/>
              <w:widowControl/>
              <w:jc w:val="left"/>
              <w:rPr>
                <w:rFonts w:ascii="Arial Narrow" w:hAnsi="Arial Narrow"/>
                <w:b/>
              </w:rPr>
            </w:pPr>
            <w:r w:rsidRPr="00B61871">
              <w:rPr>
                <w:rFonts w:ascii="Arial Narrow" w:hAnsi="Arial Narrow"/>
                <w:b/>
              </w:rPr>
              <w:t xml:space="preserve">Current </w:t>
            </w:r>
            <w:r>
              <w:rPr>
                <w:rFonts w:ascii="Arial Narrow" w:hAnsi="Arial Narrow"/>
                <w:b/>
              </w:rPr>
              <w:t>resubmission</w:t>
            </w:r>
          </w:p>
        </w:tc>
        <w:tc>
          <w:tcPr>
            <w:tcW w:w="2049" w:type="pct"/>
            <w:gridSpan w:val="3"/>
            <w:vAlign w:val="center"/>
          </w:tcPr>
          <w:p w:rsidR="00496601" w:rsidRDefault="00496601" w:rsidP="00380AB3">
            <w:pPr>
              <w:pStyle w:val="tablenotes"/>
              <w:keepNext/>
              <w:keepLines/>
              <w:widowControl/>
              <w:jc w:val="left"/>
              <w:rPr>
                <w:rFonts w:ascii="Arial Narrow" w:hAnsi="Arial Narrow"/>
                <w:b/>
              </w:rPr>
            </w:pPr>
            <w:r>
              <w:rPr>
                <w:rFonts w:ascii="Arial Narrow" w:hAnsi="Arial Narrow"/>
                <w:b/>
              </w:rPr>
              <w:t>Idelalisib March 2015:</w:t>
            </w:r>
          </w:p>
          <w:p w:rsidR="00496601" w:rsidRPr="00B61871" w:rsidRDefault="00496601" w:rsidP="00380AB3">
            <w:pPr>
              <w:pStyle w:val="tablenotes"/>
              <w:keepNext/>
              <w:keepLines/>
              <w:widowControl/>
              <w:jc w:val="left"/>
              <w:rPr>
                <w:rFonts w:ascii="Arial Narrow" w:hAnsi="Arial Narrow"/>
                <w:b/>
              </w:rPr>
            </w:pPr>
            <w:r>
              <w:rPr>
                <w:rFonts w:ascii="Arial Narrow" w:hAnsi="Arial Narrow"/>
                <w:b/>
              </w:rPr>
              <w:t>Previous s</w:t>
            </w:r>
            <w:r w:rsidRPr="00B61871">
              <w:rPr>
                <w:rFonts w:ascii="Arial Narrow" w:hAnsi="Arial Narrow"/>
                <w:b/>
              </w:rPr>
              <w:t>ubmission</w:t>
            </w:r>
          </w:p>
        </w:tc>
      </w:tr>
      <w:tr w:rsidR="00496601" w:rsidRPr="00E2771E" w:rsidTr="00A34711">
        <w:trPr>
          <w:cantSplit/>
        </w:trPr>
        <w:tc>
          <w:tcPr>
            <w:tcW w:w="902" w:type="pct"/>
            <w:shd w:val="clear" w:color="auto" w:fill="auto"/>
            <w:vAlign w:val="center"/>
          </w:tcPr>
          <w:p w:rsidR="00496601" w:rsidRPr="00EC6070" w:rsidRDefault="00496601" w:rsidP="00380AB3">
            <w:pPr>
              <w:pStyle w:val="tablenotes"/>
              <w:keepNext/>
              <w:keepLines/>
              <w:widowControl/>
              <w:jc w:val="left"/>
              <w:rPr>
                <w:rFonts w:ascii="Arial Narrow" w:hAnsi="Arial Narrow"/>
              </w:rPr>
            </w:pPr>
            <w:r>
              <w:rPr>
                <w:rFonts w:ascii="Arial Narrow" w:hAnsi="Arial Narrow"/>
              </w:rPr>
              <w:t>Model structure</w:t>
            </w:r>
          </w:p>
        </w:tc>
        <w:tc>
          <w:tcPr>
            <w:tcW w:w="2049" w:type="pct"/>
            <w:gridSpan w:val="3"/>
            <w:shd w:val="clear" w:color="auto" w:fill="auto"/>
            <w:vAlign w:val="center"/>
          </w:tcPr>
          <w:p w:rsidR="00496601" w:rsidRPr="003A036C" w:rsidRDefault="00496601" w:rsidP="00380AB3">
            <w:pPr>
              <w:pStyle w:val="tablenotes"/>
              <w:keepNext/>
              <w:keepLines/>
              <w:widowControl/>
              <w:jc w:val="left"/>
              <w:rPr>
                <w:rFonts w:ascii="Arial Narrow" w:hAnsi="Arial Narrow"/>
              </w:rPr>
            </w:pPr>
            <w:r w:rsidRPr="003A036C">
              <w:rPr>
                <w:rFonts w:ascii="Arial Narrow" w:hAnsi="Arial Narrow"/>
              </w:rPr>
              <w:t>3 health states</w:t>
            </w:r>
          </w:p>
          <w:p w:rsidR="00496601" w:rsidRPr="003A036C" w:rsidRDefault="00496601" w:rsidP="00380AB3">
            <w:pPr>
              <w:pStyle w:val="tablenotes"/>
              <w:keepNext/>
              <w:keepLines/>
              <w:widowControl/>
              <w:jc w:val="left"/>
              <w:rPr>
                <w:rFonts w:ascii="Arial Narrow" w:hAnsi="Arial Narrow"/>
              </w:rPr>
            </w:pPr>
            <w:r w:rsidRPr="003A036C">
              <w:rPr>
                <w:rFonts w:ascii="Arial Narrow" w:hAnsi="Arial Narrow"/>
              </w:rPr>
              <w:t>7-day cycles</w:t>
            </w:r>
          </w:p>
        </w:tc>
        <w:tc>
          <w:tcPr>
            <w:tcW w:w="2049" w:type="pct"/>
            <w:gridSpan w:val="3"/>
            <w:vAlign w:val="center"/>
          </w:tcPr>
          <w:p w:rsidR="00496601" w:rsidRPr="003A036C" w:rsidRDefault="00496601" w:rsidP="00380AB3">
            <w:pPr>
              <w:pStyle w:val="tablenotes"/>
              <w:keepNext/>
              <w:keepLines/>
              <w:widowControl/>
              <w:jc w:val="left"/>
              <w:rPr>
                <w:rFonts w:ascii="Arial Narrow" w:hAnsi="Arial Narrow"/>
              </w:rPr>
            </w:pPr>
            <w:r w:rsidRPr="003A036C">
              <w:rPr>
                <w:rFonts w:ascii="Arial Narrow" w:hAnsi="Arial Narrow"/>
              </w:rPr>
              <w:t>3</w:t>
            </w:r>
            <w:r>
              <w:rPr>
                <w:rFonts w:ascii="Arial Narrow" w:hAnsi="Arial Narrow"/>
              </w:rPr>
              <w:t xml:space="preserve"> </w:t>
            </w:r>
            <w:r w:rsidRPr="003A036C">
              <w:rPr>
                <w:rFonts w:ascii="Arial Narrow" w:hAnsi="Arial Narrow"/>
              </w:rPr>
              <w:t>health states</w:t>
            </w:r>
          </w:p>
          <w:p w:rsidR="00496601" w:rsidRPr="003A036C" w:rsidRDefault="00496601" w:rsidP="00380AB3">
            <w:pPr>
              <w:pStyle w:val="tablenotes"/>
              <w:keepNext/>
              <w:keepLines/>
              <w:widowControl/>
              <w:jc w:val="left"/>
              <w:rPr>
                <w:rFonts w:ascii="Arial Narrow" w:hAnsi="Arial Narrow"/>
              </w:rPr>
            </w:pPr>
            <w:r w:rsidRPr="003A036C">
              <w:rPr>
                <w:rFonts w:ascii="Arial Narrow" w:hAnsi="Arial Narrow"/>
              </w:rPr>
              <w:t>7-day cycles</w:t>
            </w:r>
          </w:p>
        </w:tc>
      </w:tr>
      <w:tr w:rsidR="00496601" w:rsidRPr="00E2771E" w:rsidTr="00A34711">
        <w:trPr>
          <w:cantSplit/>
        </w:trPr>
        <w:tc>
          <w:tcPr>
            <w:tcW w:w="902" w:type="pct"/>
            <w:shd w:val="clear" w:color="auto" w:fill="auto"/>
            <w:vAlign w:val="center"/>
          </w:tcPr>
          <w:p w:rsidR="00496601" w:rsidRDefault="00496601" w:rsidP="00380AB3">
            <w:pPr>
              <w:pStyle w:val="tablenotes"/>
              <w:keepNext/>
              <w:keepLines/>
              <w:widowControl/>
              <w:jc w:val="left"/>
              <w:rPr>
                <w:rFonts w:ascii="Arial Narrow" w:hAnsi="Arial Narrow"/>
              </w:rPr>
            </w:pPr>
            <w:r>
              <w:rPr>
                <w:rFonts w:ascii="Arial Narrow" w:hAnsi="Arial Narrow"/>
              </w:rPr>
              <w:t>Idelalisib + Rituximab cost</w:t>
            </w:r>
          </w:p>
        </w:tc>
        <w:tc>
          <w:tcPr>
            <w:tcW w:w="2049" w:type="pct"/>
            <w:gridSpan w:val="3"/>
            <w:shd w:val="clear" w:color="auto" w:fill="auto"/>
            <w:vAlign w:val="center"/>
          </w:tcPr>
          <w:p w:rsidR="00496601" w:rsidRDefault="00496601" w:rsidP="00380AB3">
            <w:pPr>
              <w:pStyle w:val="tablenotes"/>
              <w:keepNext/>
              <w:keepLines/>
              <w:widowControl/>
              <w:jc w:val="left"/>
              <w:rPr>
                <w:rFonts w:ascii="Arial Narrow" w:hAnsi="Arial Narrow"/>
              </w:rPr>
            </w:pPr>
            <w:r w:rsidRPr="007210C4">
              <w:rPr>
                <w:rFonts w:ascii="Arial Narrow" w:hAnsi="Arial Narrow"/>
              </w:rPr>
              <w:t>Idelalisib average cost</w:t>
            </w:r>
            <w:r>
              <w:rPr>
                <w:rFonts w:ascii="Arial Narrow" w:hAnsi="Arial Narrow"/>
              </w:rPr>
              <w:t xml:space="preserve"> / </w:t>
            </w:r>
            <w:r w:rsidRPr="007210C4">
              <w:rPr>
                <w:rFonts w:ascii="Arial Narrow" w:hAnsi="Arial Narrow"/>
              </w:rPr>
              <w:t>week</w:t>
            </w:r>
            <w:r>
              <w:rPr>
                <w:rFonts w:ascii="Arial Narrow" w:hAnsi="Arial Narrow"/>
              </w:rPr>
              <w:t xml:space="preserve"> = </w:t>
            </w:r>
            <w:r w:rsidRPr="007210C4">
              <w:rPr>
                <w:rFonts w:ascii="Arial Narrow" w:hAnsi="Arial Narrow"/>
              </w:rPr>
              <w:t>$</w:t>
            </w:r>
            <w:r w:rsidR="006D3878">
              <w:rPr>
                <w:rFonts w:ascii="Arial Narrow" w:hAnsi="Arial Narrow"/>
                <w:noProof/>
                <w:color w:val="000000"/>
                <w:highlight w:val="black"/>
              </w:rPr>
              <w:t>'''''''''''''''''</w:t>
            </w:r>
          </w:p>
          <w:p w:rsidR="00496601" w:rsidRPr="00E813E1" w:rsidRDefault="00496601" w:rsidP="00380AB3">
            <w:pPr>
              <w:pStyle w:val="tablenotes"/>
              <w:keepNext/>
              <w:keepLines/>
              <w:widowControl/>
              <w:jc w:val="left"/>
              <w:rPr>
                <w:rFonts w:ascii="Arial Narrow" w:hAnsi="Arial Narrow"/>
                <w:highlight w:val="red"/>
              </w:rPr>
            </w:pPr>
            <w:r w:rsidRPr="007210C4">
              <w:rPr>
                <w:rFonts w:ascii="Arial Narrow" w:hAnsi="Arial Narrow"/>
              </w:rPr>
              <w:t>Total RTX cost (IR)</w:t>
            </w:r>
            <w:r>
              <w:rPr>
                <w:rFonts w:ascii="Arial Narrow" w:hAnsi="Arial Narrow"/>
              </w:rPr>
              <w:t xml:space="preserve"> = </w:t>
            </w:r>
            <w:r w:rsidRPr="007210C4">
              <w:rPr>
                <w:rFonts w:ascii="Arial Narrow" w:hAnsi="Arial Narrow"/>
              </w:rPr>
              <w:t>$</w:t>
            </w:r>
            <w:r w:rsidR="006D3878">
              <w:rPr>
                <w:rFonts w:ascii="Arial Narrow" w:hAnsi="Arial Narrow"/>
                <w:noProof/>
                <w:color w:val="000000"/>
                <w:highlight w:val="black"/>
              </w:rPr>
              <w:t>''''''''''''''''''</w:t>
            </w:r>
          </w:p>
        </w:tc>
        <w:tc>
          <w:tcPr>
            <w:tcW w:w="2049" w:type="pct"/>
            <w:gridSpan w:val="3"/>
            <w:vAlign w:val="center"/>
          </w:tcPr>
          <w:p w:rsidR="00496601" w:rsidRDefault="00496601" w:rsidP="00380AB3">
            <w:pPr>
              <w:pStyle w:val="tablenotes"/>
              <w:keepNext/>
              <w:keepLines/>
              <w:widowControl/>
              <w:jc w:val="left"/>
              <w:rPr>
                <w:rFonts w:ascii="Arial Narrow" w:hAnsi="Arial Narrow"/>
              </w:rPr>
            </w:pPr>
            <w:r w:rsidRPr="007210C4">
              <w:rPr>
                <w:rFonts w:ascii="Arial Narrow" w:hAnsi="Arial Narrow"/>
              </w:rPr>
              <w:t>Idelalisib average cost</w:t>
            </w:r>
            <w:r>
              <w:rPr>
                <w:rFonts w:ascii="Arial Narrow" w:hAnsi="Arial Narrow"/>
              </w:rPr>
              <w:t xml:space="preserve"> / </w:t>
            </w:r>
            <w:r w:rsidRPr="007210C4">
              <w:rPr>
                <w:rFonts w:ascii="Arial Narrow" w:hAnsi="Arial Narrow"/>
              </w:rPr>
              <w:t>week</w:t>
            </w:r>
            <w:r>
              <w:rPr>
                <w:rFonts w:ascii="Arial Narrow" w:hAnsi="Arial Narrow"/>
              </w:rPr>
              <w:t xml:space="preserve"> = </w:t>
            </w:r>
            <w:r w:rsidRPr="007210C4">
              <w:rPr>
                <w:rFonts w:ascii="Arial Narrow" w:hAnsi="Arial Narrow"/>
              </w:rPr>
              <w:t>$</w:t>
            </w:r>
            <w:r w:rsidR="006D3878">
              <w:rPr>
                <w:rFonts w:ascii="Arial Narrow" w:hAnsi="Arial Narrow"/>
                <w:noProof/>
                <w:color w:val="000000"/>
                <w:highlight w:val="black"/>
              </w:rPr>
              <w:t>''''''''''''''''</w:t>
            </w:r>
          </w:p>
          <w:p w:rsidR="00496601" w:rsidRPr="00C42490" w:rsidRDefault="00496601" w:rsidP="00380AB3">
            <w:pPr>
              <w:pStyle w:val="tablenotes"/>
              <w:keepNext/>
              <w:keepLines/>
              <w:widowControl/>
              <w:jc w:val="left"/>
              <w:rPr>
                <w:rFonts w:ascii="Arial Narrow" w:hAnsi="Arial Narrow"/>
              </w:rPr>
            </w:pPr>
            <w:r w:rsidRPr="007210C4">
              <w:rPr>
                <w:rFonts w:ascii="Arial Narrow" w:hAnsi="Arial Narrow"/>
              </w:rPr>
              <w:t>Total RTX cost (IR)</w:t>
            </w:r>
            <w:r>
              <w:rPr>
                <w:rFonts w:ascii="Arial Narrow" w:hAnsi="Arial Narrow"/>
              </w:rPr>
              <w:t xml:space="preserve"> = $</w:t>
            </w:r>
            <w:r w:rsidR="006D3878">
              <w:rPr>
                <w:rFonts w:ascii="Arial Narrow" w:hAnsi="Arial Narrow"/>
                <w:noProof/>
                <w:color w:val="000000"/>
                <w:highlight w:val="black"/>
              </w:rPr>
              <w:t>''''''''''''''''</w:t>
            </w:r>
          </w:p>
        </w:tc>
      </w:tr>
      <w:tr w:rsidR="00496601" w:rsidRPr="00E2771E" w:rsidTr="00A34711">
        <w:trPr>
          <w:cantSplit/>
        </w:trPr>
        <w:tc>
          <w:tcPr>
            <w:tcW w:w="902" w:type="pct"/>
            <w:shd w:val="clear" w:color="auto" w:fill="auto"/>
            <w:vAlign w:val="center"/>
          </w:tcPr>
          <w:p w:rsidR="00496601" w:rsidRDefault="00496601" w:rsidP="00380AB3">
            <w:pPr>
              <w:pStyle w:val="tablenotes"/>
              <w:keepNext/>
              <w:keepLines/>
              <w:widowControl/>
              <w:jc w:val="left"/>
              <w:rPr>
                <w:rFonts w:ascii="Arial Narrow" w:hAnsi="Arial Narrow"/>
              </w:rPr>
            </w:pPr>
            <w:r>
              <w:rPr>
                <w:rFonts w:ascii="Arial Narrow" w:hAnsi="Arial Narrow"/>
              </w:rPr>
              <w:t>Comparator and costs</w:t>
            </w:r>
          </w:p>
        </w:tc>
        <w:tc>
          <w:tcPr>
            <w:tcW w:w="2049" w:type="pct"/>
            <w:gridSpan w:val="3"/>
            <w:shd w:val="clear" w:color="auto" w:fill="auto"/>
            <w:vAlign w:val="center"/>
          </w:tcPr>
          <w:p w:rsidR="00496601" w:rsidRPr="00E813E1" w:rsidRDefault="00496601" w:rsidP="00380AB3">
            <w:pPr>
              <w:pStyle w:val="tablenotes"/>
              <w:keepNext/>
              <w:keepLines/>
              <w:widowControl/>
              <w:jc w:val="left"/>
              <w:rPr>
                <w:rFonts w:ascii="Arial Narrow" w:hAnsi="Arial Narrow"/>
                <w:highlight w:val="red"/>
              </w:rPr>
            </w:pPr>
            <w:r>
              <w:rPr>
                <w:rFonts w:ascii="Arial Narrow" w:hAnsi="Arial Narrow"/>
              </w:rPr>
              <w:t>BSC = $0</w:t>
            </w:r>
          </w:p>
        </w:tc>
        <w:tc>
          <w:tcPr>
            <w:tcW w:w="2049" w:type="pct"/>
            <w:gridSpan w:val="3"/>
            <w:vAlign w:val="center"/>
          </w:tcPr>
          <w:p w:rsidR="00496601" w:rsidRPr="00E813E1" w:rsidRDefault="00496601" w:rsidP="00380AB3">
            <w:pPr>
              <w:pStyle w:val="tablenotes"/>
              <w:keepNext/>
              <w:keepLines/>
              <w:widowControl/>
              <w:jc w:val="left"/>
              <w:rPr>
                <w:rFonts w:ascii="Arial Narrow" w:hAnsi="Arial Narrow"/>
                <w:highlight w:val="red"/>
              </w:rPr>
            </w:pPr>
            <w:r>
              <w:rPr>
                <w:rFonts w:ascii="Arial Narrow" w:hAnsi="Arial Narrow"/>
              </w:rPr>
              <w:t>Rituximab = $29,181</w:t>
            </w:r>
          </w:p>
        </w:tc>
      </w:tr>
      <w:tr w:rsidR="00496601" w:rsidRPr="00E2771E" w:rsidTr="00A34711">
        <w:trPr>
          <w:cantSplit/>
          <w:trHeight w:val="61"/>
        </w:trPr>
        <w:tc>
          <w:tcPr>
            <w:tcW w:w="902" w:type="pct"/>
            <w:vMerge w:val="restart"/>
            <w:shd w:val="clear" w:color="auto" w:fill="auto"/>
            <w:vAlign w:val="center"/>
          </w:tcPr>
          <w:p w:rsidR="00496601" w:rsidRDefault="00496601" w:rsidP="00380AB3">
            <w:pPr>
              <w:pStyle w:val="tablenotes"/>
              <w:keepNext/>
              <w:keepLines/>
              <w:widowControl/>
              <w:jc w:val="left"/>
              <w:rPr>
                <w:rFonts w:ascii="Arial Narrow" w:hAnsi="Arial Narrow"/>
              </w:rPr>
            </w:pPr>
            <w:r>
              <w:rPr>
                <w:rFonts w:ascii="Arial Narrow" w:hAnsi="Arial Narrow"/>
              </w:rPr>
              <w:t>Utility values</w:t>
            </w:r>
          </w:p>
        </w:tc>
        <w:tc>
          <w:tcPr>
            <w:tcW w:w="1366" w:type="pct"/>
            <w:gridSpan w:val="2"/>
            <w:shd w:val="clear" w:color="auto" w:fill="auto"/>
            <w:vAlign w:val="center"/>
          </w:tcPr>
          <w:p w:rsidR="00496601" w:rsidRPr="004E2ADC" w:rsidRDefault="00496601" w:rsidP="00380AB3">
            <w:pPr>
              <w:keepNext/>
              <w:keepLines/>
              <w:widowControl/>
              <w:jc w:val="left"/>
              <w:rPr>
                <w:rFonts w:ascii="Arial Narrow" w:hAnsi="Arial Narrow"/>
                <w:b/>
                <w:sz w:val="20"/>
              </w:rPr>
            </w:pPr>
          </w:p>
        </w:tc>
        <w:tc>
          <w:tcPr>
            <w:tcW w:w="1366" w:type="pct"/>
            <w:gridSpan w:val="2"/>
            <w:shd w:val="clear" w:color="auto" w:fill="auto"/>
            <w:vAlign w:val="center"/>
          </w:tcPr>
          <w:p w:rsidR="00496601" w:rsidRPr="004E2ADC" w:rsidRDefault="00496601" w:rsidP="00380AB3">
            <w:pPr>
              <w:keepNext/>
              <w:keepLines/>
              <w:widowControl/>
              <w:jc w:val="left"/>
              <w:rPr>
                <w:rFonts w:ascii="Arial Narrow" w:hAnsi="Arial Narrow"/>
                <w:b/>
                <w:sz w:val="20"/>
              </w:rPr>
            </w:pPr>
            <w:r>
              <w:rPr>
                <w:rFonts w:ascii="Arial Narrow" w:hAnsi="Arial Narrow"/>
                <w:b/>
                <w:sz w:val="20"/>
              </w:rPr>
              <w:t>Idelalisib + rituximab</w:t>
            </w:r>
          </w:p>
        </w:tc>
        <w:tc>
          <w:tcPr>
            <w:tcW w:w="1366" w:type="pct"/>
            <w:gridSpan w:val="2"/>
            <w:shd w:val="clear" w:color="auto" w:fill="auto"/>
            <w:vAlign w:val="center"/>
          </w:tcPr>
          <w:p w:rsidR="00496601" w:rsidRPr="004E2ADC" w:rsidRDefault="00496601" w:rsidP="00380AB3">
            <w:pPr>
              <w:keepNext/>
              <w:keepLines/>
              <w:widowControl/>
              <w:jc w:val="left"/>
              <w:rPr>
                <w:rFonts w:ascii="Arial Narrow" w:hAnsi="Arial Narrow"/>
                <w:b/>
                <w:sz w:val="20"/>
              </w:rPr>
            </w:pPr>
            <w:r>
              <w:rPr>
                <w:rFonts w:ascii="Arial Narrow" w:hAnsi="Arial Narrow"/>
                <w:b/>
                <w:sz w:val="20"/>
              </w:rPr>
              <w:t>BSC</w:t>
            </w:r>
          </w:p>
        </w:tc>
      </w:tr>
      <w:tr w:rsidR="00496601" w:rsidRPr="00E2771E" w:rsidTr="00A34711">
        <w:trPr>
          <w:cantSplit/>
          <w:trHeight w:val="59"/>
        </w:trPr>
        <w:tc>
          <w:tcPr>
            <w:tcW w:w="902" w:type="pct"/>
            <w:vMerge/>
            <w:shd w:val="clear" w:color="auto" w:fill="auto"/>
            <w:vAlign w:val="center"/>
          </w:tcPr>
          <w:p w:rsidR="00496601" w:rsidRDefault="00496601" w:rsidP="00380AB3">
            <w:pPr>
              <w:pStyle w:val="tablenotes"/>
              <w:keepNext/>
              <w:keepLines/>
              <w:widowControl/>
              <w:jc w:val="left"/>
              <w:rPr>
                <w:rFonts w:ascii="Arial Narrow" w:hAnsi="Arial Narrow"/>
              </w:rPr>
            </w:pPr>
          </w:p>
        </w:tc>
        <w:tc>
          <w:tcPr>
            <w:tcW w:w="1366" w:type="pct"/>
            <w:gridSpan w:val="2"/>
            <w:shd w:val="clear" w:color="auto" w:fill="auto"/>
            <w:vAlign w:val="center"/>
          </w:tcPr>
          <w:p w:rsidR="00496601" w:rsidRPr="004E2ADC" w:rsidRDefault="00496601" w:rsidP="00380AB3">
            <w:pPr>
              <w:keepNext/>
              <w:keepLines/>
              <w:widowControl/>
              <w:jc w:val="left"/>
              <w:rPr>
                <w:rFonts w:ascii="Arial Narrow" w:hAnsi="Arial Narrow"/>
                <w:sz w:val="20"/>
              </w:rPr>
            </w:pPr>
            <w:r>
              <w:rPr>
                <w:rFonts w:ascii="Arial Narrow" w:hAnsi="Arial Narrow"/>
                <w:sz w:val="20"/>
              </w:rPr>
              <w:t>Stable disease</w:t>
            </w:r>
          </w:p>
        </w:tc>
        <w:tc>
          <w:tcPr>
            <w:tcW w:w="1366" w:type="pct"/>
            <w:gridSpan w:val="2"/>
            <w:shd w:val="clear" w:color="auto" w:fill="auto"/>
            <w:vAlign w:val="center"/>
          </w:tcPr>
          <w:p w:rsidR="00496601" w:rsidRPr="004E2ADC" w:rsidRDefault="00496601" w:rsidP="00380AB3">
            <w:pPr>
              <w:keepNext/>
              <w:keepLines/>
              <w:widowControl/>
              <w:jc w:val="left"/>
              <w:rPr>
                <w:rFonts w:ascii="Arial Narrow" w:hAnsi="Arial Narrow"/>
                <w:sz w:val="20"/>
              </w:rPr>
            </w:pPr>
            <w:r>
              <w:rPr>
                <w:rFonts w:ascii="Arial Narrow" w:hAnsi="Arial Narrow"/>
                <w:sz w:val="20"/>
              </w:rPr>
              <w:t>0.71</w:t>
            </w:r>
          </w:p>
        </w:tc>
        <w:tc>
          <w:tcPr>
            <w:tcW w:w="1366" w:type="pct"/>
            <w:gridSpan w:val="2"/>
            <w:shd w:val="clear" w:color="auto" w:fill="auto"/>
            <w:vAlign w:val="center"/>
          </w:tcPr>
          <w:p w:rsidR="00496601" w:rsidRPr="004E2ADC" w:rsidRDefault="00496601" w:rsidP="00380AB3">
            <w:pPr>
              <w:pStyle w:val="Tabletext"/>
              <w:keepNext/>
              <w:keepLines/>
              <w:rPr>
                <w:snapToGrid w:val="0"/>
              </w:rPr>
            </w:pPr>
            <w:r>
              <w:rPr>
                <w:snapToGrid w:val="0"/>
              </w:rPr>
              <w:t>0.71</w:t>
            </w:r>
          </w:p>
        </w:tc>
      </w:tr>
      <w:tr w:rsidR="00496601" w:rsidRPr="00E2771E" w:rsidTr="00A34711">
        <w:trPr>
          <w:cantSplit/>
          <w:trHeight w:val="59"/>
        </w:trPr>
        <w:tc>
          <w:tcPr>
            <w:tcW w:w="902" w:type="pct"/>
            <w:vMerge/>
            <w:shd w:val="clear" w:color="auto" w:fill="auto"/>
            <w:vAlign w:val="center"/>
          </w:tcPr>
          <w:p w:rsidR="00496601" w:rsidRDefault="00496601" w:rsidP="00380AB3">
            <w:pPr>
              <w:pStyle w:val="tablenotes"/>
              <w:keepNext/>
              <w:keepLines/>
              <w:widowControl/>
              <w:jc w:val="left"/>
              <w:rPr>
                <w:rFonts w:ascii="Arial Narrow" w:hAnsi="Arial Narrow"/>
              </w:rPr>
            </w:pPr>
          </w:p>
        </w:tc>
        <w:tc>
          <w:tcPr>
            <w:tcW w:w="1366" w:type="pct"/>
            <w:gridSpan w:val="2"/>
            <w:shd w:val="clear" w:color="auto" w:fill="auto"/>
            <w:vAlign w:val="center"/>
          </w:tcPr>
          <w:p w:rsidR="00496601" w:rsidRPr="004E2ADC" w:rsidRDefault="00496601" w:rsidP="00380AB3">
            <w:pPr>
              <w:keepNext/>
              <w:keepLines/>
              <w:widowControl/>
              <w:jc w:val="left"/>
              <w:rPr>
                <w:rFonts w:ascii="Arial Narrow" w:hAnsi="Arial Narrow"/>
                <w:sz w:val="20"/>
              </w:rPr>
            </w:pPr>
            <w:r>
              <w:rPr>
                <w:rFonts w:ascii="Arial Narrow" w:hAnsi="Arial Narrow"/>
                <w:sz w:val="20"/>
              </w:rPr>
              <w:t>Progressive disease</w:t>
            </w:r>
          </w:p>
        </w:tc>
        <w:tc>
          <w:tcPr>
            <w:tcW w:w="1366" w:type="pct"/>
            <w:gridSpan w:val="2"/>
            <w:shd w:val="clear" w:color="auto" w:fill="auto"/>
            <w:vAlign w:val="center"/>
          </w:tcPr>
          <w:p w:rsidR="00496601" w:rsidRPr="004E2ADC" w:rsidRDefault="00496601" w:rsidP="00380AB3">
            <w:pPr>
              <w:keepNext/>
              <w:keepLines/>
              <w:widowControl/>
              <w:jc w:val="left"/>
              <w:rPr>
                <w:rFonts w:ascii="Arial Narrow" w:hAnsi="Arial Narrow"/>
                <w:sz w:val="20"/>
              </w:rPr>
            </w:pPr>
            <w:r>
              <w:rPr>
                <w:rFonts w:ascii="Arial Narrow" w:hAnsi="Arial Narrow"/>
                <w:sz w:val="20"/>
              </w:rPr>
              <w:t>0.59</w:t>
            </w:r>
          </w:p>
        </w:tc>
        <w:tc>
          <w:tcPr>
            <w:tcW w:w="1366" w:type="pct"/>
            <w:gridSpan w:val="2"/>
            <w:shd w:val="clear" w:color="auto" w:fill="auto"/>
            <w:vAlign w:val="center"/>
          </w:tcPr>
          <w:p w:rsidR="00496601" w:rsidRPr="004E2ADC" w:rsidRDefault="00496601" w:rsidP="00380AB3">
            <w:pPr>
              <w:keepNext/>
              <w:keepLines/>
              <w:widowControl/>
              <w:jc w:val="left"/>
              <w:rPr>
                <w:rFonts w:ascii="Arial Narrow" w:hAnsi="Arial Narrow"/>
                <w:sz w:val="20"/>
              </w:rPr>
            </w:pPr>
            <w:r>
              <w:rPr>
                <w:rFonts w:ascii="Arial Narrow" w:hAnsi="Arial Narrow"/>
                <w:sz w:val="20"/>
              </w:rPr>
              <w:t>0.59</w:t>
            </w:r>
          </w:p>
        </w:tc>
      </w:tr>
      <w:tr w:rsidR="00496601" w:rsidRPr="00E2771E" w:rsidTr="00A34711">
        <w:trPr>
          <w:cantSplit/>
          <w:trHeight w:val="59"/>
        </w:trPr>
        <w:tc>
          <w:tcPr>
            <w:tcW w:w="902" w:type="pct"/>
            <w:vMerge/>
            <w:shd w:val="clear" w:color="auto" w:fill="auto"/>
            <w:vAlign w:val="center"/>
          </w:tcPr>
          <w:p w:rsidR="00496601" w:rsidRDefault="00496601" w:rsidP="00380AB3">
            <w:pPr>
              <w:pStyle w:val="tablenotes"/>
              <w:keepNext/>
              <w:keepLines/>
              <w:widowControl/>
              <w:jc w:val="left"/>
              <w:rPr>
                <w:rFonts w:ascii="Arial Narrow" w:hAnsi="Arial Narrow"/>
              </w:rPr>
            </w:pPr>
          </w:p>
        </w:tc>
        <w:tc>
          <w:tcPr>
            <w:tcW w:w="1366" w:type="pct"/>
            <w:gridSpan w:val="2"/>
            <w:shd w:val="clear" w:color="auto" w:fill="auto"/>
            <w:vAlign w:val="center"/>
          </w:tcPr>
          <w:p w:rsidR="00496601" w:rsidRPr="004E2ADC" w:rsidRDefault="00496601" w:rsidP="00380AB3">
            <w:pPr>
              <w:keepNext/>
              <w:keepLines/>
              <w:widowControl/>
              <w:jc w:val="left"/>
              <w:rPr>
                <w:rFonts w:ascii="Arial Narrow" w:hAnsi="Arial Narrow"/>
                <w:sz w:val="20"/>
              </w:rPr>
            </w:pPr>
            <w:r w:rsidRPr="00265E32">
              <w:rPr>
                <w:rFonts w:ascii="Arial Narrow" w:hAnsi="Arial Narrow"/>
                <w:sz w:val="20"/>
              </w:rPr>
              <w:t xml:space="preserve">Utility decrement due to adverse events </w:t>
            </w:r>
          </w:p>
        </w:tc>
        <w:tc>
          <w:tcPr>
            <w:tcW w:w="1366" w:type="pct"/>
            <w:gridSpan w:val="2"/>
            <w:shd w:val="clear" w:color="auto" w:fill="auto"/>
            <w:vAlign w:val="center"/>
          </w:tcPr>
          <w:p w:rsidR="00496601" w:rsidRDefault="00496601" w:rsidP="00380AB3">
            <w:pPr>
              <w:keepNext/>
              <w:keepLines/>
              <w:widowControl/>
              <w:jc w:val="left"/>
              <w:rPr>
                <w:rFonts w:ascii="Arial Narrow" w:hAnsi="Arial Narrow"/>
                <w:sz w:val="20"/>
              </w:rPr>
            </w:pPr>
            <w:r>
              <w:rPr>
                <w:rFonts w:ascii="Arial Narrow" w:hAnsi="Arial Narrow"/>
                <w:sz w:val="20"/>
              </w:rPr>
              <w:t xml:space="preserve">Submission = -0.0026 </w:t>
            </w:r>
          </w:p>
          <w:p w:rsidR="00496601" w:rsidRPr="00B04CFD" w:rsidRDefault="00496601" w:rsidP="00380AB3">
            <w:pPr>
              <w:keepNext/>
              <w:keepLines/>
              <w:widowControl/>
              <w:jc w:val="left"/>
              <w:rPr>
                <w:rFonts w:ascii="Arial Narrow" w:hAnsi="Arial Narrow"/>
                <w:sz w:val="20"/>
                <w:vertAlign w:val="superscript"/>
              </w:rPr>
            </w:pPr>
            <w:r>
              <w:rPr>
                <w:rFonts w:ascii="Arial Narrow" w:hAnsi="Arial Narrow"/>
                <w:sz w:val="20"/>
              </w:rPr>
              <w:t>Resubmission =-0.0034</w:t>
            </w:r>
          </w:p>
        </w:tc>
        <w:tc>
          <w:tcPr>
            <w:tcW w:w="1366" w:type="pct"/>
            <w:gridSpan w:val="2"/>
            <w:shd w:val="clear" w:color="auto" w:fill="auto"/>
            <w:vAlign w:val="center"/>
          </w:tcPr>
          <w:p w:rsidR="00496601" w:rsidRDefault="00496601" w:rsidP="00380AB3">
            <w:pPr>
              <w:keepNext/>
              <w:keepLines/>
              <w:widowControl/>
              <w:jc w:val="left"/>
              <w:rPr>
                <w:rFonts w:ascii="Arial Narrow" w:hAnsi="Arial Narrow"/>
                <w:sz w:val="20"/>
              </w:rPr>
            </w:pPr>
            <w:r>
              <w:rPr>
                <w:rFonts w:ascii="Arial Narrow" w:hAnsi="Arial Narrow"/>
                <w:sz w:val="20"/>
              </w:rPr>
              <w:t xml:space="preserve">Submission = -0.0020 </w:t>
            </w:r>
          </w:p>
          <w:p w:rsidR="00496601" w:rsidRPr="00B04CFD" w:rsidRDefault="00496601" w:rsidP="00380AB3">
            <w:pPr>
              <w:keepNext/>
              <w:keepLines/>
              <w:widowControl/>
              <w:jc w:val="left"/>
              <w:rPr>
                <w:rFonts w:ascii="Arial Narrow" w:hAnsi="Arial Narrow"/>
                <w:sz w:val="20"/>
                <w:vertAlign w:val="superscript"/>
              </w:rPr>
            </w:pPr>
            <w:r>
              <w:rPr>
                <w:rFonts w:ascii="Arial Narrow" w:hAnsi="Arial Narrow"/>
                <w:sz w:val="20"/>
              </w:rPr>
              <w:t>Resubmission = -0.0021</w:t>
            </w:r>
          </w:p>
        </w:tc>
      </w:tr>
      <w:tr w:rsidR="00496601" w:rsidRPr="00E2771E" w:rsidTr="00A34711">
        <w:trPr>
          <w:cantSplit/>
        </w:trPr>
        <w:tc>
          <w:tcPr>
            <w:tcW w:w="902" w:type="pct"/>
            <w:shd w:val="clear" w:color="auto" w:fill="auto"/>
            <w:vAlign w:val="center"/>
          </w:tcPr>
          <w:p w:rsidR="00496601" w:rsidRDefault="00496601" w:rsidP="00380AB3">
            <w:pPr>
              <w:pStyle w:val="tablenotes"/>
              <w:keepNext/>
              <w:keepLines/>
              <w:widowControl/>
              <w:jc w:val="left"/>
              <w:rPr>
                <w:rFonts w:ascii="Arial Narrow" w:hAnsi="Arial Narrow"/>
              </w:rPr>
            </w:pPr>
            <w:r>
              <w:rPr>
                <w:rFonts w:ascii="Arial Narrow" w:hAnsi="Arial Narrow"/>
              </w:rPr>
              <w:t xml:space="preserve">Weekly health state costs </w:t>
            </w:r>
          </w:p>
        </w:tc>
        <w:tc>
          <w:tcPr>
            <w:tcW w:w="2049" w:type="pct"/>
            <w:gridSpan w:val="3"/>
            <w:shd w:val="clear" w:color="auto" w:fill="auto"/>
            <w:vAlign w:val="center"/>
          </w:tcPr>
          <w:p w:rsidR="00496601" w:rsidRPr="00C42490" w:rsidRDefault="00496601" w:rsidP="00380AB3">
            <w:pPr>
              <w:pStyle w:val="tablenotes"/>
              <w:keepNext/>
              <w:keepLines/>
              <w:widowControl/>
              <w:jc w:val="left"/>
              <w:rPr>
                <w:rFonts w:ascii="Arial Narrow" w:hAnsi="Arial Narrow"/>
              </w:rPr>
            </w:pPr>
            <w:r w:rsidRPr="00C42490">
              <w:rPr>
                <w:rFonts w:ascii="Arial Narrow" w:hAnsi="Arial Narrow"/>
              </w:rPr>
              <w:t>Stable - IR = $</w:t>
            </w:r>
            <w:r w:rsidRPr="0048083F">
              <w:rPr>
                <w:rFonts w:ascii="Arial Narrow" w:hAnsi="Arial Narrow"/>
              </w:rPr>
              <w:t>178.07</w:t>
            </w:r>
          </w:p>
          <w:p w:rsidR="00496601" w:rsidRPr="00C42490" w:rsidRDefault="00496601" w:rsidP="00380AB3">
            <w:pPr>
              <w:pStyle w:val="tablenotes"/>
              <w:keepNext/>
              <w:keepLines/>
              <w:widowControl/>
              <w:jc w:val="left"/>
              <w:rPr>
                <w:rFonts w:ascii="Arial Narrow" w:hAnsi="Arial Narrow"/>
              </w:rPr>
            </w:pPr>
            <w:r w:rsidRPr="00C42490">
              <w:rPr>
                <w:rFonts w:ascii="Arial Narrow" w:hAnsi="Arial Narrow"/>
              </w:rPr>
              <w:t xml:space="preserve">Stable - BSC = </w:t>
            </w:r>
            <w:r>
              <w:rPr>
                <w:rFonts w:ascii="Arial Narrow" w:hAnsi="Arial Narrow"/>
              </w:rPr>
              <w:t>$543.68</w:t>
            </w:r>
            <w:r w:rsidRPr="008C38B2">
              <w:rPr>
                <w:rFonts w:ascii="Arial Narrow" w:hAnsi="Arial Narrow"/>
                <w:vertAlign w:val="superscript"/>
              </w:rPr>
              <w:t>b</w:t>
            </w:r>
          </w:p>
          <w:p w:rsidR="00496601" w:rsidRPr="00C42490" w:rsidRDefault="00496601" w:rsidP="00380AB3">
            <w:pPr>
              <w:pStyle w:val="tablenotes"/>
              <w:keepNext/>
              <w:keepLines/>
              <w:widowControl/>
              <w:jc w:val="left"/>
              <w:rPr>
                <w:rFonts w:ascii="Arial Narrow" w:hAnsi="Arial Narrow"/>
              </w:rPr>
            </w:pPr>
            <w:r w:rsidRPr="00C42490">
              <w:rPr>
                <w:rFonts w:ascii="Arial Narrow" w:hAnsi="Arial Narrow"/>
              </w:rPr>
              <w:t xml:space="preserve">Progressive – both arms = </w:t>
            </w:r>
            <w:r w:rsidRPr="00D4790A">
              <w:rPr>
                <w:rFonts w:ascii="Arial Narrow" w:hAnsi="Arial Narrow"/>
              </w:rPr>
              <w:t>$21.56</w:t>
            </w:r>
          </w:p>
        </w:tc>
        <w:tc>
          <w:tcPr>
            <w:tcW w:w="2049" w:type="pct"/>
            <w:gridSpan w:val="3"/>
            <w:vAlign w:val="center"/>
          </w:tcPr>
          <w:p w:rsidR="00496601" w:rsidRPr="00C42490" w:rsidRDefault="00496601" w:rsidP="00380AB3">
            <w:pPr>
              <w:pStyle w:val="tablenotes"/>
              <w:keepNext/>
              <w:keepLines/>
              <w:widowControl/>
              <w:jc w:val="left"/>
              <w:rPr>
                <w:rFonts w:ascii="Arial Narrow" w:hAnsi="Arial Narrow"/>
              </w:rPr>
            </w:pPr>
            <w:r w:rsidRPr="00C42490">
              <w:rPr>
                <w:rFonts w:ascii="Arial Narrow" w:hAnsi="Arial Narrow"/>
              </w:rPr>
              <w:t xml:space="preserve">Stable - IR </w:t>
            </w:r>
            <w:r>
              <w:rPr>
                <w:rFonts w:ascii="Arial Narrow" w:hAnsi="Arial Narrow"/>
              </w:rPr>
              <w:t>= $</w:t>
            </w:r>
            <w:r w:rsidRPr="0048083F">
              <w:rPr>
                <w:rFonts w:ascii="Arial Narrow" w:hAnsi="Arial Narrow"/>
              </w:rPr>
              <w:t>23.20</w:t>
            </w:r>
          </w:p>
          <w:p w:rsidR="00496601" w:rsidRPr="00C42490" w:rsidRDefault="00496601" w:rsidP="00380AB3">
            <w:pPr>
              <w:pStyle w:val="tablenotes"/>
              <w:keepNext/>
              <w:keepLines/>
              <w:widowControl/>
              <w:jc w:val="left"/>
              <w:rPr>
                <w:rFonts w:ascii="Arial Narrow" w:hAnsi="Arial Narrow"/>
              </w:rPr>
            </w:pPr>
            <w:r w:rsidRPr="00C42490">
              <w:rPr>
                <w:rFonts w:ascii="Arial Narrow" w:hAnsi="Arial Narrow"/>
              </w:rPr>
              <w:t xml:space="preserve">Stable - </w:t>
            </w:r>
            <w:r>
              <w:rPr>
                <w:rFonts w:ascii="Arial Narrow" w:hAnsi="Arial Narrow"/>
              </w:rPr>
              <w:t>rituximab = $23.20</w:t>
            </w:r>
            <w:r w:rsidRPr="00C11677">
              <w:rPr>
                <w:rFonts w:ascii="Arial Narrow" w:hAnsi="Arial Narrow"/>
                <w:vertAlign w:val="superscript"/>
              </w:rPr>
              <w:t xml:space="preserve"> b</w:t>
            </w:r>
          </w:p>
          <w:p w:rsidR="00496601" w:rsidRPr="00C42490" w:rsidRDefault="00496601" w:rsidP="00380AB3">
            <w:pPr>
              <w:pStyle w:val="tablenotes"/>
              <w:keepNext/>
              <w:keepLines/>
              <w:widowControl/>
              <w:jc w:val="left"/>
              <w:rPr>
                <w:rFonts w:ascii="Arial Narrow" w:hAnsi="Arial Narrow"/>
              </w:rPr>
            </w:pPr>
            <w:r w:rsidRPr="00C42490">
              <w:rPr>
                <w:rFonts w:ascii="Arial Narrow" w:hAnsi="Arial Narrow"/>
              </w:rPr>
              <w:t xml:space="preserve">Progressive – both arms = </w:t>
            </w:r>
            <w:r>
              <w:rPr>
                <w:rFonts w:ascii="Arial Narrow" w:hAnsi="Arial Narrow"/>
              </w:rPr>
              <w:t>$69.61</w:t>
            </w:r>
          </w:p>
        </w:tc>
      </w:tr>
      <w:tr w:rsidR="00496601" w:rsidRPr="00E2771E" w:rsidTr="00A34711">
        <w:trPr>
          <w:cantSplit/>
        </w:trPr>
        <w:tc>
          <w:tcPr>
            <w:tcW w:w="902" w:type="pct"/>
            <w:shd w:val="clear" w:color="auto" w:fill="auto"/>
            <w:vAlign w:val="center"/>
          </w:tcPr>
          <w:p w:rsidR="00496601" w:rsidRDefault="00496601" w:rsidP="00380AB3">
            <w:pPr>
              <w:pStyle w:val="tablenotes"/>
              <w:keepNext/>
              <w:keepLines/>
              <w:widowControl/>
              <w:jc w:val="left"/>
              <w:rPr>
                <w:rFonts w:ascii="Arial Narrow" w:hAnsi="Arial Narrow"/>
              </w:rPr>
            </w:pPr>
            <w:r>
              <w:rPr>
                <w:rFonts w:ascii="Arial Narrow" w:hAnsi="Arial Narrow"/>
              </w:rPr>
              <w:t>Adverse event costs</w:t>
            </w:r>
          </w:p>
        </w:tc>
        <w:tc>
          <w:tcPr>
            <w:tcW w:w="2049" w:type="pct"/>
            <w:gridSpan w:val="3"/>
            <w:shd w:val="clear" w:color="auto" w:fill="auto"/>
            <w:vAlign w:val="center"/>
          </w:tcPr>
          <w:p w:rsidR="00496601" w:rsidRPr="003A7D72" w:rsidRDefault="00496601" w:rsidP="00380AB3">
            <w:pPr>
              <w:pStyle w:val="tablenotes"/>
              <w:keepNext/>
              <w:keepLines/>
              <w:widowControl/>
              <w:jc w:val="left"/>
              <w:rPr>
                <w:rFonts w:ascii="Arial Narrow" w:hAnsi="Arial Narrow"/>
                <w:vertAlign w:val="superscript"/>
              </w:rPr>
            </w:pPr>
            <w:r w:rsidRPr="003A7D72">
              <w:rPr>
                <w:rFonts w:ascii="Arial Narrow" w:hAnsi="Arial Narrow"/>
              </w:rPr>
              <w:t>IR = $</w:t>
            </w:r>
            <w:r w:rsidRPr="0048083F">
              <w:rPr>
                <w:rFonts w:ascii="Arial Narrow" w:hAnsi="Arial Narrow"/>
              </w:rPr>
              <w:t>4,565.22</w:t>
            </w:r>
            <w:r w:rsidRPr="003A7D72">
              <w:rPr>
                <w:rFonts w:ascii="Arial Narrow" w:hAnsi="Arial Narrow"/>
              </w:rPr>
              <w:t xml:space="preserve"> </w:t>
            </w:r>
            <w:r w:rsidRPr="003A7D72">
              <w:rPr>
                <w:rFonts w:ascii="Arial Narrow" w:hAnsi="Arial Narrow"/>
                <w:vertAlign w:val="superscript"/>
              </w:rPr>
              <w:t>a</w:t>
            </w:r>
          </w:p>
          <w:p w:rsidR="00496601" w:rsidRPr="003A7D72" w:rsidRDefault="00496601" w:rsidP="00380AB3">
            <w:pPr>
              <w:pStyle w:val="tablenotes"/>
              <w:keepNext/>
              <w:keepLines/>
              <w:widowControl/>
              <w:jc w:val="left"/>
              <w:rPr>
                <w:rFonts w:ascii="Arial Narrow" w:hAnsi="Arial Narrow"/>
                <w:vertAlign w:val="superscript"/>
              </w:rPr>
            </w:pPr>
            <w:r w:rsidRPr="003A7D72">
              <w:rPr>
                <w:rFonts w:ascii="Arial Narrow" w:hAnsi="Arial Narrow"/>
              </w:rPr>
              <w:t xml:space="preserve">BSC = $3,164.51 </w:t>
            </w:r>
            <w:r w:rsidRPr="003A7D72">
              <w:rPr>
                <w:rFonts w:ascii="Arial Narrow" w:hAnsi="Arial Narrow"/>
                <w:vertAlign w:val="superscript"/>
              </w:rPr>
              <w:t>a</w:t>
            </w:r>
          </w:p>
        </w:tc>
        <w:tc>
          <w:tcPr>
            <w:tcW w:w="2049" w:type="pct"/>
            <w:gridSpan w:val="3"/>
            <w:vAlign w:val="center"/>
          </w:tcPr>
          <w:p w:rsidR="00496601" w:rsidRPr="00C42490" w:rsidRDefault="00496601" w:rsidP="00380AB3">
            <w:pPr>
              <w:pStyle w:val="tablenotes"/>
              <w:keepNext/>
              <w:keepLines/>
              <w:widowControl/>
              <w:jc w:val="left"/>
              <w:rPr>
                <w:rFonts w:ascii="Arial Narrow" w:hAnsi="Arial Narrow"/>
              </w:rPr>
            </w:pPr>
            <w:r w:rsidRPr="00C42490">
              <w:rPr>
                <w:rFonts w:ascii="Arial Narrow" w:hAnsi="Arial Narrow"/>
              </w:rPr>
              <w:t>IR = $</w:t>
            </w:r>
            <w:r w:rsidRPr="0048083F">
              <w:rPr>
                <w:rFonts w:ascii="Arial Narrow" w:hAnsi="Arial Narrow"/>
              </w:rPr>
              <w:t>4,079</w:t>
            </w:r>
          </w:p>
          <w:p w:rsidR="00496601" w:rsidRPr="00C42490" w:rsidRDefault="00496601" w:rsidP="00380AB3">
            <w:pPr>
              <w:pStyle w:val="tablenotes"/>
              <w:keepNext/>
              <w:keepLines/>
              <w:widowControl/>
              <w:jc w:val="left"/>
              <w:rPr>
                <w:rFonts w:ascii="Arial Narrow" w:hAnsi="Arial Narrow"/>
              </w:rPr>
            </w:pPr>
            <w:r w:rsidRPr="00C42490">
              <w:rPr>
                <w:rFonts w:ascii="Arial Narrow" w:hAnsi="Arial Narrow"/>
              </w:rPr>
              <w:t>RM = $2,713</w:t>
            </w:r>
          </w:p>
        </w:tc>
      </w:tr>
      <w:tr w:rsidR="00496601" w:rsidRPr="00E2771E" w:rsidTr="00A34711">
        <w:trPr>
          <w:cantSplit/>
        </w:trPr>
        <w:tc>
          <w:tcPr>
            <w:tcW w:w="902" w:type="pct"/>
            <w:shd w:val="clear" w:color="auto" w:fill="auto"/>
            <w:vAlign w:val="center"/>
          </w:tcPr>
          <w:p w:rsidR="00496601" w:rsidRDefault="00496601" w:rsidP="00380AB3">
            <w:pPr>
              <w:pStyle w:val="tablenotes"/>
              <w:keepNext/>
              <w:keepLines/>
              <w:widowControl/>
              <w:jc w:val="left"/>
              <w:rPr>
                <w:rFonts w:ascii="Arial Narrow" w:hAnsi="Arial Narrow"/>
              </w:rPr>
            </w:pPr>
            <w:r>
              <w:rPr>
                <w:rFonts w:ascii="Arial Narrow" w:hAnsi="Arial Narrow"/>
              </w:rPr>
              <w:t>Model duration</w:t>
            </w:r>
          </w:p>
        </w:tc>
        <w:tc>
          <w:tcPr>
            <w:tcW w:w="2049" w:type="pct"/>
            <w:gridSpan w:val="3"/>
            <w:shd w:val="clear" w:color="auto" w:fill="auto"/>
            <w:vAlign w:val="center"/>
          </w:tcPr>
          <w:p w:rsidR="00496601" w:rsidRPr="00C42490" w:rsidRDefault="00496601" w:rsidP="00380AB3">
            <w:pPr>
              <w:pStyle w:val="tablenotes"/>
              <w:keepNext/>
              <w:keepLines/>
              <w:widowControl/>
              <w:jc w:val="left"/>
              <w:rPr>
                <w:rFonts w:ascii="Arial Narrow" w:hAnsi="Arial Narrow"/>
              </w:rPr>
            </w:pPr>
            <w:r w:rsidRPr="00C42490">
              <w:rPr>
                <w:rFonts w:ascii="Arial Narrow" w:hAnsi="Arial Narrow"/>
              </w:rPr>
              <w:t>8 years</w:t>
            </w:r>
          </w:p>
        </w:tc>
        <w:tc>
          <w:tcPr>
            <w:tcW w:w="2049" w:type="pct"/>
            <w:gridSpan w:val="3"/>
            <w:vAlign w:val="center"/>
          </w:tcPr>
          <w:p w:rsidR="00496601" w:rsidRPr="00C42490" w:rsidRDefault="00496601" w:rsidP="00380AB3">
            <w:pPr>
              <w:pStyle w:val="tablenotes"/>
              <w:keepNext/>
              <w:keepLines/>
              <w:widowControl/>
              <w:jc w:val="left"/>
              <w:rPr>
                <w:rFonts w:ascii="Arial Narrow" w:hAnsi="Arial Narrow"/>
              </w:rPr>
            </w:pPr>
            <w:r w:rsidRPr="00C42490">
              <w:rPr>
                <w:rFonts w:ascii="Arial Narrow" w:hAnsi="Arial Narrow"/>
              </w:rPr>
              <w:t>10 years</w:t>
            </w:r>
          </w:p>
        </w:tc>
      </w:tr>
      <w:tr w:rsidR="00496601" w:rsidRPr="00E2771E" w:rsidTr="00A34711">
        <w:trPr>
          <w:cantSplit/>
        </w:trPr>
        <w:tc>
          <w:tcPr>
            <w:tcW w:w="902" w:type="pct"/>
            <w:shd w:val="clear" w:color="auto" w:fill="auto"/>
            <w:vAlign w:val="center"/>
          </w:tcPr>
          <w:p w:rsidR="00496601" w:rsidRDefault="00496601" w:rsidP="00380AB3">
            <w:pPr>
              <w:pStyle w:val="tablenotes"/>
              <w:keepNext/>
              <w:keepLines/>
              <w:widowControl/>
              <w:jc w:val="left"/>
              <w:rPr>
                <w:rFonts w:ascii="Arial Narrow" w:hAnsi="Arial Narrow"/>
              </w:rPr>
            </w:pPr>
          </w:p>
        </w:tc>
        <w:tc>
          <w:tcPr>
            <w:tcW w:w="683" w:type="pct"/>
            <w:shd w:val="clear" w:color="auto" w:fill="auto"/>
            <w:vAlign w:val="center"/>
          </w:tcPr>
          <w:p w:rsidR="00496601" w:rsidRPr="00C42490" w:rsidRDefault="00496601" w:rsidP="00380AB3">
            <w:pPr>
              <w:pStyle w:val="tablenotes"/>
              <w:keepNext/>
              <w:keepLines/>
              <w:widowControl/>
              <w:jc w:val="left"/>
              <w:rPr>
                <w:rFonts w:ascii="Arial Narrow" w:hAnsi="Arial Narrow"/>
                <w:b/>
              </w:rPr>
            </w:pPr>
            <w:r w:rsidRPr="00C42490">
              <w:rPr>
                <w:rFonts w:ascii="Arial Narrow" w:hAnsi="Arial Narrow"/>
                <w:b/>
              </w:rPr>
              <w:t>IR</w:t>
            </w:r>
          </w:p>
        </w:tc>
        <w:tc>
          <w:tcPr>
            <w:tcW w:w="683" w:type="pct"/>
            <w:shd w:val="clear" w:color="auto" w:fill="auto"/>
            <w:vAlign w:val="center"/>
          </w:tcPr>
          <w:p w:rsidR="00496601" w:rsidRPr="00C42490" w:rsidRDefault="00496601" w:rsidP="00380AB3">
            <w:pPr>
              <w:pStyle w:val="tablenotes"/>
              <w:keepNext/>
              <w:keepLines/>
              <w:widowControl/>
              <w:jc w:val="left"/>
              <w:rPr>
                <w:rFonts w:ascii="Arial Narrow" w:hAnsi="Arial Narrow"/>
                <w:b/>
              </w:rPr>
            </w:pPr>
            <w:r w:rsidRPr="00C42490">
              <w:rPr>
                <w:rFonts w:ascii="Arial Narrow" w:hAnsi="Arial Narrow"/>
                <w:b/>
              </w:rPr>
              <w:t>BSC</w:t>
            </w:r>
          </w:p>
        </w:tc>
        <w:tc>
          <w:tcPr>
            <w:tcW w:w="683" w:type="pct"/>
            <w:shd w:val="clear" w:color="auto" w:fill="auto"/>
            <w:vAlign w:val="center"/>
          </w:tcPr>
          <w:p w:rsidR="00496601" w:rsidRPr="00C42490" w:rsidRDefault="00496601" w:rsidP="00380AB3">
            <w:pPr>
              <w:pStyle w:val="tablenotes"/>
              <w:keepNext/>
              <w:keepLines/>
              <w:widowControl/>
              <w:jc w:val="left"/>
              <w:rPr>
                <w:rFonts w:ascii="Arial Narrow" w:hAnsi="Arial Narrow"/>
                <w:b/>
              </w:rPr>
            </w:pPr>
            <w:r w:rsidRPr="00C42490">
              <w:rPr>
                <w:rFonts w:ascii="Arial Narrow" w:hAnsi="Arial Narrow"/>
                <w:b/>
              </w:rPr>
              <w:t>Increment</w:t>
            </w:r>
          </w:p>
        </w:tc>
        <w:tc>
          <w:tcPr>
            <w:tcW w:w="683" w:type="pct"/>
            <w:vAlign w:val="center"/>
          </w:tcPr>
          <w:p w:rsidR="00496601" w:rsidRPr="00C42490" w:rsidRDefault="00496601" w:rsidP="00380AB3">
            <w:pPr>
              <w:pStyle w:val="tablenotes"/>
              <w:keepNext/>
              <w:keepLines/>
              <w:widowControl/>
              <w:jc w:val="left"/>
              <w:rPr>
                <w:rFonts w:ascii="Arial Narrow" w:hAnsi="Arial Narrow"/>
                <w:b/>
              </w:rPr>
            </w:pPr>
            <w:r w:rsidRPr="00C42490">
              <w:rPr>
                <w:rFonts w:ascii="Arial Narrow" w:hAnsi="Arial Narrow"/>
                <w:b/>
              </w:rPr>
              <w:t>IR</w:t>
            </w:r>
          </w:p>
        </w:tc>
        <w:tc>
          <w:tcPr>
            <w:tcW w:w="683" w:type="pct"/>
            <w:vAlign w:val="center"/>
          </w:tcPr>
          <w:p w:rsidR="00496601" w:rsidRPr="00C42490" w:rsidRDefault="00496601" w:rsidP="00380AB3">
            <w:pPr>
              <w:pStyle w:val="tablenotes"/>
              <w:keepNext/>
              <w:keepLines/>
              <w:widowControl/>
              <w:jc w:val="left"/>
              <w:rPr>
                <w:rFonts w:ascii="Arial Narrow" w:hAnsi="Arial Narrow"/>
                <w:b/>
              </w:rPr>
            </w:pPr>
            <w:r w:rsidRPr="00C42490">
              <w:rPr>
                <w:rFonts w:ascii="Arial Narrow" w:hAnsi="Arial Narrow"/>
                <w:b/>
              </w:rPr>
              <w:t>RM</w:t>
            </w:r>
          </w:p>
        </w:tc>
        <w:tc>
          <w:tcPr>
            <w:tcW w:w="683" w:type="pct"/>
            <w:vAlign w:val="center"/>
          </w:tcPr>
          <w:p w:rsidR="00496601" w:rsidRPr="00C42490" w:rsidRDefault="00496601" w:rsidP="00380AB3">
            <w:pPr>
              <w:pStyle w:val="tablenotes"/>
              <w:keepNext/>
              <w:keepLines/>
              <w:widowControl/>
              <w:jc w:val="left"/>
              <w:rPr>
                <w:rFonts w:ascii="Arial Narrow" w:hAnsi="Arial Narrow"/>
                <w:b/>
              </w:rPr>
            </w:pPr>
            <w:r w:rsidRPr="00C42490">
              <w:rPr>
                <w:rFonts w:ascii="Arial Narrow" w:hAnsi="Arial Narrow"/>
                <w:b/>
              </w:rPr>
              <w:t>Increment</w:t>
            </w:r>
          </w:p>
        </w:tc>
      </w:tr>
      <w:tr w:rsidR="00496601" w:rsidRPr="00E2771E" w:rsidTr="00A34711">
        <w:trPr>
          <w:cantSplit/>
        </w:trPr>
        <w:tc>
          <w:tcPr>
            <w:tcW w:w="902" w:type="pct"/>
            <w:shd w:val="clear" w:color="auto" w:fill="auto"/>
            <w:vAlign w:val="center"/>
          </w:tcPr>
          <w:p w:rsidR="00496601" w:rsidRDefault="00496601" w:rsidP="00380AB3">
            <w:pPr>
              <w:pStyle w:val="tablenotes"/>
              <w:keepNext/>
              <w:keepLines/>
              <w:widowControl/>
              <w:jc w:val="left"/>
              <w:rPr>
                <w:rFonts w:ascii="Arial Narrow" w:hAnsi="Arial Narrow"/>
              </w:rPr>
            </w:pPr>
            <w:r>
              <w:rPr>
                <w:rFonts w:ascii="Arial Narrow" w:hAnsi="Arial Narrow"/>
              </w:rPr>
              <w:t>Cost</w:t>
            </w:r>
          </w:p>
        </w:tc>
        <w:tc>
          <w:tcPr>
            <w:tcW w:w="683" w:type="pct"/>
            <w:shd w:val="clear" w:color="auto" w:fill="auto"/>
            <w:vAlign w:val="center"/>
          </w:tcPr>
          <w:p w:rsidR="00496601" w:rsidRPr="00F02585" w:rsidRDefault="00496601" w:rsidP="00380AB3">
            <w:pPr>
              <w:keepNext/>
              <w:keepLines/>
              <w:widowControl/>
              <w:jc w:val="right"/>
              <w:rPr>
                <w:rFonts w:ascii="Arial Narrow" w:hAnsi="Arial Narrow" w:cs="Times New Roman"/>
                <w:sz w:val="20"/>
              </w:rPr>
            </w:pPr>
            <w:r w:rsidRPr="004B2744">
              <w:rPr>
                <w:rFonts w:ascii="Arial Narrow" w:hAnsi="Arial Narrow" w:cs="Times New Roman"/>
                <w:sz w:val="20"/>
              </w:rPr>
              <w:t>$</w:t>
            </w:r>
            <w:r w:rsidR="006D3878">
              <w:rPr>
                <w:rFonts w:ascii="Arial Narrow" w:hAnsi="Arial Narrow" w:cs="Times New Roman"/>
                <w:noProof/>
                <w:color w:val="000000"/>
                <w:sz w:val="20"/>
                <w:highlight w:val="black"/>
              </w:rPr>
              <w:t>'''''''''''''''''''</w:t>
            </w:r>
          </w:p>
        </w:tc>
        <w:tc>
          <w:tcPr>
            <w:tcW w:w="683" w:type="pct"/>
            <w:shd w:val="clear" w:color="auto" w:fill="auto"/>
            <w:vAlign w:val="center"/>
          </w:tcPr>
          <w:p w:rsidR="00496601" w:rsidRPr="00F02585" w:rsidRDefault="00496601" w:rsidP="00380AB3">
            <w:pPr>
              <w:keepNext/>
              <w:keepLines/>
              <w:widowControl/>
              <w:jc w:val="right"/>
              <w:rPr>
                <w:rFonts w:ascii="Arial Narrow" w:hAnsi="Arial Narrow" w:cs="Times New Roman"/>
                <w:sz w:val="20"/>
              </w:rPr>
            </w:pPr>
            <w:r w:rsidRPr="004B2744">
              <w:rPr>
                <w:rFonts w:ascii="Arial Narrow" w:hAnsi="Arial Narrow" w:cs="Times New Roman"/>
                <w:sz w:val="20"/>
              </w:rPr>
              <w:t>$22,668</w:t>
            </w:r>
          </w:p>
        </w:tc>
        <w:tc>
          <w:tcPr>
            <w:tcW w:w="683" w:type="pct"/>
            <w:shd w:val="clear" w:color="auto" w:fill="auto"/>
            <w:vAlign w:val="center"/>
          </w:tcPr>
          <w:p w:rsidR="00496601" w:rsidRPr="00F02585" w:rsidRDefault="00496601" w:rsidP="00380AB3">
            <w:pPr>
              <w:keepNext/>
              <w:keepLines/>
              <w:widowControl/>
              <w:jc w:val="right"/>
              <w:rPr>
                <w:rFonts w:ascii="Arial Narrow" w:hAnsi="Arial Narrow" w:cs="Times New Roman"/>
                <w:sz w:val="20"/>
              </w:rPr>
            </w:pPr>
            <w:r w:rsidRPr="004B2744">
              <w:rPr>
                <w:rFonts w:ascii="Arial Narrow" w:hAnsi="Arial Narrow" w:cs="Times New Roman"/>
                <w:sz w:val="20"/>
              </w:rPr>
              <w:t>$</w:t>
            </w:r>
            <w:r w:rsidR="006D3878">
              <w:rPr>
                <w:rFonts w:ascii="Arial Narrow" w:hAnsi="Arial Narrow" w:cs="Times New Roman"/>
                <w:noProof/>
                <w:color w:val="000000"/>
                <w:sz w:val="20"/>
                <w:highlight w:val="black"/>
              </w:rPr>
              <w:t>''''''''''''''''''</w:t>
            </w:r>
          </w:p>
        </w:tc>
        <w:tc>
          <w:tcPr>
            <w:tcW w:w="683" w:type="pct"/>
            <w:vAlign w:val="center"/>
          </w:tcPr>
          <w:p w:rsidR="00496601" w:rsidRPr="00F02585" w:rsidRDefault="00496601" w:rsidP="00380AB3">
            <w:pPr>
              <w:keepNext/>
              <w:keepLines/>
              <w:widowControl/>
              <w:jc w:val="right"/>
              <w:rPr>
                <w:rFonts w:ascii="Arial Narrow" w:hAnsi="Arial Narrow" w:cs="Times New Roman"/>
                <w:sz w:val="20"/>
              </w:rPr>
            </w:pPr>
            <w:r w:rsidRPr="00F02585">
              <w:rPr>
                <w:rFonts w:ascii="Arial Narrow" w:hAnsi="Arial Narrow" w:cs="Times New Roman"/>
                <w:sz w:val="20"/>
              </w:rPr>
              <w:t>$</w:t>
            </w:r>
            <w:r w:rsidR="006D3878">
              <w:rPr>
                <w:rFonts w:ascii="Arial Narrow" w:hAnsi="Arial Narrow" w:cs="Times New Roman"/>
                <w:noProof/>
                <w:color w:val="000000"/>
                <w:sz w:val="20"/>
                <w:highlight w:val="black"/>
              </w:rPr>
              <w:t>''''''''''''''''''''</w:t>
            </w:r>
          </w:p>
        </w:tc>
        <w:tc>
          <w:tcPr>
            <w:tcW w:w="683" w:type="pct"/>
            <w:vAlign w:val="center"/>
          </w:tcPr>
          <w:p w:rsidR="00496601" w:rsidRPr="00F02585" w:rsidRDefault="00496601" w:rsidP="00380AB3">
            <w:pPr>
              <w:keepNext/>
              <w:keepLines/>
              <w:widowControl/>
              <w:jc w:val="right"/>
              <w:rPr>
                <w:rFonts w:ascii="Arial Narrow" w:hAnsi="Arial Narrow" w:cs="Times New Roman"/>
                <w:sz w:val="20"/>
              </w:rPr>
            </w:pPr>
            <w:r w:rsidRPr="00F02585">
              <w:rPr>
                <w:rFonts w:ascii="Arial Narrow" w:hAnsi="Arial Narrow" w:cs="Times New Roman"/>
                <w:sz w:val="20"/>
              </w:rPr>
              <w:t>$42,383</w:t>
            </w:r>
          </w:p>
        </w:tc>
        <w:tc>
          <w:tcPr>
            <w:tcW w:w="683" w:type="pct"/>
            <w:vAlign w:val="center"/>
          </w:tcPr>
          <w:p w:rsidR="00496601" w:rsidRPr="00F02585" w:rsidRDefault="00496601" w:rsidP="00380AB3">
            <w:pPr>
              <w:keepNext/>
              <w:keepLines/>
              <w:widowControl/>
              <w:jc w:val="right"/>
              <w:rPr>
                <w:rFonts w:ascii="Arial Narrow" w:hAnsi="Arial Narrow" w:cs="Times New Roman"/>
                <w:sz w:val="20"/>
              </w:rPr>
            </w:pPr>
            <w:r w:rsidRPr="00F02585">
              <w:rPr>
                <w:rFonts w:ascii="Arial Narrow" w:hAnsi="Arial Narrow" w:cs="Times New Roman"/>
                <w:sz w:val="20"/>
              </w:rPr>
              <w:t>$</w:t>
            </w:r>
            <w:r w:rsidR="006D3878">
              <w:rPr>
                <w:rFonts w:ascii="Arial Narrow" w:hAnsi="Arial Narrow" w:cs="Times New Roman"/>
                <w:noProof/>
                <w:color w:val="000000"/>
                <w:sz w:val="20"/>
                <w:highlight w:val="black"/>
              </w:rPr>
              <w:t>'''''''''''''''</w:t>
            </w:r>
          </w:p>
        </w:tc>
      </w:tr>
      <w:tr w:rsidR="00496601" w:rsidRPr="00E2771E" w:rsidTr="00A34711">
        <w:trPr>
          <w:cantSplit/>
        </w:trPr>
        <w:tc>
          <w:tcPr>
            <w:tcW w:w="902" w:type="pct"/>
            <w:shd w:val="clear" w:color="auto" w:fill="auto"/>
            <w:vAlign w:val="center"/>
          </w:tcPr>
          <w:p w:rsidR="00496601" w:rsidRDefault="00496601" w:rsidP="00380AB3">
            <w:pPr>
              <w:pStyle w:val="tablenotes"/>
              <w:keepNext/>
              <w:keepLines/>
              <w:widowControl/>
              <w:jc w:val="left"/>
              <w:rPr>
                <w:rFonts w:ascii="Arial Narrow" w:hAnsi="Arial Narrow"/>
              </w:rPr>
            </w:pPr>
            <w:r>
              <w:rPr>
                <w:rFonts w:ascii="Arial Narrow" w:hAnsi="Arial Narrow"/>
              </w:rPr>
              <w:t>QALYs</w:t>
            </w:r>
          </w:p>
        </w:tc>
        <w:tc>
          <w:tcPr>
            <w:tcW w:w="683" w:type="pct"/>
            <w:shd w:val="clear" w:color="auto" w:fill="auto"/>
            <w:vAlign w:val="center"/>
          </w:tcPr>
          <w:p w:rsidR="00496601" w:rsidRPr="00F02585" w:rsidRDefault="00496601" w:rsidP="00380AB3">
            <w:pPr>
              <w:keepNext/>
              <w:keepLines/>
              <w:widowControl/>
              <w:jc w:val="center"/>
              <w:rPr>
                <w:rFonts w:ascii="Arial Narrow" w:hAnsi="Arial Narrow"/>
                <w:sz w:val="20"/>
              </w:rPr>
            </w:pPr>
            <w:r w:rsidRPr="004B2744">
              <w:rPr>
                <w:rFonts w:ascii="Arial Narrow" w:hAnsi="Arial Narrow"/>
                <w:sz w:val="20"/>
              </w:rPr>
              <w:t>2.38</w:t>
            </w:r>
          </w:p>
        </w:tc>
        <w:tc>
          <w:tcPr>
            <w:tcW w:w="683" w:type="pct"/>
            <w:shd w:val="clear" w:color="auto" w:fill="auto"/>
            <w:vAlign w:val="center"/>
          </w:tcPr>
          <w:p w:rsidR="00496601" w:rsidRPr="00F02585" w:rsidRDefault="00496601" w:rsidP="00380AB3">
            <w:pPr>
              <w:keepNext/>
              <w:keepLines/>
              <w:widowControl/>
              <w:jc w:val="center"/>
              <w:rPr>
                <w:rFonts w:ascii="Arial Narrow" w:hAnsi="Arial Narrow"/>
                <w:sz w:val="20"/>
              </w:rPr>
            </w:pPr>
            <w:r w:rsidRPr="004B2744">
              <w:rPr>
                <w:rFonts w:ascii="Arial Narrow" w:hAnsi="Arial Narrow"/>
                <w:sz w:val="20"/>
              </w:rPr>
              <w:t>0.81</w:t>
            </w:r>
          </w:p>
        </w:tc>
        <w:tc>
          <w:tcPr>
            <w:tcW w:w="683" w:type="pct"/>
            <w:shd w:val="clear" w:color="auto" w:fill="auto"/>
            <w:vAlign w:val="center"/>
          </w:tcPr>
          <w:p w:rsidR="00496601" w:rsidRPr="00F02585" w:rsidRDefault="00496601" w:rsidP="00380AB3">
            <w:pPr>
              <w:keepNext/>
              <w:keepLines/>
              <w:widowControl/>
              <w:jc w:val="center"/>
              <w:rPr>
                <w:rFonts w:ascii="Arial Narrow" w:hAnsi="Arial Narrow"/>
                <w:sz w:val="20"/>
              </w:rPr>
            </w:pPr>
            <w:r w:rsidRPr="004B2744">
              <w:rPr>
                <w:rFonts w:ascii="Arial Narrow" w:hAnsi="Arial Narrow"/>
                <w:sz w:val="20"/>
              </w:rPr>
              <w:t>1.57</w:t>
            </w:r>
          </w:p>
        </w:tc>
        <w:tc>
          <w:tcPr>
            <w:tcW w:w="683" w:type="pct"/>
            <w:vAlign w:val="center"/>
          </w:tcPr>
          <w:p w:rsidR="00496601" w:rsidRPr="00F02585" w:rsidRDefault="00496601" w:rsidP="00380AB3">
            <w:pPr>
              <w:keepNext/>
              <w:keepLines/>
              <w:widowControl/>
              <w:jc w:val="center"/>
              <w:rPr>
                <w:rFonts w:ascii="Arial Narrow" w:hAnsi="Arial Narrow"/>
                <w:sz w:val="20"/>
              </w:rPr>
            </w:pPr>
            <w:r w:rsidRPr="00F02585">
              <w:rPr>
                <w:rFonts w:ascii="Arial Narrow" w:hAnsi="Arial Narrow"/>
                <w:sz w:val="20"/>
              </w:rPr>
              <w:t>3.76</w:t>
            </w:r>
          </w:p>
        </w:tc>
        <w:tc>
          <w:tcPr>
            <w:tcW w:w="683" w:type="pct"/>
            <w:vAlign w:val="center"/>
          </w:tcPr>
          <w:p w:rsidR="00496601" w:rsidRPr="00F02585" w:rsidRDefault="00496601" w:rsidP="00380AB3">
            <w:pPr>
              <w:keepNext/>
              <w:keepLines/>
              <w:widowControl/>
              <w:jc w:val="center"/>
              <w:rPr>
                <w:rFonts w:ascii="Arial Narrow" w:hAnsi="Arial Narrow"/>
                <w:sz w:val="20"/>
              </w:rPr>
            </w:pPr>
            <w:r w:rsidRPr="00F02585">
              <w:rPr>
                <w:rFonts w:ascii="Arial Narrow" w:hAnsi="Arial Narrow"/>
                <w:sz w:val="20"/>
              </w:rPr>
              <w:t>1.96</w:t>
            </w:r>
          </w:p>
        </w:tc>
        <w:tc>
          <w:tcPr>
            <w:tcW w:w="683" w:type="pct"/>
            <w:vAlign w:val="center"/>
          </w:tcPr>
          <w:p w:rsidR="00496601" w:rsidRPr="00F02585" w:rsidRDefault="00496601" w:rsidP="00380AB3">
            <w:pPr>
              <w:keepNext/>
              <w:keepLines/>
              <w:widowControl/>
              <w:jc w:val="center"/>
              <w:rPr>
                <w:rFonts w:ascii="Arial Narrow" w:hAnsi="Arial Narrow"/>
                <w:sz w:val="20"/>
              </w:rPr>
            </w:pPr>
            <w:r w:rsidRPr="00F02585">
              <w:rPr>
                <w:rFonts w:ascii="Arial Narrow" w:hAnsi="Arial Narrow"/>
                <w:sz w:val="20"/>
              </w:rPr>
              <w:t>1.80</w:t>
            </w:r>
          </w:p>
        </w:tc>
      </w:tr>
      <w:tr w:rsidR="00496601" w:rsidRPr="00E2771E" w:rsidTr="00A34711">
        <w:trPr>
          <w:cantSplit/>
        </w:trPr>
        <w:tc>
          <w:tcPr>
            <w:tcW w:w="902" w:type="pct"/>
            <w:shd w:val="clear" w:color="auto" w:fill="auto"/>
            <w:vAlign w:val="center"/>
          </w:tcPr>
          <w:p w:rsidR="00496601" w:rsidRDefault="00496601" w:rsidP="00380AB3">
            <w:pPr>
              <w:pStyle w:val="tablenotes"/>
              <w:keepNext/>
              <w:keepLines/>
              <w:widowControl/>
              <w:jc w:val="left"/>
              <w:rPr>
                <w:rFonts w:ascii="Arial Narrow" w:hAnsi="Arial Narrow"/>
              </w:rPr>
            </w:pPr>
            <w:r>
              <w:rPr>
                <w:rFonts w:ascii="Arial Narrow" w:hAnsi="Arial Narrow"/>
              </w:rPr>
              <w:t>ICER</w:t>
            </w:r>
          </w:p>
        </w:tc>
        <w:tc>
          <w:tcPr>
            <w:tcW w:w="2049" w:type="pct"/>
            <w:gridSpan w:val="3"/>
            <w:shd w:val="clear" w:color="auto" w:fill="auto"/>
            <w:vAlign w:val="center"/>
          </w:tcPr>
          <w:p w:rsidR="00496601" w:rsidRPr="007B4183" w:rsidRDefault="00496601" w:rsidP="00380AB3">
            <w:pPr>
              <w:keepNext/>
              <w:keepLines/>
              <w:widowControl/>
              <w:jc w:val="right"/>
              <w:rPr>
                <w:rFonts w:ascii="Arial Narrow" w:hAnsi="Arial Narrow"/>
                <w:sz w:val="20"/>
              </w:rPr>
            </w:pPr>
            <w:r w:rsidRPr="007B4183">
              <w:rPr>
                <w:rFonts w:ascii="Arial Narrow" w:hAnsi="Arial Narrow"/>
                <w:b/>
                <w:sz w:val="20"/>
              </w:rPr>
              <w:t>$</w:t>
            </w:r>
            <w:r w:rsidR="006D3878">
              <w:rPr>
                <w:rFonts w:ascii="Arial Narrow" w:hAnsi="Arial Narrow"/>
                <w:b/>
                <w:noProof/>
                <w:color w:val="000000"/>
                <w:sz w:val="20"/>
                <w:highlight w:val="black"/>
              </w:rPr>
              <w:t>'''''''''''''</w:t>
            </w:r>
          </w:p>
        </w:tc>
        <w:tc>
          <w:tcPr>
            <w:tcW w:w="2049" w:type="pct"/>
            <w:gridSpan w:val="3"/>
          </w:tcPr>
          <w:p w:rsidR="00496601" w:rsidRPr="007B4183" w:rsidRDefault="00496601" w:rsidP="00380AB3">
            <w:pPr>
              <w:keepNext/>
              <w:keepLines/>
              <w:widowControl/>
              <w:jc w:val="right"/>
              <w:rPr>
                <w:rFonts w:ascii="Arial Narrow" w:hAnsi="Arial Narrow"/>
                <w:sz w:val="20"/>
              </w:rPr>
            </w:pPr>
            <w:r w:rsidRPr="007B4183">
              <w:rPr>
                <w:rFonts w:ascii="Arial Narrow" w:hAnsi="Arial Narrow"/>
                <w:b/>
                <w:sz w:val="20"/>
              </w:rPr>
              <w:t>$</w:t>
            </w:r>
            <w:r w:rsidR="006D3878">
              <w:rPr>
                <w:rFonts w:ascii="Arial Narrow" w:hAnsi="Arial Narrow"/>
                <w:b/>
                <w:noProof/>
                <w:color w:val="000000"/>
                <w:sz w:val="20"/>
                <w:highlight w:val="black"/>
              </w:rPr>
              <w:t>''''''''''''</w:t>
            </w:r>
          </w:p>
        </w:tc>
      </w:tr>
    </w:tbl>
    <w:p w:rsidR="00496601" w:rsidRPr="00174DB9" w:rsidRDefault="00496601" w:rsidP="00496601">
      <w:pPr>
        <w:pStyle w:val="TableFooter"/>
        <w:keepNext/>
        <w:keepLines/>
        <w:widowControl/>
        <w:ind w:left="709"/>
      </w:pPr>
      <w:r w:rsidRPr="00174DB9">
        <w:t>Source: compiled during the evaluation</w:t>
      </w:r>
    </w:p>
    <w:p w:rsidR="00496601" w:rsidRPr="00174DB9" w:rsidRDefault="00496601" w:rsidP="00496601">
      <w:pPr>
        <w:pStyle w:val="TableFooter"/>
        <w:keepNext/>
        <w:widowControl/>
        <w:ind w:left="709"/>
      </w:pPr>
      <w:r w:rsidRPr="00174DB9">
        <w:t>QALY = quality-adjusted life year; ICER = incremental cost-effective ration; IR = idelalisib plus rituximab; BSC = best supportive care; RM = rituximab monotherapy; RTX = rituximab</w:t>
      </w:r>
    </w:p>
    <w:p w:rsidR="00496601" w:rsidRPr="00174DB9" w:rsidRDefault="00496601" w:rsidP="00496601">
      <w:pPr>
        <w:pStyle w:val="TableFooter"/>
        <w:keepNext/>
        <w:widowControl/>
        <w:ind w:left="709"/>
      </w:pPr>
      <w:proofErr w:type="gramStart"/>
      <w:r w:rsidRPr="00174DB9">
        <w:rPr>
          <w:vertAlign w:val="superscript"/>
        </w:rPr>
        <w:t>a</w:t>
      </w:r>
      <w:proofErr w:type="gramEnd"/>
      <w:r w:rsidRPr="00174DB9">
        <w:rPr>
          <w:vertAlign w:val="superscript"/>
        </w:rPr>
        <w:t xml:space="preserve"> </w:t>
      </w:r>
      <w:r w:rsidRPr="00174DB9">
        <w:t xml:space="preserve">Values presented </w:t>
      </w:r>
      <w:r w:rsidRPr="004A64FB">
        <w:t>in Section D workbook</w:t>
      </w:r>
      <w:r w:rsidRPr="00174DB9">
        <w:t xml:space="preserve"> of the resubmission were</w:t>
      </w:r>
      <w:r w:rsidR="003A7D72">
        <w:t xml:space="preserve"> incorrect.</w:t>
      </w:r>
    </w:p>
    <w:p w:rsidR="00496601" w:rsidRPr="005A5D7E" w:rsidRDefault="00496601" w:rsidP="00496601">
      <w:pPr>
        <w:pStyle w:val="TableFooter"/>
        <w:ind w:left="709"/>
      </w:pPr>
      <w:proofErr w:type="gramStart"/>
      <w:r w:rsidRPr="00C11677">
        <w:rPr>
          <w:vertAlign w:val="superscript"/>
        </w:rPr>
        <w:t>b</w:t>
      </w:r>
      <w:proofErr w:type="gramEnd"/>
      <w:r>
        <w:rPr>
          <w:vertAlign w:val="superscript"/>
        </w:rPr>
        <w:t xml:space="preserve"> </w:t>
      </w:r>
      <w:r>
        <w:t>The ESC noted that costs of stable disease were substantially alter</w:t>
      </w:r>
      <w:r w:rsidR="003A7D72">
        <w:t>ed in the current resubmission.</w:t>
      </w:r>
    </w:p>
    <w:p w:rsidR="00496601" w:rsidRPr="001A76DD" w:rsidRDefault="00496601" w:rsidP="0023450B"/>
    <w:p w:rsidR="002D271D" w:rsidRPr="00850AB0" w:rsidRDefault="00360099" w:rsidP="004B69A7">
      <w:pPr>
        <w:pStyle w:val="ListParagraph"/>
        <w:widowControl/>
        <w:numPr>
          <w:ilvl w:val="1"/>
          <w:numId w:val="5"/>
        </w:numPr>
        <w:rPr>
          <w:rStyle w:val="CommentReference"/>
          <w:rFonts w:ascii="Arial" w:hAnsi="Arial"/>
          <w:b w:val="0"/>
          <w:sz w:val="22"/>
          <w:szCs w:val="22"/>
        </w:rPr>
      </w:pPr>
      <w:r>
        <w:rPr>
          <w:rStyle w:val="CommentReference"/>
          <w:rFonts w:ascii="Arial" w:hAnsi="Arial"/>
          <w:b w:val="0"/>
          <w:sz w:val="22"/>
          <w:szCs w:val="22"/>
        </w:rPr>
        <w:t>The t</w:t>
      </w:r>
      <w:r w:rsidR="002D271D" w:rsidRPr="00850AB0">
        <w:rPr>
          <w:rStyle w:val="CommentReference"/>
          <w:rFonts w:ascii="Arial" w:hAnsi="Arial"/>
          <w:b w:val="0"/>
          <w:sz w:val="22"/>
          <w:szCs w:val="22"/>
        </w:rPr>
        <w:t xml:space="preserve">ime horizon and the </w:t>
      </w:r>
      <w:r w:rsidR="002D271D">
        <w:rPr>
          <w:rStyle w:val="CommentReference"/>
          <w:rFonts w:ascii="Arial" w:hAnsi="Arial"/>
          <w:b w:val="0"/>
          <w:sz w:val="22"/>
          <w:szCs w:val="22"/>
        </w:rPr>
        <w:t>overall survival analysis set</w:t>
      </w:r>
      <w:r w:rsidR="002D271D" w:rsidRPr="00850AB0">
        <w:rPr>
          <w:rStyle w:val="CommentReference"/>
          <w:rFonts w:ascii="Arial" w:hAnsi="Arial"/>
          <w:b w:val="0"/>
          <w:sz w:val="22"/>
          <w:szCs w:val="22"/>
        </w:rPr>
        <w:t xml:space="preserve"> were the key drivers of the model, and appeared to favour idelalisib (see Table </w:t>
      </w:r>
      <w:r w:rsidR="0018203D">
        <w:rPr>
          <w:rStyle w:val="CommentReference"/>
          <w:rFonts w:ascii="Arial" w:hAnsi="Arial"/>
          <w:b w:val="0"/>
          <w:sz w:val="22"/>
          <w:szCs w:val="22"/>
        </w:rPr>
        <w:t>8</w:t>
      </w:r>
      <w:r w:rsidR="002D271D" w:rsidRPr="00850AB0">
        <w:rPr>
          <w:rStyle w:val="CommentReference"/>
          <w:rFonts w:ascii="Arial" w:hAnsi="Arial"/>
          <w:b w:val="0"/>
          <w:sz w:val="22"/>
          <w:szCs w:val="22"/>
        </w:rPr>
        <w:t>).</w:t>
      </w:r>
    </w:p>
    <w:p w:rsidR="002D271D" w:rsidRDefault="002D271D" w:rsidP="002D271D">
      <w:pPr>
        <w:widowControl/>
        <w:rPr>
          <w:szCs w:val="22"/>
        </w:rPr>
      </w:pPr>
    </w:p>
    <w:p w:rsidR="0029025B" w:rsidRPr="0029025B" w:rsidRDefault="0029025B" w:rsidP="0029025B">
      <w:pPr>
        <w:pStyle w:val="Caption"/>
        <w:keepNext/>
        <w:ind w:firstLine="720"/>
        <w:rPr>
          <w:rFonts w:ascii="Arial Narrow" w:hAnsi="Arial Narrow"/>
          <w:color w:val="auto"/>
          <w:sz w:val="20"/>
        </w:rPr>
      </w:pPr>
      <w:r w:rsidRPr="0029025B">
        <w:rPr>
          <w:rFonts w:ascii="Arial Narrow" w:hAnsi="Arial Narrow"/>
          <w:color w:val="auto"/>
          <w:sz w:val="20"/>
        </w:rPr>
        <w:t xml:space="preserve">Table </w:t>
      </w:r>
      <w:r w:rsidRPr="0029025B">
        <w:rPr>
          <w:rFonts w:ascii="Arial Narrow" w:hAnsi="Arial Narrow"/>
          <w:color w:val="auto"/>
          <w:sz w:val="20"/>
        </w:rPr>
        <w:fldChar w:fldCharType="begin"/>
      </w:r>
      <w:r w:rsidRPr="0029025B">
        <w:rPr>
          <w:rFonts w:ascii="Arial Narrow" w:hAnsi="Arial Narrow"/>
          <w:color w:val="auto"/>
          <w:sz w:val="20"/>
        </w:rPr>
        <w:instrText xml:space="preserve"> SEQ Table \* ARABIC </w:instrText>
      </w:r>
      <w:r w:rsidRPr="0029025B">
        <w:rPr>
          <w:rFonts w:ascii="Arial Narrow" w:hAnsi="Arial Narrow"/>
          <w:color w:val="auto"/>
          <w:sz w:val="20"/>
        </w:rPr>
        <w:fldChar w:fldCharType="separate"/>
      </w:r>
      <w:r w:rsidR="00AD392C">
        <w:rPr>
          <w:rFonts w:ascii="Arial Narrow" w:hAnsi="Arial Narrow"/>
          <w:noProof/>
          <w:color w:val="auto"/>
          <w:sz w:val="20"/>
        </w:rPr>
        <w:t>8</w:t>
      </w:r>
      <w:r w:rsidRPr="0029025B">
        <w:rPr>
          <w:rFonts w:ascii="Arial Narrow" w:hAnsi="Arial Narrow"/>
          <w:color w:val="auto"/>
          <w:sz w:val="20"/>
        </w:rPr>
        <w:fldChar w:fldCharType="end"/>
      </w:r>
      <w:r w:rsidRPr="0029025B">
        <w:rPr>
          <w:rFonts w:ascii="Arial Narrow" w:hAnsi="Arial Narrow"/>
          <w:color w:val="auto"/>
          <w:sz w:val="20"/>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Summary of key drivers of economic model"/>
      </w:tblPr>
      <w:tblGrid>
        <w:gridCol w:w="2268"/>
        <w:gridCol w:w="4111"/>
        <w:gridCol w:w="1966"/>
      </w:tblGrid>
      <w:tr w:rsidR="002D271D" w:rsidRPr="00E2771E" w:rsidTr="00A34711">
        <w:trPr>
          <w:tblHeader/>
        </w:trPr>
        <w:tc>
          <w:tcPr>
            <w:tcW w:w="1359" w:type="pct"/>
            <w:shd w:val="clear" w:color="auto" w:fill="auto"/>
            <w:vAlign w:val="center"/>
          </w:tcPr>
          <w:p w:rsidR="002D271D" w:rsidRPr="00E2771E" w:rsidRDefault="002D271D" w:rsidP="002D271D">
            <w:pPr>
              <w:jc w:val="left"/>
              <w:rPr>
                <w:rFonts w:ascii="Arial Narrow" w:hAnsi="Arial Narrow"/>
                <w:b/>
                <w:sz w:val="20"/>
                <w:lang w:val="en-US"/>
              </w:rPr>
            </w:pPr>
            <w:r w:rsidRPr="00E2771E">
              <w:rPr>
                <w:rFonts w:ascii="Arial Narrow" w:hAnsi="Arial Narrow"/>
                <w:b/>
                <w:sz w:val="20"/>
                <w:lang w:val="en-US"/>
              </w:rPr>
              <w:t>Description</w:t>
            </w:r>
          </w:p>
        </w:tc>
        <w:tc>
          <w:tcPr>
            <w:tcW w:w="2463" w:type="pct"/>
            <w:shd w:val="clear" w:color="auto" w:fill="auto"/>
            <w:vAlign w:val="center"/>
          </w:tcPr>
          <w:p w:rsidR="002D271D" w:rsidRPr="00E2771E" w:rsidRDefault="002D271D" w:rsidP="002D271D">
            <w:pPr>
              <w:jc w:val="center"/>
              <w:rPr>
                <w:rFonts w:ascii="Arial Narrow" w:hAnsi="Arial Narrow"/>
                <w:b/>
                <w:sz w:val="20"/>
                <w:lang w:val="en-US"/>
              </w:rPr>
            </w:pPr>
            <w:r w:rsidRPr="00E2771E">
              <w:rPr>
                <w:rFonts w:ascii="Arial Narrow" w:hAnsi="Arial Narrow"/>
                <w:b/>
                <w:sz w:val="20"/>
                <w:lang w:val="en-US"/>
              </w:rPr>
              <w:t>Method/Value</w:t>
            </w:r>
          </w:p>
        </w:tc>
        <w:tc>
          <w:tcPr>
            <w:tcW w:w="1178" w:type="pct"/>
            <w:shd w:val="clear" w:color="auto" w:fill="auto"/>
            <w:vAlign w:val="center"/>
          </w:tcPr>
          <w:p w:rsidR="002D271D" w:rsidRPr="00E2771E" w:rsidRDefault="002D271D" w:rsidP="002D271D">
            <w:pPr>
              <w:jc w:val="center"/>
              <w:rPr>
                <w:rFonts w:ascii="Arial Narrow" w:hAnsi="Arial Narrow"/>
                <w:b/>
                <w:sz w:val="20"/>
                <w:lang w:val="en-US"/>
              </w:rPr>
            </w:pPr>
            <w:r w:rsidRPr="00E2771E">
              <w:rPr>
                <w:rFonts w:ascii="Arial Narrow" w:hAnsi="Arial Narrow"/>
                <w:b/>
                <w:sz w:val="20"/>
                <w:lang w:val="en-US"/>
              </w:rPr>
              <w:t>Impact</w:t>
            </w:r>
          </w:p>
        </w:tc>
      </w:tr>
      <w:tr w:rsidR="002D271D" w:rsidRPr="00E2771E" w:rsidTr="00A34711">
        <w:tc>
          <w:tcPr>
            <w:tcW w:w="1359" w:type="pct"/>
            <w:shd w:val="clear" w:color="auto" w:fill="auto"/>
            <w:vAlign w:val="center"/>
          </w:tcPr>
          <w:p w:rsidR="002D271D" w:rsidRPr="00E2771E" w:rsidRDefault="002D271D" w:rsidP="00360099">
            <w:pPr>
              <w:widowControl/>
              <w:jc w:val="left"/>
              <w:rPr>
                <w:rFonts w:ascii="Arial Narrow" w:hAnsi="Arial Narrow"/>
                <w:sz w:val="20"/>
                <w:lang w:val="en-US"/>
              </w:rPr>
            </w:pPr>
            <w:r w:rsidRPr="00E2771E">
              <w:rPr>
                <w:rFonts w:ascii="Arial Narrow" w:hAnsi="Arial Narrow"/>
                <w:sz w:val="20"/>
                <w:lang w:val="en-US"/>
              </w:rPr>
              <w:t>Time horizon</w:t>
            </w:r>
          </w:p>
        </w:tc>
        <w:tc>
          <w:tcPr>
            <w:tcW w:w="2463" w:type="pct"/>
            <w:shd w:val="clear" w:color="auto" w:fill="auto"/>
            <w:vAlign w:val="center"/>
          </w:tcPr>
          <w:p w:rsidR="002D271D" w:rsidRPr="00E2771E" w:rsidRDefault="002D271D" w:rsidP="00360099">
            <w:pPr>
              <w:jc w:val="left"/>
              <w:rPr>
                <w:rFonts w:ascii="Arial Narrow" w:hAnsi="Arial Narrow"/>
                <w:sz w:val="20"/>
                <w:lang w:val="en-US"/>
              </w:rPr>
            </w:pPr>
            <w:r>
              <w:rPr>
                <w:rFonts w:ascii="Arial Narrow" w:hAnsi="Arial Narrow"/>
                <w:sz w:val="20"/>
                <w:lang w:val="en-US"/>
              </w:rPr>
              <w:t xml:space="preserve">8 </w:t>
            </w:r>
            <w:r w:rsidRPr="00E2771E">
              <w:rPr>
                <w:rFonts w:ascii="Arial Narrow" w:hAnsi="Arial Narrow"/>
                <w:sz w:val="20"/>
                <w:lang w:val="en-US"/>
              </w:rPr>
              <w:t xml:space="preserve">years; assumed from </w:t>
            </w:r>
            <w:r>
              <w:rPr>
                <w:rFonts w:ascii="Arial Narrow" w:hAnsi="Arial Narrow"/>
                <w:sz w:val="20"/>
                <w:lang w:val="en-US"/>
              </w:rPr>
              <w:t>~ 12</w:t>
            </w:r>
            <w:r w:rsidRPr="00E2771E">
              <w:rPr>
                <w:rFonts w:ascii="Arial Narrow" w:hAnsi="Arial Narrow"/>
                <w:sz w:val="20"/>
                <w:lang w:val="en-US"/>
              </w:rPr>
              <w:t xml:space="preserve"> month trial duration</w:t>
            </w:r>
          </w:p>
        </w:tc>
        <w:tc>
          <w:tcPr>
            <w:tcW w:w="1178" w:type="pct"/>
            <w:shd w:val="clear" w:color="auto" w:fill="auto"/>
            <w:vAlign w:val="center"/>
          </w:tcPr>
          <w:p w:rsidR="002D271D" w:rsidRPr="00E2771E" w:rsidRDefault="002D271D" w:rsidP="00360099">
            <w:pPr>
              <w:jc w:val="left"/>
              <w:rPr>
                <w:rFonts w:ascii="Arial Narrow" w:hAnsi="Arial Narrow"/>
                <w:sz w:val="20"/>
                <w:lang w:val="en-US"/>
              </w:rPr>
            </w:pPr>
            <w:r>
              <w:rPr>
                <w:rFonts w:ascii="Arial Narrow" w:hAnsi="Arial Narrow"/>
                <w:sz w:val="20"/>
                <w:lang w:val="en-US"/>
              </w:rPr>
              <w:t xml:space="preserve">High; </w:t>
            </w:r>
            <w:proofErr w:type="spellStart"/>
            <w:r>
              <w:rPr>
                <w:rFonts w:ascii="Arial Narrow" w:hAnsi="Arial Narrow"/>
                <w:sz w:val="20"/>
                <w:lang w:val="en-US"/>
              </w:rPr>
              <w:t>favoured</w:t>
            </w:r>
            <w:proofErr w:type="spellEnd"/>
            <w:r>
              <w:rPr>
                <w:rFonts w:ascii="Arial Narrow" w:hAnsi="Arial Narrow"/>
                <w:sz w:val="20"/>
                <w:lang w:val="en-US"/>
              </w:rPr>
              <w:t xml:space="preserve"> </w:t>
            </w:r>
            <w:proofErr w:type="spellStart"/>
            <w:r>
              <w:rPr>
                <w:rFonts w:ascii="Arial Narrow" w:hAnsi="Arial Narrow"/>
                <w:sz w:val="20"/>
                <w:lang w:val="en-US"/>
              </w:rPr>
              <w:t>idelalisib</w:t>
            </w:r>
            <w:proofErr w:type="spellEnd"/>
          </w:p>
        </w:tc>
      </w:tr>
      <w:tr w:rsidR="002D271D" w:rsidRPr="00E2771E" w:rsidTr="00A34711">
        <w:tc>
          <w:tcPr>
            <w:tcW w:w="1359" w:type="pct"/>
            <w:shd w:val="clear" w:color="auto" w:fill="auto"/>
            <w:vAlign w:val="center"/>
          </w:tcPr>
          <w:p w:rsidR="002D271D" w:rsidRDefault="002D271D" w:rsidP="005C6B29">
            <w:pPr>
              <w:widowControl/>
              <w:jc w:val="left"/>
              <w:rPr>
                <w:rFonts w:ascii="Arial Narrow" w:hAnsi="Arial Narrow"/>
                <w:sz w:val="20"/>
                <w:lang w:val="en-US"/>
              </w:rPr>
            </w:pPr>
            <w:r>
              <w:rPr>
                <w:rFonts w:ascii="Arial Narrow" w:hAnsi="Arial Narrow"/>
                <w:sz w:val="20"/>
                <w:lang w:val="en-US"/>
              </w:rPr>
              <w:t xml:space="preserve">Overall </w:t>
            </w:r>
            <w:r w:rsidR="005C6B29">
              <w:rPr>
                <w:rFonts w:ascii="Arial Narrow" w:hAnsi="Arial Narrow"/>
                <w:sz w:val="20"/>
                <w:lang w:val="en-US"/>
              </w:rPr>
              <w:t>s</w:t>
            </w:r>
            <w:r>
              <w:rPr>
                <w:rFonts w:ascii="Arial Narrow" w:hAnsi="Arial Narrow"/>
                <w:sz w:val="20"/>
                <w:lang w:val="en-US"/>
              </w:rPr>
              <w:t>urvival analysis set</w:t>
            </w:r>
          </w:p>
        </w:tc>
        <w:tc>
          <w:tcPr>
            <w:tcW w:w="2463" w:type="pct"/>
            <w:shd w:val="clear" w:color="auto" w:fill="auto"/>
            <w:vAlign w:val="center"/>
          </w:tcPr>
          <w:p w:rsidR="002D271D" w:rsidRPr="00E2771E" w:rsidRDefault="002D271D" w:rsidP="00360099">
            <w:pPr>
              <w:jc w:val="left"/>
              <w:rPr>
                <w:rFonts w:ascii="Arial Narrow" w:hAnsi="Arial Narrow"/>
                <w:sz w:val="20"/>
                <w:lang w:val="en-US"/>
              </w:rPr>
            </w:pPr>
            <w:r>
              <w:rPr>
                <w:rFonts w:ascii="Arial Narrow" w:hAnsi="Arial Narrow"/>
                <w:sz w:val="20"/>
                <w:lang w:val="en-US"/>
              </w:rPr>
              <w:t>RPSFT method use</w:t>
            </w:r>
            <w:r w:rsidR="00862402">
              <w:rPr>
                <w:rFonts w:ascii="Arial Narrow" w:hAnsi="Arial Narrow"/>
                <w:sz w:val="20"/>
                <w:lang w:val="en-US"/>
              </w:rPr>
              <w:t>d to adjust for treatment cross-</w:t>
            </w:r>
            <w:r>
              <w:rPr>
                <w:rFonts w:ascii="Arial Narrow" w:hAnsi="Arial Narrow"/>
                <w:sz w:val="20"/>
                <w:lang w:val="en-US"/>
              </w:rPr>
              <w:t>over</w:t>
            </w:r>
          </w:p>
        </w:tc>
        <w:tc>
          <w:tcPr>
            <w:tcW w:w="1178" w:type="pct"/>
            <w:shd w:val="clear" w:color="auto" w:fill="auto"/>
            <w:vAlign w:val="center"/>
          </w:tcPr>
          <w:p w:rsidR="002D271D" w:rsidRPr="00E2771E" w:rsidRDefault="00BB180F" w:rsidP="00360099">
            <w:pPr>
              <w:jc w:val="left"/>
              <w:rPr>
                <w:rFonts w:ascii="Arial Narrow" w:hAnsi="Arial Narrow"/>
                <w:sz w:val="20"/>
                <w:lang w:val="en-US"/>
              </w:rPr>
            </w:pPr>
            <w:r>
              <w:rPr>
                <w:rFonts w:ascii="Arial Narrow" w:hAnsi="Arial Narrow"/>
                <w:sz w:val="20"/>
                <w:lang w:val="en-US"/>
              </w:rPr>
              <w:t>High</w:t>
            </w:r>
            <w:r w:rsidR="002D271D">
              <w:rPr>
                <w:rFonts w:ascii="Arial Narrow" w:hAnsi="Arial Narrow"/>
                <w:sz w:val="20"/>
                <w:lang w:val="en-US"/>
              </w:rPr>
              <w:t xml:space="preserve">; </w:t>
            </w:r>
            <w:proofErr w:type="spellStart"/>
            <w:r w:rsidR="002D271D">
              <w:rPr>
                <w:rFonts w:ascii="Arial Narrow" w:hAnsi="Arial Narrow"/>
                <w:sz w:val="20"/>
                <w:lang w:val="en-US"/>
              </w:rPr>
              <w:t>favoured</w:t>
            </w:r>
            <w:proofErr w:type="spellEnd"/>
            <w:r w:rsidR="002D271D">
              <w:rPr>
                <w:rFonts w:ascii="Arial Narrow" w:hAnsi="Arial Narrow"/>
                <w:sz w:val="20"/>
                <w:lang w:val="en-US"/>
              </w:rPr>
              <w:t xml:space="preserve"> </w:t>
            </w:r>
            <w:proofErr w:type="spellStart"/>
            <w:r w:rsidR="002D271D">
              <w:rPr>
                <w:rFonts w:ascii="Arial Narrow" w:hAnsi="Arial Narrow"/>
                <w:sz w:val="20"/>
                <w:lang w:val="en-US"/>
              </w:rPr>
              <w:t>idelalisib</w:t>
            </w:r>
            <w:proofErr w:type="spellEnd"/>
          </w:p>
        </w:tc>
      </w:tr>
      <w:tr w:rsidR="002D271D" w:rsidRPr="00E2771E" w:rsidTr="00A34711">
        <w:tc>
          <w:tcPr>
            <w:tcW w:w="1359" w:type="pct"/>
            <w:shd w:val="clear" w:color="auto" w:fill="auto"/>
            <w:vAlign w:val="center"/>
          </w:tcPr>
          <w:p w:rsidR="002D271D" w:rsidRPr="00E2771E" w:rsidRDefault="002D271D" w:rsidP="00360099">
            <w:pPr>
              <w:widowControl/>
              <w:jc w:val="left"/>
              <w:rPr>
                <w:rFonts w:ascii="Arial Narrow" w:hAnsi="Arial Narrow"/>
                <w:sz w:val="20"/>
                <w:lang w:val="en-US"/>
              </w:rPr>
            </w:pPr>
            <w:r>
              <w:rPr>
                <w:rFonts w:ascii="Arial Narrow" w:hAnsi="Arial Narrow"/>
                <w:sz w:val="20"/>
                <w:lang w:val="en-US"/>
              </w:rPr>
              <w:t>Resource use and costs</w:t>
            </w:r>
          </w:p>
        </w:tc>
        <w:tc>
          <w:tcPr>
            <w:tcW w:w="2463" w:type="pct"/>
            <w:shd w:val="clear" w:color="auto" w:fill="auto"/>
            <w:vAlign w:val="center"/>
          </w:tcPr>
          <w:p w:rsidR="002D271D" w:rsidRPr="00E2771E" w:rsidRDefault="002D271D" w:rsidP="00360099">
            <w:pPr>
              <w:jc w:val="left"/>
              <w:rPr>
                <w:rFonts w:ascii="Arial Narrow" w:hAnsi="Arial Narrow"/>
                <w:sz w:val="20"/>
                <w:lang w:val="en-US"/>
              </w:rPr>
            </w:pPr>
            <w:r>
              <w:rPr>
                <w:rFonts w:ascii="Arial Narrow" w:hAnsi="Arial Narrow"/>
                <w:sz w:val="20"/>
                <w:lang w:val="en-US"/>
              </w:rPr>
              <w:t>Pragmatic selection from unconfirmed sources</w:t>
            </w:r>
          </w:p>
        </w:tc>
        <w:tc>
          <w:tcPr>
            <w:tcW w:w="1178" w:type="pct"/>
            <w:shd w:val="clear" w:color="auto" w:fill="auto"/>
            <w:vAlign w:val="center"/>
          </w:tcPr>
          <w:p w:rsidR="002D271D" w:rsidRPr="00E2771E" w:rsidRDefault="002D271D" w:rsidP="00360099">
            <w:pPr>
              <w:jc w:val="left"/>
              <w:rPr>
                <w:rFonts w:ascii="Arial Narrow" w:hAnsi="Arial Narrow"/>
                <w:sz w:val="20"/>
                <w:lang w:val="en-US"/>
              </w:rPr>
            </w:pPr>
            <w:r>
              <w:rPr>
                <w:rFonts w:ascii="Arial Narrow" w:hAnsi="Arial Narrow"/>
                <w:sz w:val="20"/>
                <w:lang w:val="en-US"/>
              </w:rPr>
              <w:t xml:space="preserve">Low; </w:t>
            </w:r>
            <w:proofErr w:type="spellStart"/>
            <w:r>
              <w:rPr>
                <w:rFonts w:ascii="Arial Narrow" w:hAnsi="Arial Narrow"/>
                <w:sz w:val="20"/>
                <w:lang w:val="en-US"/>
              </w:rPr>
              <w:t>favoured</w:t>
            </w:r>
            <w:proofErr w:type="spellEnd"/>
            <w:r>
              <w:rPr>
                <w:rFonts w:ascii="Arial Narrow" w:hAnsi="Arial Narrow"/>
                <w:sz w:val="20"/>
                <w:lang w:val="en-US"/>
              </w:rPr>
              <w:t xml:space="preserve"> </w:t>
            </w:r>
            <w:proofErr w:type="spellStart"/>
            <w:r>
              <w:rPr>
                <w:rFonts w:ascii="Arial Narrow" w:hAnsi="Arial Narrow"/>
                <w:sz w:val="20"/>
                <w:lang w:val="en-US"/>
              </w:rPr>
              <w:t>idelalisib</w:t>
            </w:r>
            <w:proofErr w:type="spellEnd"/>
          </w:p>
        </w:tc>
      </w:tr>
    </w:tbl>
    <w:p w:rsidR="002D271D" w:rsidRPr="00174DB9" w:rsidRDefault="002D271D" w:rsidP="002D271D">
      <w:pPr>
        <w:pStyle w:val="TableFooter"/>
        <w:ind w:firstLine="720"/>
      </w:pPr>
      <w:r w:rsidRPr="00174DB9">
        <w:t>Source: compiled during the evaluation</w:t>
      </w:r>
    </w:p>
    <w:p w:rsidR="00A46133" w:rsidRPr="00D110BD" w:rsidRDefault="00A46133" w:rsidP="002D271D">
      <w:pPr>
        <w:pStyle w:val="TableFooter"/>
        <w:ind w:firstLine="720"/>
      </w:pPr>
      <w:r>
        <w:t xml:space="preserve">RPSFT = rank preserving </w:t>
      </w:r>
      <w:r w:rsidR="00D53EF2">
        <w:t xml:space="preserve">structural </w:t>
      </w:r>
      <w:r w:rsidR="003A7D72">
        <w:t>failure time</w:t>
      </w:r>
    </w:p>
    <w:p w:rsidR="002D271D" w:rsidRDefault="002D271D" w:rsidP="002D271D">
      <w:pPr>
        <w:widowControl/>
        <w:rPr>
          <w:szCs w:val="22"/>
        </w:rPr>
      </w:pPr>
    </w:p>
    <w:p w:rsidR="00844B78" w:rsidRPr="00805CD1" w:rsidRDefault="00844B78" w:rsidP="004B69A7">
      <w:pPr>
        <w:pStyle w:val="ListParagraph"/>
        <w:widowControl/>
        <w:numPr>
          <w:ilvl w:val="1"/>
          <w:numId w:val="5"/>
        </w:numPr>
        <w:rPr>
          <w:rStyle w:val="CommentReference"/>
          <w:rFonts w:ascii="Arial" w:hAnsi="Arial"/>
          <w:b w:val="0"/>
          <w:sz w:val="22"/>
          <w:szCs w:val="22"/>
        </w:rPr>
      </w:pPr>
      <w:r w:rsidRPr="00805CD1">
        <w:rPr>
          <w:rStyle w:val="CommentReference"/>
          <w:rFonts w:ascii="Arial" w:hAnsi="Arial"/>
          <w:b w:val="0"/>
          <w:sz w:val="22"/>
          <w:szCs w:val="22"/>
        </w:rPr>
        <w:t>The ESC noted that</w:t>
      </w:r>
      <w:r w:rsidR="002D681D" w:rsidRPr="00805CD1">
        <w:rPr>
          <w:rStyle w:val="CommentReference"/>
          <w:rFonts w:ascii="Arial" w:hAnsi="Arial"/>
          <w:b w:val="0"/>
          <w:sz w:val="22"/>
          <w:szCs w:val="22"/>
        </w:rPr>
        <w:t>,</w:t>
      </w:r>
      <w:r w:rsidRPr="00805CD1">
        <w:rPr>
          <w:rStyle w:val="CommentReference"/>
          <w:rFonts w:ascii="Arial" w:hAnsi="Arial"/>
          <w:b w:val="0"/>
          <w:sz w:val="22"/>
          <w:szCs w:val="22"/>
        </w:rPr>
        <w:t xml:space="preserve"> in </w:t>
      </w:r>
      <w:r w:rsidR="002D681D" w:rsidRPr="00805CD1">
        <w:rPr>
          <w:rStyle w:val="CommentReference"/>
          <w:rFonts w:ascii="Arial" w:hAnsi="Arial"/>
          <w:b w:val="0"/>
          <w:sz w:val="22"/>
          <w:szCs w:val="22"/>
        </w:rPr>
        <w:t xml:space="preserve">its </w:t>
      </w:r>
      <w:r w:rsidRPr="00805CD1">
        <w:rPr>
          <w:rStyle w:val="CommentReference"/>
          <w:rFonts w:ascii="Arial" w:hAnsi="Arial"/>
          <w:b w:val="0"/>
          <w:sz w:val="22"/>
          <w:szCs w:val="22"/>
        </w:rPr>
        <w:t xml:space="preserve">March 2015 </w:t>
      </w:r>
      <w:r w:rsidR="002D681D" w:rsidRPr="00805CD1">
        <w:rPr>
          <w:rStyle w:val="CommentReference"/>
          <w:rFonts w:ascii="Arial" w:hAnsi="Arial"/>
          <w:b w:val="0"/>
          <w:sz w:val="22"/>
          <w:szCs w:val="22"/>
        </w:rPr>
        <w:t xml:space="preserve">consideration of </w:t>
      </w:r>
      <w:r w:rsidRPr="00805CD1">
        <w:rPr>
          <w:rStyle w:val="CommentReference"/>
          <w:rFonts w:ascii="Arial" w:hAnsi="Arial"/>
          <w:b w:val="0"/>
          <w:sz w:val="22"/>
          <w:szCs w:val="22"/>
        </w:rPr>
        <w:t>idelalisib,</w:t>
      </w:r>
      <w:r w:rsidR="002D681D" w:rsidRPr="00805CD1">
        <w:rPr>
          <w:rStyle w:val="CommentReference"/>
          <w:rFonts w:ascii="Arial" w:hAnsi="Arial"/>
          <w:b w:val="0"/>
          <w:sz w:val="22"/>
          <w:szCs w:val="22"/>
        </w:rPr>
        <w:t xml:space="preserve"> the PBAC recommended using a 7-</w:t>
      </w:r>
      <w:r w:rsidRPr="00805CD1">
        <w:rPr>
          <w:rStyle w:val="CommentReference"/>
          <w:rFonts w:ascii="Arial" w:hAnsi="Arial"/>
          <w:b w:val="0"/>
          <w:sz w:val="22"/>
          <w:szCs w:val="22"/>
        </w:rPr>
        <w:t>year time horizon</w:t>
      </w:r>
      <w:r w:rsidR="00BF2BCD" w:rsidRPr="00805CD1">
        <w:rPr>
          <w:rStyle w:val="CommentReference"/>
          <w:rFonts w:ascii="Arial" w:hAnsi="Arial"/>
          <w:b w:val="0"/>
          <w:sz w:val="22"/>
          <w:szCs w:val="22"/>
        </w:rPr>
        <w:t xml:space="preserve"> </w:t>
      </w:r>
      <w:r w:rsidR="002D681D" w:rsidRPr="00805CD1">
        <w:rPr>
          <w:rStyle w:val="CommentReference"/>
          <w:rFonts w:ascii="Arial" w:hAnsi="Arial"/>
          <w:b w:val="0"/>
          <w:sz w:val="22"/>
          <w:szCs w:val="22"/>
        </w:rPr>
        <w:t>with a 5-</w:t>
      </w:r>
      <w:r w:rsidR="008A0027" w:rsidRPr="00805CD1">
        <w:rPr>
          <w:rStyle w:val="CommentReference"/>
          <w:rFonts w:ascii="Arial" w:hAnsi="Arial"/>
          <w:b w:val="0"/>
          <w:sz w:val="22"/>
          <w:szCs w:val="22"/>
        </w:rPr>
        <w:t xml:space="preserve">year sensitivity analysis </w:t>
      </w:r>
      <w:r w:rsidR="00BF2BCD" w:rsidRPr="00805CD1">
        <w:rPr>
          <w:rStyle w:val="CommentReference"/>
          <w:rFonts w:ascii="Arial" w:hAnsi="Arial"/>
          <w:b w:val="0"/>
          <w:sz w:val="22"/>
          <w:szCs w:val="22"/>
        </w:rPr>
        <w:t>(Paragraph 7.11, PBAC minutes, March 2015)</w:t>
      </w:r>
      <w:r w:rsidRPr="00805CD1">
        <w:rPr>
          <w:rStyle w:val="CommentReference"/>
          <w:rFonts w:ascii="Arial" w:hAnsi="Arial"/>
          <w:b w:val="0"/>
          <w:sz w:val="22"/>
          <w:szCs w:val="22"/>
        </w:rPr>
        <w:t>. It is unclear what justificati</w:t>
      </w:r>
      <w:r w:rsidR="002D681D" w:rsidRPr="00805CD1">
        <w:rPr>
          <w:rStyle w:val="CommentReference"/>
          <w:rFonts w:ascii="Arial" w:hAnsi="Arial"/>
          <w:b w:val="0"/>
          <w:sz w:val="22"/>
          <w:szCs w:val="22"/>
        </w:rPr>
        <w:t>on was given to the use of an 8-</w:t>
      </w:r>
      <w:r w:rsidRPr="00805CD1">
        <w:rPr>
          <w:rStyle w:val="CommentReference"/>
          <w:rFonts w:ascii="Arial" w:hAnsi="Arial"/>
          <w:b w:val="0"/>
          <w:sz w:val="22"/>
          <w:szCs w:val="22"/>
        </w:rPr>
        <w:t>year time horizon</w:t>
      </w:r>
      <w:r w:rsidR="00876931" w:rsidRPr="00805CD1">
        <w:rPr>
          <w:rStyle w:val="CommentReference"/>
          <w:rFonts w:ascii="Arial" w:hAnsi="Arial"/>
          <w:b w:val="0"/>
          <w:sz w:val="22"/>
          <w:szCs w:val="22"/>
        </w:rPr>
        <w:t xml:space="preserve"> in the resubmission</w:t>
      </w:r>
      <w:r w:rsidRPr="00805CD1">
        <w:rPr>
          <w:rStyle w:val="CommentReference"/>
          <w:rFonts w:ascii="Arial" w:hAnsi="Arial"/>
          <w:b w:val="0"/>
          <w:sz w:val="22"/>
          <w:szCs w:val="22"/>
        </w:rPr>
        <w:t>.</w:t>
      </w:r>
    </w:p>
    <w:p w:rsidR="00844B78" w:rsidRPr="002D681D" w:rsidRDefault="00844B78" w:rsidP="00A357B0">
      <w:pPr>
        <w:widowControl/>
        <w:rPr>
          <w:rStyle w:val="CommentReference"/>
          <w:rFonts w:ascii="Arial" w:hAnsi="Arial"/>
          <w:b w:val="0"/>
          <w:sz w:val="22"/>
          <w:szCs w:val="22"/>
        </w:rPr>
      </w:pPr>
    </w:p>
    <w:p w:rsidR="0049085E" w:rsidRPr="002D681D" w:rsidRDefault="0049085E" w:rsidP="0049085E">
      <w:pPr>
        <w:pStyle w:val="ListParagraph"/>
        <w:widowControl/>
        <w:numPr>
          <w:ilvl w:val="1"/>
          <w:numId w:val="5"/>
        </w:numPr>
      </w:pPr>
      <w:r w:rsidRPr="00E07ACE">
        <w:t>Graph</w:t>
      </w:r>
      <w:r w:rsidR="003A7D72">
        <w:t>ed</w:t>
      </w:r>
      <w:r w:rsidRPr="00E07ACE">
        <w:t xml:space="preserve"> traces of the </w:t>
      </w:r>
      <w:r>
        <w:t>pr</w:t>
      </w:r>
      <w:r w:rsidRPr="00E07ACE">
        <w:t xml:space="preserve">edicted progression free survival and overall survival curves </w:t>
      </w:r>
      <w:r>
        <w:t>are</w:t>
      </w:r>
      <w:r w:rsidRPr="00E07ACE">
        <w:t xml:space="preserve"> presented in Figure </w:t>
      </w:r>
      <w:r w:rsidR="004A64FB">
        <w:t>4</w:t>
      </w:r>
      <w:r w:rsidRPr="00E07ACE">
        <w:t>.</w:t>
      </w:r>
    </w:p>
    <w:p w:rsidR="0049085E" w:rsidRPr="002D681D" w:rsidRDefault="0049085E" w:rsidP="0049085E"/>
    <w:p w:rsidR="00591ABB" w:rsidRPr="00591ABB" w:rsidRDefault="00591ABB" w:rsidP="00591ABB">
      <w:pPr>
        <w:pStyle w:val="Caption"/>
        <w:keepNext/>
        <w:ind w:firstLine="720"/>
        <w:rPr>
          <w:rFonts w:ascii="Arial Narrow" w:hAnsi="Arial Narrow"/>
          <w:color w:val="auto"/>
          <w:sz w:val="20"/>
        </w:rPr>
      </w:pPr>
      <w:r w:rsidRPr="00591ABB">
        <w:rPr>
          <w:rFonts w:ascii="Arial Narrow" w:hAnsi="Arial Narrow"/>
          <w:color w:val="auto"/>
          <w:sz w:val="20"/>
        </w:rPr>
        <w:lastRenderedPageBreak/>
        <w:t xml:space="preserve">Figure </w:t>
      </w:r>
      <w:r w:rsidRPr="00591ABB">
        <w:rPr>
          <w:rFonts w:ascii="Arial Narrow" w:hAnsi="Arial Narrow"/>
          <w:color w:val="auto"/>
          <w:sz w:val="20"/>
        </w:rPr>
        <w:fldChar w:fldCharType="begin"/>
      </w:r>
      <w:r w:rsidRPr="00591ABB">
        <w:rPr>
          <w:rFonts w:ascii="Arial Narrow" w:hAnsi="Arial Narrow"/>
          <w:color w:val="auto"/>
          <w:sz w:val="20"/>
        </w:rPr>
        <w:instrText xml:space="preserve"> SEQ Figure \* ARABIC </w:instrText>
      </w:r>
      <w:r w:rsidRPr="00591ABB">
        <w:rPr>
          <w:rFonts w:ascii="Arial Narrow" w:hAnsi="Arial Narrow"/>
          <w:color w:val="auto"/>
          <w:sz w:val="20"/>
        </w:rPr>
        <w:fldChar w:fldCharType="separate"/>
      </w:r>
      <w:r w:rsidR="00AD392C">
        <w:rPr>
          <w:rFonts w:ascii="Arial Narrow" w:hAnsi="Arial Narrow"/>
          <w:noProof/>
          <w:color w:val="auto"/>
          <w:sz w:val="20"/>
        </w:rPr>
        <w:t>4</w:t>
      </w:r>
      <w:r w:rsidRPr="00591ABB">
        <w:rPr>
          <w:rFonts w:ascii="Arial Narrow" w:hAnsi="Arial Narrow"/>
          <w:color w:val="auto"/>
          <w:sz w:val="20"/>
        </w:rPr>
        <w:fldChar w:fldCharType="end"/>
      </w:r>
      <w:r w:rsidRPr="00591ABB">
        <w:rPr>
          <w:rFonts w:ascii="Arial Narrow" w:hAnsi="Arial Narrow"/>
          <w:color w:val="auto"/>
          <w:sz w:val="20"/>
        </w:rPr>
        <w:t>: Markov trace for (a) idelalisib plus rituximab and (b) best supportive care in the economic model</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arkov traces in the economic model"/>
      </w:tblPr>
      <w:tblGrid>
        <w:gridCol w:w="4161"/>
        <w:gridCol w:w="4282"/>
      </w:tblGrid>
      <w:tr w:rsidR="0049085E" w:rsidRPr="009D21E3" w:rsidTr="008B7EE7">
        <w:trPr>
          <w:trHeight w:val="170"/>
          <w:tblHeader/>
          <w:jc w:val="right"/>
        </w:trPr>
        <w:tc>
          <w:tcPr>
            <w:tcW w:w="4161" w:type="dxa"/>
            <w:tcBorders>
              <w:top w:val="single" w:sz="4" w:space="0" w:color="auto"/>
              <w:left w:val="single" w:sz="4" w:space="0" w:color="auto"/>
              <w:bottom w:val="single" w:sz="4" w:space="0" w:color="auto"/>
              <w:right w:val="single" w:sz="4" w:space="0" w:color="auto"/>
            </w:tcBorders>
          </w:tcPr>
          <w:p w:rsidR="0049085E" w:rsidRPr="009D21E3" w:rsidRDefault="0049085E" w:rsidP="00380AB3">
            <w:pPr>
              <w:pStyle w:val="Tabletext"/>
              <w:keepNext/>
              <w:numPr>
                <w:ilvl w:val="0"/>
                <w:numId w:val="33"/>
              </w:numPr>
              <w:jc w:val="center"/>
              <w:rPr>
                <w:b/>
              </w:rPr>
            </w:pPr>
            <w:r>
              <w:rPr>
                <w:b/>
              </w:rPr>
              <w:t>Idelalisib</w:t>
            </w:r>
            <w:r w:rsidRPr="009D21E3">
              <w:rPr>
                <w:b/>
              </w:rPr>
              <w:t xml:space="preserve"> + rituximab</w:t>
            </w:r>
          </w:p>
        </w:tc>
        <w:tc>
          <w:tcPr>
            <w:tcW w:w="4282" w:type="dxa"/>
            <w:tcBorders>
              <w:top w:val="single" w:sz="4" w:space="0" w:color="auto"/>
              <w:left w:val="single" w:sz="4" w:space="0" w:color="auto"/>
              <w:bottom w:val="single" w:sz="4" w:space="0" w:color="auto"/>
              <w:right w:val="single" w:sz="4" w:space="0" w:color="auto"/>
            </w:tcBorders>
          </w:tcPr>
          <w:p w:rsidR="0049085E" w:rsidRPr="009D21E3" w:rsidRDefault="0049085E" w:rsidP="00380AB3">
            <w:pPr>
              <w:pStyle w:val="Tabletext"/>
              <w:keepNext/>
              <w:numPr>
                <w:ilvl w:val="0"/>
                <w:numId w:val="33"/>
              </w:numPr>
              <w:jc w:val="center"/>
              <w:rPr>
                <w:b/>
              </w:rPr>
            </w:pPr>
            <w:r>
              <w:rPr>
                <w:b/>
              </w:rPr>
              <w:t>Best supportive care</w:t>
            </w:r>
          </w:p>
        </w:tc>
      </w:tr>
      <w:tr w:rsidR="0049085E" w:rsidTr="008B7EE7">
        <w:trPr>
          <w:trHeight w:val="2064"/>
          <w:jc w:val="right"/>
        </w:trPr>
        <w:tc>
          <w:tcPr>
            <w:tcW w:w="4161" w:type="dxa"/>
            <w:tcBorders>
              <w:top w:val="single" w:sz="4" w:space="0" w:color="auto"/>
              <w:left w:val="single" w:sz="4" w:space="0" w:color="auto"/>
              <w:bottom w:val="single" w:sz="4" w:space="0" w:color="auto"/>
              <w:right w:val="single" w:sz="4" w:space="0" w:color="auto"/>
            </w:tcBorders>
          </w:tcPr>
          <w:p w:rsidR="0049085E" w:rsidRDefault="0049085E" w:rsidP="00380AB3">
            <w:pPr>
              <w:keepNext/>
              <w:widowControl/>
            </w:pPr>
            <w:r>
              <w:rPr>
                <w:noProof/>
                <w:snapToGrid/>
                <w:lang w:eastAsia="en-AU"/>
              </w:rPr>
              <w:drawing>
                <wp:inline distT="0" distB="0" distL="0" distR="0" wp14:anchorId="0E84BCAB" wp14:editId="15469A81">
                  <wp:extent cx="2505075" cy="1467908"/>
                  <wp:effectExtent l="0" t="0" r="0" b="0"/>
                  <wp:docPr id="20" name="Picture 20" title="Markov trace idelalisib plus rituxim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3943" cy="1473104"/>
                          </a:xfrm>
                          <a:prstGeom prst="rect">
                            <a:avLst/>
                          </a:prstGeom>
                          <a:noFill/>
                        </pic:spPr>
                      </pic:pic>
                    </a:graphicData>
                  </a:graphic>
                </wp:inline>
              </w:drawing>
            </w:r>
          </w:p>
          <w:p w:rsidR="0049085E" w:rsidRPr="00390E4C" w:rsidRDefault="0049085E" w:rsidP="00380AB3">
            <w:pPr>
              <w:keepNext/>
              <w:widowControl/>
              <w:jc w:val="center"/>
              <w:rPr>
                <w:sz w:val="16"/>
                <w:szCs w:val="16"/>
              </w:rPr>
            </w:pPr>
            <w:r w:rsidRPr="00390E4C">
              <w:rPr>
                <w:sz w:val="16"/>
                <w:szCs w:val="16"/>
              </w:rPr>
              <w:t>Years</w:t>
            </w:r>
          </w:p>
        </w:tc>
        <w:tc>
          <w:tcPr>
            <w:tcW w:w="4282" w:type="dxa"/>
            <w:tcBorders>
              <w:top w:val="single" w:sz="4" w:space="0" w:color="auto"/>
              <w:left w:val="single" w:sz="4" w:space="0" w:color="auto"/>
              <w:bottom w:val="single" w:sz="4" w:space="0" w:color="auto"/>
              <w:right w:val="single" w:sz="4" w:space="0" w:color="auto"/>
            </w:tcBorders>
          </w:tcPr>
          <w:p w:rsidR="0049085E" w:rsidRDefault="0049085E" w:rsidP="00380AB3">
            <w:pPr>
              <w:keepNext/>
              <w:widowControl/>
            </w:pPr>
            <w:r>
              <w:rPr>
                <w:noProof/>
                <w:snapToGrid/>
                <w:lang w:eastAsia="en-AU"/>
              </w:rPr>
              <w:drawing>
                <wp:inline distT="0" distB="0" distL="0" distR="0" wp14:anchorId="50A20B0C" wp14:editId="738EB06F">
                  <wp:extent cx="2486025" cy="1470107"/>
                  <wp:effectExtent l="0" t="0" r="0" b="0"/>
                  <wp:docPr id="19" name="Picture 19" title="Markov trace for best supportive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0869" cy="1484799"/>
                          </a:xfrm>
                          <a:prstGeom prst="rect">
                            <a:avLst/>
                          </a:prstGeom>
                          <a:noFill/>
                        </pic:spPr>
                      </pic:pic>
                    </a:graphicData>
                  </a:graphic>
                </wp:inline>
              </w:drawing>
            </w:r>
          </w:p>
          <w:p w:rsidR="0049085E" w:rsidRPr="00390E4C" w:rsidRDefault="0049085E" w:rsidP="00380AB3">
            <w:pPr>
              <w:keepNext/>
              <w:widowControl/>
              <w:jc w:val="center"/>
              <w:rPr>
                <w:sz w:val="16"/>
                <w:szCs w:val="16"/>
              </w:rPr>
            </w:pPr>
            <w:r w:rsidRPr="00390E4C">
              <w:rPr>
                <w:sz w:val="16"/>
                <w:szCs w:val="16"/>
              </w:rPr>
              <w:t>Years</w:t>
            </w:r>
          </w:p>
        </w:tc>
      </w:tr>
      <w:tr w:rsidR="0049085E" w:rsidTr="008B7E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jc w:val="right"/>
        </w:trPr>
        <w:tc>
          <w:tcPr>
            <w:tcW w:w="8443" w:type="dxa"/>
            <w:gridSpan w:val="2"/>
            <w:tcBorders>
              <w:top w:val="single" w:sz="4" w:space="0" w:color="auto"/>
              <w:left w:val="single" w:sz="4" w:space="0" w:color="auto"/>
              <w:bottom w:val="single" w:sz="4" w:space="0" w:color="auto"/>
              <w:right w:val="single" w:sz="4" w:space="0" w:color="auto"/>
            </w:tcBorders>
            <w:vAlign w:val="center"/>
          </w:tcPr>
          <w:p w:rsidR="0049085E" w:rsidRDefault="0049085E" w:rsidP="00504583">
            <w:pPr>
              <w:keepNext/>
              <w:widowControl/>
              <w:jc w:val="center"/>
            </w:pPr>
            <w:r>
              <w:rPr>
                <w:noProof/>
                <w:snapToGrid/>
                <w:lang w:eastAsia="en-AU"/>
              </w:rPr>
              <w:drawing>
                <wp:inline distT="0" distB="0" distL="0" distR="0" wp14:anchorId="04C64C04" wp14:editId="465EE3AF">
                  <wp:extent cx="2833424" cy="197061"/>
                  <wp:effectExtent l="0" t="0" r="5080" b="0"/>
                  <wp:docPr id="18" name="Picture 18" title="Stable disease, progressive disease and dead st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26738" t="61974" r="2139" b="31657"/>
                          <a:stretch/>
                        </pic:blipFill>
                        <pic:spPr bwMode="auto">
                          <a:xfrm>
                            <a:off x="0" y="0"/>
                            <a:ext cx="2834042" cy="197104"/>
                          </a:xfrm>
                          <a:prstGeom prst="rect">
                            <a:avLst/>
                          </a:prstGeom>
                          <a:ln>
                            <a:noFill/>
                          </a:ln>
                          <a:extLst>
                            <a:ext uri="{53640926-AAD7-44D8-BBD7-CCE9431645EC}">
                              <a14:shadowObscured xmlns:a14="http://schemas.microsoft.com/office/drawing/2010/main"/>
                            </a:ext>
                          </a:extLst>
                        </pic:spPr>
                      </pic:pic>
                    </a:graphicData>
                  </a:graphic>
                </wp:inline>
              </w:drawing>
            </w:r>
          </w:p>
        </w:tc>
      </w:tr>
    </w:tbl>
    <w:p w:rsidR="0049085E" w:rsidRDefault="0049085E" w:rsidP="00C20A87">
      <w:pPr>
        <w:pStyle w:val="TableFooter"/>
        <w:keepNext/>
        <w:widowControl/>
        <w:ind w:firstLine="720"/>
        <w:rPr>
          <w:i/>
        </w:rPr>
      </w:pPr>
      <w:r>
        <w:t xml:space="preserve">Source: Table D.5.1 of the Commentary. </w:t>
      </w:r>
      <w:r w:rsidRPr="00795468">
        <w:rPr>
          <w:i/>
        </w:rPr>
        <w:t>Constructed during the evaluation using the economic model</w:t>
      </w:r>
    </w:p>
    <w:p w:rsidR="0049085E" w:rsidRPr="00D13A3E" w:rsidRDefault="0049085E" w:rsidP="0049085E"/>
    <w:p w:rsidR="0049085E" w:rsidRPr="00805CD1" w:rsidRDefault="0049085E" w:rsidP="0006234F">
      <w:pPr>
        <w:pStyle w:val="ListParagraph"/>
        <w:widowControl/>
        <w:numPr>
          <w:ilvl w:val="1"/>
          <w:numId w:val="5"/>
        </w:numPr>
      </w:pPr>
      <w:r>
        <w:t xml:space="preserve">As per Figure </w:t>
      </w:r>
      <w:r w:rsidR="004A64FB">
        <w:t>4</w:t>
      </w:r>
      <w:r>
        <w:t>, after approximately four years of treatment 50.0% of the idelalisib plus rituximab patients were expected to be alive, compared to eight years in the previous submission.</w:t>
      </w:r>
      <w:r w:rsidR="0006234F">
        <w:t xml:space="preserve"> </w:t>
      </w:r>
      <w:r w:rsidR="0006234F" w:rsidRPr="00805CD1">
        <w:t xml:space="preserve">The ESC noted that the Markov traces for idelalisib plus rituximab, and best supportive care, in the economic model are more clinically plausible in the current </w:t>
      </w:r>
      <w:r w:rsidR="00496601" w:rsidRPr="00805CD1">
        <w:t>re</w:t>
      </w:r>
      <w:r w:rsidR="0006234F" w:rsidRPr="00805CD1">
        <w:t>submission t</w:t>
      </w:r>
      <w:r w:rsidR="00876931" w:rsidRPr="00805CD1">
        <w:t>han in the original submission.</w:t>
      </w:r>
    </w:p>
    <w:p w:rsidR="0049085E" w:rsidRPr="00876931" w:rsidRDefault="0049085E" w:rsidP="0049085E">
      <w:pPr>
        <w:widowControl/>
        <w:rPr>
          <w:rStyle w:val="CommentReference"/>
          <w:rFonts w:ascii="Arial" w:hAnsi="Arial"/>
          <w:b w:val="0"/>
          <w:sz w:val="22"/>
          <w:szCs w:val="22"/>
        </w:rPr>
      </w:pPr>
    </w:p>
    <w:p w:rsidR="002D271D" w:rsidRDefault="002D271D" w:rsidP="004B69A7">
      <w:pPr>
        <w:pStyle w:val="ListParagraph"/>
        <w:widowControl/>
        <w:numPr>
          <w:ilvl w:val="1"/>
          <w:numId w:val="5"/>
        </w:numPr>
        <w:rPr>
          <w:rStyle w:val="CommentReference"/>
          <w:rFonts w:ascii="Arial" w:hAnsi="Arial"/>
          <w:b w:val="0"/>
          <w:sz w:val="22"/>
          <w:szCs w:val="22"/>
        </w:rPr>
      </w:pPr>
      <w:r w:rsidRPr="00F11840">
        <w:rPr>
          <w:rStyle w:val="CommentReference"/>
          <w:rFonts w:ascii="Arial" w:hAnsi="Arial"/>
          <w:b w:val="0"/>
          <w:sz w:val="22"/>
          <w:szCs w:val="22"/>
        </w:rPr>
        <w:t>The</w:t>
      </w:r>
      <w:r>
        <w:rPr>
          <w:rStyle w:val="CommentReference"/>
          <w:rFonts w:ascii="Arial" w:hAnsi="Arial"/>
          <w:b w:val="0"/>
          <w:sz w:val="22"/>
          <w:szCs w:val="22"/>
        </w:rPr>
        <w:t xml:space="preserve"> results of the economic evaluation </w:t>
      </w:r>
      <w:r w:rsidR="00707C83">
        <w:rPr>
          <w:rStyle w:val="CommentReference"/>
          <w:rFonts w:ascii="Arial" w:hAnsi="Arial"/>
          <w:b w:val="0"/>
          <w:sz w:val="22"/>
          <w:szCs w:val="22"/>
        </w:rPr>
        <w:t xml:space="preserve">are </w:t>
      </w:r>
      <w:r>
        <w:rPr>
          <w:rStyle w:val="CommentReference"/>
          <w:rFonts w:ascii="Arial" w:hAnsi="Arial"/>
          <w:b w:val="0"/>
          <w:sz w:val="22"/>
          <w:szCs w:val="22"/>
        </w:rPr>
        <w:t xml:space="preserve">presented in Table </w:t>
      </w:r>
      <w:r w:rsidR="0018203D">
        <w:rPr>
          <w:rStyle w:val="CommentReference"/>
          <w:rFonts w:ascii="Arial" w:hAnsi="Arial"/>
          <w:b w:val="0"/>
          <w:sz w:val="22"/>
          <w:szCs w:val="22"/>
        </w:rPr>
        <w:t>9</w:t>
      </w:r>
      <w:r>
        <w:rPr>
          <w:rStyle w:val="CommentReference"/>
          <w:rFonts w:ascii="Arial" w:hAnsi="Arial"/>
          <w:b w:val="0"/>
          <w:sz w:val="22"/>
          <w:szCs w:val="22"/>
        </w:rPr>
        <w:t>.</w:t>
      </w:r>
    </w:p>
    <w:p w:rsidR="002D271D" w:rsidRPr="00876931" w:rsidRDefault="002D271D" w:rsidP="002D271D">
      <w:pPr>
        <w:widowControl/>
        <w:rPr>
          <w:rStyle w:val="CommentReference"/>
          <w:rFonts w:ascii="Arial" w:hAnsi="Arial"/>
          <w:b w:val="0"/>
          <w:sz w:val="22"/>
          <w:szCs w:val="22"/>
        </w:rPr>
      </w:pPr>
    </w:p>
    <w:p w:rsidR="00591ABB" w:rsidRPr="00591ABB" w:rsidRDefault="00591ABB" w:rsidP="00591ABB">
      <w:pPr>
        <w:pStyle w:val="Caption"/>
        <w:keepNext/>
        <w:ind w:firstLine="720"/>
        <w:rPr>
          <w:rFonts w:ascii="Arial Narrow" w:hAnsi="Arial Narrow"/>
          <w:color w:val="auto"/>
          <w:sz w:val="20"/>
        </w:rPr>
      </w:pPr>
      <w:r w:rsidRPr="00591ABB">
        <w:rPr>
          <w:rFonts w:ascii="Arial Narrow" w:hAnsi="Arial Narrow"/>
          <w:color w:val="auto"/>
          <w:sz w:val="20"/>
        </w:rPr>
        <w:t xml:space="preserve">Table </w:t>
      </w:r>
      <w:r w:rsidRPr="00591ABB">
        <w:rPr>
          <w:rFonts w:ascii="Arial Narrow" w:hAnsi="Arial Narrow"/>
          <w:color w:val="auto"/>
          <w:sz w:val="20"/>
        </w:rPr>
        <w:fldChar w:fldCharType="begin"/>
      </w:r>
      <w:r w:rsidRPr="00591ABB">
        <w:rPr>
          <w:rFonts w:ascii="Arial Narrow" w:hAnsi="Arial Narrow"/>
          <w:color w:val="auto"/>
          <w:sz w:val="20"/>
        </w:rPr>
        <w:instrText xml:space="preserve"> SEQ Table \* ARABIC </w:instrText>
      </w:r>
      <w:r w:rsidRPr="00591ABB">
        <w:rPr>
          <w:rFonts w:ascii="Arial Narrow" w:hAnsi="Arial Narrow"/>
          <w:color w:val="auto"/>
          <w:sz w:val="20"/>
        </w:rPr>
        <w:fldChar w:fldCharType="separate"/>
      </w:r>
      <w:r w:rsidR="00AD392C">
        <w:rPr>
          <w:rFonts w:ascii="Arial Narrow" w:hAnsi="Arial Narrow"/>
          <w:noProof/>
          <w:color w:val="auto"/>
          <w:sz w:val="20"/>
        </w:rPr>
        <w:t>9</w:t>
      </w:r>
      <w:r w:rsidRPr="00591ABB">
        <w:rPr>
          <w:rFonts w:ascii="Arial Narrow" w:hAnsi="Arial Narrow"/>
          <w:color w:val="auto"/>
          <w:sz w:val="20"/>
        </w:rPr>
        <w:fldChar w:fldCharType="end"/>
      </w:r>
      <w:r w:rsidRPr="00591ABB">
        <w:rPr>
          <w:rFonts w:ascii="Arial Narrow" w:hAnsi="Arial Narrow"/>
          <w:color w:val="auto"/>
          <w:sz w:val="20"/>
        </w:rPr>
        <w:t>: Results of the economic evaluation (discounted at 5%)</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Results of economic evaluation"/>
        <w:tblDescription w:val="Incremental cost per QALY gained discounted at 5%"/>
      </w:tblPr>
      <w:tblGrid>
        <w:gridCol w:w="1985"/>
        <w:gridCol w:w="2410"/>
        <w:gridCol w:w="2268"/>
        <w:gridCol w:w="1682"/>
      </w:tblGrid>
      <w:tr w:rsidR="002D271D" w:rsidRPr="00E2771E" w:rsidTr="00A34711">
        <w:trPr>
          <w:tblHeader/>
        </w:trPr>
        <w:tc>
          <w:tcPr>
            <w:tcW w:w="1189" w:type="pct"/>
            <w:vAlign w:val="center"/>
          </w:tcPr>
          <w:p w:rsidR="002D271D" w:rsidRPr="00E2771E" w:rsidRDefault="002D271D" w:rsidP="003E513A">
            <w:pPr>
              <w:keepNext/>
              <w:widowControl/>
              <w:jc w:val="left"/>
              <w:rPr>
                <w:rFonts w:ascii="Arial Narrow" w:hAnsi="Arial Narrow"/>
                <w:b/>
                <w:sz w:val="20"/>
              </w:rPr>
            </w:pPr>
          </w:p>
        </w:tc>
        <w:tc>
          <w:tcPr>
            <w:tcW w:w="1444" w:type="pct"/>
            <w:vAlign w:val="center"/>
          </w:tcPr>
          <w:p w:rsidR="002D271D" w:rsidRPr="00E2771E" w:rsidRDefault="002D271D" w:rsidP="003E513A">
            <w:pPr>
              <w:keepNext/>
              <w:widowControl/>
              <w:jc w:val="right"/>
              <w:rPr>
                <w:rFonts w:ascii="Arial Narrow" w:hAnsi="Arial Narrow"/>
                <w:b/>
                <w:sz w:val="20"/>
              </w:rPr>
            </w:pPr>
            <w:r>
              <w:rPr>
                <w:rFonts w:ascii="Arial Narrow" w:hAnsi="Arial Narrow"/>
                <w:b/>
                <w:sz w:val="20"/>
              </w:rPr>
              <w:t>Idelalisib + rituximab</w:t>
            </w:r>
          </w:p>
        </w:tc>
        <w:tc>
          <w:tcPr>
            <w:tcW w:w="1359" w:type="pct"/>
          </w:tcPr>
          <w:p w:rsidR="002D271D" w:rsidRPr="004E2ADC" w:rsidRDefault="002D271D" w:rsidP="003E513A">
            <w:pPr>
              <w:keepNext/>
              <w:widowControl/>
              <w:jc w:val="right"/>
              <w:rPr>
                <w:rFonts w:ascii="Arial Narrow" w:hAnsi="Arial Narrow"/>
                <w:b/>
                <w:sz w:val="20"/>
              </w:rPr>
            </w:pPr>
            <w:r>
              <w:rPr>
                <w:rFonts w:ascii="Arial Narrow" w:hAnsi="Arial Narrow"/>
                <w:b/>
                <w:sz w:val="20"/>
              </w:rPr>
              <w:t>Best support</w:t>
            </w:r>
            <w:r w:rsidR="00A46133">
              <w:rPr>
                <w:rFonts w:ascii="Arial Narrow" w:hAnsi="Arial Narrow"/>
                <w:b/>
                <w:sz w:val="20"/>
              </w:rPr>
              <w:t>ive</w:t>
            </w:r>
            <w:r>
              <w:rPr>
                <w:rFonts w:ascii="Arial Narrow" w:hAnsi="Arial Narrow"/>
                <w:b/>
                <w:sz w:val="20"/>
              </w:rPr>
              <w:t xml:space="preserve"> care</w:t>
            </w:r>
          </w:p>
        </w:tc>
        <w:tc>
          <w:tcPr>
            <w:tcW w:w="1008" w:type="pct"/>
            <w:vAlign w:val="center"/>
          </w:tcPr>
          <w:p w:rsidR="002D271D" w:rsidRPr="00E2771E" w:rsidRDefault="002D271D" w:rsidP="003E513A">
            <w:pPr>
              <w:keepNext/>
              <w:widowControl/>
              <w:jc w:val="right"/>
              <w:rPr>
                <w:rFonts w:ascii="Arial Narrow" w:hAnsi="Arial Narrow"/>
                <w:b/>
                <w:sz w:val="20"/>
              </w:rPr>
            </w:pPr>
            <w:r w:rsidRPr="00E2771E">
              <w:rPr>
                <w:rFonts w:ascii="Arial Narrow" w:hAnsi="Arial Narrow"/>
                <w:b/>
                <w:sz w:val="20"/>
              </w:rPr>
              <w:t>Increment</w:t>
            </w:r>
          </w:p>
        </w:tc>
      </w:tr>
      <w:tr w:rsidR="002D271D" w:rsidRPr="00E2771E" w:rsidTr="00A34711">
        <w:trPr>
          <w:tblHeader/>
        </w:trPr>
        <w:tc>
          <w:tcPr>
            <w:tcW w:w="1189" w:type="pct"/>
            <w:vAlign w:val="center"/>
          </w:tcPr>
          <w:p w:rsidR="002D271D" w:rsidRPr="00E2771E" w:rsidRDefault="002D271D" w:rsidP="003E513A">
            <w:pPr>
              <w:keepNext/>
              <w:widowControl/>
              <w:jc w:val="left"/>
              <w:rPr>
                <w:rFonts w:ascii="Arial Narrow" w:hAnsi="Arial Narrow"/>
                <w:sz w:val="20"/>
              </w:rPr>
            </w:pPr>
            <w:r w:rsidRPr="00E2771E">
              <w:rPr>
                <w:rFonts w:ascii="Arial Narrow" w:hAnsi="Arial Narrow"/>
                <w:sz w:val="20"/>
              </w:rPr>
              <w:t>Costs</w:t>
            </w:r>
          </w:p>
        </w:tc>
        <w:tc>
          <w:tcPr>
            <w:tcW w:w="1444" w:type="pct"/>
            <w:vAlign w:val="center"/>
          </w:tcPr>
          <w:p w:rsidR="002D271D" w:rsidRPr="00F02585" w:rsidRDefault="002D271D" w:rsidP="003E513A">
            <w:pPr>
              <w:keepNext/>
              <w:widowControl/>
              <w:jc w:val="right"/>
              <w:rPr>
                <w:rFonts w:ascii="Arial Narrow" w:hAnsi="Arial Narrow" w:cs="Times New Roman"/>
                <w:sz w:val="20"/>
              </w:rPr>
            </w:pPr>
            <w:r w:rsidRPr="004B2744">
              <w:rPr>
                <w:rFonts w:ascii="Arial Narrow" w:hAnsi="Arial Narrow" w:cs="Times New Roman"/>
                <w:sz w:val="20"/>
              </w:rPr>
              <w:t>$</w:t>
            </w:r>
            <w:r w:rsidR="006D3878">
              <w:rPr>
                <w:rFonts w:ascii="Arial Narrow" w:hAnsi="Arial Narrow" w:cs="Times New Roman"/>
                <w:noProof/>
                <w:color w:val="000000"/>
                <w:sz w:val="20"/>
                <w:highlight w:val="black"/>
              </w:rPr>
              <w:t>'''''''''''''''''''''</w:t>
            </w:r>
          </w:p>
        </w:tc>
        <w:tc>
          <w:tcPr>
            <w:tcW w:w="1359" w:type="pct"/>
            <w:vAlign w:val="center"/>
          </w:tcPr>
          <w:p w:rsidR="002D271D" w:rsidRPr="00F02585" w:rsidRDefault="002D271D" w:rsidP="003E513A">
            <w:pPr>
              <w:keepNext/>
              <w:widowControl/>
              <w:jc w:val="right"/>
              <w:rPr>
                <w:rFonts w:ascii="Arial Narrow" w:hAnsi="Arial Narrow" w:cs="Times New Roman"/>
                <w:sz w:val="20"/>
              </w:rPr>
            </w:pPr>
            <w:r w:rsidRPr="004B2744">
              <w:rPr>
                <w:rFonts w:ascii="Arial Narrow" w:hAnsi="Arial Narrow" w:cs="Times New Roman"/>
                <w:sz w:val="20"/>
              </w:rPr>
              <w:t>$22,668</w:t>
            </w:r>
          </w:p>
        </w:tc>
        <w:tc>
          <w:tcPr>
            <w:tcW w:w="1008" w:type="pct"/>
            <w:vAlign w:val="center"/>
          </w:tcPr>
          <w:p w:rsidR="002D271D" w:rsidRPr="00F02585" w:rsidRDefault="002D271D" w:rsidP="003E513A">
            <w:pPr>
              <w:keepNext/>
              <w:widowControl/>
              <w:jc w:val="right"/>
              <w:rPr>
                <w:rFonts w:ascii="Arial Narrow" w:hAnsi="Arial Narrow" w:cs="Times New Roman"/>
                <w:sz w:val="20"/>
              </w:rPr>
            </w:pPr>
            <w:r w:rsidRPr="004B2744">
              <w:rPr>
                <w:rFonts w:ascii="Arial Narrow" w:hAnsi="Arial Narrow" w:cs="Times New Roman"/>
                <w:sz w:val="20"/>
              </w:rPr>
              <w:t>$</w:t>
            </w:r>
            <w:r w:rsidR="006D3878">
              <w:rPr>
                <w:rFonts w:ascii="Arial Narrow" w:hAnsi="Arial Narrow" w:cs="Times New Roman"/>
                <w:noProof/>
                <w:color w:val="000000"/>
                <w:sz w:val="20"/>
                <w:highlight w:val="black"/>
              </w:rPr>
              <w:t>''''''''''''''''''</w:t>
            </w:r>
          </w:p>
        </w:tc>
      </w:tr>
      <w:tr w:rsidR="002D271D" w:rsidRPr="00E2771E" w:rsidTr="00A34711">
        <w:trPr>
          <w:tblHeader/>
        </w:trPr>
        <w:tc>
          <w:tcPr>
            <w:tcW w:w="1189" w:type="pct"/>
            <w:vAlign w:val="center"/>
          </w:tcPr>
          <w:p w:rsidR="002D271D" w:rsidRPr="00E2771E" w:rsidRDefault="002D271D" w:rsidP="003E513A">
            <w:pPr>
              <w:keepNext/>
              <w:widowControl/>
              <w:jc w:val="left"/>
              <w:rPr>
                <w:rFonts w:ascii="Arial Narrow" w:hAnsi="Arial Narrow"/>
                <w:sz w:val="20"/>
              </w:rPr>
            </w:pPr>
            <w:r>
              <w:rPr>
                <w:rFonts w:ascii="Arial Narrow" w:hAnsi="Arial Narrow"/>
                <w:sz w:val="20"/>
              </w:rPr>
              <w:t>QALYs</w:t>
            </w:r>
          </w:p>
        </w:tc>
        <w:tc>
          <w:tcPr>
            <w:tcW w:w="1444" w:type="pct"/>
            <w:vAlign w:val="center"/>
          </w:tcPr>
          <w:p w:rsidR="002D271D" w:rsidRPr="00F02585" w:rsidRDefault="002D271D" w:rsidP="003E513A">
            <w:pPr>
              <w:keepNext/>
              <w:widowControl/>
              <w:jc w:val="center"/>
              <w:rPr>
                <w:rFonts w:ascii="Arial Narrow" w:hAnsi="Arial Narrow"/>
                <w:sz w:val="20"/>
              </w:rPr>
            </w:pPr>
            <w:r w:rsidRPr="004B2744">
              <w:rPr>
                <w:rFonts w:ascii="Arial Narrow" w:hAnsi="Arial Narrow"/>
                <w:sz w:val="20"/>
              </w:rPr>
              <w:t>2.384</w:t>
            </w:r>
          </w:p>
        </w:tc>
        <w:tc>
          <w:tcPr>
            <w:tcW w:w="1359" w:type="pct"/>
            <w:vAlign w:val="center"/>
          </w:tcPr>
          <w:p w:rsidR="002D271D" w:rsidRPr="00F02585" w:rsidRDefault="002D271D" w:rsidP="003E513A">
            <w:pPr>
              <w:keepNext/>
              <w:widowControl/>
              <w:jc w:val="center"/>
              <w:rPr>
                <w:rFonts w:ascii="Arial Narrow" w:hAnsi="Arial Narrow"/>
                <w:sz w:val="20"/>
              </w:rPr>
            </w:pPr>
            <w:r w:rsidRPr="004B2744">
              <w:rPr>
                <w:rFonts w:ascii="Arial Narrow" w:hAnsi="Arial Narrow"/>
                <w:sz w:val="20"/>
              </w:rPr>
              <w:t>0.811</w:t>
            </w:r>
          </w:p>
        </w:tc>
        <w:tc>
          <w:tcPr>
            <w:tcW w:w="1008" w:type="pct"/>
            <w:vAlign w:val="center"/>
          </w:tcPr>
          <w:p w:rsidR="002D271D" w:rsidRPr="00F02585" w:rsidRDefault="002D271D" w:rsidP="003E513A">
            <w:pPr>
              <w:keepNext/>
              <w:widowControl/>
              <w:jc w:val="center"/>
              <w:rPr>
                <w:rFonts w:ascii="Arial Narrow" w:hAnsi="Arial Narrow"/>
                <w:sz w:val="20"/>
              </w:rPr>
            </w:pPr>
            <w:r w:rsidRPr="004B2744">
              <w:rPr>
                <w:rFonts w:ascii="Arial Narrow" w:hAnsi="Arial Narrow"/>
                <w:sz w:val="20"/>
              </w:rPr>
              <w:t>1.573</w:t>
            </w:r>
          </w:p>
        </w:tc>
      </w:tr>
      <w:tr w:rsidR="002D271D" w:rsidRPr="00E2771E" w:rsidTr="00A34711">
        <w:trPr>
          <w:tblHeader/>
        </w:trPr>
        <w:tc>
          <w:tcPr>
            <w:tcW w:w="3992" w:type="pct"/>
            <w:gridSpan w:val="3"/>
            <w:vAlign w:val="center"/>
          </w:tcPr>
          <w:p w:rsidR="002D271D" w:rsidRPr="00E2771E" w:rsidRDefault="002D271D" w:rsidP="003E513A">
            <w:pPr>
              <w:pStyle w:val="Tabletext"/>
              <w:keepNext/>
              <w:rPr>
                <w:b/>
              </w:rPr>
            </w:pPr>
            <w:r w:rsidRPr="00E2771E">
              <w:rPr>
                <w:b/>
              </w:rPr>
              <w:t xml:space="preserve">Incremental cost/extra </w:t>
            </w:r>
            <w:r>
              <w:rPr>
                <w:b/>
              </w:rPr>
              <w:t xml:space="preserve">QALY </w:t>
            </w:r>
            <w:r w:rsidRPr="00E2771E">
              <w:rPr>
                <w:b/>
              </w:rPr>
              <w:t>gained</w:t>
            </w:r>
          </w:p>
        </w:tc>
        <w:tc>
          <w:tcPr>
            <w:tcW w:w="1008" w:type="pct"/>
          </w:tcPr>
          <w:p w:rsidR="002D271D" w:rsidRPr="004E2ADC" w:rsidRDefault="002D271D" w:rsidP="003E513A">
            <w:pPr>
              <w:keepNext/>
              <w:widowControl/>
              <w:jc w:val="right"/>
              <w:rPr>
                <w:rFonts w:ascii="Arial Narrow" w:hAnsi="Arial Narrow"/>
                <w:b/>
                <w:sz w:val="20"/>
              </w:rPr>
            </w:pPr>
            <w:r w:rsidRPr="004B2744">
              <w:rPr>
                <w:rFonts w:ascii="Arial Narrow" w:hAnsi="Arial Narrow"/>
                <w:b/>
                <w:sz w:val="20"/>
              </w:rPr>
              <w:t>$</w:t>
            </w:r>
            <w:r w:rsidR="006D3878">
              <w:rPr>
                <w:rFonts w:ascii="Arial Narrow" w:hAnsi="Arial Narrow"/>
                <w:b/>
                <w:noProof/>
                <w:color w:val="000000"/>
                <w:sz w:val="20"/>
                <w:highlight w:val="black"/>
              </w:rPr>
              <w:t>'''''''''''''''</w:t>
            </w:r>
          </w:p>
        </w:tc>
      </w:tr>
      <w:tr w:rsidR="002D271D" w:rsidRPr="00E2771E" w:rsidTr="00A34711">
        <w:trPr>
          <w:tblHeader/>
        </w:trPr>
        <w:tc>
          <w:tcPr>
            <w:tcW w:w="3992" w:type="pct"/>
            <w:gridSpan w:val="3"/>
            <w:vAlign w:val="center"/>
          </w:tcPr>
          <w:p w:rsidR="002D271D" w:rsidRPr="00E2771E" w:rsidRDefault="002D271D" w:rsidP="003E513A">
            <w:pPr>
              <w:pStyle w:val="Tabletext"/>
              <w:keepNext/>
              <w:rPr>
                <w:snapToGrid w:val="0"/>
              </w:rPr>
            </w:pPr>
            <w:r w:rsidRPr="00E2771E">
              <w:rPr>
                <w:b/>
              </w:rPr>
              <w:t xml:space="preserve">Incremental cost/extra </w:t>
            </w:r>
            <w:r>
              <w:rPr>
                <w:b/>
              </w:rPr>
              <w:t xml:space="preserve">QALY </w:t>
            </w:r>
            <w:r w:rsidRPr="00E2771E">
              <w:rPr>
                <w:b/>
              </w:rPr>
              <w:t>gained</w:t>
            </w:r>
            <w:r>
              <w:rPr>
                <w:b/>
              </w:rPr>
              <w:t xml:space="preserve"> – previous submission</w:t>
            </w:r>
          </w:p>
        </w:tc>
        <w:tc>
          <w:tcPr>
            <w:tcW w:w="1008" w:type="pct"/>
            <w:vAlign w:val="center"/>
          </w:tcPr>
          <w:p w:rsidR="002D271D" w:rsidRPr="00E2771E" w:rsidRDefault="002D271D" w:rsidP="003E513A">
            <w:pPr>
              <w:keepNext/>
              <w:widowControl/>
              <w:jc w:val="right"/>
              <w:rPr>
                <w:rFonts w:ascii="Arial Narrow" w:hAnsi="Arial Narrow"/>
                <w:sz w:val="20"/>
              </w:rPr>
            </w:pPr>
            <w:r w:rsidRPr="004E2ADC">
              <w:rPr>
                <w:rFonts w:ascii="Arial Narrow" w:hAnsi="Arial Narrow"/>
                <w:b/>
                <w:sz w:val="20"/>
              </w:rPr>
              <w:t>$</w:t>
            </w:r>
            <w:r w:rsidR="006D3878">
              <w:rPr>
                <w:rFonts w:ascii="Arial Narrow" w:hAnsi="Arial Narrow"/>
                <w:b/>
                <w:noProof/>
                <w:color w:val="000000"/>
                <w:sz w:val="20"/>
                <w:highlight w:val="black"/>
              </w:rPr>
              <w:t>'''''''''''''</w:t>
            </w:r>
          </w:p>
        </w:tc>
      </w:tr>
    </w:tbl>
    <w:p w:rsidR="002D271D" w:rsidRDefault="002D271D" w:rsidP="003E513A">
      <w:pPr>
        <w:pStyle w:val="TableFooter"/>
        <w:keepNext/>
        <w:widowControl/>
        <w:ind w:firstLine="720"/>
      </w:pPr>
      <w:r>
        <w:t xml:space="preserve">Source: Table D-8, p185 of the </w:t>
      </w:r>
      <w:r w:rsidR="00BA3864" w:rsidRPr="00C7386C">
        <w:t>resubmission</w:t>
      </w:r>
      <w:r w:rsidR="005C6B29" w:rsidRPr="00C7386C">
        <w:t>;</w:t>
      </w:r>
      <w:r w:rsidRPr="00C7386C">
        <w:t xml:space="preserve"> and Section D</w:t>
      </w:r>
      <w:r>
        <w:t xml:space="preserve"> workbook of the </w:t>
      </w:r>
      <w:r w:rsidR="00BA3864">
        <w:t>resubmission</w:t>
      </w:r>
    </w:p>
    <w:p w:rsidR="002D271D" w:rsidRDefault="002D271D" w:rsidP="003A7D72">
      <w:pPr>
        <w:pStyle w:val="TableFooter"/>
        <w:widowControl/>
        <w:ind w:firstLine="720"/>
      </w:pPr>
      <w:r>
        <w:t>QALY = quality</w:t>
      </w:r>
      <w:r w:rsidR="005C6B29">
        <w:t>-</w:t>
      </w:r>
      <w:r>
        <w:t>adjusted life year</w:t>
      </w:r>
    </w:p>
    <w:p w:rsidR="002D271D" w:rsidRPr="00876931" w:rsidRDefault="002D271D" w:rsidP="00876931">
      <w:pPr>
        <w:pStyle w:val="TableFooter"/>
        <w:widowControl/>
        <w:rPr>
          <w:rFonts w:ascii="Arial" w:hAnsi="Arial"/>
          <w:sz w:val="22"/>
          <w:szCs w:val="22"/>
        </w:rPr>
      </w:pPr>
    </w:p>
    <w:p w:rsidR="00A310A4" w:rsidRPr="00805CD1" w:rsidRDefault="00A310A4" w:rsidP="002F2EF1">
      <w:pPr>
        <w:pStyle w:val="ListParagraph"/>
        <w:widowControl/>
        <w:numPr>
          <w:ilvl w:val="1"/>
          <w:numId w:val="5"/>
        </w:numPr>
        <w:rPr>
          <w:rStyle w:val="CommentReference"/>
          <w:rFonts w:ascii="Arial" w:hAnsi="Arial"/>
          <w:b w:val="0"/>
          <w:sz w:val="22"/>
          <w:szCs w:val="22"/>
        </w:rPr>
      </w:pPr>
      <w:r>
        <w:rPr>
          <w:szCs w:val="22"/>
        </w:rPr>
        <w:t xml:space="preserve">The economic evaluation resulted in an </w:t>
      </w:r>
      <w:r w:rsidR="00707C83">
        <w:rPr>
          <w:szCs w:val="22"/>
        </w:rPr>
        <w:t>incremental cost-effectiveness ration (</w:t>
      </w:r>
      <w:r>
        <w:rPr>
          <w:szCs w:val="22"/>
        </w:rPr>
        <w:t>ICER</w:t>
      </w:r>
      <w:r w:rsidR="00707C83">
        <w:rPr>
          <w:szCs w:val="22"/>
        </w:rPr>
        <w:t>)</w:t>
      </w:r>
      <w:r>
        <w:rPr>
          <w:szCs w:val="22"/>
        </w:rPr>
        <w:t xml:space="preserve"> of </w:t>
      </w:r>
      <w:r w:rsidR="002F2EF1" w:rsidRPr="002F2EF1">
        <w:rPr>
          <w:szCs w:val="22"/>
        </w:rPr>
        <w:t>$75,000- $105,000</w:t>
      </w:r>
      <w:r w:rsidR="002F2EF1">
        <w:rPr>
          <w:szCs w:val="22"/>
        </w:rPr>
        <w:t xml:space="preserve"> </w:t>
      </w:r>
      <w:r>
        <w:rPr>
          <w:szCs w:val="22"/>
        </w:rPr>
        <w:t xml:space="preserve">per </w:t>
      </w:r>
      <w:r w:rsidR="00707C83">
        <w:rPr>
          <w:szCs w:val="22"/>
        </w:rPr>
        <w:t>quality-adjusted life year (</w:t>
      </w:r>
      <w:r>
        <w:rPr>
          <w:szCs w:val="22"/>
        </w:rPr>
        <w:t>QALY</w:t>
      </w:r>
      <w:r w:rsidR="00707C83">
        <w:rPr>
          <w:szCs w:val="22"/>
        </w:rPr>
        <w:t>)</w:t>
      </w:r>
      <w:r>
        <w:rPr>
          <w:szCs w:val="22"/>
        </w:rPr>
        <w:t xml:space="preserve"> for idelalisib plus rituximab versus </w:t>
      </w:r>
      <w:r w:rsidRPr="00174DB9">
        <w:rPr>
          <w:szCs w:val="22"/>
        </w:rPr>
        <w:t>best supportive care</w:t>
      </w:r>
      <w:r w:rsidR="00360099" w:rsidRPr="00174DB9">
        <w:rPr>
          <w:szCs w:val="22"/>
        </w:rPr>
        <w:t xml:space="preserve">. This was compared to </w:t>
      </w:r>
      <w:r w:rsidR="002F2EF1" w:rsidRPr="002F2EF1">
        <w:rPr>
          <w:szCs w:val="22"/>
        </w:rPr>
        <w:t>$45,000 – $75,000</w:t>
      </w:r>
      <w:r w:rsidR="002F2EF1">
        <w:rPr>
          <w:szCs w:val="22"/>
        </w:rPr>
        <w:t xml:space="preserve"> </w:t>
      </w:r>
      <w:r w:rsidR="00360099" w:rsidRPr="00174DB9">
        <w:rPr>
          <w:szCs w:val="22"/>
        </w:rPr>
        <w:t>per QALY for idelalisib plus rituximab versus rituximab monotherapy as presented in the previous submission</w:t>
      </w:r>
      <w:r w:rsidRPr="00174DB9">
        <w:rPr>
          <w:szCs w:val="22"/>
        </w:rPr>
        <w:t xml:space="preserve">. </w:t>
      </w:r>
      <w:r w:rsidR="00844B78" w:rsidRPr="00805CD1">
        <w:rPr>
          <w:szCs w:val="22"/>
        </w:rPr>
        <w:t xml:space="preserve">The ESC noted that this was largely driven by reduced overall survival and disease state costs. </w:t>
      </w:r>
      <w:r w:rsidRPr="00805CD1">
        <w:rPr>
          <w:szCs w:val="22"/>
        </w:rPr>
        <w:t xml:space="preserve">The </w:t>
      </w:r>
      <w:r w:rsidR="00C7386C" w:rsidRPr="00805CD1">
        <w:rPr>
          <w:szCs w:val="22"/>
        </w:rPr>
        <w:t xml:space="preserve">evaluation and the ESC considered that the </w:t>
      </w:r>
      <w:r w:rsidRPr="00805CD1">
        <w:rPr>
          <w:szCs w:val="22"/>
        </w:rPr>
        <w:t>ICER was uncertain due to:</w:t>
      </w:r>
    </w:p>
    <w:p w:rsidR="002D271D" w:rsidRPr="00805CD1" w:rsidRDefault="008F1B21" w:rsidP="00114E63">
      <w:pPr>
        <w:pStyle w:val="ListParagraph"/>
        <w:widowControl/>
        <w:numPr>
          <w:ilvl w:val="0"/>
          <w:numId w:val="15"/>
        </w:numPr>
        <w:ind w:hanging="229"/>
      </w:pPr>
      <w:proofErr w:type="gramStart"/>
      <w:r w:rsidRPr="00174DB9">
        <w:t>q</w:t>
      </w:r>
      <w:r w:rsidR="002D271D" w:rsidRPr="00174DB9">
        <w:t>uestions</w:t>
      </w:r>
      <w:proofErr w:type="gramEnd"/>
      <w:r w:rsidR="002D271D" w:rsidRPr="00174DB9">
        <w:t xml:space="preserve"> surrounding the accuracy and appropriateness of using the RPSFT analysis set to estimate the overall survival</w:t>
      </w:r>
      <w:r w:rsidR="008A0027">
        <w:t xml:space="preserve">. </w:t>
      </w:r>
      <w:r w:rsidR="008A0027" w:rsidRPr="00805CD1">
        <w:t>The ESC noted that using RPSFT over the ITT analysis</w:t>
      </w:r>
      <w:r w:rsidR="00C31277" w:rsidRPr="00805CD1">
        <w:t xml:space="preserve"> resulted in a</w:t>
      </w:r>
      <w:r w:rsidR="00677F3C" w:rsidRPr="00805CD1">
        <w:t>n underestimate of the survival of patients in the placebo arm, thus a</w:t>
      </w:r>
      <w:r w:rsidR="00C31277" w:rsidRPr="00805CD1">
        <w:t xml:space="preserve"> larger difference in overall survival beyond the trial duration, </w:t>
      </w:r>
      <w:r w:rsidR="008A0027" w:rsidRPr="00805CD1">
        <w:t>impact</w:t>
      </w:r>
      <w:r w:rsidR="00C31277" w:rsidRPr="00805CD1">
        <w:t>ing</w:t>
      </w:r>
      <w:r w:rsidR="008A0027" w:rsidRPr="00805CD1">
        <w:t xml:space="preserve"> the ICER</w:t>
      </w:r>
      <w:r w:rsidR="00490E25" w:rsidRPr="00805CD1">
        <w:t>. In addition to this, no hazard ratios were applied to the base case</w:t>
      </w:r>
      <w:r w:rsidR="00AA57F3" w:rsidRPr="00805CD1">
        <w:t>. The ESC was unclear how the inclusion of a large acceleration factor influenced the economic model</w:t>
      </w:r>
    </w:p>
    <w:p w:rsidR="002D271D" w:rsidRDefault="008F1B21" w:rsidP="00114E63">
      <w:pPr>
        <w:pStyle w:val="ListParagraph"/>
        <w:widowControl/>
        <w:numPr>
          <w:ilvl w:val="0"/>
          <w:numId w:val="15"/>
        </w:numPr>
        <w:ind w:hanging="229"/>
      </w:pPr>
      <w:proofErr w:type="gramStart"/>
      <w:r w:rsidRPr="00174DB9">
        <w:t>t</w:t>
      </w:r>
      <w:r w:rsidR="00360099" w:rsidRPr="00174DB9">
        <w:t>he</w:t>
      </w:r>
      <w:proofErr w:type="gramEnd"/>
      <w:r w:rsidR="00360099" w:rsidRPr="00174DB9">
        <w:t xml:space="preserve"> resubmission made changes in the health resource use compared to the previous submission. Specifically, it differentiated costs for the two treatment arms in the stable disease health state, with best supportive care patients having </w:t>
      </w:r>
      <w:r w:rsidR="00A323AF" w:rsidRPr="00174DB9">
        <w:t xml:space="preserve">three times </w:t>
      </w:r>
      <w:r w:rsidR="00360099" w:rsidRPr="00174DB9">
        <w:t>the costs of patients who would be treated w</w:t>
      </w:r>
      <w:r w:rsidR="00B1220D" w:rsidRPr="00174DB9">
        <w:t xml:space="preserve">ith idelalisib plus </w:t>
      </w:r>
      <w:r w:rsidR="00B1220D" w:rsidRPr="00174DB9">
        <w:lastRenderedPageBreak/>
        <w:t xml:space="preserve">rituximab. </w:t>
      </w:r>
      <w:r w:rsidR="00844B78" w:rsidRPr="00805CD1">
        <w:t xml:space="preserve">The PSCR (p3) argued that these costs are valid, referencing a US claims analysis of costs associated with BSC in a metastatic renal cell carcinoma population. The ESC considered that this reference was not comparable or supportive. The ESC considered that </w:t>
      </w:r>
      <w:r w:rsidR="005A5D7E" w:rsidRPr="00805CD1">
        <w:t xml:space="preserve">the validity of such a cost differential </w:t>
      </w:r>
      <w:r w:rsidR="00844B78" w:rsidRPr="00805CD1">
        <w:t xml:space="preserve">between groups who are both in the stable disease health state </w:t>
      </w:r>
      <w:r w:rsidR="005A5D7E" w:rsidRPr="00805CD1">
        <w:t xml:space="preserve">appears implausible, </w:t>
      </w:r>
      <w:r w:rsidR="00844B78" w:rsidRPr="00805CD1">
        <w:t>but noted that</w:t>
      </w:r>
      <w:r w:rsidR="005A5D7E" w:rsidRPr="00805CD1">
        <w:t xml:space="preserve"> this did not substantially impact the ICER.</w:t>
      </w:r>
      <w:r w:rsidR="005A5D7E">
        <w:rPr>
          <w:i/>
        </w:rPr>
        <w:t xml:space="preserve"> </w:t>
      </w:r>
      <w:r w:rsidR="00360099" w:rsidRPr="00174DB9">
        <w:t>Additionally the health resource use in</w:t>
      </w:r>
      <w:r w:rsidR="002D271D" w:rsidRPr="00174DB9">
        <w:t xml:space="preserve"> progressive disease</w:t>
      </w:r>
      <w:r w:rsidR="00360099" w:rsidRPr="00174DB9">
        <w:t xml:space="preserve"> was reduced</w:t>
      </w:r>
      <w:r w:rsidR="00A323AF" w:rsidRPr="00174DB9">
        <w:t>, but the costs were increased</w:t>
      </w:r>
    </w:p>
    <w:p w:rsidR="00C7386C" w:rsidRPr="00805CD1" w:rsidRDefault="0011641A" w:rsidP="00114E63">
      <w:pPr>
        <w:pStyle w:val="ListParagraph"/>
        <w:widowControl/>
        <w:numPr>
          <w:ilvl w:val="0"/>
          <w:numId w:val="15"/>
        </w:numPr>
        <w:ind w:hanging="229"/>
      </w:pPr>
      <w:proofErr w:type="gramStart"/>
      <w:r w:rsidRPr="00805CD1">
        <w:t>i</w:t>
      </w:r>
      <w:r w:rsidR="00C7386C" w:rsidRPr="00805CD1">
        <w:t>nappropriate</w:t>
      </w:r>
      <w:proofErr w:type="gramEnd"/>
      <w:r w:rsidR="00C7386C" w:rsidRPr="00805CD1">
        <w:t xml:space="preserve"> model inputs which did not incorporate all-cause mortality. The ESC recalled that this was raised as an issue in the March 2015 submission, yet this had not been addressed in the resubmission. The ESC reiterated that all-cause mortality was important given the age of the likely cohort, with the inclusion of all-cause mortality likely to reduce the overall size of </w:t>
      </w:r>
      <w:r w:rsidR="00876931" w:rsidRPr="00805CD1">
        <w:t xml:space="preserve">incremental </w:t>
      </w:r>
      <w:r w:rsidR="00C7386C" w:rsidRPr="00805CD1">
        <w:t>benefit.</w:t>
      </w:r>
    </w:p>
    <w:p w:rsidR="0098139D" w:rsidRDefault="0098139D" w:rsidP="00853D18">
      <w:pPr>
        <w:widowControl/>
      </w:pPr>
    </w:p>
    <w:p w:rsidR="0098139D" w:rsidRPr="00805CD1" w:rsidRDefault="0098139D" w:rsidP="002F2EF1">
      <w:pPr>
        <w:pStyle w:val="ListParagraph"/>
        <w:widowControl/>
        <w:numPr>
          <w:ilvl w:val="1"/>
          <w:numId w:val="5"/>
        </w:numPr>
      </w:pPr>
      <w:r w:rsidRPr="00805CD1">
        <w:t xml:space="preserve">The PSCR (p5) recalculated the base case economic analysis to address issues surrounding treatment-emergent adverse events. The ESC considered that this incorrectly included rituximab monotherapy in the BSC arm. </w:t>
      </w:r>
      <w:r w:rsidR="00853D18" w:rsidRPr="00805CD1">
        <w:t xml:space="preserve">The PSCR revised base case results in an ICER of </w:t>
      </w:r>
      <w:r w:rsidR="002F2EF1" w:rsidRPr="002F2EF1">
        <w:t>$75,000</w:t>
      </w:r>
      <w:r w:rsidR="00D26535">
        <w:t>/QALY</w:t>
      </w:r>
      <w:r w:rsidR="002F2EF1" w:rsidRPr="002F2EF1">
        <w:t>- $105,000</w:t>
      </w:r>
      <w:r w:rsidR="00D26535">
        <w:t>/QALY</w:t>
      </w:r>
      <w:r w:rsidR="00853D18" w:rsidRPr="00805CD1">
        <w:t>. When adjusted for the inappropriate inclusion of rituximab monotherapy, the ICER increase</w:t>
      </w:r>
      <w:r w:rsidR="00B67FD5" w:rsidRPr="00805CD1">
        <w:t>d</w:t>
      </w:r>
      <w:r w:rsidR="00876931" w:rsidRPr="00805CD1">
        <w:t xml:space="preserve"> to </w:t>
      </w:r>
      <w:r w:rsidR="002F2EF1" w:rsidRPr="002F2EF1">
        <w:t>$75,000</w:t>
      </w:r>
      <w:r w:rsidR="00D26535">
        <w:t>/QALY</w:t>
      </w:r>
      <w:r w:rsidR="002F2EF1" w:rsidRPr="002F2EF1">
        <w:t>- $105,000</w:t>
      </w:r>
      <w:r w:rsidR="00D26535">
        <w:t>/QALY</w:t>
      </w:r>
      <w:r w:rsidR="00876931" w:rsidRPr="00805CD1">
        <w:t>.</w:t>
      </w:r>
    </w:p>
    <w:p w:rsidR="002D271D" w:rsidRPr="00174DB9" w:rsidRDefault="002D271D" w:rsidP="00876931">
      <w:pPr>
        <w:pStyle w:val="PBACheading1"/>
        <w:numPr>
          <w:ilvl w:val="0"/>
          <w:numId w:val="0"/>
        </w:numPr>
        <w:ind w:left="720" w:hanging="720"/>
      </w:pPr>
    </w:p>
    <w:p w:rsidR="00A310A4" w:rsidRPr="00174DB9" w:rsidRDefault="00A310A4" w:rsidP="004B69A7">
      <w:pPr>
        <w:pStyle w:val="ListParagraph"/>
        <w:widowControl/>
        <w:numPr>
          <w:ilvl w:val="1"/>
          <w:numId w:val="5"/>
        </w:numPr>
        <w:rPr>
          <w:szCs w:val="22"/>
        </w:rPr>
      </w:pPr>
      <w:r w:rsidRPr="00174DB9">
        <w:rPr>
          <w:szCs w:val="22"/>
        </w:rPr>
        <w:t xml:space="preserve">The </w:t>
      </w:r>
      <w:r w:rsidR="00221C1A" w:rsidRPr="00174DB9">
        <w:rPr>
          <w:szCs w:val="22"/>
        </w:rPr>
        <w:t>re</w:t>
      </w:r>
      <w:r w:rsidRPr="00174DB9">
        <w:t>submission presented univariate sensitivity analyses</w:t>
      </w:r>
      <w:r w:rsidR="00BB180F" w:rsidRPr="00174DB9">
        <w:t xml:space="preserve"> and additional analyses were performed during evaluation. These sensitivity analyses</w:t>
      </w:r>
      <w:r w:rsidRPr="00174DB9">
        <w:t xml:space="preserve"> indicated that the model was most sensitive to the time horizon and changes in the survival parameters (see Table </w:t>
      </w:r>
      <w:r w:rsidR="0018203D">
        <w:t>10</w:t>
      </w:r>
      <w:r w:rsidRPr="00174DB9">
        <w:t>).</w:t>
      </w:r>
    </w:p>
    <w:p w:rsidR="002D271D" w:rsidRDefault="002D271D" w:rsidP="00876931">
      <w:pPr>
        <w:pStyle w:val="BodyText"/>
        <w:rPr>
          <w:szCs w:val="22"/>
        </w:rPr>
      </w:pPr>
    </w:p>
    <w:p w:rsidR="00591ABB" w:rsidRPr="00591ABB" w:rsidRDefault="00591ABB" w:rsidP="00591ABB">
      <w:pPr>
        <w:pStyle w:val="Caption"/>
        <w:keepNext/>
        <w:ind w:firstLine="720"/>
        <w:rPr>
          <w:rFonts w:ascii="Arial Narrow" w:hAnsi="Arial Narrow"/>
          <w:color w:val="auto"/>
          <w:sz w:val="20"/>
        </w:rPr>
      </w:pPr>
      <w:r w:rsidRPr="00591ABB">
        <w:rPr>
          <w:rFonts w:ascii="Arial Narrow" w:hAnsi="Arial Narrow"/>
          <w:color w:val="auto"/>
          <w:sz w:val="20"/>
        </w:rPr>
        <w:t xml:space="preserve">Table </w:t>
      </w:r>
      <w:r w:rsidRPr="00591ABB">
        <w:rPr>
          <w:rFonts w:ascii="Arial Narrow" w:hAnsi="Arial Narrow"/>
          <w:color w:val="auto"/>
          <w:sz w:val="20"/>
        </w:rPr>
        <w:fldChar w:fldCharType="begin"/>
      </w:r>
      <w:r w:rsidRPr="00591ABB">
        <w:rPr>
          <w:rFonts w:ascii="Arial Narrow" w:hAnsi="Arial Narrow"/>
          <w:color w:val="auto"/>
          <w:sz w:val="20"/>
        </w:rPr>
        <w:instrText xml:space="preserve"> SEQ Table \* ARABIC </w:instrText>
      </w:r>
      <w:r w:rsidRPr="00591ABB">
        <w:rPr>
          <w:rFonts w:ascii="Arial Narrow" w:hAnsi="Arial Narrow"/>
          <w:color w:val="auto"/>
          <w:sz w:val="20"/>
        </w:rPr>
        <w:fldChar w:fldCharType="separate"/>
      </w:r>
      <w:r w:rsidR="00AD392C">
        <w:rPr>
          <w:rFonts w:ascii="Arial Narrow" w:hAnsi="Arial Narrow"/>
          <w:noProof/>
          <w:color w:val="auto"/>
          <w:sz w:val="20"/>
        </w:rPr>
        <w:t>10</w:t>
      </w:r>
      <w:r w:rsidRPr="00591ABB">
        <w:rPr>
          <w:rFonts w:ascii="Arial Narrow" w:hAnsi="Arial Narrow"/>
          <w:color w:val="auto"/>
          <w:sz w:val="20"/>
        </w:rPr>
        <w:fldChar w:fldCharType="end"/>
      </w:r>
      <w:r w:rsidRPr="00591ABB">
        <w:rPr>
          <w:rFonts w:ascii="Arial Narrow" w:hAnsi="Arial Narrow"/>
          <w:color w:val="auto"/>
          <w:sz w:val="20"/>
        </w:rPr>
        <w:t>: Results of sensitivity analyses (discounted at 5%)</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Results of sensitivity analysis"/>
      </w:tblPr>
      <w:tblGrid>
        <w:gridCol w:w="4678"/>
        <w:gridCol w:w="990"/>
        <w:gridCol w:w="1133"/>
        <w:gridCol w:w="1544"/>
      </w:tblGrid>
      <w:tr w:rsidR="002D271D" w:rsidRPr="003F2CFE" w:rsidTr="00A34711">
        <w:trPr>
          <w:cantSplit/>
          <w:tblHeader/>
        </w:trPr>
        <w:tc>
          <w:tcPr>
            <w:tcW w:w="2803" w:type="pct"/>
            <w:tcBorders>
              <w:top w:val="single" w:sz="4" w:space="0" w:color="auto"/>
              <w:left w:val="single" w:sz="4" w:space="0" w:color="auto"/>
              <w:bottom w:val="single" w:sz="4" w:space="0" w:color="auto"/>
              <w:right w:val="single" w:sz="4" w:space="0" w:color="auto"/>
            </w:tcBorders>
            <w:vAlign w:val="center"/>
          </w:tcPr>
          <w:p w:rsidR="002D271D" w:rsidRPr="006D5BDB" w:rsidRDefault="002D271D" w:rsidP="002D271D">
            <w:pPr>
              <w:keepNext/>
              <w:widowControl/>
              <w:jc w:val="left"/>
              <w:rPr>
                <w:rFonts w:ascii="Arial Narrow" w:hAnsi="Arial Narrow"/>
                <w:sz w:val="20"/>
              </w:rPr>
            </w:pPr>
          </w:p>
        </w:tc>
        <w:tc>
          <w:tcPr>
            <w:tcW w:w="593" w:type="pct"/>
            <w:tcBorders>
              <w:top w:val="single" w:sz="4" w:space="0" w:color="auto"/>
              <w:left w:val="single" w:sz="4" w:space="0" w:color="auto"/>
              <w:bottom w:val="single" w:sz="4" w:space="0" w:color="auto"/>
              <w:right w:val="single" w:sz="4" w:space="0" w:color="auto"/>
            </w:tcBorders>
            <w:vAlign w:val="center"/>
          </w:tcPr>
          <w:p w:rsidR="002D271D" w:rsidRPr="006D5BDB" w:rsidRDefault="002D271D" w:rsidP="002D271D">
            <w:pPr>
              <w:keepNext/>
              <w:widowControl/>
              <w:jc w:val="center"/>
              <w:rPr>
                <w:rFonts w:ascii="Arial Narrow" w:hAnsi="Arial Narrow"/>
                <w:sz w:val="20"/>
              </w:rPr>
            </w:pPr>
            <w:r w:rsidRPr="006D5BDB">
              <w:rPr>
                <w:rFonts w:ascii="Arial Narrow" w:hAnsi="Arial Narrow"/>
                <w:b/>
                <w:sz w:val="20"/>
              </w:rPr>
              <w:t>Δ</w:t>
            </w:r>
            <w:r w:rsidR="00A63BE3">
              <w:rPr>
                <w:rFonts w:ascii="Arial Narrow" w:hAnsi="Arial Narrow"/>
                <w:b/>
                <w:sz w:val="20"/>
              </w:rPr>
              <w:t xml:space="preserve"> </w:t>
            </w:r>
            <w:r w:rsidRPr="006D5BDB">
              <w:rPr>
                <w:rFonts w:ascii="Arial Narrow" w:hAnsi="Arial Narrow"/>
                <w:b/>
                <w:sz w:val="20"/>
              </w:rPr>
              <w:t>costs</w:t>
            </w:r>
          </w:p>
        </w:tc>
        <w:tc>
          <w:tcPr>
            <w:tcW w:w="679" w:type="pct"/>
            <w:tcBorders>
              <w:top w:val="single" w:sz="4" w:space="0" w:color="auto"/>
              <w:left w:val="single" w:sz="4" w:space="0" w:color="auto"/>
              <w:bottom w:val="single" w:sz="4" w:space="0" w:color="auto"/>
              <w:right w:val="single" w:sz="4" w:space="0" w:color="auto"/>
            </w:tcBorders>
            <w:vAlign w:val="center"/>
          </w:tcPr>
          <w:p w:rsidR="002D271D" w:rsidRPr="006D5BDB" w:rsidRDefault="002D271D" w:rsidP="002D271D">
            <w:pPr>
              <w:keepNext/>
              <w:widowControl/>
              <w:jc w:val="center"/>
              <w:rPr>
                <w:rFonts w:ascii="Arial Narrow" w:hAnsi="Arial Narrow"/>
                <w:sz w:val="20"/>
              </w:rPr>
            </w:pPr>
            <w:r w:rsidRPr="006D5BDB">
              <w:rPr>
                <w:rFonts w:ascii="Arial Narrow" w:hAnsi="Arial Narrow"/>
                <w:b/>
                <w:sz w:val="20"/>
              </w:rPr>
              <w:t>Δ QALY</w:t>
            </w:r>
          </w:p>
        </w:tc>
        <w:tc>
          <w:tcPr>
            <w:tcW w:w="925" w:type="pct"/>
            <w:tcBorders>
              <w:top w:val="single" w:sz="4" w:space="0" w:color="auto"/>
              <w:left w:val="single" w:sz="4" w:space="0" w:color="auto"/>
              <w:bottom w:val="single" w:sz="4" w:space="0" w:color="auto"/>
              <w:right w:val="single" w:sz="4" w:space="0" w:color="auto"/>
            </w:tcBorders>
            <w:vAlign w:val="center"/>
          </w:tcPr>
          <w:p w:rsidR="002D271D" w:rsidRPr="006D5BDB" w:rsidRDefault="002D271D" w:rsidP="002D271D">
            <w:pPr>
              <w:keepNext/>
              <w:widowControl/>
              <w:jc w:val="center"/>
              <w:rPr>
                <w:rFonts w:ascii="Arial Narrow" w:hAnsi="Arial Narrow"/>
                <w:sz w:val="20"/>
              </w:rPr>
            </w:pPr>
            <w:r w:rsidRPr="006D5BDB">
              <w:rPr>
                <w:rFonts w:ascii="Arial Narrow" w:hAnsi="Arial Narrow"/>
                <w:b/>
                <w:sz w:val="20"/>
              </w:rPr>
              <w:t>ICER</w:t>
            </w:r>
          </w:p>
        </w:tc>
      </w:tr>
      <w:tr w:rsidR="002D271D" w:rsidRPr="003F2CFE" w:rsidTr="00A34711">
        <w:trPr>
          <w:cantSplit/>
        </w:trPr>
        <w:tc>
          <w:tcPr>
            <w:tcW w:w="2803" w:type="pct"/>
            <w:tcBorders>
              <w:top w:val="single" w:sz="4" w:space="0" w:color="auto"/>
              <w:left w:val="single" w:sz="4" w:space="0" w:color="auto"/>
              <w:bottom w:val="single" w:sz="4" w:space="0" w:color="auto"/>
              <w:right w:val="single" w:sz="4" w:space="0" w:color="auto"/>
            </w:tcBorders>
            <w:vAlign w:val="center"/>
          </w:tcPr>
          <w:p w:rsidR="002D271D" w:rsidRPr="006D5BDB" w:rsidRDefault="002D271D" w:rsidP="002D271D">
            <w:pPr>
              <w:keepNext/>
              <w:widowControl/>
              <w:jc w:val="left"/>
              <w:rPr>
                <w:rFonts w:ascii="Arial Narrow" w:hAnsi="Arial Narrow"/>
                <w:b/>
                <w:sz w:val="20"/>
              </w:rPr>
            </w:pPr>
            <w:r w:rsidRPr="006D5BDB">
              <w:rPr>
                <w:rFonts w:ascii="Arial Narrow" w:hAnsi="Arial Narrow"/>
                <w:b/>
                <w:sz w:val="20"/>
              </w:rPr>
              <w:t>Base case</w:t>
            </w:r>
          </w:p>
        </w:tc>
        <w:tc>
          <w:tcPr>
            <w:tcW w:w="593" w:type="pct"/>
            <w:tcBorders>
              <w:top w:val="single" w:sz="4" w:space="0" w:color="auto"/>
              <w:left w:val="single" w:sz="4" w:space="0" w:color="auto"/>
              <w:bottom w:val="single" w:sz="4" w:space="0" w:color="auto"/>
              <w:right w:val="single" w:sz="4" w:space="0" w:color="auto"/>
            </w:tcBorders>
            <w:vAlign w:val="center"/>
          </w:tcPr>
          <w:p w:rsidR="002D271D" w:rsidRPr="006D5BDB" w:rsidRDefault="00DD6AB4" w:rsidP="00DD6AB4">
            <w:pPr>
              <w:keepNext/>
              <w:widowControl/>
              <w:jc w:val="right"/>
              <w:rPr>
                <w:rFonts w:ascii="Arial Narrow" w:hAnsi="Arial Narrow"/>
                <w:b/>
                <w:sz w:val="20"/>
              </w:rPr>
            </w:pPr>
            <w:r w:rsidRPr="00DD6AB4">
              <w:rPr>
                <w:rFonts w:ascii="Arial Narrow" w:hAnsi="Arial Narrow" w:cs="Times New Roman"/>
                <w:b/>
                <w:sz w:val="20"/>
              </w:rPr>
              <w:t>$</w:t>
            </w:r>
            <w:r w:rsidR="006D3878">
              <w:rPr>
                <w:rFonts w:ascii="Arial Narrow" w:hAnsi="Arial Narrow" w:cs="Times New Roman"/>
                <w:b/>
                <w:noProof/>
                <w:color w:val="000000"/>
                <w:sz w:val="20"/>
                <w:highlight w:val="black"/>
              </w:rPr>
              <w:t>'''''''''''''''''</w:t>
            </w:r>
          </w:p>
        </w:tc>
        <w:tc>
          <w:tcPr>
            <w:tcW w:w="679" w:type="pct"/>
            <w:tcBorders>
              <w:top w:val="single" w:sz="4" w:space="0" w:color="auto"/>
              <w:left w:val="single" w:sz="4" w:space="0" w:color="auto"/>
              <w:bottom w:val="single" w:sz="4" w:space="0" w:color="auto"/>
              <w:right w:val="single" w:sz="4" w:space="0" w:color="auto"/>
            </w:tcBorders>
            <w:vAlign w:val="center"/>
          </w:tcPr>
          <w:p w:rsidR="002D271D" w:rsidRPr="006D5BDB" w:rsidRDefault="00DD6AB4" w:rsidP="002D271D">
            <w:pPr>
              <w:keepNext/>
              <w:widowControl/>
              <w:jc w:val="center"/>
              <w:rPr>
                <w:rFonts w:ascii="Arial Narrow" w:hAnsi="Arial Narrow"/>
                <w:b/>
                <w:sz w:val="20"/>
              </w:rPr>
            </w:pPr>
            <w:r w:rsidRPr="00DD6AB4">
              <w:rPr>
                <w:rFonts w:ascii="Arial Narrow" w:hAnsi="Arial Narrow"/>
                <w:b/>
                <w:sz w:val="20"/>
              </w:rPr>
              <w:t>1.57</w:t>
            </w:r>
          </w:p>
        </w:tc>
        <w:tc>
          <w:tcPr>
            <w:tcW w:w="925" w:type="pct"/>
            <w:tcBorders>
              <w:top w:val="single" w:sz="4" w:space="0" w:color="auto"/>
              <w:left w:val="single" w:sz="4" w:space="0" w:color="auto"/>
              <w:bottom w:val="single" w:sz="4" w:space="0" w:color="auto"/>
              <w:right w:val="single" w:sz="4" w:space="0" w:color="auto"/>
            </w:tcBorders>
            <w:vAlign w:val="center"/>
          </w:tcPr>
          <w:p w:rsidR="002D271D" w:rsidRPr="006D5BDB" w:rsidRDefault="002D271D" w:rsidP="00DD6AB4">
            <w:pPr>
              <w:keepNext/>
              <w:widowControl/>
              <w:jc w:val="right"/>
              <w:rPr>
                <w:rFonts w:ascii="Arial Narrow" w:hAnsi="Arial Narrow"/>
                <w:b/>
                <w:sz w:val="20"/>
              </w:rPr>
            </w:pPr>
            <w:r w:rsidRPr="006D5BDB">
              <w:rPr>
                <w:rFonts w:ascii="Arial Narrow" w:hAnsi="Arial Narrow"/>
                <w:b/>
                <w:sz w:val="20"/>
              </w:rPr>
              <w:t>$</w:t>
            </w:r>
            <w:r w:rsidR="006D3878">
              <w:rPr>
                <w:rFonts w:ascii="Arial Narrow" w:hAnsi="Arial Narrow"/>
                <w:b/>
                <w:noProof/>
                <w:color w:val="000000"/>
                <w:sz w:val="20"/>
                <w:highlight w:val="black"/>
              </w:rPr>
              <w:t>'''''''''''''</w:t>
            </w:r>
          </w:p>
        </w:tc>
      </w:tr>
      <w:tr w:rsidR="002D271D" w:rsidRPr="003F2CFE" w:rsidTr="00A34711">
        <w:trPr>
          <w:cantSplit/>
        </w:trPr>
        <w:tc>
          <w:tcPr>
            <w:tcW w:w="2803" w:type="pct"/>
            <w:tcBorders>
              <w:top w:val="single" w:sz="4" w:space="0" w:color="auto"/>
              <w:left w:val="single" w:sz="4" w:space="0" w:color="auto"/>
              <w:bottom w:val="single" w:sz="4" w:space="0" w:color="auto"/>
              <w:right w:val="single" w:sz="4" w:space="0" w:color="auto"/>
            </w:tcBorders>
            <w:vAlign w:val="center"/>
          </w:tcPr>
          <w:p w:rsidR="002D271D" w:rsidRPr="00174DB9" w:rsidRDefault="002D271D" w:rsidP="002D271D">
            <w:pPr>
              <w:keepNext/>
              <w:widowControl/>
              <w:jc w:val="left"/>
              <w:rPr>
                <w:rFonts w:ascii="Arial Narrow" w:hAnsi="Arial Narrow"/>
                <w:sz w:val="20"/>
              </w:rPr>
            </w:pPr>
            <w:r w:rsidRPr="00174DB9">
              <w:rPr>
                <w:rFonts w:ascii="Arial Narrow" w:hAnsi="Arial Narrow"/>
                <w:sz w:val="20"/>
              </w:rPr>
              <w:t>Time horizon (base case = 8 years)</w:t>
            </w:r>
          </w:p>
          <w:p w:rsidR="002D271D" w:rsidRPr="00174DB9" w:rsidRDefault="002D271D" w:rsidP="002D271D">
            <w:pPr>
              <w:keepNext/>
              <w:widowControl/>
              <w:ind w:firstLine="142"/>
              <w:jc w:val="left"/>
              <w:rPr>
                <w:rFonts w:ascii="Arial Narrow" w:hAnsi="Arial Narrow"/>
                <w:sz w:val="20"/>
              </w:rPr>
            </w:pPr>
            <w:r w:rsidRPr="00174DB9">
              <w:rPr>
                <w:rFonts w:ascii="Arial Narrow" w:hAnsi="Arial Narrow"/>
                <w:sz w:val="20"/>
              </w:rPr>
              <w:t>3 years</w:t>
            </w:r>
          </w:p>
          <w:p w:rsidR="002D271D" w:rsidRPr="00174DB9" w:rsidRDefault="002D271D" w:rsidP="002D271D">
            <w:pPr>
              <w:keepNext/>
              <w:widowControl/>
              <w:ind w:firstLine="142"/>
              <w:jc w:val="left"/>
              <w:rPr>
                <w:rFonts w:ascii="Arial Narrow" w:hAnsi="Arial Narrow"/>
                <w:sz w:val="20"/>
              </w:rPr>
            </w:pPr>
            <w:r w:rsidRPr="00174DB9">
              <w:rPr>
                <w:rFonts w:ascii="Arial Narrow" w:hAnsi="Arial Narrow"/>
                <w:sz w:val="20"/>
              </w:rPr>
              <w:t>5 years</w:t>
            </w:r>
          </w:p>
          <w:p w:rsidR="002D271D" w:rsidRPr="00174DB9" w:rsidRDefault="002D271D" w:rsidP="002D271D">
            <w:pPr>
              <w:keepNext/>
              <w:widowControl/>
              <w:ind w:firstLine="142"/>
              <w:jc w:val="left"/>
              <w:rPr>
                <w:rFonts w:ascii="Arial Narrow" w:hAnsi="Arial Narrow"/>
                <w:sz w:val="20"/>
              </w:rPr>
            </w:pPr>
            <w:r w:rsidRPr="00174DB9">
              <w:rPr>
                <w:rFonts w:ascii="Arial Narrow" w:hAnsi="Arial Narrow"/>
                <w:sz w:val="20"/>
              </w:rPr>
              <w:t>7 years</w:t>
            </w:r>
          </w:p>
          <w:p w:rsidR="002D271D" w:rsidRPr="00174DB9" w:rsidRDefault="002D271D" w:rsidP="002D271D">
            <w:pPr>
              <w:keepNext/>
              <w:widowControl/>
              <w:ind w:firstLine="142"/>
              <w:jc w:val="left"/>
              <w:rPr>
                <w:rFonts w:ascii="Arial Narrow" w:hAnsi="Arial Narrow"/>
                <w:sz w:val="20"/>
              </w:rPr>
            </w:pPr>
            <w:r w:rsidRPr="00174DB9">
              <w:rPr>
                <w:rFonts w:ascii="Arial Narrow" w:hAnsi="Arial Narrow"/>
                <w:sz w:val="20"/>
              </w:rPr>
              <w:t>10 years</w:t>
            </w:r>
          </w:p>
        </w:tc>
        <w:tc>
          <w:tcPr>
            <w:tcW w:w="593" w:type="pct"/>
            <w:tcBorders>
              <w:top w:val="single" w:sz="4" w:space="0" w:color="auto"/>
              <w:left w:val="single" w:sz="4" w:space="0" w:color="auto"/>
              <w:bottom w:val="single" w:sz="4" w:space="0" w:color="auto"/>
              <w:right w:val="single" w:sz="4" w:space="0" w:color="auto"/>
            </w:tcBorders>
            <w:vAlign w:val="center"/>
          </w:tcPr>
          <w:p w:rsidR="002D271D" w:rsidRPr="00174DB9" w:rsidRDefault="002D271D" w:rsidP="002D271D">
            <w:pPr>
              <w:keepNext/>
              <w:widowControl/>
              <w:jc w:val="right"/>
              <w:rPr>
                <w:rFonts w:ascii="Arial Narrow" w:hAnsi="Arial Narrow"/>
                <w:sz w:val="20"/>
              </w:rPr>
            </w:pPr>
          </w:p>
          <w:p w:rsidR="002D271D" w:rsidRPr="00174DB9" w:rsidRDefault="002D271D" w:rsidP="002D271D">
            <w:pPr>
              <w:keepNext/>
              <w:widowControl/>
              <w:jc w:val="right"/>
              <w:rPr>
                <w:rFonts w:ascii="Arial Narrow" w:hAnsi="Arial Narrow"/>
                <w:sz w:val="20"/>
              </w:rPr>
            </w:pPr>
            <w:r w:rsidRPr="00174DB9">
              <w:rPr>
                <w:rFonts w:ascii="Arial Narrow" w:hAnsi="Arial Narrow"/>
                <w:sz w:val="20"/>
              </w:rPr>
              <w:t>$</w:t>
            </w:r>
            <w:r w:rsidR="006D3878">
              <w:rPr>
                <w:rFonts w:ascii="Arial Narrow" w:hAnsi="Arial Narrow"/>
                <w:noProof/>
                <w:color w:val="000000"/>
                <w:sz w:val="20"/>
                <w:highlight w:val="black"/>
              </w:rPr>
              <w:t>''''''''''''''''''''</w:t>
            </w:r>
          </w:p>
          <w:p w:rsidR="002D271D" w:rsidRPr="00174DB9" w:rsidRDefault="002D271D" w:rsidP="002D271D">
            <w:pPr>
              <w:keepNext/>
              <w:widowControl/>
              <w:jc w:val="right"/>
              <w:rPr>
                <w:rFonts w:ascii="Arial Narrow" w:hAnsi="Arial Narrow"/>
                <w:sz w:val="20"/>
              </w:rPr>
            </w:pPr>
            <w:r w:rsidRPr="00174DB9">
              <w:rPr>
                <w:rFonts w:ascii="Arial Narrow" w:hAnsi="Arial Narrow"/>
                <w:sz w:val="20"/>
              </w:rPr>
              <w:t>$</w:t>
            </w:r>
            <w:r w:rsidR="006D3878">
              <w:rPr>
                <w:rFonts w:ascii="Arial Narrow" w:hAnsi="Arial Narrow"/>
                <w:noProof/>
                <w:color w:val="000000"/>
                <w:sz w:val="20"/>
                <w:highlight w:val="black"/>
              </w:rPr>
              <w:t>'''''''''''''''''</w:t>
            </w:r>
          </w:p>
          <w:p w:rsidR="002D271D" w:rsidRPr="00174DB9" w:rsidRDefault="002D271D" w:rsidP="002D271D">
            <w:pPr>
              <w:keepNext/>
              <w:widowControl/>
              <w:jc w:val="right"/>
              <w:rPr>
                <w:rFonts w:ascii="Arial Narrow" w:hAnsi="Arial Narrow"/>
                <w:sz w:val="20"/>
              </w:rPr>
            </w:pPr>
            <w:r w:rsidRPr="00174DB9">
              <w:rPr>
                <w:rFonts w:ascii="Arial Narrow" w:hAnsi="Arial Narrow"/>
                <w:sz w:val="20"/>
              </w:rPr>
              <w:t>$</w:t>
            </w:r>
            <w:r w:rsidR="006D3878">
              <w:rPr>
                <w:rFonts w:ascii="Arial Narrow" w:hAnsi="Arial Narrow"/>
                <w:noProof/>
                <w:color w:val="000000"/>
                <w:sz w:val="20"/>
                <w:highlight w:val="black"/>
              </w:rPr>
              <w:t>'''''''''''''''''''''</w:t>
            </w:r>
          </w:p>
          <w:p w:rsidR="002D271D" w:rsidRPr="00174DB9" w:rsidRDefault="002D271D" w:rsidP="002D271D">
            <w:pPr>
              <w:keepNext/>
              <w:widowControl/>
              <w:jc w:val="right"/>
              <w:rPr>
                <w:rFonts w:ascii="Arial Narrow" w:hAnsi="Arial Narrow"/>
                <w:sz w:val="20"/>
              </w:rPr>
            </w:pPr>
            <w:r w:rsidRPr="00174DB9">
              <w:rPr>
                <w:rFonts w:ascii="Arial Narrow" w:hAnsi="Arial Narrow"/>
                <w:sz w:val="20"/>
              </w:rPr>
              <w:t>$</w:t>
            </w:r>
            <w:r w:rsidR="006D3878">
              <w:rPr>
                <w:rFonts w:ascii="Arial Narrow" w:hAnsi="Arial Narrow"/>
                <w:noProof/>
                <w:color w:val="000000"/>
                <w:sz w:val="20"/>
                <w:highlight w:val="black"/>
              </w:rPr>
              <w:t>''''''''''''''''''</w:t>
            </w:r>
          </w:p>
        </w:tc>
        <w:tc>
          <w:tcPr>
            <w:tcW w:w="679" w:type="pct"/>
            <w:tcBorders>
              <w:top w:val="single" w:sz="4" w:space="0" w:color="auto"/>
              <w:left w:val="single" w:sz="4" w:space="0" w:color="auto"/>
              <w:bottom w:val="single" w:sz="4" w:space="0" w:color="auto"/>
              <w:right w:val="single" w:sz="4" w:space="0" w:color="auto"/>
            </w:tcBorders>
            <w:vAlign w:val="center"/>
          </w:tcPr>
          <w:p w:rsidR="002D271D" w:rsidRPr="00174DB9" w:rsidRDefault="002D271D" w:rsidP="002D271D">
            <w:pPr>
              <w:keepNext/>
              <w:widowControl/>
              <w:jc w:val="center"/>
              <w:rPr>
                <w:rFonts w:ascii="Arial Narrow" w:hAnsi="Arial Narrow"/>
                <w:sz w:val="20"/>
              </w:rPr>
            </w:pPr>
          </w:p>
          <w:p w:rsidR="002D271D" w:rsidRPr="00174DB9" w:rsidRDefault="002D271D" w:rsidP="002D271D">
            <w:pPr>
              <w:keepNext/>
              <w:widowControl/>
              <w:jc w:val="center"/>
              <w:rPr>
                <w:rFonts w:ascii="Arial Narrow" w:hAnsi="Arial Narrow"/>
                <w:sz w:val="20"/>
              </w:rPr>
            </w:pPr>
            <w:r w:rsidRPr="00174DB9">
              <w:rPr>
                <w:rFonts w:ascii="Arial Narrow" w:hAnsi="Arial Narrow"/>
                <w:sz w:val="20"/>
              </w:rPr>
              <w:t>0.79</w:t>
            </w:r>
          </w:p>
          <w:p w:rsidR="002D271D" w:rsidRPr="00174DB9" w:rsidRDefault="002D271D" w:rsidP="002D271D">
            <w:pPr>
              <w:keepNext/>
              <w:widowControl/>
              <w:jc w:val="center"/>
              <w:rPr>
                <w:rFonts w:ascii="Arial Narrow" w:hAnsi="Arial Narrow"/>
                <w:sz w:val="20"/>
              </w:rPr>
            </w:pPr>
            <w:r w:rsidRPr="00174DB9">
              <w:rPr>
                <w:rFonts w:ascii="Arial Narrow" w:hAnsi="Arial Narrow"/>
                <w:sz w:val="20"/>
              </w:rPr>
              <w:t>1.24</w:t>
            </w:r>
          </w:p>
          <w:p w:rsidR="002D271D" w:rsidRPr="00174DB9" w:rsidRDefault="002D271D" w:rsidP="002D271D">
            <w:pPr>
              <w:keepNext/>
              <w:widowControl/>
              <w:jc w:val="center"/>
              <w:rPr>
                <w:rFonts w:ascii="Arial Narrow" w:hAnsi="Arial Narrow"/>
                <w:sz w:val="20"/>
              </w:rPr>
            </w:pPr>
            <w:r w:rsidRPr="00174DB9">
              <w:rPr>
                <w:rFonts w:ascii="Arial Narrow" w:hAnsi="Arial Narrow"/>
                <w:sz w:val="20"/>
              </w:rPr>
              <w:t>1.50</w:t>
            </w:r>
          </w:p>
          <w:p w:rsidR="002D271D" w:rsidRPr="00174DB9" w:rsidRDefault="002D271D" w:rsidP="002D271D">
            <w:pPr>
              <w:keepNext/>
              <w:widowControl/>
              <w:jc w:val="center"/>
              <w:rPr>
                <w:rFonts w:ascii="Arial Narrow" w:hAnsi="Arial Narrow"/>
                <w:sz w:val="20"/>
              </w:rPr>
            </w:pPr>
            <w:r w:rsidRPr="00174DB9">
              <w:rPr>
                <w:rFonts w:ascii="Arial Narrow" w:hAnsi="Arial Narrow"/>
                <w:sz w:val="20"/>
              </w:rPr>
              <w:t>1.66</w:t>
            </w:r>
          </w:p>
        </w:tc>
        <w:tc>
          <w:tcPr>
            <w:tcW w:w="925" w:type="pct"/>
            <w:tcBorders>
              <w:top w:val="single" w:sz="4" w:space="0" w:color="auto"/>
              <w:left w:val="single" w:sz="4" w:space="0" w:color="auto"/>
              <w:bottom w:val="single" w:sz="4" w:space="0" w:color="auto"/>
              <w:right w:val="single" w:sz="4" w:space="0" w:color="auto"/>
            </w:tcBorders>
            <w:vAlign w:val="center"/>
          </w:tcPr>
          <w:p w:rsidR="002D271D" w:rsidRPr="00174DB9" w:rsidRDefault="002D271D" w:rsidP="002D271D">
            <w:pPr>
              <w:keepNext/>
              <w:widowControl/>
              <w:jc w:val="right"/>
              <w:rPr>
                <w:rFonts w:ascii="Arial Narrow" w:hAnsi="Arial Narrow"/>
                <w:sz w:val="20"/>
              </w:rPr>
            </w:pPr>
          </w:p>
          <w:p w:rsidR="002D271D" w:rsidRPr="00174DB9" w:rsidRDefault="002D271D" w:rsidP="002D271D">
            <w:pPr>
              <w:keepNext/>
              <w:widowControl/>
              <w:jc w:val="right"/>
              <w:rPr>
                <w:rFonts w:ascii="Arial Narrow" w:hAnsi="Arial Narrow"/>
                <w:sz w:val="20"/>
              </w:rPr>
            </w:pPr>
            <w:r w:rsidRPr="00174DB9">
              <w:rPr>
                <w:rFonts w:ascii="Arial Narrow" w:hAnsi="Arial Narrow"/>
                <w:sz w:val="20"/>
              </w:rPr>
              <w:t>$</w:t>
            </w:r>
            <w:r w:rsidR="006D3878">
              <w:rPr>
                <w:rFonts w:ascii="Arial Narrow" w:hAnsi="Arial Narrow"/>
                <w:noProof/>
                <w:color w:val="000000"/>
                <w:sz w:val="20"/>
                <w:highlight w:val="black"/>
              </w:rPr>
              <w:t>''''''''''''''''''''</w:t>
            </w:r>
          </w:p>
          <w:p w:rsidR="002D271D" w:rsidRPr="00174DB9" w:rsidRDefault="002D271D" w:rsidP="002D271D">
            <w:pPr>
              <w:keepNext/>
              <w:widowControl/>
              <w:jc w:val="right"/>
              <w:rPr>
                <w:rFonts w:ascii="Arial Narrow" w:hAnsi="Arial Narrow"/>
                <w:sz w:val="20"/>
              </w:rPr>
            </w:pPr>
            <w:r w:rsidRPr="00174DB9">
              <w:rPr>
                <w:rFonts w:ascii="Arial Narrow" w:hAnsi="Arial Narrow"/>
                <w:sz w:val="20"/>
              </w:rPr>
              <w:t>$</w:t>
            </w:r>
            <w:r w:rsidR="006D3878">
              <w:rPr>
                <w:rFonts w:ascii="Arial Narrow" w:hAnsi="Arial Narrow"/>
                <w:noProof/>
                <w:color w:val="000000"/>
                <w:sz w:val="20"/>
                <w:highlight w:val="black"/>
              </w:rPr>
              <w:t>''''''''''''''''</w:t>
            </w:r>
          </w:p>
          <w:p w:rsidR="002D271D" w:rsidRPr="00174DB9" w:rsidRDefault="002D271D" w:rsidP="002D271D">
            <w:pPr>
              <w:keepNext/>
              <w:widowControl/>
              <w:jc w:val="right"/>
              <w:rPr>
                <w:rFonts w:ascii="Arial Narrow" w:hAnsi="Arial Narrow"/>
                <w:sz w:val="20"/>
              </w:rPr>
            </w:pPr>
            <w:r w:rsidRPr="00174DB9">
              <w:rPr>
                <w:rFonts w:ascii="Arial Narrow" w:hAnsi="Arial Narrow"/>
                <w:sz w:val="20"/>
              </w:rPr>
              <w:t>$</w:t>
            </w:r>
            <w:r w:rsidR="006D3878">
              <w:rPr>
                <w:rFonts w:ascii="Arial Narrow" w:hAnsi="Arial Narrow"/>
                <w:noProof/>
                <w:color w:val="000000"/>
                <w:sz w:val="20"/>
                <w:highlight w:val="black"/>
              </w:rPr>
              <w:t>'''''''''''''''''</w:t>
            </w:r>
          </w:p>
          <w:p w:rsidR="002D271D" w:rsidRPr="00174DB9" w:rsidRDefault="002D271D" w:rsidP="002D271D">
            <w:pPr>
              <w:keepNext/>
              <w:widowControl/>
              <w:jc w:val="right"/>
              <w:rPr>
                <w:rFonts w:ascii="Arial Narrow" w:hAnsi="Arial Narrow"/>
                <w:sz w:val="20"/>
              </w:rPr>
            </w:pPr>
            <w:r w:rsidRPr="00174DB9">
              <w:rPr>
                <w:rFonts w:ascii="Arial Narrow" w:hAnsi="Arial Narrow"/>
                <w:sz w:val="20"/>
              </w:rPr>
              <w:t>$</w:t>
            </w:r>
            <w:r w:rsidR="006D3878">
              <w:rPr>
                <w:rFonts w:ascii="Arial Narrow" w:hAnsi="Arial Narrow"/>
                <w:noProof/>
                <w:color w:val="000000"/>
                <w:sz w:val="20"/>
                <w:highlight w:val="black"/>
              </w:rPr>
              <w:t>'''''''''''''''''</w:t>
            </w:r>
          </w:p>
        </w:tc>
      </w:tr>
      <w:tr w:rsidR="002D271D" w:rsidRPr="003F2CFE" w:rsidTr="00A34711">
        <w:trPr>
          <w:cantSplit/>
        </w:trPr>
        <w:tc>
          <w:tcPr>
            <w:tcW w:w="2803" w:type="pct"/>
            <w:tcBorders>
              <w:top w:val="single" w:sz="4" w:space="0" w:color="auto"/>
              <w:left w:val="single" w:sz="4" w:space="0" w:color="auto"/>
              <w:bottom w:val="single" w:sz="4" w:space="0" w:color="auto"/>
              <w:right w:val="single" w:sz="4" w:space="0" w:color="auto"/>
            </w:tcBorders>
            <w:vAlign w:val="center"/>
          </w:tcPr>
          <w:p w:rsidR="002D271D" w:rsidRPr="00174DB9" w:rsidRDefault="002D271D" w:rsidP="002D271D">
            <w:pPr>
              <w:widowControl/>
              <w:jc w:val="left"/>
              <w:rPr>
                <w:rFonts w:ascii="Arial Narrow" w:hAnsi="Arial Narrow"/>
                <w:sz w:val="20"/>
              </w:rPr>
            </w:pPr>
            <w:r w:rsidRPr="00174DB9">
              <w:rPr>
                <w:rFonts w:ascii="Arial Narrow" w:hAnsi="Arial Narrow"/>
                <w:sz w:val="20"/>
              </w:rPr>
              <w:t>ITT analysis set (base case = RPSFT)</w:t>
            </w:r>
          </w:p>
        </w:tc>
        <w:tc>
          <w:tcPr>
            <w:tcW w:w="593" w:type="pct"/>
            <w:tcBorders>
              <w:top w:val="single" w:sz="4" w:space="0" w:color="auto"/>
              <w:left w:val="single" w:sz="4" w:space="0" w:color="auto"/>
              <w:bottom w:val="single" w:sz="4" w:space="0" w:color="auto"/>
              <w:right w:val="single" w:sz="4" w:space="0" w:color="auto"/>
            </w:tcBorders>
            <w:vAlign w:val="center"/>
          </w:tcPr>
          <w:p w:rsidR="002D271D" w:rsidRPr="00174DB9" w:rsidRDefault="002D271D" w:rsidP="002D271D">
            <w:pPr>
              <w:widowControl/>
              <w:jc w:val="right"/>
              <w:rPr>
                <w:rFonts w:ascii="Arial Narrow" w:hAnsi="Arial Narrow"/>
                <w:sz w:val="20"/>
              </w:rPr>
            </w:pPr>
            <w:r w:rsidRPr="00174DB9">
              <w:rPr>
                <w:rFonts w:ascii="Arial Narrow" w:hAnsi="Arial Narrow"/>
                <w:sz w:val="20"/>
              </w:rPr>
              <w:t>$</w:t>
            </w:r>
            <w:r w:rsidR="006D3878">
              <w:rPr>
                <w:rFonts w:ascii="Arial Narrow" w:hAnsi="Arial Narrow"/>
                <w:noProof/>
                <w:color w:val="000000"/>
                <w:sz w:val="20"/>
                <w:highlight w:val="black"/>
              </w:rPr>
              <w:t>''''''''''''''''''</w:t>
            </w:r>
          </w:p>
        </w:tc>
        <w:tc>
          <w:tcPr>
            <w:tcW w:w="679" w:type="pct"/>
            <w:tcBorders>
              <w:top w:val="single" w:sz="4" w:space="0" w:color="auto"/>
              <w:left w:val="single" w:sz="4" w:space="0" w:color="auto"/>
              <w:bottom w:val="single" w:sz="4" w:space="0" w:color="auto"/>
              <w:right w:val="single" w:sz="4" w:space="0" w:color="auto"/>
            </w:tcBorders>
            <w:vAlign w:val="center"/>
          </w:tcPr>
          <w:p w:rsidR="002D271D" w:rsidRPr="00174DB9" w:rsidRDefault="002D271D" w:rsidP="002D271D">
            <w:pPr>
              <w:widowControl/>
              <w:jc w:val="center"/>
              <w:rPr>
                <w:rFonts w:ascii="Arial Narrow" w:hAnsi="Arial Narrow"/>
                <w:sz w:val="20"/>
              </w:rPr>
            </w:pPr>
            <w:r w:rsidRPr="00174DB9">
              <w:rPr>
                <w:rFonts w:ascii="Arial Narrow" w:hAnsi="Arial Narrow"/>
                <w:sz w:val="20"/>
              </w:rPr>
              <w:t>1.15</w:t>
            </w:r>
          </w:p>
        </w:tc>
        <w:tc>
          <w:tcPr>
            <w:tcW w:w="925" w:type="pct"/>
            <w:tcBorders>
              <w:top w:val="single" w:sz="4" w:space="0" w:color="auto"/>
              <w:left w:val="single" w:sz="4" w:space="0" w:color="auto"/>
              <w:bottom w:val="single" w:sz="4" w:space="0" w:color="auto"/>
              <w:right w:val="single" w:sz="4" w:space="0" w:color="auto"/>
            </w:tcBorders>
            <w:vAlign w:val="center"/>
          </w:tcPr>
          <w:p w:rsidR="002D271D" w:rsidRPr="00174DB9" w:rsidRDefault="002D271D" w:rsidP="002D271D">
            <w:pPr>
              <w:widowControl/>
              <w:jc w:val="right"/>
              <w:rPr>
                <w:rFonts w:ascii="Arial Narrow" w:hAnsi="Arial Narrow"/>
                <w:sz w:val="20"/>
              </w:rPr>
            </w:pPr>
            <w:r w:rsidRPr="00174DB9">
              <w:rPr>
                <w:rFonts w:ascii="Arial Narrow" w:hAnsi="Arial Narrow"/>
                <w:sz w:val="20"/>
              </w:rPr>
              <w:t>$</w:t>
            </w:r>
            <w:r w:rsidR="006D3878">
              <w:rPr>
                <w:rFonts w:ascii="Arial Narrow" w:hAnsi="Arial Narrow"/>
                <w:noProof/>
                <w:color w:val="000000"/>
                <w:sz w:val="20"/>
                <w:highlight w:val="black"/>
              </w:rPr>
              <w:t>''''''''''''''''''</w:t>
            </w:r>
          </w:p>
        </w:tc>
      </w:tr>
      <w:tr w:rsidR="002D271D" w:rsidRPr="004E2ADC" w:rsidTr="00A34711">
        <w:trPr>
          <w:cantSplit/>
        </w:trPr>
        <w:tc>
          <w:tcPr>
            <w:tcW w:w="2803" w:type="pct"/>
            <w:tcBorders>
              <w:top w:val="single" w:sz="4" w:space="0" w:color="auto"/>
              <w:left w:val="single" w:sz="4" w:space="0" w:color="auto"/>
              <w:bottom w:val="single" w:sz="4" w:space="0" w:color="auto"/>
              <w:right w:val="single" w:sz="4" w:space="0" w:color="auto"/>
            </w:tcBorders>
            <w:vAlign w:val="center"/>
          </w:tcPr>
          <w:p w:rsidR="002D271D" w:rsidRPr="00174DB9" w:rsidRDefault="002D271D" w:rsidP="002D271D">
            <w:pPr>
              <w:widowControl/>
              <w:jc w:val="left"/>
              <w:rPr>
                <w:rFonts w:ascii="Arial Narrow" w:hAnsi="Arial Narrow"/>
                <w:sz w:val="20"/>
              </w:rPr>
            </w:pPr>
            <w:r w:rsidRPr="00174DB9">
              <w:rPr>
                <w:rFonts w:ascii="Arial Narrow" w:hAnsi="Arial Narrow"/>
                <w:sz w:val="20"/>
              </w:rPr>
              <w:t>HR PFS and OS models, RPSFT set (base case = parametric)</w:t>
            </w:r>
          </w:p>
          <w:p w:rsidR="002D271D" w:rsidRPr="00174DB9" w:rsidRDefault="002D271D" w:rsidP="002D271D">
            <w:pPr>
              <w:widowControl/>
              <w:ind w:firstLine="142"/>
              <w:jc w:val="left"/>
              <w:rPr>
                <w:rFonts w:ascii="Arial Narrow" w:hAnsi="Arial Narrow"/>
                <w:sz w:val="20"/>
              </w:rPr>
            </w:pPr>
            <w:r w:rsidRPr="00174DB9">
              <w:rPr>
                <w:rFonts w:ascii="Arial Narrow" w:hAnsi="Arial Narrow"/>
                <w:sz w:val="20"/>
              </w:rPr>
              <w:t xml:space="preserve">HR </w:t>
            </w:r>
          </w:p>
          <w:p w:rsidR="002D271D" w:rsidRPr="00174DB9" w:rsidRDefault="002D271D" w:rsidP="002D271D">
            <w:pPr>
              <w:widowControl/>
              <w:ind w:firstLine="142"/>
              <w:jc w:val="left"/>
              <w:rPr>
                <w:rFonts w:ascii="Arial Narrow" w:hAnsi="Arial Narrow"/>
                <w:sz w:val="20"/>
              </w:rPr>
            </w:pPr>
            <w:r w:rsidRPr="00174DB9">
              <w:rPr>
                <w:rFonts w:ascii="Arial Narrow" w:hAnsi="Arial Narrow"/>
                <w:sz w:val="20"/>
              </w:rPr>
              <w:t>HR - lower 95% CI</w:t>
            </w:r>
            <w:r w:rsidR="007B4183" w:rsidRPr="00174DB9">
              <w:rPr>
                <w:rFonts w:ascii="Arial Narrow" w:hAnsi="Arial Narrow"/>
                <w:sz w:val="20"/>
              </w:rPr>
              <w:t xml:space="preserve"> for both PFS and OS</w:t>
            </w:r>
          </w:p>
          <w:p w:rsidR="002D271D" w:rsidRPr="00174DB9" w:rsidRDefault="002D271D" w:rsidP="002D271D">
            <w:pPr>
              <w:widowControl/>
              <w:ind w:firstLine="142"/>
              <w:jc w:val="left"/>
              <w:rPr>
                <w:rFonts w:ascii="Arial Narrow" w:hAnsi="Arial Narrow"/>
                <w:sz w:val="20"/>
              </w:rPr>
            </w:pPr>
            <w:r w:rsidRPr="00174DB9">
              <w:rPr>
                <w:rFonts w:ascii="Arial Narrow" w:hAnsi="Arial Narrow"/>
                <w:sz w:val="20"/>
              </w:rPr>
              <w:t>HR - upper 95% CI</w:t>
            </w:r>
            <w:r w:rsidR="007B4183" w:rsidRPr="00174DB9">
              <w:rPr>
                <w:rFonts w:ascii="Arial Narrow" w:hAnsi="Arial Narrow"/>
                <w:sz w:val="20"/>
              </w:rPr>
              <w:t xml:space="preserve"> for both PFS and OS</w:t>
            </w:r>
          </w:p>
          <w:p w:rsidR="002D271D" w:rsidRPr="00174DB9" w:rsidRDefault="002D271D" w:rsidP="002D271D">
            <w:pPr>
              <w:widowControl/>
              <w:jc w:val="left"/>
              <w:rPr>
                <w:rFonts w:ascii="Arial Narrow" w:hAnsi="Arial Narrow"/>
                <w:sz w:val="20"/>
              </w:rPr>
            </w:pPr>
            <w:r w:rsidRPr="00174DB9">
              <w:rPr>
                <w:rFonts w:ascii="Arial Narrow" w:hAnsi="Arial Narrow"/>
                <w:sz w:val="20"/>
              </w:rPr>
              <w:t>HR PFS and OS models, ITT set (base case = parametric)</w:t>
            </w:r>
          </w:p>
          <w:p w:rsidR="002D271D" w:rsidRPr="00174DB9" w:rsidRDefault="002D271D" w:rsidP="002D271D">
            <w:pPr>
              <w:widowControl/>
              <w:ind w:firstLine="142"/>
              <w:jc w:val="left"/>
              <w:rPr>
                <w:rFonts w:ascii="Arial Narrow" w:hAnsi="Arial Narrow"/>
                <w:sz w:val="20"/>
              </w:rPr>
            </w:pPr>
            <w:r w:rsidRPr="00174DB9">
              <w:rPr>
                <w:rFonts w:ascii="Arial Narrow" w:hAnsi="Arial Narrow"/>
                <w:sz w:val="20"/>
              </w:rPr>
              <w:t xml:space="preserve">HR </w:t>
            </w:r>
          </w:p>
          <w:p w:rsidR="002D271D" w:rsidRPr="00174DB9" w:rsidRDefault="002D271D" w:rsidP="002D271D">
            <w:pPr>
              <w:widowControl/>
              <w:ind w:firstLine="142"/>
              <w:jc w:val="left"/>
              <w:rPr>
                <w:rFonts w:ascii="Arial Narrow" w:hAnsi="Arial Narrow"/>
                <w:sz w:val="20"/>
              </w:rPr>
            </w:pPr>
            <w:r w:rsidRPr="00174DB9">
              <w:rPr>
                <w:rFonts w:ascii="Arial Narrow" w:hAnsi="Arial Narrow"/>
                <w:sz w:val="20"/>
              </w:rPr>
              <w:t>HR - lower 95% CI</w:t>
            </w:r>
            <w:r w:rsidR="007B4183" w:rsidRPr="00174DB9">
              <w:rPr>
                <w:rFonts w:ascii="Arial Narrow" w:hAnsi="Arial Narrow"/>
                <w:sz w:val="20"/>
              </w:rPr>
              <w:t xml:space="preserve"> for both PFS and OS</w:t>
            </w:r>
          </w:p>
          <w:p w:rsidR="002D271D" w:rsidRPr="00174DB9" w:rsidRDefault="002D271D" w:rsidP="002D271D">
            <w:pPr>
              <w:widowControl/>
              <w:ind w:firstLine="142"/>
              <w:jc w:val="left"/>
              <w:rPr>
                <w:rFonts w:ascii="Arial Narrow" w:hAnsi="Arial Narrow"/>
                <w:sz w:val="20"/>
              </w:rPr>
            </w:pPr>
            <w:r w:rsidRPr="00174DB9">
              <w:rPr>
                <w:rFonts w:ascii="Arial Narrow" w:hAnsi="Arial Narrow"/>
                <w:sz w:val="20"/>
              </w:rPr>
              <w:t>HR - upper 95% CI</w:t>
            </w:r>
            <w:r w:rsidR="007B4183" w:rsidRPr="00174DB9">
              <w:rPr>
                <w:rFonts w:ascii="Arial Narrow" w:hAnsi="Arial Narrow"/>
                <w:sz w:val="20"/>
              </w:rPr>
              <w:t xml:space="preserve"> for both PFS and OS</w:t>
            </w:r>
          </w:p>
        </w:tc>
        <w:tc>
          <w:tcPr>
            <w:tcW w:w="593" w:type="pct"/>
            <w:tcBorders>
              <w:top w:val="single" w:sz="4" w:space="0" w:color="auto"/>
              <w:left w:val="single" w:sz="4" w:space="0" w:color="auto"/>
              <w:bottom w:val="single" w:sz="4" w:space="0" w:color="auto"/>
              <w:right w:val="single" w:sz="4" w:space="0" w:color="auto"/>
            </w:tcBorders>
            <w:vAlign w:val="center"/>
          </w:tcPr>
          <w:p w:rsidR="002D271D" w:rsidRPr="00174DB9" w:rsidRDefault="002D271D" w:rsidP="002D271D">
            <w:pPr>
              <w:widowControl/>
              <w:jc w:val="right"/>
              <w:rPr>
                <w:rFonts w:ascii="Arial Narrow" w:hAnsi="Arial Narrow"/>
                <w:sz w:val="20"/>
              </w:rPr>
            </w:pPr>
          </w:p>
          <w:p w:rsidR="002D271D" w:rsidRPr="00174DB9" w:rsidRDefault="002D271D" w:rsidP="002D271D">
            <w:pPr>
              <w:widowControl/>
              <w:jc w:val="right"/>
              <w:rPr>
                <w:rFonts w:ascii="Arial Narrow" w:hAnsi="Arial Narrow"/>
                <w:sz w:val="20"/>
              </w:rPr>
            </w:pPr>
            <w:r w:rsidRPr="00174DB9">
              <w:rPr>
                <w:rFonts w:ascii="Arial Narrow" w:hAnsi="Arial Narrow"/>
                <w:sz w:val="20"/>
              </w:rPr>
              <w:t>$</w:t>
            </w:r>
            <w:r w:rsidR="006D3878">
              <w:rPr>
                <w:rFonts w:ascii="Arial Narrow" w:hAnsi="Arial Narrow"/>
                <w:noProof/>
                <w:color w:val="000000"/>
                <w:sz w:val="20"/>
                <w:highlight w:val="black"/>
              </w:rPr>
              <w:t>'''''''''''''''''''</w:t>
            </w:r>
          </w:p>
          <w:p w:rsidR="002D271D" w:rsidRPr="00174DB9" w:rsidRDefault="002D271D" w:rsidP="002D271D">
            <w:pPr>
              <w:widowControl/>
              <w:jc w:val="right"/>
              <w:rPr>
                <w:rFonts w:ascii="Arial Narrow" w:hAnsi="Arial Narrow"/>
                <w:sz w:val="20"/>
              </w:rPr>
            </w:pPr>
            <w:r w:rsidRPr="00174DB9">
              <w:rPr>
                <w:rFonts w:ascii="Arial Narrow" w:hAnsi="Arial Narrow"/>
                <w:sz w:val="20"/>
              </w:rPr>
              <w:t>$</w:t>
            </w:r>
            <w:r w:rsidR="006D3878">
              <w:rPr>
                <w:rFonts w:ascii="Arial Narrow" w:hAnsi="Arial Narrow"/>
                <w:noProof/>
                <w:color w:val="000000"/>
                <w:sz w:val="20"/>
                <w:highlight w:val="black"/>
              </w:rPr>
              <w:t>'''''''''''''''''''''</w:t>
            </w:r>
          </w:p>
          <w:p w:rsidR="002D271D" w:rsidRPr="00174DB9" w:rsidRDefault="002D271D" w:rsidP="002D271D">
            <w:pPr>
              <w:widowControl/>
              <w:jc w:val="right"/>
              <w:rPr>
                <w:rFonts w:ascii="Arial Narrow" w:hAnsi="Arial Narrow"/>
                <w:sz w:val="20"/>
              </w:rPr>
            </w:pPr>
            <w:r w:rsidRPr="00174DB9">
              <w:rPr>
                <w:rFonts w:ascii="Arial Narrow" w:hAnsi="Arial Narrow"/>
                <w:sz w:val="20"/>
              </w:rPr>
              <w:t>$</w:t>
            </w:r>
            <w:r w:rsidR="006D3878">
              <w:rPr>
                <w:rFonts w:ascii="Arial Narrow" w:hAnsi="Arial Narrow"/>
                <w:noProof/>
                <w:color w:val="000000"/>
                <w:sz w:val="20"/>
                <w:highlight w:val="black"/>
              </w:rPr>
              <w:t>''''''''''''''''''</w:t>
            </w:r>
          </w:p>
          <w:p w:rsidR="002D271D" w:rsidRPr="00174DB9" w:rsidRDefault="002D271D" w:rsidP="002D271D">
            <w:pPr>
              <w:widowControl/>
              <w:jc w:val="right"/>
              <w:rPr>
                <w:rFonts w:ascii="Arial Narrow" w:hAnsi="Arial Narrow"/>
                <w:sz w:val="20"/>
              </w:rPr>
            </w:pPr>
          </w:p>
          <w:p w:rsidR="002D271D" w:rsidRPr="00174DB9" w:rsidRDefault="002D271D" w:rsidP="002D271D">
            <w:pPr>
              <w:widowControl/>
              <w:jc w:val="right"/>
              <w:rPr>
                <w:rFonts w:ascii="Arial Narrow" w:hAnsi="Arial Narrow"/>
                <w:sz w:val="20"/>
              </w:rPr>
            </w:pPr>
            <w:r w:rsidRPr="00174DB9">
              <w:rPr>
                <w:rFonts w:ascii="Arial Narrow" w:hAnsi="Arial Narrow"/>
                <w:sz w:val="20"/>
              </w:rPr>
              <w:t>$</w:t>
            </w:r>
            <w:r w:rsidR="006D3878">
              <w:rPr>
                <w:rFonts w:ascii="Arial Narrow" w:hAnsi="Arial Narrow"/>
                <w:noProof/>
                <w:color w:val="000000"/>
                <w:sz w:val="20"/>
                <w:highlight w:val="black"/>
              </w:rPr>
              <w:t>'''''''''''''''''''</w:t>
            </w:r>
          </w:p>
          <w:p w:rsidR="002D271D" w:rsidRPr="00174DB9" w:rsidRDefault="002D271D" w:rsidP="002D271D">
            <w:pPr>
              <w:widowControl/>
              <w:jc w:val="right"/>
              <w:rPr>
                <w:rFonts w:ascii="Arial Narrow" w:hAnsi="Arial Narrow"/>
                <w:sz w:val="20"/>
              </w:rPr>
            </w:pPr>
            <w:r w:rsidRPr="00174DB9">
              <w:rPr>
                <w:rFonts w:ascii="Arial Narrow" w:hAnsi="Arial Narrow"/>
                <w:sz w:val="20"/>
              </w:rPr>
              <w:t>$</w:t>
            </w:r>
            <w:r w:rsidR="006D3878">
              <w:rPr>
                <w:rFonts w:ascii="Arial Narrow" w:hAnsi="Arial Narrow"/>
                <w:noProof/>
                <w:color w:val="000000"/>
                <w:sz w:val="20"/>
                <w:highlight w:val="black"/>
              </w:rPr>
              <w:t>''''''''''''''''''''</w:t>
            </w:r>
          </w:p>
          <w:p w:rsidR="002D271D" w:rsidRPr="00174DB9" w:rsidRDefault="002D271D" w:rsidP="002D271D">
            <w:pPr>
              <w:widowControl/>
              <w:jc w:val="right"/>
              <w:rPr>
                <w:rFonts w:ascii="Arial Narrow" w:hAnsi="Arial Narrow"/>
                <w:sz w:val="20"/>
              </w:rPr>
            </w:pPr>
            <w:r w:rsidRPr="00174DB9">
              <w:rPr>
                <w:rFonts w:ascii="Arial Narrow" w:hAnsi="Arial Narrow"/>
                <w:sz w:val="20"/>
              </w:rPr>
              <w:t>$</w:t>
            </w:r>
            <w:r w:rsidR="006D3878">
              <w:rPr>
                <w:rFonts w:ascii="Arial Narrow" w:hAnsi="Arial Narrow"/>
                <w:noProof/>
                <w:color w:val="000000"/>
                <w:sz w:val="20"/>
                <w:highlight w:val="black"/>
              </w:rPr>
              <w:t>'''''''''''''''''''</w:t>
            </w:r>
          </w:p>
        </w:tc>
        <w:tc>
          <w:tcPr>
            <w:tcW w:w="679" w:type="pct"/>
            <w:tcBorders>
              <w:top w:val="single" w:sz="4" w:space="0" w:color="auto"/>
              <w:left w:val="single" w:sz="4" w:space="0" w:color="auto"/>
              <w:bottom w:val="single" w:sz="4" w:space="0" w:color="auto"/>
              <w:right w:val="single" w:sz="4" w:space="0" w:color="auto"/>
            </w:tcBorders>
            <w:vAlign w:val="center"/>
          </w:tcPr>
          <w:p w:rsidR="002D271D" w:rsidRPr="00174DB9" w:rsidRDefault="002D271D" w:rsidP="002D271D">
            <w:pPr>
              <w:widowControl/>
              <w:jc w:val="center"/>
              <w:rPr>
                <w:rFonts w:ascii="Arial Narrow" w:hAnsi="Arial Narrow"/>
                <w:sz w:val="20"/>
              </w:rPr>
            </w:pPr>
          </w:p>
          <w:p w:rsidR="002D271D" w:rsidRPr="00174DB9" w:rsidRDefault="002D271D" w:rsidP="002D271D">
            <w:pPr>
              <w:widowControl/>
              <w:jc w:val="center"/>
              <w:rPr>
                <w:rFonts w:ascii="Arial Narrow" w:hAnsi="Arial Narrow"/>
                <w:sz w:val="20"/>
              </w:rPr>
            </w:pPr>
            <w:r w:rsidRPr="00174DB9">
              <w:rPr>
                <w:rFonts w:ascii="Arial Narrow" w:hAnsi="Arial Narrow"/>
                <w:sz w:val="20"/>
              </w:rPr>
              <w:t>1.57</w:t>
            </w:r>
          </w:p>
          <w:p w:rsidR="002D271D" w:rsidRPr="00174DB9" w:rsidRDefault="002D271D" w:rsidP="002D271D">
            <w:pPr>
              <w:widowControl/>
              <w:jc w:val="center"/>
              <w:rPr>
                <w:rFonts w:ascii="Arial Narrow" w:hAnsi="Arial Narrow"/>
                <w:sz w:val="20"/>
              </w:rPr>
            </w:pPr>
            <w:r w:rsidRPr="00174DB9">
              <w:rPr>
                <w:rFonts w:ascii="Arial Narrow" w:hAnsi="Arial Narrow"/>
                <w:sz w:val="20"/>
              </w:rPr>
              <w:t>2.34</w:t>
            </w:r>
          </w:p>
          <w:p w:rsidR="002D271D" w:rsidRPr="00174DB9" w:rsidRDefault="002D271D" w:rsidP="002D271D">
            <w:pPr>
              <w:widowControl/>
              <w:jc w:val="center"/>
              <w:rPr>
                <w:rFonts w:ascii="Arial Narrow" w:hAnsi="Arial Narrow"/>
                <w:sz w:val="20"/>
              </w:rPr>
            </w:pPr>
            <w:r w:rsidRPr="00174DB9">
              <w:rPr>
                <w:rFonts w:ascii="Arial Narrow" w:hAnsi="Arial Narrow"/>
                <w:sz w:val="20"/>
              </w:rPr>
              <w:t>0.90</w:t>
            </w:r>
          </w:p>
          <w:p w:rsidR="002D271D" w:rsidRPr="00174DB9" w:rsidRDefault="002D271D" w:rsidP="002D271D">
            <w:pPr>
              <w:widowControl/>
              <w:jc w:val="center"/>
              <w:rPr>
                <w:rFonts w:ascii="Arial Narrow" w:hAnsi="Arial Narrow"/>
                <w:sz w:val="20"/>
              </w:rPr>
            </w:pPr>
          </w:p>
          <w:p w:rsidR="002D271D" w:rsidRPr="00174DB9" w:rsidRDefault="002D271D" w:rsidP="002D271D">
            <w:pPr>
              <w:widowControl/>
              <w:jc w:val="center"/>
              <w:rPr>
                <w:rFonts w:ascii="Arial Narrow" w:hAnsi="Arial Narrow"/>
                <w:sz w:val="20"/>
              </w:rPr>
            </w:pPr>
            <w:r w:rsidRPr="00174DB9">
              <w:rPr>
                <w:rFonts w:ascii="Arial Narrow" w:hAnsi="Arial Narrow"/>
                <w:sz w:val="20"/>
              </w:rPr>
              <w:t>1.22</w:t>
            </w:r>
          </w:p>
          <w:p w:rsidR="002D271D" w:rsidRPr="00174DB9" w:rsidRDefault="002D271D" w:rsidP="002D271D">
            <w:pPr>
              <w:widowControl/>
              <w:jc w:val="center"/>
              <w:rPr>
                <w:rFonts w:ascii="Arial Narrow" w:hAnsi="Arial Narrow"/>
                <w:sz w:val="20"/>
              </w:rPr>
            </w:pPr>
            <w:r w:rsidRPr="00174DB9">
              <w:rPr>
                <w:rFonts w:ascii="Arial Narrow" w:hAnsi="Arial Narrow"/>
                <w:sz w:val="20"/>
              </w:rPr>
              <w:t>1.87</w:t>
            </w:r>
          </w:p>
          <w:p w:rsidR="002D271D" w:rsidRPr="00174DB9" w:rsidRDefault="002D271D" w:rsidP="002D271D">
            <w:pPr>
              <w:widowControl/>
              <w:jc w:val="center"/>
              <w:rPr>
                <w:rFonts w:ascii="Arial Narrow" w:hAnsi="Arial Narrow"/>
                <w:sz w:val="20"/>
              </w:rPr>
            </w:pPr>
            <w:r w:rsidRPr="00174DB9">
              <w:rPr>
                <w:rFonts w:ascii="Arial Narrow" w:hAnsi="Arial Narrow"/>
                <w:sz w:val="20"/>
              </w:rPr>
              <w:t>0.56</w:t>
            </w:r>
          </w:p>
        </w:tc>
        <w:tc>
          <w:tcPr>
            <w:tcW w:w="925" w:type="pct"/>
            <w:tcBorders>
              <w:top w:val="single" w:sz="4" w:space="0" w:color="auto"/>
              <w:left w:val="single" w:sz="4" w:space="0" w:color="auto"/>
              <w:bottom w:val="single" w:sz="4" w:space="0" w:color="auto"/>
              <w:right w:val="single" w:sz="4" w:space="0" w:color="auto"/>
            </w:tcBorders>
            <w:vAlign w:val="center"/>
          </w:tcPr>
          <w:p w:rsidR="002D271D" w:rsidRPr="00174DB9" w:rsidRDefault="002D271D" w:rsidP="002D271D">
            <w:pPr>
              <w:widowControl/>
              <w:jc w:val="right"/>
              <w:rPr>
                <w:rFonts w:ascii="Arial Narrow" w:hAnsi="Arial Narrow"/>
                <w:sz w:val="20"/>
              </w:rPr>
            </w:pPr>
          </w:p>
          <w:p w:rsidR="002D271D" w:rsidRPr="00174DB9" w:rsidRDefault="002D271D" w:rsidP="002D271D">
            <w:pPr>
              <w:widowControl/>
              <w:jc w:val="right"/>
              <w:rPr>
                <w:rFonts w:ascii="Arial Narrow" w:hAnsi="Arial Narrow"/>
                <w:sz w:val="20"/>
              </w:rPr>
            </w:pPr>
            <w:r w:rsidRPr="00174DB9">
              <w:rPr>
                <w:rFonts w:ascii="Arial Narrow" w:hAnsi="Arial Narrow"/>
                <w:sz w:val="20"/>
              </w:rPr>
              <w:t>$</w:t>
            </w:r>
            <w:r w:rsidR="006D3878">
              <w:rPr>
                <w:rFonts w:ascii="Arial Narrow" w:hAnsi="Arial Narrow"/>
                <w:noProof/>
                <w:color w:val="000000"/>
                <w:sz w:val="20"/>
                <w:highlight w:val="black"/>
              </w:rPr>
              <w:t>'''''''''''''''</w:t>
            </w:r>
          </w:p>
          <w:p w:rsidR="002D271D" w:rsidRPr="00174DB9" w:rsidRDefault="002D271D" w:rsidP="002D271D">
            <w:pPr>
              <w:widowControl/>
              <w:jc w:val="right"/>
              <w:rPr>
                <w:rFonts w:ascii="Arial Narrow" w:hAnsi="Arial Narrow"/>
                <w:sz w:val="20"/>
              </w:rPr>
            </w:pPr>
            <w:r w:rsidRPr="00174DB9">
              <w:rPr>
                <w:rFonts w:ascii="Arial Narrow" w:hAnsi="Arial Narrow"/>
                <w:sz w:val="20"/>
              </w:rPr>
              <w:t>$</w:t>
            </w:r>
            <w:r w:rsidR="006D3878">
              <w:rPr>
                <w:rFonts w:ascii="Arial Narrow" w:hAnsi="Arial Narrow"/>
                <w:noProof/>
                <w:color w:val="000000"/>
                <w:sz w:val="20"/>
                <w:highlight w:val="black"/>
              </w:rPr>
              <w:t>'''''''''''''''''</w:t>
            </w:r>
          </w:p>
          <w:p w:rsidR="002D271D" w:rsidRPr="00174DB9" w:rsidRDefault="002D271D" w:rsidP="002D271D">
            <w:pPr>
              <w:widowControl/>
              <w:jc w:val="right"/>
              <w:rPr>
                <w:rFonts w:ascii="Arial Narrow" w:hAnsi="Arial Narrow"/>
                <w:sz w:val="20"/>
              </w:rPr>
            </w:pPr>
            <w:r w:rsidRPr="00174DB9">
              <w:rPr>
                <w:rFonts w:ascii="Arial Narrow" w:hAnsi="Arial Narrow"/>
                <w:sz w:val="20"/>
              </w:rPr>
              <w:t>$</w:t>
            </w:r>
            <w:r w:rsidR="006D3878">
              <w:rPr>
                <w:rFonts w:ascii="Arial Narrow" w:hAnsi="Arial Narrow"/>
                <w:noProof/>
                <w:color w:val="000000"/>
                <w:sz w:val="20"/>
                <w:highlight w:val="black"/>
              </w:rPr>
              <w:t>'''''''''''''''''''</w:t>
            </w:r>
          </w:p>
          <w:p w:rsidR="002D271D" w:rsidRPr="00174DB9" w:rsidRDefault="002D271D" w:rsidP="002D271D">
            <w:pPr>
              <w:widowControl/>
              <w:jc w:val="right"/>
              <w:rPr>
                <w:rFonts w:ascii="Arial Narrow" w:hAnsi="Arial Narrow"/>
                <w:sz w:val="20"/>
              </w:rPr>
            </w:pPr>
          </w:p>
          <w:p w:rsidR="002D271D" w:rsidRPr="00174DB9" w:rsidRDefault="002D271D" w:rsidP="002D271D">
            <w:pPr>
              <w:widowControl/>
              <w:jc w:val="right"/>
              <w:rPr>
                <w:rFonts w:ascii="Arial Narrow" w:hAnsi="Arial Narrow"/>
                <w:sz w:val="20"/>
              </w:rPr>
            </w:pPr>
            <w:r w:rsidRPr="00174DB9">
              <w:rPr>
                <w:rFonts w:ascii="Arial Narrow" w:hAnsi="Arial Narrow"/>
                <w:sz w:val="20"/>
              </w:rPr>
              <w:t>$</w:t>
            </w:r>
            <w:r w:rsidR="006D3878">
              <w:rPr>
                <w:rFonts w:ascii="Arial Narrow" w:hAnsi="Arial Narrow"/>
                <w:noProof/>
                <w:color w:val="000000"/>
                <w:sz w:val="20"/>
                <w:highlight w:val="black"/>
              </w:rPr>
              <w:t>''''''''''''''''''''</w:t>
            </w:r>
          </w:p>
          <w:p w:rsidR="002D271D" w:rsidRPr="00174DB9" w:rsidRDefault="002D271D" w:rsidP="002D271D">
            <w:pPr>
              <w:widowControl/>
              <w:jc w:val="right"/>
              <w:rPr>
                <w:rFonts w:ascii="Arial Narrow" w:hAnsi="Arial Narrow"/>
                <w:sz w:val="20"/>
              </w:rPr>
            </w:pPr>
            <w:r w:rsidRPr="00174DB9">
              <w:rPr>
                <w:rFonts w:ascii="Arial Narrow" w:hAnsi="Arial Narrow"/>
                <w:sz w:val="20"/>
              </w:rPr>
              <w:t>$</w:t>
            </w:r>
            <w:r w:rsidR="006D3878">
              <w:rPr>
                <w:rFonts w:ascii="Arial Narrow" w:hAnsi="Arial Narrow"/>
                <w:noProof/>
                <w:color w:val="000000"/>
                <w:sz w:val="20"/>
                <w:highlight w:val="black"/>
              </w:rPr>
              <w:t>'''''''''''''''</w:t>
            </w:r>
          </w:p>
          <w:p w:rsidR="002D271D" w:rsidRPr="00174DB9" w:rsidRDefault="002D271D" w:rsidP="002D271D">
            <w:pPr>
              <w:widowControl/>
              <w:jc w:val="right"/>
              <w:rPr>
                <w:rFonts w:ascii="Arial Narrow" w:hAnsi="Arial Narrow"/>
                <w:sz w:val="20"/>
              </w:rPr>
            </w:pPr>
            <w:r w:rsidRPr="00174DB9">
              <w:rPr>
                <w:rFonts w:ascii="Arial Narrow" w:hAnsi="Arial Narrow"/>
                <w:sz w:val="20"/>
              </w:rPr>
              <w:t>$</w:t>
            </w:r>
            <w:r w:rsidR="006D3878">
              <w:rPr>
                <w:rFonts w:ascii="Arial Narrow" w:hAnsi="Arial Narrow"/>
                <w:noProof/>
                <w:color w:val="000000"/>
                <w:sz w:val="20"/>
                <w:highlight w:val="black"/>
              </w:rPr>
              <w:t>'''''''''''''''''''</w:t>
            </w:r>
          </w:p>
        </w:tc>
      </w:tr>
    </w:tbl>
    <w:p w:rsidR="002D271D" w:rsidRPr="0095594E" w:rsidRDefault="002D271D" w:rsidP="002D271D">
      <w:pPr>
        <w:pStyle w:val="TableFooter"/>
        <w:widowControl/>
        <w:ind w:left="709"/>
      </w:pPr>
      <w:r w:rsidRPr="0095594E">
        <w:t>Source: Section D Excel workbook; and calculated during evaluation</w:t>
      </w:r>
    </w:p>
    <w:p w:rsidR="002D271D" w:rsidRPr="00D13A3E" w:rsidRDefault="002D271D" w:rsidP="002D271D">
      <w:pPr>
        <w:pStyle w:val="TableFooter"/>
        <w:widowControl/>
        <w:ind w:left="709"/>
      </w:pPr>
      <w:r>
        <w:t>HR = hazard ratio; OS = overall survival; PFS = progression free survival; CI = confidence interval</w:t>
      </w:r>
      <w:r w:rsidR="007808DA">
        <w:t>; QALY = quality-adjusted life year; ICER = incremental cost-effectiveness ratio;</w:t>
      </w:r>
      <w:r w:rsidR="007808DA" w:rsidRPr="007808DA">
        <w:t xml:space="preserve"> </w:t>
      </w:r>
      <w:r w:rsidR="007808DA">
        <w:t>ITT = intention-to-treat;</w:t>
      </w:r>
      <w:r w:rsidR="007808DA" w:rsidRPr="007808DA">
        <w:t xml:space="preserve"> </w:t>
      </w:r>
      <w:r w:rsidR="007808DA">
        <w:t>RPSFT = </w:t>
      </w:r>
      <w:r w:rsidR="007808DA" w:rsidRPr="00570A2C">
        <w:t>rank preserving structural failure time</w:t>
      </w:r>
    </w:p>
    <w:p w:rsidR="002D271D" w:rsidRDefault="002D271D" w:rsidP="002D271D">
      <w:pPr>
        <w:widowControl/>
        <w:rPr>
          <w:szCs w:val="22"/>
        </w:rPr>
      </w:pPr>
    </w:p>
    <w:p w:rsidR="00192797" w:rsidRDefault="0095594E" w:rsidP="00192797">
      <w:pPr>
        <w:pStyle w:val="ListParagraph"/>
        <w:keepNext/>
        <w:widowControl/>
        <w:numPr>
          <w:ilvl w:val="1"/>
          <w:numId w:val="5"/>
        </w:numPr>
        <w:rPr>
          <w:szCs w:val="22"/>
        </w:rPr>
      </w:pPr>
      <w:r>
        <w:rPr>
          <w:szCs w:val="22"/>
        </w:rPr>
        <w:t>During its reconsideration, t</w:t>
      </w:r>
      <w:r w:rsidR="00192797">
        <w:rPr>
          <w:szCs w:val="22"/>
        </w:rPr>
        <w:t>he PBAC respecified the base-case economic evaluation with the following assumptions:</w:t>
      </w:r>
    </w:p>
    <w:p w:rsidR="00192797" w:rsidRDefault="00192797" w:rsidP="00192797">
      <w:pPr>
        <w:pStyle w:val="ListParagraph"/>
        <w:numPr>
          <w:ilvl w:val="0"/>
          <w:numId w:val="69"/>
        </w:numPr>
        <w:ind w:left="1134" w:hanging="425"/>
        <w:rPr>
          <w:noProof/>
          <w:lang w:eastAsia="en-AU"/>
        </w:rPr>
      </w:pPr>
      <w:r>
        <w:rPr>
          <w:noProof/>
          <w:lang w:eastAsia="en-AU"/>
        </w:rPr>
        <w:t>ITT analysis using parametric extrapolation</w:t>
      </w:r>
    </w:p>
    <w:p w:rsidR="00192797" w:rsidRDefault="00192797" w:rsidP="00192797">
      <w:pPr>
        <w:pStyle w:val="ListParagraph"/>
        <w:numPr>
          <w:ilvl w:val="0"/>
          <w:numId w:val="69"/>
        </w:numPr>
        <w:ind w:left="1134" w:hanging="425"/>
        <w:rPr>
          <w:noProof/>
          <w:lang w:eastAsia="en-AU"/>
        </w:rPr>
      </w:pPr>
      <w:r>
        <w:rPr>
          <w:noProof/>
          <w:lang w:eastAsia="en-AU"/>
        </w:rPr>
        <w:t>Accepting an 8 year time horizon</w:t>
      </w:r>
    </w:p>
    <w:p w:rsidR="00192797" w:rsidRDefault="00192797" w:rsidP="00192797">
      <w:pPr>
        <w:pStyle w:val="ListParagraph"/>
        <w:numPr>
          <w:ilvl w:val="0"/>
          <w:numId w:val="69"/>
        </w:numPr>
        <w:ind w:left="1134" w:hanging="425"/>
        <w:rPr>
          <w:noProof/>
          <w:lang w:eastAsia="en-AU"/>
        </w:rPr>
      </w:pPr>
      <w:r>
        <w:rPr>
          <w:noProof/>
          <w:lang w:eastAsia="en-AU"/>
        </w:rPr>
        <w:t>Removing costs of rituximab in the BSC arm</w:t>
      </w:r>
    </w:p>
    <w:p w:rsidR="00192797" w:rsidRDefault="00192797" w:rsidP="00192797">
      <w:pPr>
        <w:pStyle w:val="ListParagraph"/>
        <w:numPr>
          <w:ilvl w:val="0"/>
          <w:numId w:val="69"/>
        </w:numPr>
        <w:ind w:left="1134" w:hanging="425"/>
        <w:rPr>
          <w:noProof/>
          <w:lang w:eastAsia="en-AU"/>
        </w:rPr>
      </w:pPr>
      <w:r>
        <w:rPr>
          <w:noProof/>
          <w:lang w:eastAsia="en-AU"/>
        </w:rPr>
        <w:lastRenderedPageBreak/>
        <w:t>Removing costs and disutilities for rituximab treatment in the BSC arm</w:t>
      </w:r>
    </w:p>
    <w:p w:rsidR="00192797" w:rsidRDefault="00192797" w:rsidP="00192797">
      <w:pPr>
        <w:pStyle w:val="ListParagraph"/>
        <w:numPr>
          <w:ilvl w:val="0"/>
          <w:numId w:val="69"/>
        </w:numPr>
        <w:ind w:left="1134" w:hanging="425"/>
        <w:rPr>
          <w:noProof/>
          <w:lang w:eastAsia="en-AU"/>
        </w:rPr>
      </w:pPr>
      <w:r>
        <w:rPr>
          <w:noProof/>
          <w:lang w:eastAsia="en-AU"/>
        </w:rPr>
        <w:t xml:space="preserve">Adjusting the cost of anaemia and thrombocytopenia (as </w:t>
      </w:r>
      <w:r w:rsidR="003A7D72">
        <w:rPr>
          <w:noProof/>
          <w:lang w:eastAsia="en-AU"/>
        </w:rPr>
        <w:t xml:space="preserve">per </w:t>
      </w:r>
      <w:r w:rsidR="00111F3E">
        <w:rPr>
          <w:noProof/>
          <w:lang w:eastAsia="en-AU"/>
        </w:rPr>
        <w:t xml:space="preserve">the </w:t>
      </w:r>
      <w:r w:rsidR="003A7D72">
        <w:rPr>
          <w:noProof/>
          <w:lang w:eastAsia="en-AU"/>
        </w:rPr>
        <w:t>PSCR)</w:t>
      </w:r>
    </w:p>
    <w:p w:rsidR="00192797" w:rsidRDefault="00192797" w:rsidP="00192797">
      <w:pPr>
        <w:pStyle w:val="ListParagraph"/>
        <w:numPr>
          <w:ilvl w:val="0"/>
          <w:numId w:val="69"/>
        </w:numPr>
        <w:ind w:left="1134" w:hanging="425"/>
        <w:rPr>
          <w:noProof/>
          <w:lang w:eastAsia="en-AU"/>
        </w:rPr>
      </w:pPr>
      <w:r>
        <w:rPr>
          <w:noProof/>
          <w:lang w:eastAsia="en-AU"/>
        </w:rPr>
        <w:t>Corrected rate of pneumonia in idelalisib plus rituximab arm of 10% (as</w:t>
      </w:r>
      <w:r w:rsidR="00111F3E">
        <w:rPr>
          <w:noProof/>
          <w:lang w:eastAsia="en-AU"/>
        </w:rPr>
        <w:t xml:space="preserve"> </w:t>
      </w:r>
      <w:r w:rsidR="003A7D72">
        <w:rPr>
          <w:noProof/>
          <w:lang w:eastAsia="en-AU"/>
        </w:rPr>
        <w:t>per</w:t>
      </w:r>
      <w:r w:rsidR="002C2D07">
        <w:rPr>
          <w:noProof/>
          <w:lang w:eastAsia="en-AU"/>
        </w:rPr>
        <w:t xml:space="preserve"> the</w:t>
      </w:r>
      <w:r w:rsidR="003A7D72">
        <w:rPr>
          <w:noProof/>
          <w:lang w:eastAsia="en-AU"/>
        </w:rPr>
        <w:t xml:space="preserve"> PSCR)</w:t>
      </w:r>
    </w:p>
    <w:p w:rsidR="00192797" w:rsidRDefault="00192797" w:rsidP="00192797">
      <w:pPr>
        <w:pStyle w:val="ListParagraph"/>
        <w:numPr>
          <w:ilvl w:val="0"/>
          <w:numId w:val="69"/>
        </w:numPr>
        <w:ind w:left="1134" w:hanging="425"/>
        <w:rPr>
          <w:noProof/>
          <w:lang w:eastAsia="en-AU"/>
        </w:rPr>
      </w:pPr>
      <w:r>
        <w:rPr>
          <w:noProof/>
          <w:lang w:eastAsia="en-AU"/>
        </w:rPr>
        <w:t>Costs of stable and progressive dis</w:t>
      </w:r>
      <w:r w:rsidR="003A7D72">
        <w:rPr>
          <w:noProof/>
          <w:lang w:eastAsia="en-AU"/>
        </w:rPr>
        <w:t>ease as per original submission.</w:t>
      </w:r>
    </w:p>
    <w:p w:rsidR="00192797" w:rsidRDefault="00192797" w:rsidP="002D271D">
      <w:pPr>
        <w:widowControl/>
        <w:rPr>
          <w:szCs w:val="22"/>
        </w:rPr>
      </w:pPr>
    </w:p>
    <w:p w:rsidR="00192797" w:rsidRDefault="00192797" w:rsidP="003A7D72">
      <w:pPr>
        <w:pStyle w:val="ListParagraph"/>
        <w:widowControl/>
        <w:numPr>
          <w:ilvl w:val="1"/>
          <w:numId w:val="5"/>
        </w:numPr>
        <w:rPr>
          <w:szCs w:val="22"/>
        </w:rPr>
      </w:pPr>
      <w:r>
        <w:rPr>
          <w:szCs w:val="22"/>
        </w:rPr>
        <w:t>The results of the PBAC respecified base-cas</w:t>
      </w:r>
      <w:r w:rsidR="003A7D72">
        <w:rPr>
          <w:szCs w:val="22"/>
        </w:rPr>
        <w:t>e are shown in the table below.</w:t>
      </w:r>
    </w:p>
    <w:p w:rsidR="00192797" w:rsidRPr="00591ABB" w:rsidRDefault="00192797" w:rsidP="002D271D">
      <w:pPr>
        <w:widowControl/>
        <w:rPr>
          <w:rFonts w:ascii="Arial Narrow" w:hAnsi="Arial Narrow"/>
          <w:sz w:val="24"/>
          <w:szCs w:val="22"/>
        </w:rPr>
      </w:pPr>
    </w:p>
    <w:p w:rsidR="00591ABB" w:rsidRPr="00591ABB" w:rsidRDefault="00591ABB" w:rsidP="00591ABB">
      <w:pPr>
        <w:pStyle w:val="Caption"/>
        <w:keepNext/>
        <w:ind w:firstLine="720"/>
        <w:rPr>
          <w:rFonts w:ascii="Arial Narrow" w:hAnsi="Arial Narrow"/>
          <w:color w:val="auto"/>
          <w:sz w:val="20"/>
        </w:rPr>
      </w:pPr>
      <w:r w:rsidRPr="00591ABB">
        <w:rPr>
          <w:rFonts w:ascii="Arial Narrow" w:hAnsi="Arial Narrow"/>
          <w:color w:val="auto"/>
          <w:sz w:val="20"/>
        </w:rPr>
        <w:t xml:space="preserve">Table </w:t>
      </w:r>
      <w:r w:rsidRPr="00591ABB">
        <w:rPr>
          <w:rFonts w:ascii="Arial Narrow" w:hAnsi="Arial Narrow"/>
          <w:color w:val="auto"/>
          <w:sz w:val="20"/>
        </w:rPr>
        <w:fldChar w:fldCharType="begin"/>
      </w:r>
      <w:r w:rsidRPr="00591ABB">
        <w:rPr>
          <w:rFonts w:ascii="Arial Narrow" w:hAnsi="Arial Narrow"/>
          <w:color w:val="auto"/>
          <w:sz w:val="20"/>
        </w:rPr>
        <w:instrText xml:space="preserve"> SEQ Table \* ARABIC </w:instrText>
      </w:r>
      <w:r w:rsidRPr="00591ABB">
        <w:rPr>
          <w:rFonts w:ascii="Arial Narrow" w:hAnsi="Arial Narrow"/>
          <w:color w:val="auto"/>
          <w:sz w:val="20"/>
        </w:rPr>
        <w:fldChar w:fldCharType="separate"/>
      </w:r>
      <w:r w:rsidR="00AD392C">
        <w:rPr>
          <w:rFonts w:ascii="Arial Narrow" w:hAnsi="Arial Narrow"/>
          <w:noProof/>
          <w:color w:val="auto"/>
          <w:sz w:val="20"/>
        </w:rPr>
        <w:t>11</w:t>
      </w:r>
      <w:r w:rsidRPr="00591ABB">
        <w:rPr>
          <w:rFonts w:ascii="Arial Narrow" w:hAnsi="Arial Narrow"/>
          <w:color w:val="auto"/>
          <w:sz w:val="20"/>
        </w:rPr>
        <w:fldChar w:fldCharType="end"/>
      </w:r>
      <w:r w:rsidRPr="00591ABB">
        <w:rPr>
          <w:rFonts w:ascii="Arial Narrow" w:hAnsi="Arial Narrow"/>
          <w:color w:val="auto"/>
          <w:sz w:val="20"/>
        </w:rPr>
        <w:t>: Results of the PBAC respecified base case (discounted at 5%)</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Results of PBAC respecified base case"/>
        <w:tblDescription w:val="Incremental cost per extra QALY gained discounted at 5%"/>
      </w:tblPr>
      <w:tblGrid>
        <w:gridCol w:w="1985"/>
        <w:gridCol w:w="2410"/>
        <w:gridCol w:w="2268"/>
        <w:gridCol w:w="1682"/>
      </w:tblGrid>
      <w:tr w:rsidR="00192797" w:rsidRPr="00192797" w:rsidTr="00A34711">
        <w:trPr>
          <w:tblHeader/>
        </w:trPr>
        <w:tc>
          <w:tcPr>
            <w:tcW w:w="1189" w:type="pct"/>
            <w:vAlign w:val="center"/>
          </w:tcPr>
          <w:p w:rsidR="00192797" w:rsidRPr="00192797" w:rsidRDefault="00192797" w:rsidP="00192797">
            <w:pPr>
              <w:keepNext/>
              <w:widowControl/>
              <w:jc w:val="left"/>
              <w:rPr>
                <w:rFonts w:ascii="Arial Narrow" w:hAnsi="Arial Narrow"/>
                <w:b/>
                <w:sz w:val="20"/>
              </w:rPr>
            </w:pPr>
          </w:p>
        </w:tc>
        <w:tc>
          <w:tcPr>
            <w:tcW w:w="1444" w:type="pct"/>
            <w:vAlign w:val="center"/>
          </w:tcPr>
          <w:p w:rsidR="00192797" w:rsidRPr="00192797" w:rsidRDefault="00192797" w:rsidP="00192797">
            <w:pPr>
              <w:keepNext/>
              <w:widowControl/>
              <w:jc w:val="right"/>
              <w:rPr>
                <w:rFonts w:ascii="Arial Narrow" w:hAnsi="Arial Narrow"/>
                <w:b/>
                <w:sz w:val="20"/>
              </w:rPr>
            </w:pPr>
            <w:r w:rsidRPr="00192797">
              <w:rPr>
                <w:rFonts w:ascii="Arial Narrow" w:hAnsi="Arial Narrow"/>
                <w:b/>
                <w:sz w:val="20"/>
              </w:rPr>
              <w:t>Idelalisib + rituximab</w:t>
            </w:r>
          </w:p>
        </w:tc>
        <w:tc>
          <w:tcPr>
            <w:tcW w:w="1359" w:type="pct"/>
          </w:tcPr>
          <w:p w:rsidR="00192797" w:rsidRPr="00192797" w:rsidRDefault="00192797" w:rsidP="00192797">
            <w:pPr>
              <w:keepNext/>
              <w:widowControl/>
              <w:jc w:val="right"/>
              <w:rPr>
                <w:rFonts w:ascii="Arial Narrow" w:hAnsi="Arial Narrow"/>
                <w:b/>
                <w:sz w:val="20"/>
              </w:rPr>
            </w:pPr>
            <w:r w:rsidRPr="00192797">
              <w:rPr>
                <w:rFonts w:ascii="Arial Narrow" w:hAnsi="Arial Narrow"/>
                <w:b/>
                <w:sz w:val="20"/>
              </w:rPr>
              <w:t>Best supportive care</w:t>
            </w:r>
          </w:p>
        </w:tc>
        <w:tc>
          <w:tcPr>
            <w:tcW w:w="1008" w:type="pct"/>
            <w:vAlign w:val="center"/>
          </w:tcPr>
          <w:p w:rsidR="00192797" w:rsidRPr="00192797" w:rsidRDefault="00192797" w:rsidP="00192797">
            <w:pPr>
              <w:keepNext/>
              <w:widowControl/>
              <w:jc w:val="right"/>
              <w:rPr>
                <w:rFonts w:ascii="Arial Narrow" w:hAnsi="Arial Narrow"/>
                <w:b/>
                <w:sz w:val="20"/>
              </w:rPr>
            </w:pPr>
            <w:r w:rsidRPr="00192797">
              <w:rPr>
                <w:rFonts w:ascii="Arial Narrow" w:hAnsi="Arial Narrow"/>
                <w:b/>
                <w:sz w:val="20"/>
              </w:rPr>
              <w:t>Increment</w:t>
            </w:r>
          </w:p>
        </w:tc>
      </w:tr>
      <w:tr w:rsidR="00192797" w:rsidRPr="00192797" w:rsidTr="00A34711">
        <w:tc>
          <w:tcPr>
            <w:tcW w:w="1189" w:type="pct"/>
            <w:vAlign w:val="center"/>
          </w:tcPr>
          <w:p w:rsidR="00192797" w:rsidRPr="00192797" w:rsidRDefault="00192797" w:rsidP="00192797">
            <w:pPr>
              <w:keepNext/>
              <w:widowControl/>
              <w:jc w:val="left"/>
              <w:rPr>
                <w:rFonts w:ascii="Arial Narrow" w:hAnsi="Arial Narrow"/>
                <w:sz w:val="20"/>
              </w:rPr>
            </w:pPr>
            <w:r w:rsidRPr="00192797">
              <w:rPr>
                <w:rFonts w:ascii="Arial Narrow" w:hAnsi="Arial Narrow"/>
                <w:sz w:val="20"/>
              </w:rPr>
              <w:t>Costs</w:t>
            </w:r>
          </w:p>
        </w:tc>
        <w:tc>
          <w:tcPr>
            <w:tcW w:w="1444" w:type="pct"/>
            <w:vAlign w:val="center"/>
          </w:tcPr>
          <w:p w:rsidR="00192797" w:rsidRPr="00192797" w:rsidRDefault="00192797" w:rsidP="00192797">
            <w:pPr>
              <w:keepNext/>
              <w:widowControl/>
              <w:jc w:val="right"/>
              <w:rPr>
                <w:rFonts w:ascii="Arial Narrow" w:hAnsi="Arial Narrow" w:cs="Times New Roman"/>
                <w:sz w:val="20"/>
              </w:rPr>
            </w:pPr>
            <w:r w:rsidRPr="00192797">
              <w:rPr>
                <w:rFonts w:ascii="Arial Narrow" w:hAnsi="Arial Narrow" w:cs="Times New Roman"/>
                <w:sz w:val="20"/>
              </w:rPr>
              <w:t>$</w:t>
            </w:r>
            <w:r w:rsidR="006D3878">
              <w:rPr>
                <w:rFonts w:ascii="Arial Narrow" w:hAnsi="Arial Narrow" w:cs="Times New Roman"/>
                <w:noProof/>
                <w:color w:val="000000"/>
                <w:sz w:val="20"/>
                <w:highlight w:val="black"/>
              </w:rPr>
              <w:t>''''''''''''''''''</w:t>
            </w:r>
          </w:p>
        </w:tc>
        <w:tc>
          <w:tcPr>
            <w:tcW w:w="1359" w:type="pct"/>
            <w:vAlign w:val="center"/>
          </w:tcPr>
          <w:p w:rsidR="00192797" w:rsidRPr="00192797" w:rsidRDefault="00192797" w:rsidP="00192797">
            <w:pPr>
              <w:keepNext/>
              <w:widowControl/>
              <w:jc w:val="right"/>
              <w:rPr>
                <w:rFonts w:ascii="Arial Narrow" w:hAnsi="Arial Narrow" w:cs="Times New Roman"/>
                <w:sz w:val="20"/>
              </w:rPr>
            </w:pPr>
            <w:r w:rsidRPr="00192797">
              <w:rPr>
                <w:rFonts w:ascii="Arial Narrow" w:hAnsi="Arial Narrow" w:cs="Times New Roman"/>
                <w:sz w:val="20"/>
              </w:rPr>
              <w:t>$5,581</w:t>
            </w:r>
          </w:p>
        </w:tc>
        <w:tc>
          <w:tcPr>
            <w:tcW w:w="1008" w:type="pct"/>
            <w:vAlign w:val="center"/>
          </w:tcPr>
          <w:p w:rsidR="00192797" w:rsidRPr="00192797" w:rsidRDefault="00192797" w:rsidP="00192797">
            <w:pPr>
              <w:keepNext/>
              <w:widowControl/>
              <w:jc w:val="right"/>
              <w:rPr>
                <w:rFonts w:ascii="Arial Narrow" w:hAnsi="Arial Narrow" w:cs="Times New Roman"/>
                <w:sz w:val="20"/>
              </w:rPr>
            </w:pPr>
            <w:r w:rsidRPr="00192797">
              <w:rPr>
                <w:rFonts w:ascii="Arial Narrow" w:hAnsi="Arial Narrow" w:cs="Times New Roman"/>
                <w:sz w:val="20"/>
              </w:rPr>
              <w:t>$</w:t>
            </w:r>
            <w:r w:rsidR="006D3878">
              <w:rPr>
                <w:rFonts w:ascii="Arial Narrow" w:hAnsi="Arial Narrow" w:cs="Times New Roman"/>
                <w:noProof/>
                <w:color w:val="000000"/>
                <w:sz w:val="20"/>
                <w:highlight w:val="black"/>
              </w:rPr>
              <w:t>''''''''''''''''''</w:t>
            </w:r>
          </w:p>
        </w:tc>
      </w:tr>
      <w:tr w:rsidR="00192797" w:rsidRPr="00192797" w:rsidTr="00A34711">
        <w:tc>
          <w:tcPr>
            <w:tcW w:w="1189" w:type="pct"/>
            <w:vAlign w:val="center"/>
          </w:tcPr>
          <w:p w:rsidR="00192797" w:rsidRPr="00192797" w:rsidRDefault="00192797" w:rsidP="00192797">
            <w:pPr>
              <w:keepNext/>
              <w:widowControl/>
              <w:jc w:val="left"/>
              <w:rPr>
                <w:rFonts w:ascii="Arial Narrow" w:hAnsi="Arial Narrow"/>
                <w:sz w:val="20"/>
              </w:rPr>
            </w:pPr>
            <w:r w:rsidRPr="00192797">
              <w:rPr>
                <w:rFonts w:ascii="Arial Narrow" w:hAnsi="Arial Narrow"/>
                <w:sz w:val="20"/>
              </w:rPr>
              <w:t>QALYs</w:t>
            </w:r>
          </w:p>
        </w:tc>
        <w:tc>
          <w:tcPr>
            <w:tcW w:w="1444" w:type="pct"/>
            <w:vAlign w:val="center"/>
          </w:tcPr>
          <w:p w:rsidR="00192797" w:rsidRPr="00192797" w:rsidRDefault="00192797" w:rsidP="00192797">
            <w:pPr>
              <w:keepNext/>
              <w:widowControl/>
              <w:jc w:val="center"/>
              <w:rPr>
                <w:rFonts w:ascii="Arial Narrow" w:hAnsi="Arial Narrow"/>
                <w:sz w:val="20"/>
              </w:rPr>
            </w:pPr>
            <w:r w:rsidRPr="00192797">
              <w:rPr>
                <w:rFonts w:ascii="Arial Narrow" w:hAnsi="Arial Narrow"/>
                <w:sz w:val="20"/>
              </w:rPr>
              <w:t>2.384</w:t>
            </w:r>
          </w:p>
        </w:tc>
        <w:tc>
          <w:tcPr>
            <w:tcW w:w="1359" w:type="pct"/>
            <w:vAlign w:val="center"/>
          </w:tcPr>
          <w:p w:rsidR="00192797" w:rsidRPr="00192797" w:rsidRDefault="00192797" w:rsidP="00192797">
            <w:pPr>
              <w:keepNext/>
              <w:widowControl/>
              <w:jc w:val="center"/>
              <w:rPr>
                <w:rFonts w:ascii="Arial Narrow" w:hAnsi="Arial Narrow"/>
                <w:sz w:val="20"/>
              </w:rPr>
            </w:pPr>
            <w:r w:rsidRPr="00192797">
              <w:rPr>
                <w:rFonts w:ascii="Arial Narrow" w:hAnsi="Arial Narrow"/>
                <w:sz w:val="20"/>
              </w:rPr>
              <w:t>1.237</w:t>
            </w:r>
          </w:p>
        </w:tc>
        <w:tc>
          <w:tcPr>
            <w:tcW w:w="1008" w:type="pct"/>
            <w:vAlign w:val="center"/>
          </w:tcPr>
          <w:p w:rsidR="00192797" w:rsidRPr="00192797" w:rsidRDefault="00192797" w:rsidP="00192797">
            <w:pPr>
              <w:keepNext/>
              <w:widowControl/>
              <w:jc w:val="center"/>
              <w:rPr>
                <w:rFonts w:ascii="Arial Narrow" w:hAnsi="Arial Narrow"/>
                <w:sz w:val="20"/>
              </w:rPr>
            </w:pPr>
            <w:r w:rsidRPr="00192797">
              <w:rPr>
                <w:rFonts w:ascii="Arial Narrow" w:hAnsi="Arial Narrow"/>
                <w:sz w:val="20"/>
              </w:rPr>
              <w:t>1.147</w:t>
            </w:r>
          </w:p>
        </w:tc>
      </w:tr>
      <w:tr w:rsidR="00192797" w:rsidRPr="00192797" w:rsidTr="00A34711">
        <w:tc>
          <w:tcPr>
            <w:tcW w:w="3992" w:type="pct"/>
            <w:gridSpan w:val="3"/>
            <w:vAlign w:val="center"/>
          </w:tcPr>
          <w:p w:rsidR="00192797" w:rsidRPr="00192797" w:rsidRDefault="00192797" w:rsidP="00192797">
            <w:pPr>
              <w:pStyle w:val="Tabletext"/>
              <w:keepNext/>
              <w:rPr>
                <w:b/>
              </w:rPr>
            </w:pPr>
            <w:r w:rsidRPr="00192797">
              <w:rPr>
                <w:b/>
              </w:rPr>
              <w:t>Incremental cost/extra QALY gained</w:t>
            </w:r>
          </w:p>
        </w:tc>
        <w:tc>
          <w:tcPr>
            <w:tcW w:w="1008" w:type="pct"/>
          </w:tcPr>
          <w:p w:rsidR="00192797" w:rsidRPr="00192797" w:rsidRDefault="00192797" w:rsidP="00192797">
            <w:pPr>
              <w:keepNext/>
              <w:widowControl/>
              <w:jc w:val="right"/>
              <w:rPr>
                <w:rFonts w:ascii="Arial Narrow" w:hAnsi="Arial Narrow"/>
                <w:b/>
                <w:sz w:val="20"/>
              </w:rPr>
            </w:pPr>
            <w:r w:rsidRPr="00192797">
              <w:rPr>
                <w:rFonts w:ascii="Arial Narrow" w:hAnsi="Arial Narrow"/>
                <w:b/>
                <w:sz w:val="20"/>
              </w:rPr>
              <w:t>$</w:t>
            </w:r>
            <w:r w:rsidR="006D3878">
              <w:rPr>
                <w:rFonts w:ascii="Arial Narrow" w:hAnsi="Arial Narrow"/>
                <w:b/>
                <w:noProof/>
                <w:color w:val="000000"/>
                <w:sz w:val="20"/>
                <w:highlight w:val="black"/>
              </w:rPr>
              <w:t>'''''''''''''''</w:t>
            </w:r>
          </w:p>
        </w:tc>
      </w:tr>
    </w:tbl>
    <w:p w:rsidR="00192797" w:rsidRPr="00192797" w:rsidRDefault="00192797" w:rsidP="00192797">
      <w:pPr>
        <w:pStyle w:val="TableFooter"/>
        <w:keepNext/>
        <w:widowControl/>
        <w:ind w:firstLine="720"/>
      </w:pPr>
      <w:r w:rsidRPr="00192797">
        <w:t xml:space="preserve">Source: Section D Excel workbook; </w:t>
      </w:r>
    </w:p>
    <w:p w:rsidR="00192797" w:rsidRPr="00192797" w:rsidRDefault="00192797" w:rsidP="003A7D72">
      <w:pPr>
        <w:pStyle w:val="TableFooter"/>
        <w:widowControl/>
        <w:ind w:firstLine="720"/>
      </w:pPr>
      <w:r w:rsidRPr="00192797">
        <w:t>QALY = quality-adjusted life year</w:t>
      </w:r>
    </w:p>
    <w:p w:rsidR="00192797" w:rsidRDefault="00192797" w:rsidP="003A7D72">
      <w:pPr>
        <w:widowControl/>
        <w:rPr>
          <w:szCs w:val="22"/>
        </w:rPr>
      </w:pPr>
    </w:p>
    <w:p w:rsidR="00D26535" w:rsidRDefault="00D26535" w:rsidP="00D26535">
      <w:pPr>
        <w:widowControl/>
        <w:ind w:left="720"/>
        <w:rPr>
          <w:i/>
          <w:szCs w:val="22"/>
        </w:rPr>
      </w:pPr>
      <w:r>
        <w:rPr>
          <w:i/>
          <w:szCs w:val="22"/>
        </w:rPr>
        <w:t xml:space="preserve">The redacted table above shows an ICER of $105,000/QALY - $200,000/QALY. </w:t>
      </w:r>
    </w:p>
    <w:p w:rsidR="00D26535" w:rsidRPr="00D26535" w:rsidRDefault="00D26535" w:rsidP="00D26535">
      <w:pPr>
        <w:widowControl/>
        <w:ind w:left="720"/>
        <w:rPr>
          <w:i/>
          <w:szCs w:val="22"/>
        </w:rPr>
      </w:pPr>
    </w:p>
    <w:p w:rsidR="00192797" w:rsidRDefault="00192797" w:rsidP="003A7D72">
      <w:pPr>
        <w:pStyle w:val="ListParagraph"/>
        <w:widowControl/>
        <w:numPr>
          <w:ilvl w:val="1"/>
          <w:numId w:val="5"/>
        </w:numPr>
        <w:rPr>
          <w:szCs w:val="22"/>
        </w:rPr>
      </w:pPr>
      <w:r>
        <w:rPr>
          <w:szCs w:val="22"/>
        </w:rPr>
        <w:t>A sensitivity analysis of the PBAC respecified base-ca</w:t>
      </w:r>
      <w:r w:rsidR="003A7D72">
        <w:rPr>
          <w:szCs w:val="22"/>
        </w:rPr>
        <w:t>se is shown in the table below.</w:t>
      </w:r>
    </w:p>
    <w:p w:rsidR="00285362" w:rsidRDefault="00285362" w:rsidP="00285362">
      <w:pPr>
        <w:pStyle w:val="TableHeader"/>
        <w:ind w:firstLine="720"/>
        <w:rPr>
          <w:rFonts w:ascii="Arial Narrow" w:hAnsi="Arial Narrow"/>
          <w:bCs/>
        </w:rPr>
      </w:pPr>
    </w:p>
    <w:p w:rsidR="00591ABB" w:rsidRPr="00591ABB" w:rsidRDefault="00591ABB" w:rsidP="00591ABB">
      <w:pPr>
        <w:pStyle w:val="Caption"/>
        <w:keepNext/>
        <w:ind w:firstLine="720"/>
        <w:rPr>
          <w:rFonts w:ascii="Arial Narrow" w:hAnsi="Arial Narrow"/>
          <w:color w:val="auto"/>
          <w:sz w:val="20"/>
        </w:rPr>
      </w:pPr>
      <w:r w:rsidRPr="00591ABB">
        <w:rPr>
          <w:rFonts w:ascii="Arial Narrow" w:hAnsi="Arial Narrow"/>
          <w:color w:val="auto"/>
          <w:sz w:val="20"/>
        </w:rPr>
        <w:t xml:space="preserve">Table </w:t>
      </w:r>
      <w:r w:rsidRPr="00591ABB">
        <w:rPr>
          <w:rFonts w:ascii="Arial Narrow" w:hAnsi="Arial Narrow"/>
          <w:color w:val="auto"/>
          <w:sz w:val="20"/>
        </w:rPr>
        <w:fldChar w:fldCharType="begin"/>
      </w:r>
      <w:r w:rsidRPr="00591ABB">
        <w:rPr>
          <w:rFonts w:ascii="Arial Narrow" w:hAnsi="Arial Narrow"/>
          <w:color w:val="auto"/>
          <w:sz w:val="20"/>
        </w:rPr>
        <w:instrText xml:space="preserve"> SEQ Table \* ARABIC </w:instrText>
      </w:r>
      <w:r w:rsidRPr="00591ABB">
        <w:rPr>
          <w:rFonts w:ascii="Arial Narrow" w:hAnsi="Arial Narrow"/>
          <w:color w:val="auto"/>
          <w:sz w:val="20"/>
        </w:rPr>
        <w:fldChar w:fldCharType="separate"/>
      </w:r>
      <w:r w:rsidR="00AD392C">
        <w:rPr>
          <w:rFonts w:ascii="Arial Narrow" w:hAnsi="Arial Narrow"/>
          <w:noProof/>
          <w:color w:val="auto"/>
          <w:sz w:val="20"/>
        </w:rPr>
        <w:t>12</w:t>
      </w:r>
      <w:r w:rsidRPr="00591ABB">
        <w:rPr>
          <w:rFonts w:ascii="Arial Narrow" w:hAnsi="Arial Narrow"/>
          <w:color w:val="auto"/>
          <w:sz w:val="20"/>
        </w:rPr>
        <w:fldChar w:fldCharType="end"/>
      </w:r>
      <w:r w:rsidRPr="00591ABB">
        <w:rPr>
          <w:rFonts w:ascii="Arial Narrow" w:hAnsi="Arial Narrow"/>
          <w:color w:val="auto"/>
          <w:sz w:val="20"/>
        </w:rPr>
        <w:t>: Results of sensitivity analyses (discounted at 5%)</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Results of sensitivity analysis of economic evaluation"/>
      </w:tblPr>
      <w:tblGrid>
        <w:gridCol w:w="4678"/>
        <w:gridCol w:w="990"/>
        <w:gridCol w:w="1133"/>
        <w:gridCol w:w="1544"/>
      </w:tblGrid>
      <w:tr w:rsidR="00192797" w:rsidRPr="003F2CFE" w:rsidTr="00A34711">
        <w:trPr>
          <w:cantSplit/>
          <w:tblHeader/>
        </w:trPr>
        <w:tc>
          <w:tcPr>
            <w:tcW w:w="2803" w:type="pct"/>
            <w:tcBorders>
              <w:top w:val="single" w:sz="4" w:space="0" w:color="auto"/>
              <w:left w:val="single" w:sz="4" w:space="0" w:color="auto"/>
              <w:bottom w:val="single" w:sz="4" w:space="0" w:color="auto"/>
              <w:right w:val="single" w:sz="4" w:space="0" w:color="auto"/>
            </w:tcBorders>
            <w:vAlign w:val="center"/>
          </w:tcPr>
          <w:p w:rsidR="00192797" w:rsidRPr="006D5BDB" w:rsidRDefault="00192797" w:rsidP="00192797">
            <w:pPr>
              <w:keepNext/>
              <w:widowControl/>
              <w:jc w:val="left"/>
              <w:rPr>
                <w:rFonts w:ascii="Arial Narrow" w:hAnsi="Arial Narrow"/>
                <w:sz w:val="20"/>
              </w:rPr>
            </w:pPr>
          </w:p>
        </w:tc>
        <w:tc>
          <w:tcPr>
            <w:tcW w:w="593" w:type="pct"/>
            <w:tcBorders>
              <w:top w:val="single" w:sz="4" w:space="0" w:color="auto"/>
              <w:left w:val="single" w:sz="4" w:space="0" w:color="auto"/>
              <w:bottom w:val="single" w:sz="4" w:space="0" w:color="auto"/>
              <w:right w:val="single" w:sz="4" w:space="0" w:color="auto"/>
            </w:tcBorders>
            <w:vAlign w:val="center"/>
          </w:tcPr>
          <w:p w:rsidR="00192797" w:rsidRPr="006D5BDB" w:rsidRDefault="00192797" w:rsidP="00192797">
            <w:pPr>
              <w:keepNext/>
              <w:widowControl/>
              <w:jc w:val="center"/>
              <w:rPr>
                <w:rFonts w:ascii="Arial Narrow" w:hAnsi="Arial Narrow"/>
                <w:sz w:val="20"/>
              </w:rPr>
            </w:pPr>
            <w:r w:rsidRPr="006D5BDB">
              <w:rPr>
                <w:rFonts w:ascii="Arial Narrow" w:hAnsi="Arial Narrow"/>
                <w:b/>
                <w:sz w:val="20"/>
              </w:rPr>
              <w:t>Δ</w:t>
            </w:r>
            <w:r>
              <w:rPr>
                <w:rFonts w:ascii="Arial Narrow" w:hAnsi="Arial Narrow"/>
                <w:b/>
                <w:sz w:val="20"/>
              </w:rPr>
              <w:t xml:space="preserve"> </w:t>
            </w:r>
            <w:r w:rsidRPr="006D5BDB">
              <w:rPr>
                <w:rFonts w:ascii="Arial Narrow" w:hAnsi="Arial Narrow"/>
                <w:b/>
                <w:sz w:val="20"/>
              </w:rPr>
              <w:t>costs</w:t>
            </w:r>
          </w:p>
        </w:tc>
        <w:tc>
          <w:tcPr>
            <w:tcW w:w="679" w:type="pct"/>
            <w:tcBorders>
              <w:top w:val="single" w:sz="4" w:space="0" w:color="auto"/>
              <w:left w:val="single" w:sz="4" w:space="0" w:color="auto"/>
              <w:bottom w:val="single" w:sz="4" w:space="0" w:color="auto"/>
              <w:right w:val="single" w:sz="4" w:space="0" w:color="auto"/>
            </w:tcBorders>
            <w:vAlign w:val="center"/>
          </w:tcPr>
          <w:p w:rsidR="00192797" w:rsidRPr="006D5BDB" w:rsidRDefault="00192797" w:rsidP="00192797">
            <w:pPr>
              <w:keepNext/>
              <w:widowControl/>
              <w:jc w:val="center"/>
              <w:rPr>
                <w:rFonts w:ascii="Arial Narrow" w:hAnsi="Arial Narrow"/>
                <w:sz w:val="20"/>
              </w:rPr>
            </w:pPr>
            <w:r w:rsidRPr="006D5BDB">
              <w:rPr>
                <w:rFonts w:ascii="Arial Narrow" w:hAnsi="Arial Narrow"/>
                <w:b/>
                <w:sz w:val="20"/>
              </w:rPr>
              <w:t>Δ QALY</w:t>
            </w:r>
          </w:p>
        </w:tc>
        <w:tc>
          <w:tcPr>
            <w:tcW w:w="925" w:type="pct"/>
            <w:tcBorders>
              <w:top w:val="single" w:sz="4" w:space="0" w:color="auto"/>
              <w:left w:val="single" w:sz="4" w:space="0" w:color="auto"/>
              <w:bottom w:val="single" w:sz="4" w:space="0" w:color="auto"/>
              <w:right w:val="single" w:sz="4" w:space="0" w:color="auto"/>
            </w:tcBorders>
            <w:vAlign w:val="center"/>
          </w:tcPr>
          <w:p w:rsidR="00192797" w:rsidRPr="006D5BDB" w:rsidRDefault="00192797" w:rsidP="00192797">
            <w:pPr>
              <w:keepNext/>
              <w:widowControl/>
              <w:jc w:val="center"/>
              <w:rPr>
                <w:rFonts w:ascii="Arial Narrow" w:hAnsi="Arial Narrow"/>
                <w:sz w:val="20"/>
              </w:rPr>
            </w:pPr>
            <w:r w:rsidRPr="006D5BDB">
              <w:rPr>
                <w:rFonts w:ascii="Arial Narrow" w:hAnsi="Arial Narrow"/>
                <w:b/>
                <w:sz w:val="20"/>
              </w:rPr>
              <w:t>ICER</w:t>
            </w:r>
          </w:p>
        </w:tc>
      </w:tr>
      <w:tr w:rsidR="00192797" w:rsidRPr="003F2CFE" w:rsidTr="00A34711">
        <w:trPr>
          <w:cantSplit/>
        </w:trPr>
        <w:tc>
          <w:tcPr>
            <w:tcW w:w="2803" w:type="pct"/>
            <w:tcBorders>
              <w:top w:val="single" w:sz="4" w:space="0" w:color="auto"/>
              <w:left w:val="single" w:sz="4" w:space="0" w:color="auto"/>
              <w:bottom w:val="single" w:sz="4" w:space="0" w:color="auto"/>
              <w:right w:val="single" w:sz="4" w:space="0" w:color="auto"/>
            </w:tcBorders>
            <w:vAlign w:val="center"/>
          </w:tcPr>
          <w:p w:rsidR="00192797" w:rsidRPr="0095594E" w:rsidRDefault="00192797" w:rsidP="00192797">
            <w:pPr>
              <w:keepNext/>
              <w:widowControl/>
              <w:jc w:val="left"/>
              <w:rPr>
                <w:rFonts w:ascii="Arial Narrow" w:hAnsi="Arial Narrow"/>
                <w:b/>
                <w:sz w:val="20"/>
              </w:rPr>
            </w:pPr>
            <w:r w:rsidRPr="0095594E">
              <w:rPr>
                <w:rFonts w:ascii="Arial Narrow" w:hAnsi="Arial Narrow"/>
                <w:b/>
                <w:sz w:val="20"/>
              </w:rPr>
              <w:t>PBAC respecified base case</w:t>
            </w:r>
          </w:p>
        </w:tc>
        <w:tc>
          <w:tcPr>
            <w:tcW w:w="593" w:type="pct"/>
            <w:tcBorders>
              <w:top w:val="single" w:sz="4" w:space="0" w:color="auto"/>
              <w:left w:val="single" w:sz="4" w:space="0" w:color="auto"/>
              <w:bottom w:val="single" w:sz="4" w:space="0" w:color="auto"/>
              <w:right w:val="single" w:sz="4" w:space="0" w:color="auto"/>
            </w:tcBorders>
            <w:vAlign w:val="center"/>
          </w:tcPr>
          <w:p w:rsidR="00192797" w:rsidRPr="003A7D72" w:rsidRDefault="00192797" w:rsidP="00192797">
            <w:pPr>
              <w:jc w:val="right"/>
              <w:rPr>
                <w:rFonts w:ascii="Arial Narrow" w:hAnsi="Arial Narrow"/>
                <w:b/>
                <w:color w:val="000000"/>
                <w:sz w:val="20"/>
              </w:rPr>
            </w:pPr>
            <w:r w:rsidRPr="003A7D72">
              <w:rPr>
                <w:rFonts w:ascii="Arial Narrow" w:hAnsi="Arial Narrow"/>
                <w:b/>
                <w:color w:val="000000"/>
                <w:sz w:val="20"/>
              </w:rPr>
              <w:t>$</w:t>
            </w:r>
            <w:r w:rsidR="006D3878">
              <w:rPr>
                <w:rFonts w:ascii="Arial Narrow" w:hAnsi="Arial Narrow"/>
                <w:b/>
                <w:noProof/>
                <w:color w:val="000000"/>
                <w:sz w:val="20"/>
                <w:highlight w:val="black"/>
              </w:rPr>
              <w:t>''''''''''''''''</w:t>
            </w:r>
          </w:p>
        </w:tc>
        <w:tc>
          <w:tcPr>
            <w:tcW w:w="679" w:type="pct"/>
            <w:tcBorders>
              <w:top w:val="single" w:sz="4" w:space="0" w:color="auto"/>
              <w:left w:val="single" w:sz="4" w:space="0" w:color="auto"/>
              <w:bottom w:val="single" w:sz="4" w:space="0" w:color="auto"/>
              <w:right w:val="single" w:sz="4" w:space="0" w:color="auto"/>
            </w:tcBorders>
            <w:vAlign w:val="center"/>
          </w:tcPr>
          <w:p w:rsidR="00192797" w:rsidRPr="003A7D72" w:rsidRDefault="00192797" w:rsidP="00192797">
            <w:pPr>
              <w:jc w:val="center"/>
              <w:rPr>
                <w:rFonts w:ascii="Arial Narrow" w:hAnsi="Arial Narrow"/>
                <w:b/>
                <w:color w:val="000000"/>
                <w:sz w:val="20"/>
              </w:rPr>
            </w:pPr>
            <w:r w:rsidRPr="003A7D72">
              <w:rPr>
                <w:rFonts w:ascii="Arial Narrow" w:hAnsi="Arial Narrow"/>
                <w:b/>
                <w:color w:val="000000"/>
                <w:sz w:val="20"/>
              </w:rPr>
              <w:t>1.15</w:t>
            </w:r>
          </w:p>
        </w:tc>
        <w:tc>
          <w:tcPr>
            <w:tcW w:w="925" w:type="pct"/>
            <w:tcBorders>
              <w:top w:val="single" w:sz="4" w:space="0" w:color="auto"/>
              <w:left w:val="single" w:sz="4" w:space="0" w:color="auto"/>
              <w:bottom w:val="single" w:sz="4" w:space="0" w:color="auto"/>
              <w:right w:val="single" w:sz="4" w:space="0" w:color="auto"/>
            </w:tcBorders>
            <w:vAlign w:val="center"/>
          </w:tcPr>
          <w:p w:rsidR="00192797" w:rsidRPr="003A7D72" w:rsidRDefault="00192797" w:rsidP="00192797">
            <w:pPr>
              <w:jc w:val="right"/>
              <w:rPr>
                <w:rFonts w:ascii="Arial Narrow" w:hAnsi="Arial Narrow"/>
                <w:b/>
                <w:color w:val="000000"/>
                <w:sz w:val="20"/>
              </w:rPr>
            </w:pPr>
            <w:r w:rsidRPr="003A7D72">
              <w:rPr>
                <w:rFonts w:ascii="Arial Narrow" w:hAnsi="Arial Narrow"/>
                <w:b/>
                <w:color w:val="000000"/>
                <w:sz w:val="20"/>
              </w:rPr>
              <w:t>$</w:t>
            </w:r>
            <w:r w:rsidR="006D3878">
              <w:rPr>
                <w:rFonts w:ascii="Arial Narrow" w:hAnsi="Arial Narrow"/>
                <w:b/>
                <w:noProof/>
                <w:color w:val="000000"/>
                <w:sz w:val="20"/>
                <w:highlight w:val="black"/>
              </w:rPr>
              <w:t>'''''''''''''''''</w:t>
            </w:r>
          </w:p>
        </w:tc>
      </w:tr>
      <w:tr w:rsidR="00192797" w:rsidRPr="004E2ADC" w:rsidTr="00A34711">
        <w:trPr>
          <w:cantSplit/>
        </w:trPr>
        <w:tc>
          <w:tcPr>
            <w:tcW w:w="2803" w:type="pct"/>
            <w:tcBorders>
              <w:top w:val="single" w:sz="4" w:space="0" w:color="auto"/>
              <w:left w:val="single" w:sz="4" w:space="0" w:color="auto"/>
              <w:bottom w:val="single" w:sz="4" w:space="0" w:color="auto"/>
              <w:right w:val="single" w:sz="4" w:space="0" w:color="auto"/>
            </w:tcBorders>
            <w:vAlign w:val="center"/>
          </w:tcPr>
          <w:p w:rsidR="00192797" w:rsidRPr="00174DB9" w:rsidRDefault="00192797" w:rsidP="00192797">
            <w:pPr>
              <w:widowControl/>
              <w:jc w:val="left"/>
              <w:rPr>
                <w:rFonts w:ascii="Arial Narrow" w:hAnsi="Arial Narrow"/>
                <w:sz w:val="20"/>
              </w:rPr>
            </w:pPr>
            <w:r w:rsidRPr="00174DB9">
              <w:rPr>
                <w:rFonts w:ascii="Arial Narrow" w:hAnsi="Arial Narrow"/>
                <w:sz w:val="20"/>
              </w:rPr>
              <w:t>HR PFS and OS models, ITT set (base case = parametric)</w:t>
            </w:r>
          </w:p>
          <w:p w:rsidR="00192797" w:rsidRPr="00174DB9" w:rsidRDefault="00192797" w:rsidP="00192797">
            <w:pPr>
              <w:widowControl/>
              <w:ind w:firstLine="142"/>
              <w:jc w:val="left"/>
              <w:rPr>
                <w:rFonts w:ascii="Arial Narrow" w:hAnsi="Arial Narrow"/>
                <w:sz w:val="20"/>
              </w:rPr>
            </w:pPr>
            <w:r w:rsidRPr="00174DB9">
              <w:rPr>
                <w:rFonts w:ascii="Arial Narrow" w:hAnsi="Arial Narrow"/>
                <w:sz w:val="20"/>
              </w:rPr>
              <w:t xml:space="preserve">HR </w:t>
            </w:r>
            <w:r>
              <w:rPr>
                <w:rFonts w:ascii="Arial Narrow" w:hAnsi="Arial Narrow"/>
                <w:sz w:val="20"/>
              </w:rPr>
              <w:t>(PFS 0.15, OS 0.34)</w:t>
            </w:r>
          </w:p>
          <w:p w:rsidR="00192797" w:rsidRPr="00174DB9" w:rsidRDefault="00192797" w:rsidP="00192797">
            <w:pPr>
              <w:widowControl/>
              <w:ind w:firstLine="142"/>
              <w:jc w:val="left"/>
              <w:rPr>
                <w:rFonts w:ascii="Arial Narrow" w:hAnsi="Arial Narrow"/>
                <w:sz w:val="20"/>
              </w:rPr>
            </w:pPr>
            <w:r w:rsidRPr="00174DB9">
              <w:rPr>
                <w:rFonts w:ascii="Arial Narrow" w:hAnsi="Arial Narrow"/>
                <w:sz w:val="20"/>
              </w:rPr>
              <w:t>HR - lower 95% CI for both PFS and OS</w:t>
            </w:r>
            <w:r>
              <w:rPr>
                <w:rFonts w:ascii="Arial Narrow" w:hAnsi="Arial Narrow"/>
                <w:sz w:val="20"/>
              </w:rPr>
              <w:t xml:space="preserve"> (0.09, 0.19)</w:t>
            </w:r>
          </w:p>
          <w:p w:rsidR="00192797" w:rsidRPr="00174DB9" w:rsidRDefault="00192797" w:rsidP="00192797">
            <w:pPr>
              <w:widowControl/>
              <w:ind w:firstLine="142"/>
              <w:jc w:val="left"/>
              <w:rPr>
                <w:rFonts w:ascii="Arial Narrow" w:hAnsi="Arial Narrow"/>
                <w:sz w:val="20"/>
              </w:rPr>
            </w:pPr>
            <w:r w:rsidRPr="00174DB9">
              <w:rPr>
                <w:rFonts w:ascii="Arial Narrow" w:hAnsi="Arial Narrow"/>
                <w:sz w:val="20"/>
              </w:rPr>
              <w:t>HR - upper 95% CI for both PFS and OS</w:t>
            </w:r>
            <w:r>
              <w:rPr>
                <w:rFonts w:ascii="Arial Narrow" w:hAnsi="Arial Narrow"/>
                <w:sz w:val="20"/>
              </w:rPr>
              <w:t xml:space="preserve"> (0.24, 0.60)</w:t>
            </w:r>
          </w:p>
        </w:tc>
        <w:tc>
          <w:tcPr>
            <w:tcW w:w="593" w:type="pct"/>
            <w:tcBorders>
              <w:top w:val="single" w:sz="4" w:space="0" w:color="auto"/>
              <w:left w:val="single" w:sz="4" w:space="0" w:color="auto"/>
              <w:bottom w:val="single" w:sz="4" w:space="0" w:color="auto"/>
              <w:right w:val="single" w:sz="4" w:space="0" w:color="auto"/>
            </w:tcBorders>
            <w:vAlign w:val="center"/>
          </w:tcPr>
          <w:p w:rsidR="00192797" w:rsidRPr="003A7D72" w:rsidRDefault="00192797" w:rsidP="00192797">
            <w:pPr>
              <w:widowControl/>
              <w:jc w:val="right"/>
              <w:rPr>
                <w:rFonts w:ascii="Arial Narrow" w:hAnsi="Arial Narrow"/>
                <w:sz w:val="20"/>
              </w:rPr>
            </w:pPr>
          </w:p>
          <w:p w:rsidR="00192797" w:rsidRPr="003A7D72" w:rsidRDefault="00192797" w:rsidP="00192797">
            <w:pPr>
              <w:widowControl/>
              <w:jc w:val="right"/>
              <w:rPr>
                <w:rFonts w:ascii="Arial Narrow" w:hAnsi="Arial Narrow"/>
                <w:sz w:val="20"/>
              </w:rPr>
            </w:pPr>
            <w:r w:rsidRPr="003A7D72">
              <w:rPr>
                <w:rFonts w:ascii="Arial Narrow" w:hAnsi="Arial Narrow"/>
                <w:sz w:val="20"/>
              </w:rPr>
              <w:t>$</w:t>
            </w:r>
            <w:r w:rsidR="006D3878">
              <w:rPr>
                <w:rFonts w:ascii="Arial Narrow" w:hAnsi="Arial Narrow"/>
                <w:noProof/>
                <w:color w:val="000000"/>
                <w:sz w:val="20"/>
                <w:highlight w:val="black"/>
              </w:rPr>
              <w:t>'''''''''''''''''''</w:t>
            </w:r>
          </w:p>
          <w:p w:rsidR="00192797" w:rsidRPr="003A7D72" w:rsidRDefault="00192797" w:rsidP="00192797">
            <w:pPr>
              <w:widowControl/>
              <w:jc w:val="right"/>
              <w:rPr>
                <w:rFonts w:ascii="Arial Narrow" w:hAnsi="Arial Narrow"/>
                <w:sz w:val="20"/>
              </w:rPr>
            </w:pPr>
            <w:r w:rsidRPr="003A7D72">
              <w:rPr>
                <w:rFonts w:ascii="Arial Narrow" w:hAnsi="Arial Narrow"/>
                <w:sz w:val="20"/>
              </w:rPr>
              <w:t>$</w:t>
            </w:r>
            <w:r w:rsidR="006D3878">
              <w:rPr>
                <w:rFonts w:ascii="Arial Narrow" w:hAnsi="Arial Narrow"/>
                <w:noProof/>
                <w:color w:val="000000"/>
                <w:sz w:val="20"/>
                <w:highlight w:val="black"/>
              </w:rPr>
              <w:t>''''''''''''''''''''''</w:t>
            </w:r>
          </w:p>
          <w:p w:rsidR="00192797" w:rsidRPr="003A7D72" w:rsidRDefault="00192797" w:rsidP="00192797">
            <w:pPr>
              <w:widowControl/>
              <w:jc w:val="right"/>
              <w:rPr>
                <w:rFonts w:ascii="Arial Narrow" w:hAnsi="Arial Narrow"/>
                <w:sz w:val="20"/>
              </w:rPr>
            </w:pPr>
            <w:r w:rsidRPr="003A7D72">
              <w:rPr>
                <w:rFonts w:ascii="Arial Narrow" w:hAnsi="Arial Narrow"/>
                <w:sz w:val="20"/>
              </w:rPr>
              <w:t>$</w:t>
            </w:r>
            <w:r w:rsidR="006D3878">
              <w:rPr>
                <w:rFonts w:ascii="Arial Narrow" w:hAnsi="Arial Narrow"/>
                <w:noProof/>
                <w:color w:val="000000"/>
                <w:sz w:val="20"/>
                <w:highlight w:val="black"/>
              </w:rPr>
              <w:t>'''''''''''''''''''</w:t>
            </w:r>
          </w:p>
        </w:tc>
        <w:tc>
          <w:tcPr>
            <w:tcW w:w="679" w:type="pct"/>
            <w:tcBorders>
              <w:top w:val="single" w:sz="4" w:space="0" w:color="auto"/>
              <w:left w:val="single" w:sz="4" w:space="0" w:color="auto"/>
              <w:bottom w:val="single" w:sz="4" w:space="0" w:color="auto"/>
              <w:right w:val="single" w:sz="4" w:space="0" w:color="auto"/>
            </w:tcBorders>
            <w:vAlign w:val="center"/>
          </w:tcPr>
          <w:p w:rsidR="00192797" w:rsidRPr="003A7D72" w:rsidRDefault="00192797" w:rsidP="00192797">
            <w:pPr>
              <w:widowControl/>
              <w:jc w:val="center"/>
              <w:rPr>
                <w:rFonts w:ascii="Arial Narrow" w:hAnsi="Arial Narrow"/>
                <w:sz w:val="20"/>
              </w:rPr>
            </w:pPr>
          </w:p>
          <w:p w:rsidR="00192797" w:rsidRPr="003A7D72" w:rsidRDefault="00192797" w:rsidP="00192797">
            <w:pPr>
              <w:widowControl/>
              <w:jc w:val="center"/>
              <w:rPr>
                <w:rFonts w:ascii="Arial Narrow" w:hAnsi="Arial Narrow"/>
                <w:sz w:val="20"/>
              </w:rPr>
            </w:pPr>
            <w:r w:rsidRPr="003A7D72">
              <w:rPr>
                <w:rFonts w:ascii="Arial Narrow" w:hAnsi="Arial Narrow"/>
                <w:sz w:val="20"/>
              </w:rPr>
              <w:t>1.22</w:t>
            </w:r>
          </w:p>
          <w:p w:rsidR="00192797" w:rsidRPr="003A7D72" w:rsidRDefault="00192797" w:rsidP="00192797">
            <w:pPr>
              <w:widowControl/>
              <w:jc w:val="center"/>
              <w:rPr>
                <w:rFonts w:ascii="Arial Narrow" w:hAnsi="Arial Narrow"/>
                <w:sz w:val="20"/>
              </w:rPr>
            </w:pPr>
            <w:r w:rsidRPr="003A7D72">
              <w:rPr>
                <w:rFonts w:ascii="Arial Narrow" w:hAnsi="Arial Narrow"/>
                <w:sz w:val="20"/>
              </w:rPr>
              <w:t>1.87</w:t>
            </w:r>
          </w:p>
          <w:p w:rsidR="00192797" w:rsidRPr="003A7D72" w:rsidRDefault="00192797" w:rsidP="00192797">
            <w:pPr>
              <w:widowControl/>
              <w:jc w:val="center"/>
              <w:rPr>
                <w:rFonts w:ascii="Arial Narrow" w:hAnsi="Arial Narrow"/>
                <w:sz w:val="20"/>
              </w:rPr>
            </w:pPr>
            <w:r w:rsidRPr="003A7D72">
              <w:rPr>
                <w:rFonts w:ascii="Arial Narrow" w:hAnsi="Arial Narrow"/>
                <w:sz w:val="20"/>
              </w:rPr>
              <w:t>0.56</w:t>
            </w:r>
          </w:p>
        </w:tc>
        <w:tc>
          <w:tcPr>
            <w:tcW w:w="925" w:type="pct"/>
            <w:tcBorders>
              <w:top w:val="single" w:sz="4" w:space="0" w:color="auto"/>
              <w:left w:val="single" w:sz="4" w:space="0" w:color="auto"/>
              <w:bottom w:val="single" w:sz="4" w:space="0" w:color="auto"/>
              <w:right w:val="single" w:sz="4" w:space="0" w:color="auto"/>
            </w:tcBorders>
            <w:vAlign w:val="center"/>
          </w:tcPr>
          <w:p w:rsidR="00192797" w:rsidRPr="003A7D72" w:rsidRDefault="00192797" w:rsidP="00192797">
            <w:pPr>
              <w:widowControl/>
              <w:jc w:val="right"/>
              <w:rPr>
                <w:rFonts w:ascii="Arial Narrow" w:hAnsi="Arial Narrow"/>
                <w:sz w:val="20"/>
              </w:rPr>
            </w:pPr>
          </w:p>
          <w:p w:rsidR="00192797" w:rsidRPr="003A7D72" w:rsidRDefault="00192797" w:rsidP="00192797">
            <w:pPr>
              <w:widowControl/>
              <w:jc w:val="right"/>
              <w:rPr>
                <w:rFonts w:ascii="Arial Narrow" w:hAnsi="Arial Narrow"/>
                <w:sz w:val="20"/>
              </w:rPr>
            </w:pPr>
            <w:r w:rsidRPr="003A7D72">
              <w:rPr>
                <w:rFonts w:ascii="Arial Narrow" w:hAnsi="Arial Narrow"/>
                <w:sz w:val="20"/>
              </w:rPr>
              <w:t>$</w:t>
            </w:r>
            <w:r w:rsidR="006D3878">
              <w:rPr>
                <w:rFonts w:ascii="Arial Narrow" w:hAnsi="Arial Narrow"/>
                <w:noProof/>
                <w:color w:val="000000"/>
                <w:sz w:val="20"/>
                <w:highlight w:val="black"/>
              </w:rPr>
              <w:t>'''''''''''''''''''''</w:t>
            </w:r>
          </w:p>
          <w:p w:rsidR="00192797" w:rsidRPr="003A7D72" w:rsidRDefault="00192797" w:rsidP="00192797">
            <w:pPr>
              <w:widowControl/>
              <w:jc w:val="right"/>
              <w:rPr>
                <w:rFonts w:ascii="Arial Narrow" w:hAnsi="Arial Narrow"/>
                <w:sz w:val="20"/>
              </w:rPr>
            </w:pPr>
            <w:r w:rsidRPr="003A7D72">
              <w:rPr>
                <w:rFonts w:ascii="Arial Narrow" w:hAnsi="Arial Narrow"/>
                <w:sz w:val="20"/>
              </w:rPr>
              <w:t>$</w:t>
            </w:r>
            <w:r w:rsidR="006D3878">
              <w:rPr>
                <w:rFonts w:ascii="Arial Narrow" w:hAnsi="Arial Narrow"/>
                <w:noProof/>
                <w:color w:val="000000"/>
                <w:sz w:val="20"/>
                <w:highlight w:val="black"/>
              </w:rPr>
              <w:t>''''''''''''''''''</w:t>
            </w:r>
          </w:p>
          <w:p w:rsidR="00192797" w:rsidRPr="003A7D72" w:rsidRDefault="00192797" w:rsidP="00192797">
            <w:pPr>
              <w:widowControl/>
              <w:jc w:val="right"/>
              <w:rPr>
                <w:rFonts w:ascii="Arial Narrow" w:hAnsi="Arial Narrow"/>
                <w:sz w:val="20"/>
              </w:rPr>
            </w:pPr>
            <w:r w:rsidRPr="003A7D72">
              <w:rPr>
                <w:rFonts w:ascii="Arial Narrow" w:hAnsi="Arial Narrow"/>
                <w:sz w:val="20"/>
              </w:rPr>
              <w:t>$</w:t>
            </w:r>
            <w:r w:rsidR="006D3878">
              <w:rPr>
                <w:rFonts w:ascii="Arial Narrow" w:hAnsi="Arial Narrow"/>
                <w:noProof/>
                <w:color w:val="000000"/>
                <w:sz w:val="20"/>
                <w:highlight w:val="black"/>
              </w:rPr>
              <w:t>'''''''''''''''''''''</w:t>
            </w:r>
          </w:p>
        </w:tc>
      </w:tr>
      <w:tr w:rsidR="00192797" w:rsidRPr="004E2ADC" w:rsidTr="00A34711">
        <w:trPr>
          <w:cantSplit/>
        </w:trPr>
        <w:tc>
          <w:tcPr>
            <w:tcW w:w="2803" w:type="pct"/>
            <w:tcBorders>
              <w:top w:val="single" w:sz="4" w:space="0" w:color="auto"/>
              <w:left w:val="single" w:sz="4" w:space="0" w:color="auto"/>
              <w:bottom w:val="single" w:sz="4" w:space="0" w:color="auto"/>
              <w:right w:val="single" w:sz="4" w:space="0" w:color="auto"/>
            </w:tcBorders>
            <w:vAlign w:val="center"/>
          </w:tcPr>
          <w:p w:rsidR="00192797" w:rsidRDefault="00192797" w:rsidP="00192797">
            <w:pPr>
              <w:widowControl/>
              <w:jc w:val="left"/>
              <w:rPr>
                <w:rFonts w:ascii="Arial Narrow" w:hAnsi="Arial Narrow"/>
                <w:sz w:val="20"/>
              </w:rPr>
            </w:pPr>
            <w:r>
              <w:rPr>
                <w:rFonts w:ascii="Arial Narrow" w:hAnsi="Arial Narrow"/>
                <w:sz w:val="20"/>
              </w:rPr>
              <w:t>RPSFT (base case = ITT)</w:t>
            </w:r>
          </w:p>
          <w:p w:rsidR="00192797" w:rsidRDefault="00192797" w:rsidP="00192797">
            <w:pPr>
              <w:widowControl/>
              <w:ind w:firstLine="114"/>
              <w:jc w:val="left"/>
              <w:rPr>
                <w:rFonts w:ascii="Arial Narrow" w:hAnsi="Arial Narrow"/>
                <w:sz w:val="20"/>
              </w:rPr>
            </w:pPr>
            <w:r>
              <w:rPr>
                <w:rFonts w:ascii="Arial Narrow" w:hAnsi="Arial Narrow"/>
                <w:sz w:val="20"/>
              </w:rPr>
              <w:t>Parametric extrapolation</w:t>
            </w:r>
          </w:p>
          <w:p w:rsidR="00192797" w:rsidRPr="00174DB9" w:rsidRDefault="00192797" w:rsidP="00192797">
            <w:pPr>
              <w:widowControl/>
              <w:ind w:firstLine="142"/>
              <w:jc w:val="left"/>
              <w:rPr>
                <w:rFonts w:ascii="Arial Narrow" w:hAnsi="Arial Narrow"/>
                <w:sz w:val="20"/>
              </w:rPr>
            </w:pPr>
            <w:r w:rsidRPr="00174DB9">
              <w:rPr>
                <w:rFonts w:ascii="Arial Narrow" w:hAnsi="Arial Narrow"/>
                <w:sz w:val="20"/>
              </w:rPr>
              <w:t xml:space="preserve">HR </w:t>
            </w:r>
            <w:r>
              <w:rPr>
                <w:rFonts w:ascii="Arial Narrow" w:hAnsi="Arial Narrow"/>
                <w:sz w:val="20"/>
              </w:rPr>
              <w:t>for extrapolation (PFS 0.15, OS 0.20)</w:t>
            </w:r>
          </w:p>
          <w:p w:rsidR="00192797" w:rsidRPr="00174DB9" w:rsidRDefault="00192797" w:rsidP="00192797">
            <w:pPr>
              <w:widowControl/>
              <w:ind w:firstLine="142"/>
              <w:jc w:val="left"/>
              <w:rPr>
                <w:rFonts w:ascii="Arial Narrow" w:hAnsi="Arial Narrow"/>
                <w:sz w:val="20"/>
              </w:rPr>
            </w:pPr>
            <w:r w:rsidRPr="00174DB9">
              <w:rPr>
                <w:rFonts w:ascii="Arial Narrow" w:hAnsi="Arial Narrow"/>
                <w:sz w:val="20"/>
              </w:rPr>
              <w:t>HR - lower 95% CI for both PFS and OS</w:t>
            </w:r>
            <w:r>
              <w:rPr>
                <w:rFonts w:ascii="Arial Narrow" w:hAnsi="Arial Narrow"/>
                <w:sz w:val="20"/>
              </w:rPr>
              <w:t xml:space="preserve"> (0.09, 0.10)</w:t>
            </w:r>
          </w:p>
          <w:p w:rsidR="00192797" w:rsidRPr="00174DB9" w:rsidRDefault="00192797" w:rsidP="00192797">
            <w:pPr>
              <w:widowControl/>
              <w:ind w:firstLine="142"/>
              <w:jc w:val="left"/>
              <w:rPr>
                <w:rFonts w:ascii="Arial Narrow" w:hAnsi="Arial Narrow"/>
                <w:sz w:val="20"/>
              </w:rPr>
            </w:pPr>
            <w:r w:rsidRPr="00174DB9">
              <w:rPr>
                <w:rFonts w:ascii="Arial Narrow" w:hAnsi="Arial Narrow"/>
                <w:sz w:val="20"/>
              </w:rPr>
              <w:t>HR - upper 95% CI for both PFS and OS</w:t>
            </w:r>
            <w:r>
              <w:rPr>
                <w:rFonts w:ascii="Arial Narrow" w:hAnsi="Arial Narrow"/>
                <w:sz w:val="20"/>
              </w:rPr>
              <w:t xml:space="preserve"> (0.24, 0.36)</w:t>
            </w:r>
          </w:p>
        </w:tc>
        <w:tc>
          <w:tcPr>
            <w:tcW w:w="593" w:type="pct"/>
            <w:tcBorders>
              <w:top w:val="single" w:sz="4" w:space="0" w:color="auto"/>
              <w:left w:val="single" w:sz="4" w:space="0" w:color="auto"/>
              <w:bottom w:val="single" w:sz="4" w:space="0" w:color="auto"/>
              <w:right w:val="single" w:sz="4" w:space="0" w:color="auto"/>
            </w:tcBorders>
            <w:vAlign w:val="bottom"/>
          </w:tcPr>
          <w:p w:rsidR="00192797" w:rsidRPr="003A7D72" w:rsidRDefault="00192797" w:rsidP="00192797">
            <w:pPr>
              <w:widowControl/>
              <w:jc w:val="right"/>
              <w:rPr>
                <w:rFonts w:ascii="Arial Narrow" w:hAnsi="Arial Narrow"/>
                <w:sz w:val="20"/>
              </w:rPr>
            </w:pPr>
            <w:r w:rsidRPr="003A7D72">
              <w:rPr>
                <w:rFonts w:ascii="Arial Narrow" w:hAnsi="Arial Narrow"/>
                <w:sz w:val="20"/>
              </w:rPr>
              <w:t>$</w:t>
            </w:r>
            <w:r w:rsidR="006D3878">
              <w:rPr>
                <w:rFonts w:ascii="Arial Narrow" w:hAnsi="Arial Narrow"/>
                <w:noProof/>
                <w:color w:val="000000"/>
                <w:sz w:val="20"/>
                <w:highlight w:val="black"/>
              </w:rPr>
              <w:t>'''''''''''''''''''</w:t>
            </w:r>
          </w:p>
          <w:p w:rsidR="00192797" w:rsidRPr="003A7D72" w:rsidRDefault="00192797" w:rsidP="00192797">
            <w:pPr>
              <w:widowControl/>
              <w:jc w:val="right"/>
              <w:rPr>
                <w:rFonts w:ascii="Arial Narrow" w:hAnsi="Arial Narrow"/>
                <w:sz w:val="20"/>
              </w:rPr>
            </w:pPr>
            <w:r w:rsidRPr="003A7D72">
              <w:rPr>
                <w:rFonts w:ascii="Arial Narrow" w:hAnsi="Arial Narrow"/>
                <w:sz w:val="20"/>
              </w:rPr>
              <w:t>$</w:t>
            </w:r>
            <w:r w:rsidR="006D3878">
              <w:rPr>
                <w:rFonts w:ascii="Arial Narrow" w:hAnsi="Arial Narrow"/>
                <w:noProof/>
                <w:color w:val="000000"/>
                <w:sz w:val="20"/>
                <w:highlight w:val="black"/>
              </w:rPr>
              <w:t>'''''''''''''''''''''</w:t>
            </w:r>
          </w:p>
          <w:p w:rsidR="00192797" w:rsidRPr="003A7D72" w:rsidRDefault="00192797" w:rsidP="00192797">
            <w:pPr>
              <w:widowControl/>
              <w:jc w:val="right"/>
              <w:rPr>
                <w:rFonts w:ascii="Arial Narrow" w:hAnsi="Arial Narrow"/>
                <w:sz w:val="20"/>
              </w:rPr>
            </w:pPr>
            <w:r w:rsidRPr="003A7D72">
              <w:rPr>
                <w:rFonts w:ascii="Arial Narrow" w:hAnsi="Arial Narrow"/>
                <w:sz w:val="20"/>
              </w:rPr>
              <w:t>$</w:t>
            </w:r>
            <w:r w:rsidR="006D3878">
              <w:rPr>
                <w:rFonts w:ascii="Arial Narrow" w:hAnsi="Arial Narrow"/>
                <w:noProof/>
                <w:color w:val="000000"/>
                <w:sz w:val="20"/>
                <w:highlight w:val="black"/>
              </w:rPr>
              <w:t>'''''''''''''''''''</w:t>
            </w:r>
          </w:p>
          <w:p w:rsidR="00192797" w:rsidRPr="003A7D72" w:rsidRDefault="00192797" w:rsidP="00192797">
            <w:pPr>
              <w:widowControl/>
              <w:jc w:val="right"/>
              <w:rPr>
                <w:rFonts w:ascii="Arial Narrow" w:hAnsi="Arial Narrow"/>
                <w:sz w:val="20"/>
              </w:rPr>
            </w:pPr>
            <w:r w:rsidRPr="003A7D72">
              <w:rPr>
                <w:rFonts w:ascii="Arial Narrow" w:hAnsi="Arial Narrow"/>
                <w:sz w:val="20"/>
              </w:rPr>
              <w:t>$</w:t>
            </w:r>
            <w:r w:rsidR="006D3878">
              <w:rPr>
                <w:rFonts w:ascii="Arial Narrow" w:hAnsi="Arial Narrow"/>
                <w:noProof/>
                <w:color w:val="000000"/>
                <w:sz w:val="20"/>
                <w:highlight w:val="black"/>
              </w:rPr>
              <w:t>'''''''''''''''''''</w:t>
            </w:r>
          </w:p>
        </w:tc>
        <w:tc>
          <w:tcPr>
            <w:tcW w:w="679" w:type="pct"/>
            <w:tcBorders>
              <w:top w:val="single" w:sz="4" w:space="0" w:color="auto"/>
              <w:left w:val="single" w:sz="4" w:space="0" w:color="auto"/>
              <w:bottom w:val="single" w:sz="4" w:space="0" w:color="auto"/>
              <w:right w:val="single" w:sz="4" w:space="0" w:color="auto"/>
            </w:tcBorders>
            <w:vAlign w:val="bottom"/>
          </w:tcPr>
          <w:p w:rsidR="00192797" w:rsidRPr="003A7D72" w:rsidRDefault="00192797" w:rsidP="00192797">
            <w:pPr>
              <w:widowControl/>
              <w:jc w:val="center"/>
              <w:rPr>
                <w:rFonts w:ascii="Arial Narrow" w:hAnsi="Arial Narrow"/>
                <w:sz w:val="20"/>
              </w:rPr>
            </w:pPr>
            <w:r w:rsidRPr="003A7D72">
              <w:rPr>
                <w:rFonts w:ascii="Arial Narrow" w:hAnsi="Arial Narrow"/>
                <w:sz w:val="20"/>
              </w:rPr>
              <w:t>1.57</w:t>
            </w:r>
          </w:p>
          <w:p w:rsidR="00192797" w:rsidRPr="003A7D72" w:rsidRDefault="00192797" w:rsidP="00192797">
            <w:pPr>
              <w:widowControl/>
              <w:jc w:val="center"/>
              <w:rPr>
                <w:rFonts w:ascii="Arial Narrow" w:hAnsi="Arial Narrow"/>
                <w:sz w:val="20"/>
              </w:rPr>
            </w:pPr>
            <w:r w:rsidRPr="003A7D72">
              <w:rPr>
                <w:rFonts w:ascii="Arial Narrow" w:hAnsi="Arial Narrow"/>
                <w:sz w:val="20"/>
              </w:rPr>
              <w:t>1.57</w:t>
            </w:r>
          </w:p>
          <w:p w:rsidR="00192797" w:rsidRPr="003A7D72" w:rsidRDefault="00192797" w:rsidP="00192797">
            <w:pPr>
              <w:widowControl/>
              <w:jc w:val="center"/>
              <w:rPr>
                <w:rFonts w:ascii="Arial Narrow" w:hAnsi="Arial Narrow"/>
                <w:sz w:val="20"/>
              </w:rPr>
            </w:pPr>
            <w:r w:rsidRPr="003A7D72">
              <w:rPr>
                <w:rFonts w:ascii="Arial Narrow" w:hAnsi="Arial Narrow"/>
                <w:sz w:val="20"/>
              </w:rPr>
              <w:t>2.34</w:t>
            </w:r>
          </w:p>
          <w:p w:rsidR="00192797" w:rsidRPr="003A7D72" w:rsidRDefault="00192797" w:rsidP="00192797">
            <w:pPr>
              <w:widowControl/>
              <w:jc w:val="center"/>
              <w:rPr>
                <w:rFonts w:ascii="Arial Narrow" w:hAnsi="Arial Narrow"/>
                <w:sz w:val="20"/>
              </w:rPr>
            </w:pPr>
            <w:r w:rsidRPr="003A7D72">
              <w:rPr>
                <w:rFonts w:ascii="Arial Narrow" w:hAnsi="Arial Narrow"/>
                <w:sz w:val="20"/>
              </w:rPr>
              <w:t>0.90</w:t>
            </w:r>
          </w:p>
        </w:tc>
        <w:tc>
          <w:tcPr>
            <w:tcW w:w="925" w:type="pct"/>
            <w:tcBorders>
              <w:top w:val="single" w:sz="4" w:space="0" w:color="auto"/>
              <w:left w:val="single" w:sz="4" w:space="0" w:color="auto"/>
              <w:bottom w:val="single" w:sz="4" w:space="0" w:color="auto"/>
              <w:right w:val="single" w:sz="4" w:space="0" w:color="auto"/>
            </w:tcBorders>
            <w:vAlign w:val="bottom"/>
          </w:tcPr>
          <w:p w:rsidR="00192797" w:rsidRPr="003A7D72" w:rsidRDefault="00192797" w:rsidP="00192797">
            <w:pPr>
              <w:widowControl/>
              <w:jc w:val="right"/>
              <w:rPr>
                <w:rFonts w:ascii="Arial Narrow" w:hAnsi="Arial Narrow"/>
                <w:sz w:val="20"/>
              </w:rPr>
            </w:pPr>
            <w:r w:rsidRPr="003A7D72">
              <w:rPr>
                <w:rFonts w:ascii="Arial Narrow" w:hAnsi="Arial Narrow"/>
                <w:sz w:val="20"/>
              </w:rPr>
              <w:t>$</w:t>
            </w:r>
            <w:r w:rsidR="006D3878">
              <w:rPr>
                <w:rFonts w:ascii="Arial Narrow" w:hAnsi="Arial Narrow"/>
                <w:noProof/>
                <w:color w:val="000000"/>
                <w:sz w:val="20"/>
                <w:highlight w:val="black"/>
              </w:rPr>
              <w:t>'''''''''''''''''</w:t>
            </w:r>
          </w:p>
          <w:p w:rsidR="00192797" w:rsidRPr="003A7D72" w:rsidRDefault="00192797" w:rsidP="00192797">
            <w:pPr>
              <w:widowControl/>
              <w:jc w:val="right"/>
              <w:rPr>
                <w:rFonts w:ascii="Arial Narrow" w:hAnsi="Arial Narrow"/>
                <w:sz w:val="20"/>
              </w:rPr>
            </w:pPr>
            <w:r w:rsidRPr="003A7D72">
              <w:rPr>
                <w:rFonts w:ascii="Arial Narrow" w:hAnsi="Arial Narrow"/>
                <w:sz w:val="20"/>
              </w:rPr>
              <w:t>$</w:t>
            </w:r>
            <w:r w:rsidR="006D3878">
              <w:rPr>
                <w:rFonts w:ascii="Arial Narrow" w:hAnsi="Arial Narrow"/>
                <w:noProof/>
                <w:color w:val="000000"/>
                <w:sz w:val="20"/>
                <w:highlight w:val="black"/>
              </w:rPr>
              <w:t>'''''''''''''''</w:t>
            </w:r>
          </w:p>
          <w:p w:rsidR="00192797" w:rsidRPr="003A7D72" w:rsidRDefault="00192797" w:rsidP="00192797">
            <w:pPr>
              <w:widowControl/>
              <w:jc w:val="right"/>
              <w:rPr>
                <w:rFonts w:ascii="Arial Narrow" w:hAnsi="Arial Narrow"/>
                <w:sz w:val="20"/>
              </w:rPr>
            </w:pPr>
            <w:r w:rsidRPr="003A7D72">
              <w:rPr>
                <w:rFonts w:ascii="Arial Narrow" w:hAnsi="Arial Narrow"/>
                <w:sz w:val="20"/>
              </w:rPr>
              <w:t>$</w:t>
            </w:r>
            <w:r w:rsidR="006D3878">
              <w:rPr>
                <w:rFonts w:ascii="Arial Narrow" w:hAnsi="Arial Narrow"/>
                <w:noProof/>
                <w:color w:val="000000"/>
                <w:sz w:val="20"/>
                <w:highlight w:val="black"/>
              </w:rPr>
              <w:t>''''''''''''''''</w:t>
            </w:r>
          </w:p>
          <w:p w:rsidR="00192797" w:rsidRPr="003A7D72" w:rsidRDefault="00192797" w:rsidP="00192797">
            <w:pPr>
              <w:widowControl/>
              <w:jc w:val="right"/>
              <w:rPr>
                <w:rFonts w:ascii="Arial Narrow" w:hAnsi="Arial Narrow"/>
                <w:sz w:val="20"/>
              </w:rPr>
            </w:pPr>
            <w:r w:rsidRPr="003A7D72">
              <w:rPr>
                <w:rFonts w:ascii="Arial Narrow" w:hAnsi="Arial Narrow"/>
                <w:sz w:val="20"/>
              </w:rPr>
              <w:t>$</w:t>
            </w:r>
            <w:r w:rsidR="006D3878">
              <w:rPr>
                <w:rFonts w:ascii="Arial Narrow" w:hAnsi="Arial Narrow"/>
                <w:noProof/>
                <w:color w:val="000000"/>
                <w:sz w:val="20"/>
                <w:highlight w:val="black"/>
              </w:rPr>
              <w:t>''''''''''''''''''''</w:t>
            </w:r>
          </w:p>
        </w:tc>
      </w:tr>
      <w:tr w:rsidR="00192797" w:rsidRPr="003A7D72" w:rsidTr="00A34711">
        <w:trPr>
          <w:cantSplit/>
        </w:trPr>
        <w:tc>
          <w:tcPr>
            <w:tcW w:w="2803" w:type="pct"/>
            <w:tcBorders>
              <w:top w:val="single" w:sz="4" w:space="0" w:color="auto"/>
              <w:left w:val="single" w:sz="4" w:space="0" w:color="auto"/>
              <w:bottom w:val="single" w:sz="4" w:space="0" w:color="auto"/>
              <w:right w:val="single" w:sz="4" w:space="0" w:color="auto"/>
            </w:tcBorders>
            <w:vAlign w:val="center"/>
          </w:tcPr>
          <w:p w:rsidR="00192797" w:rsidRPr="003A7D72" w:rsidRDefault="00192797" w:rsidP="00192797">
            <w:pPr>
              <w:widowControl/>
              <w:jc w:val="left"/>
              <w:rPr>
                <w:rFonts w:ascii="Arial Narrow" w:hAnsi="Arial Narrow"/>
                <w:sz w:val="20"/>
              </w:rPr>
            </w:pPr>
            <w:r w:rsidRPr="003A7D72">
              <w:rPr>
                <w:rFonts w:ascii="Arial Narrow" w:hAnsi="Arial Narrow"/>
                <w:sz w:val="20"/>
              </w:rPr>
              <w:t>Idelalisib Effective DPMQs (base case = $</w:t>
            </w:r>
            <w:r w:rsidR="006D3878">
              <w:rPr>
                <w:rFonts w:ascii="Arial Narrow" w:hAnsi="Arial Narrow"/>
                <w:noProof/>
                <w:color w:val="000000"/>
                <w:sz w:val="20"/>
                <w:highlight w:val="black"/>
              </w:rPr>
              <w:t>''''''''''''''''''''</w:t>
            </w:r>
            <w:r w:rsidRPr="003A7D72">
              <w:rPr>
                <w:rFonts w:ascii="Arial Narrow" w:hAnsi="Arial Narrow"/>
                <w:sz w:val="20"/>
              </w:rPr>
              <w:t>)</w:t>
            </w:r>
          </w:p>
          <w:p w:rsidR="00192797" w:rsidRPr="003A7D72" w:rsidRDefault="00192797" w:rsidP="00192797">
            <w:pPr>
              <w:widowControl/>
              <w:ind w:left="114"/>
              <w:jc w:val="left"/>
              <w:rPr>
                <w:rFonts w:ascii="Arial Narrow" w:hAnsi="Arial Narrow"/>
                <w:sz w:val="20"/>
              </w:rPr>
            </w:pPr>
            <w:r w:rsidRPr="003A7D72">
              <w:rPr>
                <w:rFonts w:ascii="Arial Narrow" w:hAnsi="Arial Narrow"/>
                <w:sz w:val="20"/>
              </w:rPr>
              <w:t>$</w:t>
            </w:r>
            <w:r w:rsidR="006D3878">
              <w:rPr>
                <w:rFonts w:ascii="Arial Narrow" w:hAnsi="Arial Narrow"/>
                <w:noProof/>
                <w:color w:val="000000"/>
                <w:sz w:val="20"/>
                <w:highlight w:val="black"/>
              </w:rPr>
              <w:t>''''''''''''</w:t>
            </w:r>
            <w:r w:rsidRPr="003A7D72">
              <w:rPr>
                <w:rFonts w:ascii="Arial Narrow" w:hAnsi="Arial Narrow"/>
                <w:sz w:val="20"/>
              </w:rPr>
              <w:t xml:space="preserve"> (50% of base case)</w:t>
            </w:r>
          </w:p>
          <w:p w:rsidR="00192797" w:rsidRPr="003A7D72" w:rsidRDefault="00192797" w:rsidP="00192797">
            <w:pPr>
              <w:widowControl/>
              <w:ind w:left="114"/>
              <w:jc w:val="left"/>
              <w:rPr>
                <w:rFonts w:ascii="Arial Narrow" w:hAnsi="Arial Narrow"/>
                <w:sz w:val="20"/>
              </w:rPr>
            </w:pPr>
            <w:r w:rsidRPr="003A7D72">
              <w:rPr>
                <w:rFonts w:ascii="Arial Narrow" w:hAnsi="Arial Narrow"/>
                <w:sz w:val="20"/>
              </w:rPr>
              <w:t>$</w:t>
            </w:r>
            <w:r w:rsidR="006D3878">
              <w:rPr>
                <w:rFonts w:ascii="Arial Narrow" w:hAnsi="Arial Narrow"/>
                <w:noProof/>
                <w:color w:val="000000"/>
                <w:sz w:val="20"/>
                <w:highlight w:val="black"/>
              </w:rPr>
              <w:t>'''''''''''''</w:t>
            </w:r>
            <w:r w:rsidRPr="003A7D72">
              <w:rPr>
                <w:rFonts w:ascii="Arial Narrow" w:hAnsi="Arial Narrow"/>
                <w:sz w:val="20"/>
              </w:rPr>
              <w:t xml:space="preserve"> (25% of  base case)</w:t>
            </w:r>
          </w:p>
          <w:p w:rsidR="00192797" w:rsidRPr="003A7D72" w:rsidRDefault="00192797" w:rsidP="00192797">
            <w:pPr>
              <w:widowControl/>
              <w:ind w:left="114"/>
              <w:jc w:val="left"/>
              <w:rPr>
                <w:rFonts w:ascii="Arial Narrow" w:hAnsi="Arial Narrow"/>
                <w:sz w:val="20"/>
              </w:rPr>
            </w:pPr>
            <w:r w:rsidRPr="003A7D72">
              <w:rPr>
                <w:rFonts w:ascii="Arial Narrow" w:hAnsi="Arial Narrow"/>
                <w:sz w:val="20"/>
              </w:rPr>
              <w:t xml:space="preserve">    $</w:t>
            </w:r>
            <w:r w:rsidR="006D3878">
              <w:rPr>
                <w:rFonts w:ascii="Arial Narrow" w:hAnsi="Arial Narrow"/>
                <w:noProof/>
                <w:color w:val="000000"/>
                <w:sz w:val="20"/>
                <w:highlight w:val="black"/>
              </w:rPr>
              <w:t>''''''''''</w:t>
            </w:r>
            <w:r w:rsidRPr="003A7D72">
              <w:rPr>
                <w:rFonts w:ascii="Arial Narrow" w:hAnsi="Arial Narrow"/>
                <w:sz w:val="20"/>
              </w:rPr>
              <w:t xml:space="preserve"> (12.5% of the base case)</w:t>
            </w:r>
          </w:p>
          <w:p w:rsidR="00192797" w:rsidRPr="003A7D72" w:rsidRDefault="00192797" w:rsidP="00192797">
            <w:pPr>
              <w:widowControl/>
              <w:ind w:left="114"/>
              <w:jc w:val="left"/>
              <w:rPr>
                <w:rFonts w:ascii="Arial Narrow" w:hAnsi="Arial Narrow"/>
                <w:sz w:val="20"/>
              </w:rPr>
            </w:pPr>
            <w:r w:rsidRPr="003A7D72">
              <w:rPr>
                <w:rFonts w:ascii="Arial Narrow" w:hAnsi="Arial Narrow"/>
                <w:sz w:val="20"/>
              </w:rPr>
              <w:t>$</w:t>
            </w:r>
            <w:r w:rsidR="006D3878">
              <w:rPr>
                <w:rFonts w:ascii="Arial Narrow" w:hAnsi="Arial Narrow"/>
                <w:noProof/>
                <w:color w:val="000000"/>
                <w:sz w:val="20"/>
                <w:highlight w:val="black"/>
              </w:rPr>
              <w:t>''''''''''''</w:t>
            </w:r>
          </w:p>
          <w:p w:rsidR="00192797" w:rsidRPr="003A7D72" w:rsidRDefault="00192797" w:rsidP="00192797">
            <w:pPr>
              <w:widowControl/>
              <w:ind w:left="114"/>
              <w:jc w:val="left"/>
              <w:rPr>
                <w:rFonts w:ascii="Arial Narrow" w:hAnsi="Arial Narrow"/>
                <w:sz w:val="20"/>
              </w:rPr>
            </w:pPr>
            <w:r w:rsidRPr="003A7D72">
              <w:rPr>
                <w:rFonts w:ascii="Arial Narrow" w:hAnsi="Arial Narrow"/>
                <w:sz w:val="20"/>
              </w:rPr>
              <w:t xml:space="preserve">    $</w:t>
            </w:r>
            <w:r w:rsidR="006D3878">
              <w:rPr>
                <w:rFonts w:ascii="Arial Narrow" w:hAnsi="Arial Narrow"/>
                <w:noProof/>
                <w:color w:val="000000"/>
                <w:sz w:val="20"/>
                <w:highlight w:val="black"/>
              </w:rPr>
              <w:t>'''''''''</w:t>
            </w:r>
          </w:p>
        </w:tc>
        <w:tc>
          <w:tcPr>
            <w:tcW w:w="593" w:type="pct"/>
            <w:tcBorders>
              <w:top w:val="single" w:sz="4" w:space="0" w:color="auto"/>
              <w:left w:val="single" w:sz="4" w:space="0" w:color="auto"/>
              <w:bottom w:val="single" w:sz="4" w:space="0" w:color="auto"/>
              <w:right w:val="single" w:sz="4" w:space="0" w:color="auto"/>
            </w:tcBorders>
            <w:vAlign w:val="center"/>
          </w:tcPr>
          <w:p w:rsidR="00192797" w:rsidRPr="003A7D72" w:rsidRDefault="00192797" w:rsidP="00192797">
            <w:pPr>
              <w:widowControl/>
              <w:jc w:val="right"/>
              <w:rPr>
                <w:rFonts w:ascii="Arial Narrow" w:hAnsi="Arial Narrow"/>
                <w:sz w:val="20"/>
              </w:rPr>
            </w:pPr>
          </w:p>
          <w:p w:rsidR="00192797" w:rsidRPr="003A7D72" w:rsidRDefault="00192797" w:rsidP="00192797">
            <w:pPr>
              <w:widowControl/>
              <w:jc w:val="right"/>
              <w:rPr>
                <w:rFonts w:ascii="Arial Narrow" w:hAnsi="Arial Narrow"/>
                <w:sz w:val="20"/>
              </w:rPr>
            </w:pPr>
            <w:r w:rsidRPr="003A7D72">
              <w:rPr>
                <w:rFonts w:ascii="Arial Narrow" w:hAnsi="Arial Narrow"/>
                <w:sz w:val="20"/>
              </w:rPr>
              <w:t>$</w:t>
            </w:r>
            <w:r w:rsidR="006D3878">
              <w:rPr>
                <w:rFonts w:ascii="Arial Narrow" w:hAnsi="Arial Narrow"/>
                <w:noProof/>
                <w:color w:val="000000"/>
                <w:sz w:val="20"/>
                <w:highlight w:val="black"/>
              </w:rPr>
              <w:t>''''''''''''''''</w:t>
            </w:r>
          </w:p>
          <w:p w:rsidR="00192797" w:rsidRPr="003A7D72" w:rsidRDefault="00192797" w:rsidP="00192797">
            <w:pPr>
              <w:widowControl/>
              <w:jc w:val="right"/>
              <w:rPr>
                <w:rFonts w:ascii="Arial Narrow" w:hAnsi="Arial Narrow"/>
                <w:sz w:val="20"/>
              </w:rPr>
            </w:pPr>
            <w:r w:rsidRPr="003A7D72">
              <w:rPr>
                <w:rFonts w:ascii="Arial Narrow" w:hAnsi="Arial Narrow"/>
                <w:sz w:val="20"/>
              </w:rPr>
              <w:t>$</w:t>
            </w:r>
            <w:r w:rsidR="006D3878">
              <w:rPr>
                <w:rFonts w:ascii="Arial Narrow" w:hAnsi="Arial Narrow"/>
                <w:noProof/>
                <w:color w:val="000000"/>
                <w:sz w:val="20"/>
                <w:highlight w:val="black"/>
              </w:rPr>
              <w:t>'''''''''''''''</w:t>
            </w:r>
          </w:p>
          <w:p w:rsidR="00192797" w:rsidRPr="003A7D72" w:rsidRDefault="00192797" w:rsidP="00192797">
            <w:pPr>
              <w:widowControl/>
              <w:jc w:val="right"/>
              <w:rPr>
                <w:rFonts w:ascii="Arial Narrow" w:hAnsi="Arial Narrow"/>
                <w:sz w:val="20"/>
              </w:rPr>
            </w:pPr>
            <w:r w:rsidRPr="003A7D72">
              <w:rPr>
                <w:rFonts w:ascii="Arial Narrow" w:hAnsi="Arial Narrow"/>
                <w:sz w:val="20"/>
              </w:rPr>
              <w:t>$</w:t>
            </w:r>
            <w:r w:rsidR="006D3878">
              <w:rPr>
                <w:rFonts w:ascii="Arial Narrow" w:hAnsi="Arial Narrow"/>
                <w:noProof/>
                <w:color w:val="000000"/>
                <w:sz w:val="20"/>
                <w:highlight w:val="black"/>
              </w:rPr>
              <w:t>''''''''''''''''</w:t>
            </w:r>
          </w:p>
          <w:p w:rsidR="00192797" w:rsidRPr="003A7D72" w:rsidRDefault="00192797" w:rsidP="00192797">
            <w:pPr>
              <w:widowControl/>
              <w:jc w:val="right"/>
              <w:rPr>
                <w:rFonts w:ascii="Arial Narrow" w:hAnsi="Arial Narrow"/>
                <w:sz w:val="20"/>
              </w:rPr>
            </w:pPr>
            <w:r w:rsidRPr="003A7D72">
              <w:rPr>
                <w:rFonts w:ascii="Arial Narrow" w:hAnsi="Arial Narrow"/>
                <w:sz w:val="20"/>
              </w:rPr>
              <w:t>$</w:t>
            </w:r>
            <w:r w:rsidR="006D3878">
              <w:rPr>
                <w:rFonts w:ascii="Arial Narrow" w:hAnsi="Arial Narrow"/>
                <w:noProof/>
                <w:color w:val="000000"/>
                <w:sz w:val="20"/>
                <w:highlight w:val="black"/>
              </w:rPr>
              <w:t>''''''''''''''''</w:t>
            </w:r>
          </w:p>
          <w:p w:rsidR="00192797" w:rsidRPr="003A7D72" w:rsidRDefault="00192797" w:rsidP="00192797">
            <w:pPr>
              <w:widowControl/>
              <w:jc w:val="right"/>
              <w:rPr>
                <w:rFonts w:ascii="Arial Narrow" w:hAnsi="Arial Narrow"/>
                <w:sz w:val="20"/>
              </w:rPr>
            </w:pPr>
            <w:r w:rsidRPr="003A7D72">
              <w:rPr>
                <w:rFonts w:ascii="Arial Narrow" w:hAnsi="Arial Narrow"/>
                <w:sz w:val="20"/>
              </w:rPr>
              <w:t>$</w:t>
            </w:r>
            <w:r w:rsidR="006D3878">
              <w:rPr>
                <w:rFonts w:ascii="Arial Narrow" w:hAnsi="Arial Narrow"/>
                <w:noProof/>
                <w:color w:val="000000"/>
                <w:sz w:val="20"/>
                <w:highlight w:val="black"/>
              </w:rPr>
              <w:t>'''''''''''''''''</w:t>
            </w:r>
          </w:p>
        </w:tc>
        <w:tc>
          <w:tcPr>
            <w:tcW w:w="679" w:type="pct"/>
            <w:tcBorders>
              <w:top w:val="single" w:sz="4" w:space="0" w:color="auto"/>
              <w:left w:val="single" w:sz="4" w:space="0" w:color="auto"/>
              <w:bottom w:val="single" w:sz="4" w:space="0" w:color="auto"/>
              <w:right w:val="single" w:sz="4" w:space="0" w:color="auto"/>
            </w:tcBorders>
            <w:vAlign w:val="center"/>
          </w:tcPr>
          <w:p w:rsidR="00192797" w:rsidRPr="003A7D72" w:rsidRDefault="00192797" w:rsidP="00192797">
            <w:pPr>
              <w:widowControl/>
              <w:jc w:val="center"/>
              <w:rPr>
                <w:rFonts w:ascii="Arial Narrow" w:hAnsi="Arial Narrow"/>
                <w:sz w:val="20"/>
              </w:rPr>
            </w:pPr>
          </w:p>
          <w:p w:rsidR="00192797" w:rsidRPr="003A7D72" w:rsidRDefault="00192797" w:rsidP="00192797">
            <w:pPr>
              <w:widowControl/>
              <w:jc w:val="center"/>
              <w:rPr>
                <w:rFonts w:ascii="Arial Narrow" w:hAnsi="Arial Narrow"/>
                <w:sz w:val="20"/>
              </w:rPr>
            </w:pPr>
            <w:r w:rsidRPr="003A7D72">
              <w:rPr>
                <w:rFonts w:ascii="Arial Narrow" w:hAnsi="Arial Narrow"/>
                <w:sz w:val="20"/>
              </w:rPr>
              <w:t>1.15</w:t>
            </w:r>
          </w:p>
          <w:p w:rsidR="00192797" w:rsidRPr="003A7D72" w:rsidRDefault="00192797" w:rsidP="00192797">
            <w:pPr>
              <w:widowControl/>
              <w:jc w:val="center"/>
              <w:rPr>
                <w:rFonts w:ascii="Arial Narrow" w:hAnsi="Arial Narrow"/>
                <w:sz w:val="20"/>
              </w:rPr>
            </w:pPr>
            <w:r w:rsidRPr="003A7D72">
              <w:rPr>
                <w:rFonts w:ascii="Arial Narrow" w:hAnsi="Arial Narrow"/>
                <w:sz w:val="20"/>
              </w:rPr>
              <w:t>1.15</w:t>
            </w:r>
          </w:p>
          <w:p w:rsidR="00192797" w:rsidRPr="003A7D72" w:rsidRDefault="00192797" w:rsidP="00192797">
            <w:pPr>
              <w:widowControl/>
              <w:jc w:val="center"/>
              <w:rPr>
                <w:rFonts w:ascii="Arial Narrow" w:hAnsi="Arial Narrow"/>
                <w:sz w:val="20"/>
              </w:rPr>
            </w:pPr>
            <w:r w:rsidRPr="003A7D72">
              <w:rPr>
                <w:rFonts w:ascii="Arial Narrow" w:hAnsi="Arial Narrow"/>
                <w:sz w:val="20"/>
              </w:rPr>
              <w:t>1.15</w:t>
            </w:r>
          </w:p>
          <w:p w:rsidR="00192797" w:rsidRPr="003A7D72" w:rsidRDefault="00192797" w:rsidP="00192797">
            <w:pPr>
              <w:widowControl/>
              <w:jc w:val="center"/>
              <w:rPr>
                <w:rFonts w:ascii="Arial Narrow" w:hAnsi="Arial Narrow"/>
                <w:sz w:val="20"/>
              </w:rPr>
            </w:pPr>
            <w:r w:rsidRPr="003A7D72">
              <w:rPr>
                <w:rFonts w:ascii="Arial Narrow" w:hAnsi="Arial Narrow"/>
                <w:sz w:val="20"/>
              </w:rPr>
              <w:t>1.15</w:t>
            </w:r>
          </w:p>
          <w:p w:rsidR="00192797" w:rsidRPr="003A7D72" w:rsidRDefault="00192797" w:rsidP="00192797">
            <w:pPr>
              <w:widowControl/>
              <w:jc w:val="center"/>
              <w:rPr>
                <w:rFonts w:ascii="Arial Narrow" w:hAnsi="Arial Narrow"/>
                <w:sz w:val="20"/>
              </w:rPr>
            </w:pPr>
            <w:r w:rsidRPr="003A7D72">
              <w:rPr>
                <w:rFonts w:ascii="Arial Narrow" w:hAnsi="Arial Narrow"/>
                <w:sz w:val="20"/>
              </w:rPr>
              <w:t>1.15</w:t>
            </w:r>
          </w:p>
        </w:tc>
        <w:tc>
          <w:tcPr>
            <w:tcW w:w="925" w:type="pct"/>
            <w:tcBorders>
              <w:top w:val="single" w:sz="4" w:space="0" w:color="auto"/>
              <w:left w:val="single" w:sz="4" w:space="0" w:color="auto"/>
              <w:bottom w:val="single" w:sz="4" w:space="0" w:color="auto"/>
              <w:right w:val="single" w:sz="4" w:space="0" w:color="auto"/>
            </w:tcBorders>
            <w:vAlign w:val="center"/>
          </w:tcPr>
          <w:p w:rsidR="00192797" w:rsidRPr="003A7D72" w:rsidRDefault="00192797" w:rsidP="00192797">
            <w:pPr>
              <w:widowControl/>
              <w:jc w:val="right"/>
              <w:rPr>
                <w:rFonts w:ascii="Arial Narrow" w:hAnsi="Arial Narrow"/>
                <w:sz w:val="20"/>
              </w:rPr>
            </w:pPr>
          </w:p>
          <w:p w:rsidR="00192797" w:rsidRPr="003A7D72" w:rsidRDefault="00192797" w:rsidP="00192797">
            <w:pPr>
              <w:widowControl/>
              <w:jc w:val="right"/>
              <w:rPr>
                <w:rFonts w:ascii="Arial Narrow" w:hAnsi="Arial Narrow"/>
                <w:sz w:val="20"/>
              </w:rPr>
            </w:pPr>
            <w:r w:rsidRPr="003A7D72">
              <w:rPr>
                <w:rFonts w:ascii="Arial Narrow" w:hAnsi="Arial Narrow"/>
                <w:sz w:val="20"/>
              </w:rPr>
              <w:t>$</w:t>
            </w:r>
            <w:r w:rsidR="006D3878">
              <w:rPr>
                <w:rFonts w:ascii="Arial Narrow" w:hAnsi="Arial Narrow"/>
                <w:noProof/>
                <w:color w:val="000000"/>
                <w:sz w:val="20"/>
                <w:highlight w:val="black"/>
              </w:rPr>
              <w:t>''''''''''''''''</w:t>
            </w:r>
          </w:p>
          <w:p w:rsidR="00192797" w:rsidRPr="003A7D72" w:rsidRDefault="00192797" w:rsidP="00192797">
            <w:pPr>
              <w:widowControl/>
              <w:jc w:val="right"/>
              <w:rPr>
                <w:rFonts w:ascii="Arial Narrow" w:hAnsi="Arial Narrow"/>
                <w:sz w:val="20"/>
              </w:rPr>
            </w:pPr>
            <w:r w:rsidRPr="003A7D72">
              <w:rPr>
                <w:rFonts w:ascii="Arial Narrow" w:hAnsi="Arial Narrow"/>
                <w:sz w:val="20"/>
              </w:rPr>
              <w:t>$</w:t>
            </w:r>
            <w:r w:rsidR="006D3878">
              <w:rPr>
                <w:rFonts w:ascii="Arial Narrow" w:hAnsi="Arial Narrow"/>
                <w:noProof/>
                <w:color w:val="000000"/>
                <w:sz w:val="20"/>
                <w:highlight w:val="black"/>
              </w:rPr>
              <w:t>''''''''''''''''</w:t>
            </w:r>
          </w:p>
          <w:p w:rsidR="00192797" w:rsidRPr="003A7D72" w:rsidRDefault="00192797" w:rsidP="00192797">
            <w:pPr>
              <w:widowControl/>
              <w:jc w:val="right"/>
              <w:rPr>
                <w:rFonts w:ascii="Arial Narrow" w:hAnsi="Arial Narrow"/>
                <w:sz w:val="20"/>
              </w:rPr>
            </w:pPr>
            <w:r w:rsidRPr="003A7D72">
              <w:rPr>
                <w:rFonts w:ascii="Arial Narrow" w:hAnsi="Arial Narrow"/>
                <w:sz w:val="20"/>
              </w:rPr>
              <w:t>$</w:t>
            </w:r>
            <w:r w:rsidR="006D3878">
              <w:rPr>
                <w:rFonts w:ascii="Arial Narrow" w:hAnsi="Arial Narrow"/>
                <w:noProof/>
                <w:color w:val="000000"/>
                <w:sz w:val="20"/>
                <w:highlight w:val="black"/>
              </w:rPr>
              <w:t>'''''''''''''''''</w:t>
            </w:r>
          </w:p>
          <w:p w:rsidR="00192797" w:rsidRPr="003A7D72" w:rsidRDefault="00192797" w:rsidP="00192797">
            <w:pPr>
              <w:widowControl/>
              <w:jc w:val="right"/>
              <w:rPr>
                <w:rFonts w:ascii="Arial Narrow" w:hAnsi="Arial Narrow"/>
                <w:sz w:val="20"/>
              </w:rPr>
            </w:pPr>
            <w:r w:rsidRPr="003A7D72">
              <w:rPr>
                <w:rFonts w:ascii="Arial Narrow" w:hAnsi="Arial Narrow"/>
                <w:sz w:val="20"/>
              </w:rPr>
              <w:t>$</w:t>
            </w:r>
            <w:r w:rsidR="006D3878">
              <w:rPr>
                <w:rFonts w:ascii="Arial Narrow" w:hAnsi="Arial Narrow"/>
                <w:noProof/>
                <w:color w:val="000000"/>
                <w:sz w:val="20"/>
                <w:highlight w:val="black"/>
              </w:rPr>
              <w:t>'''''''''''''''</w:t>
            </w:r>
          </w:p>
          <w:p w:rsidR="00192797" w:rsidRPr="003A7D72" w:rsidRDefault="00192797" w:rsidP="00192797">
            <w:pPr>
              <w:widowControl/>
              <w:jc w:val="right"/>
              <w:rPr>
                <w:rFonts w:ascii="Arial Narrow" w:hAnsi="Arial Narrow"/>
                <w:sz w:val="20"/>
              </w:rPr>
            </w:pPr>
            <w:r w:rsidRPr="003A7D72">
              <w:rPr>
                <w:rFonts w:ascii="Arial Narrow" w:hAnsi="Arial Narrow"/>
                <w:sz w:val="20"/>
              </w:rPr>
              <w:t>$</w:t>
            </w:r>
            <w:r w:rsidR="006D3878">
              <w:rPr>
                <w:rFonts w:ascii="Arial Narrow" w:hAnsi="Arial Narrow"/>
                <w:noProof/>
                <w:color w:val="000000"/>
                <w:sz w:val="20"/>
                <w:highlight w:val="black"/>
              </w:rPr>
              <w:t>'''''''''''''''''</w:t>
            </w:r>
          </w:p>
        </w:tc>
      </w:tr>
    </w:tbl>
    <w:p w:rsidR="00192797" w:rsidRPr="003A7D72" w:rsidRDefault="00192797" w:rsidP="00192797">
      <w:pPr>
        <w:pStyle w:val="TableFooter"/>
        <w:widowControl/>
        <w:ind w:left="709"/>
      </w:pPr>
      <w:r w:rsidRPr="003A7D72">
        <w:t>Source: Section D Excel workbook; and calculated during evaluation</w:t>
      </w:r>
    </w:p>
    <w:p w:rsidR="00192797" w:rsidRDefault="00192797" w:rsidP="00192797">
      <w:pPr>
        <w:pStyle w:val="TableFooter"/>
        <w:widowControl/>
        <w:ind w:left="709"/>
        <w:rPr>
          <w:sz w:val="20"/>
        </w:rPr>
      </w:pPr>
      <w:r>
        <w:t>HR = hazard ratio; OS = overall survival; PFS = progression free survival; CI = confidence interval; QALY = quality-adjusted life year; ICER = incremental cost-effectiveness ratio;</w:t>
      </w:r>
      <w:r w:rsidRPr="007808DA">
        <w:t xml:space="preserve"> </w:t>
      </w:r>
      <w:r>
        <w:t>ITT = intention-to-treat;</w:t>
      </w:r>
      <w:r w:rsidRPr="007808DA">
        <w:t xml:space="preserve"> </w:t>
      </w:r>
      <w:r>
        <w:t>RPSFT = </w:t>
      </w:r>
      <w:r w:rsidRPr="00570A2C">
        <w:t>rank preserving structural failure time</w:t>
      </w:r>
      <w:r>
        <w:t xml:space="preserve">; DPMQ = </w:t>
      </w:r>
      <w:r w:rsidRPr="00004922">
        <w:rPr>
          <w:szCs w:val="18"/>
        </w:rPr>
        <w:t>dispensed price for maximum quantity</w:t>
      </w:r>
    </w:p>
    <w:p w:rsidR="00192797" w:rsidRPr="003A7D72" w:rsidRDefault="00192797" w:rsidP="003A7D72">
      <w:pPr>
        <w:pStyle w:val="TableFooter"/>
        <w:widowControl/>
        <w:rPr>
          <w:rFonts w:ascii="Arial" w:hAnsi="Arial"/>
          <w:sz w:val="22"/>
          <w:szCs w:val="22"/>
        </w:rPr>
      </w:pPr>
    </w:p>
    <w:p w:rsidR="00192797" w:rsidRPr="0054481D" w:rsidRDefault="00192797" w:rsidP="002F2EF1">
      <w:pPr>
        <w:pStyle w:val="ListParagraph"/>
        <w:keepNext/>
        <w:widowControl/>
        <w:numPr>
          <w:ilvl w:val="1"/>
          <w:numId w:val="5"/>
        </w:numPr>
        <w:rPr>
          <w:sz w:val="20"/>
        </w:rPr>
      </w:pPr>
      <w:r w:rsidRPr="0054481D">
        <w:t>The PBAC considered that the RPSFT analysis presented in the sensitivity analysis estimate</w:t>
      </w:r>
      <w:r w:rsidR="0095594E">
        <w:t>d</w:t>
      </w:r>
      <w:r w:rsidRPr="0054481D">
        <w:t xml:space="preserve"> the lower bound of the ICER</w:t>
      </w:r>
      <w:r w:rsidR="0054481D">
        <w:t xml:space="preserve"> </w:t>
      </w:r>
      <w:r w:rsidR="0095594E">
        <w:t>at</w:t>
      </w:r>
      <w:r w:rsidR="0054481D">
        <w:t xml:space="preserve"> </w:t>
      </w:r>
      <w:r w:rsidR="002F2EF1" w:rsidRPr="002F2EF1">
        <w:t>$75,000</w:t>
      </w:r>
      <w:r w:rsidR="00361A82">
        <w:t xml:space="preserve">/QALY </w:t>
      </w:r>
      <w:r w:rsidR="002F2EF1" w:rsidRPr="002F2EF1">
        <w:t>- $105,000</w:t>
      </w:r>
      <w:r w:rsidR="002C2D07">
        <w:t>/</w:t>
      </w:r>
      <w:r w:rsidR="0095594E">
        <w:t xml:space="preserve"> QALY.</w:t>
      </w:r>
    </w:p>
    <w:p w:rsidR="00192797" w:rsidRDefault="00192797" w:rsidP="002D271D">
      <w:pPr>
        <w:widowControl/>
        <w:rPr>
          <w:szCs w:val="22"/>
        </w:rPr>
      </w:pPr>
    </w:p>
    <w:p w:rsidR="002D271D" w:rsidRPr="0095594E" w:rsidRDefault="002D271D" w:rsidP="00775D14">
      <w:pPr>
        <w:pStyle w:val="Heading2"/>
        <w:keepNext/>
        <w:rPr>
          <w:i/>
        </w:rPr>
      </w:pPr>
      <w:bookmarkStart w:id="14" w:name="_Toc430012386"/>
      <w:proofErr w:type="gramStart"/>
      <w:r w:rsidRPr="00DB10B2">
        <w:t>Drug cost/patient/course</w:t>
      </w:r>
      <w:r w:rsidRPr="0095594E">
        <w:rPr>
          <w:i/>
        </w:rPr>
        <w:t>: $</w:t>
      </w:r>
      <w:r w:rsidR="006D3878">
        <w:rPr>
          <w:i/>
          <w:noProof/>
          <w:color w:val="000000"/>
          <w:highlight w:val="black"/>
        </w:rPr>
        <w:t>'''''''''''''</w:t>
      </w:r>
      <w:r w:rsidRPr="0095594E">
        <w:rPr>
          <w:i/>
        </w:rPr>
        <w:t>.</w:t>
      </w:r>
      <w:bookmarkEnd w:id="14"/>
      <w:proofErr w:type="gramEnd"/>
    </w:p>
    <w:p w:rsidR="00A310A4" w:rsidRPr="00A310A4" w:rsidRDefault="00A310A4" w:rsidP="00775D14">
      <w:pPr>
        <w:keepNext/>
      </w:pPr>
    </w:p>
    <w:p w:rsidR="00A310A4" w:rsidRPr="00876931" w:rsidRDefault="00A310A4" w:rsidP="00775D14">
      <w:pPr>
        <w:pStyle w:val="ListParagraph"/>
        <w:keepNext/>
        <w:widowControl/>
        <w:numPr>
          <w:ilvl w:val="1"/>
          <w:numId w:val="5"/>
        </w:numPr>
        <w:rPr>
          <w:szCs w:val="22"/>
        </w:rPr>
      </w:pPr>
      <w:r>
        <w:rPr>
          <w:szCs w:val="22"/>
        </w:rPr>
        <w:t xml:space="preserve">This was based on a mean duration of treatment of </w:t>
      </w:r>
      <w:r w:rsidRPr="00496601">
        <w:rPr>
          <w:szCs w:val="22"/>
        </w:rPr>
        <w:t>21.6</w:t>
      </w:r>
      <w:r>
        <w:rPr>
          <w:szCs w:val="22"/>
        </w:rPr>
        <w:t xml:space="preserve"> months</w:t>
      </w:r>
      <w:r w:rsidR="007B4183">
        <w:rPr>
          <w:szCs w:val="22"/>
        </w:rPr>
        <w:t xml:space="preserve"> (</w:t>
      </w:r>
      <w:r w:rsidR="00BB180F">
        <w:rPr>
          <w:szCs w:val="22"/>
        </w:rPr>
        <w:t>mean progression free survival duration estimated in the economic model</w:t>
      </w:r>
      <w:r w:rsidR="007B4183">
        <w:rPr>
          <w:szCs w:val="22"/>
        </w:rPr>
        <w:t>)</w:t>
      </w:r>
      <w:r>
        <w:rPr>
          <w:szCs w:val="22"/>
        </w:rPr>
        <w:t xml:space="preserve">, </w:t>
      </w:r>
      <w:r w:rsidR="00BB180F">
        <w:rPr>
          <w:szCs w:val="22"/>
        </w:rPr>
        <w:t xml:space="preserve">92.7% dose intensity </w:t>
      </w:r>
      <w:r w:rsidR="007B4183">
        <w:rPr>
          <w:szCs w:val="22"/>
        </w:rPr>
        <w:t>(</w:t>
      </w:r>
      <w:r w:rsidR="00BB180F">
        <w:rPr>
          <w:szCs w:val="22"/>
        </w:rPr>
        <w:t xml:space="preserve">calculated from </w:t>
      </w:r>
      <w:r w:rsidR="007B4183">
        <w:rPr>
          <w:szCs w:val="22"/>
        </w:rPr>
        <w:t>Trial 312-0116)</w:t>
      </w:r>
      <w:r w:rsidR="00BB180F">
        <w:rPr>
          <w:szCs w:val="22"/>
        </w:rPr>
        <w:t xml:space="preserve">, </w:t>
      </w:r>
      <w:r>
        <w:rPr>
          <w:szCs w:val="22"/>
        </w:rPr>
        <w:t>and a pack cost of $</w:t>
      </w:r>
      <w:r w:rsidR="006D3878">
        <w:rPr>
          <w:noProof/>
          <w:color w:val="000000"/>
          <w:szCs w:val="22"/>
          <w:highlight w:val="black"/>
        </w:rPr>
        <w:t>'''''''''''''''''''''''</w:t>
      </w:r>
      <w:r w:rsidR="00BB180F">
        <w:rPr>
          <w:szCs w:val="22"/>
        </w:rPr>
        <w:t xml:space="preserve"> (effective price)</w:t>
      </w:r>
      <w:r w:rsidR="00876931">
        <w:rPr>
          <w:szCs w:val="22"/>
        </w:rPr>
        <w:t>.</w:t>
      </w:r>
    </w:p>
    <w:p w:rsidR="00C25D9C" w:rsidRDefault="00C25D9C" w:rsidP="00C25D9C">
      <w:pPr>
        <w:widowControl/>
        <w:rPr>
          <w:szCs w:val="22"/>
        </w:rPr>
      </w:pPr>
    </w:p>
    <w:p w:rsidR="00B60939" w:rsidRPr="001E3D25" w:rsidRDefault="00B60939" w:rsidP="00DB10B2">
      <w:pPr>
        <w:pStyle w:val="Heading2"/>
      </w:pPr>
      <w:bookmarkStart w:id="15" w:name="_Toc430012387"/>
      <w:r w:rsidRPr="001E3D25">
        <w:lastRenderedPageBreak/>
        <w:t>Estimated PBS usage &amp; financial implications</w:t>
      </w:r>
      <w:bookmarkEnd w:id="15"/>
    </w:p>
    <w:p w:rsidR="00B60939" w:rsidRPr="00882085" w:rsidRDefault="00B60939" w:rsidP="00497F10"/>
    <w:p w:rsidR="00C13499" w:rsidRPr="00174DB9" w:rsidRDefault="00A310A4" w:rsidP="00876931">
      <w:pPr>
        <w:pStyle w:val="ListParagraph"/>
        <w:widowControl/>
        <w:numPr>
          <w:ilvl w:val="1"/>
          <w:numId w:val="5"/>
        </w:numPr>
      </w:pPr>
      <w:r>
        <w:t xml:space="preserve">This </w:t>
      </w:r>
      <w:r w:rsidR="00221C1A">
        <w:t xml:space="preserve">resubmission </w:t>
      </w:r>
      <w:r w:rsidR="00710C50">
        <w:t>was</w:t>
      </w:r>
      <w:r>
        <w:t xml:space="preserve"> not considered by DUSC. The </w:t>
      </w:r>
      <w:r w:rsidR="000A431C">
        <w:t>re</w:t>
      </w:r>
      <w:r>
        <w:t xml:space="preserve">submission combined the epidemiological and market share approaches to assess utilisation and costs of </w:t>
      </w:r>
      <w:r w:rsidRPr="00174DB9">
        <w:t>idelalisib over a five year period</w:t>
      </w:r>
      <w:r w:rsidR="0054481D">
        <w:t xml:space="preserve">. </w:t>
      </w:r>
      <w:r w:rsidR="00C13499" w:rsidRPr="00174DB9">
        <w:t xml:space="preserve">The financial estimate method was not altered from the previous submission. A number of issues presented in the March </w:t>
      </w:r>
      <w:r w:rsidR="0004473E" w:rsidRPr="00174DB9">
        <w:t xml:space="preserve">2015 </w:t>
      </w:r>
      <w:r w:rsidR="00C13499" w:rsidRPr="00174DB9">
        <w:t xml:space="preserve">PBAC meeting </w:t>
      </w:r>
      <w:r w:rsidR="0095594E">
        <w:t>were</w:t>
      </w:r>
      <w:r w:rsidR="00C13499" w:rsidRPr="00174DB9">
        <w:t xml:space="preserve"> not appropriately addressed, such as:</w:t>
      </w:r>
    </w:p>
    <w:p w:rsidR="00C13499" w:rsidRDefault="00C13499" w:rsidP="00784924">
      <w:pPr>
        <w:pStyle w:val="BodyText"/>
        <w:numPr>
          <w:ilvl w:val="0"/>
          <w:numId w:val="64"/>
        </w:numPr>
        <w:ind w:left="1134"/>
      </w:pPr>
      <w:r>
        <w:t>The inappropriate estimates used to calculate initiating and continuing patients</w:t>
      </w:r>
      <w:r w:rsidR="007B4183">
        <w:t xml:space="preserve"> </w:t>
      </w:r>
      <w:r w:rsidR="007B4183" w:rsidRPr="00174DB9">
        <w:t>(PBAC 7.12)</w:t>
      </w:r>
      <w:r w:rsidRPr="00174DB9">
        <w:t xml:space="preserve">. This method was </w:t>
      </w:r>
      <w:r w:rsidR="007B4183" w:rsidRPr="00174DB9">
        <w:t>un</w:t>
      </w:r>
      <w:r w:rsidRPr="00174DB9">
        <w:t>changed.</w:t>
      </w:r>
    </w:p>
    <w:p w:rsidR="00A310A4" w:rsidRDefault="00C13499" w:rsidP="00876931">
      <w:pPr>
        <w:pStyle w:val="BodyText"/>
        <w:numPr>
          <w:ilvl w:val="0"/>
          <w:numId w:val="64"/>
        </w:numPr>
        <w:ind w:left="1134"/>
      </w:pPr>
      <w:r>
        <w:t xml:space="preserve">The inappropriate use of rituximab monotherapy as a cost offset as it would not </w:t>
      </w:r>
      <w:r w:rsidRPr="001E7DC5">
        <w:t>be in line with proposed PBS restrictions</w:t>
      </w:r>
      <w:r w:rsidR="007B4183" w:rsidRPr="001E7DC5">
        <w:t xml:space="preserve"> (PBAC 7.13)</w:t>
      </w:r>
      <w:r w:rsidRPr="001E7DC5">
        <w:t xml:space="preserve">. This was </w:t>
      </w:r>
      <w:r w:rsidR="007B4183" w:rsidRPr="001E7DC5">
        <w:t>un</w:t>
      </w:r>
      <w:r w:rsidRPr="001E7DC5">
        <w:t xml:space="preserve">changed in </w:t>
      </w:r>
      <w:r w:rsidR="00853D18">
        <w:t xml:space="preserve">the </w:t>
      </w:r>
      <w:r w:rsidRPr="001E7DC5">
        <w:t>base case.</w:t>
      </w:r>
      <w:r w:rsidR="00036CAB">
        <w:t xml:space="preserve"> </w:t>
      </w:r>
      <w:r w:rsidR="00036CAB" w:rsidRPr="00805CD1">
        <w:t>The PSCR (p4) reaffirmed that rituximab monotherapy should be included in the financial estimates</w:t>
      </w:r>
      <w:r w:rsidR="00036CAB" w:rsidRPr="002032A6">
        <w:rPr>
          <w:i/>
        </w:rPr>
        <w:t>.</w:t>
      </w:r>
    </w:p>
    <w:p w:rsidR="00C13499" w:rsidRDefault="00C13499" w:rsidP="00C13499">
      <w:pPr>
        <w:pStyle w:val="PBACheading1"/>
        <w:numPr>
          <w:ilvl w:val="0"/>
          <w:numId w:val="0"/>
        </w:numPr>
        <w:ind w:left="720" w:hanging="720"/>
      </w:pPr>
    </w:p>
    <w:p w:rsidR="00591ABB" w:rsidRPr="00591ABB" w:rsidRDefault="00591ABB" w:rsidP="00591ABB">
      <w:pPr>
        <w:pStyle w:val="Caption"/>
        <w:keepNext/>
        <w:ind w:firstLine="720"/>
        <w:rPr>
          <w:rFonts w:ascii="Arial Narrow" w:hAnsi="Arial Narrow"/>
          <w:color w:val="auto"/>
          <w:sz w:val="20"/>
        </w:rPr>
      </w:pPr>
      <w:r w:rsidRPr="00591ABB">
        <w:rPr>
          <w:rFonts w:ascii="Arial Narrow" w:hAnsi="Arial Narrow"/>
          <w:color w:val="auto"/>
          <w:sz w:val="20"/>
        </w:rPr>
        <w:t xml:space="preserve">Table </w:t>
      </w:r>
      <w:r w:rsidRPr="00591ABB">
        <w:rPr>
          <w:rFonts w:ascii="Arial Narrow" w:hAnsi="Arial Narrow"/>
          <w:color w:val="auto"/>
          <w:sz w:val="20"/>
        </w:rPr>
        <w:fldChar w:fldCharType="begin"/>
      </w:r>
      <w:r w:rsidRPr="00591ABB">
        <w:rPr>
          <w:rFonts w:ascii="Arial Narrow" w:hAnsi="Arial Narrow"/>
          <w:color w:val="auto"/>
          <w:sz w:val="20"/>
        </w:rPr>
        <w:instrText xml:space="preserve"> SEQ Table \* ARABIC </w:instrText>
      </w:r>
      <w:r w:rsidRPr="00591ABB">
        <w:rPr>
          <w:rFonts w:ascii="Arial Narrow" w:hAnsi="Arial Narrow"/>
          <w:color w:val="auto"/>
          <w:sz w:val="20"/>
        </w:rPr>
        <w:fldChar w:fldCharType="separate"/>
      </w:r>
      <w:r w:rsidR="00AD392C">
        <w:rPr>
          <w:rFonts w:ascii="Arial Narrow" w:hAnsi="Arial Narrow"/>
          <w:noProof/>
          <w:color w:val="auto"/>
          <w:sz w:val="20"/>
        </w:rPr>
        <w:t>13</w:t>
      </w:r>
      <w:r w:rsidRPr="00591ABB">
        <w:rPr>
          <w:rFonts w:ascii="Arial Narrow" w:hAnsi="Arial Narrow"/>
          <w:color w:val="auto"/>
          <w:sz w:val="20"/>
        </w:rPr>
        <w:fldChar w:fldCharType="end"/>
      </w:r>
      <w:r w:rsidRPr="00591ABB">
        <w:rPr>
          <w:rFonts w:ascii="Arial Narrow" w:hAnsi="Arial Narrow"/>
          <w:color w:val="auto"/>
          <w:sz w:val="20"/>
        </w:rPr>
        <w:t>: Estimated use and financial implications</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Estimated use and financial implications"/>
        <w:tblDescription w:val="Estimated extent of use, estimated net cost to PBS/RPBS/MBS, total net cost."/>
      </w:tblPr>
      <w:tblGrid>
        <w:gridCol w:w="2499"/>
        <w:gridCol w:w="1172"/>
        <w:gridCol w:w="1173"/>
        <w:gridCol w:w="1173"/>
        <w:gridCol w:w="1173"/>
        <w:gridCol w:w="1173"/>
      </w:tblGrid>
      <w:tr w:rsidR="00A310A4" w:rsidRPr="004E2ADC" w:rsidTr="00A34711">
        <w:trPr>
          <w:tblHeader/>
        </w:trPr>
        <w:tc>
          <w:tcPr>
            <w:tcW w:w="0" w:type="auto"/>
            <w:shd w:val="clear" w:color="auto" w:fill="auto"/>
            <w:vAlign w:val="center"/>
          </w:tcPr>
          <w:p w:rsidR="00A310A4" w:rsidRPr="004E2ADC" w:rsidRDefault="00A310A4" w:rsidP="00A46133">
            <w:pPr>
              <w:keepNext/>
              <w:widowControl/>
              <w:tabs>
                <w:tab w:val="left" w:pos="142"/>
              </w:tabs>
              <w:jc w:val="left"/>
              <w:rPr>
                <w:rFonts w:ascii="Arial Narrow" w:hAnsi="Arial Narrow"/>
                <w:b/>
                <w:sz w:val="20"/>
              </w:rPr>
            </w:pPr>
          </w:p>
        </w:tc>
        <w:tc>
          <w:tcPr>
            <w:tcW w:w="1172" w:type="dxa"/>
            <w:shd w:val="clear" w:color="auto" w:fill="auto"/>
            <w:vAlign w:val="center"/>
          </w:tcPr>
          <w:p w:rsidR="00A310A4" w:rsidRPr="004E2ADC" w:rsidRDefault="00A310A4" w:rsidP="00A46133">
            <w:pPr>
              <w:keepNext/>
              <w:widowControl/>
              <w:jc w:val="center"/>
              <w:rPr>
                <w:rFonts w:ascii="Arial Narrow" w:hAnsi="Arial Narrow"/>
                <w:b/>
                <w:sz w:val="20"/>
              </w:rPr>
            </w:pPr>
            <w:r w:rsidRPr="004E2ADC">
              <w:rPr>
                <w:rFonts w:ascii="Arial Narrow" w:hAnsi="Arial Narrow"/>
                <w:b/>
                <w:sz w:val="20"/>
              </w:rPr>
              <w:t>Year 1</w:t>
            </w:r>
          </w:p>
        </w:tc>
        <w:tc>
          <w:tcPr>
            <w:tcW w:w="1173" w:type="dxa"/>
            <w:shd w:val="clear" w:color="auto" w:fill="auto"/>
            <w:vAlign w:val="center"/>
          </w:tcPr>
          <w:p w:rsidR="00A310A4" w:rsidRPr="004E2ADC" w:rsidRDefault="00A310A4" w:rsidP="00A46133">
            <w:pPr>
              <w:keepNext/>
              <w:widowControl/>
              <w:jc w:val="center"/>
              <w:rPr>
                <w:rFonts w:ascii="Arial Narrow" w:hAnsi="Arial Narrow"/>
                <w:b/>
                <w:sz w:val="20"/>
              </w:rPr>
            </w:pPr>
            <w:r w:rsidRPr="004E2ADC">
              <w:rPr>
                <w:rFonts w:ascii="Arial Narrow" w:hAnsi="Arial Narrow"/>
                <w:b/>
                <w:sz w:val="20"/>
              </w:rPr>
              <w:t>Year 2</w:t>
            </w:r>
          </w:p>
        </w:tc>
        <w:tc>
          <w:tcPr>
            <w:tcW w:w="1173" w:type="dxa"/>
            <w:shd w:val="clear" w:color="auto" w:fill="auto"/>
            <w:vAlign w:val="center"/>
          </w:tcPr>
          <w:p w:rsidR="00A310A4" w:rsidRPr="004E2ADC" w:rsidRDefault="00A310A4" w:rsidP="00A46133">
            <w:pPr>
              <w:keepNext/>
              <w:widowControl/>
              <w:jc w:val="center"/>
              <w:rPr>
                <w:rFonts w:ascii="Arial Narrow" w:hAnsi="Arial Narrow"/>
                <w:b/>
                <w:sz w:val="20"/>
              </w:rPr>
            </w:pPr>
            <w:r w:rsidRPr="004E2ADC">
              <w:rPr>
                <w:rFonts w:ascii="Arial Narrow" w:hAnsi="Arial Narrow"/>
                <w:b/>
                <w:sz w:val="20"/>
              </w:rPr>
              <w:t>Year 3</w:t>
            </w:r>
          </w:p>
        </w:tc>
        <w:tc>
          <w:tcPr>
            <w:tcW w:w="1173" w:type="dxa"/>
            <w:shd w:val="clear" w:color="auto" w:fill="auto"/>
            <w:vAlign w:val="center"/>
          </w:tcPr>
          <w:p w:rsidR="00A310A4" w:rsidRPr="004E2ADC" w:rsidRDefault="00A310A4" w:rsidP="00A46133">
            <w:pPr>
              <w:keepNext/>
              <w:widowControl/>
              <w:jc w:val="center"/>
              <w:rPr>
                <w:rFonts w:ascii="Arial Narrow" w:hAnsi="Arial Narrow"/>
                <w:b/>
                <w:sz w:val="20"/>
              </w:rPr>
            </w:pPr>
            <w:r w:rsidRPr="004E2ADC">
              <w:rPr>
                <w:rFonts w:ascii="Arial Narrow" w:hAnsi="Arial Narrow"/>
                <w:b/>
                <w:sz w:val="20"/>
              </w:rPr>
              <w:t>Year 4</w:t>
            </w:r>
          </w:p>
        </w:tc>
        <w:tc>
          <w:tcPr>
            <w:tcW w:w="1173" w:type="dxa"/>
            <w:shd w:val="clear" w:color="auto" w:fill="auto"/>
            <w:vAlign w:val="center"/>
          </w:tcPr>
          <w:p w:rsidR="00A310A4" w:rsidRPr="004E2ADC" w:rsidRDefault="00A310A4" w:rsidP="00A46133">
            <w:pPr>
              <w:keepNext/>
              <w:widowControl/>
              <w:jc w:val="center"/>
              <w:rPr>
                <w:rFonts w:ascii="Arial Narrow" w:hAnsi="Arial Narrow"/>
                <w:b/>
                <w:sz w:val="20"/>
              </w:rPr>
            </w:pPr>
            <w:r w:rsidRPr="004E2ADC">
              <w:rPr>
                <w:rFonts w:ascii="Arial Narrow" w:hAnsi="Arial Narrow"/>
                <w:b/>
                <w:sz w:val="20"/>
              </w:rPr>
              <w:t>Year 5</w:t>
            </w:r>
          </w:p>
        </w:tc>
      </w:tr>
      <w:tr w:rsidR="00A310A4" w:rsidRPr="004E2ADC" w:rsidTr="00A34711">
        <w:trPr>
          <w:tblHeader/>
        </w:trPr>
        <w:tc>
          <w:tcPr>
            <w:tcW w:w="8363" w:type="dxa"/>
            <w:gridSpan w:val="6"/>
            <w:shd w:val="clear" w:color="auto" w:fill="auto"/>
            <w:vAlign w:val="center"/>
          </w:tcPr>
          <w:p w:rsidR="00A310A4" w:rsidRPr="004E2ADC" w:rsidRDefault="00A310A4" w:rsidP="00A46133">
            <w:pPr>
              <w:keepNext/>
              <w:widowControl/>
              <w:jc w:val="left"/>
              <w:rPr>
                <w:rFonts w:ascii="Arial Narrow" w:hAnsi="Arial Narrow"/>
                <w:b/>
                <w:bCs/>
                <w:color w:val="000000"/>
                <w:sz w:val="20"/>
              </w:rPr>
            </w:pPr>
            <w:r w:rsidRPr="004E2ADC">
              <w:rPr>
                <w:rFonts w:ascii="Arial Narrow" w:hAnsi="Arial Narrow"/>
                <w:b/>
                <w:bCs/>
                <w:color w:val="000000"/>
                <w:sz w:val="20"/>
              </w:rPr>
              <w:t>Estimated extent of use</w:t>
            </w:r>
          </w:p>
        </w:tc>
      </w:tr>
      <w:tr w:rsidR="00A310A4" w:rsidRPr="004E2ADC" w:rsidTr="00A34711">
        <w:trPr>
          <w:tblHeader/>
        </w:trPr>
        <w:tc>
          <w:tcPr>
            <w:tcW w:w="0" w:type="auto"/>
            <w:shd w:val="clear" w:color="auto" w:fill="auto"/>
            <w:vAlign w:val="center"/>
          </w:tcPr>
          <w:p w:rsidR="00A310A4" w:rsidRPr="004E2ADC" w:rsidRDefault="00A310A4" w:rsidP="00A46133">
            <w:pPr>
              <w:keepNext/>
              <w:widowControl/>
              <w:tabs>
                <w:tab w:val="left" w:pos="142"/>
              </w:tabs>
              <w:jc w:val="left"/>
              <w:rPr>
                <w:rFonts w:ascii="Arial Narrow" w:hAnsi="Arial Narrow"/>
                <w:sz w:val="20"/>
              </w:rPr>
            </w:pPr>
            <w:r w:rsidRPr="004E2ADC">
              <w:rPr>
                <w:rFonts w:ascii="Arial Narrow" w:hAnsi="Arial Narrow"/>
                <w:sz w:val="20"/>
              </w:rPr>
              <w:t>Number treated</w:t>
            </w:r>
            <w:r>
              <w:rPr>
                <w:rFonts w:ascii="Arial Narrow" w:hAnsi="Arial Narrow"/>
                <w:sz w:val="20"/>
              </w:rPr>
              <w:t xml:space="preserve"> – Mar 2015</w:t>
            </w:r>
          </w:p>
        </w:tc>
        <w:tc>
          <w:tcPr>
            <w:tcW w:w="1172" w:type="dxa"/>
            <w:shd w:val="clear" w:color="auto" w:fill="auto"/>
            <w:vAlign w:val="center"/>
          </w:tcPr>
          <w:p w:rsidR="00A310A4" w:rsidRPr="006D3878" w:rsidRDefault="006D3878" w:rsidP="00A46133">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1173" w:type="dxa"/>
            <w:shd w:val="clear" w:color="auto" w:fill="auto"/>
            <w:vAlign w:val="center"/>
          </w:tcPr>
          <w:p w:rsidR="00A310A4" w:rsidRPr="006D3878" w:rsidRDefault="006D3878" w:rsidP="00A46133">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1173" w:type="dxa"/>
            <w:shd w:val="clear" w:color="auto" w:fill="auto"/>
            <w:vAlign w:val="center"/>
          </w:tcPr>
          <w:p w:rsidR="00A310A4" w:rsidRPr="006D3878" w:rsidRDefault="006D3878" w:rsidP="00A46133">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1173" w:type="dxa"/>
            <w:shd w:val="clear" w:color="auto" w:fill="auto"/>
            <w:vAlign w:val="center"/>
          </w:tcPr>
          <w:p w:rsidR="00A310A4" w:rsidRPr="006D3878" w:rsidRDefault="006D3878" w:rsidP="00A46133">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1173" w:type="dxa"/>
            <w:shd w:val="clear" w:color="auto" w:fill="auto"/>
            <w:vAlign w:val="center"/>
          </w:tcPr>
          <w:p w:rsidR="00A310A4" w:rsidRPr="006D3878" w:rsidRDefault="006D3878" w:rsidP="00A46133">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A310A4" w:rsidRPr="004E2ADC" w:rsidTr="00A34711">
        <w:trPr>
          <w:tblHeader/>
        </w:trPr>
        <w:tc>
          <w:tcPr>
            <w:tcW w:w="0" w:type="auto"/>
            <w:shd w:val="clear" w:color="auto" w:fill="auto"/>
            <w:vAlign w:val="center"/>
          </w:tcPr>
          <w:p w:rsidR="00A310A4" w:rsidRPr="004E2ADC" w:rsidRDefault="00A310A4" w:rsidP="00A46133">
            <w:pPr>
              <w:keepNext/>
              <w:widowControl/>
              <w:tabs>
                <w:tab w:val="left" w:pos="142"/>
              </w:tabs>
              <w:jc w:val="left"/>
              <w:rPr>
                <w:rFonts w:ascii="Arial Narrow" w:hAnsi="Arial Narrow"/>
                <w:sz w:val="20"/>
              </w:rPr>
            </w:pPr>
            <w:r w:rsidRPr="004E2ADC">
              <w:rPr>
                <w:rFonts w:ascii="Arial Narrow" w:hAnsi="Arial Narrow"/>
                <w:sz w:val="20"/>
              </w:rPr>
              <w:t>Number treated</w:t>
            </w:r>
          </w:p>
        </w:tc>
        <w:tc>
          <w:tcPr>
            <w:tcW w:w="1172" w:type="dxa"/>
            <w:shd w:val="clear" w:color="auto" w:fill="auto"/>
            <w:vAlign w:val="center"/>
          </w:tcPr>
          <w:p w:rsidR="00A310A4" w:rsidRPr="006D3878" w:rsidRDefault="006D3878" w:rsidP="00A46133">
            <w:pPr>
              <w:keepNext/>
              <w:widowControl/>
              <w:jc w:val="center"/>
              <w:rPr>
                <w:rStyle w:val="TableText1"/>
                <w:b/>
                <w:highlight w:val="black"/>
              </w:rPr>
            </w:pPr>
            <w:r>
              <w:rPr>
                <w:rStyle w:val="TableText1"/>
                <w:b/>
                <w:noProof/>
                <w:color w:val="000000"/>
                <w:highlight w:val="black"/>
              </w:rPr>
              <w:t>''''</w:t>
            </w:r>
          </w:p>
        </w:tc>
        <w:tc>
          <w:tcPr>
            <w:tcW w:w="1173" w:type="dxa"/>
            <w:shd w:val="clear" w:color="auto" w:fill="auto"/>
            <w:vAlign w:val="center"/>
          </w:tcPr>
          <w:p w:rsidR="00A310A4" w:rsidRPr="006D3878" w:rsidRDefault="006D3878" w:rsidP="00A46133">
            <w:pPr>
              <w:keepNext/>
              <w:widowControl/>
              <w:jc w:val="center"/>
              <w:rPr>
                <w:rStyle w:val="TableText1"/>
                <w:b/>
                <w:highlight w:val="black"/>
              </w:rPr>
            </w:pPr>
            <w:r>
              <w:rPr>
                <w:rStyle w:val="TableText1"/>
                <w:b/>
                <w:noProof/>
                <w:color w:val="000000"/>
                <w:highlight w:val="black"/>
              </w:rPr>
              <w:t>''''''''</w:t>
            </w:r>
          </w:p>
        </w:tc>
        <w:tc>
          <w:tcPr>
            <w:tcW w:w="1173" w:type="dxa"/>
            <w:shd w:val="clear" w:color="auto" w:fill="auto"/>
            <w:vAlign w:val="center"/>
          </w:tcPr>
          <w:p w:rsidR="00A310A4" w:rsidRPr="006D3878" w:rsidRDefault="006D3878" w:rsidP="00A46133">
            <w:pPr>
              <w:keepNext/>
              <w:widowControl/>
              <w:jc w:val="center"/>
              <w:rPr>
                <w:rStyle w:val="TableText1"/>
                <w:b/>
                <w:highlight w:val="black"/>
              </w:rPr>
            </w:pPr>
            <w:r>
              <w:rPr>
                <w:rStyle w:val="TableText1"/>
                <w:b/>
                <w:noProof/>
                <w:color w:val="000000"/>
                <w:highlight w:val="black"/>
              </w:rPr>
              <w:t>'''''''</w:t>
            </w:r>
          </w:p>
        </w:tc>
        <w:tc>
          <w:tcPr>
            <w:tcW w:w="1173" w:type="dxa"/>
            <w:shd w:val="clear" w:color="auto" w:fill="auto"/>
            <w:vAlign w:val="center"/>
          </w:tcPr>
          <w:p w:rsidR="00A310A4" w:rsidRPr="006D3878" w:rsidRDefault="006D3878" w:rsidP="00A46133">
            <w:pPr>
              <w:keepNext/>
              <w:widowControl/>
              <w:jc w:val="center"/>
              <w:rPr>
                <w:rStyle w:val="TableText1"/>
                <w:b/>
                <w:highlight w:val="black"/>
              </w:rPr>
            </w:pPr>
            <w:r>
              <w:rPr>
                <w:rStyle w:val="TableText1"/>
                <w:b/>
                <w:noProof/>
                <w:color w:val="000000"/>
                <w:highlight w:val="black"/>
              </w:rPr>
              <w:t>''''''''</w:t>
            </w:r>
          </w:p>
        </w:tc>
        <w:tc>
          <w:tcPr>
            <w:tcW w:w="1173" w:type="dxa"/>
            <w:shd w:val="clear" w:color="auto" w:fill="auto"/>
            <w:vAlign w:val="center"/>
          </w:tcPr>
          <w:p w:rsidR="00A310A4" w:rsidRPr="006D3878" w:rsidRDefault="006D3878" w:rsidP="00A46133">
            <w:pPr>
              <w:keepNext/>
              <w:widowControl/>
              <w:jc w:val="center"/>
              <w:rPr>
                <w:rStyle w:val="TableText1"/>
                <w:b/>
                <w:highlight w:val="black"/>
              </w:rPr>
            </w:pPr>
            <w:r>
              <w:rPr>
                <w:rStyle w:val="TableText1"/>
                <w:b/>
                <w:noProof/>
                <w:color w:val="000000"/>
                <w:highlight w:val="black"/>
              </w:rPr>
              <w:t>''''''''</w:t>
            </w:r>
          </w:p>
        </w:tc>
      </w:tr>
      <w:tr w:rsidR="00A310A4" w:rsidRPr="004E2ADC" w:rsidTr="00A34711">
        <w:trPr>
          <w:tblHeader/>
        </w:trPr>
        <w:tc>
          <w:tcPr>
            <w:tcW w:w="0" w:type="auto"/>
            <w:shd w:val="clear" w:color="auto" w:fill="auto"/>
            <w:vAlign w:val="center"/>
          </w:tcPr>
          <w:p w:rsidR="00A310A4" w:rsidRPr="004E2ADC" w:rsidRDefault="00A310A4" w:rsidP="00A46133">
            <w:pPr>
              <w:keepNext/>
              <w:widowControl/>
              <w:tabs>
                <w:tab w:val="left" w:pos="142"/>
              </w:tabs>
              <w:jc w:val="left"/>
              <w:rPr>
                <w:rFonts w:ascii="Arial Narrow" w:hAnsi="Arial Narrow"/>
                <w:sz w:val="20"/>
              </w:rPr>
            </w:pPr>
            <w:r w:rsidRPr="004E2ADC">
              <w:rPr>
                <w:rFonts w:ascii="Arial Narrow" w:hAnsi="Arial Narrow"/>
                <w:sz w:val="20"/>
              </w:rPr>
              <w:t>Market share</w:t>
            </w:r>
            <w:r>
              <w:rPr>
                <w:rFonts w:ascii="Arial Narrow" w:hAnsi="Arial Narrow"/>
                <w:sz w:val="20"/>
              </w:rPr>
              <w:t xml:space="preserve"> – Mar 2015</w:t>
            </w:r>
          </w:p>
        </w:tc>
        <w:tc>
          <w:tcPr>
            <w:tcW w:w="1172" w:type="dxa"/>
            <w:shd w:val="clear" w:color="auto" w:fill="auto"/>
            <w:vAlign w:val="center"/>
          </w:tcPr>
          <w:p w:rsidR="00A310A4" w:rsidRPr="004E2ADC" w:rsidRDefault="00A310A4" w:rsidP="00A46133">
            <w:pPr>
              <w:keepNext/>
              <w:widowControl/>
              <w:jc w:val="center"/>
              <w:rPr>
                <w:rFonts w:ascii="Arial Narrow" w:hAnsi="Arial Narrow"/>
                <w:bCs/>
                <w:color w:val="000000"/>
                <w:sz w:val="20"/>
              </w:rPr>
            </w:pPr>
            <w:r>
              <w:rPr>
                <w:rFonts w:ascii="Arial Narrow" w:hAnsi="Arial Narrow"/>
                <w:bCs/>
                <w:color w:val="000000"/>
                <w:sz w:val="20"/>
              </w:rPr>
              <w:t>25%</w:t>
            </w:r>
          </w:p>
        </w:tc>
        <w:tc>
          <w:tcPr>
            <w:tcW w:w="1173" w:type="dxa"/>
            <w:shd w:val="clear" w:color="auto" w:fill="auto"/>
            <w:vAlign w:val="center"/>
          </w:tcPr>
          <w:p w:rsidR="00A310A4" w:rsidRPr="004E2ADC" w:rsidRDefault="00A310A4" w:rsidP="00A46133">
            <w:pPr>
              <w:keepNext/>
              <w:widowControl/>
              <w:jc w:val="center"/>
              <w:rPr>
                <w:rFonts w:ascii="Arial Narrow" w:hAnsi="Arial Narrow"/>
                <w:bCs/>
                <w:color w:val="000000"/>
                <w:sz w:val="20"/>
              </w:rPr>
            </w:pPr>
            <w:r>
              <w:rPr>
                <w:rFonts w:ascii="Arial Narrow" w:hAnsi="Arial Narrow"/>
                <w:bCs/>
                <w:color w:val="000000"/>
                <w:sz w:val="20"/>
              </w:rPr>
              <w:t>55%</w:t>
            </w:r>
          </w:p>
        </w:tc>
        <w:tc>
          <w:tcPr>
            <w:tcW w:w="1173" w:type="dxa"/>
            <w:shd w:val="clear" w:color="auto" w:fill="auto"/>
            <w:vAlign w:val="center"/>
          </w:tcPr>
          <w:p w:rsidR="00A310A4" w:rsidRPr="004E2ADC" w:rsidRDefault="00A310A4" w:rsidP="00A46133">
            <w:pPr>
              <w:keepNext/>
              <w:widowControl/>
              <w:jc w:val="center"/>
              <w:rPr>
                <w:rFonts w:ascii="Arial Narrow" w:hAnsi="Arial Narrow"/>
                <w:bCs/>
                <w:color w:val="000000"/>
                <w:sz w:val="20"/>
              </w:rPr>
            </w:pPr>
            <w:r>
              <w:rPr>
                <w:rFonts w:ascii="Arial Narrow" w:hAnsi="Arial Narrow"/>
                <w:bCs/>
                <w:color w:val="000000"/>
                <w:sz w:val="20"/>
              </w:rPr>
              <w:t>80%</w:t>
            </w:r>
          </w:p>
        </w:tc>
        <w:tc>
          <w:tcPr>
            <w:tcW w:w="1173" w:type="dxa"/>
            <w:shd w:val="clear" w:color="auto" w:fill="auto"/>
            <w:vAlign w:val="center"/>
          </w:tcPr>
          <w:p w:rsidR="00A310A4" w:rsidRPr="004E2ADC" w:rsidRDefault="00A310A4" w:rsidP="00A46133">
            <w:pPr>
              <w:keepNext/>
              <w:widowControl/>
              <w:jc w:val="center"/>
              <w:rPr>
                <w:rFonts w:ascii="Arial Narrow" w:hAnsi="Arial Narrow"/>
                <w:bCs/>
                <w:color w:val="000000"/>
                <w:sz w:val="20"/>
              </w:rPr>
            </w:pPr>
            <w:r>
              <w:rPr>
                <w:rFonts w:ascii="Arial Narrow" w:hAnsi="Arial Narrow"/>
                <w:bCs/>
                <w:color w:val="000000"/>
                <w:sz w:val="20"/>
              </w:rPr>
              <w:t>80%</w:t>
            </w:r>
          </w:p>
        </w:tc>
        <w:tc>
          <w:tcPr>
            <w:tcW w:w="1173" w:type="dxa"/>
            <w:shd w:val="clear" w:color="auto" w:fill="auto"/>
            <w:vAlign w:val="center"/>
          </w:tcPr>
          <w:p w:rsidR="00A310A4" w:rsidRPr="004E2ADC" w:rsidRDefault="00A310A4" w:rsidP="00A46133">
            <w:pPr>
              <w:keepNext/>
              <w:widowControl/>
              <w:jc w:val="center"/>
              <w:rPr>
                <w:rFonts w:ascii="Arial Narrow" w:hAnsi="Arial Narrow"/>
                <w:bCs/>
                <w:color w:val="000000"/>
                <w:sz w:val="20"/>
              </w:rPr>
            </w:pPr>
            <w:r>
              <w:rPr>
                <w:rFonts w:ascii="Arial Narrow" w:hAnsi="Arial Narrow"/>
                <w:bCs/>
                <w:color w:val="000000"/>
                <w:sz w:val="20"/>
              </w:rPr>
              <w:t>80%</w:t>
            </w:r>
          </w:p>
        </w:tc>
      </w:tr>
      <w:tr w:rsidR="00A310A4" w:rsidRPr="004E2ADC" w:rsidTr="00A34711">
        <w:trPr>
          <w:tblHeader/>
        </w:trPr>
        <w:tc>
          <w:tcPr>
            <w:tcW w:w="0" w:type="auto"/>
            <w:shd w:val="clear" w:color="auto" w:fill="auto"/>
            <w:vAlign w:val="center"/>
          </w:tcPr>
          <w:p w:rsidR="00A310A4" w:rsidRPr="004E2ADC" w:rsidRDefault="00A310A4" w:rsidP="00A46133">
            <w:pPr>
              <w:keepNext/>
              <w:widowControl/>
              <w:tabs>
                <w:tab w:val="left" w:pos="142"/>
              </w:tabs>
              <w:jc w:val="left"/>
              <w:rPr>
                <w:rFonts w:ascii="Arial Narrow" w:hAnsi="Arial Narrow"/>
                <w:sz w:val="20"/>
              </w:rPr>
            </w:pPr>
            <w:r w:rsidRPr="004E2ADC">
              <w:rPr>
                <w:rFonts w:ascii="Arial Narrow" w:hAnsi="Arial Narrow"/>
                <w:sz w:val="20"/>
              </w:rPr>
              <w:t>Market share</w:t>
            </w:r>
          </w:p>
        </w:tc>
        <w:tc>
          <w:tcPr>
            <w:tcW w:w="1172" w:type="dxa"/>
            <w:shd w:val="clear" w:color="auto" w:fill="auto"/>
            <w:vAlign w:val="center"/>
          </w:tcPr>
          <w:p w:rsidR="00A310A4" w:rsidRPr="00981042" w:rsidRDefault="00A310A4" w:rsidP="00A46133">
            <w:pPr>
              <w:keepNext/>
              <w:widowControl/>
              <w:jc w:val="center"/>
              <w:rPr>
                <w:rStyle w:val="TableText1"/>
              </w:rPr>
            </w:pPr>
            <w:r w:rsidRPr="00981042">
              <w:rPr>
                <w:rStyle w:val="TableText1"/>
              </w:rPr>
              <w:t>25%</w:t>
            </w:r>
          </w:p>
        </w:tc>
        <w:tc>
          <w:tcPr>
            <w:tcW w:w="1173" w:type="dxa"/>
            <w:shd w:val="clear" w:color="auto" w:fill="auto"/>
            <w:vAlign w:val="center"/>
          </w:tcPr>
          <w:p w:rsidR="00A310A4" w:rsidRPr="00981042" w:rsidRDefault="00A310A4" w:rsidP="00A46133">
            <w:pPr>
              <w:keepNext/>
              <w:widowControl/>
              <w:jc w:val="center"/>
              <w:rPr>
                <w:rStyle w:val="TableText1"/>
              </w:rPr>
            </w:pPr>
            <w:r w:rsidRPr="00981042">
              <w:rPr>
                <w:rStyle w:val="TableText1"/>
              </w:rPr>
              <w:t>55%</w:t>
            </w:r>
          </w:p>
        </w:tc>
        <w:tc>
          <w:tcPr>
            <w:tcW w:w="1173" w:type="dxa"/>
            <w:shd w:val="clear" w:color="auto" w:fill="auto"/>
            <w:vAlign w:val="center"/>
          </w:tcPr>
          <w:p w:rsidR="00A310A4" w:rsidRPr="00981042" w:rsidRDefault="00A310A4" w:rsidP="00A46133">
            <w:pPr>
              <w:keepNext/>
              <w:widowControl/>
              <w:jc w:val="center"/>
              <w:rPr>
                <w:rStyle w:val="TableText1"/>
              </w:rPr>
            </w:pPr>
            <w:r>
              <w:rPr>
                <w:rStyle w:val="TableText1"/>
              </w:rPr>
              <w:t>6</w:t>
            </w:r>
            <w:r w:rsidRPr="00981042">
              <w:rPr>
                <w:rStyle w:val="TableText1"/>
              </w:rPr>
              <w:t>0%</w:t>
            </w:r>
          </w:p>
        </w:tc>
        <w:tc>
          <w:tcPr>
            <w:tcW w:w="1173" w:type="dxa"/>
            <w:shd w:val="clear" w:color="auto" w:fill="auto"/>
            <w:vAlign w:val="center"/>
          </w:tcPr>
          <w:p w:rsidR="00A310A4" w:rsidRPr="00981042" w:rsidRDefault="00A310A4" w:rsidP="00A46133">
            <w:pPr>
              <w:keepNext/>
              <w:widowControl/>
              <w:jc w:val="center"/>
              <w:rPr>
                <w:rStyle w:val="TableText1"/>
              </w:rPr>
            </w:pPr>
            <w:r>
              <w:rPr>
                <w:rStyle w:val="TableText1"/>
              </w:rPr>
              <w:t>6</w:t>
            </w:r>
            <w:r w:rsidRPr="00981042">
              <w:rPr>
                <w:rStyle w:val="TableText1"/>
              </w:rPr>
              <w:t>0%</w:t>
            </w:r>
          </w:p>
        </w:tc>
        <w:tc>
          <w:tcPr>
            <w:tcW w:w="1173" w:type="dxa"/>
            <w:shd w:val="clear" w:color="auto" w:fill="auto"/>
            <w:vAlign w:val="center"/>
          </w:tcPr>
          <w:p w:rsidR="00A310A4" w:rsidRPr="00981042" w:rsidRDefault="00A310A4" w:rsidP="00A46133">
            <w:pPr>
              <w:keepNext/>
              <w:widowControl/>
              <w:jc w:val="center"/>
              <w:rPr>
                <w:rStyle w:val="TableText1"/>
              </w:rPr>
            </w:pPr>
            <w:r>
              <w:rPr>
                <w:rStyle w:val="TableText1"/>
              </w:rPr>
              <w:t>6</w:t>
            </w:r>
            <w:r w:rsidRPr="00981042">
              <w:rPr>
                <w:rStyle w:val="TableText1"/>
              </w:rPr>
              <w:t>0%</w:t>
            </w:r>
          </w:p>
        </w:tc>
      </w:tr>
      <w:tr w:rsidR="00A310A4" w:rsidRPr="004E2ADC" w:rsidTr="00A34711">
        <w:trPr>
          <w:tblHeader/>
        </w:trPr>
        <w:tc>
          <w:tcPr>
            <w:tcW w:w="0" w:type="auto"/>
            <w:shd w:val="clear" w:color="auto" w:fill="auto"/>
            <w:vAlign w:val="center"/>
          </w:tcPr>
          <w:p w:rsidR="00A310A4" w:rsidRPr="002A51E8" w:rsidRDefault="00A310A4" w:rsidP="00A46133">
            <w:pPr>
              <w:keepNext/>
              <w:widowControl/>
              <w:tabs>
                <w:tab w:val="left" w:pos="142"/>
              </w:tabs>
              <w:jc w:val="left"/>
              <w:rPr>
                <w:rFonts w:ascii="Arial Narrow" w:hAnsi="Arial Narrow"/>
                <w:sz w:val="20"/>
              </w:rPr>
            </w:pPr>
            <w:r w:rsidRPr="004E2ADC">
              <w:rPr>
                <w:rFonts w:ascii="Arial Narrow" w:hAnsi="Arial Narrow"/>
                <w:sz w:val="20"/>
              </w:rPr>
              <w:t>Scripts</w:t>
            </w:r>
            <w:r>
              <w:rPr>
                <w:rFonts w:ascii="Arial Narrow" w:hAnsi="Arial Narrow"/>
                <w:sz w:val="20"/>
              </w:rPr>
              <w:t xml:space="preserve"> </w:t>
            </w:r>
            <w:r w:rsidRPr="004E2ADC">
              <w:rPr>
                <w:rFonts w:ascii="Arial Narrow" w:hAnsi="Arial Narrow"/>
                <w:sz w:val="20"/>
                <w:vertAlign w:val="superscript"/>
              </w:rPr>
              <w:t>a</w:t>
            </w:r>
            <w:r>
              <w:rPr>
                <w:rFonts w:ascii="Arial Narrow" w:hAnsi="Arial Narrow"/>
                <w:sz w:val="20"/>
              </w:rPr>
              <w:t xml:space="preserve"> – Mar 2015</w:t>
            </w:r>
          </w:p>
        </w:tc>
        <w:tc>
          <w:tcPr>
            <w:tcW w:w="1172" w:type="dxa"/>
            <w:shd w:val="clear" w:color="auto" w:fill="auto"/>
            <w:vAlign w:val="center"/>
          </w:tcPr>
          <w:p w:rsidR="00A310A4" w:rsidRPr="006D3878" w:rsidRDefault="006D3878" w:rsidP="00A46133">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1173" w:type="dxa"/>
            <w:shd w:val="clear" w:color="auto" w:fill="auto"/>
            <w:vAlign w:val="center"/>
          </w:tcPr>
          <w:p w:rsidR="00A310A4" w:rsidRPr="006D3878" w:rsidRDefault="006D3878" w:rsidP="00A46133">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1173" w:type="dxa"/>
            <w:shd w:val="clear" w:color="auto" w:fill="auto"/>
            <w:vAlign w:val="center"/>
          </w:tcPr>
          <w:p w:rsidR="00A310A4" w:rsidRPr="006D3878" w:rsidRDefault="006D3878" w:rsidP="00A46133">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1173" w:type="dxa"/>
            <w:shd w:val="clear" w:color="auto" w:fill="auto"/>
            <w:vAlign w:val="center"/>
          </w:tcPr>
          <w:p w:rsidR="00A310A4" w:rsidRPr="006D3878" w:rsidRDefault="006D3878" w:rsidP="00A46133">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1173" w:type="dxa"/>
            <w:shd w:val="clear" w:color="auto" w:fill="auto"/>
            <w:vAlign w:val="center"/>
          </w:tcPr>
          <w:p w:rsidR="00A310A4" w:rsidRPr="006D3878" w:rsidRDefault="006D3878" w:rsidP="00A46133">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A310A4" w:rsidRPr="004E2ADC" w:rsidTr="00A34711">
        <w:trPr>
          <w:tblHeader/>
        </w:trPr>
        <w:tc>
          <w:tcPr>
            <w:tcW w:w="0" w:type="auto"/>
            <w:shd w:val="clear" w:color="auto" w:fill="auto"/>
            <w:vAlign w:val="center"/>
          </w:tcPr>
          <w:p w:rsidR="00A310A4" w:rsidRPr="004E2ADC" w:rsidRDefault="00A310A4" w:rsidP="00A46133">
            <w:pPr>
              <w:keepNext/>
              <w:widowControl/>
              <w:tabs>
                <w:tab w:val="left" w:pos="142"/>
              </w:tabs>
              <w:jc w:val="left"/>
              <w:rPr>
                <w:rFonts w:ascii="Arial Narrow" w:hAnsi="Arial Narrow"/>
                <w:sz w:val="20"/>
              </w:rPr>
            </w:pPr>
            <w:r w:rsidRPr="004E2ADC">
              <w:rPr>
                <w:rFonts w:ascii="Arial Narrow" w:hAnsi="Arial Narrow"/>
                <w:sz w:val="20"/>
              </w:rPr>
              <w:t>Scripts</w:t>
            </w:r>
            <w:r>
              <w:rPr>
                <w:rFonts w:ascii="Arial Narrow" w:hAnsi="Arial Narrow"/>
                <w:sz w:val="20"/>
              </w:rPr>
              <w:t xml:space="preserve"> </w:t>
            </w:r>
            <w:r w:rsidRPr="004E2ADC">
              <w:rPr>
                <w:rFonts w:ascii="Arial Narrow" w:hAnsi="Arial Narrow"/>
                <w:sz w:val="20"/>
                <w:vertAlign w:val="superscript"/>
              </w:rPr>
              <w:t>a</w:t>
            </w:r>
          </w:p>
        </w:tc>
        <w:tc>
          <w:tcPr>
            <w:tcW w:w="1172" w:type="dxa"/>
            <w:shd w:val="clear" w:color="auto" w:fill="auto"/>
            <w:vAlign w:val="center"/>
          </w:tcPr>
          <w:p w:rsidR="00A310A4" w:rsidRPr="006D3878" w:rsidRDefault="006D3878" w:rsidP="00A46133">
            <w:pPr>
              <w:keepNext/>
              <w:widowControl/>
              <w:jc w:val="center"/>
              <w:rPr>
                <w:rStyle w:val="TableText1"/>
                <w:highlight w:val="black"/>
              </w:rPr>
            </w:pPr>
            <w:r>
              <w:rPr>
                <w:rStyle w:val="TableText1"/>
                <w:noProof/>
                <w:color w:val="000000"/>
                <w:highlight w:val="black"/>
              </w:rPr>
              <w:t>'''''''''</w:t>
            </w:r>
          </w:p>
        </w:tc>
        <w:tc>
          <w:tcPr>
            <w:tcW w:w="1173" w:type="dxa"/>
            <w:shd w:val="clear" w:color="auto" w:fill="auto"/>
            <w:vAlign w:val="center"/>
          </w:tcPr>
          <w:p w:rsidR="00A310A4" w:rsidRPr="006D3878" w:rsidRDefault="006D3878" w:rsidP="00A46133">
            <w:pPr>
              <w:keepNext/>
              <w:widowControl/>
              <w:jc w:val="center"/>
              <w:rPr>
                <w:rStyle w:val="TableText1"/>
                <w:highlight w:val="black"/>
              </w:rPr>
            </w:pPr>
            <w:r>
              <w:rPr>
                <w:rStyle w:val="TableText1"/>
                <w:noProof/>
                <w:color w:val="000000"/>
                <w:highlight w:val="black"/>
              </w:rPr>
              <w:t>''''''''''''</w:t>
            </w:r>
          </w:p>
        </w:tc>
        <w:tc>
          <w:tcPr>
            <w:tcW w:w="1173" w:type="dxa"/>
            <w:shd w:val="clear" w:color="auto" w:fill="auto"/>
            <w:vAlign w:val="center"/>
          </w:tcPr>
          <w:p w:rsidR="00A310A4" w:rsidRPr="006D3878" w:rsidRDefault="006D3878" w:rsidP="00A46133">
            <w:pPr>
              <w:keepNext/>
              <w:widowControl/>
              <w:jc w:val="center"/>
              <w:rPr>
                <w:rStyle w:val="TableText1"/>
                <w:highlight w:val="black"/>
              </w:rPr>
            </w:pPr>
            <w:r>
              <w:rPr>
                <w:rStyle w:val="TableText1"/>
                <w:noProof/>
                <w:color w:val="000000"/>
                <w:highlight w:val="black"/>
              </w:rPr>
              <w:t>'''''''''''</w:t>
            </w:r>
          </w:p>
        </w:tc>
        <w:tc>
          <w:tcPr>
            <w:tcW w:w="1173" w:type="dxa"/>
            <w:shd w:val="clear" w:color="auto" w:fill="auto"/>
            <w:vAlign w:val="center"/>
          </w:tcPr>
          <w:p w:rsidR="00A310A4" w:rsidRPr="006D3878" w:rsidRDefault="006D3878" w:rsidP="00A46133">
            <w:pPr>
              <w:keepNext/>
              <w:widowControl/>
              <w:jc w:val="center"/>
              <w:rPr>
                <w:rStyle w:val="TableText1"/>
                <w:highlight w:val="black"/>
              </w:rPr>
            </w:pPr>
            <w:r>
              <w:rPr>
                <w:rStyle w:val="TableText1"/>
                <w:noProof/>
                <w:color w:val="000000"/>
                <w:highlight w:val="black"/>
              </w:rPr>
              <w:t>'''''''''''</w:t>
            </w:r>
          </w:p>
        </w:tc>
        <w:tc>
          <w:tcPr>
            <w:tcW w:w="1173" w:type="dxa"/>
            <w:shd w:val="clear" w:color="auto" w:fill="auto"/>
            <w:vAlign w:val="center"/>
          </w:tcPr>
          <w:p w:rsidR="00A310A4" w:rsidRPr="006D3878" w:rsidRDefault="006D3878" w:rsidP="00A46133">
            <w:pPr>
              <w:keepNext/>
              <w:widowControl/>
              <w:jc w:val="center"/>
              <w:rPr>
                <w:rStyle w:val="TableText1"/>
                <w:highlight w:val="black"/>
              </w:rPr>
            </w:pPr>
            <w:r>
              <w:rPr>
                <w:rStyle w:val="TableText1"/>
                <w:noProof/>
                <w:color w:val="000000"/>
                <w:highlight w:val="black"/>
              </w:rPr>
              <w:t>'''''''''''''</w:t>
            </w:r>
          </w:p>
        </w:tc>
      </w:tr>
      <w:tr w:rsidR="00A310A4" w:rsidRPr="004E2ADC" w:rsidTr="00A34711">
        <w:trPr>
          <w:tblHeader/>
        </w:trPr>
        <w:tc>
          <w:tcPr>
            <w:tcW w:w="8363" w:type="dxa"/>
            <w:gridSpan w:val="6"/>
            <w:shd w:val="clear" w:color="auto" w:fill="auto"/>
            <w:vAlign w:val="center"/>
          </w:tcPr>
          <w:p w:rsidR="00A310A4" w:rsidRPr="004E2ADC" w:rsidRDefault="00A310A4" w:rsidP="00A46133">
            <w:pPr>
              <w:keepNext/>
              <w:widowControl/>
              <w:jc w:val="left"/>
              <w:rPr>
                <w:rFonts w:ascii="Arial Narrow" w:hAnsi="Arial Narrow"/>
                <w:b/>
                <w:bCs/>
                <w:color w:val="000000"/>
                <w:sz w:val="20"/>
              </w:rPr>
            </w:pPr>
            <w:r w:rsidRPr="004E2ADC">
              <w:rPr>
                <w:rFonts w:ascii="Arial Narrow" w:hAnsi="Arial Narrow"/>
                <w:b/>
                <w:bCs/>
                <w:color w:val="000000"/>
                <w:sz w:val="20"/>
              </w:rPr>
              <w:t>Estimated net cost to PBS/RPBS/MBS</w:t>
            </w:r>
          </w:p>
        </w:tc>
      </w:tr>
      <w:tr w:rsidR="00A310A4" w:rsidRPr="004E2ADC" w:rsidTr="00A34711">
        <w:trPr>
          <w:tblHeader/>
        </w:trPr>
        <w:tc>
          <w:tcPr>
            <w:tcW w:w="0" w:type="auto"/>
            <w:shd w:val="clear" w:color="auto" w:fill="auto"/>
            <w:vAlign w:val="center"/>
          </w:tcPr>
          <w:p w:rsidR="00A310A4" w:rsidRPr="004E2ADC" w:rsidRDefault="00A310A4" w:rsidP="00A46133">
            <w:pPr>
              <w:keepNext/>
              <w:widowControl/>
              <w:tabs>
                <w:tab w:val="left" w:pos="142"/>
              </w:tabs>
              <w:jc w:val="left"/>
              <w:rPr>
                <w:rFonts w:ascii="Arial Narrow" w:hAnsi="Arial Narrow"/>
                <w:sz w:val="20"/>
              </w:rPr>
            </w:pPr>
            <w:r w:rsidRPr="004E2ADC">
              <w:rPr>
                <w:rFonts w:ascii="Arial Narrow" w:hAnsi="Arial Narrow"/>
                <w:sz w:val="19"/>
                <w:szCs w:val="19"/>
              </w:rPr>
              <w:t>Net cost to PBS</w:t>
            </w:r>
            <w:r>
              <w:rPr>
                <w:rFonts w:ascii="Arial Narrow" w:hAnsi="Arial Narrow"/>
                <w:sz w:val="19"/>
                <w:szCs w:val="19"/>
              </w:rPr>
              <w:t>/RPBS</w:t>
            </w:r>
            <w:r>
              <w:rPr>
                <w:rFonts w:ascii="Arial Narrow" w:hAnsi="Arial Narrow"/>
                <w:sz w:val="20"/>
              </w:rPr>
              <w:t xml:space="preserve"> – Mar 2015</w:t>
            </w:r>
          </w:p>
        </w:tc>
        <w:tc>
          <w:tcPr>
            <w:tcW w:w="1172" w:type="dxa"/>
            <w:shd w:val="clear" w:color="auto" w:fill="auto"/>
            <w:vAlign w:val="center"/>
          </w:tcPr>
          <w:p w:rsidR="00A310A4" w:rsidRPr="004E2ADC" w:rsidRDefault="00A310A4" w:rsidP="00A46133">
            <w:pPr>
              <w:keepNext/>
              <w:widowControl/>
              <w:jc w:val="right"/>
              <w:rPr>
                <w:rFonts w:ascii="Arial Narrow" w:hAnsi="Arial Narrow"/>
                <w:bCs/>
                <w:color w:val="000000"/>
                <w:sz w:val="20"/>
              </w:rPr>
            </w:pPr>
            <w:r>
              <w:rPr>
                <w:rFonts w:ascii="Arial Narrow" w:hAnsi="Arial Narrow"/>
                <w:bCs/>
                <w:color w:val="000000"/>
                <w:sz w:val="20"/>
              </w:rPr>
              <w:t>$</w:t>
            </w:r>
            <w:r w:rsidR="006D3878">
              <w:rPr>
                <w:rFonts w:ascii="Arial Narrow" w:hAnsi="Arial Narrow"/>
                <w:bCs/>
                <w:noProof/>
                <w:color w:val="000000"/>
                <w:sz w:val="20"/>
                <w:highlight w:val="black"/>
              </w:rPr>
              <w:t>'''''''''''''''''''''''</w:t>
            </w:r>
          </w:p>
        </w:tc>
        <w:tc>
          <w:tcPr>
            <w:tcW w:w="1173" w:type="dxa"/>
            <w:shd w:val="clear" w:color="auto" w:fill="auto"/>
            <w:vAlign w:val="center"/>
          </w:tcPr>
          <w:p w:rsidR="00A310A4" w:rsidRPr="004E2ADC" w:rsidRDefault="00A310A4" w:rsidP="00A46133">
            <w:pPr>
              <w:keepNext/>
              <w:widowControl/>
              <w:jc w:val="right"/>
              <w:rPr>
                <w:rFonts w:ascii="Arial Narrow" w:hAnsi="Arial Narrow"/>
                <w:bCs/>
                <w:color w:val="000000"/>
                <w:sz w:val="20"/>
              </w:rPr>
            </w:pPr>
            <w:r>
              <w:rPr>
                <w:rFonts w:ascii="Arial Narrow" w:hAnsi="Arial Narrow"/>
                <w:bCs/>
                <w:color w:val="000000"/>
                <w:sz w:val="20"/>
              </w:rPr>
              <w:t>$</w:t>
            </w:r>
            <w:r w:rsidR="006D3878">
              <w:rPr>
                <w:rFonts w:ascii="Arial Narrow" w:hAnsi="Arial Narrow"/>
                <w:bCs/>
                <w:noProof/>
                <w:color w:val="000000"/>
                <w:sz w:val="20"/>
                <w:highlight w:val="black"/>
              </w:rPr>
              <w:t>'''''''''''''''''''''''</w:t>
            </w:r>
          </w:p>
        </w:tc>
        <w:tc>
          <w:tcPr>
            <w:tcW w:w="1173" w:type="dxa"/>
            <w:shd w:val="clear" w:color="auto" w:fill="auto"/>
            <w:vAlign w:val="center"/>
          </w:tcPr>
          <w:p w:rsidR="00A310A4" w:rsidRPr="004E2ADC" w:rsidRDefault="00A310A4" w:rsidP="00A46133">
            <w:pPr>
              <w:keepNext/>
              <w:widowControl/>
              <w:jc w:val="right"/>
              <w:rPr>
                <w:rFonts w:ascii="Arial Narrow" w:hAnsi="Arial Narrow"/>
                <w:bCs/>
                <w:color w:val="000000"/>
                <w:sz w:val="20"/>
              </w:rPr>
            </w:pPr>
            <w:r>
              <w:rPr>
                <w:rFonts w:ascii="Arial Narrow" w:hAnsi="Arial Narrow"/>
                <w:bCs/>
                <w:color w:val="000000"/>
                <w:sz w:val="20"/>
              </w:rPr>
              <w:t>$</w:t>
            </w:r>
            <w:r w:rsidR="006D3878">
              <w:rPr>
                <w:rFonts w:ascii="Arial Narrow" w:hAnsi="Arial Narrow"/>
                <w:bCs/>
                <w:noProof/>
                <w:color w:val="000000"/>
                <w:sz w:val="20"/>
                <w:highlight w:val="black"/>
              </w:rPr>
              <w:t>''''''''''''''''''''''''''</w:t>
            </w:r>
          </w:p>
        </w:tc>
        <w:tc>
          <w:tcPr>
            <w:tcW w:w="1173" w:type="dxa"/>
            <w:shd w:val="clear" w:color="auto" w:fill="auto"/>
            <w:vAlign w:val="center"/>
          </w:tcPr>
          <w:p w:rsidR="00A310A4" w:rsidRPr="004E2ADC" w:rsidRDefault="00A310A4" w:rsidP="00A46133">
            <w:pPr>
              <w:keepNext/>
              <w:widowControl/>
              <w:jc w:val="right"/>
              <w:rPr>
                <w:rFonts w:ascii="Arial Narrow" w:hAnsi="Arial Narrow"/>
                <w:bCs/>
                <w:color w:val="000000"/>
                <w:sz w:val="20"/>
              </w:rPr>
            </w:pPr>
            <w:r>
              <w:rPr>
                <w:rFonts w:ascii="Arial Narrow" w:hAnsi="Arial Narrow"/>
                <w:bCs/>
                <w:color w:val="000000"/>
                <w:sz w:val="20"/>
              </w:rPr>
              <w:t>$</w:t>
            </w:r>
            <w:r w:rsidR="006D3878">
              <w:rPr>
                <w:rFonts w:ascii="Arial Narrow" w:hAnsi="Arial Narrow"/>
                <w:bCs/>
                <w:noProof/>
                <w:color w:val="000000"/>
                <w:sz w:val="20"/>
                <w:highlight w:val="black"/>
              </w:rPr>
              <w:t>'''''''''''''''''''''''</w:t>
            </w:r>
          </w:p>
        </w:tc>
        <w:tc>
          <w:tcPr>
            <w:tcW w:w="1173" w:type="dxa"/>
            <w:shd w:val="clear" w:color="auto" w:fill="auto"/>
            <w:vAlign w:val="center"/>
          </w:tcPr>
          <w:p w:rsidR="00A310A4" w:rsidRPr="004E2ADC" w:rsidRDefault="00A310A4" w:rsidP="00A46133">
            <w:pPr>
              <w:keepNext/>
              <w:widowControl/>
              <w:jc w:val="right"/>
              <w:rPr>
                <w:rFonts w:ascii="Arial Narrow" w:hAnsi="Arial Narrow"/>
                <w:bCs/>
                <w:color w:val="000000"/>
                <w:sz w:val="20"/>
              </w:rPr>
            </w:pPr>
            <w:r>
              <w:rPr>
                <w:rFonts w:ascii="Arial Narrow" w:hAnsi="Arial Narrow"/>
                <w:bCs/>
                <w:color w:val="000000"/>
                <w:sz w:val="20"/>
              </w:rPr>
              <w:t>$</w:t>
            </w:r>
            <w:r w:rsidR="006D3878">
              <w:rPr>
                <w:rFonts w:ascii="Arial Narrow" w:hAnsi="Arial Narrow"/>
                <w:bCs/>
                <w:noProof/>
                <w:color w:val="000000"/>
                <w:sz w:val="20"/>
                <w:highlight w:val="black"/>
              </w:rPr>
              <w:t>''''''''''''''''''''''''</w:t>
            </w:r>
          </w:p>
        </w:tc>
      </w:tr>
      <w:tr w:rsidR="00A310A4" w:rsidRPr="004E2ADC" w:rsidTr="00A34711">
        <w:trPr>
          <w:tblHeader/>
        </w:trPr>
        <w:tc>
          <w:tcPr>
            <w:tcW w:w="0" w:type="auto"/>
            <w:shd w:val="clear" w:color="auto" w:fill="auto"/>
            <w:vAlign w:val="center"/>
          </w:tcPr>
          <w:p w:rsidR="00A310A4" w:rsidRDefault="00A310A4" w:rsidP="00A46133">
            <w:pPr>
              <w:keepNext/>
              <w:widowControl/>
              <w:tabs>
                <w:tab w:val="left" w:pos="142"/>
              </w:tabs>
              <w:jc w:val="left"/>
              <w:rPr>
                <w:rFonts w:ascii="Arial Narrow" w:hAnsi="Arial Narrow"/>
                <w:sz w:val="19"/>
                <w:szCs w:val="19"/>
              </w:rPr>
            </w:pPr>
            <w:r w:rsidRPr="004E2ADC">
              <w:rPr>
                <w:rFonts w:ascii="Arial Narrow" w:hAnsi="Arial Narrow"/>
                <w:sz w:val="19"/>
                <w:szCs w:val="19"/>
              </w:rPr>
              <w:t>Net cost to PBS</w:t>
            </w:r>
            <w:r>
              <w:rPr>
                <w:rFonts w:ascii="Arial Narrow" w:hAnsi="Arial Narrow"/>
                <w:sz w:val="19"/>
                <w:szCs w:val="19"/>
              </w:rPr>
              <w:t>/RPBS</w:t>
            </w:r>
          </w:p>
        </w:tc>
        <w:tc>
          <w:tcPr>
            <w:tcW w:w="1172" w:type="dxa"/>
            <w:shd w:val="clear" w:color="auto" w:fill="auto"/>
            <w:vAlign w:val="bottom"/>
          </w:tcPr>
          <w:p w:rsidR="00A310A4" w:rsidRPr="004D0926" w:rsidRDefault="00A310A4" w:rsidP="00A46133">
            <w:pPr>
              <w:keepNext/>
              <w:widowControl/>
              <w:jc w:val="right"/>
              <w:rPr>
                <w:rStyle w:val="TableText1"/>
              </w:rPr>
            </w:pPr>
            <w:r w:rsidRPr="004D0926">
              <w:rPr>
                <w:rStyle w:val="TableText1"/>
              </w:rPr>
              <w:t>$</w:t>
            </w:r>
            <w:r w:rsidR="006D3878">
              <w:rPr>
                <w:rStyle w:val="TableText1"/>
                <w:noProof/>
                <w:color w:val="000000"/>
                <w:highlight w:val="black"/>
              </w:rPr>
              <w:t>'''''''''''''''''''''''''</w:t>
            </w:r>
          </w:p>
        </w:tc>
        <w:tc>
          <w:tcPr>
            <w:tcW w:w="1173" w:type="dxa"/>
            <w:shd w:val="clear" w:color="auto" w:fill="auto"/>
            <w:vAlign w:val="bottom"/>
          </w:tcPr>
          <w:p w:rsidR="00A310A4" w:rsidRPr="004D0926" w:rsidRDefault="00A310A4" w:rsidP="00A46133">
            <w:pPr>
              <w:keepNext/>
              <w:widowControl/>
              <w:jc w:val="right"/>
              <w:rPr>
                <w:rStyle w:val="TableText1"/>
              </w:rPr>
            </w:pPr>
            <w:r w:rsidRPr="004D0926">
              <w:rPr>
                <w:rStyle w:val="TableText1"/>
              </w:rPr>
              <w:t>$</w:t>
            </w:r>
            <w:r w:rsidR="006D3878">
              <w:rPr>
                <w:rStyle w:val="TableText1"/>
                <w:noProof/>
                <w:color w:val="000000"/>
                <w:highlight w:val="black"/>
              </w:rPr>
              <w:t>''''''''''''''''''''''</w:t>
            </w:r>
          </w:p>
        </w:tc>
        <w:tc>
          <w:tcPr>
            <w:tcW w:w="1173" w:type="dxa"/>
            <w:shd w:val="clear" w:color="auto" w:fill="auto"/>
            <w:vAlign w:val="bottom"/>
          </w:tcPr>
          <w:p w:rsidR="00A310A4" w:rsidRPr="004D0926" w:rsidRDefault="00A310A4" w:rsidP="00A46133">
            <w:pPr>
              <w:keepNext/>
              <w:widowControl/>
              <w:jc w:val="right"/>
              <w:rPr>
                <w:rStyle w:val="TableText1"/>
              </w:rPr>
            </w:pPr>
            <w:r w:rsidRPr="004D0926">
              <w:rPr>
                <w:rStyle w:val="TableText1"/>
              </w:rPr>
              <w:t>$</w:t>
            </w:r>
            <w:r w:rsidR="006D3878">
              <w:rPr>
                <w:rStyle w:val="TableText1"/>
                <w:noProof/>
                <w:color w:val="000000"/>
                <w:highlight w:val="black"/>
              </w:rPr>
              <w:t>''''''''''''''''''''''</w:t>
            </w:r>
          </w:p>
        </w:tc>
        <w:tc>
          <w:tcPr>
            <w:tcW w:w="1173" w:type="dxa"/>
            <w:shd w:val="clear" w:color="auto" w:fill="auto"/>
            <w:vAlign w:val="bottom"/>
          </w:tcPr>
          <w:p w:rsidR="00A310A4" w:rsidRPr="004D0926" w:rsidRDefault="00A310A4" w:rsidP="00A46133">
            <w:pPr>
              <w:keepNext/>
              <w:widowControl/>
              <w:jc w:val="right"/>
              <w:rPr>
                <w:rStyle w:val="TableText1"/>
              </w:rPr>
            </w:pPr>
            <w:r w:rsidRPr="004D0926">
              <w:rPr>
                <w:rStyle w:val="TableText1"/>
              </w:rPr>
              <w:t>$</w:t>
            </w:r>
            <w:r w:rsidR="006D3878">
              <w:rPr>
                <w:rStyle w:val="TableText1"/>
                <w:noProof/>
                <w:color w:val="000000"/>
                <w:highlight w:val="black"/>
              </w:rPr>
              <w:t>''''''''''''''''''''''</w:t>
            </w:r>
          </w:p>
        </w:tc>
        <w:tc>
          <w:tcPr>
            <w:tcW w:w="1173" w:type="dxa"/>
            <w:shd w:val="clear" w:color="auto" w:fill="auto"/>
            <w:vAlign w:val="bottom"/>
          </w:tcPr>
          <w:p w:rsidR="00A310A4" w:rsidRPr="004D0926" w:rsidRDefault="00A310A4" w:rsidP="00A46133">
            <w:pPr>
              <w:keepNext/>
              <w:widowControl/>
              <w:jc w:val="right"/>
              <w:rPr>
                <w:rStyle w:val="TableText1"/>
              </w:rPr>
            </w:pPr>
            <w:r w:rsidRPr="004D0926">
              <w:rPr>
                <w:rStyle w:val="TableText1"/>
              </w:rPr>
              <w:t>$</w:t>
            </w:r>
            <w:r w:rsidR="006D3878">
              <w:rPr>
                <w:rStyle w:val="TableText1"/>
                <w:noProof/>
                <w:color w:val="000000"/>
                <w:highlight w:val="black"/>
              </w:rPr>
              <w:t>''''''''''''''''''''''</w:t>
            </w:r>
          </w:p>
        </w:tc>
      </w:tr>
      <w:tr w:rsidR="00A310A4" w:rsidRPr="004E2ADC" w:rsidTr="00A34711">
        <w:trPr>
          <w:tblHeader/>
        </w:trPr>
        <w:tc>
          <w:tcPr>
            <w:tcW w:w="0" w:type="auto"/>
            <w:shd w:val="clear" w:color="auto" w:fill="auto"/>
            <w:vAlign w:val="center"/>
          </w:tcPr>
          <w:p w:rsidR="00A310A4" w:rsidRPr="004E2ADC" w:rsidRDefault="00A310A4" w:rsidP="00A46133">
            <w:pPr>
              <w:keepNext/>
              <w:widowControl/>
              <w:tabs>
                <w:tab w:val="left" w:pos="142"/>
              </w:tabs>
              <w:jc w:val="left"/>
              <w:rPr>
                <w:rFonts w:ascii="Arial Narrow" w:hAnsi="Arial Narrow"/>
                <w:sz w:val="19"/>
                <w:szCs w:val="19"/>
              </w:rPr>
            </w:pPr>
            <w:r>
              <w:rPr>
                <w:rFonts w:ascii="Arial Narrow" w:hAnsi="Arial Narrow"/>
                <w:sz w:val="19"/>
                <w:szCs w:val="19"/>
              </w:rPr>
              <w:t>Net cost to MBS</w:t>
            </w:r>
            <w:r>
              <w:rPr>
                <w:rFonts w:ascii="Arial Narrow" w:hAnsi="Arial Narrow"/>
                <w:sz w:val="20"/>
              </w:rPr>
              <w:t xml:space="preserve"> – Mar 2015</w:t>
            </w:r>
          </w:p>
        </w:tc>
        <w:tc>
          <w:tcPr>
            <w:tcW w:w="1172" w:type="dxa"/>
            <w:shd w:val="clear" w:color="auto" w:fill="auto"/>
            <w:vAlign w:val="center"/>
          </w:tcPr>
          <w:p w:rsidR="00A310A4" w:rsidRPr="004E2ADC" w:rsidRDefault="00A310A4" w:rsidP="00A46133">
            <w:pPr>
              <w:pStyle w:val="Tabletext"/>
              <w:keepNext/>
              <w:jc w:val="right"/>
            </w:pPr>
            <w:r>
              <w:t>$</w:t>
            </w:r>
            <w:r w:rsidR="006D3878">
              <w:rPr>
                <w:noProof/>
                <w:color w:val="000000"/>
                <w:highlight w:val="black"/>
              </w:rPr>
              <w:t>'''''''''''''''''</w:t>
            </w:r>
          </w:p>
        </w:tc>
        <w:tc>
          <w:tcPr>
            <w:tcW w:w="1173" w:type="dxa"/>
            <w:shd w:val="clear" w:color="auto" w:fill="auto"/>
            <w:vAlign w:val="center"/>
          </w:tcPr>
          <w:p w:rsidR="00A310A4" w:rsidRPr="004E2ADC" w:rsidRDefault="00A310A4" w:rsidP="00A46133">
            <w:pPr>
              <w:pStyle w:val="Tabletext"/>
              <w:keepNext/>
              <w:jc w:val="right"/>
            </w:pPr>
            <w:r>
              <w:t>$</w:t>
            </w:r>
            <w:r w:rsidR="006D3878">
              <w:rPr>
                <w:noProof/>
                <w:color w:val="000000"/>
                <w:highlight w:val="black"/>
              </w:rPr>
              <w:t>'''''''''''''''</w:t>
            </w:r>
          </w:p>
        </w:tc>
        <w:tc>
          <w:tcPr>
            <w:tcW w:w="1173" w:type="dxa"/>
            <w:shd w:val="clear" w:color="auto" w:fill="auto"/>
            <w:vAlign w:val="center"/>
          </w:tcPr>
          <w:p w:rsidR="00A310A4" w:rsidRPr="004E2ADC" w:rsidRDefault="00A310A4" w:rsidP="00A46133">
            <w:pPr>
              <w:pStyle w:val="Tabletext"/>
              <w:keepNext/>
              <w:jc w:val="right"/>
            </w:pPr>
            <w:r>
              <w:t>$</w:t>
            </w:r>
            <w:r w:rsidR="006D3878">
              <w:rPr>
                <w:noProof/>
                <w:color w:val="000000"/>
                <w:highlight w:val="black"/>
              </w:rPr>
              <w:t>'''''''''''''''''</w:t>
            </w:r>
          </w:p>
        </w:tc>
        <w:tc>
          <w:tcPr>
            <w:tcW w:w="1173" w:type="dxa"/>
            <w:shd w:val="clear" w:color="auto" w:fill="auto"/>
            <w:vAlign w:val="center"/>
          </w:tcPr>
          <w:p w:rsidR="00A310A4" w:rsidRPr="004E2ADC" w:rsidRDefault="00A310A4" w:rsidP="00A46133">
            <w:pPr>
              <w:pStyle w:val="Tabletext"/>
              <w:keepNext/>
              <w:jc w:val="right"/>
            </w:pPr>
            <w:r>
              <w:t>$</w:t>
            </w:r>
            <w:r w:rsidR="006D3878">
              <w:rPr>
                <w:noProof/>
                <w:color w:val="000000"/>
                <w:highlight w:val="black"/>
              </w:rPr>
              <w:t>''''''''''''''</w:t>
            </w:r>
          </w:p>
        </w:tc>
        <w:tc>
          <w:tcPr>
            <w:tcW w:w="1173" w:type="dxa"/>
            <w:shd w:val="clear" w:color="auto" w:fill="auto"/>
            <w:vAlign w:val="center"/>
          </w:tcPr>
          <w:p w:rsidR="00A310A4" w:rsidRPr="004E2ADC" w:rsidRDefault="00A310A4" w:rsidP="00A46133">
            <w:pPr>
              <w:pStyle w:val="Tabletext"/>
              <w:keepNext/>
              <w:jc w:val="right"/>
            </w:pPr>
            <w:r>
              <w:t>$</w:t>
            </w:r>
            <w:r w:rsidR="006D3878">
              <w:rPr>
                <w:noProof/>
                <w:color w:val="000000"/>
                <w:highlight w:val="black"/>
              </w:rPr>
              <w:t>''''''''''''</w:t>
            </w:r>
          </w:p>
        </w:tc>
      </w:tr>
      <w:tr w:rsidR="00A310A4" w:rsidRPr="004E2ADC" w:rsidTr="00A34711">
        <w:trPr>
          <w:tblHeader/>
        </w:trPr>
        <w:tc>
          <w:tcPr>
            <w:tcW w:w="0" w:type="auto"/>
            <w:shd w:val="clear" w:color="auto" w:fill="auto"/>
            <w:vAlign w:val="center"/>
          </w:tcPr>
          <w:p w:rsidR="00A310A4" w:rsidRDefault="00A310A4" w:rsidP="00A46133">
            <w:pPr>
              <w:keepNext/>
              <w:widowControl/>
              <w:tabs>
                <w:tab w:val="left" w:pos="142"/>
              </w:tabs>
              <w:jc w:val="left"/>
              <w:rPr>
                <w:rFonts w:ascii="Arial Narrow" w:hAnsi="Arial Narrow"/>
                <w:sz w:val="19"/>
                <w:szCs w:val="19"/>
              </w:rPr>
            </w:pPr>
            <w:r>
              <w:rPr>
                <w:rFonts w:ascii="Arial Narrow" w:hAnsi="Arial Narrow"/>
                <w:sz w:val="19"/>
                <w:szCs w:val="19"/>
              </w:rPr>
              <w:t>Net cost to MBS</w:t>
            </w:r>
          </w:p>
        </w:tc>
        <w:tc>
          <w:tcPr>
            <w:tcW w:w="1172" w:type="dxa"/>
            <w:shd w:val="clear" w:color="auto" w:fill="auto"/>
            <w:vAlign w:val="center"/>
          </w:tcPr>
          <w:p w:rsidR="00A310A4" w:rsidRPr="004D0926" w:rsidRDefault="00A310A4" w:rsidP="00A46133">
            <w:pPr>
              <w:pStyle w:val="Tabletext"/>
              <w:keepNext/>
              <w:jc w:val="right"/>
              <w:rPr>
                <w:rFonts w:cs="Arial"/>
                <w:bCs/>
              </w:rPr>
            </w:pPr>
            <w:r w:rsidRPr="004D0926">
              <w:rPr>
                <w:rFonts w:cs="Arial"/>
                <w:bCs/>
              </w:rPr>
              <w:t>$</w:t>
            </w:r>
            <w:r w:rsidR="006D3878">
              <w:rPr>
                <w:rFonts w:cs="Arial"/>
                <w:bCs/>
                <w:noProof/>
                <w:color w:val="000000"/>
                <w:highlight w:val="black"/>
              </w:rPr>
              <w:t>'''''''''''''''''</w:t>
            </w:r>
          </w:p>
        </w:tc>
        <w:tc>
          <w:tcPr>
            <w:tcW w:w="1173" w:type="dxa"/>
            <w:shd w:val="clear" w:color="auto" w:fill="auto"/>
            <w:vAlign w:val="center"/>
          </w:tcPr>
          <w:p w:rsidR="00A310A4" w:rsidRPr="004D0926" w:rsidRDefault="00A310A4" w:rsidP="00A46133">
            <w:pPr>
              <w:pStyle w:val="Tabletext"/>
              <w:keepNext/>
              <w:jc w:val="right"/>
              <w:rPr>
                <w:rFonts w:cs="Arial"/>
                <w:bCs/>
              </w:rPr>
            </w:pPr>
            <w:r w:rsidRPr="004D0926">
              <w:rPr>
                <w:rFonts w:cs="Arial"/>
                <w:bCs/>
              </w:rPr>
              <w:t>$</w:t>
            </w:r>
            <w:r w:rsidR="006D3878">
              <w:rPr>
                <w:rFonts w:cs="Arial"/>
                <w:bCs/>
                <w:noProof/>
                <w:color w:val="000000"/>
                <w:highlight w:val="black"/>
              </w:rPr>
              <w:t>'''''''''''''''''</w:t>
            </w:r>
          </w:p>
        </w:tc>
        <w:tc>
          <w:tcPr>
            <w:tcW w:w="1173" w:type="dxa"/>
            <w:shd w:val="clear" w:color="auto" w:fill="auto"/>
            <w:vAlign w:val="center"/>
          </w:tcPr>
          <w:p w:rsidR="00A310A4" w:rsidRPr="004D0926" w:rsidRDefault="00A310A4" w:rsidP="00A46133">
            <w:pPr>
              <w:pStyle w:val="Tabletext"/>
              <w:keepNext/>
              <w:jc w:val="right"/>
              <w:rPr>
                <w:rFonts w:cs="Arial"/>
                <w:bCs/>
              </w:rPr>
            </w:pPr>
            <w:r w:rsidRPr="004D0926">
              <w:rPr>
                <w:rFonts w:cs="Arial"/>
                <w:bCs/>
              </w:rPr>
              <w:t>$</w:t>
            </w:r>
            <w:r w:rsidR="006D3878">
              <w:rPr>
                <w:rFonts w:cs="Arial"/>
                <w:bCs/>
                <w:noProof/>
                <w:color w:val="000000"/>
                <w:highlight w:val="black"/>
              </w:rPr>
              <w:t>'''''''''''''''</w:t>
            </w:r>
          </w:p>
        </w:tc>
        <w:tc>
          <w:tcPr>
            <w:tcW w:w="1173" w:type="dxa"/>
            <w:shd w:val="clear" w:color="auto" w:fill="auto"/>
            <w:vAlign w:val="center"/>
          </w:tcPr>
          <w:p w:rsidR="00A310A4" w:rsidRPr="004D0926" w:rsidRDefault="00A310A4" w:rsidP="00A46133">
            <w:pPr>
              <w:pStyle w:val="Tabletext"/>
              <w:keepNext/>
              <w:jc w:val="right"/>
              <w:rPr>
                <w:rFonts w:cs="Arial"/>
                <w:bCs/>
              </w:rPr>
            </w:pPr>
            <w:r w:rsidRPr="004D0926">
              <w:rPr>
                <w:rFonts w:cs="Arial"/>
                <w:bCs/>
              </w:rPr>
              <w:t>$</w:t>
            </w:r>
            <w:r w:rsidR="006D3878">
              <w:rPr>
                <w:rFonts w:cs="Arial"/>
                <w:bCs/>
                <w:noProof/>
                <w:color w:val="000000"/>
                <w:highlight w:val="black"/>
              </w:rPr>
              <w:t>''''''''''''''</w:t>
            </w:r>
          </w:p>
        </w:tc>
        <w:tc>
          <w:tcPr>
            <w:tcW w:w="1173" w:type="dxa"/>
            <w:shd w:val="clear" w:color="auto" w:fill="auto"/>
            <w:vAlign w:val="center"/>
          </w:tcPr>
          <w:p w:rsidR="00A310A4" w:rsidRPr="004D0926" w:rsidRDefault="00A310A4" w:rsidP="00A46133">
            <w:pPr>
              <w:pStyle w:val="Tabletext"/>
              <w:keepNext/>
              <w:jc w:val="right"/>
              <w:rPr>
                <w:rFonts w:cs="Arial"/>
                <w:bCs/>
              </w:rPr>
            </w:pPr>
            <w:r w:rsidRPr="004D0926">
              <w:rPr>
                <w:rFonts w:cs="Arial"/>
                <w:bCs/>
              </w:rPr>
              <w:t>$</w:t>
            </w:r>
            <w:r w:rsidR="006D3878">
              <w:rPr>
                <w:rFonts w:cs="Arial"/>
                <w:bCs/>
                <w:noProof/>
                <w:color w:val="000000"/>
                <w:highlight w:val="black"/>
              </w:rPr>
              <w:t>'''''''''''''''</w:t>
            </w:r>
          </w:p>
        </w:tc>
      </w:tr>
      <w:tr w:rsidR="00A310A4" w:rsidRPr="004E2ADC" w:rsidTr="00A34711">
        <w:trPr>
          <w:tblHeader/>
        </w:trPr>
        <w:tc>
          <w:tcPr>
            <w:tcW w:w="0" w:type="auto"/>
            <w:shd w:val="clear" w:color="auto" w:fill="auto"/>
            <w:vAlign w:val="center"/>
          </w:tcPr>
          <w:p w:rsidR="00A310A4" w:rsidRPr="004E2ADC" w:rsidRDefault="00A310A4" w:rsidP="00A46133">
            <w:pPr>
              <w:keepNext/>
              <w:widowControl/>
              <w:tabs>
                <w:tab w:val="left" w:pos="142"/>
              </w:tabs>
              <w:jc w:val="left"/>
              <w:rPr>
                <w:rFonts w:ascii="Arial Narrow" w:hAnsi="Arial Narrow"/>
                <w:sz w:val="20"/>
              </w:rPr>
            </w:pPr>
            <w:r w:rsidRPr="004E2ADC">
              <w:rPr>
                <w:rFonts w:ascii="Arial Narrow" w:hAnsi="Arial Narrow"/>
                <w:sz w:val="19"/>
                <w:szCs w:val="19"/>
              </w:rPr>
              <w:t xml:space="preserve">Net cost to </w:t>
            </w:r>
            <w:r>
              <w:rPr>
                <w:rFonts w:ascii="Arial Narrow" w:hAnsi="Arial Narrow"/>
                <w:sz w:val="19"/>
                <w:szCs w:val="19"/>
              </w:rPr>
              <w:t>hospitals</w:t>
            </w:r>
            <w:r>
              <w:rPr>
                <w:rFonts w:ascii="Arial Narrow" w:hAnsi="Arial Narrow"/>
                <w:sz w:val="20"/>
              </w:rPr>
              <w:t xml:space="preserve"> – Mar 2015</w:t>
            </w:r>
          </w:p>
        </w:tc>
        <w:tc>
          <w:tcPr>
            <w:tcW w:w="1172" w:type="dxa"/>
            <w:shd w:val="clear" w:color="auto" w:fill="auto"/>
            <w:vAlign w:val="center"/>
          </w:tcPr>
          <w:p w:rsidR="00A310A4" w:rsidRPr="004E2ADC" w:rsidRDefault="00A310A4" w:rsidP="00A46133">
            <w:pPr>
              <w:keepNext/>
              <w:widowControl/>
              <w:jc w:val="right"/>
              <w:rPr>
                <w:rFonts w:ascii="Arial Narrow" w:hAnsi="Arial Narrow"/>
                <w:bCs/>
                <w:color w:val="000000"/>
                <w:sz w:val="20"/>
              </w:rPr>
            </w:pPr>
            <w:r>
              <w:rPr>
                <w:rFonts w:ascii="Arial Narrow" w:hAnsi="Arial Narrow"/>
                <w:bCs/>
                <w:color w:val="000000"/>
                <w:sz w:val="20"/>
              </w:rPr>
              <w:t>$</w:t>
            </w:r>
            <w:r w:rsidR="006D3878">
              <w:rPr>
                <w:rFonts w:ascii="Arial Narrow" w:hAnsi="Arial Narrow"/>
                <w:bCs/>
                <w:noProof/>
                <w:color w:val="000000"/>
                <w:sz w:val="20"/>
                <w:highlight w:val="black"/>
              </w:rPr>
              <w:t>''''''''''''''''''</w:t>
            </w:r>
          </w:p>
        </w:tc>
        <w:tc>
          <w:tcPr>
            <w:tcW w:w="1173" w:type="dxa"/>
            <w:shd w:val="clear" w:color="auto" w:fill="auto"/>
            <w:vAlign w:val="center"/>
          </w:tcPr>
          <w:p w:rsidR="00A310A4" w:rsidRPr="004E2ADC" w:rsidRDefault="00A310A4" w:rsidP="00A46133">
            <w:pPr>
              <w:keepNext/>
              <w:widowControl/>
              <w:jc w:val="right"/>
              <w:rPr>
                <w:rFonts w:ascii="Arial Narrow" w:hAnsi="Arial Narrow"/>
                <w:bCs/>
                <w:color w:val="000000"/>
                <w:sz w:val="20"/>
              </w:rPr>
            </w:pPr>
            <w:r>
              <w:rPr>
                <w:rFonts w:ascii="Arial Narrow" w:hAnsi="Arial Narrow"/>
                <w:bCs/>
                <w:color w:val="000000"/>
                <w:sz w:val="20"/>
              </w:rPr>
              <w:t>$</w:t>
            </w:r>
            <w:r w:rsidR="006D3878">
              <w:rPr>
                <w:rFonts w:ascii="Arial Narrow" w:hAnsi="Arial Narrow"/>
                <w:bCs/>
                <w:noProof/>
                <w:color w:val="000000"/>
                <w:sz w:val="20"/>
                <w:highlight w:val="black"/>
              </w:rPr>
              <w:t>''''''''''''''''''''</w:t>
            </w:r>
          </w:p>
        </w:tc>
        <w:tc>
          <w:tcPr>
            <w:tcW w:w="1173" w:type="dxa"/>
            <w:shd w:val="clear" w:color="auto" w:fill="auto"/>
            <w:vAlign w:val="center"/>
          </w:tcPr>
          <w:p w:rsidR="00A310A4" w:rsidRPr="004E2ADC" w:rsidRDefault="00A310A4" w:rsidP="00A46133">
            <w:pPr>
              <w:keepNext/>
              <w:widowControl/>
              <w:jc w:val="right"/>
              <w:rPr>
                <w:rFonts w:ascii="Arial Narrow" w:hAnsi="Arial Narrow"/>
                <w:bCs/>
                <w:color w:val="000000"/>
                <w:sz w:val="20"/>
              </w:rPr>
            </w:pPr>
            <w:r>
              <w:rPr>
                <w:rFonts w:ascii="Arial Narrow" w:hAnsi="Arial Narrow"/>
                <w:bCs/>
                <w:color w:val="000000"/>
                <w:sz w:val="20"/>
              </w:rPr>
              <w:t>$</w:t>
            </w:r>
            <w:r w:rsidR="006D3878">
              <w:rPr>
                <w:rFonts w:ascii="Arial Narrow" w:hAnsi="Arial Narrow"/>
                <w:bCs/>
                <w:noProof/>
                <w:color w:val="000000"/>
                <w:sz w:val="20"/>
                <w:highlight w:val="black"/>
              </w:rPr>
              <w:t>''''''''''''''''''</w:t>
            </w:r>
          </w:p>
        </w:tc>
        <w:tc>
          <w:tcPr>
            <w:tcW w:w="1173" w:type="dxa"/>
            <w:shd w:val="clear" w:color="auto" w:fill="auto"/>
            <w:vAlign w:val="center"/>
          </w:tcPr>
          <w:p w:rsidR="00A310A4" w:rsidRPr="004E2ADC" w:rsidRDefault="00A310A4" w:rsidP="00A46133">
            <w:pPr>
              <w:keepNext/>
              <w:widowControl/>
              <w:jc w:val="right"/>
              <w:rPr>
                <w:rFonts w:ascii="Arial Narrow" w:hAnsi="Arial Narrow"/>
                <w:bCs/>
                <w:color w:val="000000"/>
                <w:sz w:val="20"/>
              </w:rPr>
            </w:pPr>
            <w:r>
              <w:rPr>
                <w:rFonts w:ascii="Arial Narrow" w:hAnsi="Arial Narrow"/>
                <w:bCs/>
                <w:color w:val="000000"/>
                <w:sz w:val="20"/>
              </w:rPr>
              <w:t>$</w:t>
            </w:r>
            <w:r w:rsidR="006D3878">
              <w:rPr>
                <w:rFonts w:ascii="Arial Narrow" w:hAnsi="Arial Narrow"/>
                <w:bCs/>
                <w:noProof/>
                <w:color w:val="000000"/>
                <w:sz w:val="20"/>
                <w:highlight w:val="black"/>
              </w:rPr>
              <w:t>''''''''''''''''''</w:t>
            </w:r>
          </w:p>
        </w:tc>
        <w:tc>
          <w:tcPr>
            <w:tcW w:w="1173" w:type="dxa"/>
            <w:shd w:val="clear" w:color="auto" w:fill="auto"/>
            <w:vAlign w:val="center"/>
          </w:tcPr>
          <w:p w:rsidR="00A310A4" w:rsidRPr="004E2ADC" w:rsidRDefault="00A310A4" w:rsidP="00A46133">
            <w:pPr>
              <w:keepNext/>
              <w:widowControl/>
              <w:jc w:val="right"/>
              <w:rPr>
                <w:rFonts w:ascii="Arial Narrow" w:hAnsi="Arial Narrow"/>
                <w:bCs/>
                <w:color w:val="000000"/>
                <w:sz w:val="20"/>
              </w:rPr>
            </w:pPr>
            <w:r>
              <w:rPr>
                <w:rFonts w:ascii="Arial Narrow" w:hAnsi="Arial Narrow"/>
                <w:bCs/>
                <w:color w:val="000000"/>
                <w:sz w:val="20"/>
              </w:rPr>
              <w:t>$</w:t>
            </w:r>
            <w:r w:rsidR="006D3878">
              <w:rPr>
                <w:rFonts w:ascii="Arial Narrow" w:hAnsi="Arial Narrow"/>
                <w:bCs/>
                <w:noProof/>
                <w:color w:val="000000"/>
                <w:sz w:val="20"/>
                <w:highlight w:val="black"/>
              </w:rPr>
              <w:t>'''''''''''''''''''''</w:t>
            </w:r>
          </w:p>
        </w:tc>
      </w:tr>
      <w:tr w:rsidR="00A310A4" w:rsidRPr="004E2ADC" w:rsidTr="00A34711">
        <w:trPr>
          <w:tblHeader/>
        </w:trPr>
        <w:tc>
          <w:tcPr>
            <w:tcW w:w="0" w:type="auto"/>
            <w:shd w:val="clear" w:color="auto" w:fill="auto"/>
            <w:vAlign w:val="center"/>
          </w:tcPr>
          <w:p w:rsidR="00A310A4" w:rsidRPr="004E2ADC" w:rsidRDefault="00A310A4" w:rsidP="002C73E6">
            <w:pPr>
              <w:keepNext/>
              <w:widowControl/>
              <w:tabs>
                <w:tab w:val="left" w:pos="142"/>
              </w:tabs>
              <w:jc w:val="left"/>
              <w:rPr>
                <w:rFonts w:ascii="Arial Narrow" w:hAnsi="Arial Narrow"/>
                <w:sz w:val="19"/>
                <w:szCs w:val="19"/>
              </w:rPr>
            </w:pPr>
            <w:r w:rsidRPr="004E2ADC">
              <w:rPr>
                <w:rFonts w:ascii="Arial Narrow" w:hAnsi="Arial Narrow"/>
                <w:sz w:val="19"/>
                <w:szCs w:val="19"/>
              </w:rPr>
              <w:t xml:space="preserve">Net cost to </w:t>
            </w:r>
            <w:r>
              <w:rPr>
                <w:rFonts w:ascii="Arial Narrow" w:hAnsi="Arial Narrow"/>
                <w:sz w:val="19"/>
                <w:szCs w:val="19"/>
              </w:rPr>
              <w:t>hospitals</w:t>
            </w:r>
            <w:r w:rsidR="002C73E6">
              <w:rPr>
                <w:rFonts w:ascii="Arial Narrow" w:hAnsi="Arial Narrow"/>
                <w:sz w:val="19"/>
                <w:szCs w:val="19"/>
              </w:rPr>
              <w:t xml:space="preserve"> </w:t>
            </w:r>
          </w:p>
        </w:tc>
        <w:tc>
          <w:tcPr>
            <w:tcW w:w="1172" w:type="dxa"/>
            <w:shd w:val="clear" w:color="auto" w:fill="auto"/>
            <w:vAlign w:val="bottom"/>
          </w:tcPr>
          <w:p w:rsidR="00A310A4" w:rsidRPr="002C73E6" w:rsidRDefault="00A310A4" w:rsidP="00A46133">
            <w:pPr>
              <w:keepNext/>
              <w:widowControl/>
              <w:jc w:val="right"/>
              <w:rPr>
                <w:rStyle w:val="TableText1"/>
              </w:rPr>
            </w:pPr>
            <w:r w:rsidRPr="002C73E6">
              <w:rPr>
                <w:rStyle w:val="TableText1"/>
              </w:rPr>
              <w:t>$</w:t>
            </w:r>
            <w:r w:rsidR="006D3878">
              <w:rPr>
                <w:rStyle w:val="TableText1"/>
                <w:noProof/>
                <w:color w:val="000000"/>
                <w:highlight w:val="black"/>
              </w:rPr>
              <w:t>''''''''''''''''''''''</w:t>
            </w:r>
          </w:p>
        </w:tc>
        <w:tc>
          <w:tcPr>
            <w:tcW w:w="1173" w:type="dxa"/>
            <w:shd w:val="clear" w:color="auto" w:fill="auto"/>
            <w:vAlign w:val="bottom"/>
          </w:tcPr>
          <w:p w:rsidR="00A310A4" w:rsidRPr="002C73E6" w:rsidRDefault="00A310A4" w:rsidP="00A46133">
            <w:pPr>
              <w:keepNext/>
              <w:widowControl/>
              <w:jc w:val="right"/>
              <w:rPr>
                <w:rStyle w:val="TableText1"/>
              </w:rPr>
            </w:pPr>
            <w:r w:rsidRPr="002C73E6">
              <w:rPr>
                <w:rStyle w:val="TableText1"/>
              </w:rPr>
              <w:t>$</w:t>
            </w:r>
            <w:r w:rsidR="006D3878">
              <w:rPr>
                <w:rStyle w:val="TableText1"/>
                <w:noProof/>
                <w:color w:val="000000"/>
                <w:highlight w:val="black"/>
              </w:rPr>
              <w:t>''''''''''''''''''''</w:t>
            </w:r>
          </w:p>
        </w:tc>
        <w:tc>
          <w:tcPr>
            <w:tcW w:w="1173" w:type="dxa"/>
            <w:shd w:val="clear" w:color="auto" w:fill="auto"/>
            <w:vAlign w:val="bottom"/>
          </w:tcPr>
          <w:p w:rsidR="00A310A4" w:rsidRPr="002C73E6" w:rsidRDefault="00A310A4" w:rsidP="00A46133">
            <w:pPr>
              <w:keepNext/>
              <w:widowControl/>
              <w:jc w:val="right"/>
              <w:rPr>
                <w:rStyle w:val="TableText1"/>
              </w:rPr>
            </w:pPr>
            <w:r w:rsidRPr="002C73E6">
              <w:rPr>
                <w:rStyle w:val="TableText1"/>
              </w:rPr>
              <w:t>$</w:t>
            </w:r>
            <w:r w:rsidR="006D3878">
              <w:rPr>
                <w:rStyle w:val="TableText1"/>
                <w:noProof/>
                <w:color w:val="000000"/>
                <w:highlight w:val="black"/>
              </w:rPr>
              <w:t>'''''''''''''''''</w:t>
            </w:r>
          </w:p>
        </w:tc>
        <w:tc>
          <w:tcPr>
            <w:tcW w:w="1173" w:type="dxa"/>
            <w:shd w:val="clear" w:color="auto" w:fill="auto"/>
            <w:vAlign w:val="bottom"/>
          </w:tcPr>
          <w:p w:rsidR="00A310A4" w:rsidRPr="002C73E6" w:rsidRDefault="00A310A4" w:rsidP="00A46133">
            <w:pPr>
              <w:keepNext/>
              <w:widowControl/>
              <w:jc w:val="right"/>
              <w:rPr>
                <w:rStyle w:val="TableText1"/>
              </w:rPr>
            </w:pPr>
            <w:r w:rsidRPr="002C73E6">
              <w:rPr>
                <w:rStyle w:val="TableText1"/>
              </w:rPr>
              <w:t>$</w:t>
            </w:r>
            <w:r w:rsidR="006D3878">
              <w:rPr>
                <w:rStyle w:val="TableText1"/>
                <w:noProof/>
                <w:color w:val="000000"/>
                <w:highlight w:val="black"/>
              </w:rPr>
              <w:t>''''''''''''''''''</w:t>
            </w:r>
          </w:p>
        </w:tc>
        <w:tc>
          <w:tcPr>
            <w:tcW w:w="1173" w:type="dxa"/>
            <w:shd w:val="clear" w:color="auto" w:fill="auto"/>
            <w:vAlign w:val="bottom"/>
          </w:tcPr>
          <w:p w:rsidR="00A310A4" w:rsidRPr="002C73E6" w:rsidRDefault="00A310A4" w:rsidP="00A46133">
            <w:pPr>
              <w:keepNext/>
              <w:widowControl/>
              <w:jc w:val="right"/>
              <w:rPr>
                <w:rStyle w:val="TableText1"/>
              </w:rPr>
            </w:pPr>
            <w:r w:rsidRPr="002C73E6">
              <w:rPr>
                <w:rStyle w:val="TableText1"/>
              </w:rPr>
              <w:t>$</w:t>
            </w:r>
            <w:r w:rsidR="006D3878">
              <w:rPr>
                <w:rStyle w:val="TableText1"/>
                <w:noProof/>
                <w:color w:val="000000"/>
                <w:highlight w:val="black"/>
              </w:rPr>
              <w:t>'''''''''''''''''''</w:t>
            </w:r>
          </w:p>
        </w:tc>
      </w:tr>
      <w:tr w:rsidR="00A310A4" w:rsidRPr="004E2ADC" w:rsidTr="00A34711">
        <w:trPr>
          <w:tblHeader/>
        </w:trPr>
        <w:tc>
          <w:tcPr>
            <w:tcW w:w="8363" w:type="dxa"/>
            <w:gridSpan w:val="6"/>
            <w:shd w:val="clear" w:color="auto" w:fill="auto"/>
            <w:vAlign w:val="center"/>
          </w:tcPr>
          <w:p w:rsidR="00A310A4" w:rsidRPr="004E2ADC" w:rsidRDefault="00A310A4" w:rsidP="00A46133">
            <w:pPr>
              <w:keepNext/>
              <w:widowControl/>
              <w:jc w:val="left"/>
              <w:rPr>
                <w:rFonts w:ascii="Arial Narrow" w:hAnsi="Arial Narrow"/>
                <w:b/>
                <w:color w:val="000000"/>
                <w:sz w:val="20"/>
              </w:rPr>
            </w:pPr>
            <w:r w:rsidRPr="004E2ADC">
              <w:rPr>
                <w:rFonts w:ascii="Arial Narrow" w:hAnsi="Arial Narrow"/>
                <w:b/>
                <w:color w:val="000000"/>
                <w:sz w:val="20"/>
              </w:rPr>
              <w:t>Estimated total net cost</w:t>
            </w:r>
            <w:r>
              <w:rPr>
                <w:rFonts w:ascii="Arial Narrow" w:hAnsi="Arial Narrow"/>
                <w:sz w:val="20"/>
              </w:rPr>
              <w:t xml:space="preserve"> </w:t>
            </w:r>
          </w:p>
        </w:tc>
      </w:tr>
      <w:tr w:rsidR="00A310A4" w:rsidRPr="004E2ADC" w:rsidTr="00A34711">
        <w:trPr>
          <w:tblHeader/>
        </w:trPr>
        <w:tc>
          <w:tcPr>
            <w:tcW w:w="0" w:type="auto"/>
            <w:shd w:val="clear" w:color="auto" w:fill="auto"/>
            <w:vAlign w:val="center"/>
          </w:tcPr>
          <w:p w:rsidR="00A310A4" w:rsidRPr="00145540" w:rsidRDefault="00A310A4" w:rsidP="00A46133">
            <w:pPr>
              <w:keepNext/>
              <w:widowControl/>
              <w:tabs>
                <w:tab w:val="left" w:pos="142"/>
              </w:tabs>
              <w:jc w:val="left"/>
              <w:rPr>
                <w:rFonts w:ascii="Arial Narrow" w:hAnsi="Arial Narrow"/>
                <w:b/>
                <w:sz w:val="20"/>
              </w:rPr>
            </w:pPr>
            <w:r>
              <w:rPr>
                <w:rFonts w:ascii="Arial Narrow" w:hAnsi="Arial Narrow"/>
                <w:b/>
                <w:sz w:val="20"/>
              </w:rPr>
              <w:t xml:space="preserve">Total net cost </w:t>
            </w:r>
            <w:r>
              <w:rPr>
                <w:rFonts w:ascii="Arial Narrow" w:hAnsi="Arial Narrow"/>
                <w:sz w:val="20"/>
              </w:rPr>
              <w:t>– Mar 2015</w:t>
            </w:r>
          </w:p>
        </w:tc>
        <w:tc>
          <w:tcPr>
            <w:tcW w:w="1172" w:type="dxa"/>
            <w:shd w:val="clear" w:color="auto" w:fill="auto"/>
            <w:vAlign w:val="center"/>
          </w:tcPr>
          <w:p w:rsidR="00A310A4" w:rsidRPr="001F2E6D" w:rsidRDefault="00A310A4" w:rsidP="00A46133">
            <w:pPr>
              <w:keepNext/>
              <w:widowControl/>
              <w:jc w:val="right"/>
              <w:rPr>
                <w:rFonts w:ascii="Arial Narrow" w:hAnsi="Arial Narrow"/>
                <w:b/>
                <w:color w:val="000000"/>
                <w:sz w:val="20"/>
              </w:rPr>
            </w:pPr>
            <w:r w:rsidRPr="001F2E6D">
              <w:rPr>
                <w:rFonts w:ascii="Arial Narrow" w:hAnsi="Arial Narrow"/>
                <w:b/>
                <w:color w:val="000000"/>
                <w:sz w:val="20"/>
              </w:rPr>
              <w:t>$</w:t>
            </w:r>
            <w:r w:rsidR="006D3878">
              <w:rPr>
                <w:rFonts w:ascii="Arial Narrow" w:hAnsi="Arial Narrow"/>
                <w:b/>
                <w:noProof/>
                <w:color w:val="000000"/>
                <w:sz w:val="20"/>
                <w:highlight w:val="black"/>
              </w:rPr>
              <w:t>''''''''''''''''''''</w:t>
            </w:r>
          </w:p>
        </w:tc>
        <w:tc>
          <w:tcPr>
            <w:tcW w:w="1173" w:type="dxa"/>
            <w:shd w:val="clear" w:color="auto" w:fill="auto"/>
            <w:vAlign w:val="center"/>
          </w:tcPr>
          <w:p w:rsidR="00A310A4" w:rsidRPr="001F2E6D" w:rsidRDefault="00A310A4" w:rsidP="00A46133">
            <w:pPr>
              <w:keepNext/>
              <w:widowControl/>
              <w:jc w:val="right"/>
              <w:rPr>
                <w:rFonts w:ascii="Arial Narrow" w:hAnsi="Arial Narrow"/>
                <w:b/>
                <w:color w:val="000000"/>
                <w:sz w:val="20"/>
              </w:rPr>
            </w:pPr>
            <w:r w:rsidRPr="001F2E6D">
              <w:rPr>
                <w:rFonts w:ascii="Arial Narrow" w:hAnsi="Arial Narrow"/>
                <w:b/>
                <w:color w:val="000000"/>
                <w:sz w:val="20"/>
              </w:rPr>
              <w:t>$</w:t>
            </w:r>
            <w:r w:rsidR="006D3878">
              <w:rPr>
                <w:rFonts w:ascii="Arial Narrow" w:hAnsi="Arial Narrow"/>
                <w:b/>
                <w:noProof/>
                <w:color w:val="000000"/>
                <w:sz w:val="20"/>
                <w:highlight w:val="black"/>
              </w:rPr>
              <w:t>''''''''''''''''''</w:t>
            </w:r>
          </w:p>
        </w:tc>
        <w:tc>
          <w:tcPr>
            <w:tcW w:w="1173" w:type="dxa"/>
            <w:shd w:val="clear" w:color="auto" w:fill="auto"/>
            <w:vAlign w:val="center"/>
          </w:tcPr>
          <w:p w:rsidR="00A310A4" w:rsidRPr="001F2E6D" w:rsidRDefault="00A310A4" w:rsidP="00A46133">
            <w:pPr>
              <w:keepNext/>
              <w:widowControl/>
              <w:jc w:val="right"/>
              <w:rPr>
                <w:rFonts w:ascii="Arial Narrow" w:hAnsi="Arial Narrow"/>
                <w:b/>
                <w:color w:val="000000"/>
                <w:sz w:val="20"/>
              </w:rPr>
            </w:pPr>
            <w:r w:rsidRPr="001F2E6D">
              <w:rPr>
                <w:rFonts w:ascii="Arial Narrow" w:hAnsi="Arial Narrow"/>
                <w:b/>
                <w:color w:val="000000"/>
                <w:sz w:val="20"/>
              </w:rPr>
              <w:t>$</w:t>
            </w:r>
            <w:r w:rsidR="006D3878">
              <w:rPr>
                <w:rFonts w:ascii="Arial Narrow" w:hAnsi="Arial Narrow"/>
                <w:b/>
                <w:noProof/>
                <w:color w:val="000000"/>
                <w:sz w:val="20"/>
                <w:highlight w:val="black"/>
              </w:rPr>
              <w:t>'''''''''''''''''''''</w:t>
            </w:r>
          </w:p>
        </w:tc>
        <w:tc>
          <w:tcPr>
            <w:tcW w:w="1173" w:type="dxa"/>
            <w:shd w:val="clear" w:color="auto" w:fill="auto"/>
            <w:vAlign w:val="center"/>
          </w:tcPr>
          <w:p w:rsidR="00A310A4" w:rsidRPr="001F2E6D" w:rsidRDefault="00A310A4" w:rsidP="00A46133">
            <w:pPr>
              <w:keepNext/>
              <w:widowControl/>
              <w:jc w:val="right"/>
              <w:rPr>
                <w:rFonts w:ascii="Arial Narrow" w:hAnsi="Arial Narrow"/>
                <w:b/>
                <w:color w:val="000000"/>
                <w:sz w:val="20"/>
              </w:rPr>
            </w:pPr>
            <w:r w:rsidRPr="001F2E6D">
              <w:rPr>
                <w:rFonts w:ascii="Arial Narrow" w:hAnsi="Arial Narrow"/>
                <w:b/>
                <w:color w:val="000000"/>
                <w:sz w:val="20"/>
              </w:rPr>
              <w:t>$</w:t>
            </w:r>
            <w:r w:rsidR="006D3878">
              <w:rPr>
                <w:rFonts w:ascii="Arial Narrow" w:hAnsi="Arial Narrow"/>
                <w:b/>
                <w:noProof/>
                <w:color w:val="000000"/>
                <w:sz w:val="20"/>
                <w:highlight w:val="black"/>
              </w:rPr>
              <w:t>''''''''''''''''''''</w:t>
            </w:r>
          </w:p>
        </w:tc>
        <w:tc>
          <w:tcPr>
            <w:tcW w:w="1173" w:type="dxa"/>
            <w:shd w:val="clear" w:color="auto" w:fill="auto"/>
            <w:vAlign w:val="center"/>
          </w:tcPr>
          <w:p w:rsidR="00A310A4" w:rsidRPr="001F2E6D" w:rsidRDefault="00A310A4" w:rsidP="00A46133">
            <w:pPr>
              <w:keepNext/>
              <w:widowControl/>
              <w:jc w:val="right"/>
              <w:rPr>
                <w:rFonts w:ascii="Arial Narrow" w:hAnsi="Arial Narrow"/>
                <w:b/>
                <w:color w:val="000000"/>
                <w:sz w:val="20"/>
              </w:rPr>
            </w:pPr>
            <w:r w:rsidRPr="001F2E6D">
              <w:rPr>
                <w:rFonts w:ascii="Arial Narrow" w:hAnsi="Arial Narrow"/>
                <w:b/>
                <w:color w:val="000000"/>
                <w:sz w:val="20"/>
              </w:rPr>
              <w:t>$</w:t>
            </w:r>
            <w:r w:rsidR="006D3878">
              <w:rPr>
                <w:rFonts w:ascii="Arial Narrow" w:hAnsi="Arial Narrow"/>
                <w:b/>
                <w:noProof/>
                <w:color w:val="000000"/>
                <w:sz w:val="20"/>
                <w:highlight w:val="black"/>
              </w:rPr>
              <w:t>''''''''''''''''''''</w:t>
            </w:r>
          </w:p>
        </w:tc>
      </w:tr>
      <w:tr w:rsidR="00A310A4" w:rsidRPr="004E2ADC" w:rsidTr="00A34711">
        <w:trPr>
          <w:tblHeader/>
        </w:trPr>
        <w:tc>
          <w:tcPr>
            <w:tcW w:w="0" w:type="auto"/>
            <w:shd w:val="clear" w:color="auto" w:fill="auto"/>
            <w:vAlign w:val="center"/>
          </w:tcPr>
          <w:p w:rsidR="00A310A4" w:rsidRDefault="00A310A4" w:rsidP="00A46133">
            <w:pPr>
              <w:keepNext/>
              <w:widowControl/>
              <w:tabs>
                <w:tab w:val="left" w:pos="142"/>
              </w:tabs>
              <w:jc w:val="left"/>
              <w:rPr>
                <w:rFonts w:ascii="Arial Narrow" w:hAnsi="Arial Narrow"/>
                <w:b/>
                <w:sz w:val="20"/>
              </w:rPr>
            </w:pPr>
            <w:r>
              <w:rPr>
                <w:rFonts w:ascii="Arial Narrow" w:hAnsi="Arial Narrow"/>
                <w:b/>
                <w:sz w:val="20"/>
              </w:rPr>
              <w:t>Total net cost</w:t>
            </w:r>
          </w:p>
        </w:tc>
        <w:tc>
          <w:tcPr>
            <w:tcW w:w="1172" w:type="dxa"/>
            <w:shd w:val="clear" w:color="auto" w:fill="auto"/>
            <w:vAlign w:val="bottom"/>
          </w:tcPr>
          <w:p w:rsidR="00A310A4" w:rsidRPr="002C73E6" w:rsidRDefault="00A310A4" w:rsidP="00A46133">
            <w:pPr>
              <w:keepNext/>
              <w:widowControl/>
              <w:jc w:val="right"/>
              <w:rPr>
                <w:rStyle w:val="TableText1"/>
                <w:b/>
              </w:rPr>
            </w:pPr>
            <w:r w:rsidRPr="002C73E6">
              <w:rPr>
                <w:rStyle w:val="TableText1"/>
                <w:b/>
              </w:rPr>
              <w:t>$</w:t>
            </w:r>
            <w:r w:rsidR="006D3878">
              <w:rPr>
                <w:rStyle w:val="TableText1"/>
                <w:b/>
                <w:noProof/>
                <w:color w:val="000000"/>
                <w:highlight w:val="black"/>
              </w:rPr>
              <w:t>''''''''''''''''''''</w:t>
            </w:r>
          </w:p>
        </w:tc>
        <w:tc>
          <w:tcPr>
            <w:tcW w:w="1173" w:type="dxa"/>
            <w:shd w:val="clear" w:color="auto" w:fill="auto"/>
            <w:vAlign w:val="bottom"/>
          </w:tcPr>
          <w:p w:rsidR="00A310A4" w:rsidRPr="002C73E6" w:rsidRDefault="00A310A4" w:rsidP="00A46133">
            <w:pPr>
              <w:keepNext/>
              <w:widowControl/>
              <w:jc w:val="right"/>
              <w:rPr>
                <w:rStyle w:val="TableText1"/>
                <w:b/>
              </w:rPr>
            </w:pPr>
            <w:r w:rsidRPr="002C73E6">
              <w:rPr>
                <w:rStyle w:val="TableText1"/>
                <w:b/>
              </w:rPr>
              <w:t>$</w:t>
            </w:r>
            <w:r w:rsidR="006D3878">
              <w:rPr>
                <w:rStyle w:val="TableText1"/>
                <w:b/>
                <w:noProof/>
                <w:color w:val="000000"/>
                <w:highlight w:val="black"/>
              </w:rPr>
              <w:t>''''''''''''''''''</w:t>
            </w:r>
          </w:p>
        </w:tc>
        <w:tc>
          <w:tcPr>
            <w:tcW w:w="1173" w:type="dxa"/>
            <w:shd w:val="clear" w:color="auto" w:fill="auto"/>
            <w:vAlign w:val="bottom"/>
          </w:tcPr>
          <w:p w:rsidR="00A310A4" w:rsidRPr="002C73E6" w:rsidRDefault="00A310A4" w:rsidP="00A46133">
            <w:pPr>
              <w:keepNext/>
              <w:widowControl/>
              <w:jc w:val="right"/>
              <w:rPr>
                <w:rStyle w:val="TableText1"/>
                <w:b/>
              </w:rPr>
            </w:pPr>
            <w:r w:rsidRPr="002C73E6">
              <w:rPr>
                <w:rStyle w:val="TableText1"/>
                <w:b/>
              </w:rPr>
              <w:t>$</w:t>
            </w:r>
            <w:r w:rsidR="006D3878">
              <w:rPr>
                <w:rStyle w:val="TableText1"/>
                <w:b/>
                <w:noProof/>
                <w:color w:val="000000"/>
                <w:highlight w:val="black"/>
              </w:rPr>
              <w:t>'''''''''''''''''''''</w:t>
            </w:r>
          </w:p>
        </w:tc>
        <w:tc>
          <w:tcPr>
            <w:tcW w:w="1173" w:type="dxa"/>
            <w:shd w:val="clear" w:color="auto" w:fill="auto"/>
            <w:vAlign w:val="bottom"/>
          </w:tcPr>
          <w:p w:rsidR="00A310A4" w:rsidRPr="002C73E6" w:rsidRDefault="00A310A4" w:rsidP="00A46133">
            <w:pPr>
              <w:keepNext/>
              <w:widowControl/>
              <w:jc w:val="right"/>
              <w:rPr>
                <w:rStyle w:val="TableText1"/>
                <w:b/>
              </w:rPr>
            </w:pPr>
            <w:r w:rsidRPr="002C73E6">
              <w:rPr>
                <w:rStyle w:val="TableText1"/>
                <w:b/>
              </w:rPr>
              <w:t>$</w:t>
            </w:r>
            <w:r w:rsidR="006D3878">
              <w:rPr>
                <w:rStyle w:val="TableText1"/>
                <w:b/>
                <w:noProof/>
                <w:color w:val="000000"/>
                <w:highlight w:val="black"/>
              </w:rPr>
              <w:t>'''''''''''''''''</w:t>
            </w:r>
          </w:p>
        </w:tc>
        <w:tc>
          <w:tcPr>
            <w:tcW w:w="1173" w:type="dxa"/>
            <w:shd w:val="clear" w:color="auto" w:fill="auto"/>
            <w:vAlign w:val="bottom"/>
          </w:tcPr>
          <w:p w:rsidR="00A310A4" w:rsidRPr="002C73E6" w:rsidRDefault="00A310A4" w:rsidP="00A46133">
            <w:pPr>
              <w:keepNext/>
              <w:widowControl/>
              <w:jc w:val="right"/>
              <w:rPr>
                <w:rStyle w:val="TableText1"/>
                <w:b/>
              </w:rPr>
            </w:pPr>
            <w:r w:rsidRPr="002C73E6">
              <w:rPr>
                <w:rStyle w:val="TableText1"/>
                <w:b/>
              </w:rPr>
              <w:t>$</w:t>
            </w:r>
            <w:r w:rsidR="006D3878">
              <w:rPr>
                <w:rStyle w:val="TableText1"/>
                <w:b/>
                <w:noProof/>
                <w:color w:val="000000"/>
                <w:highlight w:val="black"/>
              </w:rPr>
              <w:t>''''''''''''''''''</w:t>
            </w:r>
          </w:p>
        </w:tc>
      </w:tr>
    </w:tbl>
    <w:p w:rsidR="00A310A4" w:rsidRPr="00BF2BCD" w:rsidRDefault="00A310A4" w:rsidP="00A46133">
      <w:pPr>
        <w:pStyle w:val="TableFooter"/>
        <w:keepNext/>
        <w:widowControl/>
        <w:ind w:left="720"/>
      </w:pPr>
      <w:r w:rsidRPr="00BF2BCD">
        <w:t xml:space="preserve">Source: </w:t>
      </w:r>
      <w:r w:rsidRPr="00C20A87">
        <w:t>Section E</w:t>
      </w:r>
      <w:r w:rsidRPr="00BF2BCD">
        <w:t xml:space="preserve"> Excel workbook</w:t>
      </w:r>
      <w:r w:rsidR="00BF2BCD" w:rsidRPr="00BF2BCD">
        <w:t xml:space="preserve"> of the resubmission </w:t>
      </w:r>
    </w:p>
    <w:p w:rsidR="00221C1A" w:rsidRDefault="00221C1A" w:rsidP="00A46133">
      <w:pPr>
        <w:pStyle w:val="TableFooter"/>
        <w:keepNext/>
        <w:widowControl/>
        <w:ind w:left="720"/>
      </w:pPr>
      <w:r w:rsidRPr="008A0027">
        <w:t>MBS =</w:t>
      </w:r>
      <w:r w:rsidR="0003690F" w:rsidRPr="00F37E3E">
        <w:t xml:space="preserve"> Medicare Benefits Schedule</w:t>
      </w:r>
      <w:r>
        <w:t xml:space="preserve">; </w:t>
      </w:r>
      <w:r w:rsidRPr="00221C1A">
        <w:t>PBS = Pharmaceutical Benefits Scheme; RPBS = Repatriation Pharmaceutical Benefits Scheme</w:t>
      </w:r>
      <w:r w:rsidR="007808DA">
        <w:t>; Mar = March</w:t>
      </w:r>
    </w:p>
    <w:p w:rsidR="007808DA" w:rsidRPr="00731014" w:rsidRDefault="007808DA" w:rsidP="0095594E">
      <w:pPr>
        <w:pStyle w:val="TableFooter"/>
        <w:widowControl/>
        <w:ind w:left="720"/>
      </w:pPr>
      <w:proofErr w:type="spellStart"/>
      <w:proofErr w:type="gramStart"/>
      <w:r w:rsidRPr="00731014">
        <w:rPr>
          <w:vertAlign w:val="superscript"/>
        </w:rPr>
        <w:t>a</w:t>
      </w:r>
      <w:proofErr w:type="spellEnd"/>
      <w:proofErr w:type="gramEnd"/>
      <w:r w:rsidRPr="00731014">
        <w:t xml:space="preserve"> Assuming 11.5</w:t>
      </w:r>
      <w:r w:rsidR="00844AE8">
        <w:t>8</w:t>
      </w:r>
      <w:r w:rsidRPr="00731014">
        <w:t xml:space="preserve"> prescriptions per year as estimated by the </w:t>
      </w:r>
      <w:r w:rsidR="00BA3864">
        <w:t>resubmission</w:t>
      </w:r>
    </w:p>
    <w:p w:rsidR="0034575A" w:rsidRPr="00876931" w:rsidRDefault="0034575A" w:rsidP="00876931">
      <w:pPr>
        <w:pStyle w:val="TableFooter"/>
        <w:widowControl/>
        <w:rPr>
          <w:rFonts w:ascii="Arial" w:hAnsi="Arial"/>
          <w:sz w:val="22"/>
          <w:szCs w:val="22"/>
        </w:rPr>
      </w:pPr>
    </w:p>
    <w:p w:rsidR="00A310A4" w:rsidRPr="005E13B7" w:rsidRDefault="0034575A" w:rsidP="002F2EF1">
      <w:pPr>
        <w:pStyle w:val="ListParagraph"/>
        <w:widowControl/>
        <w:numPr>
          <w:ilvl w:val="1"/>
          <w:numId w:val="5"/>
        </w:numPr>
        <w:rPr>
          <w:szCs w:val="22"/>
        </w:rPr>
      </w:pPr>
      <w:r>
        <w:t xml:space="preserve">The net cost to </w:t>
      </w:r>
      <w:r w:rsidR="008A421D">
        <w:t>g</w:t>
      </w:r>
      <w:r>
        <w:t>overnment of idelalisib was estimated to be $</w:t>
      </w:r>
      <w:r w:rsidR="006D3878">
        <w:rPr>
          <w:noProof/>
          <w:color w:val="000000"/>
          <w:highlight w:val="black"/>
        </w:rPr>
        <w:t>''''''''''</w:t>
      </w:r>
      <w:r>
        <w:t xml:space="preserve"> </w:t>
      </w:r>
      <w:r w:rsidR="002F2EF1" w:rsidRPr="002F2EF1">
        <w:t xml:space="preserve">$30 – $60 million </w:t>
      </w:r>
      <w:r>
        <w:t>over the first five years of listing.</w:t>
      </w:r>
    </w:p>
    <w:p w:rsidR="005E13B7" w:rsidRPr="005E13B7" w:rsidRDefault="005E13B7" w:rsidP="00876931">
      <w:pPr>
        <w:pStyle w:val="PBACheading1"/>
        <w:numPr>
          <w:ilvl w:val="0"/>
          <w:numId w:val="0"/>
        </w:numPr>
        <w:ind w:left="720" w:hanging="720"/>
      </w:pPr>
    </w:p>
    <w:p w:rsidR="005E13B7" w:rsidRPr="00174DB9" w:rsidRDefault="000F3C19" w:rsidP="002F2EF1">
      <w:pPr>
        <w:pStyle w:val="ListParagraph"/>
        <w:widowControl/>
        <w:numPr>
          <w:ilvl w:val="1"/>
          <w:numId w:val="5"/>
        </w:numPr>
        <w:rPr>
          <w:szCs w:val="22"/>
        </w:rPr>
      </w:pPr>
      <w:r w:rsidRPr="00174DB9">
        <w:rPr>
          <w:szCs w:val="22"/>
        </w:rPr>
        <w:t xml:space="preserve">The highest net cost </w:t>
      </w:r>
      <w:r w:rsidR="008F1B21" w:rsidRPr="00174DB9">
        <w:rPr>
          <w:szCs w:val="22"/>
        </w:rPr>
        <w:t>wa</w:t>
      </w:r>
      <w:r w:rsidRPr="00174DB9">
        <w:rPr>
          <w:szCs w:val="22"/>
        </w:rPr>
        <w:t>s in Y</w:t>
      </w:r>
      <w:r w:rsidR="005E13B7" w:rsidRPr="00174DB9">
        <w:rPr>
          <w:szCs w:val="22"/>
        </w:rPr>
        <w:t>ear 3 at $</w:t>
      </w:r>
      <w:r w:rsidR="006D3878">
        <w:rPr>
          <w:noProof/>
          <w:color w:val="000000"/>
          <w:szCs w:val="22"/>
          <w:highlight w:val="black"/>
        </w:rPr>
        <w:t>''''''''</w:t>
      </w:r>
      <w:r w:rsidR="005E13B7" w:rsidRPr="00174DB9">
        <w:rPr>
          <w:szCs w:val="22"/>
        </w:rPr>
        <w:t xml:space="preserve"> </w:t>
      </w:r>
      <w:r w:rsidR="002F2EF1" w:rsidRPr="002F2EF1">
        <w:rPr>
          <w:szCs w:val="22"/>
        </w:rPr>
        <w:t>less than $10 million</w:t>
      </w:r>
      <w:r w:rsidR="005E13B7" w:rsidRPr="00174DB9">
        <w:rPr>
          <w:szCs w:val="22"/>
        </w:rPr>
        <w:t xml:space="preserve">. This was due to an inappropriate method to estimate initiating patients. </w:t>
      </w:r>
      <w:r w:rsidR="00FF0B8A" w:rsidRPr="00174DB9">
        <w:rPr>
          <w:szCs w:val="22"/>
        </w:rPr>
        <w:t>T</w:t>
      </w:r>
      <w:r w:rsidR="005E13B7" w:rsidRPr="00174DB9">
        <w:rPr>
          <w:szCs w:val="22"/>
        </w:rPr>
        <w:t xml:space="preserve">he drop in overall costs </w:t>
      </w:r>
      <w:r w:rsidR="008F1B21" w:rsidRPr="00174DB9">
        <w:rPr>
          <w:szCs w:val="22"/>
        </w:rPr>
        <w:t>in Year 4-5 wa</w:t>
      </w:r>
      <w:r w:rsidR="005E13B7" w:rsidRPr="00174DB9">
        <w:rPr>
          <w:szCs w:val="22"/>
        </w:rPr>
        <w:t>s due to a decrease in initiating patients and their respective co-administered rituximab costs i</w:t>
      </w:r>
      <w:r w:rsidR="00876931">
        <w:rPr>
          <w:szCs w:val="22"/>
        </w:rPr>
        <w:t>n the first year of treatment.</w:t>
      </w:r>
    </w:p>
    <w:p w:rsidR="0034575A" w:rsidRPr="00174DB9" w:rsidRDefault="0034575A" w:rsidP="0034575A">
      <w:pPr>
        <w:pStyle w:val="PBACheading1"/>
        <w:numPr>
          <w:ilvl w:val="0"/>
          <w:numId w:val="0"/>
        </w:numPr>
        <w:ind w:left="720" w:hanging="720"/>
      </w:pPr>
    </w:p>
    <w:p w:rsidR="00A310A4" w:rsidRPr="00174DB9" w:rsidRDefault="0034575A" w:rsidP="004B69A7">
      <w:pPr>
        <w:pStyle w:val="ListParagraph"/>
        <w:keepNext/>
        <w:widowControl/>
        <w:numPr>
          <w:ilvl w:val="1"/>
          <w:numId w:val="5"/>
        </w:numPr>
        <w:rPr>
          <w:szCs w:val="22"/>
        </w:rPr>
      </w:pPr>
      <w:r w:rsidRPr="00174DB9">
        <w:rPr>
          <w:szCs w:val="22"/>
        </w:rPr>
        <w:t xml:space="preserve">The overall cost to </w:t>
      </w:r>
      <w:r w:rsidR="008A421D" w:rsidRPr="00174DB9">
        <w:rPr>
          <w:szCs w:val="22"/>
        </w:rPr>
        <w:t>g</w:t>
      </w:r>
      <w:r w:rsidRPr="00174DB9">
        <w:rPr>
          <w:szCs w:val="22"/>
        </w:rPr>
        <w:t>overnment could be higher or lower due to:</w:t>
      </w:r>
    </w:p>
    <w:p w:rsidR="0034575A" w:rsidRPr="00174DB9" w:rsidRDefault="008F1B21" w:rsidP="00114E63">
      <w:pPr>
        <w:pStyle w:val="ListParagraph"/>
        <w:numPr>
          <w:ilvl w:val="0"/>
          <w:numId w:val="17"/>
        </w:numPr>
        <w:ind w:hanging="229"/>
      </w:pPr>
      <w:r w:rsidRPr="00174DB9">
        <w:t>i</w:t>
      </w:r>
      <w:r w:rsidR="0034575A" w:rsidRPr="00174DB9">
        <w:t>nappropriate method to estimate patient number (overestimate)</w:t>
      </w:r>
      <w:r w:rsidR="008A421D" w:rsidRPr="00174DB9">
        <w:t>;</w:t>
      </w:r>
    </w:p>
    <w:p w:rsidR="00036CAB" w:rsidRPr="00174DB9" w:rsidRDefault="008F1B21" w:rsidP="00114E63">
      <w:pPr>
        <w:pStyle w:val="ListParagraph"/>
        <w:numPr>
          <w:ilvl w:val="0"/>
          <w:numId w:val="17"/>
        </w:numPr>
        <w:ind w:hanging="229"/>
      </w:pPr>
      <w:r w:rsidRPr="00174DB9">
        <w:t>p</w:t>
      </w:r>
      <w:r w:rsidR="0034575A" w:rsidRPr="00174DB9">
        <w:t>otential underestimate of idelalisib uptake (underestimate)</w:t>
      </w:r>
      <w:r w:rsidR="008A421D" w:rsidRPr="00174DB9">
        <w:t>; and</w:t>
      </w:r>
    </w:p>
    <w:p w:rsidR="00A310A4" w:rsidRDefault="008F1B21" w:rsidP="00BF2BCD">
      <w:pPr>
        <w:pStyle w:val="ListParagraph"/>
        <w:numPr>
          <w:ilvl w:val="0"/>
          <w:numId w:val="17"/>
        </w:numPr>
        <w:ind w:hanging="229"/>
        <w:rPr>
          <w:szCs w:val="22"/>
        </w:rPr>
      </w:pPr>
      <w:proofErr w:type="gramStart"/>
      <w:r w:rsidRPr="00174DB9">
        <w:t>i</w:t>
      </w:r>
      <w:r w:rsidR="0034575A" w:rsidRPr="00174DB9">
        <w:t>nclusion</w:t>
      </w:r>
      <w:proofErr w:type="gramEnd"/>
      <w:r w:rsidR="0034575A" w:rsidRPr="00174DB9">
        <w:t xml:space="preserve"> of rituximab monotherapy as a cost</w:t>
      </w:r>
      <w:r w:rsidR="008A421D" w:rsidRPr="00174DB9">
        <w:t xml:space="preserve"> </w:t>
      </w:r>
      <w:r w:rsidR="0034575A" w:rsidRPr="00174DB9">
        <w:t>offset (underestimate)</w:t>
      </w:r>
      <w:r w:rsidR="008A421D" w:rsidRPr="00174DB9">
        <w:t>.</w:t>
      </w:r>
    </w:p>
    <w:p w:rsidR="00036CAB" w:rsidRPr="00036CAB" w:rsidRDefault="00036CAB" w:rsidP="00BF2BCD">
      <w:pPr>
        <w:widowControl/>
        <w:rPr>
          <w:szCs w:val="22"/>
        </w:rPr>
      </w:pPr>
    </w:p>
    <w:p w:rsidR="00A310A4" w:rsidRPr="00174DB9" w:rsidRDefault="00A310A4" w:rsidP="004B69A7">
      <w:pPr>
        <w:pStyle w:val="ListParagraph"/>
        <w:widowControl/>
        <w:numPr>
          <w:ilvl w:val="1"/>
          <w:numId w:val="5"/>
        </w:numPr>
        <w:rPr>
          <w:szCs w:val="22"/>
        </w:rPr>
      </w:pPr>
      <w:r w:rsidRPr="00174DB9">
        <w:lastRenderedPageBreak/>
        <w:t>An alternative financial estimate</w:t>
      </w:r>
      <w:r w:rsidR="006F3626" w:rsidRPr="00174DB9">
        <w:t>s</w:t>
      </w:r>
      <w:r w:rsidRPr="00174DB9">
        <w:t xml:space="preserve"> </w:t>
      </w:r>
      <w:r w:rsidR="006F3626" w:rsidRPr="00174DB9">
        <w:t xml:space="preserve">method </w:t>
      </w:r>
      <w:r w:rsidRPr="00174DB9">
        <w:t>was created which accounted for the issues raised above. The following assumptions were made:</w:t>
      </w:r>
    </w:p>
    <w:p w:rsidR="00A310A4" w:rsidRPr="00174DB9" w:rsidRDefault="00A310A4" w:rsidP="00114E63">
      <w:pPr>
        <w:pStyle w:val="ListParagraph"/>
        <w:widowControl/>
        <w:numPr>
          <w:ilvl w:val="0"/>
          <w:numId w:val="17"/>
        </w:numPr>
        <w:ind w:hanging="229"/>
      </w:pPr>
      <w:r w:rsidRPr="00174DB9">
        <w:t>Estimating prevalence and incidence population</w:t>
      </w:r>
      <w:r w:rsidR="008A421D" w:rsidRPr="00174DB9">
        <w:t>;</w:t>
      </w:r>
    </w:p>
    <w:p w:rsidR="00A310A4" w:rsidRPr="00174DB9" w:rsidRDefault="00A310A4" w:rsidP="00114E63">
      <w:pPr>
        <w:pStyle w:val="ListParagraph"/>
        <w:widowControl/>
        <w:numPr>
          <w:ilvl w:val="0"/>
          <w:numId w:val="17"/>
        </w:numPr>
        <w:ind w:hanging="229"/>
      </w:pPr>
      <w:r w:rsidRPr="00174DB9">
        <w:t>Uptake rate in eligible population 90% (for prevalence spread over five year</w:t>
      </w:r>
      <w:r w:rsidR="0095594E">
        <w:t>);</w:t>
      </w:r>
    </w:p>
    <w:p w:rsidR="00A310A4" w:rsidRPr="00174DB9" w:rsidRDefault="00A310A4" w:rsidP="00114E63">
      <w:pPr>
        <w:pStyle w:val="ListParagraph"/>
        <w:widowControl/>
        <w:numPr>
          <w:ilvl w:val="0"/>
          <w:numId w:val="17"/>
        </w:numPr>
        <w:ind w:hanging="229"/>
      </w:pPr>
      <w:r w:rsidRPr="00174DB9">
        <w:t>Exclusion of rituximab monotherapy as a cost</w:t>
      </w:r>
      <w:r w:rsidR="008A421D" w:rsidRPr="00174DB9">
        <w:t xml:space="preserve"> </w:t>
      </w:r>
      <w:r w:rsidRPr="00174DB9">
        <w:t>offset</w:t>
      </w:r>
      <w:r w:rsidR="00B26718" w:rsidRPr="00174DB9">
        <w:t>; and</w:t>
      </w:r>
    </w:p>
    <w:p w:rsidR="00B26718" w:rsidRPr="00174DB9" w:rsidRDefault="00B26718" w:rsidP="00114E63">
      <w:pPr>
        <w:pStyle w:val="ListParagraph"/>
        <w:widowControl/>
        <w:numPr>
          <w:ilvl w:val="0"/>
          <w:numId w:val="17"/>
        </w:numPr>
        <w:ind w:hanging="229"/>
      </w:pPr>
      <w:r w:rsidRPr="00174DB9">
        <w:t>The costs of the following adverse events were included in the alternative method:</w:t>
      </w:r>
    </w:p>
    <w:p w:rsidR="00B26718" w:rsidRPr="00174DB9" w:rsidRDefault="00876931" w:rsidP="00114E63">
      <w:pPr>
        <w:pStyle w:val="ListParagraph"/>
        <w:widowControl/>
        <w:numPr>
          <w:ilvl w:val="1"/>
          <w:numId w:val="17"/>
        </w:numPr>
      </w:pPr>
      <w:proofErr w:type="gramStart"/>
      <w:r>
        <w:t>n</w:t>
      </w:r>
      <w:r w:rsidR="00B26718" w:rsidRPr="00174DB9">
        <w:t>eutropenia</w:t>
      </w:r>
      <w:proofErr w:type="gramEnd"/>
      <w:r w:rsidR="00B26718" w:rsidRPr="00174DB9">
        <w:t xml:space="preserve">, </w:t>
      </w:r>
      <w:r w:rsidR="0078533C" w:rsidRPr="00174DB9">
        <w:t>diarrhoea, colitis, febrile n</w:t>
      </w:r>
      <w:r w:rsidR="00B26718" w:rsidRPr="00174DB9">
        <w:t xml:space="preserve">eutropenia, </w:t>
      </w:r>
      <w:r w:rsidR="0078533C" w:rsidRPr="00174DB9">
        <w:t>pneumonia, sepsis, thrombocytopenia, a</w:t>
      </w:r>
      <w:r w:rsidR="00B26718" w:rsidRPr="00174DB9">
        <w:t>naemia.</w:t>
      </w:r>
    </w:p>
    <w:p w:rsidR="00B26718" w:rsidRDefault="00B26718" w:rsidP="00B26718">
      <w:pPr>
        <w:widowControl/>
      </w:pPr>
    </w:p>
    <w:p w:rsidR="00A310A4" w:rsidRPr="003E7FFD" w:rsidRDefault="00A310A4" w:rsidP="004B69A7">
      <w:pPr>
        <w:pStyle w:val="ListParagraph"/>
        <w:widowControl/>
        <w:numPr>
          <w:ilvl w:val="1"/>
          <w:numId w:val="5"/>
        </w:numPr>
        <w:rPr>
          <w:szCs w:val="22"/>
        </w:rPr>
      </w:pPr>
      <w:r>
        <w:t xml:space="preserve">Table </w:t>
      </w:r>
      <w:r w:rsidR="0054481D">
        <w:t>14</w:t>
      </w:r>
      <w:r w:rsidR="0018203D">
        <w:t xml:space="preserve"> </w:t>
      </w:r>
      <w:r>
        <w:t>presents the results of the alternative financial results.</w:t>
      </w:r>
    </w:p>
    <w:p w:rsidR="003E7FFD" w:rsidRPr="00876931" w:rsidRDefault="003E7FFD" w:rsidP="003E7FFD">
      <w:pPr>
        <w:widowControl/>
        <w:rPr>
          <w:szCs w:val="22"/>
        </w:rPr>
      </w:pPr>
    </w:p>
    <w:p w:rsidR="00591ABB" w:rsidRPr="00591ABB" w:rsidRDefault="00591ABB" w:rsidP="00591ABB">
      <w:pPr>
        <w:pStyle w:val="Caption"/>
        <w:keepNext/>
        <w:ind w:firstLine="720"/>
        <w:rPr>
          <w:rFonts w:ascii="Arial Narrow" w:hAnsi="Arial Narrow"/>
          <w:color w:val="auto"/>
          <w:sz w:val="20"/>
        </w:rPr>
      </w:pPr>
      <w:r w:rsidRPr="00591ABB">
        <w:rPr>
          <w:rFonts w:ascii="Arial Narrow" w:hAnsi="Arial Narrow"/>
          <w:color w:val="auto"/>
          <w:sz w:val="20"/>
        </w:rPr>
        <w:t xml:space="preserve">Table </w:t>
      </w:r>
      <w:r w:rsidRPr="00591ABB">
        <w:rPr>
          <w:rFonts w:ascii="Arial Narrow" w:hAnsi="Arial Narrow"/>
          <w:color w:val="auto"/>
          <w:sz w:val="20"/>
        </w:rPr>
        <w:fldChar w:fldCharType="begin"/>
      </w:r>
      <w:r w:rsidRPr="00591ABB">
        <w:rPr>
          <w:rFonts w:ascii="Arial Narrow" w:hAnsi="Arial Narrow"/>
          <w:color w:val="auto"/>
          <w:sz w:val="20"/>
        </w:rPr>
        <w:instrText xml:space="preserve"> SEQ Table \* ARABIC </w:instrText>
      </w:r>
      <w:r w:rsidRPr="00591ABB">
        <w:rPr>
          <w:rFonts w:ascii="Arial Narrow" w:hAnsi="Arial Narrow"/>
          <w:color w:val="auto"/>
          <w:sz w:val="20"/>
        </w:rPr>
        <w:fldChar w:fldCharType="separate"/>
      </w:r>
      <w:r w:rsidR="00AD392C">
        <w:rPr>
          <w:rFonts w:ascii="Arial Narrow" w:hAnsi="Arial Narrow"/>
          <w:noProof/>
          <w:color w:val="auto"/>
          <w:sz w:val="20"/>
        </w:rPr>
        <w:t>14</w:t>
      </w:r>
      <w:r w:rsidRPr="00591ABB">
        <w:rPr>
          <w:rFonts w:ascii="Arial Narrow" w:hAnsi="Arial Narrow"/>
          <w:color w:val="auto"/>
          <w:sz w:val="20"/>
        </w:rPr>
        <w:fldChar w:fldCharType="end"/>
      </w:r>
      <w:r w:rsidRPr="00591ABB">
        <w:rPr>
          <w:rFonts w:ascii="Arial Narrow" w:hAnsi="Arial Narrow"/>
          <w:color w:val="auto"/>
          <w:sz w:val="20"/>
        </w:rPr>
        <w:t>: Estimated use and financial implications using the alternative approach</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Estimated use and financial implications"/>
        <w:tblDescription w:val="Alternative approach to estimated use and financial implications, estimated net cost to the PBS/RPBS/MBS, total net cost. "/>
      </w:tblPr>
      <w:tblGrid>
        <w:gridCol w:w="2056"/>
        <w:gridCol w:w="1261"/>
        <w:gridCol w:w="1261"/>
        <w:gridCol w:w="1261"/>
        <w:gridCol w:w="1261"/>
        <w:gridCol w:w="1263"/>
      </w:tblGrid>
      <w:tr w:rsidR="009A4149" w:rsidRPr="00C20A87" w:rsidTr="00591ABB">
        <w:trPr>
          <w:tblHeader/>
        </w:trPr>
        <w:tc>
          <w:tcPr>
            <w:tcW w:w="0" w:type="auto"/>
            <w:shd w:val="clear" w:color="auto" w:fill="auto"/>
            <w:vAlign w:val="center"/>
          </w:tcPr>
          <w:p w:rsidR="009A4149" w:rsidRPr="00C20A87" w:rsidRDefault="009A4149" w:rsidP="0035399B">
            <w:pPr>
              <w:keepNext/>
              <w:widowControl/>
              <w:tabs>
                <w:tab w:val="left" w:pos="142"/>
              </w:tabs>
              <w:rPr>
                <w:rFonts w:ascii="Arial Narrow" w:hAnsi="Arial Narrow"/>
                <w:b/>
                <w:sz w:val="20"/>
              </w:rPr>
            </w:pPr>
          </w:p>
        </w:tc>
        <w:tc>
          <w:tcPr>
            <w:tcW w:w="1243" w:type="dxa"/>
            <w:shd w:val="clear" w:color="auto" w:fill="auto"/>
            <w:vAlign w:val="center"/>
          </w:tcPr>
          <w:p w:rsidR="009A4149" w:rsidRPr="00C20A87" w:rsidRDefault="009A4149" w:rsidP="0035399B">
            <w:pPr>
              <w:keepNext/>
              <w:widowControl/>
              <w:jc w:val="center"/>
              <w:rPr>
                <w:rFonts w:ascii="Arial Narrow" w:hAnsi="Arial Narrow"/>
                <w:b/>
                <w:sz w:val="20"/>
              </w:rPr>
            </w:pPr>
            <w:r w:rsidRPr="00C20A87">
              <w:rPr>
                <w:rFonts w:ascii="Arial Narrow" w:hAnsi="Arial Narrow"/>
                <w:b/>
                <w:sz w:val="20"/>
              </w:rPr>
              <w:t>Year 1</w:t>
            </w:r>
          </w:p>
        </w:tc>
        <w:tc>
          <w:tcPr>
            <w:tcW w:w="1243" w:type="dxa"/>
            <w:shd w:val="clear" w:color="auto" w:fill="auto"/>
            <w:vAlign w:val="center"/>
          </w:tcPr>
          <w:p w:rsidR="009A4149" w:rsidRPr="00C20A87" w:rsidRDefault="009A4149" w:rsidP="0035399B">
            <w:pPr>
              <w:keepNext/>
              <w:widowControl/>
              <w:jc w:val="center"/>
              <w:rPr>
                <w:rFonts w:ascii="Arial Narrow" w:hAnsi="Arial Narrow"/>
                <w:b/>
                <w:sz w:val="20"/>
              </w:rPr>
            </w:pPr>
            <w:r w:rsidRPr="00C20A87">
              <w:rPr>
                <w:rFonts w:ascii="Arial Narrow" w:hAnsi="Arial Narrow"/>
                <w:b/>
                <w:sz w:val="20"/>
              </w:rPr>
              <w:t>Year 2</w:t>
            </w:r>
          </w:p>
        </w:tc>
        <w:tc>
          <w:tcPr>
            <w:tcW w:w="1243" w:type="dxa"/>
            <w:shd w:val="clear" w:color="auto" w:fill="auto"/>
            <w:vAlign w:val="center"/>
          </w:tcPr>
          <w:p w:rsidR="009A4149" w:rsidRPr="00C20A87" w:rsidRDefault="009A4149" w:rsidP="0035399B">
            <w:pPr>
              <w:keepNext/>
              <w:widowControl/>
              <w:jc w:val="center"/>
              <w:rPr>
                <w:rFonts w:ascii="Arial Narrow" w:hAnsi="Arial Narrow"/>
                <w:b/>
                <w:sz w:val="20"/>
              </w:rPr>
            </w:pPr>
            <w:r w:rsidRPr="00C20A87">
              <w:rPr>
                <w:rFonts w:ascii="Arial Narrow" w:hAnsi="Arial Narrow"/>
                <w:b/>
                <w:sz w:val="20"/>
              </w:rPr>
              <w:t>Year 3</w:t>
            </w:r>
          </w:p>
        </w:tc>
        <w:tc>
          <w:tcPr>
            <w:tcW w:w="1243" w:type="dxa"/>
            <w:shd w:val="clear" w:color="auto" w:fill="auto"/>
            <w:vAlign w:val="center"/>
          </w:tcPr>
          <w:p w:rsidR="009A4149" w:rsidRPr="00C20A87" w:rsidRDefault="009A4149" w:rsidP="0035399B">
            <w:pPr>
              <w:keepNext/>
              <w:widowControl/>
              <w:jc w:val="center"/>
              <w:rPr>
                <w:rFonts w:ascii="Arial Narrow" w:hAnsi="Arial Narrow"/>
                <w:b/>
                <w:sz w:val="20"/>
              </w:rPr>
            </w:pPr>
            <w:r w:rsidRPr="00C20A87">
              <w:rPr>
                <w:rFonts w:ascii="Arial Narrow" w:hAnsi="Arial Narrow"/>
                <w:b/>
                <w:sz w:val="20"/>
              </w:rPr>
              <w:t>Year 4</w:t>
            </w:r>
          </w:p>
        </w:tc>
        <w:tc>
          <w:tcPr>
            <w:tcW w:w="1245" w:type="dxa"/>
            <w:shd w:val="clear" w:color="auto" w:fill="auto"/>
            <w:vAlign w:val="center"/>
          </w:tcPr>
          <w:p w:rsidR="009A4149" w:rsidRPr="00C20A87" w:rsidRDefault="009A4149" w:rsidP="0035399B">
            <w:pPr>
              <w:keepNext/>
              <w:widowControl/>
              <w:jc w:val="center"/>
              <w:rPr>
                <w:rFonts w:ascii="Arial Narrow" w:hAnsi="Arial Narrow"/>
                <w:b/>
                <w:sz w:val="20"/>
              </w:rPr>
            </w:pPr>
            <w:r w:rsidRPr="00C20A87">
              <w:rPr>
                <w:rFonts w:ascii="Arial Narrow" w:hAnsi="Arial Narrow"/>
                <w:b/>
                <w:sz w:val="20"/>
              </w:rPr>
              <w:t>Year 5</w:t>
            </w:r>
          </w:p>
        </w:tc>
      </w:tr>
      <w:tr w:rsidR="009A4149" w:rsidRPr="00C20A87" w:rsidTr="00504583">
        <w:tc>
          <w:tcPr>
            <w:tcW w:w="8363" w:type="dxa"/>
            <w:gridSpan w:val="6"/>
            <w:shd w:val="clear" w:color="auto" w:fill="auto"/>
            <w:vAlign w:val="center"/>
          </w:tcPr>
          <w:p w:rsidR="009A4149" w:rsidRPr="00C20A87" w:rsidRDefault="009A4149" w:rsidP="0035399B">
            <w:pPr>
              <w:keepNext/>
              <w:widowControl/>
              <w:rPr>
                <w:rFonts w:ascii="Arial Narrow" w:hAnsi="Arial Narrow"/>
                <w:b/>
                <w:bCs/>
                <w:color w:val="000000"/>
                <w:sz w:val="20"/>
              </w:rPr>
            </w:pPr>
            <w:r w:rsidRPr="00C20A87">
              <w:rPr>
                <w:rFonts w:ascii="Arial Narrow" w:hAnsi="Arial Narrow"/>
                <w:b/>
                <w:bCs/>
                <w:color w:val="000000"/>
                <w:sz w:val="20"/>
              </w:rPr>
              <w:t>Estimated extent of use</w:t>
            </w:r>
          </w:p>
        </w:tc>
      </w:tr>
      <w:tr w:rsidR="0035399B" w:rsidRPr="00C20A87" w:rsidTr="00591ABB">
        <w:tc>
          <w:tcPr>
            <w:tcW w:w="0" w:type="auto"/>
            <w:shd w:val="clear" w:color="auto" w:fill="auto"/>
            <w:vAlign w:val="center"/>
          </w:tcPr>
          <w:p w:rsidR="0035399B" w:rsidRPr="00C20A87" w:rsidRDefault="0035399B" w:rsidP="0035399B">
            <w:pPr>
              <w:keepNext/>
              <w:ind w:firstLine="175"/>
              <w:jc w:val="left"/>
              <w:rPr>
                <w:rFonts w:ascii="Arial Narrow" w:hAnsi="Arial Narrow"/>
                <w:sz w:val="18"/>
                <w:vertAlign w:val="superscript"/>
              </w:rPr>
            </w:pPr>
            <w:r w:rsidRPr="00C20A87">
              <w:rPr>
                <w:rFonts w:ascii="Arial Narrow" w:hAnsi="Arial Narrow"/>
                <w:sz w:val="18"/>
              </w:rPr>
              <w:t>Prevalence</w:t>
            </w:r>
            <w:r w:rsidR="000A3FE5" w:rsidRPr="00C20A87">
              <w:rPr>
                <w:rFonts w:ascii="Arial Narrow" w:hAnsi="Arial Narrow"/>
                <w:sz w:val="18"/>
              </w:rPr>
              <w:t xml:space="preserve"> pool </w:t>
            </w:r>
            <w:r w:rsidR="000A3FE5" w:rsidRPr="00C20A87">
              <w:rPr>
                <w:rFonts w:ascii="Arial Narrow" w:hAnsi="Arial Narrow"/>
                <w:sz w:val="18"/>
                <w:vertAlign w:val="superscript"/>
              </w:rPr>
              <w:t>a</w:t>
            </w:r>
          </w:p>
        </w:tc>
        <w:tc>
          <w:tcPr>
            <w:tcW w:w="1243" w:type="dxa"/>
            <w:shd w:val="clear" w:color="auto" w:fill="auto"/>
            <w:vAlign w:val="center"/>
          </w:tcPr>
          <w:p w:rsidR="0035399B" w:rsidRPr="006D3878" w:rsidRDefault="006D3878" w:rsidP="0035399B">
            <w:pPr>
              <w:keepNext/>
              <w:jc w:val="center"/>
              <w:rPr>
                <w:rFonts w:ascii="Arial Narrow" w:hAnsi="Arial Narrow"/>
                <w:sz w:val="18"/>
                <w:highlight w:val="black"/>
              </w:rPr>
            </w:pPr>
            <w:r>
              <w:rPr>
                <w:rFonts w:ascii="Arial Narrow" w:hAnsi="Arial Narrow"/>
                <w:noProof/>
                <w:color w:val="000000"/>
                <w:sz w:val="18"/>
                <w:highlight w:val="black"/>
              </w:rPr>
              <w:t>''''''</w:t>
            </w:r>
          </w:p>
        </w:tc>
        <w:tc>
          <w:tcPr>
            <w:tcW w:w="1243" w:type="dxa"/>
            <w:shd w:val="clear" w:color="auto" w:fill="auto"/>
            <w:vAlign w:val="center"/>
          </w:tcPr>
          <w:p w:rsidR="0035399B" w:rsidRPr="006D3878" w:rsidRDefault="006D3878" w:rsidP="0035399B">
            <w:pPr>
              <w:keepNext/>
              <w:jc w:val="center"/>
              <w:rPr>
                <w:rFonts w:ascii="Arial Narrow" w:hAnsi="Arial Narrow"/>
                <w:sz w:val="18"/>
                <w:highlight w:val="black"/>
              </w:rPr>
            </w:pPr>
            <w:r>
              <w:rPr>
                <w:rFonts w:ascii="Arial Narrow" w:hAnsi="Arial Narrow"/>
                <w:noProof/>
                <w:color w:val="000000"/>
                <w:sz w:val="18"/>
                <w:highlight w:val="black"/>
              </w:rPr>
              <w:t>''''''</w:t>
            </w:r>
          </w:p>
        </w:tc>
        <w:tc>
          <w:tcPr>
            <w:tcW w:w="1243" w:type="dxa"/>
            <w:shd w:val="clear" w:color="auto" w:fill="auto"/>
            <w:vAlign w:val="center"/>
          </w:tcPr>
          <w:p w:rsidR="0035399B" w:rsidRPr="006D3878" w:rsidRDefault="006D3878" w:rsidP="0035399B">
            <w:pPr>
              <w:keepNext/>
              <w:jc w:val="center"/>
              <w:rPr>
                <w:rFonts w:ascii="Arial Narrow" w:hAnsi="Arial Narrow"/>
                <w:sz w:val="18"/>
                <w:highlight w:val="black"/>
              </w:rPr>
            </w:pPr>
            <w:r>
              <w:rPr>
                <w:rFonts w:ascii="Arial Narrow" w:hAnsi="Arial Narrow"/>
                <w:noProof/>
                <w:color w:val="000000"/>
                <w:sz w:val="18"/>
                <w:highlight w:val="black"/>
              </w:rPr>
              <w:t>'''''''</w:t>
            </w:r>
          </w:p>
        </w:tc>
        <w:tc>
          <w:tcPr>
            <w:tcW w:w="1243" w:type="dxa"/>
            <w:shd w:val="clear" w:color="auto" w:fill="auto"/>
            <w:vAlign w:val="center"/>
          </w:tcPr>
          <w:p w:rsidR="0035399B" w:rsidRPr="006D3878" w:rsidRDefault="006D3878" w:rsidP="0035399B">
            <w:pPr>
              <w:keepNext/>
              <w:jc w:val="center"/>
              <w:rPr>
                <w:rFonts w:ascii="Arial Narrow" w:hAnsi="Arial Narrow"/>
                <w:sz w:val="18"/>
                <w:highlight w:val="black"/>
              </w:rPr>
            </w:pPr>
            <w:r>
              <w:rPr>
                <w:rFonts w:ascii="Arial Narrow" w:hAnsi="Arial Narrow"/>
                <w:noProof/>
                <w:color w:val="000000"/>
                <w:sz w:val="18"/>
                <w:highlight w:val="black"/>
              </w:rPr>
              <w:t>''''''</w:t>
            </w:r>
          </w:p>
        </w:tc>
        <w:tc>
          <w:tcPr>
            <w:tcW w:w="1245" w:type="dxa"/>
            <w:shd w:val="clear" w:color="auto" w:fill="auto"/>
            <w:vAlign w:val="center"/>
          </w:tcPr>
          <w:p w:rsidR="0035399B" w:rsidRPr="006D3878" w:rsidRDefault="006D3878" w:rsidP="0035399B">
            <w:pPr>
              <w:keepNext/>
              <w:jc w:val="center"/>
              <w:rPr>
                <w:rFonts w:ascii="Arial Narrow" w:hAnsi="Arial Narrow"/>
                <w:sz w:val="18"/>
                <w:highlight w:val="black"/>
              </w:rPr>
            </w:pPr>
            <w:r>
              <w:rPr>
                <w:rFonts w:ascii="Arial Narrow" w:hAnsi="Arial Narrow"/>
                <w:noProof/>
                <w:color w:val="000000"/>
                <w:sz w:val="18"/>
                <w:highlight w:val="black"/>
              </w:rPr>
              <w:t>'''''''</w:t>
            </w:r>
          </w:p>
        </w:tc>
      </w:tr>
      <w:tr w:rsidR="0035399B" w:rsidRPr="00C20A87" w:rsidTr="00591ABB">
        <w:tc>
          <w:tcPr>
            <w:tcW w:w="0" w:type="auto"/>
            <w:shd w:val="clear" w:color="auto" w:fill="auto"/>
            <w:vAlign w:val="center"/>
          </w:tcPr>
          <w:p w:rsidR="0035399B" w:rsidRPr="00C20A87" w:rsidRDefault="0035399B" w:rsidP="0035399B">
            <w:pPr>
              <w:keepNext/>
              <w:ind w:firstLine="175"/>
              <w:jc w:val="left"/>
              <w:rPr>
                <w:rFonts w:ascii="Arial Narrow" w:hAnsi="Arial Narrow"/>
                <w:sz w:val="18"/>
                <w:vertAlign w:val="superscript"/>
              </w:rPr>
            </w:pPr>
            <w:r w:rsidRPr="00C20A87">
              <w:rPr>
                <w:rFonts w:ascii="Arial Narrow" w:hAnsi="Arial Narrow"/>
                <w:sz w:val="18"/>
              </w:rPr>
              <w:t>Incidence</w:t>
            </w:r>
            <w:r w:rsidR="000A3FE5" w:rsidRPr="00C20A87">
              <w:rPr>
                <w:rFonts w:ascii="Arial Narrow" w:hAnsi="Arial Narrow"/>
                <w:sz w:val="18"/>
              </w:rPr>
              <w:t xml:space="preserve"> pool </w:t>
            </w:r>
            <w:r w:rsidR="000A3FE5" w:rsidRPr="00C20A87">
              <w:rPr>
                <w:rFonts w:ascii="Arial Narrow" w:hAnsi="Arial Narrow"/>
                <w:sz w:val="18"/>
                <w:vertAlign w:val="superscript"/>
              </w:rPr>
              <w:t>b</w:t>
            </w:r>
          </w:p>
        </w:tc>
        <w:tc>
          <w:tcPr>
            <w:tcW w:w="1243" w:type="dxa"/>
            <w:shd w:val="clear" w:color="auto" w:fill="auto"/>
            <w:vAlign w:val="center"/>
          </w:tcPr>
          <w:p w:rsidR="0035399B" w:rsidRPr="006D3878" w:rsidRDefault="006D3878" w:rsidP="0035399B">
            <w:pPr>
              <w:keepNext/>
              <w:jc w:val="center"/>
              <w:rPr>
                <w:rFonts w:ascii="Arial Narrow" w:hAnsi="Arial Narrow"/>
                <w:sz w:val="18"/>
                <w:highlight w:val="black"/>
              </w:rPr>
            </w:pPr>
            <w:r>
              <w:rPr>
                <w:rFonts w:ascii="Arial Narrow" w:hAnsi="Arial Narrow"/>
                <w:noProof/>
                <w:color w:val="000000"/>
                <w:sz w:val="18"/>
                <w:highlight w:val="black"/>
              </w:rPr>
              <w:t>'''''''</w:t>
            </w:r>
          </w:p>
        </w:tc>
        <w:tc>
          <w:tcPr>
            <w:tcW w:w="1243" w:type="dxa"/>
            <w:shd w:val="clear" w:color="auto" w:fill="auto"/>
            <w:vAlign w:val="center"/>
          </w:tcPr>
          <w:p w:rsidR="0035399B" w:rsidRPr="006D3878" w:rsidRDefault="006D3878" w:rsidP="0035399B">
            <w:pPr>
              <w:keepNext/>
              <w:jc w:val="center"/>
              <w:rPr>
                <w:rFonts w:ascii="Arial Narrow" w:hAnsi="Arial Narrow"/>
                <w:sz w:val="18"/>
                <w:highlight w:val="black"/>
              </w:rPr>
            </w:pPr>
            <w:r>
              <w:rPr>
                <w:rFonts w:ascii="Arial Narrow" w:hAnsi="Arial Narrow"/>
                <w:noProof/>
                <w:color w:val="000000"/>
                <w:sz w:val="18"/>
                <w:highlight w:val="black"/>
              </w:rPr>
              <w:t>''''''</w:t>
            </w:r>
          </w:p>
        </w:tc>
        <w:tc>
          <w:tcPr>
            <w:tcW w:w="1243" w:type="dxa"/>
            <w:shd w:val="clear" w:color="auto" w:fill="auto"/>
            <w:vAlign w:val="center"/>
          </w:tcPr>
          <w:p w:rsidR="0035399B" w:rsidRPr="006D3878" w:rsidRDefault="006D3878" w:rsidP="0035399B">
            <w:pPr>
              <w:keepNext/>
              <w:jc w:val="center"/>
              <w:rPr>
                <w:rFonts w:ascii="Arial Narrow" w:hAnsi="Arial Narrow"/>
                <w:sz w:val="18"/>
                <w:highlight w:val="black"/>
              </w:rPr>
            </w:pPr>
            <w:r>
              <w:rPr>
                <w:rFonts w:ascii="Arial Narrow" w:hAnsi="Arial Narrow"/>
                <w:noProof/>
                <w:color w:val="000000"/>
                <w:sz w:val="18"/>
                <w:highlight w:val="black"/>
              </w:rPr>
              <w:t>'''''''</w:t>
            </w:r>
          </w:p>
        </w:tc>
        <w:tc>
          <w:tcPr>
            <w:tcW w:w="1243" w:type="dxa"/>
            <w:shd w:val="clear" w:color="auto" w:fill="auto"/>
            <w:vAlign w:val="center"/>
          </w:tcPr>
          <w:p w:rsidR="0035399B" w:rsidRPr="006D3878" w:rsidRDefault="006D3878" w:rsidP="0035399B">
            <w:pPr>
              <w:keepNext/>
              <w:jc w:val="center"/>
              <w:rPr>
                <w:rFonts w:ascii="Arial Narrow" w:hAnsi="Arial Narrow"/>
                <w:sz w:val="18"/>
                <w:highlight w:val="black"/>
              </w:rPr>
            </w:pPr>
            <w:r>
              <w:rPr>
                <w:rFonts w:ascii="Arial Narrow" w:hAnsi="Arial Narrow"/>
                <w:noProof/>
                <w:color w:val="000000"/>
                <w:sz w:val="18"/>
                <w:highlight w:val="black"/>
              </w:rPr>
              <w:t>'''''''</w:t>
            </w:r>
          </w:p>
        </w:tc>
        <w:tc>
          <w:tcPr>
            <w:tcW w:w="1245" w:type="dxa"/>
            <w:shd w:val="clear" w:color="auto" w:fill="auto"/>
            <w:vAlign w:val="center"/>
          </w:tcPr>
          <w:p w:rsidR="0035399B" w:rsidRPr="006D3878" w:rsidRDefault="006D3878" w:rsidP="0035399B">
            <w:pPr>
              <w:keepNext/>
              <w:jc w:val="center"/>
              <w:rPr>
                <w:rFonts w:ascii="Arial Narrow" w:hAnsi="Arial Narrow"/>
                <w:sz w:val="18"/>
                <w:highlight w:val="black"/>
              </w:rPr>
            </w:pPr>
            <w:r>
              <w:rPr>
                <w:rFonts w:ascii="Arial Narrow" w:hAnsi="Arial Narrow"/>
                <w:noProof/>
                <w:color w:val="000000"/>
                <w:sz w:val="18"/>
                <w:highlight w:val="black"/>
              </w:rPr>
              <w:t>'''''''</w:t>
            </w:r>
          </w:p>
        </w:tc>
      </w:tr>
      <w:tr w:rsidR="0035399B" w:rsidRPr="00C20A87" w:rsidTr="00591ABB">
        <w:tc>
          <w:tcPr>
            <w:tcW w:w="0" w:type="auto"/>
            <w:shd w:val="clear" w:color="auto" w:fill="auto"/>
            <w:vAlign w:val="center"/>
          </w:tcPr>
          <w:p w:rsidR="0035399B" w:rsidRPr="00C20A87" w:rsidRDefault="0035399B" w:rsidP="00036CAB">
            <w:pPr>
              <w:keepNext/>
              <w:widowControl/>
              <w:tabs>
                <w:tab w:val="left" w:pos="142"/>
              </w:tabs>
              <w:rPr>
                <w:rFonts w:ascii="Arial Narrow" w:hAnsi="Arial Narrow"/>
                <w:sz w:val="20"/>
              </w:rPr>
            </w:pPr>
            <w:r w:rsidRPr="00C20A87">
              <w:rPr>
                <w:rFonts w:ascii="Arial Narrow" w:hAnsi="Arial Narrow"/>
                <w:sz w:val="20"/>
              </w:rPr>
              <w:t xml:space="preserve">Number initiating treatment </w:t>
            </w:r>
          </w:p>
        </w:tc>
        <w:tc>
          <w:tcPr>
            <w:tcW w:w="1243" w:type="dxa"/>
            <w:shd w:val="clear" w:color="auto" w:fill="auto"/>
            <w:vAlign w:val="center"/>
          </w:tcPr>
          <w:p w:rsidR="0035399B" w:rsidRPr="006D3878" w:rsidRDefault="006D3878" w:rsidP="0035399B">
            <w:pPr>
              <w:pStyle w:val="Tabletext"/>
              <w:keepNext/>
              <w:jc w:val="center"/>
              <w:rPr>
                <w:highlight w:val="black"/>
              </w:rPr>
            </w:pPr>
            <w:r>
              <w:rPr>
                <w:noProof/>
                <w:color w:val="000000"/>
                <w:highlight w:val="black"/>
              </w:rPr>
              <w:t>''''''''''</w:t>
            </w:r>
          </w:p>
        </w:tc>
        <w:tc>
          <w:tcPr>
            <w:tcW w:w="1243" w:type="dxa"/>
            <w:shd w:val="clear" w:color="auto" w:fill="auto"/>
            <w:vAlign w:val="center"/>
          </w:tcPr>
          <w:p w:rsidR="0035399B" w:rsidRPr="006D3878" w:rsidRDefault="006D3878" w:rsidP="0035399B">
            <w:pPr>
              <w:pStyle w:val="Tabletext"/>
              <w:keepNext/>
              <w:jc w:val="center"/>
              <w:rPr>
                <w:highlight w:val="black"/>
              </w:rPr>
            </w:pPr>
            <w:r>
              <w:rPr>
                <w:noProof/>
                <w:color w:val="000000"/>
                <w:highlight w:val="black"/>
              </w:rPr>
              <w:t>'''''''</w:t>
            </w:r>
          </w:p>
        </w:tc>
        <w:tc>
          <w:tcPr>
            <w:tcW w:w="1243" w:type="dxa"/>
            <w:shd w:val="clear" w:color="auto" w:fill="auto"/>
            <w:vAlign w:val="center"/>
          </w:tcPr>
          <w:p w:rsidR="0035399B" w:rsidRPr="006D3878" w:rsidRDefault="006D3878" w:rsidP="0035399B">
            <w:pPr>
              <w:pStyle w:val="Tabletext"/>
              <w:keepNext/>
              <w:jc w:val="center"/>
              <w:rPr>
                <w:highlight w:val="black"/>
              </w:rPr>
            </w:pPr>
            <w:r>
              <w:rPr>
                <w:noProof/>
                <w:color w:val="000000"/>
                <w:highlight w:val="black"/>
              </w:rPr>
              <w:t>''''''</w:t>
            </w:r>
          </w:p>
        </w:tc>
        <w:tc>
          <w:tcPr>
            <w:tcW w:w="1243" w:type="dxa"/>
            <w:shd w:val="clear" w:color="auto" w:fill="auto"/>
            <w:vAlign w:val="center"/>
          </w:tcPr>
          <w:p w:rsidR="0035399B" w:rsidRPr="006D3878" w:rsidRDefault="006D3878" w:rsidP="008C6D57">
            <w:pPr>
              <w:pStyle w:val="Tabletext"/>
              <w:keepNext/>
              <w:jc w:val="center"/>
              <w:rPr>
                <w:highlight w:val="black"/>
              </w:rPr>
            </w:pPr>
            <w:r>
              <w:rPr>
                <w:noProof/>
                <w:color w:val="000000"/>
                <w:highlight w:val="black"/>
              </w:rPr>
              <w:t>''''''</w:t>
            </w:r>
          </w:p>
        </w:tc>
        <w:tc>
          <w:tcPr>
            <w:tcW w:w="1245" w:type="dxa"/>
            <w:shd w:val="clear" w:color="auto" w:fill="auto"/>
            <w:vAlign w:val="center"/>
          </w:tcPr>
          <w:p w:rsidR="0035399B" w:rsidRPr="006D3878" w:rsidRDefault="006D3878" w:rsidP="0035399B">
            <w:pPr>
              <w:pStyle w:val="Tabletext"/>
              <w:keepNext/>
              <w:jc w:val="center"/>
              <w:rPr>
                <w:highlight w:val="black"/>
              </w:rPr>
            </w:pPr>
            <w:r>
              <w:rPr>
                <w:noProof/>
                <w:color w:val="000000"/>
                <w:highlight w:val="black"/>
              </w:rPr>
              <w:t>''''''</w:t>
            </w:r>
          </w:p>
        </w:tc>
      </w:tr>
      <w:tr w:rsidR="0035399B" w:rsidRPr="00C20A87" w:rsidTr="00591ABB">
        <w:tc>
          <w:tcPr>
            <w:tcW w:w="0" w:type="auto"/>
            <w:shd w:val="clear" w:color="auto" w:fill="auto"/>
            <w:vAlign w:val="center"/>
          </w:tcPr>
          <w:p w:rsidR="0035399B" w:rsidRPr="00C20A87" w:rsidRDefault="0035399B" w:rsidP="0035399B">
            <w:pPr>
              <w:keepNext/>
              <w:widowControl/>
              <w:tabs>
                <w:tab w:val="left" w:pos="142"/>
              </w:tabs>
              <w:rPr>
                <w:rFonts w:ascii="Arial Narrow" w:hAnsi="Arial Narrow"/>
                <w:sz w:val="20"/>
              </w:rPr>
            </w:pPr>
            <w:r w:rsidRPr="00C20A87">
              <w:rPr>
                <w:rFonts w:ascii="Arial Narrow" w:hAnsi="Arial Narrow"/>
                <w:sz w:val="20"/>
              </w:rPr>
              <w:t>Continuing patients</w:t>
            </w:r>
          </w:p>
        </w:tc>
        <w:tc>
          <w:tcPr>
            <w:tcW w:w="1243" w:type="dxa"/>
            <w:shd w:val="clear" w:color="auto" w:fill="auto"/>
            <w:vAlign w:val="center"/>
          </w:tcPr>
          <w:p w:rsidR="0035399B" w:rsidRPr="00C20A87" w:rsidRDefault="0035399B" w:rsidP="0035399B">
            <w:pPr>
              <w:keepNext/>
              <w:widowControl/>
              <w:jc w:val="center"/>
              <w:rPr>
                <w:rStyle w:val="TableText1"/>
              </w:rPr>
            </w:pPr>
            <w:r w:rsidRPr="00C20A87">
              <w:rPr>
                <w:rStyle w:val="TableText1"/>
              </w:rPr>
              <w:t>0</w:t>
            </w:r>
          </w:p>
        </w:tc>
        <w:tc>
          <w:tcPr>
            <w:tcW w:w="1243" w:type="dxa"/>
            <w:shd w:val="clear" w:color="auto" w:fill="auto"/>
            <w:vAlign w:val="center"/>
          </w:tcPr>
          <w:p w:rsidR="0035399B" w:rsidRPr="006D3878" w:rsidRDefault="006D3878" w:rsidP="0035399B">
            <w:pPr>
              <w:keepNext/>
              <w:widowControl/>
              <w:jc w:val="center"/>
              <w:rPr>
                <w:rStyle w:val="TableText1"/>
                <w:highlight w:val="black"/>
              </w:rPr>
            </w:pPr>
            <w:r>
              <w:rPr>
                <w:rStyle w:val="TableText1"/>
                <w:noProof/>
                <w:color w:val="000000"/>
                <w:highlight w:val="black"/>
              </w:rPr>
              <w:t>'''''''''</w:t>
            </w:r>
          </w:p>
        </w:tc>
        <w:tc>
          <w:tcPr>
            <w:tcW w:w="1243" w:type="dxa"/>
            <w:shd w:val="clear" w:color="auto" w:fill="auto"/>
            <w:vAlign w:val="center"/>
          </w:tcPr>
          <w:p w:rsidR="0035399B" w:rsidRPr="006D3878" w:rsidRDefault="006D3878" w:rsidP="0035399B">
            <w:pPr>
              <w:keepNext/>
              <w:widowControl/>
              <w:jc w:val="center"/>
              <w:rPr>
                <w:rStyle w:val="TableText1"/>
                <w:highlight w:val="black"/>
              </w:rPr>
            </w:pPr>
            <w:r>
              <w:rPr>
                <w:rStyle w:val="TableText1"/>
                <w:noProof/>
                <w:color w:val="000000"/>
                <w:highlight w:val="black"/>
              </w:rPr>
              <w:t>'''''''</w:t>
            </w:r>
          </w:p>
        </w:tc>
        <w:tc>
          <w:tcPr>
            <w:tcW w:w="1243" w:type="dxa"/>
            <w:shd w:val="clear" w:color="auto" w:fill="auto"/>
            <w:vAlign w:val="center"/>
          </w:tcPr>
          <w:p w:rsidR="0035399B" w:rsidRPr="006D3878" w:rsidRDefault="006D3878" w:rsidP="0035399B">
            <w:pPr>
              <w:keepNext/>
              <w:widowControl/>
              <w:jc w:val="center"/>
              <w:rPr>
                <w:rStyle w:val="TableText1"/>
                <w:highlight w:val="black"/>
              </w:rPr>
            </w:pPr>
            <w:r>
              <w:rPr>
                <w:rStyle w:val="TableText1"/>
                <w:noProof/>
                <w:color w:val="000000"/>
                <w:highlight w:val="black"/>
              </w:rPr>
              <w:t>''''''</w:t>
            </w:r>
          </w:p>
        </w:tc>
        <w:tc>
          <w:tcPr>
            <w:tcW w:w="1245" w:type="dxa"/>
            <w:shd w:val="clear" w:color="auto" w:fill="auto"/>
            <w:vAlign w:val="center"/>
          </w:tcPr>
          <w:p w:rsidR="0035399B" w:rsidRPr="006D3878" w:rsidRDefault="006D3878" w:rsidP="0035399B">
            <w:pPr>
              <w:keepNext/>
              <w:widowControl/>
              <w:jc w:val="center"/>
              <w:rPr>
                <w:rStyle w:val="TableText1"/>
                <w:highlight w:val="black"/>
              </w:rPr>
            </w:pPr>
            <w:r>
              <w:rPr>
                <w:rStyle w:val="TableText1"/>
                <w:noProof/>
                <w:color w:val="000000"/>
                <w:highlight w:val="black"/>
              </w:rPr>
              <w:t>''''''</w:t>
            </w:r>
          </w:p>
        </w:tc>
      </w:tr>
      <w:tr w:rsidR="0035399B" w:rsidRPr="00C20A87" w:rsidTr="00591ABB">
        <w:tc>
          <w:tcPr>
            <w:tcW w:w="0" w:type="auto"/>
            <w:shd w:val="clear" w:color="auto" w:fill="auto"/>
            <w:vAlign w:val="center"/>
          </w:tcPr>
          <w:p w:rsidR="0035399B" w:rsidRPr="00C20A87" w:rsidRDefault="0035399B" w:rsidP="0035399B">
            <w:pPr>
              <w:keepNext/>
              <w:widowControl/>
              <w:tabs>
                <w:tab w:val="left" w:pos="142"/>
              </w:tabs>
              <w:rPr>
                <w:rFonts w:ascii="Arial Narrow" w:hAnsi="Arial Narrow"/>
                <w:sz w:val="20"/>
              </w:rPr>
            </w:pPr>
            <w:r w:rsidRPr="00C20A87">
              <w:rPr>
                <w:rFonts w:ascii="Arial Narrow" w:hAnsi="Arial Narrow"/>
                <w:sz w:val="20"/>
              </w:rPr>
              <w:t>Market share</w:t>
            </w:r>
          </w:p>
        </w:tc>
        <w:tc>
          <w:tcPr>
            <w:tcW w:w="1243" w:type="dxa"/>
            <w:shd w:val="clear" w:color="auto" w:fill="auto"/>
            <w:vAlign w:val="center"/>
          </w:tcPr>
          <w:p w:rsidR="0035399B" w:rsidRPr="00C20A87" w:rsidRDefault="0035399B" w:rsidP="0035399B">
            <w:pPr>
              <w:keepNext/>
              <w:widowControl/>
              <w:jc w:val="center"/>
              <w:rPr>
                <w:rStyle w:val="TableText1"/>
              </w:rPr>
            </w:pPr>
            <w:r w:rsidRPr="00C20A87">
              <w:rPr>
                <w:rStyle w:val="TableText1"/>
              </w:rPr>
              <w:t>90%</w:t>
            </w:r>
          </w:p>
        </w:tc>
        <w:tc>
          <w:tcPr>
            <w:tcW w:w="1243" w:type="dxa"/>
            <w:shd w:val="clear" w:color="auto" w:fill="auto"/>
            <w:vAlign w:val="center"/>
          </w:tcPr>
          <w:p w:rsidR="0035399B" w:rsidRPr="00C20A87" w:rsidRDefault="0035399B" w:rsidP="0035399B">
            <w:pPr>
              <w:keepNext/>
              <w:widowControl/>
              <w:jc w:val="center"/>
              <w:rPr>
                <w:rStyle w:val="TableText1"/>
              </w:rPr>
            </w:pPr>
            <w:r w:rsidRPr="00C20A87">
              <w:rPr>
                <w:rStyle w:val="TableText1"/>
              </w:rPr>
              <w:t>90%</w:t>
            </w:r>
          </w:p>
        </w:tc>
        <w:tc>
          <w:tcPr>
            <w:tcW w:w="1243" w:type="dxa"/>
            <w:shd w:val="clear" w:color="auto" w:fill="auto"/>
            <w:vAlign w:val="center"/>
          </w:tcPr>
          <w:p w:rsidR="0035399B" w:rsidRPr="00C20A87" w:rsidRDefault="0035399B" w:rsidP="0035399B">
            <w:pPr>
              <w:keepNext/>
              <w:widowControl/>
              <w:jc w:val="center"/>
              <w:rPr>
                <w:rStyle w:val="TableText1"/>
              </w:rPr>
            </w:pPr>
            <w:r w:rsidRPr="00C20A87">
              <w:rPr>
                <w:rStyle w:val="TableText1"/>
              </w:rPr>
              <w:t>90%</w:t>
            </w:r>
          </w:p>
        </w:tc>
        <w:tc>
          <w:tcPr>
            <w:tcW w:w="1243" w:type="dxa"/>
            <w:shd w:val="clear" w:color="auto" w:fill="auto"/>
            <w:vAlign w:val="center"/>
          </w:tcPr>
          <w:p w:rsidR="0035399B" w:rsidRPr="00C20A87" w:rsidRDefault="0035399B" w:rsidP="0035399B">
            <w:pPr>
              <w:keepNext/>
              <w:widowControl/>
              <w:jc w:val="center"/>
              <w:rPr>
                <w:rStyle w:val="TableText1"/>
              </w:rPr>
            </w:pPr>
            <w:r w:rsidRPr="00C20A87">
              <w:rPr>
                <w:rStyle w:val="TableText1"/>
              </w:rPr>
              <w:t>90%</w:t>
            </w:r>
          </w:p>
        </w:tc>
        <w:tc>
          <w:tcPr>
            <w:tcW w:w="1245" w:type="dxa"/>
            <w:shd w:val="clear" w:color="auto" w:fill="auto"/>
            <w:vAlign w:val="center"/>
          </w:tcPr>
          <w:p w:rsidR="0035399B" w:rsidRPr="00C20A87" w:rsidRDefault="0035399B" w:rsidP="0035399B">
            <w:pPr>
              <w:keepNext/>
              <w:widowControl/>
              <w:jc w:val="center"/>
              <w:rPr>
                <w:rStyle w:val="TableText1"/>
              </w:rPr>
            </w:pPr>
            <w:r w:rsidRPr="00C20A87">
              <w:rPr>
                <w:rStyle w:val="TableText1"/>
              </w:rPr>
              <w:t>90%</w:t>
            </w:r>
          </w:p>
        </w:tc>
      </w:tr>
      <w:tr w:rsidR="008C6D57" w:rsidRPr="00C20A87" w:rsidTr="00591ABB">
        <w:tc>
          <w:tcPr>
            <w:tcW w:w="0" w:type="auto"/>
            <w:shd w:val="clear" w:color="auto" w:fill="auto"/>
            <w:vAlign w:val="center"/>
          </w:tcPr>
          <w:p w:rsidR="008C6D57" w:rsidRPr="00C20A87" w:rsidRDefault="008C6D57" w:rsidP="0035399B">
            <w:pPr>
              <w:keepNext/>
              <w:widowControl/>
              <w:tabs>
                <w:tab w:val="left" w:pos="142"/>
              </w:tabs>
              <w:rPr>
                <w:rFonts w:ascii="Arial Narrow" w:hAnsi="Arial Narrow"/>
                <w:sz w:val="20"/>
              </w:rPr>
            </w:pPr>
            <w:r w:rsidRPr="00C20A87">
              <w:rPr>
                <w:rFonts w:ascii="Arial Narrow" w:hAnsi="Arial Narrow"/>
                <w:sz w:val="20"/>
              </w:rPr>
              <w:t xml:space="preserve">Scripts </w:t>
            </w:r>
            <w:r w:rsidRPr="00C20A87">
              <w:rPr>
                <w:rFonts w:ascii="Arial Narrow" w:hAnsi="Arial Narrow"/>
                <w:sz w:val="20"/>
                <w:vertAlign w:val="superscript"/>
              </w:rPr>
              <w:t>c</w:t>
            </w:r>
          </w:p>
        </w:tc>
        <w:tc>
          <w:tcPr>
            <w:tcW w:w="1243" w:type="dxa"/>
            <w:shd w:val="clear" w:color="auto" w:fill="auto"/>
            <w:vAlign w:val="bottom"/>
          </w:tcPr>
          <w:p w:rsidR="008C6D57" w:rsidRPr="006D3878" w:rsidRDefault="006D3878" w:rsidP="00574309">
            <w:pPr>
              <w:keepNext/>
              <w:widowControl/>
              <w:jc w:val="center"/>
              <w:rPr>
                <w:rStyle w:val="TableText1"/>
                <w:highlight w:val="black"/>
              </w:rPr>
            </w:pPr>
            <w:r>
              <w:rPr>
                <w:rStyle w:val="TableText1"/>
                <w:noProof/>
                <w:color w:val="000000"/>
                <w:highlight w:val="black"/>
              </w:rPr>
              <w:t>''''''''''''''</w:t>
            </w:r>
          </w:p>
        </w:tc>
        <w:tc>
          <w:tcPr>
            <w:tcW w:w="1243" w:type="dxa"/>
            <w:shd w:val="clear" w:color="auto" w:fill="auto"/>
            <w:vAlign w:val="bottom"/>
          </w:tcPr>
          <w:p w:rsidR="008C6D57" w:rsidRPr="006D3878" w:rsidRDefault="006D3878" w:rsidP="00574309">
            <w:pPr>
              <w:keepNext/>
              <w:widowControl/>
              <w:jc w:val="center"/>
              <w:rPr>
                <w:rStyle w:val="TableText1"/>
                <w:highlight w:val="black"/>
              </w:rPr>
            </w:pPr>
            <w:r>
              <w:rPr>
                <w:rStyle w:val="TableText1"/>
                <w:noProof/>
                <w:color w:val="000000"/>
                <w:highlight w:val="black"/>
              </w:rPr>
              <w:t>'''''''''''''''</w:t>
            </w:r>
          </w:p>
        </w:tc>
        <w:tc>
          <w:tcPr>
            <w:tcW w:w="1243" w:type="dxa"/>
            <w:shd w:val="clear" w:color="auto" w:fill="auto"/>
            <w:vAlign w:val="bottom"/>
          </w:tcPr>
          <w:p w:rsidR="008C6D57" w:rsidRPr="006D3878" w:rsidRDefault="006D3878" w:rsidP="00574309">
            <w:pPr>
              <w:keepNext/>
              <w:widowControl/>
              <w:jc w:val="center"/>
              <w:rPr>
                <w:rStyle w:val="TableText1"/>
                <w:highlight w:val="black"/>
              </w:rPr>
            </w:pPr>
            <w:r>
              <w:rPr>
                <w:rStyle w:val="TableText1"/>
                <w:noProof/>
                <w:color w:val="000000"/>
                <w:highlight w:val="black"/>
              </w:rPr>
              <w:t>'''''''''''''</w:t>
            </w:r>
          </w:p>
        </w:tc>
        <w:tc>
          <w:tcPr>
            <w:tcW w:w="1243" w:type="dxa"/>
            <w:shd w:val="clear" w:color="auto" w:fill="auto"/>
            <w:vAlign w:val="bottom"/>
          </w:tcPr>
          <w:p w:rsidR="008C6D57" w:rsidRPr="006D3878" w:rsidRDefault="006D3878" w:rsidP="00574309">
            <w:pPr>
              <w:keepNext/>
              <w:widowControl/>
              <w:jc w:val="center"/>
              <w:rPr>
                <w:rStyle w:val="TableText1"/>
                <w:highlight w:val="black"/>
              </w:rPr>
            </w:pPr>
            <w:r>
              <w:rPr>
                <w:rStyle w:val="TableText1"/>
                <w:noProof/>
                <w:color w:val="000000"/>
                <w:highlight w:val="black"/>
              </w:rPr>
              <w:t>''''''''''''''</w:t>
            </w:r>
          </w:p>
        </w:tc>
        <w:tc>
          <w:tcPr>
            <w:tcW w:w="1245" w:type="dxa"/>
            <w:shd w:val="clear" w:color="auto" w:fill="auto"/>
            <w:vAlign w:val="bottom"/>
          </w:tcPr>
          <w:p w:rsidR="008C6D57" w:rsidRPr="006D3878" w:rsidRDefault="006D3878" w:rsidP="00574309">
            <w:pPr>
              <w:keepNext/>
              <w:widowControl/>
              <w:jc w:val="center"/>
              <w:rPr>
                <w:rStyle w:val="TableText1"/>
                <w:highlight w:val="black"/>
              </w:rPr>
            </w:pPr>
            <w:r>
              <w:rPr>
                <w:rStyle w:val="TableText1"/>
                <w:noProof/>
                <w:color w:val="000000"/>
                <w:highlight w:val="black"/>
              </w:rPr>
              <w:t>''''''''''''</w:t>
            </w:r>
          </w:p>
        </w:tc>
      </w:tr>
      <w:tr w:rsidR="0035399B" w:rsidRPr="00C20A87" w:rsidTr="00504583">
        <w:tc>
          <w:tcPr>
            <w:tcW w:w="8363" w:type="dxa"/>
            <w:gridSpan w:val="6"/>
            <w:shd w:val="clear" w:color="auto" w:fill="auto"/>
            <w:vAlign w:val="center"/>
          </w:tcPr>
          <w:p w:rsidR="0035399B" w:rsidRPr="00C20A87" w:rsidRDefault="0035399B" w:rsidP="0035399B">
            <w:pPr>
              <w:keepNext/>
              <w:widowControl/>
              <w:rPr>
                <w:rFonts w:ascii="Arial Narrow" w:hAnsi="Arial Narrow"/>
                <w:b/>
                <w:bCs/>
                <w:color w:val="000000"/>
                <w:sz w:val="20"/>
              </w:rPr>
            </w:pPr>
            <w:r w:rsidRPr="00C20A87">
              <w:rPr>
                <w:rFonts w:ascii="Arial Narrow" w:hAnsi="Arial Narrow"/>
                <w:b/>
                <w:bCs/>
                <w:color w:val="000000"/>
                <w:sz w:val="20"/>
              </w:rPr>
              <w:t>Estimated net cost to PBS/RPBS/MBS</w:t>
            </w:r>
          </w:p>
        </w:tc>
      </w:tr>
      <w:tr w:rsidR="008C6D57" w:rsidRPr="00C20A87" w:rsidTr="00591ABB">
        <w:tc>
          <w:tcPr>
            <w:tcW w:w="0" w:type="auto"/>
            <w:shd w:val="clear" w:color="auto" w:fill="auto"/>
            <w:vAlign w:val="center"/>
          </w:tcPr>
          <w:p w:rsidR="008C6D57" w:rsidRPr="00C20A87" w:rsidRDefault="008C6D57" w:rsidP="0035399B">
            <w:pPr>
              <w:keepNext/>
              <w:widowControl/>
              <w:tabs>
                <w:tab w:val="left" w:pos="142"/>
              </w:tabs>
              <w:rPr>
                <w:rFonts w:ascii="Arial Narrow" w:hAnsi="Arial Narrow"/>
                <w:sz w:val="19"/>
                <w:szCs w:val="19"/>
              </w:rPr>
            </w:pPr>
            <w:r w:rsidRPr="00C20A87">
              <w:rPr>
                <w:rFonts w:ascii="Arial Narrow" w:hAnsi="Arial Narrow"/>
                <w:sz w:val="19"/>
                <w:szCs w:val="19"/>
              </w:rPr>
              <w:t>Net cost to PBS/RPBS</w:t>
            </w:r>
          </w:p>
        </w:tc>
        <w:tc>
          <w:tcPr>
            <w:tcW w:w="1243" w:type="dxa"/>
            <w:shd w:val="clear" w:color="auto" w:fill="auto"/>
            <w:vAlign w:val="bottom"/>
          </w:tcPr>
          <w:p w:rsidR="008C6D57" w:rsidRPr="00C20A87" w:rsidRDefault="008C6D57" w:rsidP="00574309">
            <w:pPr>
              <w:keepNext/>
              <w:widowControl/>
              <w:jc w:val="right"/>
              <w:rPr>
                <w:rStyle w:val="TableText1"/>
              </w:rPr>
            </w:pPr>
            <w:r w:rsidRPr="00C20A87">
              <w:rPr>
                <w:rStyle w:val="TableText1"/>
              </w:rPr>
              <w:t>$</w:t>
            </w:r>
            <w:r w:rsidR="006D3878">
              <w:rPr>
                <w:rStyle w:val="TableText1"/>
                <w:noProof/>
                <w:color w:val="000000"/>
                <w:highlight w:val="black"/>
              </w:rPr>
              <w:t>'''''''''''''''''''''''</w:t>
            </w:r>
          </w:p>
        </w:tc>
        <w:tc>
          <w:tcPr>
            <w:tcW w:w="1243" w:type="dxa"/>
            <w:shd w:val="clear" w:color="auto" w:fill="auto"/>
            <w:vAlign w:val="bottom"/>
          </w:tcPr>
          <w:p w:rsidR="008C6D57" w:rsidRPr="00C20A87" w:rsidRDefault="008C6D57" w:rsidP="00574309">
            <w:pPr>
              <w:keepNext/>
              <w:widowControl/>
              <w:jc w:val="right"/>
              <w:rPr>
                <w:rStyle w:val="TableText1"/>
              </w:rPr>
            </w:pPr>
            <w:r w:rsidRPr="00C20A87">
              <w:rPr>
                <w:rStyle w:val="TableText1"/>
              </w:rPr>
              <w:t>$</w:t>
            </w:r>
            <w:r w:rsidR="006D3878">
              <w:rPr>
                <w:rStyle w:val="TableText1"/>
                <w:noProof/>
                <w:color w:val="000000"/>
                <w:highlight w:val="black"/>
              </w:rPr>
              <w:t>'''''''''''''''''''''''</w:t>
            </w:r>
          </w:p>
        </w:tc>
        <w:tc>
          <w:tcPr>
            <w:tcW w:w="1243" w:type="dxa"/>
            <w:shd w:val="clear" w:color="auto" w:fill="auto"/>
            <w:vAlign w:val="bottom"/>
          </w:tcPr>
          <w:p w:rsidR="008C6D57" w:rsidRPr="00C20A87" w:rsidRDefault="008C6D57" w:rsidP="00574309">
            <w:pPr>
              <w:keepNext/>
              <w:widowControl/>
              <w:jc w:val="right"/>
              <w:rPr>
                <w:rStyle w:val="TableText1"/>
              </w:rPr>
            </w:pPr>
            <w:r w:rsidRPr="00C20A87">
              <w:rPr>
                <w:rStyle w:val="TableText1"/>
              </w:rPr>
              <w:t>$</w:t>
            </w:r>
            <w:r w:rsidR="006D3878">
              <w:rPr>
                <w:rStyle w:val="TableText1"/>
                <w:noProof/>
                <w:color w:val="000000"/>
                <w:highlight w:val="black"/>
              </w:rPr>
              <w:t>'''''''''''''''''''''''''</w:t>
            </w:r>
          </w:p>
        </w:tc>
        <w:tc>
          <w:tcPr>
            <w:tcW w:w="1243" w:type="dxa"/>
            <w:shd w:val="clear" w:color="auto" w:fill="auto"/>
            <w:vAlign w:val="bottom"/>
          </w:tcPr>
          <w:p w:rsidR="008C6D57" w:rsidRPr="00C20A87" w:rsidRDefault="008C6D57" w:rsidP="00574309">
            <w:pPr>
              <w:keepNext/>
              <w:widowControl/>
              <w:jc w:val="right"/>
              <w:rPr>
                <w:rStyle w:val="TableText1"/>
              </w:rPr>
            </w:pPr>
            <w:r w:rsidRPr="00C20A87">
              <w:rPr>
                <w:rStyle w:val="TableText1"/>
              </w:rPr>
              <w:t>$</w:t>
            </w:r>
            <w:r w:rsidR="006D3878">
              <w:rPr>
                <w:rStyle w:val="TableText1"/>
                <w:noProof/>
                <w:color w:val="000000"/>
                <w:highlight w:val="black"/>
              </w:rPr>
              <w:t>'''''''''''''''''''''''''</w:t>
            </w:r>
          </w:p>
        </w:tc>
        <w:tc>
          <w:tcPr>
            <w:tcW w:w="1245" w:type="dxa"/>
            <w:shd w:val="clear" w:color="auto" w:fill="auto"/>
            <w:vAlign w:val="bottom"/>
          </w:tcPr>
          <w:p w:rsidR="008C6D57" w:rsidRPr="00C20A87" w:rsidRDefault="008C6D57" w:rsidP="00574309">
            <w:pPr>
              <w:keepNext/>
              <w:widowControl/>
              <w:jc w:val="right"/>
              <w:rPr>
                <w:rStyle w:val="TableText1"/>
              </w:rPr>
            </w:pPr>
            <w:r w:rsidRPr="00C20A87">
              <w:rPr>
                <w:rStyle w:val="TableText1"/>
              </w:rPr>
              <w:t>$</w:t>
            </w:r>
            <w:r w:rsidR="006D3878">
              <w:rPr>
                <w:rStyle w:val="TableText1"/>
                <w:noProof/>
                <w:color w:val="000000"/>
                <w:highlight w:val="black"/>
              </w:rPr>
              <w:t>''''''''''''''''''''''</w:t>
            </w:r>
          </w:p>
        </w:tc>
      </w:tr>
      <w:tr w:rsidR="008C6D57" w:rsidRPr="00C20A87" w:rsidTr="00591ABB">
        <w:tc>
          <w:tcPr>
            <w:tcW w:w="0" w:type="auto"/>
            <w:shd w:val="clear" w:color="auto" w:fill="auto"/>
            <w:vAlign w:val="center"/>
          </w:tcPr>
          <w:p w:rsidR="008C6D57" w:rsidRPr="00C20A87" w:rsidRDefault="008C6D57" w:rsidP="0035399B">
            <w:pPr>
              <w:keepNext/>
              <w:widowControl/>
              <w:tabs>
                <w:tab w:val="left" w:pos="142"/>
              </w:tabs>
              <w:rPr>
                <w:rFonts w:ascii="Arial Narrow" w:hAnsi="Arial Narrow"/>
                <w:sz w:val="19"/>
                <w:szCs w:val="19"/>
              </w:rPr>
            </w:pPr>
            <w:r w:rsidRPr="00C20A87">
              <w:rPr>
                <w:rFonts w:ascii="Arial Narrow" w:hAnsi="Arial Narrow"/>
                <w:sz w:val="19"/>
                <w:szCs w:val="19"/>
              </w:rPr>
              <w:t>Net cost to MBS</w:t>
            </w:r>
          </w:p>
        </w:tc>
        <w:tc>
          <w:tcPr>
            <w:tcW w:w="1243" w:type="dxa"/>
            <w:shd w:val="clear" w:color="auto" w:fill="auto"/>
            <w:vAlign w:val="center"/>
          </w:tcPr>
          <w:p w:rsidR="008C6D57" w:rsidRPr="00C20A87" w:rsidRDefault="008C6D57" w:rsidP="00574309">
            <w:pPr>
              <w:pStyle w:val="Tabletext"/>
              <w:keepNext/>
              <w:jc w:val="right"/>
              <w:rPr>
                <w:rFonts w:cs="Arial"/>
                <w:bCs/>
              </w:rPr>
            </w:pPr>
            <w:r w:rsidRPr="00C20A87">
              <w:rPr>
                <w:rFonts w:cs="Arial"/>
                <w:bCs/>
              </w:rPr>
              <w:t>$</w:t>
            </w:r>
            <w:r w:rsidR="006D3878">
              <w:rPr>
                <w:rFonts w:cs="Arial"/>
                <w:bCs/>
                <w:noProof/>
                <w:color w:val="000000"/>
                <w:highlight w:val="black"/>
              </w:rPr>
              <w:t>''''''''''''''''</w:t>
            </w:r>
          </w:p>
        </w:tc>
        <w:tc>
          <w:tcPr>
            <w:tcW w:w="1243" w:type="dxa"/>
            <w:shd w:val="clear" w:color="auto" w:fill="auto"/>
            <w:vAlign w:val="center"/>
          </w:tcPr>
          <w:p w:rsidR="008C6D57" w:rsidRPr="00C20A87" w:rsidRDefault="008C6D57" w:rsidP="00574309">
            <w:pPr>
              <w:pStyle w:val="Tabletext"/>
              <w:keepNext/>
              <w:jc w:val="right"/>
              <w:rPr>
                <w:rFonts w:cs="Arial"/>
                <w:bCs/>
              </w:rPr>
            </w:pPr>
            <w:r w:rsidRPr="00C20A87">
              <w:rPr>
                <w:rFonts w:cs="Arial"/>
                <w:bCs/>
              </w:rPr>
              <w:t>$</w:t>
            </w:r>
            <w:r w:rsidR="006D3878">
              <w:rPr>
                <w:rFonts w:cs="Arial"/>
                <w:bCs/>
                <w:noProof/>
                <w:color w:val="000000"/>
                <w:highlight w:val="black"/>
              </w:rPr>
              <w:t>'''''''''''''''''</w:t>
            </w:r>
          </w:p>
        </w:tc>
        <w:tc>
          <w:tcPr>
            <w:tcW w:w="1243" w:type="dxa"/>
            <w:shd w:val="clear" w:color="auto" w:fill="auto"/>
            <w:vAlign w:val="center"/>
          </w:tcPr>
          <w:p w:rsidR="008C6D57" w:rsidRPr="00C20A87" w:rsidRDefault="008C6D57" w:rsidP="00574309">
            <w:pPr>
              <w:pStyle w:val="Tabletext"/>
              <w:keepNext/>
              <w:jc w:val="right"/>
              <w:rPr>
                <w:rFonts w:cs="Arial"/>
                <w:bCs/>
              </w:rPr>
            </w:pPr>
            <w:r w:rsidRPr="00C20A87">
              <w:rPr>
                <w:rFonts w:cs="Arial"/>
                <w:bCs/>
              </w:rPr>
              <w:t>$</w:t>
            </w:r>
            <w:r w:rsidR="006D3878">
              <w:rPr>
                <w:rFonts w:cs="Arial"/>
                <w:bCs/>
                <w:noProof/>
                <w:color w:val="000000"/>
                <w:highlight w:val="black"/>
              </w:rPr>
              <w:t>'''''''''''''''</w:t>
            </w:r>
          </w:p>
        </w:tc>
        <w:tc>
          <w:tcPr>
            <w:tcW w:w="1243" w:type="dxa"/>
            <w:shd w:val="clear" w:color="auto" w:fill="auto"/>
            <w:vAlign w:val="center"/>
          </w:tcPr>
          <w:p w:rsidR="008C6D57" w:rsidRPr="00C20A87" w:rsidRDefault="008C6D57" w:rsidP="00574309">
            <w:pPr>
              <w:pStyle w:val="Tabletext"/>
              <w:keepNext/>
              <w:jc w:val="right"/>
              <w:rPr>
                <w:rFonts w:cs="Arial"/>
                <w:bCs/>
              </w:rPr>
            </w:pPr>
            <w:r w:rsidRPr="00C20A87">
              <w:rPr>
                <w:rFonts w:cs="Arial"/>
                <w:bCs/>
              </w:rPr>
              <w:t>$</w:t>
            </w:r>
            <w:r w:rsidR="006D3878">
              <w:rPr>
                <w:rFonts w:cs="Arial"/>
                <w:bCs/>
                <w:noProof/>
                <w:color w:val="000000"/>
                <w:highlight w:val="black"/>
              </w:rPr>
              <w:t>''''''''''''''''''</w:t>
            </w:r>
          </w:p>
        </w:tc>
        <w:tc>
          <w:tcPr>
            <w:tcW w:w="1245" w:type="dxa"/>
            <w:shd w:val="clear" w:color="auto" w:fill="auto"/>
            <w:vAlign w:val="center"/>
          </w:tcPr>
          <w:p w:rsidR="008C6D57" w:rsidRPr="00C20A87" w:rsidRDefault="008C6D57" w:rsidP="00574309">
            <w:pPr>
              <w:pStyle w:val="Tabletext"/>
              <w:keepNext/>
              <w:jc w:val="right"/>
              <w:rPr>
                <w:rFonts w:cs="Arial"/>
                <w:bCs/>
              </w:rPr>
            </w:pPr>
            <w:r w:rsidRPr="00C20A87">
              <w:rPr>
                <w:rFonts w:cs="Arial"/>
                <w:bCs/>
              </w:rPr>
              <w:t>$</w:t>
            </w:r>
            <w:r w:rsidR="006D3878">
              <w:rPr>
                <w:rFonts w:cs="Arial"/>
                <w:bCs/>
                <w:noProof/>
                <w:color w:val="000000"/>
                <w:highlight w:val="black"/>
              </w:rPr>
              <w:t>''''''''''''''''''</w:t>
            </w:r>
          </w:p>
        </w:tc>
      </w:tr>
      <w:tr w:rsidR="008C6D57" w:rsidRPr="00C20A87" w:rsidTr="00591ABB">
        <w:tc>
          <w:tcPr>
            <w:tcW w:w="0" w:type="auto"/>
            <w:shd w:val="clear" w:color="auto" w:fill="auto"/>
            <w:vAlign w:val="center"/>
          </w:tcPr>
          <w:p w:rsidR="008C6D57" w:rsidRPr="00C20A87" w:rsidRDefault="008C6D57" w:rsidP="0035399B">
            <w:pPr>
              <w:keepNext/>
              <w:widowControl/>
              <w:tabs>
                <w:tab w:val="left" w:pos="142"/>
              </w:tabs>
              <w:rPr>
                <w:rFonts w:ascii="Arial Narrow" w:hAnsi="Arial Narrow"/>
                <w:sz w:val="19"/>
                <w:szCs w:val="19"/>
              </w:rPr>
            </w:pPr>
            <w:r w:rsidRPr="00C20A87">
              <w:rPr>
                <w:rFonts w:ascii="Arial Narrow" w:hAnsi="Arial Narrow"/>
                <w:sz w:val="19"/>
                <w:szCs w:val="19"/>
              </w:rPr>
              <w:t>Net cost to hospitals</w:t>
            </w:r>
          </w:p>
        </w:tc>
        <w:tc>
          <w:tcPr>
            <w:tcW w:w="1243" w:type="dxa"/>
            <w:shd w:val="clear" w:color="auto" w:fill="auto"/>
            <w:vAlign w:val="bottom"/>
          </w:tcPr>
          <w:p w:rsidR="008C6D57" w:rsidRPr="00C20A87" w:rsidRDefault="008C6D57" w:rsidP="00574309">
            <w:pPr>
              <w:keepNext/>
              <w:widowControl/>
              <w:jc w:val="right"/>
              <w:rPr>
                <w:rStyle w:val="TableText1"/>
                <w:rFonts w:cs="Times New Roman"/>
              </w:rPr>
            </w:pPr>
            <w:r w:rsidRPr="00C20A87">
              <w:rPr>
                <w:rStyle w:val="TableText1"/>
                <w:rFonts w:cs="Times New Roman"/>
              </w:rPr>
              <w:t>$</w:t>
            </w:r>
            <w:r w:rsidR="006D3878">
              <w:rPr>
                <w:rStyle w:val="TableText1"/>
                <w:rFonts w:cs="Times New Roman"/>
                <w:noProof/>
                <w:color w:val="000000"/>
                <w:highlight w:val="black"/>
              </w:rPr>
              <w:t>''''''''''''''''''''</w:t>
            </w:r>
          </w:p>
        </w:tc>
        <w:tc>
          <w:tcPr>
            <w:tcW w:w="1243" w:type="dxa"/>
            <w:shd w:val="clear" w:color="auto" w:fill="auto"/>
            <w:vAlign w:val="bottom"/>
          </w:tcPr>
          <w:p w:rsidR="008C6D57" w:rsidRPr="00C20A87" w:rsidRDefault="008C6D57" w:rsidP="00574309">
            <w:pPr>
              <w:keepNext/>
              <w:widowControl/>
              <w:jc w:val="right"/>
              <w:rPr>
                <w:rStyle w:val="TableText1"/>
                <w:rFonts w:cs="Times New Roman"/>
              </w:rPr>
            </w:pPr>
            <w:r w:rsidRPr="00C20A87">
              <w:rPr>
                <w:rStyle w:val="TableText1"/>
                <w:rFonts w:cs="Times New Roman"/>
              </w:rPr>
              <w:t>$</w:t>
            </w:r>
            <w:r w:rsidR="006D3878">
              <w:rPr>
                <w:rStyle w:val="TableText1"/>
                <w:rFonts w:cs="Times New Roman"/>
                <w:noProof/>
                <w:color w:val="000000"/>
                <w:highlight w:val="black"/>
              </w:rPr>
              <w:t>''''''''''''''''''''</w:t>
            </w:r>
          </w:p>
        </w:tc>
        <w:tc>
          <w:tcPr>
            <w:tcW w:w="1243" w:type="dxa"/>
            <w:shd w:val="clear" w:color="auto" w:fill="auto"/>
            <w:vAlign w:val="bottom"/>
          </w:tcPr>
          <w:p w:rsidR="008C6D57" w:rsidRPr="00C20A87" w:rsidRDefault="008C6D57" w:rsidP="00574309">
            <w:pPr>
              <w:keepNext/>
              <w:widowControl/>
              <w:jc w:val="right"/>
              <w:rPr>
                <w:rStyle w:val="TableText1"/>
                <w:rFonts w:cs="Times New Roman"/>
              </w:rPr>
            </w:pPr>
            <w:r w:rsidRPr="00C20A87">
              <w:rPr>
                <w:rStyle w:val="TableText1"/>
                <w:rFonts w:cs="Times New Roman"/>
              </w:rPr>
              <w:t>$</w:t>
            </w:r>
            <w:r w:rsidR="006D3878">
              <w:rPr>
                <w:rStyle w:val="TableText1"/>
                <w:rFonts w:cs="Times New Roman"/>
                <w:noProof/>
                <w:color w:val="000000"/>
                <w:highlight w:val="black"/>
              </w:rPr>
              <w:t>'''''''''''''''''</w:t>
            </w:r>
          </w:p>
        </w:tc>
        <w:tc>
          <w:tcPr>
            <w:tcW w:w="1243" w:type="dxa"/>
            <w:shd w:val="clear" w:color="auto" w:fill="auto"/>
            <w:vAlign w:val="bottom"/>
          </w:tcPr>
          <w:p w:rsidR="008C6D57" w:rsidRPr="00C20A87" w:rsidRDefault="008C6D57" w:rsidP="00574309">
            <w:pPr>
              <w:keepNext/>
              <w:widowControl/>
              <w:jc w:val="right"/>
              <w:rPr>
                <w:rStyle w:val="TableText1"/>
                <w:rFonts w:cs="Times New Roman"/>
              </w:rPr>
            </w:pPr>
            <w:r w:rsidRPr="00C20A87">
              <w:rPr>
                <w:rStyle w:val="TableText1"/>
                <w:rFonts w:cs="Times New Roman"/>
              </w:rPr>
              <w:t>$</w:t>
            </w:r>
            <w:r w:rsidR="006D3878">
              <w:rPr>
                <w:rStyle w:val="TableText1"/>
                <w:rFonts w:cs="Times New Roman"/>
                <w:noProof/>
                <w:color w:val="000000"/>
                <w:highlight w:val="black"/>
              </w:rPr>
              <w:t>'''''''''''''''''''</w:t>
            </w:r>
          </w:p>
        </w:tc>
        <w:tc>
          <w:tcPr>
            <w:tcW w:w="1245" w:type="dxa"/>
            <w:shd w:val="clear" w:color="auto" w:fill="auto"/>
            <w:vAlign w:val="bottom"/>
          </w:tcPr>
          <w:p w:rsidR="008C6D57" w:rsidRPr="00C20A87" w:rsidRDefault="008C6D57" w:rsidP="00574309">
            <w:pPr>
              <w:keepNext/>
              <w:widowControl/>
              <w:jc w:val="right"/>
              <w:rPr>
                <w:rStyle w:val="TableText1"/>
                <w:rFonts w:cs="Times New Roman"/>
              </w:rPr>
            </w:pPr>
            <w:r w:rsidRPr="00C20A87">
              <w:rPr>
                <w:rStyle w:val="TableText1"/>
                <w:rFonts w:cs="Times New Roman"/>
              </w:rPr>
              <w:t>$</w:t>
            </w:r>
            <w:r w:rsidR="006D3878">
              <w:rPr>
                <w:rStyle w:val="TableText1"/>
                <w:rFonts w:cs="Times New Roman"/>
                <w:noProof/>
                <w:color w:val="000000"/>
                <w:highlight w:val="black"/>
              </w:rPr>
              <w:t>''''''''''''''''''''''</w:t>
            </w:r>
          </w:p>
        </w:tc>
      </w:tr>
      <w:tr w:rsidR="0035399B" w:rsidRPr="00C20A87" w:rsidTr="00504583">
        <w:tc>
          <w:tcPr>
            <w:tcW w:w="8363" w:type="dxa"/>
            <w:gridSpan w:val="6"/>
            <w:shd w:val="clear" w:color="auto" w:fill="auto"/>
            <w:vAlign w:val="center"/>
          </w:tcPr>
          <w:p w:rsidR="0035399B" w:rsidRPr="00C20A87" w:rsidRDefault="0035399B" w:rsidP="0035399B">
            <w:pPr>
              <w:keepNext/>
              <w:widowControl/>
              <w:rPr>
                <w:rFonts w:ascii="Arial Narrow" w:hAnsi="Arial Narrow"/>
                <w:b/>
                <w:color w:val="000000"/>
                <w:sz w:val="20"/>
              </w:rPr>
            </w:pPr>
            <w:r w:rsidRPr="00C20A87">
              <w:rPr>
                <w:rFonts w:ascii="Arial Narrow" w:hAnsi="Arial Narrow"/>
                <w:b/>
                <w:color w:val="000000"/>
                <w:sz w:val="20"/>
              </w:rPr>
              <w:t>Estimated total net cost</w:t>
            </w:r>
            <w:r w:rsidRPr="00C20A87">
              <w:rPr>
                <w:rFonts w:ascii="Arial Narrow" w:hAnsi="Arial Narrow"/>
                <w:sz w:val="20"/>
              </w:rPr>
              <w:t xml:space="preserve"> </w:t>
            </w:r>
          </w:p>
        </w:tc>
      </w:tr>
      <w:tr w:rsidR="008C6D57" w:rsidRPr="00C20A87" w:rsidTr="00591ABB">
        <w:tc>
          <w:tcPr>
            <w:tcW w:w="0" w:type="auto"/>
            <w:shd w:val="clear" w:color="auto" w:fill="auto"/>
            <w:vAlign w:val="center"/>
          </w:tcPr>
          <w:p w:rsidR="008C6D57" w:rsidRPr="00C20A87" w:rsidRDefault="008C6D57" w:rsidP="0035399B">
            <w:pPr>
              <w:keepNext/>
              <w:widowControl/>
              <w:tabs>
                <w:tab w:val="left" w:pos="142"/>
              </w:tabs>
              <w:rPr>
                <w:rFonts w:ascii="Arial Narrow" w:hAnsi="Arial Narrow"/>
                <w:b/>
                <w:sz w:val="20"/>
              </w:rPr>
            </w:pPr>
            <w:r w:rsidRPr="00C20A87">
              <w:rPr>
                <w:rFonts w:ascii="Arial Narrow" w:hAnsi="Arial Narrow"/>
                <w:b/>
                <w:sz w:val="20"/>
              </w:rPr>
              <w:t>Total net cost</w:t>
            </w:r>
          </w:p>
        </w:tc>
        <w:tc>
          <w:tcPr>
            <w:tcW w:w="1243" w:type="dxa"/>
            <w:shd w:val="clear" w:color="auto" w:fill="auto"/>
            <w:vAlign w:val="bottom"/>
          </w:tcPr>
          <w:p w:rsidR="008C6D57" w:rsidRPr="00C20A87" w:rsidRDefault="008C6D57" w:rsidP="00574309">
            <w:pPr>
              <w:keepNext/>
              <w:widowControl/>
              <w:jc w:val="right"/>
              <w:rPr>
                <w:rStyle w:val="TableText1"/>
                <w:b/>
              </w:rPr>
            </w:pPr>
            <w:r w:rsidRPr="00C20A87">
              <w:rPr>
                <w:rStyle w:val="TableText1"/>
                <w:b/>
              </w:rPr>
              <w:t>$</w:t>
            </w:r>
            <w:r w:rsidR="006D3878">
              <w:rPr>
                <w:rStyle w:val="TableText1"/>
                <w:b/>
                <w:noProof/>
                <w:color w:val="000000"/>
                <w:highlight w:val="black"/>
              </w:rPr>
              <w:t>''''''''''''''''''''</w:t>
            </w:r>
          </w:p>
        </w:tc>
        <w:tc>
          <w:tcPr>
            <w:tcW w:w="1243" w:type="dxa"/>
            <w:shd w:val="clear" w:color="auto" w:fill="auto"/>
            <w:vAlign w:val="bottom"/>
          </w:tcPr>
          <w:p w:rsidR="008C6D57" w:rsidRPr="00C20A87" w:rsidRDefault="008C6D57" w:rsidP="00574309">
            <w:pPr>
              <w:keepNext/>
              <w:widowControl/>
              <w:jc w:val="right"/>
              <w:rPr>
                <w:rStyle w:val="TableText1"/>
                <w:b/>
              </w:rPr>
            </w:pPr>
            <w:r w:rsidRPr="00C20A87">
              <w:rPr>
                <w:rStyle w:val="TableText1"/>
                <w:b/>
              </w:rPr>
              <w:t>$</w:t>
            </w:r>
            <w:r w:rsidR="006D3878">
              <w:rPr>
                <w:rStyle w:val="TableText1"/>
                <w:b/>
                <w:noProof/>
                <w:color w:val="000000"/>
                <w:highlight w:val="black"/>
              </w:rPr>
              <w:t>''''''''''''''''''''</w:t>
            </w:r>
          </w:p>
        </w:tc>
        <w:tc>
          <w:tcPr>
            <w:tcW w:w="1243" w:type="dxa"/>
            <w:shd w:val="clear" w:color="auto" w:fill="auto"/>
            <w:vAlign w:val="bottom"/>
          </w:tcPr>
          <w:p w:rsidR="008C6D57" w:rsidRPr="00C20A87" w:rsidRDefault="008C6D57" w:rsidP="00574309">
            <w:pPr>
              <w:keepNext/>
              <w:widowControl/>
              <w:jc w:val="right"/>
              <w:rPr>
                <w:rStyle w:val="TableText1"/>
                <w:b/>
              </w:rPr>
            </w:pPr>
            <w:r w:rsidRPr="00C20A87">
              <w:rPr>
                <w:rStyle w:val="TableText1"/>
                <w:b/>
              </w:rPr>
              <w:t>$</w:t>
            </w:r>
            <w:r w:rsidR="006D3878">
              <w:rPr>
                <w:rStyle w:val="TableText1"/>
                <w:b/>
                <w:noProof/>
                <w:color w:val="000000"/>
                <w:highlight w:val="black"/>
              </w:rPr>
              <w:t>''''''''''''''''''''</w:t>
            </w:r>
          </w:p>
        </w:tc>
        <w:tc>
          <w:tcPr>
            <w:tcW w:w="1243" w:type="dxa"/>
            <w:shd w:val="clear" w:color="auto" w:fill="auto"/>
            <w:vAlign w:val="bottom"/>
          </w:tcPr>
          <w:p w:rsidR="008C6D57" w:rsidRPr="00C20A87" w:rsidRDefault="008C6D57" w:rsidP="00574309">
            <w:pPr>
              <w:keepNext/>
              <w:widowControl/>
              <w:jc w:val="right"/>
              <w:rPr>
                <w:rStyle w:val="TableText1"/>
                <w:b/>
              </w:rPr>
            </w:pPr>
            <w:r w:rsidRPr="00C20A87">
              <w:rPr>
                <w:rStyle w:val="TableText1"/>
                <w:b/>
              </w:rPr>
              <w:t>$</w:t>
            </w:r>
            <w:r w:rsidR="006D3878">
              <w:rPr>
                <w:rStyle w:val="TableText1"/>
                <w:b/>
                <w:noProof/>
                <w:color w:val="000000"/>
                <w:highlight w:val="black"/>
              </w:rPr>
              <w:t>'''''''''''''''''''''</w:t>
            </w:r>
          </w:p>
        </w:tc>
        <w:tc>
          <w:tcPr>
            <w:tcW w:w="1245" w:type="dxa"/>
            <w:shd w:val="clear" w:color="auto" w:fill="auto"/>
            <w:vAlign w:val="bottom"/>
          </w:tcPr>
          <w:p w:rsidR="008C6D57" w:rsidRPr="00C20A87" w:rsidRDefault="008C6D57" w:rsidP="00574309">
            <w:pPr>
              <w:keepNext/>
              <w:widowControl/>
              <w:jc w:val="right"/>
              <w:rPr>
                <w:rStyle w:val="TableText1"/>
                <w:b/>
              </w:rPr>
            </w:pPr>
            <w:r w:rsidRPr="00C20A87">
              <w:rPr>
                <w:rStyle w:val="TableText1"/>
                <w:b/>
              </w:rPr>
              <w:t>$</w:t>
            </w:r>
            <w:r w:rsidR="006D3878">
              <w:rPr>
                <w:rStyle w:val="TableText1"/>
                <w:b/>
                <w:noProof/>
                <w:color w:val="000000"/>
                <w:highlight w:val="black"/>
              </w:rPr>
              <w:t>'''''''''''''''''''</w:t>
            </w:r>
          </w:p>
        </w:tc>
      </w:tr>
    </w:tbl>
    <w:p w:rsidR="009A4149" w:rsidRDefault="009A4149" w:rsidP="0035399B">
      <w:pPr>
        <w:pStyle w:val="TableFooter"/>
        <w:keepNext/>
        <w:widowControl/>
        <w:ind w:left="709"/>
      </w:pPr>
      <w:r w:rsidRPr="00731014">
        <w:t>Source</w:t>
      </w:r>
      <w:r w:rsidRPr="00C20A87">
        <w:t>: Section E</w:t>
      </w:r>
      <w:r w:rsidRPr="00731014">
        <w:t xml:space="preserve"> Excel workbook</w:t>
      </w:r>
      <w:r w:rsidR="00C20A87">
        <w:t xml:space="preserve"> of the submission </w:t>
      </w:r>
    </w:p>
    <w:p w:rsidR="009A4149" w:rsidRPr="00731014" w:rsidRDefault="009A4149" w:rsidP="0035399B">
      <w:pPr>
        <w:pStyle w:val="TableFooter"/>
        <w:keepNext/>
        <w:widowControl/>
        <w:ind w:left="709"/>
      </w:pPr>
      <w:r w:rsidRPr="003A57AC">
        <w:t>MBS = Medicare Benefits Schedule; PBS = Pharmaceutical Benefits Scheme; RPBS = Repatriation Pharmaceutical Benefits Scheme</w:t>
      </w:r>
    </w:p>
    <w:p w:rsidR="000A6012" w:rsidRDefault="009A4149" w:rsidP="0035399B">
      <w:pPr>
        <w:pStyle w:val="TableFooter"/>
        <w:keepNext/>
        <w:ind w:left="709"/>
      </w:pPr>
      <w:proofErr w:type="spellStart"/>
      <w:r w:rsidRPr="003624C3">
        <w:rPr>
          <w:vertAlign w:val="superscript"/>
        </w:rPr>
        <w:t>a</w:t>
      </w:r>
      <w:proofErr w:type="spellEnd"/>
      <w:r w:rsidRPr="003624C3">
        <w:t xml:space="preserve"> </w:t>
      </w:r>
      <w:r w:rsidR="000A6012">
        <w:t>The prevalence pool was created from patients diagnosed prior to 2014 and still alive in 2016, they</w:t>
      </w:r>
      <w:r w:rsidR="000A3FE5">
        <w:t xml:space="preserve"> were</w:t>
      </w:r>
      <w:r w:rsidR="000A6012">
        <w:t xml:space="preserve"> spread across the first five years with a total market share of 90% (40%, 20%, 20%, 10%, 10%)</w:t>
      </w:r>
    </w:p>
    <w:p w:rsidR="000A6012" w:rsidRPr="000A3FE5" w:rsidRDefault="000A6012" w:rsidP="0035399B">
      <w:pPr>
        <w:pStyle w:val="TableFooter"/>
        <w:keepNext/>
        <w:ind w:left="709"/>
      </w:pPr>
      <w:proofErr w:type="gramStart"/>
      <w:r w:rsidRPr="000A6012">
        <w:rPr>
          <w:vertAlign w:val="superscript"/>
        </w:rPr>
        <w:t>b</w:t>
      </w:r>
      <w:proofErr w:type="gramEnd"/>
      <w:r>
        <w:rPr>
          <w:vertAlign w:val="superscript"/>
        </w:rPr>
        <w:t xml:space="preserve"> </w:t>
      </w:r>
      <w:r w:rsidR="000A3FE5">
        <w:t xml:space="preserve">The incidence pool was created from patients who were diagnosed two years prior (e.g. the </w:t>
      </w:r>
      <w:r w:rsidR="006D3878">
        <w:rPr>
          <w:noProof/>
          <w:color w:val="000000"/>
          <w:highlight w:val="black"/>
        </w:rPr>
        <w:t>''''''</w:t>
      </w:r>
      <w:r w:rsidR="000A3FE5">
        <w:t xml:space="preserve"> Year 1 patients were diagnosed in 2014.)</w:t>
      </w:r>
    </w:p>
    <w:p w:rsidR="009A4149" w:rsidRPr="001A251A" w:rsidRDefault="000A6012" w:rsidP="0095594E">
      <w:pPr>
        <w:pStyle w:val="TableFooter"/>
        <w:ind w:left="709"/>
      </w:pPr>
      <w:proofErr w:type="gramStart"/>
      <w:r>
        <w:rPr>
          <w:vertAlign w:val="superscript"/>
        </w:rPr>
        <w:t>c</w:t>
      </w:r>
      <w:proofErr w:type="gramEnd"/>
      <w:r>
        <w:rPr>
          <w:vertAlign w:val="superscript"/>
        </w:rPr>
        <w:t xml:space="preserve"> </w:t>
      </w:r>
      <w:r w:rsidR="009A4149" w:rsidRPr="000A6012">
        <w:t>Assuming</w:t>
      </w:r>
      <w:r w:rsidR="009A4149" w:rsidRPr="003624C3">
        <w:t xml:space="preserve"> 11.5</w:t>
      </w:r>
      <w:r w:rsidR="00844AE8">
        <w:t>8</w:t>
      </w:r>
      <w:r w:rsidR="009A4149" w:rsidRPr="003624C3">
        <w:t xml:space="preserve"> prescriptions per </w:t>
      </w:r>
      <w:r w:rsidR="009A4149">
        <w:t xml:space="preserve">full </w:t>
      </w:r>
      <w:r w:rsidR="009A4149" w:rsidRPr="003624C3">
        <w:t>year</w:t>
      </w:r>
      <w:r w:rsidR="009A4149">
        <w:t xml:space="preserve"> and </w:t>
      </w:r>
      <w:r w:rsidR="009A4149" w:rsidRPr="00036CAB">
        <w:t>9.</w:t>
      </w:r>
      <w:r w:rsidR="00036CAB" w:rsidRPr="00036CAB">
        <w:t>27</w:t>
      </w:r>
      <w:r w:rsidR="00036CAB">
        <w:t xml:space="preserve"> </w:t>
      </w:r>
      <w:r w:rsidR="009A4149">
        <w:t>prescriptions in 2</w:t>
      </w:r>
      <w:r w:rsidR="009A4149" w:rsidRPr="003A57AC">
        <w:rPr>
          <w:vertAlign w:val="superscript"/>
        </w:rPr>
        <w:t>nd</w:t>
      </w:r>
      <w:r w:rsidR="009A4149">
        <w:t xml:space="preserve"> year</w:t>
      </w:r>
      <w:r w:rsidR="009A4149" w:rsidRPr="003624C3">
        <w:t xml:space="preserve"> as estimated by the </w:t>
      </w:r>
      <w:r w:rsidR="00BA3864">
        <w:t>resubmission</w:t>
      </w:r>
      <w:r w:rsidR="009A4149" w:rsidRPr="003624C3">
        <w:t xml:space="preserve"> and 1.8 year</w:t>
      </w:r>
      <w:r w:rsidR="009A4149">
        <w:t>s</w:t>
      </w:r>
      <w:r w:rsidR="009A4149" w:rsidRPr="003624C3">
        <w:t xml:space="preserve"> of treatment</w:t>
      </w:r>
      <w:r w:rsidR="009A4149">
        <w:t>.</w:t>
      </w:r>
    </w:p>
    <w:p w:rsidR="0003690F" w:rsidRPr="00876931" w:rsidRDefault="0003690F" w:rsidP="00876931">
      <w:pPr>
        <w:pStyle w:val="TableFooter"/>
        <w:rPr>
          <w:rFonts w:ascii="Arial" w:hAnsi="Arial"/>
          <w:sz w:val="22"/>
          <w:szCs w:val="22"/>
        </w:rPr>
      </w:pPr>
    </w:p>
    <w:p w:rsidR="00BB180F" w:rsidRPr="00174DB9" w:rsidRDefault="00ED3500" w:rsidP="00876931">
      <w:pPr>
        <w:pStyle w:val="ListParagraph"/>
        <w:widowControl/>
        <w:numPr>
          <w:ilvl w:val="1"/>
          <w:numId w:val="5"/>
        </w:numPr>
        <w:rPr>
          <w:szCs w:val="22"/>
        </w:rPr>
      </w:pPr>
      <w:r w:rsidRPr="00174DB9">
        <w:t>While the number of scripts were substantially lower in the alternative approach compared to the approach presented in the resubmission (</w:t>
      </w:r>
      <w:r w:rsidR="006D3878">
        <w:rPr>
          <w:noProof/>
          <w:color w:val="000000"/>
          <w:highlight w:val="black"/>
        </w:rPr>
        <w:t>'''''''''''''</w:t>
      </w:r>
      <w:r w:rsidRPr="00174DB9">
        <w:t xml:space="preserve"> vs. </w:t>
      </w:r>
      <w:r w:rsidR="006D3878">
        <w:rPr>
          <w:noProof/>
          <w:color w:val="000000"/>
          <w:highlight w:val="black"/>
        </w:rPr>
        <w:t>'''''''''''''''</w:t>
      </w:r>
      <w:r w:rsidRPr="00174DB9">
        <w:t xml:space="preserve">, respectively), </w:t>
      </w:r>
      <w:r w:rsidR="00BB180F" w:rsidRPr="00174DB9">
        <w:t>the net cost to the government over the first five years of l</w:t>
      </w:r>
      <w:r w:rsidR="0037179F" w:rsidRPr="00174DB9">
        <w:t xml:space="preserve">isting was </w:t>
      </w:r>
      <w:r w:rsidRPr="00174DB9">
        <w:t>reasonably similar (</w:t>
      </w:r>
      <w:r w:rsidR="0037179F" w:rsidRPr="00174DB9">
        <w:t>$</w:t>
      </w:r>
      <w:r w:rsidR="006D3878">
        <w:rPr>
          <w:noProof/>
          <w:color w:val="000000"/>
          <w:highlight w:val="black"/>
        </w:rPr>
        <w:t>'''''''''''</w:t>
      </w:r>
      <w:r w:rsidR="00BB180F" w:rsidRPr="00174DB9">
        <w:t xml:space="preserve"> million</w:t>
      </w:r>
      <w:r w:rsidRPr="00174DB9">
        <w:t xml:space="preserve"> vs. $</w:t>
      </w:r>
      <w:r w:rsidR="006D3878">
        <w:rPr>
          <w:noProof/>
          <w:color w:val="000000"/>
          <w:highlight w:val="black"/>
        </w:rPr>
        <w:t>'''''''''''</w:t>
      </w:r>
      <w:r w:rsidRPr="00174DB9">
        <w:t xml:space="preserve"> million, respectively)</w:t>
      </w:r>
      <w:r w:rsidR="00EA406A" w:rsidRPr="00174DB9">
        <w:t xml:space="preserve">. </w:t>
      </w:r>
      <w:r w:rsidRPr="00174DB9">
        <w:t>Th</w:t>
      </w:r>
      <w:r w:rsidR="00F96E4C" w:rsidRPr="00174DB9">
        <w:t xml:space="preserve">is </w:t>
      </w:r>
      <w:r w:rsidRPr="00174DB9">
        <w:t xml:space="preserve">similar cost to the government, while different script numbers, was </w:t>
      </w:r>
      <w:r w:rsidR="00F96E4C" w:rsidRPr="00174DB9">
        <w:t>due to the exclusion of cost offsets for rituximab monotherapy</w:t>
      </w:r>
      <w:r w:rsidRPr="00174DB9">
        <w:t xml:space="preserve"> in the alternative approach</w:t>
      </w:r>
      <w:r w:rsidR="00F96E4C" w:rsidRPr="00174DB9">
        <w:t xml:space="preserve">. </w:t>
      </w:r>
      <w:r w:rsidR="002C73E6" w:rsidRPr="00174DB9">
        <w:t>Within the alternative approach, t</w:t>
      </w:r>
      <w:r w:rsidR="00EA406A" w:rsidRPr="00174DB9">
        <w:t xml:space="preserve">he costs would decrease over time, as there would be </w:t>
      </w:r>
      <w:r w:rsidR="002C73E6" w:rsidRPr="00174DB9">
        <w:t>r</w:t>
      </w:r>
      <w:r w:rsidR="00EA406A" w:rsidRPr="00174DB9">
        <w:t>educed uptake in the prevalent population.</w:t>
      </w:r>
    </w:p>
    <w:p w:rsidR="00576972" w:rsidRPr="00876931" w:rsidRDefault="00576972" w:rsidP="00A310A4">
      <w:pPr>
        <w:widowControl/>
        <w:rPr>
          <w:szCs w:val="22"/>
        </w:rPr>
      </w:pPr>
    </w:p>
    <w:p w:rsidR="00576972" w:rsidRPr="00DB10B2" w:rsidRDefault="00576972" w:rsidP="00497F10">
      <w:pPr>
        <w:pStyle w:val="Heading2"/>
        <w:rPr>
          <w:szCs w:val="22"/>
        </w:rPr>
      </w:pPr>
      <w:bookmarkStart w:id="16" w:name="_Toc430012389"/>
      <w:r w:rsidRPr="00DB10B2">
        <w:t>Financial Management – Risk Sharing Arrangements</w:t>
      </w:r>
      <w:bookmarkEnd w:id="16"/>
    </w:p>
    <w:p w:rsidR="00C25D9C" w:rsidRPr="00576972" w:rsidRDefault="00C25D9C" w:rsidP="00576972">
      <w:pPr>
        <w:widowControl/>
        <w:rPr>
          <w:szCs w:val="22"/>
        </w:rPr>
      </w:pPr>
    </w:p>
    <w:p w:rsidR="00A310A4" w:rsidRPr="008D1C0F" w:rsidRDefault="00A310A4" w:rsidP="00876931">
      <w:pPr>
        <w:pStyle w:val="ListParagraph"/>
        <w:widowControl/>
        <w:numPr>
          <w:ilvl w:val="1"/>
          <w:numId w:val="5"/>
        </w:numPr>
        <w:rPr>
          <w:szCs w:val="22"/>
        </w:rPr>
      </w:pPr>
      <w:r w:rsidRPr="00197970">
        <w:t xml:space="preserve">The </w:t>
      </w:r>
      <w:r w:rsidR="00CC72DE">
        <w:t>re</w:t>
      </w:r>
      <w:r w:rsidRPr="00197970">
        <w:t xml:space="preserve">submission </w:t>
      </w:r>
      <w:r w:rsidR="00D31218">
        <w:t xml:space="preserve">proposed a </w:t>
      </w:r>
      <w:r w:rsidR="006D3878">
        <w:rPr>
          <w:noProof/>
          <w:color w:val="000000"/>
          <w:highlight w:val="black"/>
        </w:rPr>
        <w:t>'''''''</w:t>
      </w:r>
      <w:r w:rsidR="00D31218">
        <w:t xml:space="preserve">% discount on the </w:t>
      </w:r>
      <w:r w:rsidR="008A421D">
        <w:t>dispensed price for maximum quantity (</w:t>
      </w:r>
      <w:r w:rsidR="00D31218">
        <w:t>DPMQ</w:t>
      </w:r>
      <w:r w:rsidR="008A421D">
        <w:t>)</w:t>
      </w:r>
      <w:r w:rsidR="00876931">
        <w:t xml:space="preserve"> price.</w:t>
      </w:r>
    </w:p>
    <w:p w:rsidR="00805CD1" w:rsidRPr="002E0B6A" w:rsidRDefault="00805CD1" w:rsidP="001E3D25">
      <w:pPr>
        <w:pStyle w:val="Subtitle"/>
        <w:spacing w:line="480" w:lineRule="auto"/>
        <w:rPr>
          <w:rFonts w:ascii="Arial" w:hAnsi="Arial" w:cs="Arial"/>
          <w:b w:val="0"/>
          <w:sz w:val="22"/>
          <w:szCs w:val="22"/>
        </w:rPr>
      </w:pPr>
    </w:p>
    <w:p w:rsidR="00EF2DE5" w:rsidRDefault="00EF2DE5" w:rsidP="001E3D25">
      <w:pPr>
        <w:pStyle w:val="Heading1"/>
        <w:rPr>
          <w:noProof/>
          <w:lang w:eastAsia="en-AU"/>
        </w:rPr>
      </w:pPr>
      <w:r>
        <w:rPr>
          <w:noProof/>
          <w:lang w:eastAsia="en-AU"/>
        </w:rPr>
        <w:lastRenderedPageBreak/>
        <w:t>PBAC Ouctome</w:t>
      </w:r>
    </w:p>
    <w:p w:rsidR="00EF2DE5" w:rsidRPr="0095594E" w:rsidRDefault="00EF2DE5" w:rsidP="002E0B6A">
      <w:pPr>
        <w:pStyle w:val="PBACheading1"/>
        <w:keepNext/>
        <w:keepLines/>
        <w:numPr>
          <w:ilvl w:val="0"/>
          <w:numId w:val="0"/>
        </w:numPr>
        <w:jc w:val="both"/>
        <w:rPr>
          <w:noProof/>
          <w:lang w:eastAsia="en-AU"/>
        </w:rPr>
      </w:pPr>
    </w:p>
    <w:p w:rsidR="00EF2DE5" w:rsidRPr="0095594E" w:rsidRDefault="00EF2DE5" w:rsidP="002E0B6A">
      <w:pPr>
        <w:pStyle w:val="PBACheading1"/>
        <w:keepNext/>
        <w:keepLines/>
        <w:numPr>
          <w:ilvl w:val="1"/>
          <w:numId w:val="5"/>
        </w:numPr>
        <w:jc w:val="both"/>
        <w:rPr>
          <w:noProof/>
          <w:lang w:eastAsia="en-AU"/>
        </w:rPr>
      </w:pPr>
      <w:r>
        <w:rPr>
          <w:noProof/>
          <w:lang w:eastAsia="en-AU"/>
        </w:rPr>
        <w:t>The PBAC deferred its decision for the Authority Required listing of idelalisib</w:t>
      </w:r>
      <w:r w:rsidR="00CB6416">
        <w:rPr>
          <w:noProof/>
          <w:lang w:eastAsia="en-AU"/>
        </w:rPr>
        <w:t xml:space="preserve"> in combination with rituximab</w:t>
      </w:r>
      <w:r>
        <w:rPr>
          <w:noProof/>
          <w:lang w:eastAsia="en-AU"/>
        </w:rPr>
        <w:t xml:space="preserve"> for the </w:t>
      </w:r>
      <w:r w:rsidR="00CB6416">
        <w:rPr>
          <w:noProof/>
          <w:lang w:eastAsia="en-AU"/>
        </w:rPr>
        <w:t xml:space="preserve">second-line </w:t>
      </w:r>
      <w:r>
        <w:rPr>
          <w:noProof/>
          <w:lang w:eastAsia="en-AU"/>
        </w:rPr>
        <w:t>treatment of</w:t>
      </w:r>
      <w:r w:rsidR="00CB6416">
        <w:rPr>
          <w:noProof/>
          <w:lang w:eastAsia="en-AU"/>
        </w:rPr>
        <w:t xml:space="preserve"> relapsed</w:t>
      </w:r>
      <w:r>
        <w:rPr>
          <w:noProof/>
          <w:lang w:eastAsia="en-AU"/>
        </w:rPr>
        <w:t xml:space="preserve"> chronic lymphocytic leukaemia (CLL) </w:t>
      </w:r>
      <w:r w:rsidR="00A966E1">
        <w:rPr>
          <w:noProof/>
          <w:lang w:eastAsia="en-AU"/>
        </w:rPr>
        <w:t xml:space="preserve">and small lymphocytic leukaemia (SLL) </w:t>
      </w:r>
      <w:r w:rsidR="00CB6416">
        <w:rPr>
          <w:noProof/>
          <w:lang w:eastAsia="en-AU"/>
        </w:rPr>
        <w:t xml:space="preserve">in patients who are unfit for chemotherapy </w:t>
      </w:r>
      <w:r>
        <w:rPr>
          <w:noProof/>
          <w:lang w:eastAsia="en-AU"/>
        </w:rPr>
        <w:t xml:space="preserve">as idelalisib was not considered to be cost-effective at the price proposed. The PBAC therefore considered that the submission should be deferred to enable the Department to negotiate </w:t>
      </w:r>
      <w:r w:rsidR="00CB6416">
        <w:rPr>
          <w:noProof/>
          <w:lang w:eastAsia="en-AU"/>
        </w:rPr>
        <w:t>a reduced</w:t>
      </w:r>
      <w:r>
        <w:rPr>
          <w:noProof/>
          <w:lang w:eastAsia="en-AU"/>
        </w:rPr>
        <w:t xml:space="preserve"> price, adopting a pragmatic approach that would reduce the ICER to a </w:t>
      </w:r>
      <w:r w:rsidR="0095594E">
        <w:rPr>
          <w:noProof/>
          <w:lang w:eastAsia="en-AU"/>
        </w:rPr>
        <w:t>more appropriate range.</w:t>
      </w:r>
    </w:p>
    <w:p w:rsidR="00EF2DE5" w:rsidRPr="0095594E" w:rsidRDefault="00EF2DE5" w:rsidP="002E0B6A">
      <w:pPr>
        <w:pStyle w:val="PBACheading1"/>
        <w:numPr>
          <w:ilvl w:val="0"/>
          <w:numId w:val="0"/>
        </w:numPr>
        <w:jc w:val="both"/>
        <w:rPr>
          <w:noProof/>
          <w:lang w:eastAsia="en-AU"/>
        </w:rPr>
      </w:pPr>
    </w:p>
    <w:p w:rsidR="00EF2DE5" w:rsidRPr="0095594E" w:rsidRDefault="00EF2DE5" w:rsidP="002E0B6A">
      <w:pPr>
        <w:pStyle w:val="PBACheading1"/>
        <w:numPr>
          <w:ilvl w:val="1"/>
          <w:numId w:val="5"/>
        </w:numPr>
        <w:jc w:val="both"/>
        <w:rPr>
          <w:noProof/>
          <w:lang w:eastAsia="en-AU"/>
        </w:rPr>
      </w:pPr>
      <w:r w:rsidRPr="0095594E">
        <w:rPr>
          <w:bCs/>
          <w:lang w:val="en-GB"/>
        </w:rPr>
        <w:t xml:space="preserve">The PBAC reiterated that there is a high unmet clinical need for an effective treatment for this patient population, and that an oral medication is likely to be </w:t>
      </w:r>
      <w:r w:rsidR="0095594E">
        <w:rPr>
          <w:bCs/>
          <w:lang w:val="en-GB"/>
        </w:rPr>
        <w:t>preferred for this group.</w:t>
      </w:r>
      <w:r w:rsidR="00E75026">
        <w:rPr>
          <w:bCs/>
          <w:lang w:val="en-GB"/>
        </w:rPr>
        <w:t xml:space="preserve"> The PBAC also </w:t>
      </w:r>
      <w:r w:rsidR="00EC1878">
        <w:rPr>
          <w:bCs/>
          <w:lang w:val="en-GB"/>
        </w:rPr>
        <w:t>noted with caution the significant toxicities that can be experienced by patients using this drug, and considered that the incidence of these in Australian practice should be closely monitored.</w:t>
      </w:r>
    </w:p>
    <w:p w:rsidR="00EF2DE5" w:rsidRPr="0095594E" w:rsidRDefault="00EF2DE5" w:rsidP="002E0B6A">
      <w:pPr>
        <w:rPr>
          <w:noProof/>
          <w:lang w:eastAsia="en-AU"/>
        </w:rPr>
      </w:pPr>
    </w:p>
    <w:p w:rsidR="00EF2DE5" w:rsidRPr="0095594E" w:rsidRDefault="00CB6416" w:rsidP="002E0B6A">
      <w:pPr>
        <w:pStyle w:val="PBACheading1"/>
        <w:numPr>
          <w:ilvl w:val="1"/>
          <w:numId w:val="5"/>
        </w:numPr>
        <w:jc w:val="both"/>
        <w:rPr>
          <w:noProof/>
          <w:lang w:eastAsia="en-AU"/>
        </w:rPr>
      </w:pPr>
      <w:r w:rsidRPr="0095594E">
        <w:rPr>
          <w:noProof/>
          <w:lang w:eastAsia="en-AU"/>
        </w:rPr>
        <w:t xml:space="preserve">The PBAC </w:t>
      </w:r>
      <w:r w:rsidR="0054481D" w:rsidRPr="0095594E">
        <w:rPr>
          <w:noProof/>
          <w:lang w:eastAsia="en-AU"/>
        </w:rPr>
        <w:t>advised</w:t>
      </w:r>
      <w:r w:rsidRPr="0095594E">
        <w:rPr>
          <w:noProof/>
          <w:lang w:eastAsia="en-AU"/>
        </w:rPr>
        <w:t xml:space="preserve"> that</w:t>
      </w:r>
      <w:r w:rsidR="0095594E">
        <w:rPr>
          <w:noProof/>
          <w:lang w:eastAsia="en-AU"/>
        </w:rPr>
        <w:t>,</w:t>
      </w:r>
      <w:r w:rsidRPr="0095594E">
        <w:rPr>
          <w:noProof/>
          <w:lang w:eastAsia="en-AU"/>
        </w:rPr>
        <w:t xml:space="preserve"> once a price is negotiated, the Department should work with the sponsor to finalise an appropriate </w:t>
      </w:r>
      <w:r w:rsidR="0054481D" w:rsidRPr="0095594E">
        <w:rPr>
          <w:noProof/>
          <w:lang w:eastAsia="en-AU"/>
        </w:rPr>
        <w:t xml:space="preserve">telephone </w:t>
      </w:r>
      <w:r w:rsidR="00B531D5" w:rsidRPr="0095594E">
        <w:rPr>
          <w:noProof/>
          <w:lang w:eastAsia="en-AU"/>
        </w:rPr>
        <w:t>A</w:t>
      </w:r>
      <w:r w:rsidR="0054481D" w:rsidRPr="0095594E">
        <w:rPr>
          <w:noProof/>
          <w:lang w:eastAsia="en-AU"/>
        </w:rPr>
        <w:t>uthority restriction</w:t>
      </w:r>
      <w:r w:rsidRPr="0095594E">
        <w:rPr>
          <w:noProof/>
          <w:lang w:eastAsia="en-AU"/>
        </w:rPr>
        <w:t>. The PBAC agreed with the ESC that patients should be treated until progression and that this should be incorporated into the restricti</w:t>
      </w:r>
      <w:r w:rsidR="002E0B6A">
        <w:rPr>
          <w:noProof/>
          <w:lang w:eastAsia="en-AU"/>
        </w:rPr>
        <w:t>on wording.</w:t>
      </w:r>
    </w:p>
    <w:p w:rsidR="00EF2DE5" w:rsidRPr="0095594E" w:rsidRDefault="00EF2DE5" w:rsidP="002E0B6A">
      <w:pPr>
        <w:rPr>
          <w:noProof/>
          <w:lang w:eastAsia="en-AU"/>
        </w:rPr>
      </w:pPr>
    </w:p>
    <w:p w:rsidR="00EF2DE5" w:rsidRPr="0095594E" w:rsidRDefault="00EF2DE5" w:rsidP="002E0B6A">
      <w:pPr>
        <w:pStyle w:val="PBACheading1"/>
        <w:numPr>
          <w:ilvl w:val="1"/>
          <w:numId w:val="5"/>
        </w:numPr>
        <w:jc w:val="both"/>
        <w:rPr>
          <w:noProof/>
          <w:lang w:eastAsia="en-AU"/>
        </w:rPr>
      </w:pPr>
      <w:r w:rsidRPr="0095594E">
        <w:rPr>
          <w:noProof/>
          <w:lang w:eastAsia="en-AU"/>
        </w:rPr>
        <w:t>T</w:t>
      </w:r>
      <w:r w:rsidR="00C25EEB" w:rsidRPr="0095594E">
        <w:rPr>
          <w:noProof/>
          <w:lang w:eastAsia="en-AU"/>
        </w:rPr>
        <w:t xml:space="preserve">he PBAC considered that best supportive care </w:t>
      </w:r>
      <w:r w:rsidRPr="0095594E">
        <w:rPr>
          <w:noProof/>
          <w:lang w:eastAsia="en-AU"/>
        </w:rPr>
        <w:t>was the correct comparator</w:t>
      </w:r>
      <w:r w:rsidR="00C25EEB" w:rsidRPr="0095594E">
        <w:rPr>
          <w:noProof/>
          <w:lang w:eastAsia="en-AU"/>
        </w:rPr>
        <w:t xml:space="preserve"> as nominated by the resubmission</w:t>
      </w:r>
      <w:r w:rsidR="002E0B6A">
        <w:rPr>
          <w:noProof/>
          <w:lang w:eastAsia="en-AU"/>
        </w:rPr>
        <w:t>.</w:t>
      </w:r>
    </w:p>
    <w:p w:rsidR="00EF2DE5" w:rsidRPr="0095594E" w:rsidRDefault="00EF2DE5" w:rsidP="002E0B6A">
      <w:pPr>
        <w:pStyle w:val="PBACheading1"/>
        <w:numPr>
          <w:ilvl w:val="0"/>
          <w:numId w:val="0"/>
        </w:numPr>
        <w:jc w:val="both"/>
        <w:rPr>
          <w:noProof/>
          <w:lang w:eastAsia="en-AU"/>
        </w:rPr>
      </w:pPr>
    </w:p>
    <w:p w:rsidR="00C25EEB" w:rsidRPr="0095594E" w:rsidRDefault="00C25EEB" w:rsidP="002E0B6A">
      <w:pPr>
        <w:pStyle w:val="PBACheading1"/>
        <w:numPr>
          <w:ilvl w:val="1"/>
          <w:numId w:val="5"/>
        </w:numPr>
        <w:jc w:val="both"/>
        <w:rPr>
          <w:noProof/>
          <w:lang w:eastAsia="en-AU"/>
        </w:rPr>
      </w:pPr>
      <w:r w:rsidRPr="0095594E">
        <w:rPr>
          <w:noProof/>
          <w:lang w:eastAsia="en-AU"/>
        </w:rPr>
        <w:t>The PBAC considered that the reliability of the data presented was improved in the resubmission by providing a the final analysis of data from Trial 312-0116, noting that the applicability of this d</w:t>
      </w:r>
      <w:r w:rsidR="0054481D" w:rsidRPr="0095594E">
        <w:rPr>
          <w:noProof/>
          <w:lang w:eastAsia="en-AU"/>
        </w:rPr>
        <w:t>ata in the Australian context remains</w:t>
      </w:r>
      <w:r w:rsidR="002E0B6A">
        <w:rPr>
          <w:noProof/>
          <w:lang w:eastAsia="en-AU"/>
        </w:rPr>
        <w:t xml:space="preserve"> uncertain.</w:t>
      </w:r>
    </w:p>
    <w:p w:rsidR="00C25EEB" w:rsidRPr="0095594E" w:rsidRDefault="00C25EEB" w:rsidP="002E0B6A">
      <w:pPr>
        <w:rPr>
          <w:noProof/>
          <w:lang w:eastAsia="en-AU"/>
        </w:rPr>
      </w:pPr>
    </w:p>
    <w:p w:rsidR="00EF2DE5" w:rsidRPr="0095594E" w:rsidRDefault="00EF2DE5" w:rsidP="002E0B6A">
      <w:pPr>
        <w:pStyle w:val="PBACheading1"/>
        <w:numPr>
          <w:ilvl w:val="1"/>
          <w:numId w:val="5"/>
        </w:numPr>
        <w:jc w:val="both"/>
        <w:rPr>
          <w:noProof/>
          <w:lang w:eastAsia="en-AU"/>
        </w:rPr>
      </w:pPr>
      <w:r w:rsidRPr="0095594E">
        <w:rPr>
          <w:noProof/>
          <w:lang w:eastAsia="en-AU"/>
        </w:rPr>
        <w:t>The PBAC reiterated as in the March 2015 consideration that there were statistically significant efficacy results indicating gains in OS and PFS for idelalisib in combination with rituximab over the comparator,</w:t>
      </w:r>
      <w:r w:rsidR="0054481D" w:rsidRPr="0095594E">
        <w:rPr>
          <w:noProof/>
          <w:lang w:eastAsia="en-AU"/>
        </w:rPr>
        <w:t xml:space="preserve"> noting that this is</w:t>
      </w:r>
      <w:r w:rsidRPr="0095594E">
        <w:rPr>
          <w:noProof/>
          <w:lang w:eastAsia="en-AU"/>
        </w:rPr>
        <w:t xml:space="preserve"> balanced against significant harms particularly in relation to diarrhoea and colitis</w:t>
      </w:r>
      <w:r w:rsidR="002972F8" w:rsidRPr="0095594E">
        <w:rPr>
          <w:noProof/>
          <w:lang w:eastAsia="en-AU"/>
        </w:rPr>
        <w:t xml:space="preserve"> which may occur late</w:t>
      </w:r>
      <w:r w:rsidR="002E0B6A">
        <w:rPr>
          <w:noProof/>
          <w:lang w:eastAsia="en-AU"/>
        </w:rPr>
        <w:t>.</w:t>
      </w:r>
    </w:p>
    <w:p w:rsidR="00D94851" w:rsidRDefault="00D94851" w:rsidP="002E0B6A">
      <w:pPr>
        <w:rPr>
          <w:noProof/>
          <w:lang w:eastAsia="en-AU"/>
        </w:rPr>
      </w:pPr>
    </w:p>
    <w:p w:rsidR="00D94851" w:rsidRPr="002E0B6A" w:rsidRDefault="00EF2DE5" w:rsidP="002E0B6A">
      <w:pPr>
        <w:pStyle w:val="PBACheading1"/>
        <w:numPr>
          <w:ilvl w:val="1"/>
          <w:numId w:val="5"/>
        </w:numPr>
        <w:jc w:val="both"/>
        <w:rPr>
          <w:noProof/>
          <w:lang w:eastAsia="en-AU"/>
        </w:rPr>
      </w:pPr>
      <w:r>
        <w:rPr>
          <w:noProof/>
          <w:lang w:eastAsia="en-AU"/>
        </w:rPr>
        <w:t xml:space="preserve">The PBAC disagreed with the ESC that the common treatment effect </w:t>
      </w:r>
      <w:r w:rsidR="00D94851">
        <w:rPr>
          <w:noProof/>
          <w:lang w:eastAsia="en-AU"/>
        </w:rPr>
        <w:t xml:space="preserve">assumption </w:t>
      </w:r>
      <w:r w:rsidR="00011A16">
        <w:rPr>
          <w:noProof/>
          <w:lang w:eastAsia="en-AU"/>
        </w:rPr>
        <w:t>should be rejected</w:t>
      </w:r>
      <w:r>
        <w:rPr>
          <w:noProof/>
          <w:lang w:eastAsia="en-AU"/>
        </w:rPr>
        <w:t>, considering that</w:t>
      </w:r>
      <w:r w:rsidR="002E0B6A">
        <w:rPr>
          <w:noProof/>
          <w:lang w:eastAsia="en-AU"/>
        </w:rPr>
        <w:t>,</w:t>
      </w:r>
      <w:r w:rsidR="00D94851">
        <w:rPr>
          <w:noProof/>
          <w:lang w:eastAsia="en-AU"/>
        </w:rPr>
        <w:t xml:space="preserve"> </w:t>
      </w:r>
      <w:r w:rsidR="00011A16">
        <w:rPr>
          <w:noProof/>
          <w:lang w:eastAsia="en-AU"/>
        </w:rPr>
        <w:t xml:space="preserve">overall it was plausible. In reaching that conclusion it noted that </w:t>
      </w:r>
      <w:r w:rsidR="00D94851">
        <w:rPr>
          <w:noProof/>
          <w:lang w:eastAsia="en-AU"/>
        </w:rPr>
        <w:t>as rituximab has very little efficacy as a single agent in these patients, progression represents the natural history of the disease for patients randomised to the rituximab arm</w:t>
      </w:r>
      <w:r w:rsidR="00C861E5">
        <w:rPr>
          <w:noProof/>
          <w:lang w:eastAsia="en-AU"/>
        </w:rPr>
        <w:t>, and patients taking rituximab can be considered to be “off treatment”</w:t>
      </w:r>
      <w:r w:rsidR="00111F3E">
        <w:rPr>
          <w:noProof/>
          <w:lang w:eastAsia="en-AU"/>
        </w:rPr>
        <w:t xml:space="preserve"> for the purposes of the RPSFT approach</w:t>
      </w:r>
      <w:r w:rsidR="00D94851">
        <w:rPr>
          <w:noProof/>
          <w:lang w:eastAsia="en-AU"/>
        </w:rPr>
        <w:t xml:space="preserve">. As idelalisib works via a different mechanism to rituximab, there are no concerns with cross-resistence, and patients who </w:t>
      </w:r>
      <w:r w:rsidR="00C861E5">
        <w:rPr>
          <w:noProof/>
          <w:lang w:eastAsia="en-AU"/>
        </w:rPr>
        <w:t xml:space="preserve">subsequently </w:t>
      </w:r>
      <w:r w:rsidR="00D94851">
        <w:rPr>
          <w:noProof/>
          <w:lang w:eastAsia="en-AU"/>
        </w:rPr>
        <w:t xml:space="preserve">cross over </w:t>
      </w:r>
      <w:r w:rsidR="00C861E5">
        <w:rPr>
          <w:noProof/>
          <w:lang w:eastAsia="en-AU"/>
        </w:rPr>
        <w:t xml:space="preserve">to idelalisib </w:t>
      </w:r>
      <w:r w:rsidR="00D94851">
        <w:rPr>
          <w:noProof/>
          <w:lang w:eastAsia="en-AU"/>
        </w:rPr>
        <w:t>in the trials appear</w:t>
      </w:r>
      <w:r w:rsidR="00111F3E">
        <w:rPr>
          <w:noProof/>
          <w:lang w:eastAsia="en-AU"/>
        </w:rPr>
        <w:t>ed</w:t>
      </w:r>
      <w:r w:rsidR="00D94851">
        <w:rPr>
          <w:noProof/>
          <w:lang w:eastAsia="en-AU"/>
        </w:rPr>
        <w:t xml:space="preserve"> to do approximately as well as patients originally ra</w:t>
      </w:r>
      <w:r w:rsidR="002E0B6A">
        <w:rPr>
          <w:noProof/>
          <w:lang w:eastAsia="en-AU"/>
        </w:rPr>
        <w:t>ndomised to the idelalisib arm.</w:t>
      </w:r>
      <w:r w:rsidR="00011A16">
        <w:rPr>
          <w:noProof/>
          <w:lang w:eastAsia="en-AU"/>
        </w:rPr>
        <w:t xml:space="preserve"> However, it did agree with ESC that the use of a higher dose of idelalisib in patients who crossed over from rituximab, did mean that accepting the common treatment effect assumption did favour idelalisib, and therefore created additional uncertainty about the ouput of the RPSFT approach.</w:t>
      </w:r>
    </w:p>
    <w:p w:rsidR="00D94851" w:rsidRDefault="00D94851" w:rsidP="002E0B6A">
      <w:pPr>
        <w:rPr>
          <w:noProof/>
          <w:lang w:eastAsia="en-AU"/>
        </w:rPr>
      </w:pPr>
    </w:p>
    <w:p w:rsidR="00EF2DE5" w:rsidRDefault="00EF2DE5" w:rsidP="002E0B6A">
      <w:pPr>
        <w:pStyle w:val="PBACheading1"/>
        <w:numPr>
          <w:ilvl w:val="1"/>
          <w:numId w:val="5"/>
        </w:numPr>
        <w:jc w:val="both"/>
        <w:rPr>
          <w:noProof/>
          <w:lang w:eastAsia="en-AU"/>
        </w:rPr>
      </w:pPr>
      <w:r>
        <w:rPr>
          <w:noProof/>
          <w:lang w:eastAsia="en-AU"/>
        </w:rPr>
        <w:t xml:space="preserve">The PBAC agreed with the ESC </w:t>
      </w:r>
      <w:r w:rsidR="00D94851">
        <w:rPr>
          <w:noProof/>
          <w:lang w:eastAsia="en-AU"/>
        </w:rPr>
        <w:t>that the acceleration factor is likely to be overestimated, as it was calculated ba</w:t>
      </w:r>
      <w:r w:rsidR="002E0B6A">
        <w:rPr>
          <w:noProof/>
          <w:lang w:eastAsia="en-AU"/>
        </w:rPr>
        <w:t>s</w:t>
      </w:r>
      <w:r w:rsidR="00D94851">
        <w:rPr>
          <w:noProof/>
          <w:lang w:eastAsia="en-AU"/>
        </w:rPr>
        <w:t xml:space="preserve">ed on differential effect on the biologically worst disease and applied uniformly </w:t>
      </w:r>
      <w:r w:rsidR="007C6BFA">
        <w:rPr>
          <w:noProof/>
          <w:lang w:eastAsia="en-AU"/>
        </w:rPr>
        <w:t xml:space="preserve">across the spectrum of disease. The PBAC </w:t>
      </w:r>
      <w:r w:rsidR="007C6BFA">
        <w:rPr>
          <w:noProof/>
          <w:lang w:eastAsia="en-AU"/>
        </w:rPr>
        <w:lastRenderedPageBreak/>
        <w:t xml:space="preserve">noted that the high-degree of cross over means that the acceleration factor was applied to almost all patients randomised to </w:t>
      </w:r>
      <w:r w:rsidR="002E0B6A">
        <w:rPr>
          <w:noProof/>
          <w:lang w:eastAsia="en-AU"/>
        </w:rPr>
        <w:t>the placebo plus rituximab arm.</w:t>
      </w:r>
    </w:p>
    <w:p w:rsidR="0063545B" w:rsidRDefault="0063545B" w:rsidP="00111F3E">
      <w:pPr>
        <w:rPr>
          <w:noProof/>
          <w:lang w:eastAsia="en-AU"/>
        </w:rPr>
      </w:pPr>
    </w:p>
    <w:p w:rsidR="0063545B" w:rsidRPr="002E0B6A" w:rsidRDefault="0063545B" w:rsidP="002E0B6A">
      <w:pPr>
        <w:pStyle w:val="PBACheading1"/>
        <w:numPr>
          <w:ilvl w:val="1"/>
          <w:numId w:val="5"/>
        </w:numPr>
        <w:jc w:val="both"/>
        <w:rPr>
          <w:noProof/>
          <w:lang w:eastAsia="en-AU"/>
        </w:rPr>
      </w:pPr>
      <w:r>
        <w:rPr>
          <w:noProof/>
          <w:lang w:eastAsia="en-AU"/>
        </w:rPr>
        <w:t>Overall, the PBAC was not convinced that it could rely with confidence on either the ITT-based analysis of incremental OS gain or the RPSFT-adjusted analysis of incremental OS, and instead concluded that the true estimate of incremental OS gain would most likely fall between them.</w:t>
      </w:r>
    </w:p>
    <w:p w:rsidR="00EF2DE5" w:rsidRPr="002E0B6A" w:rsidRDefault="00EF2DE5" w:rsidP="002E0B6A">
      <w:pPr>
        <w:rPr>
          <w:noProof/>
          <w:lang w:eastAsia="en-AU"/>
        </w:rPr>
      </w:pPr>
    </w:p>
    <w:p w:rsidR="001453FF" w:rsidRDefault="001453FF" w:rsidP="002E0B6A">
      <w:pPr>
        <w:pStyle w:val="PBACheading1"/>
        <w:numPr>
          <w:ilvl w:val="1"/>
          <w:numId w:val="5"/>
        </w:numPr>
        <w:jc w:val="both"/>
        <w:rPr>
          <w:noProof/>
          <w:lang w:eastAsia="en-AU"/>
        </w:rPr>
      </w:pPr>
      <w:r w:rsidRPr="001453FF">
        <w:rPr>
          <w:noProof/>
          <w:lang w:eastAsia="en-AU"/>
        </w:rPr>
        <w:t>The PBAC considered the revised 8 yea</w:t>
      </w:r>
      <w:r w:rsidR="002E0B6A">
        <w:rPr>
          <w:noProof/>
          <w:lang w:eastAsia="en-AU"/>
        </w:rPr>
        <w:t>r time horizon was appropriate.</w:t>
      </w:r>
    </w:p>
    <w:p w:rsidR="001453FF" w:rsidRPr="001453FF" w:rsidRDefault="001453FF" w:rsidP="002E0B6A">
      <w:pPr>
        <w:pStyle w:val="PBACheading1"/>
        <w:numPr>
          <w:ilvl w:val="0"/>
          <w:numId w:val="0"/>
        </w:numPr>
        <w:jc w:val="both"/>
        <w:rPr>
          <w:noProof/>
          <w:lang w:eastAsia="en-AU"/>
        </w:rPr>
      </w:pPr>
    </w:p>
    <w:p w:rsidR="001453FF" w:rsidRDefault="001453FF" w:rsidP="002E0B6A">
      <w:pPr>
        <w:pStyle w:val="PBACheading1"/>
        <w:numPr>
          <w:ilvl w:val="1"/>
          <w:numId w:val="5"/>
        </w:numPr>
        <w:jc w:val="both"/>
        <w:rPr>
          <w:noProof/>
          <w:lang w:eastAsia="en-AU"/>
        </w:rPr>
      </w:pPr>
      <w:r w:rsidRPr="001453FF">
        <w:rPr>
          <w:noProof/>
          <w:lang w:eastAsia="en-AU"/>
        </w:rPr>
        <w:t>The PBAC noted the PSCR</w:t>
      </w:r>
      <w:r w:rsidR="0054481D">
        <w:rPr>
          <w:noProof/>
          <w:lang w:eastAsia="en-AU"/>
        </w:rPr>
        <w:t>’s</w:t>
      </w:r>
      <w:r w:rsidRPr="001453FF">
        <w:rPr>
          <w:noProof/>
          <w:lang w:eastAsia="en-AU"/>
        </w:rPr>
        <w:t xml:space="preserve"> recalculated base case economic analysis that addressed issues surrounding treatment-emergent adverse events, agreeing with the ESC that this incorrectly included rituxi</w:t>
      </w:r>
      <w:r w:rsidR="002E0B6A">
        <w:rPr>
          <w:noProof/>
          <w:lang w:eastAsia="en-AU"/>
        </w:rPr>
        <w:t>mab monotherapy in the BSC arm.</w:t>
      </w:r>
    </w:p>
    <w:p w:rsidR="001453FF" w:rsidRPr="001453FF" w:rsidRDefault="001453FF" w:rsidP="002E0B6A">
      <w:pPr>
        <w:pStyle w:val="PBACheading1"/>
        <w:numPr>
          <w:ilvl w:val="0"/>
          <w:numId w:val="0"/>
        </w:numPr>
        <w:ind w:left="720" w:hanging="720"/>
        <w:jc w:val="both"/>
        <w:rPr>
          <w:noProof/>
          <w:lang w:eastAsia="en-AU"/>
        </w:rPr>
      </w:pPr>
    </w:p>
    <w:p w:rsidR="001453FF" w:rsidRPr="002E0B6A" w:rsidRDefault="001453FF" w:rsidP="002E0B6A">
      <w:pPr>
        <w:pStyle w:val="PBACheading1"/>
        <w:numPr>
          <w:ilvl w:val="1"/>
          <w:numId w:val="5"/>
        </w:numPr>
        <w:jc w:val="both"/>
        <w:rPr>
          <w:noProof/>
          <w:lang w:eastAsia="en-AU"/>
        </w:rPr>
      </w:pPr>
      <w:r>
        <w:t>The PBAC did not accept the cost differential between best supportive care stable disease resource use and idelalisib treatment stable disease resource use</w:t>
      </w:r>
      <w:r w:rsidR="002972F8">
        <w:t>, noting that this</w:t>
      </w:r>
      <w:r>
        <w:t xml:space="preserve"> favours idel</w:t>
      </w:r>
      <w:r w:rsidR="002E0B6A">
        <w:t>alisib and creates uncertainty.</w:t>
      </w:r>
    </w:p>
    <w:p w:rsidR="001453FF" w:rsidRDefault="001453FF" w:rsidP="002E0B6A">
      <w:pPr>
        <w:rPr>
          <w:noProof/>
          <w:lang w:eastAsia="en-AU"/>
        </w:rPr>
      </w:pPr>
    </w:p>
    <w:p w:rsidR="00CA065D" w:rsidRPr="002E0B6A" w:rsidRDefault="00EF2DE5" w:rsidP="002F2EF1">
      <w:pPr>
        <w:pStyle w:val="PBACheading1"/>
        <w:numPr>
          <w:ilvl w:val="1"/>
          <w:numId w:val="5"/>
        </w:numPr>
        <w:jc w:val="both"/>
        <w:rPr>
          <w:noProof/>
          <w:lang w:eastAsia="en-AU"/>
        </w:rPr>
      </w:pPr>
      <w:r>
        <w:rPr>
          <w:noProof/>
          <w:lang w:eastAsia="en-AU"/>
        </w:rPr>
        <w:t>The PBAC considered that the most realistic estimate of cost-effectiveness</w:t>
      </w:r>
      <w:r w:rsidR="001453FF">
        <w:rPr>
          <w:noProof/>
          <w:lang w:eastAsia="en-AU"/>
        </w:rPr>
        <w:t xml:space="preserve"> could be calculated </w:t>
      </w:r>
      <w:r w:rsidR="00192797">
        <w:rPr>
          <w:noProof/>
          <w:lang w:eastAsia="en-AU"/>
        </w:rPr>
        <w:t xml:space="preserve">using the assumptions in the PBAC respecified base case (paragraph 6.40). This </w:t>
      </w:r>
      <w:r w:rsidR="002972F8">
        <w:rPr>
          <w:noProof/>
          <w:lang w:eastAsia="en-AU"/>
        </w:rPr>
        <w:t>result</w:t>
      </w:r>
      <w:r w:rsidR="00C861E5">
        <w:rPr>
          <w:noProof/>
          <w:lang w:eastAsia="en-AU"/>
        </w:rPr>
        <w:t>ed</w:t>
      </w:r>
      <w:r w:rsidR="002972F8">
        <w:rPr>
          <w:noProof/>
          <w:lang w:eastAsia="en-AU"/>
        </w:rPr>
        <w:t xml:space="preserve"> in</w:t>
      </w:r>
      <w:r w:rsidR="00D215BF">
        <w:rPr>
          <w:noProof/>
          <w:lang w:eastAsia="en-AU"/>
        </w:rPr>
        <w:t xml:space="preserve"> the</w:t>
      </w:r>
      <w:r>
        <w:rPr>
          <w:noProof/>
          <w:lang w:eastAsia="en-AU"/>
        </w:rPr>
        <w:t xml:space="preserve"> </w:t>
      </w:r>
      <w:r w:rsidR="00D215BF">
        <w:rPr>
          <w:noProof/>
          <w:lang w:eastAsia="en-AU"/>
        </w:rPr>
        <w:t xml:space="preserve">the ICER being </w:t>
      </w:r>
      <w:r w:rsidR="002F2EF1" w:rsidRPr="002F2EF1">
        <w:rPr>
          <w:noProof/>
          <w:lang w:eastAsia="en-AU"/>
        </w:rPr>
        <w:t>$105,000</w:t>
      </w:r>
      <w:r w:rsidR="00A071B1">
        <w:rPr>
          <w:noProof/>
          <w:lang w:eastAsia="en-AU"/>
        </w:rPr>
        <w:t>/QALY</w:t>
      </w:r>
      <w:r w:rsidR="002F2EF1" w:rsidRPr="002F2EF1">
        <w:rPr>
          <w:noProof/>
          <w:lang w:eastAsia="en-AU"/>
        </w:rPr>
        <w:t xml:space="preserve"> – $200,000</w:t>
      </w:r>
      <w:r w:rsidR="00A071B1">
        <w:rPr>
          <w:noProof/>
          <w:lang w:eastAsia="en-AU"/>
        </w:rPr>
        <w:t>/</w:t>
      </w:r>
      <w:r w:rsidR="00C861E5">
        <w:rPr>
          <w:noProof/>
          <w:lang w:eastAsia="en-AU"/>
        </w:rPr>
        <w:t xml:space="preserve"> </w:t>
      </w:r>
      <w:r w:rsidR="00D215BF">
        <w:rPr>
          <w:noProof/>
          <w:lang w:eastAsia="en-AU"/>
        </w:rPr>
        <w:t>QALY</w:t>
      </w:r>
      <w:r>
        <w:rPr>
          <w:noProof/>
          <w:lang w:eastAsia="en-AU"/>
        </w:rPr>
        <w:t xml:space="preserve">. </w:t>
      </w:r>
      <w:r>
        <w:t>The Committee considered that this ICER was unacceptably high, and that a significant price reduction would be required in order to reduce th</w:t>
      </w:r>
      <w:r w:rsidR="004B029C">
        <w:t>is base case</w:t>
      </w:r>
      <w:r>
        <w:t xml:space="preserve"> ICER to less tha</w:t>
      </w:r>
      <w:r w:rsidR="002E0B6A">
        <w:t xml:space="preserve">n </w:t>
      </w:r>
      <w:r w:rsidR="002F2EF1" w:rsidRPr="00A071B1">
        <w:t>$45,000</w:t>
      </w:r>
      <w:r w:rsidR="00A071B1">
        <w:t>/QALY</w:t>
      </w:r>
      <w:r w:rsidR="002F2EF1" w:rsidRPr="00A071B1">
        <w:t xml:space="preserve"> – $75,000</w:t>
      </w:r>
      <w:r w:rsidR="002E0B6A">
        <w:t>/QALY.</w:t>
      </w:r>
      <w:r w:rsidR="004B029C">
        <w:t xml:space="preserve"> Given that the incremental OS gain contributing to this ICER is </w:t>
      </w:r>
      <w:r w:rsidR="00AC4C27">
        <w:t>likely underestimated</w:t>
      </w:r>
      <w:r w:rsidR="004B029C">
        <w:t xml:space="preserve"> by its reliance on the ITT analysis, the PBAC also requested that the consequence of this price reduction be presented in the lower bound sensitivity analysis generated using the RPSFT analysis.</w:t>
      </w:r>
    </w:p>
    <w:p w:rsidR="00324781" w:rsidRDefault="00324781" w:rsidP="002E0B6A">
      <w:pPr>
        <w:pStyle w:val="PBACheading1"/>
        <w:numPr>
          <w:ilvl w:val="0"/>
          <w:numId w:val="0"/>
        </w:numPr>
        <w:jc w:val="both"/>
      </w:pPr>
    </w:p>
    <w:p w:rsidR="00324781" w:rsidRPr="002E0B6A" w:rsidRDefault="00324781" w:rsidP="002E0B6A">
      <w:pPr>
        <w:pStyle w:val="PBACheading1"/>
        <w:numPr>
          <w:ilvl w:val="1"/>
          <w:numId w:val="5"/>
        </w:numPr>
        <w:jc w:val="both"/>
        <w:rPr>
          <w:noProof/>
          <w:lang w:eastAsia="en-AU"/>
        </w:rPr>
      </w:pPr>
      <w:r>
        <w:t xml:space="preserve">The PBAC noted that the pre-PBAC response expressed a willingness to negotiate the proposed treatment cost to account for uncertainty in </w:t>
      </w:r>
      <w:r w:rsidR="002E0B6A">
        <w:t>the estimated survival benefit.</w:t>
      </w:r>
    </w:p>
    <w:p w:rsidR="00EF2DE5" w:rsidRPr="002E0B6A" w:rsidRDefault="00EF2DE5" w:rsidP="002E0B6A">
      <w:pPr>
        <w:rPr>
          <w:noProof/>
          <w:lang w:eastAsia="en-AU"/>
        </w:rPr>
      </w:pPr>
    </w:p>
    <w:p w:rsidR="00CA065D" w:rsidRPr="0054481D" w:rsidRDefault="00EF2DE5" w:rsidP="002E0B6A">
      <w:pPr>
        <w:pStyle w:val="PBACheading1"/>
        <w:numPr>
          <w:ilvl w:val="1"/>
          <w:numId w:val="5"/>
        </w:numPr>
        <w:jc w:val="both"/>
        <w:rPr>
          <w:noProof/>
          <w:lang w:eastAsia="en-AU"/>
        </w:rPr>
      </w:pPr>
      <w:r>
        <w:t>The PBAC considered that the total patien</w:t>
      </w:r>
      <w:r w:rsidR="00B87EE2">
        <w:t>t population remains uncertain, but that the a</w:t>
      </w:r>
      <w:r w:rsidR="0054481D">
        <w:t xml:space="preserve">lternative approach presented </w:t>
      </w:r>
      <w:r w:rsidR="0054481D" w:rsidRPr="0054481D">
        <w:t>by</w:t>
      </w:r>
      <w:r w:rsidR="00B87EE2" w:rsidRPr="0054481D">
        <w:t xml:space="preserve"> the evaluation (Table 1</w:t>
      </w:r>
      <w:r w:rsidR="0054481D" w:rsidRPr="0054481D">
        <w:t>4</w:t>
      </w:r>
      <w:r w:rsidR="00B87EE2" w:rsidRPr="0054481D">
        <w:t xml:space="preserve"> above)</w:t>
      </w:r>
      <w:r w:rsidR="007C6BFA" w:rsidRPr="0054481D">
        <w:t xml:space="preserve"> includ</w:t>
      </w:r>
      <w:r w:rsidR="004B029C">
        <w:t>ing</w:t>
      </w:r>
      <w:r w:rsidR="007C6BFA" w:rsidRPr="0054481D">
        <w:t xml:space="preserve"> both th</w:t>
      </w:r>
      <w:r w:rsidR="002972F8" w:rsidRPr="0054481D">
        <w:t>e incident and prevalent</w:t>
      </w:r>
      <w:r w:rsidR="007C6BFA" w:rsidRPr="0054481D">
        <w:t xml:space="preserve"> populations</w:t>
      </w:r>
      <w:r w:rsidR="00B87EE2" w:rsidRPr="0054481D">
        <w:t xml:space="preserve"> is more reasonable</w:t>
      </w:r>
      <w:r w:rsidR="0054481D">
        <w:t xml:space="preserve"> and should be the basis for a</w:t>
      </w:r>
      <w:r w:rsidR="004B029C">
        <w:t>ny</w:t>
      </w:r>
      <w:r w:rsidR="0054481D">
        <w:t xml:space="preserve"> risk sharing arrangement</w:t>
      </w:r>
      <w:r w:rsidR="002E0B6A">
        <w:t>.</w:t>
      </w:r>
    </w:p>
    <w:p w:rsidR="00CA065D" w:rsidRPr="0054481D" w:rsidRDefault="00CA065D" w:rsidP="002E0B6A">
      <w:pPr>
        <w:rPr>
          <w:noProof/>
          <w:lang w:eastAsia="en-AU"/>
        </w:rPr>
      </w:pPr>
    </w:p>
    <w:p w:rsidR="00CA065D" w:rsidRPr="002E0B6A" w:rsidRDefault="00CA065D" w:rsidP="002E0B6A">
      <w:pPr>
        <w:pStyle w:val="PBACheading1"/>
        <w:numPr>
          <w:ilvl w:val="1"/>
          <w:numId w:val="5"/>
        </w:numPr>
        <w:jc w:val="both"/>
        <w:rPr>
          <w:noProof/>
          <w:lang w:eastAsia="en-AU"/>
        </w:rPr>
      </w:pPr>
      <w:r>
        <w:rPr>
          <w:noProof/>
          <w:lang w:eastAsia="en-AU"/>
        </w:rPr>
        <w:t>The PBAC agreed that cost offsets for rituximab monotherapy should not be included in</w:t>
      </w:r>
      <w:r w:rsidR="002E0B6A">
        <w:rPr>
          <w:noProof/>
          <w:lang w:eastAsia="en-AU"/>
        </w:rPr>
        <w:t xml:space="preserve"> the estimated cost to the PBS.</w:t>
      </w:r>
    </w:p>
    <w:p w:rsidR="00EF2DE5" w:rsidRDefault="00EF2DE5" w:rsidP="002E0B6A">
      <w:pPr>
        <w:pStyle w:val="PBACheading1"/>
        <w:numPr>
          <w:ilvl w:val="0"/>
          <w:numId w:val="0"/>
        </w:numPr>
        <w:jc w:val="both"/>
        <w:rPr>
          <w:noProof/>
          <w:lang w:eastAsia="en-AU"/>
        </w:rPr>
      </w:pPr>
    </w:p>
    <w:p w:rsidR="00EF2DE5" w:rsidRDefault="00EF2DE5" w:rsidP="001E3D25">
      <w:pPr>
        <w:pStyle w:val="Heading2"/>
        <w:rPr>
          <w:noProof/>
          <w:lang w:eastAsia="en-AU"/>
        </w:rPr>
      </w:pPr>
      <w:r>
        <w:rPr>
          <w:noProof/>
          <w:lang w:eastAsia="en-AU"/>
        </w:rPr>
        <w:t>Outcome:</w:t>
      </w:r>
    </w:p>
    <w:p w:rsidR="00EF2DE5" w:rsidRDefault="002E0B6A" w:rsidP="002E0B6A">
      <w:pPr>
        <w:pStyle w:val="PBACheading1"/>
        <w:numPr>
          <w:ilvl w:val="0"/>
          <w:numId w:val="0"/>
        </w:numPr>
        <w:jc w:val="both"/>
        <w:rPr>
          <w:noProof/>
          <w:lang w:eastAsia="en-AU"/>
        </w:rPr>
      </w:pPr>
      <w:r>
        <w:rPr>
          <w:noProof/>
          <w:lang w:eastAsia="en-AU"/>
        </w:rPr>
        <w:t>Deferred.</w:t>
      </w:r>
    </w:p>
    <w:p w:rsidR="00EF2DE5" w:rsidRDefault="00EF2DE5" w:rsidP="002E0B6A">
      <w:pPr>
        <w:pStyle w:val="PBACheading1"/>
        <w:numPr>
          <w:ilvl w:val="0"/>
          <w:numId w:val="0"/>
        </w:numPr>
        <w:jc w:val="both"/>
        <w:rPr>
          <w:b/>
          <w:noProof/>
          <w:lang w:eastAsia="en-AU"/>
        </w:rPr>
      </w:pPr>
    </w:p>
    <w:p w:rsidR="00FB362F" w:rsidRDefault="00FB362F" w:rsidP="001E3D25">
      <w:pPr>
        <w:pStyle w:val="Heading1"/>
        <w:rPr>
          <w:rFonts w:eastAsia="SimSun"/>
        </w:rPr>
      </w:pPr>
      <w:r>
        <w:rPr>
          <w:rFonts w:eastAsia="SimSun"/>
        </w:rPr>
        <w:t>Context for Decision</w:t>
      </w:r>
    </w:p>
    <w:p w:rsidR="00FB362F" w:rsidRDefault="00FB362F" w:rsidP="00FB362F">
      <w:pPr>
        <w:ind w:left="720"/>
        <w:contextualSpacing/>
        <w:rPr>
          <w:b/>
        </w:rPr>
      </w:pPr>
    </w:p>
    <w:p w:rsidR="00FB362F" w:rsidRDefault="00FB362F" w:rsidP="00FB362F">
      <w:pPr>
        <w:ind w:left="720"/>
        <w:rPr>
          <w:bCs/>
          <w:szCs w:val="22"/>
        </w:rPr>
      </w:pPr>
      <w:r>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B362F" w:rsidRDefault="00FB362F" w:rsidP="00FB362F"/>
    <w:p w:rsidR="00FB362F" w:rsidRDefault="00FB362F" w:rsidP="001E3D25">
      <w:pPr>
        <w:pStyle w:val="Heading1"/>
        <w:rPr>
          <w:rFonts w:eastAsia="SimSun"/>
        </w:rPr>
      </w:pPr>
      <w:r>
        <w:rPr>
          <w:rFonts w:eastAsia="SimSun"/>
        </w:rPr>
        <w:lastRenderedPageBreak/>
        <w:t>Sponsor’s Comment</w:t>
      </w:r>
    </w:p>
    <w:p w:rsidR="00FB362F" w:rsidRDefault="00FB362F" w:rsidP="00FB362F">
      <w:pPr>
        <w:tabs>
          <w:tab w:val="left" w:pos="2940"/>
        </w:tabs>
        <w:rPr>
          <w:szCs w:val="22"/>
        </w:rPr>
      </w:pPr>
    </w:p>
    <w:p w:rsidR="00FB362F" w:rsidRDefault="00B7716C" w:rsidP="00B7716C">
      <w:pPr>
        <w:ind w:left="720"/>
        <w:rPr>
          <w:szCs w:val="22"/>
        </w:rPr>
      </w:pPr>
      <w:r>
        <w:rPr>
          <w:szCs w:val="22"/>
        </w:rPr>
        <w:t xml:space="preserve">The sponsor had no comment. </w:t>
      </w:r>
    </w:p>
    <w:p w:rsidR="00FB362F" w:rsidRDefault="00FB362F" w:rsidP="002E0B6A">
      <w:pPr>
        <w:pStyle w:val="PBACheading1"/>
        <w:numPr>
          <w:ilvl w:val="0"/>
          <w:numId w:val="0"/>
        </w:numPr>
        <w:jc w:val="both"/>
        <w:rPr>
          <w:b/>
          <w:noProof/>
          <w:lang w:eastAsia="en-AU"/>
        </w:rPr>
      </w:pPr>
    </w:p>
    <w:sectPr w:rsidR="00FB362F" w:rsidSect="00610D0F">
      <w:headerReference w:type="default" r:id="rId16"/>
      <w:footerReference w:type="default" r:id="rId17"/>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7F0" w:rsidRDefault="00C157F0" w:rsidP="00124A51">
      <w:r>
        <w:separator/>
      </w:r>
    </w:p>
  </w:endnote>
  <w:endnote w:type="continuationSeparator" w:id="0">
    <w:p w:rsidR="00C157F0" w:rsidRDefault="00C157F0"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544389"/>
      <w:docPartObj>
        <w:docPartGallery w:val="Page Numbers (Bottom of Page)"/>
        <w:docPartUnique/>
      </w:docPartObj>
    </w:sdtPr>
    <w:sdtEndPr>
      <w:rPr>
        <w:noProof/>
      </w:rPr>
    </w:sdtEndPr>
    <w:sdtContent>
      <w:p w:rsidR="00C157F0" w:rsidRDefault="00C157F0">
        <w:pPr>
          <w:pStyle w:val="Footer"/>
          <w:jc w:val="center"/>
        </w:pPr>
        <w:r>
          <w:fldChar w:fldCharType="begin"/>
        </w:r>
        <w:r>
          <w:instrText xml:space="preserve"> PAGE   \* MERGEFORMAT </w:instrText>
        </w:r>
        <w:r>
          <w:fldChar w:fldCharType="separate"/>
        </w:r>
        <w:r w:rsidR="00DD756B">
          <w:rPr>
            <w:noProof/>
          </w:rPr>
          <w:t>1</w:t>
        </w:r>
        <w:r>
          <w:rPr>
            <w:noProof/>
          </w:rPr>
          <w:fldChar w:fldCharType="end"/>
        </w:r>
      </w:p>
    </w:sdtContent>
  </w:sdt>
  <w:p w:rsidR="00C157F0" w:rsidRDefault="00C157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7F0" w:rsidRDefault="00C157F0" w:rsidP="00124A51">
      <w:r>
        <w:separator/>
      </w:r>
    </w:p>
  </w:footnote>
  <w:footnote w:type="continuationSeparator" w:id="0">
    <w:p w:rsidR="00C157F0" w:rsidRDefault="00C157F0" w:rsidP="00124A51">
      <w:r>
        <w:continuationSeparator/>
      </w:r>
    </w:p>
  </w:footnote>
  <w:footnote w:id="1">
    <w:p w:rsidR="00C157F0" w:rsidRPr="0006234F" w:rsidRDefault="00C157F0">
      <w:pPr>
        <w:pStyle w:val="FootnoteText"/>
        <w:rPr>
          <w:rFonts w:ascii="Arial Narrow" w:hAnsi="Arial Narrow"/>
        </w:rPr>
      </w:pPr>
      <w:r w:rsidRPr="0006234F">
        <w:rPr>
          <w:rStyle w:val="FootnoteReference"/>
          <w:rFonts w:ascii="Arial Narrow" w:hAnsi="Arial Narrow"/>
        </w:rPr>
        <w:footnoteRef/>
      </w:r>
      <w:r w:rsidRPr="0006234F">
        <w:rPr>
          <w:rFonts w:ascii="Arial Narrow" w:hAnsi="Arial Narrow"/>
        </w:rPr>
        <w:t xml:space="preserve"> Latimer N. Survival analysis for economic evaluations alongside clinical trials – extrapolation with patient-level data: inconsistencies, limitations and a practical guide. </w:t>
      </w:r>
      <w:hyperlink r:id="rId1" w:tooltip="Medical decision making : an international journal of the Society for Medical Decision Making." w:history="1">
        <w:proofErr w:type="gramStart"/>
        <w:r w:rsidRPr="0006234F">
          <w:rPr>
            <w:rStyle w:val="Hyperlink"/>
            <w:rFonts w:ascii="Arial Narrow" w:hAnsi="Arial Narrow"/>
            <w:color w:val="660066"/>
            <w:u w:val="none"/>
            <w:shd w:val="clear" w:color="auto" w:fill="FFFFFF"/>
          </w:rPr>
          <w:t xml:space="preserve">Med </w:t>
        </w:r>
        <w:proofErr w:type="spellStart"/>
        <w:r w:rsidRPr="0006234F">
          <w:rPr>
            <w:rStyle w:val="Hyperlink"/>
            <w:rFonts w:ascii="Arial Narrow" w:hAnsi="Arial Narrow"/>
            <w:color w:val="660066"/>
            <w:u w:val="none"/>
            <w:shd w:val="clear" w:color="auto" w:fill="FFFFFF"/>
          </w:rPr>
          <w:t>Decis</w:t>
        </w:r>
        <w:proofErr w:type="spellEnd"/>
        <w:r w:rsidRPr="0006234F">
          <w:rPr>
            <w:rStyle w:val="Hyperlink"/>
            <w:rFonts w:ascii="Arial Narrow" w:hAnsi="Arial Narrow"/>
            <w:color w:val="660066"/>
            <w:u w:val="none"/>
            <w:shd w:val="clear" w:color="auto" w:fill="FFFFFF"/>
          </w:rPr>
          <w:t xml:space="preserve"> Making.</w:t>
        </w:r>
        <w:proofErr w:type="gramEnd"/>
      </w:hyperlink>
      <w:r w:rsidRPr="0006234F">
        <w:rPr>
          <w:rStyle w:val="apple-converted-space"/>
          <w:rFonts w:ascii="Arial Narrow" w:hAnsi="Arial Narrow"/>
          <w:color w:val="000000"/>
          <w:shd w:val="clear" w:color="auto" w:fill="FFFFFF"/>
        </w:rPr>
        <w:t> </w:t>
      </w:r>
      <w:r w:rsidRPr="0006234F">
        <w:rPr>
          <w:rFonts w:ascii="Arial Narrow" w:hAnsi="Arial Narrow"/>
          <w:color w:val="000000"/>
          <w:shd w:val="clear" w:color="auto" w:fill="FFFFFF"/>
        </w:rPr>
        <w:t>2013 Aug;33(6):743-54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7F0" w:rsidRPr="00DF217D" w:rsidRDefault="00C157F0" w:rsidP="00005FB9">
    <w:pPr>
      <w:pStyle w:val="Header"/>
      <w:ind w:left="360"/>
      <w:jc w:val="center"/>
      <w:rPr>
        <w:i/>
        <w:color w:val="808080"/>
      </w:rPr>
    </w:pPr>
    <w:r w:rsidRPr="00E810C7">
      <w:rPr>
        <w:i/>
        <w:color w:val="808080"/>
        <w:szCs w:val="22"/>
      </w:rPr>
      <w:t>Public Summary Document –</w:t>
    </w:r>
    <w:r w:rsidRPr="00DF217D">
      <w:rPr>
        <w:i/>
        <w:color w:val="808080"/>
      </w:rPr>
      <w:t xml:space="preserve"> </w:t>
    </w:r>
    <w:r>
      <w:rPr>
        <w:i/>
        <w:color w:val="808080"/>
      </w:rPr>
      <w:t xml:space="preserve">November 2015 </w:t>
    </w:r>
    <w:r w:rsidRPr="00DF217D">
      <w:rPr>
        <w:i/>
        <w:color w:val="808080"/>
      </w:rPr>
      <w:t>PBAC</w:t>
    </w:r>
    <w:r>
      <w:rPr>
        <w:i/>
        <w:color w:val="808080"/>
      </w:rPr>
      <w:t xml:space="preserve"> </w:t>
    </w:r>
    <w:r w:rsidRPr="00DF217D">
      <w:rPr>
        <w:i/>
        <w:color w:val="808080"/>
      </w:rPr>
      <w:t>Meeting</w:t>
    </w:r>
  </w:p>
  <w:p w:rsidR="00C157F0" w:rsidRDefault="00C157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42CF"/>
    <w:multiLevelType w:val="hybridMultilevel"/>
    <w:tmpl w:val="1DF6B0E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E65F0B"/>
    <w:multiLevelType w:val="hybridMultilevel"/>
    <w:tmpl w:val="51F4654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2EE1F5D"/>
    <w:multiLevelType w:val="hybridMultilevel"/>
    <w:tmpl w:val="A072DA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716FC4"/>
    <w:multiLevelType w:val="hybridMultilevel"/>
    <w:tmpl w:val="263AE1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05D2713E"/>
    <w:multiLevelType w:val="hybridMultilevel"/>
    <w:tmpl w:val="617A19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73E016C"/>
    <w:multiLevelType w:val="hybridMultilevel"/>
    <w:tmpl w:val="5CA49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7E3500B"/>
    <w:multiLevelType w:val="hybridMultilevel"/>
    <w:tmpl w:val="12385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87B7654"/>
    <w:multiLevelType w:val="multilevel"/>
    <w:tmpl w:val="2C12372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09D73D81"/>
    <w:multiLevelType w:val="hybridMultilevel"/>
    <w:tmpl w:val="59C2D298"/>
    <w:lvl w:ilvl="0" w:tplc="33DCD0B6">
      <w:start w:val="100"/>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0B9B7189"/>
    <w:multiLevelType w:val="hybridMultilevel"/>
    <w:tmpl w:val="D47E60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0DE0748B"/>
    <w:multiLevelType w:val="hybridMultilevel"/>
    <w:tmpl w:val="5C80F050"/>
    <w:lvl w:ilvl="0" w:tplc="80F0F4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1F650A1"/>
    <w:multiLevelType w:val="hybridMultilevel"/>
    <w:tmpl w:val="E4DA0DC2"/>
    <w:lvl w:ilvl="0" w:tplc="0C090001">
      <w:start w:val="1"/>
      <w:numFmt w:val="bullet"/>
      <w:lvlText w:val=""/>
      <w:lvlJc w:val="left"/>
      <w:pPr>
        <w:ind w:left="1143" w:hanging="360"/>
      </w:pPr>
      <w:rPr>
        <w:rFonts w:ascii="Symbol" w:hAnsi="Symbol" w:hint="default"/>
      </w:rPr>
    </w:lvl>
    <w:lvl w:ilvl="1" w:tplc="0C090003" w:tentative="1">
      <w:start w:val="1"/>
      <w:numFmt w:val="bullet"/>
      <w:lvlText w:val="o"/>
      <w:lvlJc w:val="left"/>
      <w:pPr>
        <w:ind w:left="1863" w:hanging="360"/>
      </w:pPr>
      <w:rPr>
        <w:rFonts w:ascii="Courier New" w:hAnsi="Courier New" w:cs="Courier New" w:hint="default"/>
      </w:rPr>
    </w:lvl>
    <w:lvl w:ilvl="2" w:tplc="0C090005" w:tentative="1">
      <w:start w:val="1"/>
      <w:numFmt w:val="bullet"/>
      <w:lvlText w:val=""/>
      <w:lvlJc w:val="left"/>
      <w:pPr>
        <w:ind w:left="2583" w:hanging="360"/>
      </w:pPr>
      <w:rPr>
        <w:rFonts w:ascii="Wingdings" w:hAnsi="Wingdings" w:hint="default"/>
      </w:rPr>
    </w:lvl>
    <w:lvl w:ilvl="3" w:tplc="0C090001" w:tentative="1">
      <w:start w:val="1"/>
      <w:numFmt w:val="bullet"/>
      <w:lvlText w:val=""/>
      <w:lvlJc w:val="left"/>
      <w:pPr>
        <w:ind w:left="3303" w:hanging="360"/>
      </w:pPr>
      <w:rPr>
        <w:rFonts w:ascii="Symbol" w:hAnsi="Symbol" w:hint="default"/>
      </w:rPr>
    </w:lvl>
    <w:lvl w:ilvl="4" w:tplc="0C090003" w:tentative="1">
      <w:start w:val="1"/>
      <w:numFmt w:val="bullet"/>
      <w:lvlText w:val="o"/>
      <w:lvlJc w:val="left"/>
      <w:pPr>
        <w:ind w:left="4023" w:hanging="360"/>
      </w:pPr>
      <w:rPr>
        <w:rFonts w:ascii="Courier New" w:hAnsi="Courier New" w:cs="Courier New" w:hint="default"/>
      </w:rPr>
    </w:lvl>
    <w:lvl w:ilvl="5" w:tplc="0C090005" w:tentative="1">
      <w:start w:val="1"/>
      <w:numFmt w:val="bullet"/>
      <w:lvlText w:val=""/>
      <w:lvlJc w:val="left"/>
      <w:pPr>
        <w:ind w:left="4743" w:hanging="360"/>
      </w:pPr>
      <w:rPr>
        <w:rFonts w:ascii="Wingdings" w:hAnsi="Wingdings" w:hint="default"/>
      </w:rPr>
    </w:lvl>
    <w:lvl w:ilvl="6" w:tplc="0C090001" w:tentative="1">
      <w:start w:val="1"/>
      <w:numFmt w:val="bullet"/>
      <w:lvlText w:val=""/>
      <w:lvlJc w:val="left"/>
      <w:pPr>
        <w:ind w:left="5463" w:hanging="360"/>
      </w:pPr>
      <w:rPr>
        <w:rFonts w:ascii="Symbol" w:hAnsi="Symbol" w:hint="default"/>
      </w:rPr>
    </w:lvl>
    <w:lvl w:ilvl="7" w:tplc="0C090003" w:tentative="1">
      <w:start w:val="1"/>
      <w:numFmt w:val="bullet"/>
      <w:lvlText w:val="o"/>
      <w:lvlJc w:val="left"/>
      <w:pPr>
        <w:ind w:left="6183" w:hanging="360"/>
      </w:pPr>
      <w:rPr>
        <w:rFonts w:ascii="Courier New" w:hAnsi="Courier New" w:cs="Courier New" w:hint="default"/>
      </w:rPr>
    </w:lvl>
    <w:lvl w:ilvl="8" w:tplc="0C090005" w:tentative="1">
      <w:start w:val="1"/>
      <w:numFmt w:val="bullet"/>
      <w:lvlText w:val=""/>
      <w:lvlJc w:val="left"/>
      <w:pPr>
        <w:ind w:left="6903" w:hanging="360"/>
      </w:pPr>
      <w:rPr>
        <w:rFonts w:ascii="Wingdings" w:hAnsi="Wingdings" w:hint="default"/>
      </w:rPr>
    </w:lvl>
  </w:abstractNum>
  <w:abstractNum w:abstractNumId="13">
    <w:nsid w:val="12074FCD"/>
    <w:multiLevelType w:val="hybridMultilevel"/>
    <w:tmpl w:val="BEB6DE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15546202"/>
    <w:multiLevelType w:val="hybridMultilevel"/>
    <w:tmpl w:val="45343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75F3A38"/>
    <w:multiLevelType w:val="hybridMultilevel"/>
    <w:tmpl w:val="66C880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17C10157"/>
    <w:multiLevelType w:val="hybridMultilevel"/>
    <w:tmpl w:val="42CC1028"/>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17">
    <w:nsid w:val="18FD6508"/>
    <w:multiLevelType w:val="hybridMultilevel"/>
    <w:tmpl w:val="59E4D2C8"/>
    <w:lvl w:ilvl="0" w:tplc="0809000F">
      <w:start w:val="1"/>
      <w:numFmt w:val="decimal"/>
      <w:lvlText w:val="%1."/>
      <w:lvlJc w:val="left"/>
      <w:pPr>
        <w:ind w:left="360" w:hanging="360"/>
      </w:p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8">
    <w:nsid w:val="1D80679D"/>
    <w:multiLevelType w:val="hybridMultilevel"/>
    <w:tmpl w:val="7048D562"/>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9">
    <w:nsid w:val="21265801"/>
    <w:multiLevelType w:val="hybridMultilevel"/>
    <w:tmpl w:val="BEFA095A"/>
    <w:lvl w:ilvl="0" w:tplc="7854B196">
      <w:start w:val="1"/>
      <w:numFmt w:val="bullet"/>
      <w:lvlText w:val="-"/>
      <w:lvlJc w:val="left"/>
      <w:pPr>
        <w:ind w:left="720" w:hanging="360"/>
      </w:pPr>
      <w:rPr>
        <w:rFonts w:ascii="Arial Narrow" w:eastAsia="Times New Roman" w:hAnsi="Arial Narrow" w:cs="Aria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1BC65A1"/>
    <w:multiLevelType w:val="hybridMultilevel"/>
    <w:tmpl w:val="3586A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1EB7BD4"/>
    <w:multiLevelType w:val="hybridMultilevel"/>
    <w:tmpl w:val="86AE626C"/>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3D72E0B"/>
    <w:multiLevelType w:val="hybridMultilevel"/>
    <w:tmpl w:val="35544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5487DD9"/>
    <w:multiLevelType w:val="hybridMultilevel"/>
    <w:tmpl w:val="7DC8F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25945DC5"/>
    <w:multiLevelType w:val="hybridMultilevel"/>
    <w:tmpl w:val="22C0906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27F778CE"/>
    <w:multiLevelType w:val="hybridMultilevel"/>
    <w:tmpl w:val="CAB6542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27">
    <w:nsid w:val="2CD5258E"/>
    <w:multiLevelType w:val="hybridMultilevel"/>
    <w:tmpl w:val="F6CA50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2ED26399"/>
    <w:multiLevelType w:val="hybridMultilevel"/>
    <w:tmpl w:val="44340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32B63EF2"/>
    <w:multiLevelType w:val="hybridMultilevel"/>
    <w:tmpl w:val="75E8A7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355F4A5B"/>
    <w:multiLevelType w:val="multilevel"/>
    <w:tmpl w:val="3B047324"/>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3B7C34E2"/>
    <w:multiLevelType w:val="hybridMultilevel"/>
    <w:tmpl w:val="F6A0F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3BED41C3"/>
    <w:multiLevelType w:val="hybridMultilevel"/>
    <w:tmpl w:val="1084F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3E0465DC"/>
    <w:multiLevelType w:val="hybridMultilevel"/>
    <w:tmpl w:val="75E8A7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35">
    <w:nsid w:val="46706BF8"/>
    <w:multiLevelType w:val="hybridMultilevel"/>
    <w:tmpl w:val="9332905A"/>
    <w:lvl w:ilvl="0" w:tplc="B5DC2E40">
      <w:start w:val="1"/>
      <w:numFmt w:val="decimal"/>
      <w:lvlText w:val="%1."/>
      <w:lvlJc w:val="left"/>
      <w:pPr>
        <w:ind w:left="1080" w:hanging="360"/>
      </w:pPr>
      <w:rPr>
        <w:rFonts w:hint="default"/>
        <w: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nsid w:val="4705485A"/>
    <w:multiLevelType w:val="hybridMultilevel"/>
    <w:tmpl w:val="5FAE3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48F772D2"/>
    <w:multiLevelType w:val="hybridMultilevel"/>
    <w:tmpl w:val="92A0B258"/>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38">
    <w:nsid w:val="4AA42D1B"/>
    <w:multiLevelType w:val="hybridMultilevel"/>
    <w:tmpl w:val="4E8A7A34"/>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BDC6CA7"/>
    <w:multiLevelType w:val="multilevel"/>
    <w:tmpl w:val="829883CC"/>
    <w:lvl w:ilvl="0">
      <w:start w:val="1"/>
      <w:numFmt w:val="bullet"/>
      <w:lvlText w:val=""/>
      <w:lvlJc w:val="left"/>
      <w:pPr>
        <w:ind w:left="720" w:hanging="720"/>
      </w:pPr>
      <w:rPr>
        <w:rFonts w:ascii="Symbol" w:hAnsi="Symbol" w:hint="default"/>
        <w:b/>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4BF40873"/>
    <w:multiLevelType w:val="hybridMultilevel"/>
    <w:tmpl w:val="51F4654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4BF70DEF"/>
    <w:multiLevelType w:val="hybridMultilevel"/>
    <w:tmpl w:val="5B38EC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4CC67D1E"/>
    <w:multiLevelType w:val="hybridMultilevel"/>
    <w:tmpl w:val="74708B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CDF50D5"/>
    <w:multiLevelType w:val="hybridMultilevel"/>
    <w:tmpl w:val="FB50F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4EBE136C"/>
    <w:multiLevelType w:val="hybridMultilevel"/>
    <w:tmpl w:val="F46ED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4EE275AB"/>
    <w:multiLevelType w:val="hybridMultilevel"/>
    <w:tmpl w:val="9244A4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nsid w:val="4FB34448"/>
    <w:multiLevelType w:val="hybridMultilevel"/>
    <w:tmpl w:val="9A183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51AC08E4"/>
    <w:multiLevelType w:val="hybridMultilevel"/>
    <w:tmpl w:val="75386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52817877"/>
    <w:multiLevelType w:val="hybridMultilevel"/>
    <w:tmpl w:val="A260BD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588954BC"/>
    <w:multiLevelType w:val="hybridMultilevel"/>
    <w:tmpl w:val="FFEA67D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0">
    <w:nsid w:val="58EF125F"/>
    <w:multiLevelType w:val="hybridMultilevel"/>
    <w:tmpl w:val="113221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nsid w:val="59C64B79"/>
    <w:multiLevelType w:val="hybridMultilevel"/>
    <w:tmpl w:val="6A4098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nsid w:val="5D04203A"/>
    <w:multiLevelType w:val="hybridMultilevel"/>
    <w:tmpl w:val="FBAC9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622B5E71"/>
    <w:multiLevelType w:val="hybridMultilevel"/>
    <w:tmpl w:val="94F8859E"/>
    <w:lvl w:ilvl="0" w:tplc="D318DAEC">
      <w:start w:val="1"/>
      <w:numFmt w:val="bullet"/>
      <w:lvlText w:val=""/>
      <w:lvlJc w:val="left"/>
      <w:pPr>
        <w:ind w:left="360" w:hanging="360"/>
      </w:pPr>
      <w:rPr>
        <w:rFonts w:ascii="Symbol" w:hAnsi="Symbol" w:hint="default"/>
        <w:color w:val="auto"/>
      </w:rPr>
    </w:lvl>
    <w:lvl w:ilvl="1" w:tplc="6FE0700E">
      <w:start w:val="1"/>
      <w:numFmt w:val="bullet"/>
      <w:lvlText w:val="o"/>
      <w:lvlJc w:val="left"/>
      <w:pPr>
        <w:ind w:left="1080" w:hanging="360"/>
      </w:pPr>
      <w:rPr>
        <w:rFonts w:ascii="Courier New" w:hAnsi="Courier New" w:cs="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nsid w:val="63962F52"/>
    <w:multiLevelType w:val="hybridMultilevel"/>
    <w:tmpl w:val="436A8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652B7D74"/>
    <w:multiLevelType w:val="hybridMultilevel"/>
    <w:tmpl w:val="43AC96EC"/>
    <w:lvl w:ilvl="0" w:tplc="0C090001">
      <w:start w:val="1"/>
      <w:numFmt w:val="bullet"/>
      <w:lvlText w:val=""/>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6">
    <w:nsid w:val="6CD165D6"/>
    <w:multiLevelType w:val="multilevel"/>
    <w:tmpl w:val="2C12372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nsid w:val="6CF66A0F"/>
    <w:multiLevelType w:val="hybridMultilevel"/>
    <w:tmpl w:val="42FC3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nsid w:val="703C0124"/>
    <w:multiLevelType w:val="hybridMultilevel"/>
    <w:tmpl w:val="1DF6B0E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760565A8"/>
    <w:multiLevelType w:val="hybridMultilevel"/>
    <w:tmpl w:val="55BC7B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0">
    <w:nsid w:val="76BF5F69"/>
    <w:multiLevelType w:val="hybridMultilevel"/>
    <w:tmpl w:val="7736CD7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nsid w:val="773F713C"/>
    <w:multiLevelType w:val="hybridMultilevel"/>
    <w:tmpl w:val="CAB6542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nsid w:val="784D033C"/>
    <w:multiLevelType w:val="multilevel"/>
    <w:tmpl w:val="E9BEAA8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nsid w:val="7B9D7D47"/>
    <w:multiLevelType w:val="hybridMultilevel"/>
    <w:tmpl w:val="CB7015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nsid w:val="7ED32651"/>
    <w:multiLevelType w:val="hybridMultilevel"/>
    <w:tmpl w:val="46628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nsid w:val="7F9F45EF"/>
    <w:multiLevelType w:val="multilevel"/>
    <w:tmpl w:val="43EE7C78"/>
    <w:lvl w:ilvl="0">
      <w:start w:val="1"/>
      <w:numFmt w:val="bullet"/>
      <w:lvlText w:val=""/>
      <w:lvlJc w:val="left"/>
      <w:pPr>
        <w:ind w:left="720" w:hanging="720"/>
      </w:pPr>
      <w:rPr>
        <w:rFonts w:ascii="Symbol" w:hAnsi="Symbol" w:hint="default"/>
        <w:b/>
      </w:rPr>
    </w:lvl>
    <w:lvl w:ilvl="1">
      <w:start w:val="1"/>
      <w:numFmt w:val="bullet"/>
      <w:lvlText w:val="o"/>
      <w:lvlJc w:val="left"/>
      <w:pPr>
        <w:ind w:left="720" w:hanging="720"/>
      </w:pPr>
      <w:rPr>
        <w:rFonts w:ascii="Courier New" w:hAnsi="Courier New" w:cs="Courier New"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26"/>
  </w:num>
  <w:num w:numId="3">
    <w:abstractNumId w:val="31"/>
  </w:num>
  <w:num w:numId="4">
    <w:abstractNumId w:val="3"/>
  </w:num>
  <w:num w:numId="5">
    <w:abstractNumId w:val="62"/>
  </w:num>
  <w:num w:numId="6">
    <w:abstractNumId w:val="30"/>
  </w:num>
  <w:num w:numId="7">
    <w:abstractNumId w:val="65"/>
  </w:num>
  <w:num w:numId="8">
    <w:abstractNumId w:val="39"/>
  </w:num>
  <w:num w:numId="9">
    <w:abstractNumId w:val="50"/>
  </w:num>
  <w:num w:numId="10">
    <w:abstractNumId w:val="9"/>
  </w:num>
  <w:num w:numId="11">
    <w:abstractNumId w:val="17"/>
  </w:num>
  <w:num w:numId="12">
    <w:abstractNumId w:val="2"/>
  </w:num>
  <w:num w:numId="13">
    <w:abstractNumId w:val="57"/>
  </w:num>
  <w:num w:numId="14">
    <w:abstractNumId w:val="59"/>
  </w:num>
  <w:num w:numId="15">
    <w:abstractNumId w:val="5"/>
  </w:num>
  <w:num w:numId="16">
    <w:abstractNumId w:val="56"/>
  </w:num>
  <w:num w:numId="17">
    <w:abstractNumId w:val="49"/>
  </w:num>
  <w:num w:numId="18">
    <w:abstractNumId w:val="42"/>
  </w:num>
  <w:num w:numId="19">
    <w:abstractNumId w:val="21"/>
  </w:num>
  <w:num w:numId="20">
    <w:abstractNumId w:val="52"/>
  </w:num>
  <w:num w:numId="21">
    <w:abstractNumId w:val="28"/>
  </w:num>
  <w:num w:numId="22">
    <w:abstractNumId w:val="41"/>
  </w:num>
  <w:num w:numId="23">
    <w:abstractNumId w:val="51"/>
  </w:num>
  <w:num w:numId="24">
    <w:abstractNumId w:val="33"/>
  </w:num>
  <w:num w:numId="25">
    <w:abstractNumId w:val="61"/>
  </w:num>
  <w:num w:numId="26">
    <w:abstractNumId w:val="40"/>
  </w:num>
  <w:num w:numId="27">
    <w:abstractNumId w:val="0"/>
  </w:num>
  <w:num w:numId="28">
    <w:abstractNumId w:val="29"/>
  </w:num>
  <w:num w:numId="29">
    <w:abstractNumId w:val="1"/>
  </w:num>
  <w:num w:numId="30">
    <w:abstractNumId w:val="58"/>
  </w:num>
  <w:num w:numId="31">
    <w:abstractNumId w:val="25"/>
  </w:num>
  <w:num w:numId="32">
    <w:abstractNumId w:val="6"/>
  </w:num>
  <w:num w:numId="33">
    <w:abstractNumId w:val="11"/>
  </w:num>
  <w:num w:numId="34">
    <w:abstractNumId w:val="20"/>
  </w:num>
  <w:num w:numId="35">
    <w:abstractNumId w:val="22"/>
  </w:num>
  <w:num w:numId="36">
    <w:abstractNumId w:val="44"/>
  </w:num>
  <w:num w:numId="37">
    <w:abstractNumId w:val="53"/>
  </w:num>
  <w:num w:numId="38">
    <w:abstractNumId w:val="27"/>
  </w:num>
  <w:num w:numId="39">
    <w:abstractNumId w:val="13"/>
  </w:num>
  <w:num w:numId="40">
    <w:abstractNumId w:val="45"/>
  </w:num>
  <w:num w:numId="41">
    <w:abstractNumId w:val="36"/>
  </w:num>
  <w:num w:numId="42">
    <w:abstractNumId w:val="48"/>
  </w:num>
  <w:num w:numId="43">
    <w:abstractNumId w:val="8"/>
  </w:num>
  <w:num w:numId="44">
    <w:abstractNumId w:val="15"/>
  </w:num>
  <w:num w:numId="45">
    <w:abstractNumId w:val="16"/>
  </w:num>
  <w:num w:numId="46">
    <w:abstractNumId w:val="60"/>
  </w:num>
  <w:num w:numId="47">
    <w:abstractNumId w:val="18"/>
  </w:num>
  <w:num w:numId="48">
    <w:abstractNumId w:val="4"/>
  </w:num>
  <w:num w:numId="49">
    <w:abstractNumId w:val="10"/>
  </w:num>
  <w:num w:numId="50">
    <w:abstractNumId w:val="54"/>
  </w:num>
  <w:num w:numId="51">
    <w:abstractNumId w:val="32"/>
  </w:num>
  <w:num w:numId="52">
    <w:abstractNumId w:val="23"/>
  </w:num>
  <w:num w:numId="53">
    <w:abstractNumId w:val="38"/>
  </w:num>
  <w:num w:numId="54">
    <w:abstractNumId w:val="55"/>
  </w:num>
  <w:num w:numId="55">
    <w:abstractNumId w:val="7"/>
  </w:num>
  <w:num w:numId="56">
    <w:abstractNumId w:val="64"/>
  </w:num>
  <w:num w:numId="57">
    <w:abstractNumId w:val="12"/>
  </w:num>
  <w:num w:numId="58">
    <w:abstractNumId w:val="14"/>
  </w:num>
  <w:num w:numId="59">
    <w:abstractNumId w:val="47"/>
  </w:num>
  <w:num w:numId="60">
    <w:abstractNumId w:val="63"/>
  </w:num>
  <w:num w:numId="61">
    <w:abstractNumId w:val="46"/>
  </w:num>
  <w:num w:numId="62">
    <w:abstractNumId w:val="35"/>
  </w:num>
  <w:num w:numId="63">
    <w:abstractNumId w:val="19"/>
  </w:num>
  <w:num w:numId="64">
    <w:abstractNumId w:val="43"/>
  </w:num>
  <w:num w:numId="65">
    <w:abstractNumId w:val="3"/>
  </w:num>
  <w:num w:numId="66">
    <w:abstractNumId w:val="37"/>
  </w:num>
  <w:num w:numId="67">
    <w:abstractNumId w:val="62"/>
  </w:num>
  <w:num w:numId="68">
    <w:abstractNumId w:val="62"/>
  </w:num>
  <w:num w:numId="69">
    <w:abstractNumId w:val="2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71D"/>
    <w:rsid w:val="00000790"/>
    <w:rsid w:val="0000110B"/>
    <w:rsid w:val="00003DB9"/>
    <w:rsid w:val="00005FB9"/>
    <w:rsid w:val="0000746F"/>
    <w:rsid w:val="00011A16"/>
    <w:rsid w:val="00013247"/>
    <w:rsid w:val="000154C7"/>
    <w:rsid w:val="000157B8"/>
    <w:rsid w:val="00015886"/>
    <w:rsid w:val="00015ED6"/>
    <w:rsid w:val="000162EF"/>
    <w:rsid w:val="00017196"/>
    <w:rsid w:val="0002225F"/>
    <w:rsid w:val="00023763"/>
    <w:rsid w:val="00035A7F"/>
    <w:rsid w:val="0003690F"/>
    <w:rsid w:val="00036CAB"/>
    <w:rsid w:val="00036CB5"/>
    <w:rsid w:val="0004017C"/>
    <w:rsid w:val="00040895"/>
    <w:rsid w:val="0004231D"/>
    <w:rsid w:val="0004249D"/>
    <w:rsid w:val="00043C37"/>
    <w:rsid w:val="0004473E"/>
    <w:rsid w:val="000504CB"/>
    <w:rsid w:val="00050549"/>
    <w:rsid w:val="0005355B"/>
    <w:rsid w:val="000546D7"/>
    <w:rsid w:val="000578C6"/>
    <w:rsid w:val="00057E35"/>
    <w:rsid w:val="0006234F"/>
    <w:rsid w:val="000632B4"/>
    <w:rsid w:val="00066B5E"/>
    <w:rsid w:val="00070687"/>
    <w:rsid w:val="00071248"/>
    <w:rsid w:val="000720B9"/>
    <w:rsid w:val="00076547"/>
    <w:rsid w:val="000812CA"/>
    <w:rsid w:val="00081ACB"/>
    <w:rsid w:val="00090C7E"/>
    <w:rsid w:val="0009297C"/>
    <w:rsid w:val="00092F7A"/>
    <w:rsid w:val="0009378B"/>
    <w:rsid w:val="000A330A"/>
    <w:rsid w:val="000A38B6"/>
    <w:rsid w:val="000A3FE5"/>
    <w:rsid w:val="000A431C"/>
    <w:rsid w:val="000A6012"/>
    <w:rsid w:val="000B4A7A"/>
    <w:rsid w:val="000B54DB"/>
    <w:rsid w:val="000C03F2"/>
    <w:rsid w:val="000C6535"/>
    <w:rsid w:val="000D1BFC"/>
    <w:rsid w:val="000D3767"/>
    <w:rsid w:val="000D6CF0"/>
    <w:rsid w:val="000E0D3A"/>
    <w:rsid w:val="000E7AEC"/>
    <w:rsid w:val="000F3C19"/>
    <w:rsid w:val="00100538"/>
    <w:rsid w:val="00100F8A"/>
    <w:rsid w:val="00101EA3"/>
    <w:rsid w:val="00103849"/>
    <w:rsid w:val="001059D7"/>
    <w:rsid w:val="0011032E"/>
    <w:rsid w:val="00111F3E"/>
    <w:rsid w:val="00114474"/>
    <w:rsid w:val="00114E63"/>
    <w:rsid w:val="0011641A"/>
    <w:rsid w:val="00116A46"/>
    <w:rsid w:val="0011793B"/>
    <w:rsid w:val="00121799"/>
    <w:rsid w:val="001222FC"/>
    <w:rsid w:val="00124A51"/>
    <w:rsid w:val="0012579F"/>
    <w:rsid w:val="00126621"/>
    <w:rsid w:val="001301E9"/>
    <w:rsid w:val="00134508"/>
    <w:rsid w:val="00135C8E"/>
    <w:rsid w:val="00137645"/>
    <w:rsid w:val="0014015A"/>
    <w:rsid w:val="00140E99"/>
    <w:rsid w:val="001432DF"/>
    <w:rsid w:val="00143C78"/>
    <w:rsid w:val="001453FF"/>
    <w:rsid w:val="001456B0"/>
    <w:rsid w:val="00146D0B"/>
    <w:rsid w:val="00147B61"/>
    <w:rsid w:val="0015128A"/>
    <w:rsid w:val="00152F61"/>
    <w:rsid w:val="001545C9"/>
    <w:rsid w:val="00155394"/>
    <w:rsid w:val="00157130"/>
    <w:rsid w:val="00162913"/>
    <w:rsid w:val="00162A48"/>
    <w:rsid w:val="00163106"/>
    <w:rsid w:val="00163EFF"/>
    <w:rsid w:val="001661FB"/>
    <w:rsid w:val="00167A16"/>
    <w:rsid w:val="0017302A"/>
    <w:rsid w:val="00174DB9"/>
    <w:rsid w:val="001750A4"/>
    <w:rsid w:val="001753A6"/>
    <w:rsid w:val="0018203D"/>
    <w:rsid w:val="00187009"/>
    <w:rsid w:val="00192797"/>
    <w:rsid w:val="00195222"/>
    <w:rsid w:val="001971A6"/>
    <w:rsid w:val="001975D8"/>
    <w:rsid w:val="00197A77"/>
    <w:rsid w:val="001A1B1D"/>
    <w:rsid w:val="001A251A"/>
    <w:rsid w:val="001B2D68"/>
    <w:rsid w:val="001B3443"/>
    <w:rsid w:val="001B6188"/>
    <w:rsid w:val="001C06C1"/>
    <w:rsid w:val="001C0DD7"/>
    <w:rsid w:val="001C1030"/>
    <w:rsid w:val="001C16F5"/>
    <w:rsid w:val="001C44FC"/>
    <w:rsid w:val="001C6E66"/>
    <w:rsid w:val="001D112E"/>
    <w:rsid w:val="001D3F26"/>
    <w:rsid w:val="001E238E"/>
    <w:rsid w:val="001E3D25"/>
    <w:rsid w:val="001E52EB"/>
    <w:rsid w:val="001E740C"/>
    <w:rsid w:val="001E7DC5"/>
    <w:rsid w:val="001F04C9"/>
    <w:rsid w:val="001F1235"/>
    <w:rsid w:val="001F14D3"/>
    <w:rsid w:val="001F1CB3"/>
    <w:rsid w:val="001F1E4D"/>
    <w:rsid w:val="001F4B93"/>
    <w:rsid w:val="001F6BA5"/>
    <w:rsid w:val="001F7361"/>
    <w:rsid w:val="002025FE"/>
    <w:rsid w:val="0020642E"/>
    <w:rsid w:val="00207AB8"/>
    <w:rsid w:val="002105C1"/>
    <w:rsid w:val="0021137F"/>
    <w:rsid w:val="002172E0"/>
    <w:rsid w:val="00221C1A"/>
    <w:rsid w:val="00221E8A"/>
    <w:rsid w:val="00223B49"/>
    <w:rsid w:val="00224DD4"/>
    <w:rsid w:val="002274DE"/>
    <w:rsid w:val="002309CC"/>
    <w:rsid w:val="0023214B"/>
    <w:rsid w:val="0023370A"/>
    <w:rsid w:val="0023450B"/>
    <w:rsid w:val="00234A9F"/>
    <w:rsid w:val="00234AB2"/>
    <w:rsid w:val="00250AF3"/>
    <w:rsid w:val="0025534B"/>
    <w:rsid w:val="00255BB7"/>
    <w:rsid w:val="002570C5"/>
    <w:rsid w:val="002602FB"/>
    <w:rsid w:val="002617C2"/>
    <w:rsid w:val="00262A87"/>
    <w:rsid w:val="002651B8"/>
    <w:rsid w:val="00273723"/>
    <w:rsid w:val="00275C5A"/>
    <w:rsid w:val="00285362"/>
    <w:rsid w:val="0029025B"/>
    <w:rsid w:val="002972F8"/>
    <w:rsid w:val="002A0FC9"/>
    <w:rsid w:val="002A14AB"/>
    <w:rsid w:val="002A29E9"/>
    <w:rsid w:val="002B0047"/>
    <w:rsid w:val="002B1C1F"/>
    <w:rsid w:val="002B432F"/>
    <w:rsid w:val="002B5021"/>
    <w:rsid w:val="002B6CCE"/>
    <w:rsid w:val="002C047A"/>
    <w:rsid w:val="002C13E8"/>
    <w:rsid w:val="002C27C1"/>
    <w:rsid w:val="002C2D07"/>
    <w:rsid w:val="002C64B5"/>
    <w:rsid w:val="002C73E6"/>
    <w:rsid w:val="002D271D"/>
    <w:rsid w:val="002D3942"/>
    <w:rsid w:val="002D57B9"/>
    <w:rsid w:val="002D681D"/>
    <w:rsid w:val="002E0B6A"/>
    <w:rsid w:val="002E18C6"/>
    <w:rsid w:val="002E3BF1"/>
    <w:rsid w:val="002E4913"/>
    <w:rsid w:val="002E764C"/>
    <w:rsid w:val="002F240E"/>
    <w:rsid w:val="002F2EF1"/>
    <w:rsid w:val="00301017"/>
    <w:rsid w:val="00302DB6"/>
    <w:rsid w:val="003041E6"/>
    <w:rsid w:val="00304B7A"/>
    <w:rsid w:val="0030786C"/>
    <w:rsid w:val="0031031A"/>
    <w:rsid w:val="00315498"/>
    <w:rsid w:val="00322241"/>
    <w:rsid w:val="00322757"/>
    <w:rsid w:val="00324781"/>
    <w:rsid w:val="003247A8"/>
    <w:rsid w:val="003366C9"/>
    <w:rsid w:val="00341712"/>
    <w:rsid w:val="003430BB"/>
    <w:rsid w:val="0034468C"/>
    <w:rsid w:val="0034575A"/>
    <w:rsid w:val="0035399B"/>
    <w:rsid w:val="0035620E"/>
    <w:rsid w:val="00360099"/>
    <w:rsid w:val="00361A82"/>
    <w:rsid w:val="00361A9A"/>
    <w:rsid w:val="003624C3"/>
    <w:rsid w:val="00362963"/>
    <w:rsid w:val="00370E83"/>
    <w:rsid w:val="0037179F"/>
    <w:rsid w:val="00374FCC"/>
    <w:rsid w:val="0037767F"/>
    <w:rsid w:val="00380AB3"/>
    <w:rsid w:val="0038365C"/>
    <w:rsid w:val="00386DCD"/>
    <w:rsid w:val="00390E4C"/>
    <w:rsid w:val="00393311"/>
    <w:rsid w:val="00393F75"/>
    <w:rsid w:val="00396FD0"/>
    <w:rsid w:val="003A1A7A"/>
    <w:rsid w:val="003A2C74"/>
    <w:rsid w:val="003A57AC"/>
    <w:rsid w:val="003A5CB0"/>
    <w:rsid w:val="003A7D72"/>
    <w:rsid w:val="003C3413"/>
    <w:rsid w:val="003D1828"/>
    <w:rsid w:val="003D2422"/>
    <w:rsid w:val="003D2B72"/>
    <w:rsid w:val="003D34D8"/>
    <w:rsid w:val="003E2FF5"/>
    <w:rsid w:val="003E513A"/>
    <w:rsid w:val="003E5534"/>
    <w:rsid w:val="003E55C7"/>
    <w:rsid w:val="003E7C24"/>
    <w:rsid w:val="003E7FFD"/>
    <w:rsid w:val="003F4156"/>
    <w:rsid w:val="003F6965"/>
    <w:rsid w:val="00402251"/>
    <w:rsid w:val="004057F1"/>
    <w:rsid w:val="004102AF"/>
    <w:rsid w:val="0041062C"/>
    <w:rsid w:val="00410701"/>
    <w:rsid w:val="00410EC7"/>
    <w:rsid w:val="00413D98"/>
    <w:rsid w:val="00414476"/>
    <w:rsid w:val="00414921"/>
    <w:rsid w:val="00420B9F"/>
    <w:rsid w:val="004221DF"/>
    <w:rsid w:val="0042318B"/>
    <w:rsid w:val="00425CB2"/>
    <w:rsid w:val="004319F8"/>
    <w:rsid w:val="004337E9"/>
    <w:rsid w:val="00433DF1"/>
    <w:rsid w:val="00444145"/>
    <w:rsid w:val="004443A7"/>
    <w:rsid w:val="004464EB"/>
    <w:rsid w:val="00447B35"/>
    <w:rsid w:val="00447EA3"/>
    <w:rsid w:val="00455D45"/>
    <w:rsid w:val="0046340F"/>
    <w:rsid w:val="00464595"/>
    <w:rsid w:val="00465D2A"/>
    <w:rsid w:val="004710A3"/>
    <w:rsid w:val="00471E54"/>
    <w:rsid w:val="00472359"/>
    <w:rsid w:val="0047456A"/>
    <w:rsid w:val="0048083F"/>
    <w:rsid w:val="00481C20"/>
    <w:rsid w:val="00482743"/>
    <w:rsid w:val="0048401F"/>
    <w:rsid w:val="004867E2"/>
    <w:rsid w:val="00487805"/>
    <w:rsid w:val="0049085E"/>
    <w:rsid w:val="00490BAD"/>
    <w:rsid w:val="00490E25"/>
    <w:rsid w:val="0049119F"/>
    <w:rsid w:val="00491B3A"/>
    <w:rsid w:val="00493FAE"/>
    <w:rsid w:val="004946E5"/>
    <w:rsid w:val="004965A7"/>
    <w:rsid w:val="00496601"/>
    <w:rsid w:val="00497F10"/>
    <w:rsid w:val="004A0DA1"/>
    <w:rsid w:val="004A203F"/>
    <w:rsid w:val="004A32C1"/>
    <w:rsid w:val="004A64FB"/>
    <w:rsid w:val="004A6597"/>
    <w:rsid w:val="004A7338"/>
    <w:rsid w:val="004B029C"/>
    <w:rsid w:val="004B20A2"/>
    <w:rsid w:val="004B2F18"/>
    <w:rsid w:val="004B3DDB"/>
    <w:rsid w:val="004B44FD"/>
    <w:rsid w:val="004B5CFC"/>
    <w:rsid w:val="004B69A7"/>
    <w:rsid w:val="004C3A32"/>
    <w:rsid w:val="004C4AED"/>
    <w:rsid w:val="004C5149"/>
    <w:rsid w:val="004D15B4"/>
    <w:rsid w:val="004D5600"/>
    <w:rsid w:val="004D67EC"/>
    <w:rsid w:val="004D6F2A"/>
    <w:rsid w:val="004D77F0"/>
    <w:rsid w:val="004E0807"/>
    <w:rsid w:val="004E0B94"/>
    <w:rsid w:val="004E0EB8"/>
    <w:rsid w:val="004E2ADC"/>
    <w:rsid w:val="004E43A1"/>
    <w:rsid w:val="004F0AFC"/>
    <w:rsid w:val="004F1D02"/>
    <w:rsid w:val="004F2679"/>
    <w:rsid w:val="004F384A"/>
    <w:rsid w:val="004F4FC1"/>
    <w:rsid w:val="00504583"/>
    <w:rsid w:val="00504C03"/>
    <w:rsid w:val="00506E16"/>
    <w:rsid w:val="005152B5"/>
    <w:rsid w:val="005152BA"/>
    <w:rsid w:val="00521319"/>
    <w:rsid w:val="00522FAC"/>
    <w:rsid w:val="00523C28"/>
    <w:rsid w:val="00524AB7"/>
    <w:rsid w:val="00525525"/>
    <w:rsid w:val="00526496"/>
    <w:rsid w:val="00527ED5"/>
    <w:rsid w:val="00530F55"/>
    <w:rsid w:val="00537002"/>
    <w:rsid w:val="005373A8"/>
    <w:rsid w:val="00537DF7"/>
    <w:rsid w:val="00543102"/>
    <w:rsid w:val="005435F8"/>
    <w:rsid w:val="0054481D"/>
    <w:rsid w:val="00551567"/>
    <w:rsid w:val="00554619"/>
    <w:rsid w:val="00555109"/>
    <w:rsid w:val="0056276A"/>
    <w:rsid w:val="0056696F"/>
    <w:rsid w:val="0057214D"/>
    <w:rsid w:val="00574309"/>
    <w:rsid w:val="00574E5E"/>
    <w:rsid w:val="00576972"/>
    <w:rsid w:val="00577717"/>
    <w:rsid w:val="005801E9"/>
    <w:rsid w:val="005835D1"/>
    <w:rsid w:val="00583699"/>
    <w:rsid w:val="00585C87"/>
    <w:rsid w:val="00591ABB"/>
    <w:rsid w:val="0059745D"/>
    <w:rsid w:val="005A2B46"/>
    <w:rsid w:val="005A5D7E"/>
    <w:rsid w:val="005A5FAB"/>
    <w:rsid w:val="005A6FB4"/>
    <w:rsid w:val="005B0AC5"/>
    <w:rsid w:val="005B2CE7"/>
    <w:rsid w:val="005B336B"/>
    <w:rsid w:val="005B5857"/>
    <w:rsid w:val="005C1B20"/>
    <w:rsid w:val="005C1B83"/>
    <w:rsid w:val="005C346B"/>
    <w:rsid w:val="005C3679"/>
    <w:rsid w:val="005C568F"/>
    <w:rsid w:val="005C6B29"/>
    <w:rsid w:val="005C78FF"/>
    <w:rsid w:val="005D1113"/>
    <w:rsid w:val="005D18AD"/>
    <w:rsid w:val="005D4306"/>
    <w:rsid w:val="005D7E3E"/>
    <w:rsid w:val="005E13B7"/>
    <w:rsid w:val="005E2527"/>
    <w:rsid w:val="005E5E0F"/>
    <w:rsid w:val="005F2706"/>
    <w:rsid w:val="005F311C"/>
    <w:rsid w:val="005F459B"/>
    <w:rsid w:val="005F693C"/>
    <w:rsid w:val="005F6A8F"/>
    <w:rsid w:val="005F7D74"/>
    <w:rsid w:val="00604593"/>
    <w:rsid w:val="00607669"/>
    <w:rsid w:val="00610958"/>
    <w:rsid w:val="00610BCC"/>
    <w:rsid w:val="00610D0F"/>
    <w:rsid w:val="00612F97"/>
    <w:rsid w:val="00616802"/>
    <w:rsid w:val="00617E12"/>
    <w:rsid w:val="00621477"/>
    <w:rsid w:val="00631D6B"/>
    <w:rsid w:val="0063479F"/>
    <w:rsid w:val="0063545B"/>
    <w:rsid w:val="006364A1"/>
    <w:rsid w:val="00637BFD"/>
    <w:rsid w:val="00640AA9"/>
    <w:rsid w:val="006471CC"/>
    <w:rsid w:val="0065079F"/>
    <w:rsid w:val="00651509"/>
    <w:rsid w:val="0065484F"/>
    <w:rsid w:val="00656724"/>
    <w:rsid w:val="0066001B"/>
    <w:rsid w:val="00664376"/>
    <w:rsid w:val="00667E66"/>
    <w:rsid w:val="00670C78"/>
    <w:rsid w:val="00670FF8"/>
    <w:rsid w:val="0067118C"/>
    <w:rsid w:val="0067419C"/>
    <w:rsid w:val="00674E42"/>
    <w:rsid w:val="00677C68"/>
    <w:rsid w:val="00677F3C"/>
    <w:rsid w:val="0068083A"/>
    <w:rsid w:val="00680E2B"/>
    <w:rsid w:val="00682112"/>
    <w:rsid w:val="00682D10"/>
    <w:rsid w:val="00692058"/>
    <w:rsid w:val="00694F44"/>
    <w:rsid w:val="00696BB9"/>
    <w:rsid w:val="006A1BE9"/>
    <w:rsid w:val="006A449D"/>
    <w:rsid w:val="006A4F32"/>
    <w:rsid w:val="006A5AD8"/>
    <w:rsid w:val="006A65D3"/>
    <w:rsid w:val="006C2A8E"/>
    <w:rsid w:val="006D3878"/>
    <w:rsid w:val="006D3C7D"/>
    <w:rsid w:val="006D67AD"/>
    <w:rsid w:val="006E5121"/>
    <w:rsid w:val="006E5F16"/>
    <w:rsid w:val="006E68B5"/>
    <w:rsid w:val="006F3626"/>
    <w:rsid w:val="006F63A5"/>
    <w:rsid w:val="006F786E"/>
    <w:rsid w:val="0070276E"/>
    <w:rsid w:val="00702B3F"/>
    <w:rsid w:val="00704287"/>
    <w:rsid w:val="00706089"/>
    <w:rsid w:val="00707C83"/>
    <w:rsid w:val="00710C50"/>
    <w:rsid w:val="0071189A"/>
    <w:rsid w:val="00711A36"/>
    <w:rsid w:val="00716C84"/>
    <w:rsid w:val="007172AD"/>
    <w:rsid w:val="00720CD2"/>
    <w:rsid w:val="00722899"/>
    <w:rsid w:val="007265FB"/>
    <w:rsid w:val="00726961"/>
    <w:rsid w:val="0073126B"/>
    <w:rsid w:val="00735328"/>
    <w:rsid w:val="0073685B"/>
    <w:rsid w:val="00744A1F"/>
    <w:rsid w:val="00744D3B"/>
    <w:rsid w:val="0074607F"/>
    <w:rsid w:val="00746B9F"/>
    <w:rsid w:val="007474AD"/>
    <w:rsid w:val="00756B37"/>
    <w:rsid w:val="007602D2"/>
    <w:rsid w:val="00761560"/>
    <w:rsid w:val="00764643"/>
    <w:rsid w:val="007708BE"/>
    <w:rsid w:val="00775D14"/>
    <w:rsid w:val="007770DA"/>
    <w:rsid w:val="007808DA"/>
    <w:rsid w:val="00782033"/>
    <w:rsid w:val="00784924"/>
    <w:rsid w:val="0078533C"/>
    <w:rsid w:val="00796A0A"/>
    <w:rsid w:val="007A30D5"/>
    <w:rsid w:val="007B251D"/>
    <w:rsid w:val="007B3FCC"/>
    <w:rsid w:val="007B4183"/>
    <w:rsid w:val="007B77D1"/>
    <w:rsid w:val="007C4EF5"/>
    <w:rsid w:val="007C59B1"/>
    <w:rsid w:val="007C6639"/>
    <w:rsid w:val="007C6BFA"/>
    <w:rsid w:val="007D0B38"/>
    <w:rsid w:val="007E578B"/>
    <w:rsid w:val="007E6D59"/>
    <w:rsid w:val="007F1017"/>
    <w:rsid w:val="007F4A3F"/>
    <w:rsid w:val="007F7D97"/>
    <w:rsid w:val="00805142"/>
    <w:rsid w:val="00805CD1"/>
    <w:rsid w:val="00806C08"/>
    <w:rsid w:val="00807A8B"/>
    <w:rsid w:val="00812149"/>
    <w:rsid w:val="008151AF"/>
    <w:rsid w:val="008166EF"/>
    <w:rsid w:val="00821B69"/>
    <w:rsid w:val="0082203D"/>
    <w:rsid w:val="00823202"/>
    <w:rsid w:val="00824F90"/>
    <w:rsid w:val="008250BE"/>
    <w:rsid w:val="008264EB"/>
    <w:rsid w:val="008345FD"/>
    <w:rsid w:val="008352EF"/>
    <w:rsid w:val="00836E2C"/>
    <w:rsid w:val="00837E87"/>
    <w:rsid w:val="00840CA2"/>
    <w:rsid w:val="00844AE8"/>
    <w:rsid w:val="00844B78"/>
    <w:rsid w:val="00845983"/>
    <w:rsid w:val="008502AC"/>
    <w:rsid w:val="00853D18"/>
    <w:rsid w:val="00856987"/>
    <w:rsid w:val="00856E9A"/>
    <w:rsid w:val="008618E7"/>
    <w:rsid w:val="00862402"/>
    <w:rsid w:val="0086485F"/>
    <w:rsid w:val="00867DA5"/>
    <w:rsid w:val="008726FA"/>
    <w:rsid w:val="00872E56"/>
    <w:rsid w:val="00876931"/>
    <w:rsid w:val="00876A01"/>
    <w:rsid w:val="00882874"/>
    <w:rsid w:val="00883787"/>
    <w:rsid w:val="008846AC"/>
    <w:rsid w:val="00892D68"/>
    <w:rsid w:val="008963A5"/>
    <w:rsid w:val="00896FC0"/>
    <w:rsid w:val="008A0027"/>
    <w:rsid w:val="008A3C3E"/>
    <w:rsid w:val="008A421D"/>
    <w:rsid w:val="008A45B8"/>
    <w:rsid w:val="008A79DE"/>
    <w:rsid w:val="008B3FD3"/>
    <w:rsid w:val="008B7108"/>
    <w:rsid w:val="008B7D7E"/>
    <w:rsid w:val="008B7EE7"/>
    <w:rsid w:val="008C17D4"/>
    <w:rsid w:val="008C6D57"/>
    <w:rsid w:val="008C7ECB"/>
    <w:rsid w:val="008D0434"/>
    <w:rsid w:val="008D190D"/>
    <w:rsid w:val="008D1C0F"/>
    <w:rsid w:val="008D304A"/>
    <w:rsid w:val="008D58AA"/>
    <w:rsid w:val="008D7194"/>
    <w:rsid w:val="008E1B9E"/>
    <w:rsid w:val="008E23E1"/>
    <w:rsid w:val="008E5323"/>
    <w:rsid w:val="008E6F14"/>
    <w:rsid w:val="008F1B21"/>
    <w:rsid w:val="008F48EB"/>
    <w:rsid w:val="008F4F0B"/>
    <w:rsid w:val="008F614D"/>
    <w:rsid w:val="00902159"/>
    <w:rsid w:val="009023FE"/>
    <w:rsid w:val="00904E93"/>
    <w:rsid w:val="009062A5"/>
    <w:rsid w:val="009069B2"/>
    <w:rsid w:val="00910547"/>
    <w:rsid w:val="00911272"/>
    <w:rsid w:val="0091158B"/>
    <w:rsid w:val="00915590"/>
    <w:rsid w:val="00917930"/>
    <w:rsid w:val="00917E91"/>
    <w:rsid w:val="0092170E"/>
    <w:rsid w:val="00923E7A"/>
    <w:rsid w:val="00926A14"/>
    <w:rsid w:val="00926FCF"/>
    <w:rsid w:val="009402C0"/>
    <w:rsid w:val="00941C77"/>
    <w:rsid w:val="00953018"/>
    <w:rsid w:val="00953EE6"/>
    <w:rsid w:val="00955135"/>
    <w:rsid w:val="0095594E"/>
    <w:rsid w:val="00956AC3"/>
    <w:rsid w:val="00961AF9"/>
    <w:rsid w:val="0096268D"/>
    <w:rsid w:val="00962CB9"/>
    <w:rsid w:val="00963DA2"/>
    <w:rsid w:val="00964312"/>
    <w:rsid w:val="00966ECC"/>
    <w:rsid w:val="009742EC"/>
    <w:rsid w:val="00976F77"/>
    <w:rsid w:val="0098002F"/>
    <w:rsid w:val="0098139D"/>
    <w:rsid w:val="00983E57"/>
    <w:rsid w:val="0099433B"/>
    <w:rsid w:val="00996B1A"/>
    <w:rsid w:val="00997374"/>
    <w:rsid w:val="009974AF"/>
    <w:rsid w:val="009A3D86"/>
    <w:rsid w:val="009A4149"/>
    <w:rsid w:val="009B26AC"/>
    <w:rsid w:val="009B2A32"/>
    <w:rsid w:val="009B3E26"/>
    <w:rsid w:val="009C4727"/>
    <w:rsid w:val="009C58F6"/>
    <w:rsid w:val="009C6223"/>
    <w:rsid w:val="009D031C"/>
    <w:rsid w:val="009D26EF"/>
    <w:rsid w:val="009D5B91"/>
    <w:rsid w:val="009E0DCF"/>
    <w:rsid w:val="009E0F7B"/>
    <w:rsid w:val="009E2193"/>
    <w:rsid w:val="009E33D6"/>
    <w:rsid w:val="009E4C07"/>
    <w:rsid w:val="009E7AF3"/>
    <w:rsid w:val="009F7244"/>
    <w:rsid w:val="009F7251"/>
    <w:rsid w:val="00A01060"/>
    <w:rsid w:val="00A03D43"/>
    <w:rsid w:val="00A04380"/>
    <w:rsid w:val="00A04AAE"/>
    <w:rsid w:val="00A06463"/>
    <w:rsid w:val="00A071B1"/>
    <w:rsid w:val="00A1058A"/>
    <w:rsid w:val="00A105BD"/>
    <w:rsid w:val="00A12E65"/>
    <w:rsid w:val="00A13948"/>
    <w:rsid w:val="00A143E9"/>
    <w:rsid w:val="00A1745D"/>
    <w:rsid w:val="00A27AEC"/>
    <w:rsid w:val="00A3007E"/>
    <w:rsid w:val="00A310A4"/>
    <w:rsid w:val="00A323AF"/>
    <w:rsid w:val="00A32518"/>
    <w:rsid w:val="00A34711"/>
    <w:rsid w:val="00A357B0"/>
    <w:rsid w:val="00A35970"/>
    <w:rsid w:val="00A35D16"/>
    <w:rsid w:val="00A426F0"/>
    <w:rsid w:val="00A43C59"/>
    <w:rsid w:val="00A46133"/>
    <w:rsid w:val="00A477C3"/>
    <w:rsid w:val="00A50ECD"/>
    <w:rsid w:val="00A52729"/>
    <w:rsid w:val="00A53675"/>
    <w:rsid w:val="00A56B6A"/>
    <w:rsid w:val="00A578DC"/>
    <w:rsid w:val="00A602DD"/>
    <w:rsid w:val="00A61D1D"/>
    <w:rsid w:val="00A63BE3"/>
    <w:rsid w:val="00A6560E"/>
    <w:rsid w:val="00A65A25"/>
    <w:rsid w:val="00A6725B"/>
    <w:rsid w:val="00A679CE"/>
    <w:rsid w:val="00A71C9C"/>
    <w:rsid w:val="00A73C21"/>
    <w:rsid w:val="00A806B6"/>
    <w:rsid w:val="00A81497"/>
    <w:rsid w:val="00A848E8"/>
    <w:rsid w:val="00A84A80"/>
    <w:rsid w:val="00A86E8B"/>
    <w:rsid w:val="00A912B7"/>
    <w:rsid w:val="00A93072"/>
    <w:rsid w:val="00A966E1"/>
    <w:rsid w:val="00AA0A07"/>
    <w:rsid w:val="00AA57F3"/>
    <w:rsid w:val="00AB042A"/>
    <w:rsid w:val="00AB175D"/>
    <w:rsid w:val="00AB3430"/>
    <w:rsid w:val="00AB7118"/>
    <w:rsid w:val="00AB7CFA"/>
    <w:rsid w:val="00AC4C27"/>
    <w:rsid w:val="00AC7309"/>
    <w:rsid w:val="00AD392C"/>
    <w:rsid w:val="00AD58BB"/>
    <w:rsid w:val="00AE0E7A"/>
    <w:rsid w:val="00AF0E33"/>
    <w:rsid w:val="00AF463A"/>
    <w:rsid w:val="00AF6B01"/>
    <w:rsid w:val="00B00D84"/>
    <w:rsid w:val="00B039A8"/>
    <w:rsid w:val="00B04CFD"/>
    <w:rsid w:val="00B1220D"/>
    <w:rsid w:val="00B16956"/>
    <w:rsid w:val="00B170D2"/>
    <w:rsid w:val="00B22646"/>
    <w:rsid w:val="00B2528C"/>
    <w:rsid w:val="00B26718"/>
    <w:rsid w:val="00B31F32"/>
    <w:rsid w:val="00B3430E"/>
    <w:rsid w:val="00B37CEE"/>
    <w:rsid w:val="00B42851"/>
    <w:rsid w:val="00B4737C"/>
    <w:rsid w:val="00B52707"/>
    <w:rsid w:val="00B531D5"/>
    <w:rsid w:val="00B537E0"/>
    <w:rsid w:val="00B54B5B"/>
    <w:rsid w:val="00B5562E"/>
    <w:rsid w:val="00B57000"/>
    <w:rsid w:val="00B608CF"/>
    <w:rsid w:val="00B60939"/>
    <w:rsid w:val="00B60AFD"/>
    <w:rsid w:val="00B62715"/>
    <w:rsid w:val="00B67637"/>
    <w:rsid w:val="00B67FD5"/>
    <w:rsid w:val="00B737F8"/>
    <w:rsid w:val="00B73A44"/>
    <w:rsid w:val="00B76057"/>
    <w:rsid w:val="00B7716C"/>
    <w:rsid w:val="00B77A3A"/>
    <w:rsid w:val="00B818A4"/>
    <w:rsid w:val="00B8649C"/>
    <w:rsid w:val="00B87EE2"/>
    <w:rsid w:val="00B92D0B"/>
    <w:rsid w:val="00B94945"/>
    <w:rsid w:val="00BA0612"/>
    <w:rsid w:val="00BA3864"/>
    <w:rsid w:val="00BB096C"/>
    <w:rsid w:val="00BB180F"/>
    <w:rsid w:val="00BB21C3"/>
    <w:rsid w:val="00BD3ADC"/>
    <w:rsid w:val="00BD41FF"/>
    <w:rsid w:val="00BE1727"/>
    <w:rsid w:val="00BE2180"/>
    <w:rsid w:val="00BE4275"/>
    <w:rsid w:val="00BE776F"/>
    <w:rsid w:val="00BE79F1"/>
    <w:rsid w:val="00BF004E"/>
    <w:rsid w:val="00BF087C"/>
    <w:rsid w:val="00BF0EAF"/>
    <w:rsid w:val="00BF23ED"/>
    <w:rsid w:val="00BF2433"/>
    <w:rsid w:val="00BF2BCD"/>
    <w:rsid w:val="00BF61C9"/>
    <w:rsid w:val="00BF7473"/>
    <w:rsid w:val="00BF78C6"/>
    <w:rsid w:val="00C00B99"/>
    <w:rsid w:val="00C00FF9"/>
    <w:rsid w:val="00C059CE"/>
    <w:rsid w:val="00C12314"/>
    <w:rsid w:val="00C13499"/>
    <w:rsid w:val="00C157F0"/>
    <w:rsid w:val="00C15A7B"/>
    <w:rsid w:val="00C20A87"/>
    <w:rsid w:val="00C221B7"/>
    <w:rsid w:val="00C25418"/>
    <w:rsid w:val="00C25D9C"/>
    <w:rsid w:val="00C25EEB"/>
    <w:rsid w:val="00C27C99"/>
    <w:rsid w:val="00C31277"/>
    <w:rsid w:val="00C31649"/>
    <w:rsid w:val="00C33572"/>
    <w:rsid w:val="00C337A6"/>
    <w:rsid w:val="00C40385"/>
    <w:rsid w:val="00C5420B"/>
    <w:rsid w:val="00C65576"/>
    <w:rsid w:val="00C66165"/>
    <w:rsid w:val="00C67570"/>
    <w:rsid w:val="00C718E1"/>
    <w:rsid w:val="00C72960"/>
    <w:rsid w:val="00C73543"/>
    <w:rsid w:val="00C7386C"/>
    <w:rsid w:val="00C77574"/>
    <w:rsid w:val="00C8213F"/>
    <w:rsid w:val="00C827C3"/>
    <w:rsid w:val="00C828D2"/>
    <w:rsid w:val="00C83350"/>
    <w:rsid w:val="00C84803"/>
    <w:rsid w:val="00C861E5"/>
    <w:rsid w:val="00C8797A"/>
    <w:rsid w:val="00C938CF"/>
    <w:rsid w:val="00CA065D"/>
    <w:rsid w:val="00CA5245"/>
    <w:rsid w:val="00CA58E2"/>
    <w:rsid w:val="00CA64A5"/>
    <w:rsid w:val="00CA665F"/>
    <w:rsid w:val="00CA7B09"/>
    <w:rsid w:val="00CB22E0"/>
    <w:rsid w:val="00CB5B1A"/>
    <w:rsid w:val="00CB6416"/>
    <w:rsid w:val="00CC238E"/>
    <w:rsid w:val="00CC5343"/>
    <w:rsid w:val="00CC6A0B"/>
    <w:rsid w:val="00CC72DE"/>
    <w:rsid w:val="00CD69A0"/>
    <w:rsid w:val="00CD6ADC"/>
    <w:rsid w:val="00CD7DB8"/>
    <w:rsid w:val="00CE4F4C"/>
    <w:rsid w:val="00CE6274"/>
    <w:rsid w:val="00CF1532"/>
    <w:rsid w:val="00CF1D4A"/>
    <w:rsid w:val="00CF3440"/>
    <w:rsid w:val="00CF456B"/>
    <w:rsid w:val="00CF5A22"/>
    <w:rsid w:val="00D0262E"/>
    <w:rsid w:val="00D04C42"/>
    <w:rsid w:val="00D06FD4"/>
    <w:rsid w:val="00D110BD"/>
    <w:rsid w:val="00D1285B"/>
    <w:rsid w:val="00D12AF5"/>
    <w:rsid w:val="00D1380E"/>
    <w:rsid w:val="00D17D6C"/>
    <w:rsid w:val="00D212D1"/>
    <w:rsid w:val="00D215BF"/>
    <w:rsid w:val="00D226E7"/>
    <w:rsid w:val="00D22B9E"/>
    <w:rsid w:val="00D24E5E"/>
    <w:rsid w:val="00D26535"/>
    <w:rsid w:val="00D2799E"/>
    <w:rsid w:val="00D31218"/>
    <w:rsid w:val="00D517A0"/>
    <w:rsid w:val="00D52DFB"/>
    <w:rsid w:val="00D53EF2"/>
    <w:rsid w:val="00D57492"/>
    <w:rsid w:val="00D701FA"/>
    <w:rsid w:val="00D76A44"/>
    <w:rsid w:val="00D92850"/>
    <w:rsid w:val="00D92888"/>
    <w:rsid w:val="00D93753"/>
    <w:rsid w:val="00D94851"/>
    <w:rsid w:val="00DA0D44"/>
    <w:rsid w:val="00DA25F4"/>
    <w:rsid w:val="00DA2CEA"/>
    <w:rsid w:val="00DA3110"/>
    <w:rsid w:val="00DA3998"/>
    <w:rsid w:val="00DA3E7C"/>
    <w:rsid w:val="00DA521A"/>
    <w:rsid w:val="00DA77A5"/>
    <w:rsid w:val="00DB10B2"/>
    <w:rsid w:val="00DB2D03"/>
    <w:rsid w:val="00DB3AA0"/>
    <w:rsid w:val="00DB7192"/>
    <w:rsid w:val="00DC5501"/>
    <w:rsid w:val="00DD2072"/>
    <w:rsid w:val="00DD3F28"/>
    <w:rsid w:val="00DD4537"/>
    <w:rsid w:val="00DD4E15"/>
    <w:rsid w:val="00DD6AB4"/>
    <w:rsid w:val="00DD756B"/>
    <w:rsid w:val="00DE4FCB"/>
    <w:rsid w:val="00DE7A2F"/>
    <w:rsid w:val="00DF1AA8"/>
    <w:rsid w:val="00E01AB7"/>
    <w:rsid w:val="00E073FB"/>
    <w:rsid w:val="00E077AC"/>
    <w:rsid w:val="00E10149"/>
    <w:rsid w:val="00E146F2"/>
    <w:rsid w:val="00E15D2A"/>
    <w:rsid w:val="00E16372"/>
    <w:rsid w:val="00E172B0"/>
    <w:rsid w:val="00E20ED6"/>
    <w:rsid w:val="00E21358"/>
    <w:rsid w:val="00E2249B"/>
    <w:rsid w:val="00E264E1"/>
    <w:rsid w:val="00E2771E"/>
    <w:rsid w:val="00E350AC"/>
    <w:rsid w:val="00E37569"/>
    <w:rsid w:val="00E41200"/>
    <w:rsid w:val="00E41E30"/>
    <w:rsid w:val="00E469F4"/>
    <w:rsid w:val="00E47703"/>
    <w:rsid w:val="00E47B2C"/>
    <w:rsid w:val="00E51653"/>
    <w:rsid w:val="00E55424"/>
    <w:rsid w:val="00E55CE1"/>
    <w:rsid w:val="00E6000A"/>
    <w:rsid w:val="00E64D6C"/>
    <w:rsid w:val="00E64DAF"/>
    <w:rsid w:val="00E65E79"/>
    <w:rsid w:val="00E67416"/>
    <w:rsid w:val="00E718B6"/>
    <w:rsid w:val="00E73581"/>
    <w:rsid w:val="00E75026"/>
    <w:rsid w:val="00E75CE7"/>
    <w:rsid w:val="00E83BDF"/>
    <w:rsid w:val="00E91206"/>
    <w:rsid w:val="00E930A7"/>
    <w:rsid w:val="00E94A1F"/>
    <w:rsid w:val="00E97F05"/>
    <w:rsid w:val="00EA1B29"/>
    <w:rsid w:val="00EA3864"/>
    <w:rsid w:val="00EA406A"/>
    <w:rsid w:val="00EB168E"/>
    <w:rsid w:val="00EB61BD"/>
    <w:rsid w:val="00EC00C9"/>
    <w:rsid w:val="00EC1878"/>
    <w:rsid w:val="00EC3014"/>
    <w:rsid w:val="00EC5689"/>
    <w:rsid w:val="00ED3500"/>
    <w:rsid w:val="00EE07D3"/>
    <w:rsid w:val="00EF2DE5"/>
    <w:rsid w:val="00F00FC3"/>
    <w:rsid w:val="00F058C9"/>
    <w:rsid w:val="00F067A2"/>
    <w:rsid w:val="00F211C6"/>
    <w:rsid w:val="00F24837"/>
    <w:rsid w:val="00F2575F"/>
    <w:rsid w:val="00F26B8A"/>
    <w:rsid w:val="00F338FF"/>
    <w:rsid w:val="00F33DE9"/>
    <w:rsid w:val="00F3619A"/>
    <w:rsid w:val="00F36AA5"/>
    <w:rsid w:val="00F37E3E"/>
    <w:rsid w:val="00F42C00"/>
    <w:rsid w:val="00F46CB6"/>
    <w:rsid w:val="00F5523C"/>
    <w:rsid w:val="00F55E73"/>
    <w:rsid w:val="00F6208E"/>
    <w:rsid w:val="00F63809"/>
    <w:rsid w:val="00F63E86"/>
    <w:rsid w:val="00F776FC"/>
    <w:rsid w:val="00F80E5D"/>
    <w:rsid w:val="00F84986"/>
    <w:rsid w:val="00F85074"/>
    <w:rsid w:val="00F851CE"/>
    <w:rsid w:val="00F856BC"/>
    <w:rsid w:val="00F857CA"/>
    <w:rsid w:val="00F85EDD"/>
    <w:rsid w:val="00F9688A"/>
    <w:rsid w:val="00F96E4C"/>
    <w:rsid w:val="00F97A78"/>
    <w:rsid w:val="00F97E66"/>
    <w:rsid w:val="00FA23D3"/>
    <w:rsid w:val="00FA296B"/>
    <w:rsid w:val="00FA7E02"/>
    <w:rsid w:val="00FB2FCB"/>
    <w:rsid w:val="00FB362F"/>
    <w:rsid w:val="00FC05F2"/>
    <w:rsid w:val="00FC1074"/>
    <w:rsid w:val="00FC1884"/>
    <w:rsid w:val="00FC46D0"/>
    <w:rsid w:val="00FD2100"/>
    <w:rsid w:val="00FD446D"/>
    <w:rsid w:val="00FE424B"/>
    <w:rsid w:val="00FE4D0D"/>
    <w:rsid w:val="00FE5988"/>
    <w:rsid w:val="00FE70B2"/>
    <w:rsid w:val="00FF0B8A"/>
    <w:rsid w:val="00FF2A46"/>
    <w:rsid w:val="00FF3DCF"/>
    <w:rsid w:val="00FF4D2A"/>
    <w:rsid w:val="00FF5AA3"/>
    <w:rsid w:val="00FF75D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PBACheading1"/>
    <w:next w:val="Normal"/>
    <w:qFormat/>
    <w:rsid w:val="00F26B8A"/>
    <w:pPr>
      <w:outlineLvl w:val="0"/>
    </w:pPr>
    <w:rPr>
      <w:b/>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DB10B2"/>
    <w:pPr>
      <w:jc w:val="left"/>
      <w:outlineLvl w:val="0"/>
    </w:pPr>
    <w:rPr>
      <w:b/>
      <w:bCs/>
      <w:kern w:val="28"/>
      <w:sz w:val="28"/>
      <w:szCs w:val="32"/>
    </w:rPr>
  </w:style>
  <w:style w:type="character" w:customStyle="1" w:styleId="TitleChar">
    <w:name w:val="Title Char"/>
    <w:basedOn w:val="DefaultParagraphFont"/>
    <w:link w:val="Title"/>
    <w:rsid w:val="00DB10B2"/>
    <w:rPr>
      <w:rFonts w:ascii="Arial" w:hAnsi="Arial" w:cs="Arial"/>
      <w:b/>
      <w:bCs/>
      <w:snapToGrid w:val="0"/>
      <w:kern w:val="28"/>
      <w:sz w:val="28"/>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081ACB"/>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081ACB"/>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aliases w:val="Comment Text Char Char Char,Comment Text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5"/>
      </w:numPr>
    </w:pPr>
    <w:rPr>
      <w:rFonts w:ascii="Arial" w:hAnsi="Arial" w:cs="Arial"/>
      <w:snapToGrid w:val="0"/>
      <w:sz w:val="22"/>
      <w:szCs w:val="22"/>
      <w:lang w:eastAsia="en-US"/>
    </w:rPr>
  </w:style>
  <w:style w:type="character" w:customStyle="1" w:styleId="ListParagraphChar">
    <w:name w:val="List Paragraph Char"/>
    <w:link w:val="ListParagraph"/>
    <w:uiPriority w:val="72"/>
    <w:locked/>
    <w:rsid w:val="002D271D"/>
    <w:rPr>
      <w:rFonts w:ascii="Arial" w:hAnsi="Arial" w:cs="Arial"/>
      <w:snapToGrid w:val="0"/>
      <w:sz w:val="22"/>
      <w:lang w:eastAsia="en-US"/>
    </w:rPr>
  </w:style>
  <w:style w:type="paragraph" w:customStyle="1" w:styleId="Table">
    <w:name w:val="Table"/>
    <w:basedOn w:val="Normal"/>
    <w:link w:val="TableChar"/>
    <w:qFormat/>
    <w:rsid w:val="002D271D"/>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2D271D"/>
    <w:rPr>
      <w:rFonts w:ascii="Candara" w:eastAsiaTheme="majorEastAsia" w:hAnsi="Candara" w:cstheme="majorBidi"/>
      <w:szCs w:val="22"/>
      <w:lang w:eastAsia="en-US" w:bidi="en-US"/>
    </w:rPr>
  </w:style>
  <w:style w:type="paragraph" w:customStyle="1" w:styleId="tablenotes">
    <w:name w:val="table notes"/>
    <w:basedOn w:val="BodyText2"/>
    <w:qFormat/>
    <w:rsid w:val="002D271D"/>
    <w:pPr>
      <w:spacing w:after="0" w:line="240" w:lineRule="auto"/>
    </w:pPr>
    <w:rPr>
      <w:rFonts w:cs="Times New Roman"/>
      <w:sz w:val="20"/>
    </w:rPr>
  </w:style>
  <w:style w:type="character" w:customStyle="1" w:styleId="TableText1">
    <w:name w:val="Table Text"/>
    <w:basedOn w:val="DefaultParagraphFont"/>
    <w:uiPriority w:val="4"/>
    <w:qFormat/>
    <w:rsid w:val="00A310A4"/>
    <w:rPr>
      <w:rFonts w:ascii="Arial Narrow" w:hAnsi="Arial Narrow"/>
      <w:sz w:val="20"/>
    </w:rPr>
  </w:style>
  <w:style w:type="character" w:customStyle="1" w:styleId="Heading3Char">
    <w:name w:val="Heading 3 Char"/>
    <w:basedOn w:val="DefaultParagraphFont"/>
    <w:link w:val="Heading3"/>
    <w:rsid w:val="00A310A4"/>
    <w:rPr>
      <w:rFonts w:ascii="Arial" w:hAnsi="Arial" w:cs="Arial"/>
      <w:snapToGrid w:val="0"/>
      <w:sz w:val="22"/>
      <w:u w:val="single"/>
      <w:lang w:eastAsia="en-US"/>
    </w:rPr>
  </w:style>
  <w:style w:type="paragraph" w:customStyle="1" w:styleId="TableCentre">
    <w:name w:val="Table Centre"/>
    <w:basedOn w:val="Table"/>
    <w:qFormat/>
    <w:rsid w:val="00A310A4"/>
    <w:pPr>
      <w:jc w:val="center"/>
    </w:pPr>
  </w:style>
  <w:style w:type="paragraph" w:customStyle="1" w:styleId="tabletext2">
    <w:name w:val="table text"/>
    <w:basedOn w:val="Normal"/>
    <w:qFormat/>
    <w:rsid w:val="00A310A4"/>
    <w:pPr>
      <w:keepNext/>
      <w:widowControl/>
      <w:jc w:val="left"/>
    </w:pPr>
    <w:rPr>
      <w:rFonts w:ascii="Times New Roman" w:hAnsi="Times New Roman"/>
      <w:snapToGrid/>
      <w:color w:val="000000"/>
      <w:sz w:val="20"/>
      <w:lang w:val="en-GB" w:eastAsia="en-AU"/>
    </w:rPr>
  </w:style>
  <w:style w:type="paragraph" w:customStyle="1" w:styleId="PBACHeading10">
    <w:name w:val="PBAC Heading 1"/>
    <w:qFormat/>
    <w:rsid w:val="00A310A4"/>
    <w:pPr>
      <w:ind w:left="720" w:hanging="720"/>
    </w:pPr>
    <w:rPr>
      <w:rFonts w:ascii="Arial" w:hAnsi="Arial" w:cs="Arial"/>
      <w:b/>
      <w:snapToGrid w:val="0"/>
      <w:sz w:val="22"/>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6F786E"/>
    <w:pPr>
      <w:widowControl/>
      <w:spacing w:after="160" w:line="240" w:lineRule="exact"/>
      <w:jc w:val="left"/>
    </w:pPr>
    <w:rPr>
      <w:rFonts w:ascii="Verdana" w:eastAsia="MS Mincho" w:hAnsi="Verdana" w:cs="Verdana"/>
      <w:snapToGrid/>
      <w:sz w:val="20"/>
      <w:lang w:val="en-US"/>
    </w:rPr>
  </w:style>
  <w:style w:type="paragraph" w:styleId="Subtitle">
    <w:name w:val="Subtitle"/>
    <w:basedOn w:val="Normal"/>
    <w:link w:val="SubtitleChar"/>
    <w:qFormat/>
    <w:rsid w:val="00BD3ADC"/>
    <w:pPr>
      <w:widowControl/>
    </w:pPr>
    <w:rPr>
      <w:rFonts w:ascii="Times New Roman" w:hAnsi="Times New Roman" w:cs="Times New Roman"/>
      <w:b/>
      <w:snapToGrid/>
      <w:sz w:val="24"/>
      <w:lang w:eastAsia="en-AU"/>
    </w:rPr>
  </w:style>
  <w:style w:type="character" w:customStyle="1" w:styleId="SubtitleChar">
    <w:name w:val="Subtitle Char"/>
    <w:basedOn w:val="DefaultParagraphFont"/>
    <w:link w:val="Subtitle"/>
    <w:rsid w:val="00BD3ADC"/>
    <w:rPr>
      <w:b/>
      <w:sz w:val="24"/>
    </w:rPr>
  </w:style>
  <w:style w:type="paragraph" w:styleId="FootnoteText">
    <w:name w:val="footnote text"/>
    <w:basedOn w:val="Normal"/>
    <w:link w:val="FootnoteTextChar"/>
    <w:semiHidden/>
    <w:unhideWhenUsed/>
    <w:rsid w:val="0006234F"/>
    <w:rPr>
      <w:sz w:val="20"/>
    </w:rPr>
  </w:style>
  <w:style w:type="character" w:customStyle="1" w:styleId="FootnoteTextChar">
    <w:name w:val="Footnote Text Char"/>
    <w:basedOn w:val="DefaultParagraphFont"/>
    <w:link w:val="FootnoteText"/>
    <w:semiHidden/>
    <w:rsid w:val="0006234F"/>
    <w:rPr>
      <w:rFonts w:ascii="Arial" w:hAnsi="Arial" w:cs="Arial"/>
      <w:snapToGrid w:val="0"/>
      <w:lang w:eastAsia="en-US"/>
    </w:rPr>
  </w:style>
  <w:style w:type="character" w:styleId="FootnoteReference">
    <w:name w:val="footnote reference"/>
    <w:basedOn w:val="DefaultParagraphFont"/>
    <w:semiHidden/>
    <w:unhideWhenUsed/>
    <w:rsid w:val="0006234F"/>
    <w:rPr>
      <w:vertAlign w:val="superscript"/>
    </w:rPr>
  </w:style>
  <w:style w:type="character" w:customStyle="1" w:styleId="apple-converted-space">
    <w:name w:val="apple-converted-space"/>
    <w:basedOn w:val="DefaultParagraphFont"/>
    <w:rsid w:val="0006234F"/>
  </w:style>
  <w:style w:type="paragraph" w:customStyle="1" w:styleId="PSDTitle">
    <w:name w:val="PSD Title"/>
    <w:basedOn w:val="Title"/>
    <w:rsid w:val="001E3D25"/>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PBACheading1"/>
    <w:next w:val="Normal"/>
    <w:qFormat/>
    <w:rsid w:val="00F26B8A"/>
    <w:pPr>
      <w:outlineLvl w:val="0"/>
    </w:pPr>
    <w:rPr>
      <w:b/>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DB10B2"/>
    <w:pPr>
      <w:jc w:val="left"/>
      <w:outlineLvl w:val="0"/>
    </w:pPr>
    <w:rPr>
      <w:b/>
      <w:bCs/>
      <w:kern w:val="28"/>
      <w:sz w:val="28"/>
      <w:szCs w:val="32"/>
    </w:rPr>
  </w:style>
  <w:style w:type="character" w:customStyle="1" w:styleId="TitleChar">
    <w:name w:val="Title Char"/>
    <w:basedOn w:val="DefaultParagraphFont"/>
    <w:link w:val="Title"/>
    <w:rsid w:val="00DB10B2"/>
    <w:rPr>
      <w:rFonts w:ascii="Arial" w:hAnsi="Arial" w:cs="Arial"/>
      <w:b/>
      <w:bCs/>
      <w:snapToGrid w:val="0"/>
      <w:kern w:val="28"/>
      <w:sz w:val="28"/>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081ACB"/>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081ACB"/>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aliases w:val="Comment Text Char Char Char,Comment Text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5"/>
      </w:numPr>
    </w:pPr>
    <w:rPr>
      <w:rFonts w:ascii="Arial" w:hAnsi="Arial" w:cs="Arial"/>
      <w:snapToGrid w:val="0"/>
      <w:sz w:val="22"/>
      <w:szCs w:val="22"/>
      <w:lang w:eastAsia="en-US"/>
    </w:rPr>
  </w:style>
  <w:style w:type="character" w:customStyle="1" w:styleId="ListParagraphChar">
    <w:name w:val="List Paragraph Char"/>
    <w:link w:val="ListParagraph"/>
    <w:uiPriority w:val="72"/>
    <w:locked/>
    <w:rsid w:val="002D271D"/>
    <w:rPr>
      <w:rFonts w:ascii="Arial" w:hAnsi="Arial" w:cs="Arial"/>
      <w:snapToGrid w:val="0"/>
      <w:sz w:val="22"/>
      <w:lang w:eastAsia="en-US"/>
    </w:rPr>
  </w:style>
  <w:style w:type="paragraph" w:customStyle="1" w:styleId="Table">
    <w:name w:val="Table"/>
    <w:basedOn w:val="Normal"/>
    <w:link w:val="TableChar"/>
    <w:qFormat/>
    <w:rsid w:val="002D271D"/>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2D271D"/>
    <w:rPr>
      <w:rFonts w:ascii="Candara" w:eastAsiaTheme="majorEastAsia" w:hAnsi="Candara" w:cstheme="majorBidi"/>
      <w:szCs w:val="22"/>
      <w:lang w:eastAsia="en-US" w:bidi="en-US"/>
    </w:rPr>
  </w:style>
  <w:style w:type="paragraph" w:customStyle="1" w:styleId="tablenotes">
    <w:name w:val="table notes"/>
    <w:basedOn w:val="BodyText2"/>
    <w:qFormat/>
    <w:rsid w:val="002D271D"/>
    <w:pPr>
      <w:spacing w:after="0" w:line="240" w:lineRule="auto"/>
    </w:pPr>
    <w:rPr>
      <w:rFonts w:cs="Times New Roman"/>
      <w:sz w:val="20"/>
    </w:rPr>
  </w:style>
  <w:style w:type="character" w:customStyle="1" w:styleId="TableText1">
    <w:name w:val="Table Text"/>
    <w:basedOn w:val="DefaultParagraphFont"/>
    <w:uiPriority w:val="4"/>
    <w:qFormat/>
    <w:rsid w:val="00A310A4"/>
    <w:rPr>
      <w:rFonts w:ascii="Arial Narrow" w:hAnsi="Arial Narrow"/>
      <w:sz w:val="20"/>
    </w:rPr>
  </w:style>
  <w:style w:type="character" w:customStyle="1" w:styleId="Heading3Char">
    <w:name w:val="Heading 3 Char"/>
    <w:basedOn w:val="DefaultParagraphFont"/>
    <w:link w:val="Heading3"/>
    <w:rsid w:val="00A310A4"/>
    <w:rPr>
      <w:rFonts w:ascii="Arial" w:hAnsi="Arial" w:cs="Arial"/>
      <w:snapToGrid w:val="0"/>
      <w:sz w:val="22"/>
      <w:u w:val="single"/>
      <w:lang w:eastAsia="en-US"/>
    </w:rPr>
  </w:style>
  <w:style w:type="paragraph" w:customStyle="1" w:styleId="TableCentre">
    <w:name w:val="Table Centre"/>
    <w:basedOn w:val="Table"/>
    <w:qFormat/>
    <w:rsid w:val="00A310A4"/>
    <w:pPr>
      <w:jc w:val="center"/>
    </w:pPr>
  </w:style>
  <w:style w:type="paragraph" w:customStyle="1" w:styleId="tabletext2">
    <w:name w:val="table text"/>
    <w:basedOn w:val="Normal"/>
    <w:qFormat/>
    <w:rsid w:val="00A310A4"/>
    <w:pPr>
      <w:keepNext/>
      <w:widowControl/>
      <w:jc w:val="left"/>
    </w:pPr>
    <w:rPr>
      <w:rFonts w:ascii="Times New Roman" w:hAnsi="Times New Roman"/>
      <w:snapToGrid/>
      <w:color w:val="000000"/>
      <w:sz w:val="20"/>
      <w:lang w:val="en-GB" w:eastAsia="en-AU"/>
    </w:rPr>
  </w:style>
  <w:style w:type="paragraph" w:customStyle="1" w:styleId="PBACHeading10">
    <w:name w:val="PBAC Heading 1"/>
    <w:qFormat/>
    <w:rsid w:val="00A310A4"/>
    <w:pPr>
      <w:ind w:left="720" w:hanging="720"/>
    </w:pPr>
    <w:rPr>
      <w:rFonts w:ascii="Arial" w:hAnsi="Arial" w:cs="Arial"/>
      <w:b/>
      <w:snapToGrid w:val="0"/>
      <w:sz w:val="22"/>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6F786E"/>
    <w:pPr>
      <w:widowControl/>
      <w:spacing w:after="160" w:line="240" w:lineRule="exact"/>
      <w:jc w:val="left"/>
    </w:pPr>
    <w:rPr>
      <w:rFonts w:ascii="Verdana" w:eastAsia="MS Mincho" w:hAnsi="Verdana" w:cs="Verdana"/>
      <w:snapToGrid/>
      <w:sz w:val="20"/>
      <w:lang w:val="en-US"/>
    </w:rPr>
  </w:style>
  <w:style w:type="paragraph" w:styleId="Subtitle">
    <w:name w:val="Subtitle"/>
    <w:basedOn w:val="Normal"/>
    <w:link w:val="SubtitleChar"/>
    <w:qFormat/>
    <w:rsid w:val="00BD3ADC"/>
    <w:pPr>
      <w:widowControl/>
    </w:pPr>
    <w:rPr>
      <w:rFonts w:ascii="Times New Roman" w:hAnsi="Times New Roman" w:cs="Times New Roman"/>
      <w:b/>
      <w:snapToGrid/>
      <w:sz w:val="24"/>
      <w:lang w:eastAsia="en-AU"/>
    </w:rPr>
  </w:style>
  <w:style w:type="character" w:customStyle="1" w:styleId="SubtitleChar">
    <w:name w:val="Subtitle Char"/>
    <w:basedOn w:val="DefaultParagraphFont"/>
    <w:link w:val="Subtitle"/>
    <w:rsid w:val="00BD3ADC"/>
    <w:rPr>
      <w:b/>
      <w:sz w:val="24"/>
    </w:rPr>
  </w:style>
  <w:style w:type="paragraph" w:styleId="FootnoteText">
    <w:name w:val="footnote text"/>
    <w:basedOn w:val="Normal"/>
    <w:link w:val="FootnoteTextChar"/>
    <w:semiHidden/>
    <w:unhideWhenUsed/>
    <w:rsid w:val="0006234F"/>
    <w:rPr>
      <w:sz w:val="20"/>
    </w:rPr>
  </w:style>
  <w:style w:type="character" w:customStyle="1" w:styleId="FootnoteTextChar">
    <w:name w:val="Footnote Text Char"/>
    <w:basedOn w:val="DefaultParagraphFont"/>
    <w:link w:val="FootnoteText"/>
    <w:semiHidden/>
    <w:rsid w:val="0006234F"/>
    <w:rPr>
      <w:rFonts w:ascii="Arial" w:hAnsi="Arial" w:cs="Arial"/>
      <w:snapToGrid w:val="0"/>
      <w:lang w:eastAsia="en-US"/>
    </w:rPr>
  </w:style>
  <w:style w:type="character" w:styleId="FootnoteReference">
    <w:name w:val="footnote reference"/>
    <w:basedOn w:val="DefaultParagraphFont"/>
    <w:semiHidden/>
    <w:unhideWhenUsed/>
    <w:rsid w:val="0006234F"/>
    <w:rPr>
      <w:vertAlign w:val="superscript"/>
    </w:rPr>
  </w:style>
  <w:style w:type="character" w:customStyle="1" w:styleId="apple-converted-space">
    <w:name w:val="apple-converted-space"/>
    <w:basedOn w:val="DefaultParagraphFont"/>
    <w:rsid w:val="0006234F"/>
  </w:style>
  <w:style w:type="paragraph" w:customStyle="1" w:styleId="PSDTitle">
    <w:name w:val="PSD Title"/>
    <w:basedOn w:val="Title"/>
    <w:rsid w:val="001E3D25"/>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9306">
      <w:bodyDiv w:val="1"/>
      <w:marLeft w:val="0"/>
      <w:marRight w:val="0"/>
      <w:marTop w:val="0"/>
      <w:marBottom w:val="0"/>
      <w:divBdr>
        <w:top w:val="none" w:sz="0" w:space="0" w:color="auto"/>
        <w:left w:val="none" w:sz="0" w:space="0" w:color="auto"/>
        <w:bottom w:val="none" w:sz="0" w:space="0" w:color="auto"/>
        <w:right w:val="none" w:sz="0" w:space="0" w:color="auto"/>
      </w:divBdr>
    </w:div>
    <w:div w:id="212009912">
      <w:bodyDiv w:val="1"/>
      <w:marLeft w:val="0"/>
      <w:marRight w:val="0"/>
      <w:marTop w:val="0"/>
      <w:marBottom w:val="0"/>
      <w:divBdr>
        <w:top w:val="none" w:sz="0" w:space="0" w:color="auto"/>
        <w:left w:val="none" w:sz="0" w:space="0" w:color="auto"/>
        <w:bottom w:val="none" w:sz="0" w:space="0" w:color="auto"/>
        <w:right w:val="none" w:sz="0" w:space="0" w:color="auto"/>
      </w:divBdr>
    </w:div>
    <w:div w:id="376466597">
      <w:bodyDiv w:val="1"/>
      <w:marLeft w:val="0"/>
      <w:marRight w:val="0"/>
      <w:marTop w:val="0"/>
      <w:marBottom w:val="0"/>
      <w:divBdr>
        <w:top w:val="none" w:sz="0" w:space="0" w:color="auto"/>
        <w:left w:val="none" w:sz="0" w:space="0" w:color="auto"/>
        <w:bottom w:val="none" w:sz="0" w:space="0" w:color="auto"/>
        <w:right w:val="none" w:sz="0" w:space="0" w:color="auto"/>
      </w:divBdr>
    </w:div>
    <w:div w:id="1288006600">
      <w:bodyDiv w:val="1"/>
      <w:marLeft w:val="0"/>
      <w:marRight w:val="0"/>
      <w:marTop w:val="0"/>
      <w:marBottom w:val="0"/>
      <w:divBdr>
        <w:top w:val="none" w:sz="0" w:space="0" w:color="auto"/>
        <w:left w:val="none" w:sz="0" w:space="0" w:color="auto"/>
        <w:bottom w:val="none" w:sz="0" w:space="0" w:color="auto"/>
        <w:right w:val="none" w:sz="0" w:space="0" w:color="auto"/>
      </w:divBdr>
    </w:div>
    <w:div w:id="1497380246">
      <w:bodyDiv w:val="1"/>
      <w:marLeft w:val="0"/>
      <w:marRight w:val="0"/>
      <w:marTop w:val="0"/>
      <w:marBottom w:val="0"/>
      <w:divBdr>
        <w:top w:val="none" w:sz="0" w:space="0" w:color="auto"/>
        <w:left w:val="none" w:sz="0" w:space="0" w:color="auto"/>
        <w:bottom w:val="none" w:sz="0" w:space="0" w:color="auto"/>
        <w:right w:val="none" w:sz="0" w:space="0" w:color="auto"/>
      </w:divBdr>
    </w:div>
    <w:div w:id="1707026986">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 w:id="211007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www.ncbi.nlm.nih.gov/pubmed/23341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42262-35EB-4B9F-853B-742E15659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8122</Words>
  <Characters>47541</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7.04 idelalisib (CLL)</vt:lpstr>
    </vt:vector>
  </TitlesOfParts>
  <LinksUpToDate>false</LinksUpToDate>
  <CharactersWithSpaces>55552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7.04 idelalisib (CLL)</dc:title>
  <dc:creator/>
  <cp:lastModifiedBy/>
  <cp:revision>1</cp:revision>
  <dcterms:created xsi:type="dcterms:W3CDTF">2016-02-25T01:58:00Z</dcterms:created>
  <dcterms:modified xsi:type="dcterms:W3CDTF">2016-03-17T02:59:00Z</dcterms:modified>
</cp:coreProperties>
</file>