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FA7508" w:rsidRDefault="00E813E7" w:rsidP="00FA7508">
      <w:pPr>
        <w:pStyle w:val="Title"/>
      </w:pPr>
      <w:r w:rsidRPr="00FA7508">
        <w:t>7.08</w:t>
      </w:r>
      <w:r w:rsidR="004A1FB6" w:rsidRPr="00FA7508">
        <w:tab/>
      </w:r>
      <w:r w:rsidRPr="00FA7508">
        <w:t xml:space="preserve">FENTANYL </w:t>
      </w:r>
      <w:r w:rsidR="00890252" w:rsidRPr="00FA7508">
        <w:t>CITRATE</w:t>
      </w:r>
    </w:p>
    <w:p w:rsidR="00890252" w:rsidRPr="00FA7508" w:rsidRDefault="00890252" w:rsidP="00FA7508">
      <w:pPr>
        <w:pStyle w:val="Title"/>
        <w:ind w:firstLine="0"/>
      </w:pPr>
      <w:r w:rsidRPr="00FA7508">
        <w:t>100 microgram tablet: buccal, 4</w:t>
      </w:r>
    </w:p>
    <w:p w:rsidR="00890252" w:rsidRPr="00FA7508" w:rsidRDefault="00890252" w:rsidP="00FA7508">
      <w:pPr>
        <w:pStyle w:val="Title"/>
        <w:ind w:firstLine="0"/>
      </w:pPr>
      <w:r w:rsidRPr="00FA7508">
        <w:t>100 microgram tablet: buccal, 28</w:t>
      </w:r>
    </w:p>
    <w:p w:rsidR="00890252" w:rsidRPr="00FA7508" w:rsidRDefault="00890252" w:rsidP="00FA7508">
      <w:pPr>
        <w:pStyle w:val="Title"/>
        <w:ind w:firstLine="0"/>
      </w:pPr>
      <w:r w:rsidRPr="00FA7508">
        <w:t>200 microgram tablet: buccal, 4</w:t>
      </w:r>
    </w:p>
    <w:p w:rsidR="00890252" w:rsidRPr="00FA7508" w:rsidRDefault="00890252" w:rsidP="00FA7508">
      <w:pPr>
        <w:pStyle w:val="Title"/>
        <w:ind w:firstLine="0"/>
      </w:pPr>
      <w:r w:rsidRPr="00FA7508">
        <w:t>200 microgram tablet: buccal, 28</w:t>
      </w:r>
    </w:p>
    <w:p w:rsidR="00890252" w:rsidRPr="00FA7508" w:rsidRDefault="00890252" w:rsidP="00FA7508">
      <w:pPr>
        <w:pStyle w:val="Title"/>
        <w:ind w:firstLine="0"/>
      </w:pPr>
      <w:r w:rsidRPr="00FA7508">
        <w:t>400 microgram tablet: buccal, 4</w:t>
      </w:r>
    </w:p>
    <w:p w:rsidR="00890252" w:rsidRPr="00FA7508" w:rsidRDefault="00890252" w:rsidP="00FA7508">
      <w:pPr>
        <w:pStyle w:val="Title"/>
        <w:ind w:firstLine="0"/>
      </w:pPr>
      <w:r w:rsidRPr="00FA7508">
        <w:t>400 microgram tablet: buccal, 28</w:t>
      </w:r>
    </w:p>
    <w:p w:rsidR="00890252" w:rsidRPr="00FA7508" w:rsidRDefault="00890252" w:rsidP="00FA7508">
      <w:pPr>
        <w:pStyle w:val="Title"/>
        <w:ind w:firstLine="0"/>
      </w:pPr>
      <w:r w:rsidRPr="00FA7508">
        <w:t>600 microgram tablet: buccal, 4</w:t>
      </w:r>
    </w:p>
    <w:p w:rsidR="00890252" w:rsidRPr="00FA7508" w:rsidRDefault="00890252" w:rsidP="00FA7508">
      <w:pPr>
        <w:pStyle w:val="Title"/>
        <w:ind w:firstLine="0"/>
      </w:pPr>
      <w:r w:rsidRPr="00FA7508">
        <w:t>600 microgram tablet: buccal, 28</w:t>
      </w:r>
    </w:p>
    <w:p w:rsidR="00890252" w:rsidRPr="00FA7508" w:rsidRDefault="00890252" w:rsidP="00FA7508">
      <w:pPr>
        <w:pStyle w:val="Title"/>
        <w:ind w:firstLine="0"/>
      </w:pPr>
      <w:r w:rsidRPr="00FA7508">
        <w:t>800 microgram tablet: buccal, 4</w:t>
      </w:r>
    </w:p>
    <w:p w:rsidR="00890252" w:rsidRPr="00FA7508" w:rsidRDefault="00890252" w:rsidP="00FA7508">
      <w:pPr>
        <w:pStyle w:val="Title"/>
        <w:ind w:firstLine="0"/>
      </w:pPr>
      <w:r w:rsidRPr="00FA7508">
        <w:t>800 microgram tablet: buccal, 28</w:t>
      </w:r>
    </w:p>
    <w:p w:rsidR="00890252" w:rsidRPr="00FA7508" w:rsidRDefault="00890252" w:rsidP="00FA7508">
      <w:pPr>
        <w:pStyle w:val="Title"/>
        <w:ind w:firstLine="0"/>
      </w:pPr>
      <w:proofErr w:type="spellStart"/>
      <w:r w:rsidRPr="00FA7508">
        <w:t>Fentora</w:t>
      </w:r>
      <w:proofErr w:type="spellEnd"/>
      <w:r w:rsidRPr="00FA7508">
        <w:t xml:space="preserve">®, </w:t>
      </w:r>
      <w:bookmarkStart w:id="0" w:name="_Toc341702017"/>
      <w:proofErr w:type="spellStart"/>
      <w:r w:rsidRPr="00FA7508">
        <w:t>Teva</w:t>
      </w:r>
      <w:proofErr w:type="spellEnd"/>
      <w:r w:rsidRPr="00FA7508">
        <w:t xml:space="preserve"> Pharmaceuticals Australia Pty Ltd</w:t>
      </w:r>
    </w:p>
    <w:bookmarkEnd w:id="0"/>
    <w:p w:rsidR="00CE10C4" w:rsidRDefault="00CE10C4" w:rsidP="00E813E7">
      <w:pPr>
        <w:pStyle w:val="NoSpacing"/>
        <w:jc w:val="left"/>
      </w:pPr>
    </w:p>
    <w:p w:rsidR="00C27B58" w:rsidRDefault="00C27B58" w:rsidP="00C27B58">
      <w:pPr>
        <w:pStyle w:val="NoSpacing"/>
      </w:pPr>
    </w:p>
    <w:p w:rsidR="00CE10C4" w:rsidRPr="00FA7508" w:rsidRDefault="00CE10C4" w:rsidP="00FA7508">
      <w:pPr>
        <w:pStyle w:val="Heading1"/>
      </w:pPr>
      <w:r w:rsidRPr="00FA7508">
        <w:t xml:space="preserve">Purpose of </w:t>
      </w:r>
      <w:r w:rsidR="0004240E" w:rsidRPr="00FA7508">
        <w:t>Application</w:t>
      </w:r>
    </w:p>
    <w:p w:rsidR="006A12A5" w:rsidRPr="001B452A" w:rsidRDefault="006A12A5" w:rsidP="00882085">
      <w:pPr>
        <w:jc w:val="both"/>
        <w:rPr>
          <w:rFonts w:ascii="Arial" w:hAnsi="Arial" w:cs="Arial"/>
          <w:sz w:val="22"/>
          <w:szCs w:val="22"/>
        </w:rPr>
      </w:pPr>
    </w:p>
    <w:p w:rsidR="00E90F3B" w:rsidRPr="00882EA1" w:rsidRDefault="00E90F3B" w:rsidP="00E90F3B">
      <w:pPr>
        <w:pStyle w:val="ListParagraph"/>
        <w:numPr>
          <w:ilvl w:val="1"/>
          <w:numId w:val="25"/>
        </w:numPr>
        <w:jc w:val="both"/>
        <w:rPr>
          <w:rFonts w:ascii="Arial" w:hAnsi="Arial"/>
          <w:sz w:val="22"/>
          <w:szCs w:val="22"/>
        </w:rPr>
      </w:pPr>
      <w:r>
        <w:rPr>
          <w:rFonts w:ascii="Arial" w:hAnsi="Arial"/>
          <w:sz w:val="22"/>
          <w:szCs w:val="22"/>
        </w:rPr>
        <w:t xml:space="preserve">The minor resubmission requested </w:t>
      </w:r>
      <w:r w:rsidRPr="00882EA1">
        <w:rPr>
          <w:rFonts w:ascii="Arial" w:hAnsi="Arial"/>
          <w:sz w:val="22"/>
          <w:szCs w:val="22"/>
        </w:rPr>
        <w:t>an Authority Required (Palliative Care Schedule) listing for the treatment of breakthrough cancer pain.</w:t>
      </w:r>
    </w:p>
    <w:p w:rsidR="00762733" w:rsidRPr="001B452A" w:rsidRDefault="00762733" w:rsidP="00762733">
      <w:pPr>
        <w:pStyle w:val="ListParagraph"/>
        <w:jc w:val="both"/>
        <w:rPr>
          <w:rFonts w:ascii="Arial" w:hAnsi="Arial" w:cs="Arial"/>
          <w:sz w:val="22"/>
          <w:szCs w:val="22"/>
        </w:rPr>
      </w:pPr>
    </w:p>
    <w:p w:rsidR="00AE6389" w:rsidRPr="00C27B58" w:rsidRDefault="00AE6389" w:rsidP="00C27B58">
      <w:pPr>
        <w:pStyle w:val="NoSpacing"/>
      </w:pPr>
    </w:p>
    <w:p w:rsidR="00614159" w:rsidRPr="00882085" w:rsidRDefault="006A12A5" w:rsidP="00FA7508">
      <w:pPr>
        <w:pStyle w:val="Heading1"/>
      </w:pPr>
      <w:r w:rsidRPr="00882085">
        <w:t>Requested listing</w:t>
      </w:r>
    </w:p>
    <w:p w:rsidR="006A12A5" w:rsidRPr="00882085" w:rsidRDefault="006A12A5" w:rsidP="00882085">
      <w:pPr>
        <w:jc w:val="both"/>
        <w:rPr>
          <w:rFonts w:ascii="Arial" w:hAnsi="Arial"/>
          <w:b/>
          <w:sz w:val="22"/>
          <w:szCs w:val="22"/>
        </w:rPr>
      </w:pPr>
    </w:p>
    <w:p w:rsidR="00E90F3B" w:rsidRPr="00826F6D" w:rsidRDefault="00E90F3B" w:rsidP="00E05C0D">
      <w:pPr>
        <w:pStyle w:val="ListParagraph"/>
        <w:numPr>
          <w:ilvl w:val="1"/>
          <w:numId w:val="25"/>
        </w:numPr>
        <w:jc w:val="both"/>
        <w:rPr>
          <w:rFonts w:ascii="Arial" w:hAnsi="Arial"/>
          <w:sz w:val="22"/>
          <w:szCs w:val="22"/>
        </w:rPr>
      </w:pPr>
      <w:r>
        <w:rPr>
          <w:rFonts w:ascii="Arial" w:hAnsi="Arial"/>
          <w:sz w:val="22"/>
          <w:szCs w:val="22"/>
        </w:rPr>
        <w:t>The submission requested the following new listing. This remain</w:t>
      </w:r>
      <w:r w:rsidR="00A62A12">
        <w:rPr>
          <w:rFonts w:ascii="Arial" w:hAnsi="Arial"/>
          <w:sz w:val="22"/>
          <w:szCs w:val="22"/>
        </w:rPr>
        <w:t>ed</w:t>
      </w:r>
      <w:r>
        <w:rPr>
          <w:rFonts w:ascii="Arial" w:hAnsi="Arial"/>
          <w:sz w:val="22"/>
          <w:szCs w:val="22"/>
        </w:rPr>
        <w:t xml:space="preserve"> unchanged from the </w:t>
      </w:r>
      <w:r w:rsidR="00D050C2">
        <w:rPr>
          <w:rFonts w:ascii="Arial" w:hAnsi="Arial"/>
          <w:sz w:val="22"/>
          <w:szCs w:val="22"/>
        </w:rPr>
        <w:t>July 2015</w:t>
      </w:r>
      <w:r>
        <w:rPr>
          <w:rFonts w:ascii="Arial" w:hAnsi="Arial"/>
          <w:sz w:val="22"/>
          <w:szCs w:val="22"/>
        </w:rPr>
        <w:t xml:space="preserve"> submission</w:t>
      </w:r>
      <w:r w:rsidR="00E05C0D">
        <w:rPr>
          <w:rFonts w:ascii="Arial" w:hAnsi="Arial"/>
          <w:sz w:val="22"/>
          <w:szCs w:val="22"/>
        </w:rPr>
        <w:t xml:space="preserve">. </w:t>
      </w:r>
      <w:r w:rsidR="00E05C0D" w:rsidRPr="00E05C0D">
        <w:rPr>
          <w:rFonts w:ascii="Arial" w:hAnsi="Arial"/>
          <w:sz w:val="22"/>
          <w:szCs w:val="22"/>
        </w:rPr>
        <w:t>Suggestions and additions proposed by the Secretariat to the requested listing are added in italics</w:t>
      </w:r>
      <w:r>
        <w:rPr>
          <w:rFonts w:ascii="Arial" w:hAnsi="Arial"/>
          <w:sz w:val="22"/>
          <w:szCs w:val="22"/>
        </w:rPr>
        <w:t>:</w:t>
      </w:r>
    </w:p>
    <w:p w:rsidR="00B74ED4" w:rsidRDefault="00B74ED4">
      <w:r>
        <w:br w:type="page"/>
      </w:r>
    </w:p>
    <w:tbl>
      <w:tblPr>
        <w:tblW w:w="8363" w:type="dxa"/>
        <w:tblInd w:w="817" w:type="dxa"/>
        <w:tblLayout w:type="fixed"/>
        <w:tblLook w:val="0000" w:firstRow="0" w:lastRow="0" w:firstColumn="0" w:lastColumn="0" w:noHBand="0" w:noVBand="0"/>
        <w:tblCaption w:val="Requested listing - part 1"/>
      </w:tblPr>
      <w:tblGrid>
        <w:gridCol w:w="3119"/>
        <w:gridCol w:w="850"/>
        <w:gridCol w:w="709"/>
        <w:gridCol w:w="1276"/>
        <w:gridCol w:w="1275"/>
        <w:gridCol w:w="1134"/>
      </w:tblGrid>
      <w:tr w:rsidR="00E90F3B" w:rsidRPr="0039782C" w:rsidTr="003034B1">
        <w:trPr>
          <w:cantSplit/>
          <w:trHeight w:val="471"/>
        </w:trPr>
        <w:tc>
          <w:tcPr>
            <w:tcW w:w="3119" w:type="dxa"/>
            <w:tcBorders>
              <w:bottom w:val="single" w:sz="4" w:space="0" w:color="auto"/>
            </w:tcBorders>
          </w:tcPr>
          <w:p w:rsidR="00E90F3B" w:rsidRPr="0039782C" w:rsidRDefault="00E90F3B" w:rsidP="003034B1">
            <w:pPr>
              <w:keepNext/>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E90F3B" w:rsidRPr="0039782C" w:rsidRDefault="00E90F3B" w:rsidP="003034B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E90F3B" w:rsidRPr="0039782C" w:rsidRDefault="00E90F3B" w:rsidP="003034B1">
            <w:pPr>
              <w:keepNext/>
              <w:ind w:left="-108"/>
              <w:jc w:val="both"/>
              <w:rPr>
                <w:rFonts w:ascii="Arial Narrow" w:hAnsi="Arial Narrow" w:cs="Arial"/>
                <w:b/>
                <w:sz w:val="20"/>
                <w:szCs w:val="20"/>
              </w:rPr>
            </w:pPr>
            <w:r w:rsidRPr="0039782C">
              <w:rPr>
                <w:rFonts w:ascii="Arial Narrow" w:hAnsi="Arial Narrow" w:cs="Arial"/>
                <w:b/>
                <w:sz w:val="20"/>
                <w:szCs w:val="20"/>
              </w:rPr>
              <w:t>Max.</w:t>
            </w:r>
          </w:p>
          <w:p w:rsidR="00E90F3B" w:rsidRPr="0039782C" w:rsidRDefault="00E90F3B" w:rsidP="003034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E90F3B" w:rsidRPr="0039782C" w:rsidRDefault="00E90F3B" w:rsidP="003034B1">
            <w:pPr>
              <w:keepNext/>
              <w:ind w:left="-108"/>
              <w:jc w:val="both"/>
              <w:rPr>
                <w:rFonts w:ascii="Arial Narrow" w:hAnsi="Arial Narrow" w:cs="Arial"/>
                <w:b/>
                <w:sz w:val="20"/>
                <w:szCs w:val="20"/>
              </w:rPr>
            </w:pPr>
            <w:r w:rsidRPr="0039782C">
              <w:rPr>
                <w:rFonts w:ascii="Arial Narrow" w:hAnsi="Arial Narrow" w:cs="Arial"/>
                <w:b/>
                <w:sz w:val="20"/>
                <w:szCs w:val="20"/>
              </w:rPr>
              <w:t>№.of</w:t>
            </w:r>
          </w:p>
          <w:p w:rsidR="00E90F3B" w:rsidRPr="0039782C" w:rsidRDefault="00E90F3B" w:rsidP="003034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E90F3B" w:rsidRPr="0039782C" w:rsidRDefault="00E90F3B" w:rsidP="003034B1">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E90F3B" w:rsidRPr="0039782C" w:rsidRDefault="00E90F3B" w:rsidP="003034B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90F3B" w:rsidRPr="00260CE3" w:rsidTr="003034B1">
        <w:trPr>
          <w:cantSplit/>
          <w:trHeight w:val="577"/>
        </w:trPr>
        <w:tc>
          <w:tcPr>
            <w:tcW w:w="3119" w:type="dxa"/>
          </w:tcPr>
          <w:p w:rsidR="00E90F3B" w:rsidRPr="00260CE3" w:rsidRDefault="00E90F3B" w:rsidP="003034B1">
            <w:pPr>
              <w:keepNext/>
              <w:ind w:left="-108"/>
              <w:jc w:val="both"/>
              <w:rPr>
                <w:rFonts w:ascii="Arial Narrow" w:hAnsi="Arial Narrow" w:cs="Arial"/>
                <w:sz w:val="20"/>
                <w:szCs w:val="20"/>
              </w:rPr>
            </w:pPr>
            <w:r>
              <w:rPr>
                <w:rFonts w:ascii="Arial Narrow" w:hAnsi="Arial Narrow" w:cs="Arial"/>
                <w:smallCaps/>
                <w:sz w:val="20"/>
                <w:szCs w:val="20"/>
              </w:rPr>
              <w:t>FENTANYL</w:t>
            </w:r>
          </w:p>
          <w:p w:rsidR="00F4092F" w:rsidRPr="00F4092F" w:rsidRDefault="00F4092F" w:rsidP="00F4092F">
            <w:pPr>
              <w:keepNext/>
              <w:ind w:left="-108"/>
              <w:jc w:val="both"/>
              <w:rPr>
                <w:rFonts w:ascii="Arial Narrow" w:hAnsi="Arial Narrow" w:cs="Arial"/>
                <w:sz w:val="20"/>
                <w:szCs w:val="20"/>
              </w:rPr>
            </w:pPr>
            <w:r w:rsidRPr="00F4092F">
              <w:rPr>
                <w:rFonts w:ascii="Arial Narrow" w:hAnsi="Arial Narrow" w:cs="Arial"/>
                <w:sz w:val="20"/>
                <w:szCs w:val="20"/>
              </w:rPr>
              <w:t xml:space="preserve">fentanyl tablet (buccal) </w:t>
            </w:r>
          </w:p>
          <w:p w:rsidR="00F4092F" w:rsidRPr="00F4092F" w:rsidRDefault="00F4092F" w:rsidP="00F4092F">
            <w:pPr>
              <w:keepNext/>
              <w:ind w:left="-108"/>
              <w:jc w:val="both"/>
              <w:rPr>
                <w:rFonts w:ascii="Arial Narrow" w:hAnsi="Arial Narrow" w:cs="Arial"/>
                <w:sz w:val="20"/>
                <w:szCs w:val="20"/>
              </w:rPr>
            </w:pPr>
            <w:r w:rsidRPr="00F4092F">
              <w:rPr>
                <w:rFonts w:ascii="Arial Narrow" w:hAnsi="Arial Narrow" w:cs="Arial"/>
                <w:sz w:val="20"/>
                <w:szCs w:val="20"/>
              </w:rPr>
              <w:t>100 micrograms (as citrate), 4</w:t>
            </w:r>
          </w:p>
          <w:p w:rsidR="00F4092F" w:rsidRPr="00F4092F" w:rsidRDefault="00F4092F" w:rsidP="00F4092F">
            <w:pPr>
              <w:keepNext/>
              <w:ind w:left="-108"/>
              <w:jc w:val="both"/>
              <w:rPr>
                <w:rFonts w:ascii="Arial Narrow" w:hAnsi="Arial Narrow" w:cs="Arial"/>
                <w:sz w:val="20"/>
                <w:szCs w:val="20"/>
              </w:rPr>
            </w:pPr>
            <w:r w:rsidRPr="00F4092F">
              <w:rPr>
                <w:rFonts w:ascii="Arial Narrow" w:hAnsi="Arial Narrow" w:cs="Arial"/>
                <w:sz w:val="20"/>
                <w:szCs w:val="20"/>
              </w:rPr>
              <w:t>200 micrograms (as citrate), 4</w:t>
            </w:r>
          </w:p>
          <w:p w:rsidR="00F4092F" w:rsidRPr="00F4092F" w:rsidRDefault="00F4092F" w:rsidP="00F4092F">
            <w:pPr>
              <w:keepNext/>
              <w:ind w:left="-108"/>
              <w:jc w:val="both"/>
              <w:rPr>
                <w:rFonts w:ascii="Arial Narrow" w:hAnsi="Arial Narrow" w:cs="Arial"/>
                <w:sz w:val="20"/>
                <w:szCs w:val="20"/>
              </w:rPr>
            </w:pPr>
            <w:r w:rsidRPr="00F4092F">
              <w:rPr>
                <w:rFonts w:ascii="Arial Narrow" w:hAnsi="Arial Narrow" w:cs="Arial"/>
                <w:sz w:val="20"/>
                <w:szCs w:val="20"/>
              </w:rPr>
              <w:t>400 micrograms (as citrate), 4</w:t>
            </w:r>
          </w:p>
          <w:p w:rsidR="00F4092F" w:rsidRPr="00F4092F" w:rsidRDefault="00F4092F" w:rsidP="00F4092F">
            <w:pPr>
              <w:keepNext/>
              <w:ind w:left="-108"/>
              <w:jc w:val="both"/>
              <w:rPr>
                <w:rFonts w:ascii="Arial Narrow" w:hAnsi="Arial Narrow" w:cs="Arial"/>
                <w:sz w:val="20"/>
                <w:szCs w:val="20"/>
              </w:rPr>
            </w:pPr>
            <w:r w:rsidRPr="00F4092F">
              <w:rPr>
                <w:rFonts w:ascii="Arial Narrow" w:hAnsi="Arial Narrow" w:cs="Arial"/>
                <w:sz w:val="20"/>
                <w:szCs w:val="20"/>
              </w:rPr>
              <w:t>600 micrograms (as citrate), 4</w:t>
            </w:r>
          </w:p>
          <w:p w:rsidR="00E90F3B" w:rsidRPr="00260CE3" w:rsidRDefault="00F4092F" w:rsidP="00F4092F">
            <w:pPr>
              <w:keepNext/>
              <w:ind w:left="-108"/>
              <w:jc w:val="both"/>
              <w:rPr>
                <w:rFonts w:ascii="Arial Narrow" w:hAnsi="Arial Narrow" w:cs="Arial"/>
                <w:sz w:val="20"/>
                <w:szCs w:val="20"/>
              </w:rPr>
            </w:pPr>
            <w:r w:rsidRPr="00F4092F">
              <w:rPr>
                <w:rFonts w:ascii="Arial Narrow" w:hAnsi="Arial Narrow" w:cs="Arial"/>
                <w:sz w:val="20"/>
                <w:szCs w:val="20"/>
              </w:rPr>
              <w:t>800 micrograms (as citrate), 4</w:t>
            </w:r>
          </w:p>
        </w:tc>
        <w:tc>
          <w:tcPr>
            <w:tcW w:w="850" w:type="dxa"/>
          </w:tcPr>
          <w:p w:rsidR="00E90F3B" w:rsidRPr="00260CE3" w:rsidRDefault="00E90F3B" w:rsidP="003034B1">
            <w:pPr>
              <w:keepNext/>
              <w:ind w:left="-108"/>
              <w:jc w:val="both"/>
              <w:rPr>
                <w:rFonts w:ascii="Arial Narrow" w:hAnsi="Arial Narrow" w:cs="Arial"/>
                <w:sz w:val="20"/>
                <w:szCs w:val="20"/>
              </w:rPr>
            </w:pPr>
          </w:p>
          <w:p w:rsidR="00E90F3B" w:rsidRPr="00260CE3" w:rsidRDefault="00E90F3B" w:rsidP="003034B1">
            <w:pPr>
              <w:keepNext/>
              <w:ind w:left="-108"/>
              <w:jc w:val="both"/>
              <w:rPr>
                <w:rFonts w:ascii="Arial Narrow" w:hAnsi="Arial Narrow" w:cs="Arial"/>
                <w:sz w:val="20"/>
                <w:szCs w:val="20"/>
              </w:rPr>
            </w:pPr>
            <w:r>
              <w:rPr>
                <w:rFonts w:ascii="Arial Narrow" w:hAnsi="Arial Narrow" w:cs="Arial"/>
                <w:sz w:val="20"/>
                <w:szCs w:val="20"/>
              </w:rPr>
              <w:t>2</w:t>
            </w:r>
          </w:p>
        </w:tc>
        <w:tc>
          <w:tcPr>
            <w:tcW w:w="709" w:type="dxa"/>
          </w:tcPr>
          <w:p w:rsidR="00E90F3B" w:rsidRPr="00260CE3" w:rsidRDefault="00E90F3B" w:rsidP="003034B1">
            <w:pPr>
              <w:keepNext/>
              <w:ind w:left="-108"/>
              <w:jc w:val="both"/>
              <w:rPr>
                <w:rFonts w:ascii="Arial Narrow" w:hAnsi="Arial Narrow" w:cs="Arial"/>
                <w:sz w:val="20"/>
                <w:szCs w:val="20"/>
              </w:rPr>
            </w:pPr>
          </w:p>
          <w:p w:rsidR="00E90F3B" w:rsidRPr="00260CE3" w:rsidRDefault="00F4092F" w:rsidP="003034B1">
            <w:pPr>
              <w:keepNext/>
              <w:ind w:left="-108"/>
              <w:jc w:val="both"/>
              <w:rPr>
                <w:rFonts w:ascii="Arial Narrow" w:hAnsi="Arial Narrow" w:cs="Arial"/>
                <w:sz w:val="20"/>
                <w:szCs w:val="20"/>
              </w:rPr>
            </w:pPr>
            <w:r>
              <w:rPr>
                <w:rFonts w:ascii="Arial Narrow" w:hAnsi="Arial Narrow" w:cs="Arial"/>
                <w:sz w:val="20"/>
                <w:szCs w:val="20"/>
              </w:rPr>
              <w:t>0</w:t>
            </w:r>
          </w:p>
        </w:tc>
        <w:tc>
          <w:tcPr>
            <w:tcW w:w="1276" w:type="dxa"/>
          </w:tcPr>
          <w:p w:rsidR="00E90F3B" w:rsidRPr="00260CE3" w:rsidRDefault="00E90F3B" w:rsidP="003034B1">
            <w:pPr>
              <w:keepNext/>
              <w:ind w:left="-108"/>
              <w:jc w:val="both"/>
              <w:rPr>
                <w:rFonts w:ascii="Arial Narrow" w:hAnsi="Arial Narrow" w:cs="Arial"/>
                <w:sz w:val="20"/>
                <w:szCs w:val="20"/>
              </w:rPr>
            </w:pPr>
          </w:p>
          <w:p w:rsidR="00E90F3B" w:rsidRPr="00260CE3" w:rsidRDefault="00E90F3B" w:rsidP="001E3494">
            <w:pPr>
              <w:keepNext/>
              <w:ind w:left="-108"/>
              <w:jc w:val="both"/>
              <w:rPr>
                <w:rFonts w:ascii="Arial Narrow" w:hAnsi="Arial Narrow" w:cs="Arial"/>
                <w:sz w:val="20"/>
                <w:szCs w:val="20"/>
              </w:rPr>
            </w:pPr>
            <w:r>
              <w:rPr>
                <w:rFonts w:ascii="Arial Narrow" w:hAnsi="Arial Narrow" w:cs="Arial"/>
                <w:sz w:val="20"/>
                <w:szCs w:val="20"/>
              </w:rPr>
              <w:t>$</w:t>
            </w:r>
            <w:r w:rsidR="00363061">
              <w:rPr>
                <w:rFonts w:ascii="Arial Narrow" w:hAnsi="Arial Narrow" w:cs="Arial"/>
                <w:noProof/>
                <w:color w:val="000000"/>
                <w:sz w:val="20"/>
                <w:szCs w:val="20"/>
                <w:highlight w:val="black"/>
              </w:rPr>
              <w:t>''''''''''''' ''''''''''''''''''''''' ''''''''''''''</w:t>
            </w:r>
          </w:p>
        </w:tc>
        <w:tc>
          <w:tcPr>
            <w:tcW w:w="1275" w:type="dxa"/>
          </w:tcPr>
          <w:p w:rsidR="00E90F3B" w:rsidRDefault="00E90F3B" w:rsidP="003034B1">
            <w:pPr>
              <w:keepNext/>
              <w:jc w:val="both"/>
              <w:rPr>
                <w:rFonts w:ascii="Arial Narrow" w:hAnsi="Arial Narrow" w:cs="Arial"/>
                <w:sz w:val="20"/>
                <w:szCs w:val="20"/>
              </w:rPr>
            </w:pPr>
          </w:p>
          <w:p w:rsidR="00E90F3B" w:rsidRPr="00260CE3" w:rsidRDefault="00E90F3B" w:rsidP="003034B1">
            <w:pPr>
              <w:keepNext/>
              <w:jc w:val="both"/>
              <w:rPr>
                <w:rFonts w:ascii="Arial Narrow" w:hAnsi="Arial Narrow" w:cs="Arial"/>
                <w:sz w:val="20"/>
                <w:szCs w:val="20"/>
              </w:rPr>
            </w:pPr>
            <w:proofErr w:type="spellStart"/>
            <w:r>
              <w:rPr>
                <w:rFonts w:ascii="Arial Narrow" w:hAnsi="Arial Narrow" w:cs="Arial"/>
                <w:sz w:val="20"/>
                <w:szCs w:val="20"/>
              </w:rPr>
              <w:t>Fentora</w:t>
            </w:r>
            <w:proofErr w:type="spellEnd"/>
          </w:p>
        </w:tc>
        <w:tc>
          <w:tcPr>
            <w:tcW w:w="1134" w:type="dxa"/>
          </w:tcPr>
          <w:p w:rsidR="00E90F3B" w:rsidRDefault="00E90F3B" w:rsidP="003034B1">
            <w:pPr>
              <w:keepNext/>
              <w:jc w:val="both"/>
              <w:rPr>
                <w:rFonts w:ascii="Arial Narrow" w:hAnsi="Arial Narrow" w:cs="Arial"/>
                <w:sz w:val="20"/>
                <w:szCs w:val="20"/>
              </w:rPr>
            </w:pPr>
          </w:p>
          <w:p w:rsidR="00E90F3B" w:rsidRPr="00260CE3" w:rsidRDefault="00E90F3B" w:rsidP="003034B1">
            <w:pPr>
              <w:keepNext/>
              <w:jc w:val="both"/>
              <w:rPr>
                <w:rFonts w:ascii="Arial Narrow" w:hAnsi="Arial Narrow" w:cs="Arial"/>
                <w:sz w:val="20"/>
                <w:szCs w:val="20"/>
              </w:rPr>
            </w:pPr>
            <w:proofErr w:type="spellStart"/>
            <w:r>
              <w:rPr>
                <w:rFonts w:ascii="Arial Narrow" w:hAnsi="Arial Narrow" w:cs="Arial"/>
                <w:sz w:val="20"/>
                <w:szCs w:val="20"/>
              </w:rPr>
              <w:t>Teva</w:t>
            </w:r>
            <w:proofErr w:type="spellEnd"/>
          </w:p>
        </w:tc>
      </w:tr>
    </w:tbl>
    <w:p w:rsidR="007A029A" w:rsidRDefault="007A029A"/>
    <w:tbl>
      <w:tblPr>
        <w:tblW w:w="8363" w:type="dxa"/>
        <w:tblInd w:w="817" w:type="dxa"/>
        <w:tblLayout w:type="fixed"/>
        <w:tblLook w:val="0000" w:firstRow="0" w:lastRow="0" w:firstColumn="0" w:lastColumn="0" w:noHBand="0" w:noVBand="0"/>
        <w:tblCaption w:val="Requested listing - part 2"/>
      </w:tblPr>
      <w:tblGrid>
        <w:gridCol w:w="1985"/>
        <w:gridCol w:w="6378"/>
      </w:tblGrid>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E90F3B">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Palliative Care (Code PL)</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1E3494" w:rsidRDefault="00826F6D" w:rsidP="001E3494">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4B5BD6">
              <w:rPr>
                <w:rFonts w:ascii="Arial Narrow" w:hAnsi="Arial Narrow" w:cs="Arial"/>
                <w:sz w:val="20"/>
                <w:szCs w:val="20"/>
              </w:rPr>
              <w:fldChar w:fldCharType="begin">
                <w:ffData>
                  <w:name w:val=""/>
                  <w:enabled/>
                  <w:calcOnExit w:val="0"/>
                  <w:checkBox>
                    <w:sizeAuto/>
                    <w:default w:val="1"/>
                  </w:checkBox>
                </w:ffData>
              </w:fldChar>
            </w:r>
            <w:r w:rsidR="004B5BD6">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sidR="004B5BD6">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001E3494">
              <w:rPr>
                <w:rFonts w:ascii="Arial Narrow" w:hAnsi="Arial Narrow" w:cs="Arial"/>
                <w:sz w:val="20"/>
                <w:szCs w:val="20"/>
              </w:rPr>
              <w:t xml:space="preserve">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F4092F">
              <w:rPr>
                <w:rFonts w:ascii="Arial Narrow" w:hAnsi="Arial Narrow" w:cs="Arial"/>
                <w:sz w:val="20"/>
                <w:szCs w:val="20"/>
              </w:rPr>
              <w:t xml:space="preserve"> </w:t>
            </w:r>
          </w:p>
          <w:p w:rsidR="00826F6D" w:rsidRPr="00260CE3" w:rsidRDefault="00826F6D" w:rsidP="001E3494">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378" w:type="dxa"/>
            <w:tcBorders>
              <w:top w:val="single" w:sz="4" w:space="0" w:color="auto"/>
              <w:left w:val="single" w:sz="4" w:space="0" w:color="auto"/>
              <w:bottom w:val="single" w:sz="4" w:space="0" w:color="auto"/>
              <w:right w:val="single" w:sz="4" w:space="0" w:color="auto"/>
            </w:tcBorders>
          </w:tcPr>
          <w:p w:rsidR="00826F6D" w:rsidRPr="00260CE3" w:rsidRDefault="00F4092F" w:rsidP="00C27B58">
            <w:pPr>
              <w:rPr>
                <w:rFonts w:ascii="Arial Narrow" w:hAnsi="Arial Narrow" w:cs="Arial"/>
                <w:sz w:val="20"/>
                <w:szCs w:val="20"/>
              </w:rPr>
            </w:pPr>
            <w:r>
              <w:rPr>
                <w:rFonts w:ascii="Arial Narrow" w:hAnsi="Arial Narrow" w:cs="Arial"/>
                <w:sz w:val="20"/>
                <w:szCs w:val="20"/>
              </w:rPr>
              <w:t>-</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tcPr>
          <w:p w:rsidR="00826F6D" w:rsidRPr="00260CE3" w:rsidRDefault="00F4092F" w:rsidP="00C27B58">
            <w:pPr>
              <w:rPr>
                <w:rFonts w:ascii="Arial Narrow" w:hAnsi="Arial Narrow" w:cs="Arial"/>
                <w:sz w:val="20"/>
                <w:szCs w:val="20"/>
              </w:rPr>
            </w:pPr>
            <w:r>
              <w:rPr>
                <w:rFonts w:ascii="Arial Narrow" w:hAnsi="Arial Narrow" w:cs="Arial"/>
                <w:sz w:val="20"/>
                <w:szCs w:val="20"/>
              </w:rPr>
              <w:t>-</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826F6D" w:rsidRPr="00F4092F" w:rsidRDefault="00BF17EC" w:rsidP="00F201A7">
            <w:pPr>
              <w:rPr>
                <w:rFonts w:ascii="Arial Narrow" w:hAnsi="Arial Narrow" w:cs="Arial"/>
                <w:i/>
                <w:sz w:val="20"/>
                <w:szCs w:val="20"/>
              </w:rPr>
            </w:pPr>
            <w:r w:rsidRPr="00F4092F">
              <w:rPr>
                <w:rFonts w:ascii="Arial Narrow" w:hAnsi="Arial Narrow" w:cs="Arial"/>
                <w:i/>
                <w:sz w:val="20"/>
                <w:szCs w:val="20"/>
              </w:rPr>
              <w:t xml:space="preserve">Breakthrough </w:t>
            </w:r>
            <w:r w:rsidR="00F201A7" w:rsidRPr="00F4092F">
              <w:rPr>
                <w:rFonts w:ascii="Arial Narrow" w:hAnsi="Arial Narrow" w:cs="Arial"/>
                <w:i/>
                <w:sz w:val="20"/>
                <w:szCs w:val="20"/>
              </w:rPr>
              <w:t xml:space="preserve">pain </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826F6D" w:rsidRPr="00F4092F" w:rsidRDefault="00F201A7" w:rsidP="00C27B58">
            <w:pPr>
              <w:rPr>
                <w:rFonts w:ascii="Arial Narrow" w:hAnsi="Arial Narrow" w:cs="Arial"/>
                <w:i/>
                <w:sz w:val="20"/>
                <w:szCs w:val="20"/>
              </w:rPr>
            </w:pPr>
            <w:r w:rsidRPr="00F4092F">
              <w:rPr>
                <w:rFonts w:ascii="Arial Narrow" w:hAnsi="Arial Narrow" w:cs="Arial"/>
                <w:i/>
                <w:sz w:val="20"/>
                <w:szCs w:val="20"/>
              </w:rPr>
              <w:t>Breakthrough pain</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90F3B"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826F6D" w:rsidRPr="00F201A7" w:rsidRDefault="00BF17EC" w:rsidP="007F0968">
            <w:pPr>
              <w:rPr>
                <w:rFonts w:ascii="Arial Narrow" w:hAnsi="Arial Narrow" w:cs="Arial"/>
                <w:sz w:val="20"/>
                <w:szCs w:val="20"/>
              </w:rPr>
            </w:pPr>
            <w:r w:rsidRPr="00F201A7">
              <w:rPr>
                <w:rFonts w:ascii="Arial Narrow" w:hAnsi="Arial Narrow"/>
                <w:sz w:val="20"/>
                <w:szCs w:val="20"/>
              </w:rPr>
              <w:t xml:space="preserve">Initial treatment </w:t>
            </w:r>
            <w:r w:rsidR="001E3494">
              <w:rPr>
                <w:rFonts w:ascii="Arial Narrow" w:hAnsi="Arial Narrow"/>
                <w:sz w:val="20"/>
                <w:szCs w:val="20"/>
              </w:rPr>
              <w:t>for dose titration</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4B5BD6"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F4092F" w:rsidP="00C27B58">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Authority Required - Telephone</w:t>
            </w:r>
          </w:p>
          <w:p w:rsidR="00826F6D" w:rsidRPr="00106BCF" w:rsidRDefault="00F4092F"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Emergency</w:t>
            </w:r>
          </w:p>
          <w:p w:rsidR="00826F6D" w:rsidRPr="00106BCF" w:rsidRDefault="00F4092F"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FA7508">
              <w:rPr>
                <w:rFonts w:ascii="Arial Narrow" w:hAnsi="Arial Narrow" w:cs="Arial"/>
                <w:sz w:val="20"/>
                <w:szCs w:val="20"/>
              </w:rPr>
            </w:r>
            <w:r w:rsidR="00FA7508">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E3494" w:rsidRDefault="00826F6D" w:rsidP="00BF17EC">
            <w:pPr>
              <w:rPr>
                <w:rFonts w:ascii="Arial Narrow" w:hAnsi="Arial Narrow" w:cs="Arial"/>
                <w:b/>
                <w:sz w:val="20"/>
                <w:szCs w:val="20"/>
              </w:rPr>
            </w:pPr>
            <w:r w:rsidRPr="00260CE3">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tcPr>
          <w:p w:rsidR="00826F6D" w:rsidRPr="001E3494" w:rsidRDefault="001E3494" w:rsidP="001E3494">
            <w:pPr>
              <w:rPr>
                <w:rFonts w:ascii="Arial Narrow" w:hAnsi="Arial Narrow"/>
                <w:i/>
                <w:color w:val="000000" w:themeColor="text1"/>
                <w:sz w:val="20"/>
                <w:szCs w:val="20"/>
              </w:rPr>
            </w:pPr>
            <w:r w:rsidRPr="001E3494">
              <w:rPr>
                <w:rFonts w:ascii="Arial Narrow" w:hAnsi="Arial Narrow"/>
                <w:i/>
                <w:color w:val="000000" w:themeColor="text1"/>
                <w:sz w:val="20"/>
                <w:szCs w:val="20"/>
              </w:rPr>
              <w:t>Patient must be undergoing palliative care</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C27B58">
            <w:pPr>
              <w:jc w:val="both"/>
              <w:rPr>
                <w:rFonts w:ascii="Arial Narrow" w:hAnsi="Arial Narrow" w:cs="Arial"/>
                <w:i/>
                <w:sz w:val="20"/>
                <w:szCs w:val="20"/>
              </w:rPr>
            </w:pPr>
          </w:p>
          <w:p w:rsidR="00826F6D" w:rsidRPr="00260CE3" w:rsidRDefault="00826F6D" w:rsidP="00BF17EC">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F201A7" w:rsidRPr="00A126F1" w:rsidRDefault="00F201A7" w:rsidP="00F201A7">
            <w:pPr>
              <w:pStyle w:val="Table"/>
              <w:rPr>
                <w:rFonts w:ascii="Arial Narrow" w:hAnsi="Arial Narrow"/>
                <w:color w:val="000000" w:themeColor="text1"/>
                <w:szCs w:val="20"/>
              </w:rPr>
            </w:pPr>
            <w:r w:rsidRPr="00A126F1">
              <w:rPr>
                <w:rFonts w:ascii="Arial Narrow" w:hAnsi="Arial Narrow"/>
                <w:color w:val="000000" w:themeColor="text1"/>
                <w:szCs w:val="20"/>
              </w:rPr>
              <w:t xml:space="preserve">Patient must have cancer, </w:t>
            </w:r>
          </w:p>
          <w:p w:rsidR="00F201A7" w:rsidRPr="00A126F1" w:rsidRDefault="00F201A7" w:rsidP="00F201A7">
            <w:pPr>
              <w:pStyle w:val="Table"/>
              <w:rPr>
                <w:rFonts w:ascii="Arial Narrow" w:hAnsi="Arial Narrow"/>
                <w:color w:val="000000" w:themeColor="text1"/>
                <w:szCs w:val="20"/>
              </w:rPr>
            </w:pPr>
            <w:r w:rsidRPr="00A126F1">
              <w:rPr>
                <w:rFonts w:ascii="Arial Narrow" w:hAnsi="Arial Narrow"/>
                <w:color w:val="000000" w:themeColor="text1"/>
                <w:szCs w:val="20"/>
              </w:rPr>
              <w:t>AND</w:t>
            </w:r>
          </w:p>
          <w:p w:rsidR="00F201A7" w:rsidRDefault="00F201A7" w:rsidP="00F201A7">
            <w:pPr>
              <w:pStyle w:val="Table"/>
              <w:rPr>
                <w:rFonts w:ascii="Arial Narrow" w:hAnsi="Arial Narrow"/>
                <w:color w:val="000000" w:themeColor="text1"/>
                <w:szCs w:val="20"/>
              </w:rPr>
            </w:pPr>
            <w:r w:rsidRPr="00020DE7">
              <w:rPr>
                <w:rFonts w:ascii="Arial Narrow" w:hAnsi="Arial Narrow"/>
                <w:color w:val="000000" w:themeColor="text1"/>
                <w:szCs w:val="20"/>
              </w:rPr>
              <w:t>Patient must be receiving opioids for their persistent pain,</w:t>
            </w:r>
          </w:p>
          <w:p w:rsidR="00F201A7" w:rsidRDefault="00F201A7" w:rsidP="00F201A7">
            <w:pPr>
              <w:pStyle w:val="Table"/>
              <w:rPr>
                <w:rFonts w:ascii="Arial Narrow" w:hAnsi="Arial Narrow"/>
                <w:color w:val="000000" w:themeColor="text1"/>
                <w:szCs w:val="20"/>
              </w:rPr>
            </w:pPr>
            <w:r>
              <w:rPr>
                <w:rFonts w:ascii="Arial Narrow" w:hAnsi="Arial Narrow"/>
                <w:color w:val="000000" w:themeColor="text1"/>
                <w:szCs w:val="20"/>
              </w:rPr>
              <w:t>AND</w:t>
            </w:r>
          </w:p>
          <w:p w:rsidR="00826F6D" w:rsidRPr="001E3494" w:rsidRDefault="00F201A7" w:rsidP="001E3494">
            <w:pPr>
              <w:pStyle w:val="Table"/>
              <w:rPr>
                <w:rFonts w:ascii="Arial Narrow" w:hAnsi="Arial Narrow"/>
                <w:color w:val="000000" w:themeColor="text1"/>
                <w:szCs w:val="20"/>
              </w:rPr>
            </w:pPr>
            <w:r w:rsidRPr="00020DE7">
              <w:rPr>
                <w:rFonts w:ascii="Arial Narrow" w:hAnsi="Arial Narrow"/>
                <w:color w:val="000000" w:themeColor="text1"/>
                <w:szCs w:val="20"/>
              </w:rPr>
              <w:t>Patient must be unable to tolerate further escalation in the dose of short acting opioids (which may include morphine) for breakthrough pain due to adverse effects</w:t>
            </w:r>
          </w:p>
        </w:tc>
      </w:tr>
      <w:tr w:rsidR="00826F6D"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BF17EC">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DF337C" w:rsidRPr="00A126F1" w:rsidRDefault="00DF337C" w:rsidP="00DF337C">
            <w:pPr>
              <w:rPr>
                <w:rFonts w:ascii="Arial Narrow" w:hAnsi="Arial Narrow"/>
                <w:color w:val="000000" w:themeColor="text1"/>
                <w:sz w:val="20"/>
                <w:u w:val="single"/>
              </w:rPr>
            </w:pPr>
            <w:r w:rsidRPr="00A126F1">
              <w:rPr>
                <w:rFonts w:ascii="Arial Narrow" w:hAnsi="Arial Narrow"/>
                <w:color w:val="000000" w:themeColor="text1"/>
                <w:sz w:val="20"/>
                <w:u w:val="single"/>
              </w:rPr>
              <w:t>Shared Care Model:</w:t>
            </w:r>
          </w:p>
          <w:p w:rsidR="00DF337C" w:rsidRDefault="00DF337C" w:rsidP="00DF337C">
            <w:pPr>
              <w:rPr>
                <w:rFonts w:ascii="Arial Narrow" w:hAnsi="Arial Narrow"/>
                <w:color w:val="000000" w:themeColor="text1"/>
                <w:sz w:val="20"/>
              </w:rPr>
            </w:pPr>
            <w:r w:rsidRPr="00A126F1">
              <w:rPr>
                <w:rFonts w:ascii="Arial Narrow" w:hAnsi="Arial Narrow"/>
                <w:color w:val="000000" w:themeColor="text1"/>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6146C7" w:rsidRDefault="006146C7" w:rsidP="00DF337C">
            <w:pPr>
              <w:rPr>
                <w:rFonts w:ascii="Arial Narrow" w:hAnsi="Arial Narrow"/>
                <w:color w:val="000000" w:themeColor="text1"/>
                <w:sz w:val="20"/>
              </w:rPr>
            </w:pPr>
          </w:p>
          <w:p w:rsidR="006146C7" w:rsidRPr="006146C7" w:rsidRDefault="006146C7" w:rsidP="00DF337C">
            <w:pPr>
              <w:rPr>
                <w:rFonts w:ascii="Arial Narrow" w:hAnsi="Arial Narrow"/>
                <w:b/>
                <w:color w:val="000000" w:themeColor="text1"/>
                <w:sz w:val="20"/>
                <w:u w:val="single"/>
              </w:rPr>
            </w:pPr>
            <w:r>
              <w:rPr>
                <w:rFonts w:ascii="Arial Narrow" w:hAnsi="Arial Narrow"/>
                <w:b/>
                <w:color w:val="000000" w:themeColor="text1"/>
                <w:sz w:val="20"/>
                <w:u w:val="single"/>
              </w:rPr>
              <w:t>Note</w:t>
            </w:r>
          </w:p>
          <w:p w:rsidR="00826F6D" w:rsidRDefault="006146C7" w:rsidP="00C27B58">
            <w:pPr>
              <w:rPr>
                <w:rFonts w:ascii="Arial Narrow" w:hAnsi="Arial Narrow"/>
                <w:color w:val="000000" w:themeColor="text1"/>
                <w:sz w:val="20"/>
              </w:rPr>
            </w:pPr>
            <w:r w:rsidRPr="00A126F1">
              <w:rPr>
                <w:rFonts w:ascii="Arial Narrow" w:hAnsi="Arial Narrow"/>
                <w:color w:val="000000" w:themeColor="text1"/>
                <w:sz w:val="20"/>
              </w:rPr>
              <w:t>No increase in the maximum number of repeats may be authorised.</w:t>
            </w:r>
          </w:p>
          <w:p w:rsidR="008651DA" w:rsidRDefault="008651DA" w:rsidP="00C27B58">
            <w:pPr>
              <w:rPr>
                <w:rFonts w:ascii="Arial Narrow" w:hAnsi="Arial Narrow"/>
                <w:color w:val="000000" w:themeColor="text1"/>
                <w:sz w:val="20"/>
              </w:rPr>
            </w:pPr>
          </w:p>
          <w:p w:rsidR="008651DA" w:rsidRPr="00232807" w:rsidRDefault="008651DA" w:rsidP="008651DA">
            <w:pPr>
              <w:rPr>
                <w:rFonts w:ascii="Arial Narrow" w:hAnsi="Arial Narrow"/>
                <w:b/>
                <w:sz w:val="20"/>
                <w:u w:val="single"/>
              </w:rPr>
            </w:pPr>
            <w:r w:rsidRPr="00232807">
              <w:rPr>
                <w:rFonts w:ascii="Arial Narrow" w:hAnsi="Arial Narrow"/>
                <w:b/>
                <w:sz w:val="20"/>
                <w:u w:val="single"/>
              </w:rPr>
              <w:t>Note</w:t>
            </w:r>
          </w:p>
          <w:p w:rsidR="008651DA" w:rsidRPr="00260CE3" w:rsidRDefault="008651DA" w:rsidP="008651DA">
            <w:pPr>
              <w:rPr>
                <w:rFonts w:ascii="Arial Narrow" w:hAnsi="Arial Narrow" w:cs="Arial"/>
                <w:sz w:val="20"/>
                <w:szCs w:val="20"/>
              </w:rPr>
            </w:pPr>
            <w:r>
              <w:rPr>
                <w:rFonts w:ascii="Arial Narrow" w:hAnsi="Arial Narrow"/>
                <w:i/>
                <w:sz w:val="20"/>
              </w:rPr>
              <w:t>Special Pricing Arrangements apply</w:t>
            </w:r>
          </w:p>
        </w:tc>
      </w:tr>
      <w:tr w:rsidR="001E3494" w:rsidRPr="00260CE3" w:rsidTr="001E34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1E3494" w:rsidRPr="00260CE3" w:rsidRDefault="001E3494" w:rsidP="00C27B58">
            <w:pPr>
              <w:jc w:val="both"/>
              <w:rPr>
                <w:rFonts w:ascii="Arial Narrow" w:hAnsi="Arial Narrow" w:cs="Arial"/>
                <w:b/>
                <w:sz w:val="20"/>
                <w:szCs w:val="20"/>
              </w:rPr>
            </w:pPr>
            <w:r w:rsidRPr="00260CE3">
              <w:rPr>
                <w:rFonts w:ascii="Arial Narrow" w:hAnsi="Arial Narrow" w:cs="Arial"/>
                <w:b/>
                <w:sz w:val="20"/>
                <w:szCs w:val="20"/>
              </w:rPr>
              <w:t>Cautions</w:t>
            </w:r>
          </w:p>
          <w:p w:rsidR="001E3494" w:rsidRPr="00260CE3" w:rsidRDefault="001E3494" w:rsidP="00BF17EC">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1E3494" w:rsidRPr="001E3494" w:rsidRDefault="001E3494" w:rsidP="00C01F82">
            <w:pPr>
              <w:spacing w:beforeAutospacing="1" w:afterAutospacing="1"/>
              <w:rPr>
                <w:rFonts w:ascii="Arial Narrow" w:hAnsi="Arial Narrow"/>
                <w:sz w:val="20"/>
              </w:rPr>
            </w:pPr>
            <w:r w:rsidRPr="001E3494">
              <w:rPr>
                <w:rFonts w:ascii="Arial Narrow" w:hAnsi="Arial Narrow"/>
                <w:sz w:val="20"/>
              </w:rPr>
              <w:t>The risk of drug dependence is high.</w:t>
            </w:r>
          </w:p>
        </w:tc>
      </w:tr>
    </w:tbl>
    <w:p w:rsidR="00826F6D" w:rsidRDefault="00826F6D" w:rsidP="00826F6D">
      <w:pPr>
        <w:pStyle w:val="ListParagraph"/>
        <w:jc w:val="both"/>
        <w:rPr>
          <w:rFonts w:ascii="Arial" w:hAnsi="Arial"/>
          <w:sz w:val="22"/>
          <w:szCs w:val="22"/>
        </w:rPr>
      </w:pPr>
    </w:p>
    <w:p w:rsidR="007A029A" w:rsidRPr="00826F6D" w:rsidRDefault="007A029A" w:rsidP="00826F6D">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Caption w:val="Requested listing - Part 3"/>
      </w:tblPr>
      <w:tblGrid>
        <w:gridCol w:w="3119"/>
        <w:gridCol w:w="850"/>
        <w:gridCol w:w="709"/>
        <w:gridCol w:w="1276"/>
        <w:gridCol w:w="1275"/>
        <w:gridCol w:w="1134"/>
      </w:tblGrid>
      <w:tr w:rsidR="001E3494" w:rsidRPr="0039782C" w:rsidTr="00C01F82">
        <w:trPr>
          <w:cantSplit/>
          <w:trHeight w:val="471"/>
        </w:trPr>
        <w:tc>
          <w:tcPr>
            <w:tcW w:w="3119" w:type="dxa"/>
            <w:tcBorders>
              <w:bottom w:val="single" w:sz="4" w:space="0" w:color="auto"/>
            </w:tcBorders>
          </w:tcPr>
          <w:p w:rsidR="001E3494" w:rsidRPr="0039782C" w:rsidRDefault="001E3494" w:rsidP="00C01F82">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1E3494" w:rsidRPr="0039782C" w:rsidRDefault="001E3494" w:rsidP="00C01F82">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1E3494" w:rsidRPr="0039782C" w:rsidRDefault="001E3494" w:rsidP="00C01F82">
            <w:pPr>
              <w:keepNext/>
              <w:ind w:left="-108"/>
              <w:jc w:val="both"/>
              <w:rPr>
                <w:rFonts w:ascii="Arial Narrow" w:hAnsi="Arial Narrow" w:cs="Arial"/>
                <w:b/>
                <w:sz w:val="20"/>
                <w:szCs w:val="20"/>
              </w:rPr>
            </w:pPr>
            <w:r w:rsidRPr="0039782C">
              <w:rPr>
                <w:rFonts w:ascii="Arial Narrow" w:hAnsi="Arial Narrow" w:cs="Arial"/>
                <w:b/>
                <w:sz w:val="20"/>
                <w:szCs w:val="20"/>
              </w:rPr>
              <w:t>Max.</w:t>
            </w:r>
          </w:p>
          <w:p w:rsidR="001E3494" w:rsidRPr="0039782C" w:rsidRDefault="001E3494" w:rsidP="00C01F8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1E3494" w:rsidRPr="0039782C" w:rsidRDefault="001E3494" w:rsidP="00C01F82">
            <w:pPr>
              <w:keepNext/>
              <w:ind w:left="-108"/>
              <w:jc w:val="both"/>
              <w:rPr>
                <w:rFonts w:ascii="Arial Narrow" w:hAnsi="Arial Narrow" w:cs="Arial"/>
                <w:b/>
                <w:sz w:val="20"/>
                <w:szCs w:val="20"/>
              </w:rPr>
            </w:pPr>
            <w:r w:rsidRPr="0039782C">
              <w:rPr>
                <w:rFonts w:ascii="Arial Narrow" w:hAnsi="Arial Narrow" w:cs="Arial"/>
                <w:b/>
                <w:sz w:val="20"/>
                <w:szCs w:val="20"/>
              </w:rPr>
              <w:t>№.of</w:t>
            </w:r>
          </w:p>
          <w:p w:rsidR="001E3494" w:rsidRPr="0039782C" w:rsidRDefault="001E3494" w:rsidP="00C01F82">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276" w:type="dxa"/>
            <w:tcBorders>
              <w:bottom w:val="single" w:sz="4" w:space="0" w:color="auto"/>
            </w:tcBorders>
          </w:tcPr>
          <w:p w:rsidR="001E3494" w:rsidRPr="0039782C" w:rsidRDefault="001E3494" w:rsidP="00C01F82">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2409" w:type="dxa"/>
            <w:gridSpan w:val="2"/>
            <w:tcBorders>
              <w:bottom w:val="single" w:sz="4" w:space="0" w:color="auto"/>
            </w:tcBorders>
          </w:tcPr>
          <w:p w:rsidR="001E3494" w:rsidRPr="0039782C" w:rsidRDefault="001E3494" w:rsidP="00C01F82">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E3494" w:rsidRPr="00260CE3" w:rsidTr="00C01F82">
        <w:trPr>
          <w:cantSplit/>
          <w:trHeight w:val="577"/>
        </w:trPr>
        <w:tc>
          <w:tcPr>
            <w:tcW w:w="3119" w:type="dxa"/>
          </w:tcPr>
          <w:p w:rsidR="001E3494" w:rsidRPr="00260CE3" w:rsidRDefault="001E3494" w:rsidP="00C01F82">
            <w:pPr>
              <w:keepNext/>
              <w:ind w:left="-108"/>
              <w:jc w:val="both"/>
              <w:rPr>
                <w:rFonts w:ascii="Arial Narrow" w:hAnsi="Arial Narrow" w:cs="Arial"/>
                <w:sz w:val="20"/>
                <w:szCs w:val="20"/>
              </w:rPr>
            </w:pPr>
            <w:r>
              <w:rPr>
                <w:rFonts w:ascii="Arial Narrow" w:hAnsi="Arial Narrow" w:cs="Arial"/>
                <w:smallCaps/>
                <w:sz w:val="20"/>
                <w:szCs w:val="20"/>
              </w:rPr>
              <w:t>FENTANYL</w:t>
            </w:r>
          </w:p>
          <w:p w:rsidR="001E3494" w:rsidRPr="00F4092F" w:rsidRDefault="001E3494" w:rsidP="00C01F82">
            <w:pPr>
              <w:keepNext/>
              <w:ind w:left="-108"/>
              <w:jc w:val="both"/>
              <w:rPr>
                <w:rFonts w:ascii="Arial Narrow" w:hAnsi="Arial Narrow" w:cs="Arial"/>
                <w:sz w:val="20"/>
                <w:szCs w:val="20"/>
              </w:rPr>
            </w:pPr>
            <w:r w:rsidRPr="00F4092F">
              <w:rPr>
                <w:rFonts w:ascii="Arial Narrow" w:hAnsi="Arial Narrow" w:cs="Arial"/>
                <w:sz w:val="20"/>
                <w:szCs w:val="20"/>
              </w:rPr>
              <w:t xml:space="preserve">fentanyl tablet (buccal) </w:t>
            </w:r>
          </w:p>
          <w:p w:rsidR="001E3494" w:rsidRPr="00F4092F" w:rsidRDefault="001E3494" w:rsidP="00C01F82">
            <w:pPr>
              <w:keepNext/>
              <w:ind w:left="-108"/>
              <w:jc w:val="both"/>
              <w:rPr>
                <w:rFonts w:ascii="Arial Narrow" w:hAnsi="Arial Narrow" w:cs="Arial"/>
                <w:sz w:val="20"/>
                <w:szCs w:val="20"/>
              </w:rPr>
            </w:pPr>
            <w:r>
              <w:rPr>
                <w:rFonts w:ascii="Arial Narrow" w:hAnsi="Arial Narrow" w:cs="Arial"/>
                <w:sz w:val="20"/>
                <w:szCs w:val="20"/>
              </w:rPr>
              <w:t>100 micrograms (as citrate), 28</w:t>
            </w:r>
          </w:p>
          <w:p w:rsidR="001E3494" w:rsidRPr="00F4092F" w:rsidRDefault="001E3494" w:rsidP="00C01F82">
            <w:pPr>
              <w:keepNext/>
              <w:ind w:left="-108"/>
              <w:jc w:val="both"/>
              <w:rPr>
                <w:rFonts w:ascii="Arial Narrow" w:hAnsi="Arial Narrow" w:cs="Arial"/>
                <w:sz w:val="20"/>
                <w:szCs w:val="20"/>
              </w:rPr>
            </w:pPr>
            <w:r>
              <w:rPr>
                <w:rFonts w:ascii="Arial Narrow" w:hAnsi="Arial Narrow" w:cs="Arial"/>
                <w:sz w:val="20"/>
                <w:szCs w:val="20"/>
              </w:rPr>
              <w:t>200 micrograms (as citrate), 28</w:t>
            </w:r>
          </w:p>
          <w:p w:rsidR="001E3494" w:rsidRPr="00F4092F" w:rsidRDefault="001E3494" w:rsidP="00C01F82">
            <w:pPr>
              <w:keepNext/>
              <w:ind w:left="-108"/>
              <w:jc w:val="both"/>
              <w:rPr>
                <w:rFonts w:ascii="Arial Narrow" w:hAnsi="Arial Narrow" w:cs="Arial"/>
                <w:sz w:val="20"/>
                <w:szCs w:val="20"/>
              </w:rPr>
            </w:pPr>
            <w:r>
              <w:rPr>
                <w:rFonts w:ascii="Arial Narrow" w:hAnsi="Arial Narrow" w:cs="Arial"/>
                <w:sz w:val="20"/>
                <w:szCs w:val="20"/>
              </w:rPr>
              <w:t>400 micrograms (as citrate), 28</w:t>
            </w:r>
          </w:p>
          <w:p w:rsidR="001E3494" w:rsidRPr="00F4092F" w:rsidRDefault="001E3494" w:rsidP="00C01F82">
            <w:pPr>
              <w:keepNext/>
              <w:ind w:left="-108"/>
              <w:jc w:val="both"/>
              <w:rPr>
                <w:rFonts w:ascii="Arial Narrow" w:hAnsi="Arial Narrow" w:cs="Arial"/>
                <w:sz w:val="20"/>
                <w:szCs w:val="20"/>
              </w:rPr>
            </w:pPr>
            <w:r>
              <w:rPr>
                <w:rFonts w:ascii="Arial Narrow" w:hAnsi="Arial Narrow" w:cs="Arial"/>
                <w:sz w:val="20"/>
                <w:szCs w:val="20"/>
              </w:rPr>
              <w:t>600 micrograms (as citrate), 28</w:t>
            </w:r>
          </w:p>
          <w:p w:rsidR="001E3494" w:rsidRPr="00260CE3" w:rsidRDefault="001E3494" w:rsidP="00C01F82">
            <w:pPr>
              <w:keepNext/>
              <w:ind w:left="-108"/>
              <w:jc w:val="both"/>
              <w:rPr>
                <w:rFonts w:ascii="Arial Narrow" w:hAnsi="Arial Narrow" w:cs="Arial"/>
                <w:sz w:val="20"/>
                <w:szCs w:val="20"/>
              </w:rPr>
            </w:pPr>
            <w:r w:rsidRPr="00F4092F">
              <w:rPr>
                <w:rFonts w:ascii="Arial Narrow" w:hAnsi="Arial Narrow" w:cs="Arial"/>
                <w:sz w:val="20"/>
                <w:szCs w:val="20"/>
              </w:rPr>
              <w:t xml:space="preserve">800 micrograms (as citrate), </w:t>
            </w:r>
            <w:r>
              <w:rPr>
                <w:rFonts w:ascii="Arial Narrow" w:hAnsi="Arial Narrow" w:cs="Arial"/>
                <w:sz w:val="20"/>
                <w:szCs w:val="20"/>
              </w:rPr>
              <w:t>28</w:t>
            </w:r>
          </w:p>
        </w:tc>
        <w:tc>
          <w:tcPr>
            <w:tcW w:w="850" w:type="dxa"/>
          </w:tcPr>
          <w:p w:rsidR="001E3494" w:rsidRPr="00260CE3" w:rsidRDefault="001E3494" w:rsidP="00C01F82">
            <w:pPr>
              <w:keepNext/>
              <w:ind w:left="-108"/>
              <w:jc w:val="both"/>
              <w:rPr>
                <w:rFonts w:ascii="Arial Narrow" w:hAnsi="Arial Narrow" w:cs="Arial"/>
                <w:sz w:val="20"/>
                <w:szCs w:val="20"/>
              </w:rPr>
            </w:pPr>
          </w:p>
          <w:p w:rsidR="001E3494" w:rsidRPr="00260CE3" w:rsidRDefault="001E3494" w:rsidP="00C01F82">
            <w:pPr>
              <w:keepNext/>
              <w:ind w:left="-108"/>
              <w:jc w:val="both"/>
              <w:rPr>
                <w:rFonts w:ascii="Arial Narrow" w:hAnsi="Arial Narrow" w:cs="Arial"/>
                <w:sz w:val="20"/>
                <w:szCs w:val="20"/>
              </w:rPr>
            </w:pPr>
            <w:r>
              <w:rPr>
                <w:rFonts w:ascii="Arial Narrow" w:hAnsi="Arial Narrow" w:cs="Arial"/>
                <w:sz w:val="20"/>
                <w:szCs w:val="20"/>
              </w:rPr>
              <w:t>2</w:t>
            </w:r>
          </w:p>
        </w:tc>
        <w:tc>
          <w:tcPr>
            <w:tcW w:w="709" w:type="dxa"/>
          </w:tcPr>
          <w:p w:rsidR="001E3494" w:rsidRPr="00260CE3" w:rsidRDefault="001E3494" w:rsidP="00C01F82">
            <w:pPr>
              <w:keepNext/>
              <w:ind w:left="-108"/>
              <w:jc w:val="both"/>
              <w:rPr>
                <w:rFonts w:ascii="Arial Narrow" w:hAnsi="Arial Narrow" w:cs="Arial"/>
                <w:sz w:val="20"/>
                <w:szCs w:val="20"/>
              </w:rPr>
            </w:pPr>
          </w:p>
          <w:p w:rsidR="001E3494" w:rsidRPr="00260CE3" w:rsidRDefault="001E3494" w:rsidP="00C01F82">
            <w:pPr>
              <w:keepNext/>
              <w:ind w:left="-108"/>
              <w:jc w:val="both"/>
              <w:rPr>
                <w:rFonts w:ascii="Arial Narrow" w:hAnsi="Arial Narrow" w:cs="Arial"/>
                <w:sz w:val="20"/>
                <w:szCs w:val="20"/>
              </w:rPr>
            </w:pPr>
            <w:r>
              <w:rPr>
                <w:rFonts w:ascii="Arial Narrow" w:hAnsi="Arial Narrow" w:cs="Arial"/>
                <w:sz w:val="20"/>
                <w:szCs w:val="20"/>
              </w:rPr>
              <w:t>0</w:t>
            </w:r>
          </w:p>
        </w:tc>
        <w:tc>
          <w:tcPr>
            <w:tcW w:w="1276" w:type="dxa"/>
          </w:tcPr>
          <w:p w:rsidR="001E3494" w:rsidRPr="00260CE3" w:rsidRDefault="001E3494" w:rsidP="00C01F82">
            <w:pPr>
              <w:keepNext/>
              <w:ind w:left="-108"/>
              <w:jc w:val="both"/>
              <w:rPr>
                <w:rFonts w:ascii="Arial Narrow" w:hAnsi="Arial Narrow" w:cs="Arial"/>
                <w:sz w:val="20"/>
                <w:szCs w:val="20"/>
              </w:rPr>
            </w:pPr>
          </w:p>
          <w:p w:rsidR="001E3494" w:rsidRPr="00260CE3" w:rsidRDefault="001E3494" w:rsidP="00C01F82">
            <w:pPr>
              <w:keepNext/>
              <w:ind w:left="-108"/>
              <w:jc w:val="both"/>
              <w:rPr>
                <w:rFonts w:ascii="Arial Narrow" w:hAnsi="Arial Narrow" w:cs="Arial"/>
                <w:sz w:val="20"/>
                <w:szCs w:val="20"/>
              </w:rPr>
            </w:pPr>
            <w:r>
              <w:rPr>
                <w:rFonts w:ascii="Arial Narrow" w:hAnsi="Arial Narrow" w:cs="Arial"/>
                <w:sz w:val="20"/>
                <w:szCs w:val="20"/>
              </w:rPr>
              <w:t>$</w:t>
            </w:r>
            <w:r w:rsidR="00363061">
              <w:rPr>
                <w:rFonts w:ascii="Arial Narrow" w:hAnsi="Arial Narrow" w:cs="Arial"/>
                <w:noProof/>
                <w:color w:val="000000"/>
                <w:sz w:val="20"/>
                <w:szCs w:val="20"/>
                <w:highlight w:val="black"/>
              </w:rPr>
              <w:t xml:space="preserve">''''''''''''''''' </w:t>
            </w:r>
            <w:r w:rsidR="009F65AF" w:rsidRPr="003E76D1">
              <w:rPr>
                <w:rFonts w:ascii="Arial Narrow" w:hAnsi="Arial Narrow" w:cs="Arial"/>
                <w:sz w:val="20"/>
                <w:szCs w:val="20"/>
              </w:rPr>
              <w:t>(published price)</w:t>
            </w:r>
          </w:p>
        </w:tc>
        <w:tc>
          <w:tcPr>
            <w:tcW w:w="1275" w:type="dxa"/>
          </w:tcPr>
          <w:p w:rsidR="001E3494" w:rsidRDefault="001E3494" w:rsidP="00C01F82">
            <w:pPr>
              <w:keepNext/>
              <w:jc w:val="both"/>
              <w:rPr>
                <w:rFonts w:ascii="Arial Narrow" w:hAnsi="Arial Narrow" w:cs="Arial"/>
                <w:sz w:val="20"/>
                <w:szCs w:val="20"/>
              </w:rPr>
            </w:pPr>
          </w:p>
          <w:p w:rsidR="001E3494" w:rsidRPr="00260CE3" w:rsidRDefault="001E3494" w:rsidP="00C01F82">
            <w:pPr>
              <w:keepNext/>
              <w:jc w:val="both"/>
              <w:rPr>
                <w:rFonts w:ascii="Arial Narrow" w:hAnsi="Arial Narrow" w:cs="Arial"/>
                <w:sz w:val="20"/>
                <w:szCs w:val="20"/>
              </w:rPr>
            </w:pPr>
            <w:proofErr w:type="spellStart"/>
            <w:r>
              <w:rPr>
                <w:rFonts w:ascii="Arial Narrow" w:hAnsi="Arial Narrow" w:cs="Arial"/>
                <w:sz w:val="20"/>
                <w:szCs w:val="20"/>
              </w:rPr>
              <w:t>Fentora</w:t>
            </w:r>
            <w:proofErr w:type="spellEnd"/>
          </w:p>
        </w:tc>
        <w:tc>
          <w:tcPr>
            <w:tcW w:w="1134" w:type="dxa"/>
          </w:tcPr>
          <w:p w:rsidR="001E3494" w:rsidRDefault="001E3494" w:rsidP="00C01F82">
            <w:pPr>
              <w:keepNext/>
              <w:jc w:val="both"/>
              <w:rPr>
                <w:rFonts w:ascii="Arial Narrow" w:hAnsi="Arial Narrow" w:cs="Arial"/>
                <w:sz w:val="20"/>
                <w:szCs w:val="20"/>
              </w:rPr>
            </w:pPr>
          </w:p>
          <w:p w:rsidR="001E3494" w:rsidRPr="00260CE3" w:rsidRDefault="001E3494" w:rsidP="00C01F82">
            <w:pPr>
              <w:keepNext/>
              <w:jc w:val="both"/>
              <w:rPr>
                <w:rFonts w:ascii="Arial Narrow" w:hAnsi="Arial Narrow" w:cs="Arial"/>
                <w:sz w:val="20"/>
                <w:szCs w:val="20"/>
              </w:rPr>
            </w:pPr>
            <w:proofErr w:type="spellStart"/>
            <w:r>
              <w:rPr>
                <w:rFonts w:ascii="Arial Narrow" w:hAnsi="Arial Narrow" w:cs="Arial"/>
                <w:sz w:val="20"/>
                <w:szCs w:val="20"/>
              </w:rPr>
              <w:t>Teva</w:t>
            </w:r>
            <w:proofErr w:type="spellEnd"/>
          </w:p>
        </w:tc>
      </w:tr>
    </w:tbl>
    <w:p w:rsidR="007A029A" w:rsidRDefault="007A029A" w:rsidP="00D1455A">
      <w:pPr>
        <w:pStyle w:val="ListParagraph"/>
        <w:jc w:val="both"/>
        <w:rPr>
          <w:rFonts w:ascii="Arial" w:hAnsi="Arial"/>
          <w:b/>
          <w:i/>
          <w:sz w:val="22"/>
          <w:szCs w:val="22"/>
        </w:rPr>
      </w:pPr>
    </w:p>
    <w:tbl>
      <w:tblPr>
        <w:tblW w:w="8363" w:type="dxa"/>
        <w:tblInd w:w="817" w:type="dxa"/>
        <w:tblLayout w:type="fixed"/>
        <w:tblLook w:val="0000" w:firstRow="0" w:lastRow="0" w:firstColumn="0" w:lastColumn="0" w:noHBand="0" w:noVBand="0"/>
        <w:tblCaption w:val="Requested listing - part 4"/>
      </w:tblPr>
      <w:tblGrid>
        <w:gridCol w:w="1984"/>
        <w:gridCol w:w="6379"/>
      </w:tblGrid>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sz w:val="20"/>
              </w:rPr>
            </w:pPr>
            <w:r w:rsidRPr="00232807">
              <w:rPr>
                <w:rFonts w:ascii="Arial Narrow" w:hAnsi="Arial Narrow"/>
                <w:sz w:val="20"/>
              </w:rPr>
              <w:t>GENERAL – General Schedule Palliative Care (Code PL)</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Check1"/>
                  <w:enabled/>
                  <w:calcOnExit w:val="0"/>
                  <w:checkBox>
                    <w:sizeAuto/>
                    <w:default w:val="0"/>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 xml:space="preserve">Dental  </w:t>
            </w:r>
            <w:r w:rsidRPr="00232807">
              <w:rPr>
                <w:rFonts w:ascii="Arial Narrow" w:hAnsi="Arial Narrow"/>
                <w:sz w:val="20"/>
              </w:rPr>
              <w:fldChar w:fldCharType="begin">
                <w:ffData>
                  <w:name w:val=""/>
                  <w:enabled/>
                  <w:calcOnExit w:val="0"/>
                  <w:checkBox>
                    <w:sizeAuto/>
                    <w:default w:val="1"/>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 xml:space="preserve">Medical Practitioners  </w:t>
            </w:r>
            <w:r w:rsidRPr="00232807">
              <w:rPr>
                <w:rFonts w:ascii="Arial Narrow" w:hAnsi="Arial Narrow"/>
                <w:sz w:val="20"/>
              </w:rPr>
              <w:fldChar w:fldCharType="begin">
                <w:ffData>
                  <w:name w:val="Check3"/>
                  <w:enabled/>
                  <w:calcOnExit w:val="0"/>
                  <w:checkBox>
                    <w:sizeAuto/>
                    <w:default w:val="1"/>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 xml:space="preserve">Nurse practitioners  </w:t>
            </w:r>
            <w:r w:rsidRPr="00232807">
              <w:rPr>
                <w:rFonts w:ascii="Arial Narrow" w:hAnsi="Arial Narrow"/>
                <w:sz w:val="20"/>
              </w:rPr>
              <w:fldChar w:fldCharType="begin">
                <w:ffData>
                  <w:name w:val=""/>
                  <w:enabled/>
                  <w:calcOnExit w:val="0"/>
                  <w:checkBox>
                    <w:sizeAuto/>
                    <w:default w:val="0"/>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Optometrists</w:t>
            </w:r>
          </w:p>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Check5"/>
                  <w:enabled/>
                  <w:calcOnExit w:val="0"/>
                  <w:checkBox>
                    <w:sizeAuto/>
                    <w:default w:val="0"/>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Midwives</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proofErr w:type="spellStart"/>
            <w:r w:rsidRPr="00232807">
              <w:rPr>
                <w:rFonts w:ascii="Arial Narrow" w:hAnsi="Arial Narrow"/>
                <w:b/>
                <w:sz w:val="20"/>
              </w:rPr>
              <w:t>Episodicity</w:t>
            </w:r>
            <w:proofErr w:type="spellEnd"/>
            <w:r w:rsidRPr="00232807">
              <w:rPr>
                <w:rFonts w:ascii="Arial Narrow" w:hAnsi="Arial Narrow"/>
                <w:b/>
                <w:sz w:val="20"/>
              </w:rPr>
              <w:t>:</w:t>
            </w: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sz w:val="20"/>
              </w:rPr>
            </w:pPr>
            <w:r w:rsidRPr="00232807">
              <w:rPr>
                <w:rFonts w:ascii="Arial Narrow" w:hAnsi="Arial Narrow"/>
                <w:sz w:val="20"/>
              </w:rPr>
              <w:t>-</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sz w:val="20"/>
              </w:rPr>
            </w:pPr>
            <w:r w:rsidRPr="00232807">
              <w:rPr>
                <w:rFonts w:ascii="Arial Narrow" w:hAnsi="Arial Narrow"/>
                <w:sz w:val="20"/>
              </w:rPr>
              <w:t>-</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1E3494" w:rsidRPr="001E3494" w:rsidRDefault="001E3494" w:rsidP="00C01F82">
            <w:pPr>
              <w:rPr>
                <w:rFonts w:ascii="Arial Narrow" w:hAnsi="Arial Narrow"/>
                <w:i/>
                <w:sz w:val="20"/>
              </w:rPr>
            </w:pPr>
            <w:r w:rsidRPr="001E3494">
              <w:rPr>
                <w:rFonts w:ascii="Arial Narrow" w:hAnsi="Arial Narrow"/>
                <w:i/>
                <w:sz w:val="20"/>
              </w:rPr>
              <w:t>Breakthrough pain</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1E3494" w:rsidRPr="001E3494" w:rsidRDefault="001E3494" w:rsidP="00C01F82">
            <w:pPr>
              <w:rPr>
                <w:rFonts w:ascii="Arial Narrow" w:hAnsi="Arial Narrow"/>
                <w:i/>
                <w:sz w:val="20"/>
              </w:rPr>
            </w:pPr>
            <w:r w:rsidRPr="001E3494">
              <w:rPr>
                <w:rFonts w:ascii="Arial Narrow" w:hAnsi="Arial Narrow"/>
                <w:i/>
                <w:sz w:val="20"/>
              </w:rPr>
              <w:t>Breakthrough pain</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Restriction Level / Method:</w:t>
            </w:r>
          </w:p>
          <w:p w:rsidR="001E3494" w:rsidRPr="00232807" w:rsidRDefault="001E3494" w:rsidP="00C01F82">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
                  <w:enabled/>
                  <w:calcOnExit w:val="0"/>
                  <w:checkBox>
                    <w:sizeAuto/>
                    <w:default w:val="0"/>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Restricted benefit</w:t>
            </w:r>
          </w:p>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
                  <w:enabled/>
                  <w:calcOnExit w:val="0"/>
                  <w:checkBox>
                    <w:sizeAuto/>
                    <w:default w:val="1"/>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Authority Required - In Writing</w:t>
            </w:r>
          </w:p>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Check3"/>
                  <w:enabled/>
                  <w:calcOnExit w:val="0"/>
                  <w:checkBox>
                    <w:sizeAuto/>
                    <w:default w:val="1"/>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Authority Required - Telephone</w:t>
            </w:r>
          </w:p>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
                  <w:enabled/>
                  <w:calcOnExit w:val="0"/>
                  <w:checkBox>
                    <w:sizeAuto/>
                    <w:default w:val="1"/>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Authority Required – Emergency</w:t>
            </w:r>
          </w:p>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Check5"/>
                  <w:enabled/>
                  <w:calcOnExit w:val="0"/>
                  <w:checkBox>
                    <w:sizeAuto/>
                    <w:default w:val="1"/>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Authority Required - Electronic</w:t>
            </w:r>
          </w:p>
          <w:p w:rsidR="001E3494" w:rsidRPr="00232807" w:rsidRDefault="001E3494" w:rsidP="00C01F82">
            <w:pPr>
              <w:rPr>
                <w:rFonts w:ascii="Arial Narrow" w:hAnsi="Arial Narrow"/>
                <w:sz w:val="20"/>
              </w:rPr>
            </w:pPr>
            <w:r w:rsidRPr="00232807">
              <w:rPr>
                <w:rFonts w:ascii="Arial Narrow" w:hAnsi="Arial Narrow"/>
                <w:sz w:val="20"/>
              </w:rPr>
              <w:fldChar w:fldCharType="begin">
                <w:ffData>
                  <w:name w:val="Check5"/>
                  <w:enabled/>
                  <w:calcOnExit w:val="0"/>
                  <w:checkBox>
                    <w:sizeAuto/>
                    <w:default w:val="0"/>
                  </w:checkBox>
                </w:ffData>
              </w:fldChar>
            </w:r>
            <w:r w:rsidRPr="00232807">
              <w:rPr>
                <w:rFonts w:ascii="Arial Narrow" w:hAnsi="Arial Narrow"/>
                <w:sz w:val="20"/>
              </w:rPr>
              <w:instrText xml:space="preserve"> FORMCHECKBOX </w:instrText>
            </w:r>
            <w:r w:rsidR="00FA7508">
              <w:rPr>
                <w:rFonts w:ascii="Arial Narrow" w:hAnsi="Arial Narrow"/>
                <w:sz w:val="20"/>
              </w:rPr>
            </w:r>
            <w:r w:rsidR="00FA7508">
              <w:rPr>
                <w:rFonts w:ascii="Arial Narrow" w:hAnsi="Arial Narrow"/>
                <w:sz w:val="20"/>
              </w:rPr>
              <w:fldChar w:fldCharType="separate"/>
            </w:r>
            <w:r w:rsidRPr="00232807">
              <w:rPr>
                <w:rFonts w:ascii="Arial Narrow" w:hAnsi="Arial Narrow"/>
                <w:sz w:val="20"/>
              </w:rPr>
              <w:fldChar w:fldCharType="end"/>
            </w:r>
            <w:r w:rsidRPr="00232807">
              <w:rPr>
                <w:rFonts w:ascii="Arial Narrow" w:hAnsi="Arial Narrow"/>
                <w:sz w:val="20"/>
              </w:rPr>
              <w:t>Streamlined</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sz w:val="20"/>
              </w:rPr>
            </w:pPr>
            <w:r w:rsidRPr="00232807">
              <w:rPr>
                <w:rFonts w:ascii="Arial Narrow" w:hAnsi="Arial Narrow"/>
                <w:sz w:val="20"/>
              </w:rPr>
              <w:t>Continuing treatment</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sz w:val="20"/>
              </w:rPr>
            </w:pPr>
            <w:r w:rsidRPr="00232807">
              <w:rPr>
                <w:rFonts w:ascii="Arial Narrow" w:hAnsi="Arial Narrow"/>
                <w:sz w:val="20"/>
              </w:rPr>
              <w:t>Patient must have cancer,</w:t>
            </w:r>
          </w:p>
          <w:p w:rsidR="001E3494" w:rsidRPr="00232807" w:rsidRDefault="001E3494" w:rsidP="00C01F82">
            <w:pPr>
              <w:rPr>
                <w:rFonts w:ascii="Arial Narrow" w:hAnsi="Arial Narrow"/>
                <w:sz w:val="20"/>
              </w:rPr>
            </w:pPr>
            <w:r w:rsidRPr="00232807">
              <w:rPr>
                <w:rFonts w:ascii="Arial Narrow" w:hAnsi="Arial Narrow"/>
                <w:sz w:val="20"/>
              </w:rPr>
              <w:t>AND</w:t>
            </w:r>
          </w:p>
          <w:p w:rsidR="001E3494" w:rsidRPr="00232807" w:rsidRDefault="001E3494" w:rsidP="00C01F82">
            <w:pPr>
              <w:rPr>
                <w:rFonts w:ascii="Arial Narrow" w:hAnsi="Arial Narrow"/>
                <w:sz w:val="20"/>
              </w:rPr>
            </w:pPr>
            <w:r w:rsidRPr="00232807">
              <w:rPr>
                <w:rFonts w:ascii="Arial Narrow" w:hAnsi="Arial Narrow"/>
                <w:sz w:val="20"/>
              </w:rPr>
              <w:t>Patient must be receiving opioids for their persistent pain,</w:t>
            </w:r>
          </w:p>
          <w:p w:rsidR="001E3494" w:rsidRPr="00232807" w:rsidRDefault="001E3494" w:rsidP="00C01F82">
            <w:pPr>
              <w:rPr>
                <w:rFonts w:ascii="Arial Narrow" w:hAnsi="Arial Narrow"/>
                <w:sz w:val="20"/>
              </w:rPr>
            </w:pPr>
            <w:r w:rsidRPr="00232807">
              <w:rPr>
                <w:rFonts w:ascii="Arial Narrow" w:hAnsi="Arial Narrow"/>
                <w:sz w:val="20"/>
              </w:rPr>
              <w:t>AND</w:t>
            </w:r>
          </w:p>
          <w:p w:rsidR="001E3494" w:rsidRPr="00232807" w:rsidRDefault="001E3494" w:rsidP="00C01F82">
            <w:pPr>
              <w:rPr>
                <w:rFonts w:ascii="Arial Narrow" w:hAnsi="Arial Narrow"/>
                <w:sz w:val="20"/>
              </w:rPr>
            </w:pPr>
            <w:r w:rsidRPr="00232807">
              <w:rPr>
                <w:rFonts w:ascii="Arial Narrow" w:hAnsi="Arial Narrow"/>
                <w:sz w:val="20"/>
              </w:rPr>
              <w:t>Patient must be unable to tolerate further escalation in the dose of short acting opioids (which may include morphine) for breakthrough pain due to adverse effects.</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1E3494" w:rsidRPr="006146C7" w:rsidRDefault="001E3494" w:rsidP="00C01F82">
            <w:pPr>
              <w:rPr>
                <w:rFonts w:ascii="Arial Narrow" w:hAnsi="Arial Narrow"/>
                <w:sz w:val="20"/>
              </w:rPr>
            </w:pPr>
            <w:r w:rsidRPr="006146C7">
              <w:rPr>
                <w:rFonts w:ascii="Arial Narrow" w:hAnsi="Arial Narrow"/>
                <w:sz w:val="20"/>
              </w:rPr>
              <w:t>Patient must be undergoing palliative care.</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rPr>
            </w:pPr>
            <w:r w:rsidRPr="00232807">
              <w:rPr>
                <w:rFonts w:ascii="Arial Narrow" w:hAnsi="Arial Narrow"/>
                <w:b/>
                <w:sz w:val="20"/>
              </w:rPr>
              <w:t>Administrative Advice</w:t>
            </w:r>
          </w:p>
          <w:p w:rsidR="001E3494" w:rsidRPr="00232807" w:rsidRDefault="001E3494" w:rsidP="00C01F82">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b/>
                <w:sz w:val="20"/>
                <w:u w:val="single"/>
              </w:rPr>
            </w:pPr>
            <w:r w:rsidRPr="00232807">
              <w:rPr>
                <w:rFonts w:ascii="Arial Narrow" w:hAnsi="Arial Narrow"/>
                <w:b/>
                <w:sz w:val="20"/>
                <w:u w:val="single"/>
              </w:rPr>
              <w:t>Note:</w:t>
            </w:r>
          </w:p>
          <w:p w:rsidR="001E3494" w:rsidRPr="00232807" w:rsidRDefault="001E3494" w:rsidP="00C01F82">
            <w:pPr>
              <w:rPr>
                <w:rFonts w:ascii="Arial Narrow" w:hAnsi="Arial Narrow"/>
                <w:b/>
                <w:sz w:val="20"/>
              </w:rPr>
            </w:pPr>
            <w:r w:rsidRPr="00232807">
              <w:rPr>
                <w:rFonts w:ascii="Arial Narrow" w:hAnsi="Arial Narrow"/>
                <w:b/>
                <w:sz w:val="20"/>
              </w:rPr>
              <w:t>Shared Care Model:</w:t>
            </w:r>
          </w:p>
          <w:p w:rsidR="001E3494" w:rsidRPr="00232807" w:rsidRDefault="001E3494" w:rsidP="00C01F82">
            <w:pPr>
              <w:rPr>
                <w:rFonts w:ascii="Arial Narrow" w:hAnsi="Arial Narrow"/>
                <w:sz w:val="20"/>
              </w:rPr>
            </w:pPr>
            <w:r w:rsidRPr="00232807">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1E3494" w:rsidRPr="00232807" w:rsidRDefault="001E3494" w:rsidP="00C01F82">
            <w:pPr>
              <w:rPr>
                <w:rFonts w:ascii="Arial Narrow" w:hAnsi="Arial Narrow"/>
                <w:sz w:val="20"/>
              </w:rPr>
            </w:pPr>
          </w:p>
          <w:p w:rsidR="001E3494" w:rsidRPr="00232807" w:rsidRDefault="001E3494" w:rsidP="00C01F82">
            <w:pPr>
              <w:rPr>
                <w:rFonts w:ascii="Arial Narrow" w:hAnsi="Arial Narrow"/>
                <w:b/>
                <w:sz w:val="20"/>
                <w:u w:val="single"/>
              </w:rPr>
            </w:pPr>
            <w:r w:rsidRPr="00232807">
              <w:rPr>
                <w:rFonts w:ascii="Arial Narrow" w:hAnsi="Arial Narrow"/>
                <w:b/>
                <w:sz w:val="20"/>
                <w:u w:val="single"/>
              </w:rPr>
              <w:t>Note</w:t>
            </w:r>
          </w:p>
          <w:p w:rsidR="001E3494" w:rsidRPr="00232807" w:rsidRDefault="001E3494" w:rsidP="00C01F82">
            <w:pPr>
              <w:rPr>
                <w:rFonts w:ascii="Arial Narrow" w:hAnsi="Arial Narrow"/>
                <w:sz w:val="20"/>
              </w:rPr>
            </w:pPr>
            <w:r w:rsidRPr="00232807">
              <w:rPr>
                <w:rFonts w:ascii="Arial Narrow" w:hAnsi="Arial Narrow"/>
                <w:sz w:val="20"/>
              </w:rPr>
              <w:t>For first continuing supply, applications for increased repeats for up to 3 months' supply may be authorised.</w:t>
            </w:r>
          </w:p>
          <w:p w:rsidR="001E3494" w:rsidRPr="00232807" w:rsidRDefault="001E3494" w:rsidP="00C01F82">
            <w:pPr>
              <w:rPr>
                <w:rFonts w:ascii="Arial Narrow" w:hAnsi="Arial Narrow"/>
                <w:sz w:val="20"/>
              </w:rPr>
            </w:pPr>
          </w:p>
          <w:p w:rsidR="001E3494" w:rsidRPr="00232807" w:rsidRDefault="001E3494" w:rsidP="00C01F82">
            <w:pPr>
              <w:rPr>
                <w:rFonts w:ascii="Arial Narrow" w:hAnsi="Arial Narrow"/>
                <w:b/>
                <w:sz w:val="20"/>
                <w:u w:val="single"/>
              </w:rPr>
            </w:pPr>
            <w:r w:rsidRPr="00232807">
              <w:rPr>
                <w:rFonts w:ascii="Arial Narrow" w:hAnsi="Arial Narrow"/>
                <w:b/>
                <w:sz w:val="20"/>
                <w:u w:val="single"/>
              </w:rPr>
              <w:t>Note</w:t>
            </w:r>
          </w:p>
          <w:p w:rsidR="001E3494" w:rsidRPr="00232807" w:rsidRDefault="001E3494" w:rsidP="00C01F82">
            <w:pPr>
              <w:rPr>
                <w:rFonts w:ascii="Arial Narrow" w:hAnsi="Arial Narrow"/>
                <w:sz w:val="20"/>
              </w:rPr>
            </w:pPr>
            <w:r w:rsidRPr="00232807">
              <w:rPr>
                <w:rFonts w:ascii="Arial Narrow" w:hAnsi="Arial Narrow"/>
                <w:sz w:val="20"/>
              </w:rPr>
              <w:t>Where consultation with a palliative care specialist or service has occurred, applications for increased repeats for up to 3 months' supply may be authorised.</w:t>
            </w:r>
          </w:p>
          <w:p w:rsidR="001E3494" w:rsidRPr="00232807" w:rsidRDefault="001E3494" w:rsidP="00C01F82">
            <w:pPr>
              <w:rPr>
                <w:rFonts w:ascii="Arial Narrow" w:hAnsi="Arial Narrow"/>
                <w:sz w:val="20"/>
              </w:rPr>
            </w:pPr>
          </w:p>
          <w:p w:rsidR="001E3494" w:rsidRPr="00232807" w:rsidRDefault="001E3494" w:rsidP="00C01F82">
            <w:pPr>
              <w:rPr>
                <w:rFonts w:ascii="Arial Narrow" w:hAnsi="Arial Narrow"/>
                <w:b/>
                <w:sz w:val="20"/>
                <w:u w:val="single"/>
              </w:rPr>
            </w:pPr>
            <w:r w:rsidRPr="00232807">
              <w:rPr>
                <w:rFonts w:ascii="Arial Narrow" w:hAnsi="Arial Narrow"/>
                <w:b/>
                <w:sz w:val="20"/>
                <w:u w:val="single"/>
              </w:rPr>
              <w:t>Note</w:t>
            </w:r>
          </w:p>
          <w:p w:rsidR="001E3494" w:rsidRDefault="001E3494" w:rsidP="00C01F82">
            <w:pPr>
              <w:rPr>
                <w:rFonts w:ascii="Arial Narrow" w:hAnsi="Arial Narrow"/>
                <w:sz w:val="20"/>
              </w:rPr>
            </w:pPr>
            <w:r w:rsidRPr="00232807">
              <w:rPr>
                <w:rFonts w:ascii="Arial Narrow" w:hAnsi="Arial Narrow"/>
                <w:sz w:val="20"/>
              </w:rPr>
              <w:t>Telephone approvals are limited to 1 months' therapy.</w:t>
            </w:r>
          </w:p>
          <w:p w:rsidR="008651DA" w:rsidRDefault="008651DA" w:rsidP="00C01F82">
            <w:pPr>
              <w:rPr>
                <w:rFonts w:ascii="Arial Narrow" w:hAnsi="Arial Narrow"/>
                <w:sz w:val="20"/>
              </w:rPr>
            </w:pPr>
          </w:p>
          <w:p w:rsidR="008651DA" w:rsidRPr="00232807" w:rsidRDefault="008651DA" w:rsidP="008651DA">
            <w:pPr>
              <w:rPr>
                <w:rFonts w:ascii="Arial Narrow" w:hAnsi="Arial Narrow"/>
                <w:b/>
                <w:sz w:val="20"/>
                <w:u w:val="single"/>
              </w:rPr>
            </w:pPr>
            <w:r w:rsidRPr="00232807">
              <w:rPr>
                <w:rFonts w:ascii="Arial Narrow" w:hAnsi="Arial Narrow"/>
                <w:b/>
                <w:sz w:val="20"/>
                <w:u w:val="single"/>
              </w:rPr>
              <w:t>Note</w:t>
            </w:r>
          </w:p>
          <w:p w:rsidR="008651DA" w:rsidRPr="008651DA" w:rsidRDefault="008651DA" w:rsidP="00C01F82">
            <w:pPr>
              <w:rPr>
                <w:rFonts w:ascii="Arial Narrow" w:hAnsi="Arial Narrow"/>
                <w:i/>
                <w:sz w:val="20"/>
              </w:rPr>
            </w:pPr>
            <w:r>
              <w:rPr>
                <w:rFonts w:ascii="Arial Narrow" w:hAnsi="Arial Narrow"/>
                <w:i/>
                <w:sz w:val="20"/>
              </w:rPr>
              <w:t>Special Pricing Arrangements apply</w:t>
            </w:r>
          </w:p>
        </w:tc>
      </w:tr>
      <w:tr w:rsidR="001E3494" w:rsidRPr="00232807" w:rsidTr="00C01F82">
        <w:trPr>
          <w:cantSplit/>
          <w:trHeight w:val="360"/>
        </w:trPr>
        <w:tc>
          <w:tcPr>
            <w:tcW w:w="1984" w:type="dxa"/>
            <w:tcBorders>
              <w:top w:val="single" w:sz="4" w:space="0" w:color="auto"/>
              <w:left w:val="single" w:sz="4" w:space="0" w:color="auto"/>
              <w:bottom w:val="single" w:sz="4" w:space="0" w:color="auto"/>
              <w:right w:val="single" w:sz="4" w:space="0" w:color="auto"/>
            </w:tcBorders>
          </w:tcPr>
          <w:p w:rsidR="001E3494" w:rsidRPr="00232807" w:rsidRDefault="001E3494" w:rsidP="00C01F82">
            <w:pPr>
              <w:rPr>
                <w:rFonts w:ascii="Arial Narrow" w:hAnsi="Arial Narrow"/>
                <w:i/>
                <w:sz w:val="20"/>
              </w:rPr>
            </w:pPr>
            <w:r w:rsidRPr="00232807">
              <w:rPr>
                <w:rFonts w:ascii="Arial Narrow" w:hAnsi="Arial Narrow"/>
                <w:b/>
                <w:sz w:val="20"/>
              </w:rPr>
              <w:t>Cautions</w:t>
            </w:r>
          </w:p>
        </w:tc>
        <w:tc>
          <w:tcPr>
            <w:tcW w:w="6379" w:type="dxa"/>
            <w:tcBorders>
              <w:top w:val="single" w:sz="4" w:space="0" w:color="auto"/>
              <w:left w:val="single" w:sz="4" w:space="0" w:color="auto"/>
              <w:bottom w:val="single" w:sz="4" w:space="0" w:color="auto"/>
              <w:right w:val="single" w:sz="4" w:space="0" w:color="auto"/>
            </w:tcBorders>
          </w:tcPr>
          <w:p w:rsidR="001E3494" w:rsidRPr="001E3494" w:rsidRDefault="001E3494" w:rsidP="00C01F82">
            <w:pPr>
              <w:spacing w:beforeAutospacing="1" w:afterAutospacing="1"/>
              <w:rPr>
                <w:rFonts w:ascii="Arial Narrow" w:hAnsi="Arial Narrow"/>
                <w:sz w:val="20"/>
              </w:rPr>
            </w:pPr>
            <w:r w:rsidRPr="001E3494">
              <w:rPr>
                <w:rFonts w:ascii="Arial Narrow" w:hAnsi="Arial Narrow"/>
                <w:sz w:val="20"/>
              </w:rPr>
              <w:t>The risk of drug dependence is high.</w:t>
            </w:r>
          </w:p>
        </w:tc>
      </w:tr>
    </w:tbl>
    <w:p w:rsidR="000717A2" w:rsidRDefault="000717A2" w:rsidP="007C3FC2">
      <w:pPr>
        <w:jc w:val="both"/>
        <w:rPr>
          <w:rFonts w:ascii="Arial" w:hAnsi="Arial"/>
          <w:b/>
          <w:i/>
          <w:sz w:val="22"/>
          <w:szCs w:val="22"/>
        </w:rPr>
      </w:pPr>
    </w:p>
    <w:p w:rsidR="00861865" w:rsidRPr="00861865" w:rsidRDefault="00861865" w:rsidP="00653080">
      <w:pPr>
        <w:pStyle w:val="ListParagraph"/>
        <w:numPr>
          <w:ilvl w:val="1"/>
          <w:numId w:val="25"/>
        </w:numPr>
        <w:jc w:val="both"/>
        <w:rPr>
          <w:rFonts w:ascii="Arial" w:hAnsi="Arial"/>
          <w:sz w:val="22"/>
          <w:szCs w:val="22"/>
        </w:rPr>
      </w:pPr>
      <w:r w:rsidRPr="00861865">
        <w:rPr>
          <w:rFonts w:ascii="Arial" w:hAnsi="Arial"/>
          <w:sz w:val="22"/>
          <w:szCs w:val="22"/>
        </w:rPr>
        <w:t xml:space="preserve">The submission proposed a </w:t>
      </w:r>
      <w:r w:rsidR="00363061">
        <w:rPr>
          <w:rFonts w:ascii="Arial" w:hAnsi="Arial"/>
          <w:noProof/>
          <w:color w:val="000000"/>
          <w:sz w:val="22"/>
          <w:szCs w:val="22"/>
          <w:highlight w:val="black"/>
        </w:rPr>
        <w:t>''''''''''''''</w:t>
      </w:r>
      <w:r w:rsidRPr="00861865">
        <w:rPr>
          <w:rFonts w:ascii="Arial" w:hAnsi="Arial"/>
          <w:sz w:val="22"/>
          <w:szCs w:val="22"/>
        </w:rPr>
        <w:t xml:space="preserve">% </w:t>
      </w:r>
      <w:r>
        <w:rPr>
          <w:rFonts w:ascii="Arial" w:hAnsi="Arial"/>
          <w:sz w:val="22"/>
          <w:szCs w:val="22"/>
        </w:rPr>
        <w:t>reduction in price from the price propos</w:t>
      </w:r>
      <w:r w:rsidR="004149C8">
        <w:rPr>
          <w:rFonts w:ascii="Arial" w:hAnsi="Arial"/>
          <w:sz w:val="22"/>
          <w:szCs w:val="22"/>
        </w:rPr>
        <w:t>ed in the July 2015 submission, with an effective ex-manufacturer price of $</w:t>
      </w:r>
      <w:r w:rsidR="00363061">
        <w:rPr>
          <w:rFonts w:ascii="Arial" w:hAnsi="Arial"/>
          <w:noProof/>
          <w:color w:val="000000"/>
          <w:sz w:val="22"/>
          <w:szCs w:val="22"/>
          <w:highlight w:val="black"/>
        </w:rPr>
        <w:t>'''''''''''</w:t>
      </w:r>
      <w:r w:rsidR="004149C8">
        <w:rPr>
          <w:rFonts w:ascii="Arial" w:hAnsi="Arial"/>
          <w:sz w:val="22"/>
          <w:szCs w:val="22"/>
        </w:rPr>
        <w:t xml:space="preserve"> per tablet, and requesting a Special Pricing Arrangement. </w:t>
      </w:r>
    </w:p>
    <w:p w:rsidR="000717A2" w:rsidRDefault="000717A2" w:rsidP="00D1455A">
      <w:pPr>
        <w:pStyle w:val="ListParagraph"/>
        <w:jc w:val="both"/>
        <w:rPr>
          <w:rFonts w:ascii="Arial" w:hAnsi="Arial"/>
          <w:b/>
          <w:i/>
          <w:sz w:val="22"/>
          <w:szCs w:val="22"/>
        </w:rPr>
      </w:pPr>
    </w:p>
    <w:p w:rsidR="00FA7508" w:rsidRDefault="00FA7508" w:rsidP="00D1455A">
      <w:pPr>
        <w:pStyle w:val="ListParagraph"/>
        <w:jc w:val="both"/>
        <w:rPr>
          <w:rFonts w:ascii="Arial" w:hAnsi="Arial"/>
          <w:b/>
          <w:i/>
          <w:sz w:val="22"/>
          <w:szCs w:val="22"/>
        </w:rPr>
      </w:pPr>
    </w:p>
    <w:p w:rsidR="00CE10C4" w:rsidRPr="00882085" w:rsidRDefault="00CE10C4" w:rsidP="00FA7508">
      <w:pPr>
        <w:pStyle w:val="Heading1"/>
      </w:pPr>
      <w:r w:rsidRPr="00882085">
        <w:t>Background</w:t>
      </w:r>
    </w:p>
    <w:p w:rsidR="006A12A5" w:rsidRPr="00882085" w:rsidRDefault="006A12A5" w:rsidP="00882085">
      <w:pPr>
        <w:jc w:val="both"/>
        <w:rPr>
          <w:rFonts w:ascii="Arial" w:hAnsi="Arial"/>
          <w:sz w:val="22"/>
          <w:szCs w:val="22"/>
        </w:rPr>
      </w:pPr>
    </w:p>
    <w:p w:rsidR="00F4731E" w:rsidRPr="00F4731E" w:rsidRDefault="00F4731E" w:rsidP="00F4731E">
      <w:pPr>
        <w:pStyle w:val="ListParagraph"/>
        <w:numPr>
          <w:ilvl w:val="1"/>
          <w:numId w:val="25"/>
        </w:numPr>
        <w:jc w:val="both"/>
        <w:rPr>
          <w:rFonts w:ascii="Arial" w:hAnsi="Arial" w:cs="Arial"/>
          <w:sz w:val="22"/>
          <w:szCs w:val="22"/>
        </w:rPr>
      </w:pPr>
      <w:r w:rsidRPr="00F4731E">
        <w:rPr>
          <w:rFonts w:ascii="Arial" w:hAnsi="Arial" w:cs="Arial"/>
          <w:sz w:val="22"/>
          <w:szCs w:val="22"/>
        </w:rPr>
        <w:t xml:space="preserve">Fentanyl buccal tablets were registered by the TGA </w:t>
      </w:r>
      <w:r w:rsidR="00E90F3B">
        <w:rPr>
          <w:rFonts w:ascii="Arial" w:hAnsi="Arial" w:cs="Arial"/>
          <w:sz w:val="22"/>
          <w:szCs w:val="22"/>
        </w:rPr>
        <w:t>in</w:t>
      </w:r>
      <w:r w:rsidRPr="00F4731E">
        <w:rPr>
          <w:rFonts w:ascii="Arial" w:hAnsi="Arial" w:cs="Arial"/>
          <w:sz w:val="22"/>
          <w:szCs w:val="22"/>
        </w:rPr>
        <w:t xml:space="preserve"> February 2015 for the treatment of breakthrough pain in adults with cancer who are already receiving maintenance opioid therapy for chronic cancer pain.</w:t>
      </w:r>
    </w:p>
    <w:p w:rsidR="006B0D94" w:rsidRPr="00F55C46" w:rsidRDefault="006B0D94" w:rsidP="00F55C46">
      <w:pPr>
        <w:pStyle w:val="ListParagraph"/>
        <w:jc w:val="both"/>
        <w:rPr>
          <w:rFonts w:ascii="Arial" w:hAnsi="Arial" w:cs="Arial"/>
          <w:sz w:val="22"/>
          <w:szCs w:val="22"/>
        </w:rPr>
      </w:pPr>
    </w:p>
    <w:p w:rsidR="00BB7EC3" w:rsidRDefault="00F4731E" w:rsidP="00F55C46">
      <w:pPr>
        <w:pStyle w:val="ListParagraph"/>
        <w:numPr>
          <w:ilvl w:val="1"/>
          <w:numId w:val="25"/>
        </w:numPr>
        <w:jc w:val="both"/>
        <w:rPr>
          <w:rFonts w:ascii="Arial" w:hAnsi="Arial" w:cs="Arial"/>
          <w:sz w:val="22"/>
          <w:szCs w:val="22"/>
        </w:rPr>
      </w:pPr>
      <w:r w:rsidRPr="00F4731E">
        <w:rPr>
          <w:rFonts w:ascii="Arial" w:hAnsi="Arial" w:cs="Arial"/>
          <w:sz w:val="22"/>
          <w:szCs w:val="22"/>
        </w:rPr>
        <w:t xml:space="preserve">The PBAC previously </w:t>
      </w:r>
      <w:r w:rsidR="00D050C2">
        <w:rPr>
          <w:rFonts w:ascii="Arial" w:hAnsi="Arial" w:cs="Arial"/>
          <w:sz w:val="22"/>
          <w:szCs w:val="22"/>
        </w:rPr>
        <w:t>rejected</w:t>
      </w:r>
      <w:r w:rsidRPr="00F4731E">
        <w:rPr>
          <w:rFonts w:ascii="Arial" w:hAnsi="Arial" w:cs="Arial"/>
          <w:sz w:val="22"/>
          <w:szCs w:val="22"/>
        </w:rPr>
        <w:t xml:space="preserve"> </w:t>
      </w:r>
      <w:r w:rsidR="00E90F3B">
        <w:rPr>
          <w:rFonts w:ascii="Arial" w:hAnsi="Arial" w:cs="Arial"/>
          <w:sz w:val="22"/>
          <w:szCs w:val="22"/>
        </w:rPr>
        <w:t xml:space="preserve">a submission for </w:t>
      </w:r>
      <w:r w:rsidRPr="00F4731E">
        <w:rPr>
          <w:rFonts w:ascii="Arial" w:hAnsi="Arial" w:cs="Arial"/>
          <w:sz w:val="22"/>
          <w:szCs w:val="22"/>
        </w:rPr>
        <w:t xml:space="preserve">fentanyl buccal tablets </w:t>
      </w:r>
      <w:r w:rsidR="00E90F3B">
        <w:rPr>
          <w:rFonts w:ascii="Arial" w:hAnsi="Arial" w:cs="Arial"/>
          <w:sz w:val="22"/>
          <w:szCs w:val="22"/>
        </w:rPr>
        <w:t>in July 2015</w:t>
      </w:r>
      <w:r w:rsidRPr="00F55C46">
        <w:rPr>
          <w:rFonts w:ascii="Arial" w:hAnsi="Arial" w:cs="Arial"/>
          <w:sz w:val="22"/>
          <w:szCs w:val="22"/>
        </w:rPr>
        <w:t>.</w:t>
      </w:r>
      <w:r w:rsidR="00E90F3B" w:rsidRPr="00F55C46">
        <w:rPr>
          <w:rFonts w:ascii="Arial" w:hAnsi="Arial" w:cs="Arial"/>
          <w:sz w:val="22"/>
          <w:szCs w:val="22"/>
        </w:rPr>
        <w:t xml:space="preserve"> </w:t>
      </w:r>
      <w:r w:rsidR="00D050C2" w:rsidRPr="00D050C2">
        <w:rPr>
          <w:rFonts w:ascii="Arial" w:hAnsi="Arial" w:cs="Arial"/>
          <w:sz w:val="22"/>
          <w:szCs w:val="22"/>
        </w:rPr>
        <w:t>At the July 2015 meeting, t</w:t>
      </w:r>
      <w:r w:rsidR="000839FF" w:rsidRPr="00D050C2">
        <w:rPr>
          <w:rFonts w:ascii="Arial" w:hAnsi="Arial" w:cs="Arial"/>
          <w:sz w:val="22"/>
          <w:szCs w:val="22"/>
        </w:rPr>
        <w:t>he PBAC</w:t>
      </w:r>
      <w:r w:rsidR="00D050C2" w:rsidRPr="00F55C46">
        <w:rPr>
          <w:rFonts w:ascii="Arial" w:hAnsi="Arial" w:cs="Arial"/>
          <w:sz w:val="22"/>
          <w:szCs w:val="22"/>
        </w:rPr>
        <w:t xml:space="preserve"> considered that the submission</w:t>
      </w:r>
      <w:r w:rsidR="000839FF" w:rsidRPr="00E90F3B">
        <w:rPr>
          <w:rFonts w:ascii="Arial" w:hAnsi="Arial" w:cs="Arial"/>
          <w:sz w:val="22"/>
          <w:szCs w:val="22"/>
        </w:rPr>
        <w:t xml:space="preserve"> had not adequately addressed immediate-release opioids as an appropriate comparator. Further, the PBAC did not consider that the submission’s utilisation estimates were reliable, and was concerned that no strategy was proposed by the sponsor to mitigate this risk.</w:t>
      </w:r>
    </w:p>
    <w:p w:rsidR="00020C50" w:rsidRPr="00437015" w:rsidRDefault="00020C50" w:rsidP="00020C50">
      <w:pPr>
        <w:pStyle w:val="ListParagraph"/>
        <w:rPr>
          <w:rFonts w:ascii="Arial" w:hAnsi="Arial"/>
          <w:sz w:val="22"/>
          <w:szCs w:val="22"/>
        </w:rPr>
      </w:pPr>
    </w:p>
    <w:p w:rsidR="00B74ED4" w:rsidRDefault="00B74ED4">
      <w:pPr>
        <w:rPr>
          <w:rStyle w:val="CommentReference"/>
          <w:rFonts w:ascii="Arial Narrow" w:hAnsi="Arial Narrow" w:cs="Arial"/>
          <w:b/>
          <w:sz w:val="20"/>
        </w:rPr>
      </w:pPr>
      <w:r>
        <w:rPr>
          <w:rStyle w:val="CommentReference"/>
          <w:rFonts w:ascii="Arial Narrow" w:hAnsi="Arial Narrow" w:cs="Arial"/>
          <w:b/>
          <w:sz w:val="20"/>
        </w:rPr>
        <w:br w:type="page"/>
      </w:r>
    </w:p>
    <w:p w:rsidR="00020C50" w:rsidRPr="00437015" w:rsidRDefault="00020C50" w:rsidP="00020C50">
      <w:pPr>
        <w:pStyle w:val="ListParagraph"/>
        <w:rPr>
          <w:rStyle w:val="CommentReference"/>
          <w:rFonts w:ascii="Arial Narrow" w:hAnsi="Arial Narrow" w:cs="Arial"/>
          <w:b/>
          <w:sz w:val="20"/>
        </w:rPr>
      </w:pPr>
      <w:r>
        <w:rPr>
          <w:rStyle w:val="CommentReference"/>
          <w:rFonts w:ascii="Arial Narrow" w:hAnsi="Arial Narrow" w:cs="Arial"/>
          <w:b/>
          <w:sz w:val="20"/>
        </w:rPr>
        <w:t>Table 1: Summary of key issues from</w:t>
      </w:r>
      <w:r w:rsidRPr="00437015">
        <w:rPr>
          <w:rStyle w:val="CommentReference"/>
          <w:rFonts w:ascii="Arial Narrow" w:hAnsi="Arial Narrow" w:cs="Arial"/>
          <w:b/>
          <w:sz w:val="20"/>
        </w:rPr>
        <w:t xml:space="preserve"> the previous submission and current resubmission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Summary of key issues from the previous submission and current resubmission"/>
      </w:tblPr>
      <w:tblGrid>
        <w:gridCol w:w="1152"/>
        <w:gridCol w:w="3820"/>
        <w:gridCol w:w="3373"/>
      </w:tblGrid>
      <w:tr w:rsidR="00912FF2" w:rsidRPr="00ED0F04" w:rsidTr="00C01F82">
        <w:trPr>
          <w:cantSplit/>
          <w:trHeight w:val="220"/>
          <w:tblHeader/>
        </w:trPr>
        <w:tc>
          <w:tcPr>
            <w:tcW w:w="0" w:type="auto"/>
          </w:tcPr>
          <w:p w:rsidR="00020C50" w:rsidRPr="00FB6683" w:rsidRDefault="00020C50" w:rsidP="00C01F82">
            <w:pPr>
              <w:pStyle w:val="Tabletext"/>
              <w:rPr>
                <w:rFonts w:ascii="Arial Narrow" w:hAnsi="Arial Narrow"/>
              </w:rPr>
            </w:pPr>
          </w:p>
        </w:tc>
        <w:tc>
          <w:tcPr>
            <w:tcW w:w="0" w:type="auto"/>
            <w:vAlign w:val="center"/>
          </w:tcPr>
          <w:p w:rsidR="00020C50" w:rsidRPr="00FB6683" w:rsidRDefault="00020C50" w:rsidP="00C01F82">
            <w:pPr>
              <w:pStyle w:val="Tabletext"/>
              <w:jc w:val="center"/>
              <w:rPr>
                <w:rFonts w:ascii="Arial Narrow" w:hAnsi="Arial Narrow"/>
                <w:b/>
              </w:rPr>
            </w:pPr>
            <w:r w:rsidRPr="00FB6683">
              <w:rPr>
                <w:rFonts w:ascii="Arial Narrow" w:hAnsi="Arial Narrow"/>
                <w:b/>
              </w:rPr>
              <w:t>July 2015</w:t>
            </w:r>
          </w:p>
        </w:tc>
        <w:tc>
          <w:tcPr>
            <w:tcW w:w="0" w:type="auto"/>
            <w:vAlign w:val="center"/>
          </w:tcPr>
          <w:p w:rsidR="00020C50" w:rsidRPr="00FB6683" w:rsidRDefault="00020C50" w:rsidP="00C01F82">
            <w:pPr>
              <w:pStyle w:val="Tabletext"/>
              <w:jc w:val="center"/>
              <w:rPr>
                <w:rFonts w:ascii="Arial Narrow" w:hAnsi="Arial Narrow"/>
                <w:b/>
              </w:rPr>
            </w:pPr>
            <w:r w:rsidRPr="00FB6683">
              <w:rPr>
                <w:rFonts w:ascii="Arial Narrow" w:hAnsi="Arial Narrow"/>
                <w:b/>
              </w:rPr>
              <w:t>Current re-submission</w:t>
            </w:r>
          </w:p>
        </w:tc>
      </w:tr>
      <w:tr w:rsidR="00912FF2" w:rsidRPr="00ED0F04" w:rsidTr="00C01F82">
        <w:trPr>
          <w:cantSplit/>
          <w:trHeight w:val="422"/>
        </w:trPr>
        <w:tc>
          <w:tcPr>
            <w:tcW w:w="0" w:type="auto"/>
          </w:tcPr>
          <w:p w:rsidR="00020C50" w:rsidRPr="00FB6683" w:rsidRDefault="00020C50" w:rsidP="00C01F82">
            <w:pPr>
              <w:pStyle w:val="Tabletext"/>
              <w:rPr>
                <w:rFonts w:ascii="Arial Narrow" w:hAnsi="Arial Narrow"/>
              </w:rPr>
            </w:pPr>
            <w:r>
              <w:rPr>
                <w:rFonts w:ascii="Arial Narrow" w:hAnsi="Arial Narrow"/>
              </w:rPr>
              <w:t>Comparator</w:t>
            </w:r>
          </w:p>
        </w:tc>
        <w:tc>
          <w:tcPr>
            <w:tcW w:w="0" w:type="auto"/>
          </w:tcPr>
          <w:p w:rsidR="00020C50" w:rsidRDefault="00020C50" w:rsidP="00C01F82">
            <w:pPr>
              <w:pStyle w:val="Tabletext"/>
              <w:rPr>
                <w:rFonts w:ascii="Arial Narrow" w:hAnsi="Arial Narrow"/>
              </w:rPr>
            </w:pPr>
            <w:r>
              <w:rPr>
                <w:rFonts w:ascii="Arial Narrow" w:hAnsi="Arial Narrow"/>
              </w:rPr>
              <w:t>Fentanyl lozenges</w:t>
            </w:r>
          </w:p>
          <w:p w:rsidR="00020C50" w:rsidRDefault="00020C50" w:rsidP="00C01F82">
            <w:pPr>
              <w:pStyle w:val="Tabletext"/>
              <w:rPr>
                <w:rFonts w:ascii="Arial Narrow" w:hAnsi="Arial Narrow"/>
                <w:b/>
              </w:rPr>
            </w:pPr>
            <w:r>
              <w:rPr>
                <w:rFonts w:ascii="Arial Narrow" w:hAnsi="Arial Narrow"/>
                <w:b/>
              </w:rPr>
              <w:t>PBAC Comment:</w:t>
            </w:r>
          </w:p>
          <w:p w:rsidR="00020C50" w:rsidRDefault="00020C50" w:rsidP="00C01F82">
            <w:pPr>
              <w:pStyle w:val="Tabletext"/>
              <w:rPr>
                <w:rFonts w:ascii="Arial Narrow" w:hAnsi="Arial Narrow"/>
              </w:rPr>
            </w:pPr>
            <w:r w:rsidRPr="00020C50">
              <w:rPr>
                <w:rFonts w:ascii="Arial Narrow" w:hAnsi="Arial Narrow"/>
              </w:rPr>
              <w:t>The PBAC considered that the submission had not adequately addressed immediate-release opioids as an appropriate comparator.</w:t>
            </w:r>
            <w:r>
              <w:rPr>
                <w:rFonts w:ascii="Arial Narrow" w:hAnsi="Arial Narrow"/>
              </w:rPr>
              <w:t xml:space="preserve"> (para 7.1, July 2015 minutes)</w:t>
            </w:r>
          </w:p>
          <w:p w:rsidR="00020C50" w:rsidRPr="00020C50" w:rsidRDefault="00020C50" w:rsidP="00C01F82">
            <w:pPr>
              <w:pStyle w:val="Tabletext"/>
              <w:rPr>
                <w:rFonts w:ascii="Arial Narrow" w:hAnsi="Arial Narrow"/>
              </w:rPr>
            </w:pPr>
            <w:r w:rsidRPr="00020C50">
              <w:rPr>
                <w:rFonts w:ascii="Arial Narrow" w:hAnsi="Arial Narrow"/>
              </w:rPr>
              <w:t>The PBAC considered both other immediate-release oral opioids and fentanyl lozenges to be appropriate comparators. In addition, for the small group of patients who are unable to swallow oral opioids, the PBAC considered that subcutaneous morphine may be an appropriate comparator.</w:t>
            </w:r>
            <w:r>
              <w:rPr>
                <w:rFonts w:ascii="Arial Narrow" w:hAnsi="Arial Narrow"/>
              </w:rPr>
              <w:t xml:space="preserve"> (para 7.4, July 2015 minutes)</w:t>
            </w:r>
          </w:p>
        </w:tc>
        <w:tc>
          <w:tcPr>
            <w:tcW w:w="0" w:type="auto"/>
          </w:tcPr>
          <w:p w:rsidR="00020C50" w:rsidRPr="00020C50" w:rsidRDefault="00020C50" w:rsidP="00C01F82">
            <w:pPr>
              <w:pStyle w:val="Tabletext"/>
              <w:rPr>
                <w:rFonts w:ascii="Arial Narrow" w:hAnsi="Arial Narrow"/>
              </w:rPr>
            </w:pPr>
            <w:r>
              <w:rPr>
                <w:rFonts w:ascii="Arial Narrow" w:hAnsi="Arial Narrow"/>
              </w:rPr>
              <w:t xml:space="preserve">Fentanyl lozenges as main comparator. Considered immediate release opioids may be displaced in calculating price discount.  </w:t>
            </w:r>
          </w:p>
        </w:tc>
      </w:tr>
      <w:tr w:rsidR="00912FF2" w:rsidRPr="00ED0F04" w:rsidTr="00C01F82">
        <w:trPr>
          <w:cantSplit/>
          <w:trHeight w:val="422"/>
        </w:trPr>
        <w:tc>
          <w:tcPr>
            <w:tcW w:w="0" w:type="auto"/>
          </w:tcPr>
          <w:p w:rsidR="00020C50" w:rsidRPr="00FB6683" w:rsidRDefault="00912FF2" w:rsidP="00C01F82">
            <w:pPr>
              <w:pStyle w:val="Tabletext"/>
              <w:rPr>
                <w:rFonts w:ascii="Arial Narrow" w:hAnsi="Arial Narrow"/>
              </w:rPr>
            </w:pPr>
            <w:r>
              <w:rPr>
                <w:rFonts w:ascii="Arial Narrow" w:hAnsi="Arial Narrow"/>
              </w:rPr>
              <w:t>Patient population</w:t>
            </w:r>
          </w:p>
        </w:tc>
        <w:tc>
          <w:tcPr>
            <w:tcW w:w="0" w:type="auto"/>
          </w:tcPr>
          <w:p w:rsidR="00020C50" w:rsidRDefault="00020C50" w:rsidP="00C01F82">
            <w:pPr>
              <w:pStyle w:val="Tabletext"/>
              <w:rPr>
                <w:rFonts w:ascii="Arial Narrow" w:hAnsi="Arial Narrow"/>
              </w:rPr>
            </w:pPr>
            <w:r>
              <w:rPr>
                <w:rFonts w:ascii="Arial Narrow" w:hAnsi="Arial Narrow"/>
              </w:rPr>
              <w:t>Market share approach</w:t>
            </w:r>
          </w:p>
          <w:p w:rsidR="00020C50" w:rsidRDefault="00020C50" w:rsidP="00C01F82">
            <w:pPr>
              <w:pStyle w:val="Tabletext"/>
              <w:rPr>
                <w:rFonts w:ascii="Arial Narrow" w:hAnsi="Arial Narrow"/>
              </w:rPr>
            </w:pPr>
            <w:r>
              <w:rPr>
                <w:rFonts w:ascii="Arial Narrow" w:hAnsi="Arial Narrow"/>
                <w:b/>
              </w:rPr>
              <w:t>PBAC Comment:</w:t>
            </w:r>
          </w:p>
          <w:p w:rsidR="00020C50" w:rsidRPr="00020C50" w:rsidRDefault="00020C50" w:rsidP="00C01F82">
            <w:pPr>
              <w:pStyle w:val="Tabletext"/>
              <w:rPr>
                <w:rFonts w:ascii="Arial Narrow" w:hAnsi="Arial Narrow"/>
              </w:rPr>
            </w:pPr>
            <w:r w:rsidRPr="00020C50">
              <w:rPr>
                <w:rFonts w:ascii="Arial Narrow" w:hAnsi="Arial Narrow"/>
              </w:rPr>
              <w:t>The PBAC agreed that the market share approach based on the use of fentanyl lozenges is likely to substantially underestimate the utilisation for fentanyl buccal tablets. The PBAC recalled its previous advice (March 2014 – fentanyl sublingual Public Summary Document) and agreed that an epidemiological approach would have been a more appropriate estimation basis.</w:t>
            </w:r>
            <w:r>
              <w:rPr>
                <w:rFonts w:ascii="Arial Narrow" w:hAnsi="Arial Narrow"/>
              </w:rPr>
              <w:t xml:space="preserve"> (para 7.5, July 2015 minutes)</w:t>
            </w:r>
          </w:p>
        </w:tc>
        <w:tc>
          <w:tcPr>
            <w:tcW w:w="0" w:type="auto"/>
          </w:tcPr>
          <w:p w:rsidR="00020C50" w:rsidRPr="00FB6683" w:rsidRDefault="00912FF2" w:rsidP="00912FF2">
            <w:pPr>
              <w:pStyle w:val="Tabletext"/>
              <w:rPr>
                <w:rFonts w:ascii="Arial Narrow" w:hAnsi="Arial Narrow"/>
              </w:rPr>
            </w:pPr>
            <w:r>
              <w:rPr>
                <w:rFonts w:ascii="Arial Narrow" w:hAnsi="Arial Narrow"/>
              </w:rPr>
              <w:t xml:space="preserve">Epidemiological approach, where the same Section E excel file (utilising a market share approach from the July 2015 submission) has been used, setting an “Expected market growth due to listing of another fentanyl formulation” parameter to </w:t>
            </w:r>
            <w:r w:rsidR="00363061">
              <w:rPr>
                <w:rFonts w:ascii="Arial Narrow" w:hAnsi="Arial Narrow"/>
                <w:noProof/>
                <w:color w:val="000000"/>
                <w:highlight w:val="black"/>
              </w:rPr>
              <w:t>''''''</w:t>
            </w:r>
            <w:r>
              <w:rPr>
                <w:rFonts w:ascii="Arial Narrow" w:hAnsi="Arial Narrow"/>
              </w:rPr>
              <w:t>%, which the re-submission describes as achieving “concordance between the epidemiological and market share approaches”.</w:t>
            </w:r>
          </w:p>
        </w:tc>
      </w:tr>
      <w:tr w:rsidR="00912FF2" w:rsidRPr="00ED0F04" w:rsidTr="00C01F82">
        <w:trPr>
          <w:cantSplit/>
          <w:trHeight w:val="422"/>
        </w:trPr>
        <w:tc>
          <w:tcPr>
            <w:tcW w:w="0" w:type="auto"/>
          </w:tcPr>
          <w:p w:rsidR="00912FF2" w:rsidRDefault="00912FF2" w:rsidP="00C01F82">
            <w:pPr>
              <w:pStyle w:val="Tabletext"/>
              <w:rPr>
                <w:rFonts w:ascii="Arial Narrow" w:hAnsi="Arial Narrow"/>
              </w:rPr>
            </w:pPr>
            <w:r>
              <w:rPr>
                <w:rFonts w:ascii="Arial Narrow" w:hAnsi="Arial Narrow"/>
              </w:rPr>
              <w:t>Duration of treatment and uptake of use</w:t>
            </w:r>
          </w:p>
        </w:tc>
        <w:tc>
          <w:tcPr>
            <w:tcW w:w="0" w:type="auto"/>
          </w:tcPr>
          <w:p w:rsidR="00912FF2" w:rsidRDefault="00912FF2" w:rsidP="00C01F82">
            <w:pPr>
              <w:pStyle w:val="Tabletext"/>
              <w:rPr>
                <w:rFonts w:ascii="Arial Narrow" w:hAnsi="Arial Narrow"/>
              </w:rPr>
            </w:pPr>
            <w:r>
              <w:rPr>
                <w:rFonts w:ascii="Arial Narrow" w:hAnsi="Arial Narrow"/>
                <w:b/>
              </w:rPr>
              <w:t>PBAC Comment:</w:t>
            </w:r>
          </w:p>
          <w:p w:rsidR="00912FF2" w:rsidRPr="00912FF2" w:rsidRDefault="00912FF2" w:rsidP="00912FF2">
            <w:pPr>
              <w:pStyle w:val="Tabletext"/>
              <w:rPr>
                <w:rFonts w:ascii="Arial Narrow" w:hAnsi="Arial Narrow"/>
              </w:rPr>
            </w:pPr>
            <w:r w:rsidRPr="00912FF2">
              <w:rPr>
                <w:rFonts w:ascii="Arial Narrow" w:hAnsi="Arial Narrow"/>
              </w:rPr>
              <w:t>The PBAC recommended that a RSA is required to address the following uncertainties:</w:t>
            </w:r>
          </w:p>
          <w:p w:rsidR="00912FF2" w:rsidRPr="00912FF2" w:rsidRDefault="00912FF2" w:rsidP="00912FF2">
            <w:pPr>
              <w:pStyle w:val="Tabletext"/>
              <w:rPr>
                <w:rFonts w:ascii="Arial Narrow" w:hAnsi="Arial Narrow"/>
              </w:rPr>
            </w:pPr>
            <w:r w:rsidRPr="00912FF2">
              <w:rPr>
                <w:rFonts w:ascii="Arial Narrow" w:hAnsi="Arial Narrow"/>
              </w:rPr>
              <w:t>•</w:t>
            </w:r>
            <w:r w:rsidRPr="00912FF2">
              <w:rPr>
                <w:rFonts w:ascii="Arial Narrow" w:hAnsi="Arial Narrow"/>
              </w:rPr>
              <w:tab/>
              <w:t>Uncertain size of patient population, duration of treatment and uptake of use.</w:t>
            </w:r>
            <w:r>
              <w:rPr>
                <w:rFonts w:ascii="Arial Narrow" w:hAnsi="Arial Narrow"/>
              </w:rPr>
              <w:t xml:space="preserve"> (para 6.39, July 2015 minutes)</w:t>
            </w:r>
          </w:p>
        </w:tc>
        <w:tc>
          <w:tcPr>
            <w:tcW w:w="0" w:type="auto"/>
          </w:tcPr>
          <w:p w:rsidR="00912FF2" w:rsidRDefault="00912FF2" w:rsidP="00912FF2">
            <w:pPr>
              <w:pStyle w:val="Tabletext"/>
              <w:rPr>
                <w:rFonts w:ascii="Arial Narrow" w:hAnsi="Arial Narrow"/>
              </w:rPr>
            </w:pPr>
            <w:r>
              <w:rPr>
                <w:rFonts w:ascii="Arial Narrow" w:hAnsi="Arial Narrow"/>
              </w:rPr>
              <w:t>Proposed duration of use based on previous fentanyl lozenge submissions.</w:t>
            </w:r>
          </w:p>
          <w:p w:rsidR="00912FF2" w:rsidRDefault="00912FF2" w:rsidP="00912FF2">
            <w:pPr>
              <w:pStyle w:val="Tabletext"/>
              <w:rPr>
                <w:rFonts w:ascii="Arial Narrow" w:hAnsi="Arial Narrow"/>
              </w:rPr>
            </w:pPr>
            <w:r>
              <w:rPr>
                <w:rFonts w:ascii="Arial Narrow" w:hAnsi="Arial Narrow"/>
              </w:rPr>
              <w:t>Proposed uptake of use based on rapidly achieving market potential, which the re-submission considered the “most conservative assumption”.</w:t>
            </w:r>
          </w:p>
        </w:tc>
      </w:tr>
      <w:tr w:rsidR="00912FF2" w:rsidRPr="00ED0F04" w:rsidTr="00C01F82">
        <w:trPr>
          <w:cantSplit/>
          <w:trHeight w:val="1130"/>
        </w:trPr>
        <w:tc>
          <w:tcPr>
            <w:tcW w:w="0" w:type="auto"/>
          </w:tcPr>
          <w:p w:rsidR="00020C50" w:rsidRPr="00FB6683" w:rsidRDefault="00912FF2" w:rsidP="00C01F82">
            <w:pPr>
              <w:pStyle w:val="Tabletext"/>
              <w:rPr>
                <w:rFonts w:ascii="Arial Narrow" w:hAnsi="Arial Narrow"/>
              </w:rPr>
            </w:pPr>
            <w:r>
              <w:rPr>
                <w:rFonts w:ascii="Arial Narrow" w:hAnsi="Arial Narrow"/>
              </w:rPr>
              <w:t>Risk sharing arrangement</w:t>
            </w:r>
          </w:p>
        </w:tc>
        <w:tc>
          <w:tcPr>
            <w:tcW w:w="0" w:type="auto"/>
          </w:tcPr>
          <w:p w:rsidR="00020C50" w:rsidRPr="00912FF2" w:rsidRDefault="00912FF2" w:rsidP="00C01F82">
            <w:pPr>
              <w:pStyle w:val="Tabletext"/>
              <w:rPr>
                <w:rFonts w:ascii="Arial Narrow" w:hAnsi="Arial Narrow"/>
              </w:rPr>
            </w:pPr>
            <w:r w:rsidRPr="00912FF2">
              <w:rPr>
                <w:rFonts w:ascii="Arial Narrow" w:hAnsi="Arial Narrow"/>
              </w:rPr>
              <w:t>None.</w:t>
            </w:r>
          </w:p>
          <w:p w:rsidR="00912FF2" w:rsidRPr="00912FF2" w:rsidRDefault="00912FF2" w:rsidP="00C01F82">
            <w:pPr>
              <w:pStyle w:val="Tabletext"/>
              <w:rPr>
                <w:rFonts w:ascii="Arial Narrow" w:hAnsi="Arial Narrow"/>
                <w:b/>
              </w:rPr>
            </w:pPr>
            <w:r w:rsidRPr="00912FF2">
              <w:rPr>
                <w:rFonts w:ascii="Arial Narrow" w:hAnsi="Arial Narrow"/>
                <w:b/>
              </w:rPr>
              <w:t>PBAC Comment:</w:t>
            </w:r>
          </w:p>
          <w:p w:rsidR="00912FF2" w:rsidRPr="00912FF2" w:rsidRDefault="00912FF2" w:rsidP="00C01F82">
            <w:pPr>
              <w:pStyle w:val="Tabletext"/>
              <w:rPr>
                <w:rFonts w:ascii="Arial Narrow" w:hAnsi="Arial Narrow"/>
              </w:rPr>
            </w:pPr>
            <w:r w:rsidRPr="00912FF2">
              <w:rPr>
                <w:rFonts w:ascii="Arial Narrow" w:hAnsi="Arial Narrow"/>
              </w:rPr>
              <w:t>The PBAC considered that the size of the eligible population remains uncertain given the wide ranges in the published literature. The PBAC considered that a risk share arrangement would be needed to address this uncertainty as well as manage the financial implications for any use beyond the restriction including into the first-line treatment of breakthrough pain in cancer patients. (para 7.6, July 2015 minutes)</w:t>
            </w:r>
          </w:p>
        </w:tc>
        <w:tc>
          <w:tcPr>
            <w:tcW w:w="0" w:type="auto"/>
          </w:tcPr>
          <w:p w:rsidR="00020C50" w:rsidRPr="00912FF2" w:rsidRDefault="00912FF2" w:rsidP="00C01F82">
            <w:pPr>
              <w:pStyle w:val="Tabletext"/>
              <w:rPr>
                <w:rFonts w:ascii="Arial Narrow" w:hAnsi="Arial Narrow"/>
              </w:rPr>
            </w:pPr>
            <w:r w:rsidRPr="00912FF2">
              <w:rPr>
                <w:rFonts w:ascii="Arial Narrow" w:hAnsi="Arial Narrow"/>
              </w:rPr>
              <w:t>Proposed expenditure caps and Special Pricing Arrangement.</w:t>
            </w:r>
          </w:p>
        </w:tc>
      </w:tr>
    </w:tbl>
    <w:p w:rsidR="00BB7EC3" w:rsidRPr="000839FF" w:rsidRDefault="00BB7EC3" w:rsidP="00882085">
      <w:pPr>
        <w:jc w:val="both"/>
        <w:rPr>
          <w:rFonts w:ascii="Arial" w:hAnsi="Arial" w:cs="Arial"/>
          <w:b/>
          <w:sz w:val="22"/>
          <w:szCs w:val="22"/>
        </w:rPr>
      </w:pPr>
    </w:p>
    <w:p w:rsidR="00B74ED4" w:rsidRDefault="00B74ED4">
      <w:pPr>
        <w:rPr>
          <w:rFonts w:ascii="Arial" w:hAnsi="Arial"/>
          <w:b/>
          <w:sz w:val="22"/>
          <w:szCs w:val="22"/>
        </w:rPr>
      </w:pPr>
      <w:r>
        <w:rPr>
          <w:rFonts w:ascii="Arial" w:hAnsi="Arial"/>
          <w:b/>
          <w:sz w:val="22"/>
          <w:szCs w:val="22"/>
        </w:rPr>
        <w:br w:type="page"/>
      </w:r>
    </w:p>
    <w:p w:rsidR="00CE10C4" w:rsidRPr="00882085" w:rsidRDefault="00CE10C4" w:rsidP="00FA7508">
      <w:pPr>
        <w:pStyle w:val="Heading1"/>
      </w:pPr>
      <w:r w:rsidRPr="00882085">
        <w:t>Clinical place for the proposed ther</w:t>
      </w:r>
      <w:r w:rsidR="006A12A5" w:rsidRPr="00882085">
        <w:t>apy</w:t>
      </w:r>
    </w:p>
    <w:p w:rsidR="00CE10C4" w:rsidRPr="00882085" w:rsidRDefault="00CE10C4" w:rsidP="00882085">
      <w:pPr>
        <w:jc w:val="both"/>
        <w:rPr>
          <w:rFonts w:ascii="Arial" w:hAnsi="Arial"/>
          <w:sz w:val="22"/>
          <w:szCs w:val="22"/>
        </w:rPr>
      </w:pPr>
    </w:p>
    <w:p w:rsidR="00E90F3B" w:rsidRDefault="00D050C2" w:rsidP="00E90F3B">
      <w:pPr>
        <w:widowControl w:val="0"/>
        <w:numPr>
          <w:ilvl w:val="1"/>
          <w:numId w:val="25"/>
        </w:numPr>
        <w:contextualSpacing/>
        <w:jc w:val="both"/>
        <w:rPr>
          <w:rFonts w:ascii="Arial" w:hAnsi="Arial" w:cs="Arial"/>
          <w:sz w:val="22"/>
          <w:szCs w:val="22"/>
        </w:rPr>
      </w:pPr>
      <w:r>
        <w:rPr>
          <w:rFonts w:ascii="Arial" w:hAnsi="Arial" w:cs="Arial"/>
          <w:sz w:val="22"/>
          <w:szCs w:val="22"/>
        </w:rPr>
        <w:t>The</w:t>
      </w:r>
      <w:r w:rsidR="00E90F3B" w:rsidRPr="000839FF">
        <w:rPr>
          <w:rFonts w:ascii="Arial" w:hAnsi="Arial" w:cs="Arial"/>
          <w:sz w:val="22"/>
          <w:szCs w:val="22"/>
        </w:rPr>
        <w:t xml:space="preserve"> PBAC </w:t>
      </w:r>
      <w:r>
        <w:rPr>
          <w:rFonts w:ascii="Arial" w:hAnsi="Arial" w:cs="Arial"/>
          <w:sz w:val="22"/>
          <w:szCs w:val="22"/>
        </w:rPr>
        <w:t xml:space="preserve">previously </w:t>
      </w:r>
      <w:r w:rsidR="00E90F3B" w:rsidRPr="000839FF">
        <w:rPr>
          <w:rFonts w:ascii="Arial" w:hAnsi="Arial" w:cs="Arial"/>
          <w:sz w:val="22"/>
          <w:szCs w:val="22"/>
        </w:rPr>
        <w:t>considered that the likely clinical place in therapy for fentanyl buccal would be a second-line listing in a palliative care setting. The Committee considered that withholding fentanyl buccal to third- and subsequent lines for breakthrough pain may not be practical or reasonable. Furthermore, the Committee considered that, in rare circumstances, fentanyl buccal may be used in first-line setting for patients unable to swallow oral immediate-release opioids.</w:t>
      </w:r>
    </w:p>
    <w:p w:rsidR="00BB7EC3" w:rsidRDefault="00BB7EC3" w:rsidP="00882085">
      <w:pPr>
        <w:pStyle w:val="Header"/>
        <w:tabs>
          <w:tab w:val="clear" w:pos="4153"/>
          <w:tab w:val="clear" w:pos="8306"/>
        </w:tabs>
        <w:jc w:val="both"/>
        <w:rPr>
          <w:rFonts w:ascii="Arial" w:hAnsi="Arial"/>
          <w:sz w:val="22"/>
          <w:szCs w:val="22"/>
        </w:rPr>
      </w:pPr>
    </w:p>
    <w:p w:rsidR="00FA7508" w:rsidRDefault="00FA7508" w:rsidP="00882085">
      <w:pPr>
        <w:pStyle w:val="Header"/>
        <w:tabs>
          <w:tab w:val="clear" w:pos="4153"/>
          <w:tab w:val="clear" w:pos="8306"/>
        </w:tabs>
        <w:jc w:val="both"/>
        <w:rPr>
          <w:rFonts w:ascii="Arial" w:hAnsi="Arial"/>
          <w:sz w:val="22"/>
          <w:szCs w:val="22"/>
        </w:rPr>
      </w:pPr>
    </w:p>
    <w:p w:rsidR="005A3173" w:rsidRDefault="005A3173" w:rsidP="00FA7508">
      <w:pPr>
        <w:pStyle w:val="Heading1"/>
      </w:pPr>
      <w:r w:rsidRPr="00882085">
        <w:t>Comparator</w:t>
      </w:r>
    </w:p>
    <w:p w:rsidR="00D11E36" w:rsidRDefault="00D11E36" w:rsidP="00D11E36">
      <w:pPr>
        <w:pStyle w:val="Header"/>
        <w:tabs>
          <w:tab w:val="clear" w:pos="4153"/>
          <w:tab w:val="clear" w:pos="8306"/>
        </w:tabs>
        <w:ind w:left="720"/>
        <w:jc w:val="both"/>
        <w:rPr>
          <w:rFonts w:ascii="Arial" w:hAnsi="Arial"/>
          <w:b/>
          <w:sz w:val="22"/>
          <w:szCs w:val="22"/>
        </w:rPr>
      </w:pPr>
    </w:p>
    <w:p w:rsidR="00E813E7" w:rsidRDefault="00E90F3B" w:rsidP="00D11E36">
      <w:pPr>
        <w:pStyle w:val="ListParagraph"/>
        <w:numPr>
          <w:ilvl w:val="1"/>
          <w:numId w:val="25"/>
        </w:numPr>
        <w:jc w:val="both"/>
        <w:rPr>
          <w:rFonts w:ascii="Arial" w:hAnsi="Arial" w:cs="Arial"/>
          <w:sz w:val="22"/>
          <w:szCs w:val="22"/>
        </w:rPr>
      </w:pPr>
      <w:r>
        <w:rPr>
          <w:rFonts w:ascii="Arial" w:hAnsi="Arial" w:cs="Arial"/>
          <w:sz w:val="22"/>
          <w:szCs w:val="22"/>
        </w:rPr>
        <w:t>The re-submission nominated f</w:t>
      </w:r>
      <w:r w:rsidR="00D11E36" w:rsidRPr="00D11E36">
        <w:rPr>
          <w:rFonts w:ascii="Arial" w:hAnsi="Arial" w:cs="Arial"/>
          <w:sz w:val="22"/>
          <w:szCs w:val="22"/>
        </w:rPr>
        <w:t xml:space="preserve">entanyl lozenges as the main comparator. In July 2015 this was considered </w:t>
      </w:r>
      <w:r w:rsidR="0066493E">
        <w:rPr>
          <w:rFonts w:ascii="Arial" w:hAnsi="Arial" w:cs="Arial"/>
          <w:sz w:val="22"/>
          <w:szCs w:val="22"/>
        </w:rPr>
        <w:t>an</w:t>
      </w:r>
      <w:r w:rsidR="00D11E36" w:rsidRPr="00D11E36">
        <w:rPr>
          <w:rFonts w:ascii="Arial" w:hAnsi="Arial" w:cs="Arial"/>
          <w:sz w:val="22"/>
          <w:szCs w:val="22"/>
        </w:rPr>
        <w:t xml:space="preserve"> appropriate </w:t>
      </w:r>
      <w:r w:rsidR="0059098C">
        <w:rPr>
          <w:rFonts w:ascii="Arial" w:hAnsi="Arial" w:cs="Arial"/>
          <w:sz w:val="22"/>
          <w:szCs w:val="22"/>
        </w:rPr>
        <w:t>comparator;</w:t>
      </w:r>
      <w:r w:rsidR="0066493E">
        <w:rPr>
          <w:rFonts w:ascii="Arial" w:hAnsi="Arial" w:cs="Arial"/>
          <w:sz w:val="22"/>
          <w:szCs w:val="22"/>
        </w:rPr>
        <w:t xml:space="preserve"> however the PBAC noted that other immediate-release opioids were also appropriate alternate comparators.</w:t>
      </w:r>
    </w:p>
    <w:p w:rsidR="00D11E36" w:rsidRPr="00D11E36" w:rsidRDefault="00D11E36" w:rsidP="00E90F3B">
      <w:pPr>
        <w:pStyle w:val="ListParagraph"/>
        <w:jc w:val="both"/>
        <w:rPr>
          <w:rFonts w:ascii="Arial" w:hAnsi="Arial"/>
          <w:b/>
          <w:sz w:val="22"/>
          <w:szCs w:val="22"/>
        </w:rPr>
      </w:pPr>
    </w:p>
    <w:p w:rsidR="005A3173" w:rsidRDefault="006E4787" w:rsidP="006E4787">
      <w:pPr>
        <w:pStyle w:val="ListParagraph"/>
        <w:numPr>
          <w:ilvl w:val="1"/>
          <w:numId w:val="25"/>
        </w:numPr>
        <w:jc w:val="both"/>
        <w:rPr>
          <w:rFonts w:ascii="Arial" w:hAnsi="Arial"/>
          <w:sz w:val="22"/>
          <w:szCs w:val="22"/>
        </w:rPr>
      </w:pPr>
      <w:r>
        <w:rPr>
          <w:rFonts w:ascii="Arial" w:hAnsi="Arial"/>
          <w:sz w:val="22"/>
          <w:szCs w:val="22"/>
        </w:rPr>
        <w:t>The re-submission considered the displacement of both fentanyl lozenges and immediate release opioids in calculating a price discount for fentanyl buccal tablets.</w:t>
      </w:r>
    </w:p>
    <w:p w:rsidR="006E4787" w:rsidRPr="006E4787" w:rsidRDefault="006E4787" w:rsidP="006E4787">
      <w:pPr>
        <w:jc w:val="both"/>
        <w:rPr>
          <w:rFonts w:ascii="Arial" w:hAnsi="Arial"/>
          <w:sz w:val="22"/>
          <w:szCs w:val="22"/>
        </w:rPr>
      </w:pPr>
    </w:p>
    <w:p w:rsidR="006E4787" w:rsidRPr="00882085" w:rsidRDefault="006E4787" w:rsidP="00882085">
      <w:pPr>
        <w:pStyle w:val="Header"/>
        <w:tabs>
          <w:tab w:val="clear" w:pos="4153"/>
          <w:tab w:val="clear" w:pos="8306"/>
        </w:tabs>
        <w:jc w:val="both"/>
        <w:rPr>
          <w:rFonts w:ascii="Arial" w:hAnsi="Arial"/>
          <w:b/>
          <w:sz w:val="22"/>
          <w:szCs w:val="22"/>
        </w:rPr>
      </w:pPr>
    </w:p>
    <w:p w:rsidR="000B558D" w:rsidRDefault="00D75C0F" w:rsidP="00FA7508">
      <w:pPr>
        <w:pStyle w:val="Heading1"/>
      </w:pPr>
      <w:r>
        <w:t>PBAC c</w:t>
      </w:r>
      <w:r w:rsidR="00D84934">
        <w:t>onsideration of the evidence</w:t>
      </w:r>
    </w:p>
    <w:p w:rsidR="00696486" w:rsidRPr="00E05C0D" w:rsidRDefault="00696486" w:rsidP="00696486">
      <w:pPr>
        <w:jc w:val="both"/>
        <w:rPr>
          <w:rFonts w:ascii="Arial" w:hAnsi="Arial"/>
          <w:b/>
          <w:sz w:val="22"/>
          <w:szCs w:val="22"/>
        </w:rPr>
      </w:pPr>
    </w:p>
    <w:p w:rsidR="00696486" w:rsidRPr="00FA7508" w:rsidRDefault="00696486" w:rsidP="00FA7508">
      <w:pPr>
        <w:pStyle w:val="Heading2"/>
      </w:pPr>
      <w:r w:rsidRPr="00FA7508">
        <w:t>Sponsor hearing</w:t>
      </w:r>
    </w:p>
    <w:p w:rsidR="00696486" w:rsidRPr="00E05C0D" w:rsidRDefault="00696486" w:rsidP="00696486">
      <w:pPr>
        <w:jc w:val="both"/>
        <w:rPr>
          <w:rFonts w:ascii="Arial" w:hAnsi="Arial"/>
          <w:b/>
          <w:sz w:val="22"/>
          <w:szCs w:val="22"/>
        </w:rPr>
      </w:pPr>
    </w:p>
    <w:p w:rsidR="00696486" w:rsidRPr="00E05C0D" w:rsidRDefault="00696486" w:rsidP="00696486">
      <w:pPr>
        <w:pStyle w:val="ListParagraph"/>
        <w:numPr>
          <w:ilvl w:val="1"/>
          <w:numId w:val="25"/>
        </w:numPr>
        <w:jc w:val="both"/>
        <w:rPr>
          <w:rFonts w:ascii="Arial" w:hAnsi="Arial"/>
          <w:b/>
          <w:sz w:val="22"/>
          <w:szCs w:val="22"/>
        </w:rPr>
      </w:pPr>
      <w:r w:rsidRPr="00E05C0D">
        <w:rPr>
          <w:rFonts w:ascii="Arial" w:hAnsi="Arial" w:cs="Arial"/>
          <w:bCs/>
          <w:snapToGrid w:val="0"/>
          <w:sz w:val="22"/>
          <w:szCs w:val="22"/>
        </w:rPr>
        <w:t>There was no hearing for this item as it was a minor submission.</w:t>
      </w:r>
    </w:p>
    <w:p w:rsidR="00696486" w:rsidRPr="00E05C0D" w:rsidRDefault="00696486" w:rsidP="00696486">
      <w:pPr>
        <w:jc w:val="both"/>
        <w:rPr>
          <w:rFonts w:ascii="Arial" w:hAnsi="Arial"/>
          <w:b/>
          <w:sz w:val="22"/>
          <w:szCs w:val="22"/>
        </w:rPr>
      </w:pPr>
    </w:p>
    <w:p w:rsidR="00696486" w:rsidRPr="00E05C0D" w:rsidRDefault="00696486" w:rsidP="00FA7508">
      <w:pPr>
        <w:pStyle w:val="Heading2"/>
      </w:pPr>
      <w:r w:rsidRPr="00E05C0D">
        <w:t>Consumer comments</w:t>
      </w:r>
    </w:p>
    <w:p w:rsidR="00696486" w:rsidRPr="00E05C0D" w:rsidRDefault="00696486" w:rsidP="00696486">
      <w:pPr>
        <w:jc w:val="both"/>
        <w:rPr>
          <w:rFonts w:ascii="Arial" w:hAnsi="Arial"/>
          <w:b/>
          <w:sz w:val="22"/>
          <w:szCs w:val="22"/>
        </w:rPr>
      </w:pPr>
    </w:p>
    <w:p w:rsidR="00696486" w:rsidRPr="00E05C0D" w:rsidRDefault="00696486" w:rsidP="00696486">
      <w:pPr>
        <w:pStyle w:val="ListParagraph"/>
        <w:numPr>
          <w:ilvl w:val="1"/>
          <w:numId w:val="25"/>
        </w:numPr>
        <w:jc w:val="both"/>
        <w:rPr>
          <w:rFonts w:ascii="Arial" w:hAnsi="Arial"/>
          <w:b/>
          <w:sz w:val="22"/>
          <w:szCs w:val="22"/>
        </w:rPr>
      </w:pPr>
      <w:r w:rsidRPr="00E05C0D">
        <w:rPr>
          <w:rFonts w:ascii="Arial" w:hAnsi="Arial" w:cs="Arial"/>
          <w:bCs/>
          <w:snapToGrid w:val="0"/>
          <w:sz w:val="22"/>
          <w:szCs w:val="22"/>
        </w:rPr>
        <w:t>The PBAC noted that no consumer comments were received for this item.</w:t>
      </w:r>
    </w:p>
    <w:p w:rsidR="00BB7EC3" w:rsidRDefault="00BB7EC3" w:rsidP="00F9629A">
      <w:pPr>
        <w:jc w:val="both"/>
        <w:rPr>
          <w:rFonts w:ascii="Arial" w:hAnsi="Arial"/>
          <w:sz w:val="22"/>
          <w:szCs w:val="22"/>
        </w:rPr>
      </w:pPr>
    </w:p>
    <w:p w:rsidR="00D84934" w:rsidRPr="00696486" w:rsidRDefault="00D84934" w:rsidP="00FA7508">
      <w:pPr>
        <w:pStyle w:val="Heading2"/>
      </w:pPr>
      <w:r w:rsidRPr="00696486">
        <w:t>Clinical trials</w:t>
      </w:r>
    </w:p>
    <w:p w:rsidR="00D84934" w:rsidRPr="00F9629A" w:rsidRDefault="00D84934" w:rsidP="00F9629A">
      <w:pPr>
        <w:jc w:val="both"/>
        <w:rPr>
          <w:rFonts w:ascii="Arial" w:hAnsi="Arial"/>
          <w:sz w:val="22"/>
          <w:szCs w:val="22"/>
        </w:rPr>
      </w:pPr>
    </w:p>
    <w:p w:rsidR="0076420C" w:rsidRDefault="0076420C" w:rsidP="00D84934">
      <w:pPr>
        <w:pStyle w:val="ListParagraph"/>
        <w:numPr>
          <w:ilvl w:val="1"/>
          <w:numId w:val="25"/>
        </w:numPr>
        <w:jc w:val="both"/>
        <w:rPr>
          <w:rFonts w:ascii="Arial" w:hAnsi="Arial"/>
          <w:sz w:val="22"/>
          <w:szCs w:val="22"/>
        </w:rPr>
      </w:pPr>
      <w:r>
        <w:rPr>
          <w:rFonts w:ascii="Arial" w:hAnsi="Arial"/>
          <w:sz w:val="22"/>
          <w:szCs w:val="22"/>
        </w:rPr>
        <w:t xml:space="preserve">As a minor submission, no new clinical trials </w:t>
      </w:r>
      <w:r w:rsidR="00FF2801">
        <w:rPr>
          <w:rFonts w:ascii="Arial" w:hAnsi="Arial"/>
          <w:sz w:val="22"/>
          <w:szCs w:val="22"/>
        </w:rPr>
        <w:t>were</w:t>
      </w:r>
      <w:r>
        <w:rPr>
          <w:rFonts w:ascii="Arial" w:hAnsi="Arial"/>
          <w:sz w:val="22"/>
          <w:szCs w:val="22"/>
        </w:rPr>
        <w:t xml:space="preserve"> presented in the r</w:t>
      </w:r>
      <w:r w:rsidR="009525EF">
        <w:rPr>
          <w:rFonts w:ascii="Arial" w:hAnsi="Arial"/>
          <w:sz w:val="22"/>
          <w:szCs w:val="22"/>
        </w:rPr>
        <w:t>e</w:t>
      </w:r>
      <w:r>
        <w:rPr>
          <w:rFonts w:ascii="Arial" w:hAnsi="Arial"/>
          <w:sz w:val="22"/>
          <w:szCs w:val="22"/>
        </w:rPr>
        <w:t>-submission.</w:t>
      </w:r>
    </w:p>
    <w:p w:rsidR="00D84934" w:rsidRPr="009525EF" w:rsidRDefault="00D84934" w:rsidP="009525EF">
      <w:pPr>
        <w:jc w:val="both"/>
        <w:rPr>
          <w:rFonts w:ascii="Arial" w:hAnsi="Arial"/>
          <w:color w:val="FF00FF"/>
          <w:sz w:val="22"/>
          <w:szCs w:val="22"/>
        </w:rPr>
      </w:pPr>
    </w:p>
    <w:p w:rsidR="005A3173" w:rsidRPr="00696486" w:rsidRDefault="005A3173" w:rsidP="00FA7508">
      <w:pPr>
        <w:pStyle w:val="Heading2"/>
      </w:pPr>
      <w:r w:rsidRPr="00696486">
        <w:t>Economic analysis</w:t>
      </w:r>
    </w:p>
    <w:p w:rsidR="005A3173" w:rsidRPr="00696486" w:rsidRDefault="005A3173" w:rsidP="00D84934">
      <w:pPr>
        <w:pStyle w:val="NoSpacing"/>
      </w:pPr>
    </w:p>
    <w:p w:rsidR="009B0F67" w:rsidRPr="00696486" w:rsidRDefault="009B0F67" w:rsidP="008651DA">
      <w:pPr>
        <w:pStyle w:val="ListParagraph"/>
        <w:numPr>
          <w:ilvl w:val="1"/>
          <w:numId w:val="25"/>
        </w:numPr>
        <w:jc w:val="both"/>
        <w:rPr>
          <w:rFonts w:ascii="Arial" w:hAnsi="Arial"/>
          <w:sz w:val="22"/>
          <w:szCs w:val="22"/>
        </w:rPr>
      </w:pPr>
      <w:r w:rsidRPr="00696486">
        <w:rPr>
          <w:rFonts w:ascii="Arial" w:hAnsi="Arial"/>
          <w:sz w:val="22"/>
          <w:szCs w:val="22"/>
        </w:rPr>
        <w:t xml:space="preserve">In the previous major submission considered by PBAC in </w:t>
      </w:r>
      <w:r w:rsidR="008651DA" w:rsidRPr="00696486">
        <w:rPr>
          <w:rFonts w:ascii="Arial" w:hAnsi="Arial"/>
          <w:sz w:val="22"/>
          <w:szCs w:val="22"/>
        </w:rPr>
        <w:t>July 2015</w:t>
      </w:r>
      <w:r w:rsidRPr="00696486">
        <w:rPr>
          <w:rFonts w:ascii="Arial" w:hAnsi="Arial"/>
          <w:sz w:val="22"/>
          <w:szCs w:val="22"/>
        </w:rPr>
        <w:t>, the submission presented a cost-minimisation analysis</w:t>
      </w:r>
      <w:r w:rsidR="008651DA" w:rsidRPr="00696486">
        <w:rPr>
          <w:rFonts w:ascii="Arial" w:hAnsi="Arial"/>
          <w:sz w:val="22"/>
          <w:szCs w:val="22"/>
        </w:rPr>
        <w:t xml:space="preserve"> against fentanyl lozenges</w:t>
      </w:r>
      <w:r w:rsidRPr="00696486">
        <w:rPr>
          <w:rFonts w:ascii="Arial" w:hAnsi="Arial"/>
          <w:sz w:val="22"/>
          <w:szCs w:val="22"/>
        </w:rPr>
        <w:t>.</w:t>
      </w:r>
    </w:p>
    <w:p w:rsidR="005963BB" w:rsidRPr="00696486" w:rsidRDefault="005963BB" w:rsidP="00C00DA7">
      <w:pPr>
        <w:jc w:val="both"/>
        <w:rPr>
          <w:rFonts w:ascii="Arial" w:hAnsi="Arial"/>
          <w:sz w:val="22"/>
          <w:szCs w:val="22"/>
        </w:rPr>
      </w:pPr>
    </w:p>
    <w:p w:rsidR="005A3173" w:rsidRPr="00696486" w:rsidRDefault="005A3173" w:rsidP="00FA7508">
      <w:pPr>
        <w:pStyle w:val="Heading2"/>
      </w:pPr>
      <w:r w:rsidRPr="00696486">
        <w:t>Estimated PBS usage &amp; financial implications</w:t>
      </w:r>
    </w:p>
    <w:p w:rsidR="005A3173" w:rsidRPr="00696486" w:rsidRDefault="005A3173" w:rsidP="00882085">
      <w:pPr>
        <w:ind w:left="720" w:hanging="720"/>
        <w:jc w:val="both"/>
        <w:rPr>
          <w:rFonts w:ascii="Arial" w:hAnsi="Arial"/>
          <w:b/>
          <w:sz w:val="22"/>
          <w:szCs w:val="22"/>
        </w:rPr>
      </w:pPr>
    </w:p>
    <w:p w:rsidR="00653080" w:rsidRPr="00653080" w:rsidRDefault="00653080" w:rsidP="00653080">
      <w:pPr>
        <w:pStyle w:val="ListParagraph"/>
        <w:widowControl w:val="0"/>
        <w:numPr>
          <w:ilvl w:val="1"/>
          <w:numId w:val="25"/>
        </w:numPr>
        <w:jc w:val="both"/>
        <w:rPr>
          <w:rFonts w:ascii="Arial" w:hAnsi="Arial" w:cs="Arial"/>
          <w:sz w:val="22"/>
          <w:szCs w:val="22"/>
        </w:rPr>
      </w:pPr>
      <w:r w:rsidRPr="004751E7">
        <w:rPr>
          <w:rFonts w:ascii="Arial" w:hAnsi="Arial" w:cs="Arial"/>
          <w:sz w:val="22"/>
          <w:szCs w:val="22"/>
        </w:rPr>
        <w:t xml:space="preserve">In July 2015 the </w:t>
      </w:r>
      <w:r w:rsidRPr="004751E7">
        <w:rPr>
          <w:rFonts w:ascii="Arial" w:hAnsi="Arial" w:cs="Arial"/>
          <w:bCs/>
          <w:sz w:val="22"/>
          <w:szCs w:val="22"/>
        </w:rPr>
        <w:t xml:space="preserve">PBAC considered that the size of the eligible population remains uncertain given the wide ranges in the published literature. The PBAC considered that a </w:t>
      </w:r>
      <w:r w:rsidR="004B06F2">
        <w:rPr>
          <w:rFonts w:ascii="Arial" w:hAnsi="Arial" w:cs="Arial"/>
          <w:bCs/>
          <w:sz w:val="22"/>
          <w:szCs w:val="22"/>
        </w:rPr>
        <w:t>R</w:t>
      </w:r>
      <w:r w:rsidR="004B06F2" w:rsidRPr="004751E7">
        <w:rPr>
          <w:rFonts w:ascii="Arial" w:hAnsi="Arial" w:cs="Arial"/>
          <w:bCs/>
          <w:sz w:val="22"/>
          <w:szCs w:val="22"/>
        </w:rPr>
        <w:t xml:space="preserve">isk </w:t>
      </w:r>
      <w:r w:rsidR="004B06F2">
        <w:rPr>
          <w:rFonts w:ascii="Arial" w:hAnsi="Arial" w:cs="Arial"/>
          <w:bCs/>
          <w:sz w:val="22"/>
          <w:szCs w:val="22"/>
        </w:rPr>
        <w:t>S</w:t>
      </w:r>
      <w:r w:rsidR="004B06F2" w:rsidRPr="004751E7">
        <w:rPr>
          <w:rFonts w:ascii="Arial" w:hAnsi="Arial" w:cs="Arial"/>
          <w:bCs/>
          <w:sz w:val="22"/>
          <w:szCs w:val="22"/>
        </w:rPr>
        <w:t xml:space="preserve">hare </w:t>
      </w:r>
      <w:r w:rsidR="004B06F2">
        <w:rPr>
          <w:rFonts w:ascii="Arial" w:hAnsi="Arial" w:cs="Arial"/>
          <w:bCs/>
          <w:sz w:val="22"/>
          <w:szCs w:val="22"/>
        </w:rPr>
        <w:t>A</w:t>
      </w:r>
      <w:r w:rsidR="004B06F2" w:rsidRPr="004751E7">
        <w:rPr>
          <w:rFonts w:ascii="Arial" w:hAnsi="Arial" w:cs="Arial"/>
          <w:bCs/>
          <w:sz w:val="22"/>
          <w:szCs w:val="22"/>
        </w:rPr>
        <w:t xml:space="preserve">rrangement </w:t>
      </w:r>
      <w:r w:rsidRPr="004751E7">
        <w:rPr>
          <w:rFonts w:ascii="Arial" w:hAnsi="Arial" w:cs="Arial"/>
          <w:bCs/>
          <w:sz w:val="22"/>
          <w:szCs w:val="22"/>
        </w:rPr>
        <w:t xml:space="preserve">would be needed to address this uncertainty as well as manage the financial implications for any use beyond the restriction including into the first-line treatment of breakthrough pain in cancer </w:t>
      </w:r>
      <w:r>
        <w:rPr>
          <w:rFonts w:ascii="Arial" w:hAnsi="Arial" w:cs="Arial"/>
          <w:bCs/>
          <w:sz w:val="22"/>
          <w:szCs w:val="22"/>
        </w:rPr>
        <w:t xml:space="preserve">patients. </w:t>
      </w:r>
    </w:p>
    <w:p w:rsidR="00653080" w:rsidRPr="00882085" w:rsidRDefault="00653080" w:rsidP="00882085">
      <w:pPr>
        <w:ind w:left="720" w:hanging="720"/>
        <w:jc w:val="both"/>
        <w:rPr>
          <w:rFonts w:ascii="Arial" w:hAnsi="Arial"/>
          <w:b/>
          <w:i/>
          <w:sz w:val="22"/>
          <w:szCs w:val="22"/>
        </w:rPr>
      </w:pPr>
    </w:p>
    <w:p w:rsidR="00442D24" w:rsidRPr="00653080" w:rsidRDefault="00410CD0" w:rsidP="00736F0D">
      <w:pPr>
        <w:pStyle w:val="ListParagraph"/>
        <w:numPr>
          <w:ilvl w:val="1"/>
          <w:numId w:val="25"/>
        </w:numPr>
        <w:jc w:val="both"/>
        <w:rPr>
          <w:rFonts w:ascii="Arial" w:hAnsi="Arial"/>
          <w:sz w:val="22"/>
          <w:szCs w:val="22"/>
        </w:rPr>
      </w:pPr>
      <w:r w:rsidRPr="00653080">
        <w:rPr>
          <w:rFonts w:ascii="Arial" w:hAnsi="Arial"/>
          <w:sz w:val="22"/>
          <w:szCs w:val="22"/>
        </w:rPr>
        <w:t>The submission provided revised estimates of patient numbers e</w:t>
      </w:r>
      <w:r w:rsidR="00767EAA" w:rsidRPr="00653080">
        <w:rPr>
          <w:rFonts w:ascii="Arial" w:hAnsi="Arial"/>
          <w:sz w:val="22"/>
          <w:szCs w:val="22"/>
        </w:rPr>
        <w:t xml:space="preserve">ligible for </w:t>
      </w:r>
      <w:r w:rsidR="007F6906">
        <w:rPr>
          <w:rFonts w:ascii="Arial" w:hAnsi="Arial"/>
          <w:sz w:val="22"/>
          <w:szCs w:val="22"/>
        </w:rPr>
        <w:t xml:space="preserve">fentanyl buccal tablets </w:t>
      </w:r>
      <w:r w:rsidR="00767EAA" w:rsidRPr="00653080">
        <w:rPr>
          <w:rFonts w:ascii="Arial" w:hAnsi="Arial"/>
          <w:sz w:val="22"/>
          <w:szCs w:val="22"/>
        </w:rPr>
        <w:t xml:space="preserve">(or </w:t>
      </w:r>
      <w:r w:rsidR="007F6906">
        <w:rPr>
          <w:rFonts w:ascii="Arial" w:hAnsi="Arial"/>
          <w:sz w:val="22"/>
          <w:szCs w:val="22"/>
        </w:rPr>
        <w:t>fentanyl lozenges</w:t>
      </w:r>
      <w:r w:rsidR="00767EAA" w:rsidRPr="00653080">
        <w:rPr>
          <w:rFonts w:ascii="Arial" w:hAnsi="Arial"/>
          <w:sz w:val="22"/>
          <w:szCs w:val="22"/>
        </w:rPr>
        <w:t xml:space="preserve">) – </w:t>
      </w:r>
      <w:r w:rsidR="00363061">
        <w:rPr>
          <w:rFonts w:ascii="Arial" w:hAnsi="Arial"/>
          <w:noProof/>
          <w:color w:val="000000"/>
          <w:sz w:val="22"/>
          <w:szCs w:val="22"/>
          <w:highlight w:val="black"/>
        </w:rPr>
        <w:t>''''''''''''''</w:t>
      </w:r>
      <w:r w:rsidR="00767EAA" w:rsidRPr="00653080">
        <w:rPr>
          <w:rFonts w:ascii="Arial" w:hAnsi="Arial"/>
          <w:sz w:val="22"/>
          <w:szCs w:val="22"/>
        </w:rPr>
        <w:t xml:space="preserve"> to </w:t>
      </w:r>
      <w:r w:rsidR="00363061">
        <w:rPr>
          <w:rFonts w:ascii="Arial" w:hAnsi="Arial"/>
          <w:noProof/>
          <w:color w:val="000000"/>
          <w:sz w:val="22"/>
          <w:szCs w:val="22"/>
          <w:highlight w:val="black"/>
        </w:rPr>
        <w:t>''''''''''''</w:t>
      </w:r>
      <w:r w:rsidR="00767EAA" w:rsidRPr="00653080">
        <w:rPr>
          <w:rFonts w:ascii="Arial" w:hAnsi="Arial"/>
          <w:sz w:val="22"/>
          <w:szCs w:val="22"/>
        </w:rPr>
        <w:t xml:space="preserve"> compared to </w:t>
      </w:r>
      <w:r w:rsidR="00363061">
        <w:rPr>
          <w:rFonts w:ascii="Arial" w:hAnsi="Arial"/>
          <w:noProof/>
          <w:color w:val="000000"/>
          <w:sz w:val="22"/>
          <w:szCs w:val="22"/>
          <w:highlight w:val="black"/>
        </w:rPr>
        <w:t>'''''''''''''</w:t>
      </w:r>
      <w:r w:rsidR="00767EAA" w:rsidRPr="00653080">
        <w:rPr>
          <w:rFonts w:ascii="Arial" w:hAnsi="Arial"/>
          <w:sz w:val="22"/>
          <w:szCs w:val="22"/>
        </w:rPr>
        <w:t xml:space="preserve"> to </w:t>
      </w:r>
      <w:r w:rsidR="00363061">
        <w:rPr>
          <w:rFonts w:ascii="Arial" w:hAnsi="Arial"/>
          <w:noProof/>
          <w:color w:val="000000"/>
          <w:sz w:val="22"/>
          <w:szCs w:val="22"/>
          <w:highlight w:val="black"/>
        </w:rPr>
        <w:t>'''''''''''''</w:t>
      </w:r>
      <w:r w:rsidR="00767EAA" w:rsidRPr="00653080">
        <w:rPr>
          <w:rFonts w:ascii="Arial" w:hAnsi="Arial"/>
          <w:sz w:val="22"/>
          <w:szCs w:val="22"/>
        </w:rPr>
        <w:t xml:space="preserve"> in the July 2015 submission. </w:t>
      </w:r>
      <w:r w:rsidR="00F3613B">
        <w:rPr>
          <w:rFonts w:ascii="Arial" w:hAnsi="Arial"/>
          <w:sz w:val="22"/>
          <w:szCs w:val="22"/>
        </w:rPr>
        <w:t>In July 2015, the PBAC agreed that the market share approach based on the use of fentanyl lozenges is likely to substantially underestimate the utilisation for fentanyl buccal tablets.</w:t>
      </w:r>
      <w:r w:rsidR="009C2D84">
        <w:rPr>
          <w:rFonts w:ascii="Arial" w:hAnsi="Arial"/>
          <w:sz w:val="22"/>
          <w:szCs w:val="22"/>
        </w:rPr>
        <w:t xml:space="preserve"> The re-submission estimated population number</w:t>
      </w:r>
      <w:r w:rsidR="002E4B0F">
        <w:rPr>
          <w:rFonts w:ascii="Arial" w:hAnsi="Arial"/>
          <w:sz w:val="22"/>
          <w:szCs w:val="22"/>
        </w:rPr>
        <w:t>s</w:t>
      </w:r>
      <w:r w:rsidR="009C2D84">
        <w:rPr>
          <w:rFonts w:ascii="Arial" w:hAnsi="Arial"/>
          <w:sz w:val="22"/>
          <w:szCs w:val="22"/>
        </w:rPr>
        <w:t xml:space="preserve"> using an epidemiological approach.</w:t>
      </w:r>
    </w:p>
    <w:p w:rsidR="00767EAA" w:rsidRDefault="00767EAA" w:rsidP="00C00DA7">
      <w:pPr>
        <w:pStyle w:val="ListParagraph"/>
        <w:ind w:left="709"/>
        <w:jc w:val="both"/>
        <w:rPr>
          <w:rFonts w:ascii="Arial" w:hAnsi="Arial"/>
          <w:sz w:val="22"/>
          <w:szCs w:val="22"/>
        </w:rPr>
      </w:pPr>
    </w:p>
    <w:p w:rsidR="00442D24" w:rsidRDefault="00767EAA" w:rsidP="00736F0D">
      <w:pPr>
        <w:pStyle w:val="ListParagraph"/>
        <w:numPr>
          <w:ilvl w:val="1"/>
          <w:numId w:val="25"/>
        </w:numPr>
        <w:jc w:val="both"/>
        <w:rPr>
          <w:rFonts w:ascii="Arial" w:hAnsi="Arial"/>
          <w:sz w:val="22"/>
          <w:szCs w:val="22"/>
        </w:rPr>
      </w:pPr>
      <w:r>
        <w:rPr>
          <w:rFonts w:ascii="Arial" w:hAnsi="Arial"/>
          <w:sz w:val="22"/>
          <w:szCs w:val="22"/>
        </w:rPr>
        <w:t xml:space="preserve">The submission estimated the likely duration of use of </w:t>
      </w:r>
      <w:r w:rsidR="007F6906">
        <w:rPr>
          <w:rFonts w:ascii="Arial" w:hAnsi="Arial"/>
          <w:sz w:val="22"/>
          <w:szCs w:val="22"/>
        </w:rPr>
        <w:t>fentanyl buccal tablets</w:t>
      </w:r>
      <w:r>
        <w:rPr>
          <w:rFonts w:ascii="Arial" w:hAnsi="Arial"/>
          <w:sz w:val="22"/>
          <w:szCs w:val="22"/>
        </w:rPr>
        <w:t xml:space="preserve"> as second line therapy to be around </w:t>
      </w:r>
      <w:r w:rsidR="00363061">
        <w:rPr>
          <w:rStyle w:val="CommentReference"/>
          <w:noProof/>
          <w:color w:val="000000"/>
          <w:highlight w:val="black"/>
        </w:rPr>
        <w:t>''''''''''</w:t>
      </w:r>
      <w:r w:rsidRPr="003E76D1">
        <w:rPr>
          <w:rFonts w:ascii="Arial" w:hAnsi="Arial"/>
          <w:sz w:val="22"/>
          <w:szCs w:val="22"/>
        </w:rPr>
        <w:t xml:space="preserve"> to </w:t>
      </w:r>
      <w:r w:rsidR="00363061">
        <w:rPr>
          <w:rFonts w:ascii="Arial" w:hAnsi="Arial"/>
          <w:noProof/>
          <w:color w:val="000000"/>
          <w:sz w:val="22"/>
          <w:szCs w:val="22"/>
          <w:highlight w:val="black"/>
        </w:rPr>
        <w:t>''''''</w:t>
      </w:r>
      <w:r w:rsidRPr="003E76D1">
        <w:rPr>
          <w:rFonts w:ascii="Arial" w:hAnsi="Arial"/>
          <w:sz w:val="22"/>
          <w:szCs w:val="22"/>
        </w:rPr>
        <w:t xml:space="preserve"> days.</w:t>
      </w:r>
      <w:r w:rsidR="00653080" w:rsidRPr="003E76D1">
        <w:rPr>
          <w:rFonts w:ascii="Arial" w:hAnsi="Arial"/>
          <w:sz w:val="22"/>
          <w:szCs w:val="22"/>
        </w:rPr>
        <w:t xml:space="preserve"> This appeared to be based on a Survey of </w:t>
      </w:r>
      <w:r w:rsidR="00363061">
        <w:rPr>
          <w:rFonts w:ascii="Arial" w:hAnsi="Arial"/>
          <w:noProof/>
          <w:color w:val="000000"/>
          <w:sz w:val="22"/>
          <w:szCs w:val="22"/>
          <w:highlight w:val="black"/>
        </w:rPr>
        <w:t>''''''</w:t>
      </w:r>
      <w:r w:rsidR="00653080" w:rsidRPr="003E76D1">
        <w:rPr>
          <w:rFonts w:ascii="Arial" w:hAnsi="Arial"/>
          <w:sz w:val="22"/>
          <w:szCs w:val="22"/>
        </w:rPr>
        <w:t xml:space="preserve"> practitioners condu</w:t>
      </w:r>
      <w:r w:rsidR="007F6906" w:rsidRPr="003E76D1">
        <w:rPr>
          <w:rFonts w:ascii="Arial" w:hAnsi="Arial"/>
          <w:sz w:val="22"/>
          <w:szCs w:val="22"/>
        </w:rPr>
        <w:t xml:space="preserve">cted in </w:t>
      </w:r>
      <w:r w:rsidR="007F6906" w:rsidRPr="00FB3752">
        <w:rPr>
          <w:rFonts w:ascii="Arial" w:hAnsi="Arial"/>
          <w:sz w:val="22"/>
          <w:szCs w:val="22"/>
        </w:rPr>
        <w:t>2003</w:t>
      </w:r>
      <w:r w:rsidR="007F6906" w:rsidRPr="003E76D1">
        <w:rPr>
          <w:rFonts w:ascii="Arial" w:hAnsi="Arial"/>
          <w:sz w:val="22"/>
          <w:szCs w:val="22"/>
        </w:rPr>
        <w:t xml:space="preserve"> for the first fentanyl lozenge submission and the latest fentanyl lozenge</w:t>
      </w:r>
      <w:r w:rsidR="00653080" w:rsidRPr="003E76D1">
        <w:rPr>
          <w:rFonts w:ascii="Arial" w:hAnsi="Arial"/>
          <w:sz w:val="22"/>
          <w:szCs w:val="22"/>
        </w:rPr>
        <w:t xml:space="preserve"> PBAC submission (July 2007)</w:t>
      </w:r>
      <w:r w:rsidR="00653080">
        <w:rPr>
          <w:rFonts w:ascii="Arial" w:hAnsi="Arial"/>
          <w:sz w:val="22"/>
          <w:szCs w:val="22"/>
        </w:rPr>
        <w:t xml:space="preserve">. </w:t>
      </w:r>
    </w:p>
    <w:p w:rsidR="009F65AF" w:rsidRDefault="009F65AF" w:rsidP="00C00DA7">
      <w:pPr>
        <w:pStyle w:val="ListParagraph"/>
        <w:ind w:left="709"/>
        <w:jc w:val="both"/>
        <w:rPr>
          <w:rFonts w:ascii="Arial" w:hAnsi="Arial"/>
          <w:sz w:val="22"/>
          <w:szCs w:val="22"/>
        </w:rPr>
      </w:pPr>
    </w:p>
    <w:p w:rsidR="009F65AF" w:rsidRDefault="009F65AF" w:rsidP="00736F0D">
      <w:pPr>
        <w:pStyle w:val="ListParagraph"/>
        <w:numPr>
          <w:ilvl w:val="1"/>
          <w:numId w:val="25"/>
        </w:numPr>
        <w:jc w:val="both"/>
        <w:rPr>
          <w:rFonts w:ascii="Arial" w:hAnsi="Arial"/>
          <w:sz w:val="22"/>
          <w:szCs w:val="22"/>
        </w:rPr>
      </w:pPr>
      <w:r>
        <w:rPr>
          <w:rFonts w:ascii="Arial" w:hAnsi="Arial"/>
          <w:sz w:val="22"/>
          <w:szCs w:val="22"/>
        </w:rPr>
        <w:t xml:space="preserve">The submission stated that the most conservative assumption to estimate uptake of fentanyl buccal tablet use, </w:t>
      </w:r>
      <w:r w:rsidRPr="003E76D1">
        <w:rPr>
          <w:rFonts w:ascii="Arial" w:hAnsi="Arial"/>
          <w:sz w:val="22"/>
          <w:szCs w:val="22"/>
        </w:rPr>
        <w:t xml:space="preserve">is to adjust uptake rate to </w:t>
      </w:r>
      <w:r w:rsidR="00363061">
        <w:rPr>
          <w:rFonts w:ascii="Arial" w:hAnsi="Arial"/>
          <w:noProof/>
          <w:color w:val="000000"/>
          <w:sz w:val="22"/>
          <w:szCs w:val="22"/>
          <w:highlight w:val="black"/>
        </w:rPr>
        <w:t>''''''</w:t>
      </w:r>
      <w:r w:rsidRPr="003E76D1">
        <w:rPr>
          <w:rFonts w:ascii="Arial" w:hAnsi="Arial"/>
          <w:sz w:val="22"/>
          <w:szCs w:val="22"/>
        </w:rPr>
        <w:t>% in Year 1</w:t>
      </w:r>
      <w:r w:rsidR="00363061">
        <w:rPr>
          <w:rFonts w:ascii="Arial" w:hAnsi="Arial"/>
          <w:noProof/>
          <w:color w:val="000000"/>
          <w:sz w:val="22"/>
          <w:szCs w:val="22"/>
          <w:highlight w:val="black"/>
        </w:rPr>
        <w:t>'' ''''''</w:t>
      </w:r>
      <w:r w:rsidRPr="003E76D1">
        <w:rPr>
          <w:rFonts w:ascii="Arial" w:hAnsi="Arial"/>
          <w:sz w:val="22"/>
          <w:szCs w:val="22"/>
        </w:rPr>
        <w:t xml:space="preserve">% in Year 2 and </w:t>
      </w:r>
      <w:r w:rsidR="00363061">
        <w:rPr>
          <w:rFonts w:ascii="Arial" w:hAnsi="Arial"/>
          <w:noProof/>
          <w:color w:val="000000"/>
          <w:sz w:val="22"/>
          <w:szCs w:val="22"/>
          <w:highlight w:val="black"/>
        </w:rPr>
        <w:t>'''''''''</w:t>
      </w:r>
      <w:r w:rsidRPr="003E76D1">
        <w:rPr>
          <w:rFonts w:ascii="Arial" w:hAnsi="Arial"/>
          <w:sz w:val="22"/>
          <w:szCs w:val="22"/>
        </w:rPr>
        <w:t>% by Year 3 following PBS listing</w:t>
      </w:r>
      <w:r>
        <w:rPr>
          <w:rFonts w:ascii="Arial" w:hAnsi="Arial"/>
          <w:sz w:val="22"/>
          <w:szCs w:val="22"/>
        </w:rPr>
        <w:t>.</w:t>
      </w:r>
    </w:p>
    <w:p w:rsidR="00410CD0" w:rsidRPr="00C00DA7" w:rsidRDefault="00410CD0" w:rsidP="00C00DA7">
      <w:pPr>
        <w:pStyle w:val="ListParagraph"/>
        <w:ind w:left="709"/>
        <w:jc w:val="both"/>
        <w:rPr>
          <w:rFonts w:ascii="Arial" w:hAnsi="Arial"/>
          <w:sz w:val="22"/>
          <w:szCs w:val="22"/>
        </w:rPr>
      </w:pPr>
    </w:p>
    <w:p w:rsidR="00D44EE9" w:rsidRDefault="00D44EE9" w:rsidP="00AB2A34">
      <w:pPr>
        <w:pStyle w:val="ListParagraph"/>
        <w:numPr>
          <w:ilvl w:val="1"/>
          <w:numId w:val="25"/>
        </w:numPr>
        <w:jc w:val="both"/>
        <w:rPr>
          <w:rFonts w:ascii="Arial" w:hAnsi="Arial"/>
          <w:sz w:val="22"/>
          <w:szCs w:val="22"/>
        </w:rPr>
      </w:pPr>
      <w:r>
        <w:rPr>
          <w:rFonts w:ascii="Arial" w:hAnsi="Arial"/>
          <w:sz w:val="22"/>
          <w:szCs w:val="22"/>
        </w:rPr>
        <w:t xml:space="preserve">The submission proposed a </w:t>
      </w:r>
      <w:r w:rsidR="004B06F2">
        <w:rPr>
          <w:rFonts w:ascii="Arial" w:hAnsi="Arial"/>
          <w:sz w:val="22"/>
          <w:szCs w:val="22"/>
        </w:rPr>
        <w:t xml:space="preserve">Risk Sharing Arrangement </w:t>
      </w:r>
      <w:r>
        <w:rPr>
          <w:rFonts w:ascii="Arial" w:hAnsi="Arial"/>
          <w:sz w:val="22"/>
          <w:szCs w:val="22"/>
        </w:rPr>
        <w:t>with a</w:t>
      </w:r>
      <w:r w:rsidR="00442D24">
        <w:rPr>
          <w:rFonts w:ascii="Arial" w:hAnsi="Arial"/>
          <w:sz w:val="22"/>
          <w:szCs w:val="22"/>
        </w:rPr>
        <w:t>nnuals</w:t>
      </w:r>
      <w:r>
        <w:rPr>
          <w:rFonts w:ascii="Arial" w:hAnsi="Arial"/>
          <w:sz w:val="22"/>
          <w:szCs w:val="22"/>
        </w:rPr>
        <w:t xml:space="preserve"> cap</w:t>
      </w:r>
      <w:r w:rsidR="00442D24">
        <w:rPr>
          <w:rFonts w:ascii="Arial" w:hAnsi="Arial"/>
          <w:sz w:val="22"/>
          <w:szCs w:val="22"/>
        </w:rPr>
        <w:t>s</w:t>
      </w:r>
      <w:r>
        <w:rPr>
          <w:rFonts w:ascii="Arial" w:hAnsi="Arial"/>
          <w:sz w:val="22"/>
          <w:szCs w:val="22"/>
        </w:rPr>
        <w:t xml:space="preserve"> based on </w:t>
      </w:r>
      <w:r w:rsidR="00EE2893">
        <w:rPr>
          <w:rFonts w:ascii="Arial" w:hAnsi="Arial"/>
          <w:sz w:val="22"/>
          <w:szCs w:val="22"/>
        </w:rPr>
        <w:t>projected expenditure, shown in the table below.</w:t>
      </w:r>
    </w:p>
    <w:p w:rsidR="00D44EE9" w:rsidRPr="00D44EE9" w:rsidRDefault="00D44EE9" w:rsidP="00696486">
      <w:pPr>
        <w:pStyle w:val="Caption"/>
        <w:spacing w:after="0"/>
        <w:ind w:hanging="482"/>
        <w:rPr>
          <w:rFonts w:ascii="Arial Narrow" w:hAnsi="Arial Narrow"/>
        </w:rPr>
      </w:pPr>
      <w:bookmarkStart w:id="3" w:name="_Toc427933885"/>
      <w:r w:rsidRPr="00D44EE9">
        <w:rPr>
          <w:rFonts w:ascii="Arial Narrow" w:hAnsi="Arial Narrow"/>
        </w:rPr>
        <w:t>Table</w:t>
      </w:r>
      <w:r w:rsidR="00B81841">
        <w:rPr>
          <w:rFonts w:ascii="Arial Narrow" w:hAnsi="Arial Narrow"/>
        </w:rPr>
        <w:t xml:space="preserve"> 2</w:t>
      </w:r>
      <w:r>
        <w:rPr>
          <w:rFonts w:ascii="Arial Narrow" w:hAnsi="Arial Narrow"/>
        </w:rPr>
        <w:t xml:space="preserve">: </w:t>
      </w:r>
      <w:r w:rsidRPr="00D44EE9">
        <w:rPr>
          <w:rFonts w:ascii="Arial Narrow" w:hAnsi="Arial Narrow"/>
        </w:rPr>
        <w:t>Proposed Risk Share caps and rebates</w:t>
      </w:r>
      <w:bookmarkEnd w:id="3"/>
    </w:p>
    <w:tbl>
      <w:tblPr>
        <w:tblStyle w:val="TableGrid"/>
        <w:tblW w:w="8363" w:type="dxa"/>
        <w:tblInd w:w="766" w:type="dxa"/>
        <w:tblLayout w:type="fixed"/>
        <w:tblCellMar>
          <w:left w:w="57" w:type="dxa"/>
          <w:right w:w="57" w:type="dxa"/>
        </w:tblCellMar>
        <w:tblLook w:val="04A0" w:firstRow="1" w:lastRow="0" w:firstColumn="1" w:lastColumn="0" w:noHBand="0" w:noVBand="1"/>
        <w:tblCaption w:val="Table 2: Proposed Risk Share caps and rebates"/>
      </w:tblPr>
      <w:tblGrid>
        <w:gridCol w:w="2614"/>
        <w:gridCol w:w="850"/>
        <w:gridCol w:w="979"/>
        <w:gridCol w:w="980"/>
        <w:gridCol w:w="980"/>
        <w:gridCol w:w="980"/>
        <w:gridCol w:w="980"/>
      </w:tblGrid>
      <w:tr w:rsidR="00D44EE9" w:rsidRPr="00D44EE9" w:rsidTr="00180FD2">
        <w:trPr>
          <w:tblHeader/>
        </w:trPr>
        <w:tc>
          <w:tcPr>
            <w:tcW w:w="2614" w:type="dxa"/>
            <w:shd w:val="clear" w:color="auto" w:fill="D9D9D9" w:themeFill="background1" w:themeFillShade="D9"/>
            <w:vAlign w:val="center"/>
          </w:tcPr>
          <w:p w:rsidR="00D44EE9" w:rsidRPr="00D44EE9" w:rsidRDefault="00D44EE9" w:rsidP="00C01F82">
            <w:pPr>
              <w:pStyle w:val="KMC-Text"/>
              <w:spacing w:before="40" w:after="40" w:line="240" w:lineRule="auto"/>
              <w:rPr>
                <w:rFonts w:ascii="Arial Narrow" w:hAnsi="Arial Narrow"/>
                <w:b/>
                <w:sz w:val="20"/>
              </w:rPr>
            </w:pPr>
          </w:p>
        </w:tc>
        <w:tc>
          <w:tcPr>
            <w:tcW w:w="850" w:type="dxa"/>
            <w:shd w:val="clear" w:color="auto" w:fill="D9D9D9" w:themeFill="background1" w:themeFillShade="D9"/>
          </w:tcPr>
          <w:p w:rsidR="00D44EE9" w:rsidRPr="00D44EE9" w:rsidRDefault="00D44EE9" w:rsidP="00C01F82">
            <w:pPr>
              <w:pStyle w:val="KMC-Text"/>
              <w:spacing w:before="40" w:after="40" w:line="240" w:lineRule="auto"/>
              <w:rPr>
                <w:rFonts w:ascii="Arial Narrow" w:hAnsi="Arial Narrow"/>
                <w:b/>
                <w:color w:val="000000"/>
                <w:sz w:val="20"/>
              </w:rPr>
            </w:pPr>
            <w:r w:rsidRPr="00D44EE9">
              <w:rPr>
                <w:rFonts w:ascii="Arial Narrow" w:hAnsi="Arial Narrow"/>
                <w:b/>
                <w:color w:val="000000"/>
                <w:sz w:val="20"/>
              </w:rPr>
              <w:t>Rebate Beyond Cap</w:t>
            </w:r>
          </w:p>
        </w:tc>
        <w:tc>
          <w:tcPr>
            <w:tcW w:w="979" w:type="dxa"/>
            <w:shd w:val="clear" w:color="auto" w:fill="D9D9D9" w:themeFill="background1" w:themeFillShade="D9"/>
          </w:tcPr>
          <w:p w:rsidR="00D44EE9" w:rsidRPr="00D44EE9" w:rsidRDefault="00D44EE9" w:rsidP="00C01F82">
            <w:pPr>
              <w:pStyle w:val="KMC-Text"/>
              <w:spacing w:before="40" w:after="40" w:line="240" w:lineRule="auto"/>
              <w:jc w:val="center"/>
              <w:rPr>
                <w:rFonts w:ascii="Arial Narrow" w:hAnsi="Arial Narrow"/>
                <w:b/>
                <w:color w:val="000000"/>
                <w:sz w:val="20"/>
              </w:rPr>
            </w:pPr>
            <w:r w:rsidRPr="00D44EE9">
              <w:rPr>
                <w:rFonts w:ascii="Arial Narrow" w:hAnsi="Arial Narrow"/>
                <w:b/>
                <w:color w:val="000000"/>
                <w:sz w:val="20"/>
              </w:rPr>
              <w:t>Year 1</w:t>
            </w:r>
          </w:p>
        </w:tc>
        <w:tc>
          <w:tcPr>
            <w:tcW w:w="980" w:type="dxa"/>
            <w:shd w:val="clear" w:color="auto" w:fill="D9D9D9" w:themeFill="background1" w:themeFillShade="D9"/>
          </w:tcPr>
          <w:p w:rsidR="00D44EE9" w:rsidRPr="00D44EE9" w:rsidRDefault="00D44EE9" w:rsidP="00C01F82">
            <w:pPr>
              <w:pStyle w:val="KMC-Text"/>
              <w:spacing w:before="40" w:after="40" w:line="240" w:lineRule="auto"/>
              <w:jc w:val="center"/>
              <w:rPr>
                <w:rFonts w:ascii="Arial Narrow" w:hAnsi="Arial Narrow"/>
                <w:b/>
                <w:color w:val="000000"/>
                <w:sz w:val="20"/>
              </w:rPr>
            </w:pPr>
            <w:r w:rsidRPr="00D44EE9">
              <w:rPr>
                <w:rFonts w:ascii="Arial Narrow" w:hAnsi="Arial Narrow"/>
                <w:b/>
                <w:color w:val="000000"/>
                <w:sz w:val="20"/>
              </w:rPr>
              <w:t>Year 2</w:t>
            </w:r>
          </w:p>
        </w:tc>
        <w:tc>
          <w:tcPr>
            <w:tcW w:w="980" w:type="dxa"/>
            <w:shd w:val="clear" w:color="auto" w:fill="D9D9D9" w:themeFill="background1" w:themeFillShade="D9"/>
          </w:tcPr>
          <w:p w:rsidR="00D44EE9" w:rsidRPr="00D44EE9" w:rsidRDefault="00D44EE9" w:rsidP="00C01F82">
            <w:pPr>
              <w:pStyle w:val="KMC-Text"/>
              <w:spacing w:before="40" w:after="40" w:line="240" w:lineRule="auto"/>
              <w:jc w:val="center"/>
              <w:rPr>
                <w:rFonts w:ascii="Arial Narrow" w:hAnsi="Arial Narrow"/>
                <w:b/>
                <w:color w:val="000000"/>
                <w:sz w:val="20"/>
              </w:rPr>
            </w:pPr>
            <w:r w:rsidRPr="00D44EE9">
              <w:rPr>
                <w:rFonts w:ascii="Arial Narrow" w:hAnsi="Arial Narrow"/>
                <w:b/>
                <w:color w:val="000000"/>
                <w:sz w:val="20"/>
              </w:rPr>
              <w:t>Year 3</w:t>
            </w:r>
          </w:p>
        </w:tc>
        <w:tc>
          <w:tcPr>
            <w:tcW w:w="980" w:type="dxa"/>
            <w:shd w:val="clear" w:color="auto" w:fill="D9D9D9" w:themeFill="background1" w:themeFillShade="D9"/>
          </w:tcPr>
          <w:p w:rsidR="00D44EE9" w:rsidRPr="00D44EE9" w:rsidRDefault="00D44EE9" w:rsidP="00C01F82">
            <w:pPr>
              <w:pStyle w:val="KMC-Text"/>
              <w:spacing w:before="40" w:after="40" w:line="240" w:lineRule="auto"/>
              <w:jc w:val="center"/>
              <w:rPr>
                <w:rFonts w:ascii="Arial Narrow" w:hAnsi="Arial Narrow"/>
                <w:b/>
                <w:color w:val="000000"/>
                <w:sz w:val="20"/>
              </w:rPr>
            </w:pPr>
            <w:r w:rsidRPr="00D44EE9">
              <w:rPr>
                <w:rFonts w:ascii="Arial Narrow" w:hAnsi="Arial Narrow"/>
                <w:b/>
                <w:color w:val="000000"/>
                <w:sz w:val="20"/>
              </w:rPr>
              <w:t>Year 4</w:t>
            </w:r>
          </w:p>
        </w:tc>
        <w:tc>
          <w:tcPr>
            <w:tcW w:w="980" w:type="dxa"/>
            <w:shd w:val="clear" w:color="auto" w:fill="D9D9D9" w:themeFill="background1" w:themeFillShade="D9"/>
          </w:tcPr>
          <w:p w:rsidR="00D44EE9" w:rsidRPr="00D44EE9" w:rsidRDefault="00D44EE9" w:rsidP="00C01F82">
            <w:pPr>
              <w:pStyle w:val="KMC-Text"/>
              <w:spacing w:before="40" w:after="40" w:line="240" w:lineRule="auto"/>
              <w:jc w:val="center"/>
              <w:rPr>
                <w:rFonts w:ascii="Arial Narrow" w:hAnsi="Arial Narrow"/>
                <w:b/>
                <w:color w:val="000000"/>
                <w:sz w:val="20"/>
              </w:rPr>
            </w:pPr>
            <w:r w:rsidRPr="00D44EE9">
              <w:rPr>
                <w:rFonts w:ascii="Arial Narrow" w:hAnsi="Arial Narrow"/>
                <w:b/>
                <w:color w:val="000000"/>
                <w:sz w:val="20"/>
              </w:rPr>
              <w:t>Year 5</w:t>
            </w:r>
          </w:p>
        </w:tc>
      </w:tr>
      <w:tr w:rsidR="00D44EE9" w:rsidRPr="00D44EE9" w:rsidTr="00D44EE9">
        <w:tc>
          <w:tcPr>
            <w:tcW w:w="2614" w:type="dxa"/>
            <w:shd w:val="clear" w:color="auto" w:fill="auto"/>
            <w:vAlign w:val="center"/>
          </w:tcPr>
          <w:p w:rsidR="00D44EE9" w:rsidRPr="001166A7" w:rsidRDefault="00D44EE9" w:rsidP="00C01F82">
            <w:pPr>
              <w:pStyle w:val="KMC-Text"/>
              <w:spacing w:before="40" w:after="40" w:line="240" w:lineRule="auto"/>
              <w:jc w:val="left"/>
              <w:rPr>
                <w:rFonts w:ascii="Arial Narrow" w:hAnsi="Arial Narrow"/>
                <w:color w:val="auto"/>
                <w:sz w:val="20"/>
              </w:rPr>
            </w:pPr>
            <w:r w:rsidRPr="001166A7">
              <w:rPr>
                <w:rFonts w:ascii="Arial Narrow" w:hAnsi="Arial Narrow"/>
                <w:color w:val="auto"/>
                <w:sz w:val="20"/>
              </w:rPr>
              <w:t xml:space="preserve">Special Pricing Arrangement </w:t>
            </w:r>
          </w:p>
          <w:p w:rsidR="00D44EE9" w:rsidRPr="001166A7" w:rsidRDefault="00D44EE9" w:rsidP="00C01F82">
            <w:pPr>
              <w:pStyle w:val="KMC-Text"/>
              <w:spacing w:before="40" w:after="40" w:line="240" w:lineRule="auto"/>
              <w:jc w:val="left"/>
              <w:rPr>
                <w:rFonts w:ascii="Arial Narrow" w:hAnsi="Arial Narrow"/>
                <w:color w:val="auto"/>
                <w:sz w:val="20"/>
              </w:rPr>
            </w:pPr>
            <w:r w:rsidRPr="001166A7">
              <w:rPr>
                <w:rFonts w:ascii="Arial Narrow" w:hAnsi="Arial Narrow"/>
                <w:color w:val="auto"/>
                <w:sz w:val="20"/>
              </w:rPr>
              <w:t>(artificial published price)</w:t>
            </w:r>
          </w:p>
        </w:tc>
        <w:tc>
          <w:tcPr>
            <w:tcW w:w="850" w:type="dxa"/>
            <w:vAlign w:val="center"/>
          </w:tcPr>
          <w:p w:rsidR="00D44EE9" w:rsidRPr="001166A7" w:rsidRDefault="00363061" w:rsidP="00C01F82">
            <w:pPr>
              <w:pStyle w:val="KMC-Text"/>
              <w:spacing w:before="40" w:after="40" w:line="240" w:lineRule="auto"/>
              <w:jc w:val="center"/>
              <w:rPr>
                <w:rFonts w:ascii="Arial Narrow" w:hAnsi="Arial Narrow"/>
                <w:color w:val="auto"/>
                <w:sz w:val="20"/>
              </w:rPr>
            </w:pPr>
            <w:r>
              <w:rPr>
                <w:rFonts w:ascii="Arial Narrow" w:hAnsi="Arial Narrow"/>
                <w:noProof/>
                <w:color w:val="000000"/>
                <w:sz w:val="20"/>
                <w:highlight w:val="black"/>
              </w:rPr>
              <w:t>'''''''''''''</w:t>
            </w:r>
            <w:r w:rsidR="00D44EE9" w:rsidRPr="001166A7">
              <w:rPr>
                <w:rFonts w:ascii="Arial Narrow" w:hAnsi="Arial Narrow"/>
                <w:color w:val="auto"/>
                <w:sz w:val="20"/>
              </w:rPr>
              <w:t>%</w:t>
            </w:r>
          </w:p>
        </w:tc>
        <w:tc>
          <w:tcPr>
            <w:tcW w:w="4899" w:type="dxa"/>
            <w:gridSpan w:val="5"/>
            <w:shd w:val="clear" w:color="auto" w:fill="auto"/>
            <w:vAlign w:val="center"/>
          </w:tcPr>
          <w:p w:rsidR="00D44EE9" w:rsidRPr="001166A7" w:rsidRDefault="00D44EE9" w:rsidP="00C01F82">
            <w:pPr>
              <w:pStyle w:val="KMC-Text"/>
              <w:spacing w:before="40" w:after="40" w:line="240" w:lineRule="auto"/>
              <w:jc w:val="left"/>
              <w:rPr>
                <w:rFonts w:ascii="Arial Narrow" w:hAnsi="Arial Narrow"/>
                <w:color w:val="auto"/>
                <w:sz w:val="20"/>
              </w:rPr>
            </w:pPr>
            <w:r w:rsidRPr="001166A7">
              <w:rPr>
                <w:rFonts w:ascii="Arial Narrow" w:hAnsi="Arial Narrow"/>
                <w:color w:val="auto"/>
                <w:sz w:val="20"/>
              </w:rPr>
              <w:t xml:space="preserve">For all Commonwealth Expenditure for </w:t>
            </w:r>
            <w:proofErr w:type="spellStart"/>
            <w:r w:rsidRPr="001166A7">
              <w:rPr>
                <w:rFonts w:ascii="Arial Narrow" w:hAnsi="Arial Narrow"/>
                <w:color w:val="auto"/>
                <w:sz w:val="20"/>
              </w:rPr>
              <w:t>Fentora</w:t>
            </w:r>
            <w:proofErr w:type="spellEnd"/>
          </w:p>
        </w:tc>
      </w:tr>
      <w:tr w:rsidR="00D44EE9" w:rsidRPr="00D44EE9" w:rsidTr="00D44EE9">
        <w:tc>
          <w:tcPr>
            <w:tcW w:w="2614" w:type="dxa"/>
            <w:shd w:val="clear" w:color="auto" w:fill="auto"/>
            <w:vAlign w:val="center"/>
          </w:tcPr>
          <w:p w:rsidR="00D44EE9" w:rsidRPr="001166A7" w:rsidRDefault="00D44EE9" w:rsidP="00C01F82">
            <w:pPr>
              <w:pStyle w:val="KMC-Text"/>
              <w:spacing w:before="40" w:after="40" w:line="240" w:lineRule="auto"/>
              <w:jc w:val="left"/>
              <w:rPr>
                <w:rFonts w:ascii="Arial Narrow" w:hAnsi="Arial Narrow"/>
                <w:color w:val="auto"/>
                <w:sz w:val="20"/>
              </w:rPr>
            </w:pPr>
            <w:r w:rsidRPr="001166A7">
              <w:rPr>
                <w:rFonts w:ascii="Arial Narrow" w:hAnsi="Arial Narrow"/>
                <w:b/>
                <w:color w:val="auto"/>
                <w:sz w:val="20"/>
              </w:rPr>
              <w:t>Proposed Annual PBS Contribution Caps</w:t>
            </w:r>
            <w:r w:rsidRPr="001166A7">
              <w:rPr>
                <w:rFonts w:ascii="Arial Narrow" w:hAnsi="Arial Narrow"/>
                <w:color w:val="auto"/>
                <w:sz w:val="20"/>
              </w:rPr>
              <w:t xml:space="preserve"> = Forecast PBS Government Expenditure on </w:t>
            </w:r>
            <w:proofErr w:type="spellStart"/>
            <w:r w:rsidRPr="001166A7">
              <w:rPr>
                <w:rFonts w:ascii="Arial Narrow" w:hAnsi="Arial Narrow"/>
                <w:color w:val="auto"/>
                <w:sz w:val="20"/>
              </w:rPr>
              <w:t>Fentora</w:t>
            </w:r>
            <w:proofErr w:type="spellEnd"/>
            <w:r w:rsidRPr="001166A7">
              <w:rPr>
                <w:rFonts w:ascii="Arial Narrow" w:hAnsi="Arial Narrow"/>
                <w:color w:val="auto"/>
                <w:sz w:val="20"/>
              </w:rPr>
              <w:t xml:space="preserve"> </w:t>
            </w:r>
          </w:p>
          <w:p w:rsidR="00D44EE9" w:rsidRPr="001166A7" w:rsidRDefault="00D44EE9" w:rsidP="00C01F82">
            <w:pPr>
              <w:pStyle w:val="KMC-Text"/>
              <w:spacing w:before="40" w:after="40" w:line="240" w:lineRule="auto"/>
              <w:jc w:val="left"/>
              <w:rPr>
                <w:rFonts w:ascii="Arial Narrow" w:hAnsi="Arial Narrow"/>
                <w:color w:val="auto"/>
                <w:sz w:val="20"/>
              </w:rPr>
            </w:pPr>
            <w:r w:rsidRPr="001166A7">
              <w:rPr>
                <w:rFonts w:ascii="Arial Narrow" w:hAnsi="Arial Narrow"/>
                <w:color w:val="auto"/>
                <w:sz w:val="20"/>
              </w:rPr>
              <w:t>(in this November 15 re-submission - 50% growth)</w:t>
            </w:r>
          </w:p>
        </w:tc>
        <w:tc>
          <w:tcPr>
            <w:tcW w:w="850" w:type="dxa"/>
            <w:vAlign w:val="center"/>
          </w:tcPr>
          <w:p w:rsidR="00D44EE9" w:rsidRPr="001166A7" w:rsidRDefault="00363061" w:rsidP="00C01F82">
            <w:pPr>
              <w:pStyle w:val="KMC-Text"/>
              <w:spacing w:before="40" w:after="40" w:line="240" w:lineRule="auto"/>
              <w:jc w:val="center"/>
              <w:rPr>
                <w:rFonts w:ascii="Arial Narrow" w:hAnsi="Arial Narrow"/>
                <w:color w:val="auto"/>
                <w:sz w:val="20"/>
              </w:rPr>
            </w:pPr>
            <w:r>
              <w:rPr>
                <w:rFonts w:ascii="Arial Narrow" w:hAnsi="Arial Narrow"/>
                <w:noProof/>
                <w:color w:val="000000"/>
                <w:sz w:val="20"/>
                <w:highlight w:val="black"/>
              </w:rPr>
              <w:t>''''''''''''</w:t>
            </w:r>
            <w:r w:rsidR="00D44EE9" w:rsidRPr="001166A7">
              <w:rPr>
                <w:rFonts w:ascii="Arial Narrow" w:hAnsi="Arial Narrow"/>
                <w:color w:val="auto"/>
                <w:sz w:val="20"/>
              </w:rPr>
              <w:t>%</w:t>
            </w:r>
          </w:p>
        </w:tc>
        <w:tc>
          <w:tcPr>
            <w:tcW w:w="979" w:type="dxa"/>
            <w:shd w:val="clear" w:color="auto" w:fill="auto"/>
            <w:vAlign w:val="center"/>
          </w:tcPr>
          <w:p w:rsidR="00D44EE9" w:rsidRPr="001166A7" w:rsidRDefault="00D44EE9" w:rsidP="00C01F82">
            <w:pPr>
              <w:pStyle w:val="KMC-Text"/>
              <w:spacing w:before="40" w:after="40" w:line="240" w:lineRule="auto"/>
              <w:jc w:val="center"/>
              <w:rPr>
                <w:rFonts w:ascii="Arial Narrow" w:hAnsi="Arial Narrow"/>
                <w:b/>
                <w:color w:val="auto"/>
                <w:sz w:val="20"/>
              </w:rPr>
            </w:pPr>
            <w:r w:rsidRPr="001166A7">
              <w:rPr>
                <w:rFonts w:ascii="Arial Narrow" w:hAnsi="Arial Narrow"/>
                <w:b/>
                <w:color w:val="auto"/>
                <w:sz w:val="20"/>
              </w:rPr>
              <w:t>$</w:t>
            </w:r>
            <w:r w:rsidR="00363061">
              <w:rPr>
                <w:rFonts w:ascii="Arial Narrow" w:hAnsi="Arial Narrow"/>
                <w:b/>
                <w:noProof/>
                <w:color w:val="000000"/>
                <w:sz w:val="20"/>
                <w:highlight w:val="black"/>
              </w:rPr>
              <w:t>''''''''''''''''''''</w:t>
            </w:r>
          </w:p>
        </w:tc>
        <w:tc>
          <w:tcPr>
            <w:tcW w:w="980" w:type="dxa"/>
            <w:shd w:val="clear" w:color="auto" w:fill="auto"/>
            <w:vAlign w:val="center"/>
          </w:tcPr>
          <w:p w:rsidR="00D44EE9" w:rsidRPr="001166A7" w:rsidRDefault="00D44EE9" w:rsidP="00C01F82">
            <w:pPr>
              <w:pStyle w:val="KMC-Text"/>
              <w:spacing w:before="40" w:after="40" w:line="240" w:lineRule="auto"/>
              <w:jc w:val="center"/>
              <w:rPr>
                <w:rFonts w:ascii="Arial Narrow" w:hAnsi="Arial Narrow"/>
                <w:b/>
                <w:color w:val="auto"/>
                <w:sz w:val="20"/>
              </w:rPr>
            </w:pPr>
            <w:r w:rsidRPr="001166A7">
              <w:rPr>
                <w:rFonts w:ascii="Arial Narrow" w:hAnsi="Arial Narrow"/>
                <w:b/>
                <w:color w:val="auto"/>
                <w:sz w:val="20"/>
              </w:rPr>
              <w:t>$</w:t>
            </w:r>
            <w:r w:rsidR="00363061">
              <w:rPr>
                <w:rFonts w:ascii="Arial Narrow" w:hAnsi="Arial Narrow"/>
                <w:b/>
                <w:noProof/>
                <w:color w:val="000000"/>
                <w:sz w:val="20"/>
                <w:highlight w:val="black"/>
              </w:rPr>
              <w:t>'''''''''''''''''''''</w:t>
            </w:r>
          </w:p>
        </w:tc>
        <w:tc>
          <w:tcPr>
            <w:tcW w:w="980" w:type="dxa"/>
            <w:shd w:val="clear" w:color="auto" w:fill="auto"/>
            <w:vAlign w:val="center"/>
          </w:tcPr>
          <w:p w:rsidR="00D44EE9" w:rsidRPr="001166A7" w:rsidRDefault="00D44EE9" w:rsidP="00C01F82">
            <w:pPr>
              <w:pStyle w:val="KMC-Text"/>
              <w:spacing w:before="40" w:after="40" w:line="240" w:lineRule="auto"/>
              <w:jc w:val="center"/>
              <w:rPr>
                <w:rFonts w:ascii="Arial Narrow" w:hAnsi="Arial Narrow"/>
                <w:b/>
                <w:color w:val="auto"/>
                <w:sz w:val="20"/>
              </w:rPr>
            </w:pPr>
            <w:r w:rsidRPr="001166A7">
              <w:rPr>
                <w:rFonts w:ascii="Arial Narrow" w:hAnsi="Arial Narrow"/>
                <w:b/>
                <w:color w:val="auto"/>
                <w:sz w:val="20"/>
              </w:rPr>
              <w:t>$</w:t>
            </w:r>
            <w:r w:rsidR="00363061">
              <w:rPr>
                <w:rFonts w:ascii="Arial Narrow" w:hAnsi="Arial Narrow"/>
                <w:b/>
                <w:noProof/>
                <w:color w:val="000000"/>
                <w:sz w:val="20"/>
                <w:highlight w:val="black"/>
              </w:rPr>
              <w:t>'''''''''''''''''''''</w:t>
            </w:r>
          </w:p>
        </w:tc>
        <w:tc>
          <w:tcPr>
            <w:tcW w:w="980" w:type="dxa"/>
            <w:shd w:val="clear" w:color="auto" w:fill="auto"/>
            <w:vAlign w:val="center"/>
          </w:tcPr>
          <w:p w:rsidR="00D44EE9" w:rsidRPr="001166A7" w:rsidRDefault="00D44EE9" w:rsidP="00C01F82">
            <w:pPr>
              <w:pStyle w:val="KMC-Text"/>
              <w:spacing w:before="40" w:after="40" w:line="240" w:lineRule="auto"/>
              <w:jc w:val="center"/>
              <w:rPr>
                <w:rFonts w:ascii="Arial Narrow" w:hAnsi="Arial Narrow"/>
                <w:b/>
                <w:color w:val="auto"/>
                <w:sz w:val="20"/>
              </w:rPr>
            </w:pPr>
            <w:r w:rsidRPr="001166A7">
              <w:rPr>
                <w:rFonts w:ascii="Arial Narrow" w:hAnsi="Arial Narrow"/>
                <w:b/>
                <w:color w:val="auto"/>
                <w:sz w:val="20"/>
              </w:rPr>
              <w:t>$</w:t>
            </w:r>
            <w:r w:rsidR="00363061">
              <w:rPr>
                <w:rFonts w:ascii="Arial Narrow" w:hAnsi="Arial Narrow"/>
                <w:b/>
                <w:noProof/>
                <w:color w:val="000000"/>
                <w:sz w:val="20"/>
                <w:highlight w:val="black"/>
              </w:rPr>
              <w:t>''''''''''''''''''''</w:t>
            </w:r>
          </w:p>
        </w:tc>
        <w:tc>
          <w:tcPr>
            <w:tcW w:w="980" w:type="dxa"/>
            <w:shd w:val="clear" w:color="auto" w:fill="auto"/>
            <w:vAlign w:val="center"/>
          </w:tcPr>
          <w:p w:rsidR="00D44EE9" w:rsidRPr="001166A7" w:rsidRDefault="00D44EE9" w:rsidP="00C01F82">
            <w:pPr>
              <w:pStyle w:val="KMC-Text"/>
              <w:spacing w:before="40" w:after="40" w:line="240" w:lineRule="auto"/>
              <w:jc w:val="center"/>
              <w:rPr>
                <w:rFonts w:ascii="Arial Narrow" w:hAnsi="Arial Narrow"/>
                <w:b/>
                <w:color w:val="auto"/>
                <w:sz w:val="20"/>
              </w:rPr>
            </w:pPr>
            <w:r w:rsidRPr="001166A7">
              <w:rPr>
                <w:rFonts w:ascii="Arial Narrow" w:hAnsi="Arial Narrow"/>
                <w:b/>
                <w:color w:val="auto"/>
                <w:sz w:val="20"/>
              </w:rPr>
              <w:t>$</w:t>
            </w:r>
            <w:r w:rsidR="00363061">
              <w:rPr>
                <w:rFonts w:ascii="Arial Narrow" w:hAnsi="Arial Narrow"/>
                <w:b/>
                <w:noProof/>
                <w:color w:val="000000"/>
                <w:sz w:val="20"/>
                <w:highlight w:val="black"/>
              </w:rPr>
              <w:t>''''''''''''''''''</w:t>
            </w:r>
          </w:p>
        </w:tc>
      </w:tr>
    </w:tbl>
    <w:p w:rsidR="00D44EE9" w:rsidRPr="00D44EE9" w:rsidRDefault="00D44EE9" w:rsidP="00D44EE9">
      <w:pPr>
        <w:ind w:firstLine="720"/>
        <w:jc w:val="both"/>
        <w:rPr>
          <w:rFonts w:ascii="Arial Narrow" w:hAnsi="Arial Narrow"/>
          <w:sz w:val="18"/>
          <w:szCs w:val="22"/>
        </w:rPr>
      </w:pPr>
      <w:r w:rsidRPr="00D44EE9">
        <w:rPr>
          <w:rFonts w:ascii="Arial Narrow" w:hAnsi="Arial Narrow"/>
          <w:sz w:val="18"/>
          <w:szCs w:val="22"/>
        </w:rPr>
        <w:t>Source: submission, Table 6 p.22</w:t>
      </w:r>
    </w:p>
    <w:p w:rsidR="003872CF" w:rsidRDefault="003872CF">
      <w:pPr>
        <w:rPr>
          <w:rFonts w:ascii="Arial" w:hAnsi="Arial"/>
          <w:sz w:val="22"/>
          <w:szCs w:val="22"/>
        </w:rPr>
      </w:pPr>
    </w:p>
    <w:p w:rsidR="003D6946" w:rsidRDefault="00AB2A34" w:rsidP="003D6946">
      <w:pPr>
        <w:pStyle w:val="ListParagraph"/>
        <w:numPr>
          <w:ilvl w:val="1"/>
          <w:numId w:val="25"/>
        </w:numPr>
        <w:jc w:val="both"/>
        <w:rPr>
          <w:rFonts w:ascii="Arial" w:hAnsi="Arial"/>
          <w:sz w:val="22"/>
          <w:szCs w:val="22"/>
        </w:rPr>
      </w:pPr>
      <w:r>
        <w:rPr>
          <w:rFonts w:ascii="Arial" w:hAnsi="Arial"/>
          <w:sz w:val="22"/>
          <w:szCs w:val="22"/>
        </w:rPr>
        <w:t xml:space="preserve">The sponsor also proposed a Special Pricing Arrangement (SPA) with the sponsor rebating </w:t>
      </w:r>
      <w:r w:rsidR="00363061">
        <w:rPr>
          <w:rFonts w:ascii="Arial" w:hAnsi="Arial"/>
          <w:noProof/>
          <w:color w:val="000000"/>
          <w:sz w:val="22"/>
          <w:szCs w:val="22"/>
          <w:highlight w:val="black"/>
        </w:rPr>
        <w:t>''''''''''''''</w:t>
      </w:r>
      <w:r>
        <w:rPr>
          <w:rFonts w:ascii="Arial" w:hAnsi="Arial"/>
          <w:sz w:val="22"/>
          <w:szCs w:val="22"/>
        </w:rPr>
        <w:t xml:space="preserve">% of annual Government expenditure on </w:t>
      </w:r>
      <w:r w:rsidR="007F6906">
        <w:rPr>
          <w:rFonts w:ascii="Arial" w:hAnsi="Arial"/>
          <w:sz w:val="22"/>
          <w:szCs w:val="22"/>
        </w:rPr>
        <w:t>fentanyl buccal tablets</w:t>
      </w:r>
      <w:r>
        <w:rPr>
          <w:rFonts w:ascii="Arial" w:hAnsi="Arial"/>
          <w:sz w:val="22"/>
          <w:szCs w:val="22"/>
        </w:rPr>
        <w:t xml:space="preserve">. </w:t>
      </w:r>
    </w:p>
    <w:p w:rsidR="003D6946" w:rsidRDefault="003D6946" w:rsidP="003D6946">
      <w:pPr>
        <w:pStyle w:val="ListParagraph"/>
        <w:jc w:val="both"/>
        <w:rPr>
          <w:rFonts w:ascii="Arial" w:hAnsi="Arial"/>
          <w:sz w:val="22"/>
          <w:szCs w:val="22"/>
        </w:rPr>
      </w:pPr>
    </w:p>
    <w:p w:rsidR="003D6946" w:rsidRPr="003D6946" w:rsidRDefault="003D6946" w:rsidP="003D6946">
      <w:pPr>
        <w:pStyle w:val="ListParagraph"/>
        <w:numPr>
          <w:ilvl w:val="1"/>
          <w:numId w:val="25"/>
        </w:numPr>
        <w:jc w:val="both"/>
        <w:rPr>
          <w:rFonts w:ascii="Arial" w:hAnsi="Arial"/>
          <w:sz w:val="22"/>
          <w:szCs w:val="22"/>
        </w:rPr>
      </w:pPr>
      <w:r>
        <w:rPr>
          <w:rFonts w:ascii="Arial" w:hAnsi="Arial"/>
          <w:sz w:val="22"/>
          <w:szCs w:val="22"/>
        </w:rPr>
        <w:t xml:space="preserve">The PBAC </w:t>
      </w:r>
      <w:r w:rsidR="00AA1C16">
        <w:rPr>
          <w:rFonts w:ascii="Arial" w:hAnsi="Arial"/>
          <w:sz w:val="22"/>
          <w:szCs w:val="22"/>
        </w:rPr>
        <w:t xml:space="preserve">advised that a </w:t>
      </w:r>
      <w:r w:rsidR="004B06F2">
        <w:rPr>
          <w:rFonts w:ascii="Arial" w:hAnsi="Arial"/>
          <w:sz w:val="22"/>
          <w:szCs w:val="22"/>
        </w:rPr>
        <w:t>R</w:t>
      </w:r>
      <w:r w:rsidR="00AA1C16">
        <w:rPr>
          <w:rFonts w:ascii="Arial" w:hAnsi="Arial"/>
          <w:sz w:val="22"/>
          <w:szCs w:val="22"/>
        </w:rPr>
        <w:t xml:space="preserve">isk </w:t>
      </w:r>
      <w:r w:rsidR="004B06F2">
        <w:rPr>
          <w:rFonts w:ascii="Arial" w:hAnsi="Arial"/>
          <w:sz w:val="22"/>
          <w:szCs w:val="22"/>
        </w:rPr>
        <w:t>S</w:t>
      </w:r>
      <w:r w:rsidR="00AA1C16">
        <w:rPr>
          <w:rFonts w:ascii="Arial" w:hAnsi="Arial"/>
          <w:sz w:val="22"/>
          <w:szCs w:val="22"/>
        </w:rPr>
        <w:t xml:space="preserve">haring </w:t>
      </w:r>
      <w:r w:rsidR="004B06F2">
        <w:rPr>
          <w:rFonts w:ascii="Arial" w:hAnsi="Arial"/>
          <w:sz w:val="22"/>
          <w:szCs w:val="22"/>
        </w:rPr>
        <w:t>A</w:t>
      </w:r>
      <w:r w:rsidR="00AA1C16">
        <w:rPr>
          <w:rFonts w:ascii="Arial" w:hAnsi="Arial"/>
          <w:sz w:val="22"/>
          <w:szCs w:val="22"/>
        </w:rPr>
        <w:t>rrangement should include a subsidisation cap where higher than expected use of fentanyl buccal tablets is rebated</w:t>
      </w:r>
      <w:r w:rsidR="00BD5C50">
        <w:rPr>
          <w:rFonts w:ascii="Arial" w:hAnsi="Arial"/>
          <w:sz w:val="22"/>
          <w:szCs w:val="22"/>
        </w:rPr>
        <w:t>.</w:t>
      </w:r>
      <w:r w:rsidR="00AA1C16">
        <w:rPr>
          <w:rFonts w:ascii="Arial" w:hAnsi="Arial"/>
          <w:sz w:val="22"/>
          <w:szCs w:val="22"/>
        </w:rPr>
        <w:t xml:space="preserve"> </w:t>
      </w:r>
      <w:r w:rsidR="00106EDD">
        <w:rPr>
          <w:rFonts w:ascii="Arial" w:hAnsi="Arial"/>
          <w:sz w:val="22"/>
          <w:szCs w:val="22"/>
        </w:rPr>
        <w:t>The PBAC considered that fentanyl citrate buccal tablets should be included in the same financial cap</w:t>
      </w:r>
      <w:r w:rsidR="00BD5C50">
        <w:rPr>
          <w:rFonts w:ascii="Arial" w:hAnsi="Arial"/>
          <w:sz w:val="22"/>
          <w:szCs w:val="22"/>
        </w:rPr>
        <w:t xml:space="preserve"> and subject to the same rebate arrangements</w:t>
      </w:r>
      <w:r w:rsidR="00106EDD">
        <w:rPr>
          <w:rFonts w:ascii="Arial" w:hAnsi="Arial"/>
          <w:sz w:val="22"/>
          <w:szCs w:val="22"/>
        </w:rPr>
        <w:t xml:space="preserve"> as fentanyl citrate sublingual tablets. </w:t>
      </w:r>
      <w:r w:rsidR="00AA1C16">
        <w:rPr>
          <w:rFonts w:ascii="Arial" w:hAnsi="Arial"/>
          <w:sz w:val="22"/>
          <w:szCs w:val="22"/>
        </w:rPr>
        <w:t xml:space="preserve"> </w:t>
      </w:r>
    </w:p>
    <w:p w:rsidR="00696486" w:rsidRDefault="00696486" w:rsidP="00736F8B">
      <w:pPr>
        <w:rPr>
          <w:rFonts w:ascii="Arial" w:hAnsi="Arial"/>
          <w:sz w:val="22"/>
          <w:szCs w:val="22"/>
        </w:rPr>
      </w:pPr>
    </w:p>
    <w:p w:rsidR="00736F8B" w:rsidRDefault="00736F8B" w:rsidP="00736F8B">
      <w:pPr>
        <w:pStyle w:val="ListParagraph"/>
        <w:ind w:left="709"/>
        <w:jc w:val="both"/>
        <w:rPr>
          <w:rFonts w:ascii="Arial" w:hAnsi="Arial"/>
          <w:i/>
          <w:sz w:val="22"/>
          <w:szCs w:val="22"/>
        </w:rPr>
      </w:pPr>
      <w:r w:rsidRPr="00736F8B">
        <w:rPr>
          <w:rFonts w:ascii="Arial" w:hAnsi="Arial"/>
          <w:i/>
          <w:sz w:val="22"/>
          <w:szCs w:val="22"/>
        </w:rPr>
        <w:t>For more detail on PBAC’s view, see section 7 “PBAC outcome”</w:t>
      </w:r>
    </w:p>
    <w:p w:rsidR="00736F8B" w:rsidRDefault="00736F8B" w:rsidP="00736F8B">
      <w:pPr>
        <w:rPr>
          <w:rFonts w:ascii="Arial" w:hAnsi="Arial"/>
          <w:sz w:val="22"/>
          <w:szCs w:val="22"/>
        </w:rPr>
      </w:pPr>
    </w:p>
    <w:p w:rsidR="003D6946" w:rsidRDefault="003D6946">
      <w:pPr>
        <w:rPr>
          <w:rFonts w:ascii="Arial" w:hAnsi="Arial"/>
          <w:sz w:val="22"/>
          <w:szCs w:val="22"/>
        </w:rPr>
      </w:pPr>
    </w:p>
    <w:p w:rsidR="00696486" w:rsidRPr="00E05C0D" w:rsidRDefault="00696486" w:rsidP="00FA7508">
      <w:pPr>
        <w:pStyle w:val="Heading1"/>
        <w:rPr>
          <w:snapToGrid w:val="0"/>
          <w:lang w:eastAsia="en-US"/>
        </w:rPr>
      </w:pPr>
      <w:r w:rsidRPr="00E05C0D">
        <w:rPr>
          <w:snapToGrid w:val="0"/>
          <w:lang w:eastAsia="en-US"/>
        </w:rPr>
        <w:t>PBAC Outcome</w:t>
      </w:r>
    </w:p>
    <w:p w:rsidR="00696486" w:rsidRPr="003D6946" w:rsidRDefault="00696486" w:rsidP="00696486">
      <w:pPr>
        <w:contextualSpacing/>
        <w:jc w:val="both"/>
        <w:rPr>
          <w:rFonts w:ascii="Arial" w:hAnsi="Arial" w:cs="Arial"/>
          <w:b/>
          <w:bCs/>
          <w:snapToGrid w:val="0"/>
          <w:sz w:val="22"/>
          <w:szCs w:val="22"/>
          <w:lang w:val="en-GB" w:eastAsia="en-US"/>
        </w:rPr>
      </w:pPr>
    </w:p>
    <w:p w:rsidR="003D6946" w:rsidRDefault="00E05C0D" w:rsidP="00AE57F8">
      <w:pPr>
        <w:widowControl w:val="0"/>
        <w:numPr>
          <w:ilvl w:val="1"/>
          <w:numId w:val="25"/>
        </w:numPr>
        <w:contextualSpacing/>
        <w:jc w:val="both"/>
        <w:rPr>
          <w:rFonts w:ascii="Arial" w:hAnsi="Arial" w:cs="Arial"/>
          <w:b/>
          <w:bCs/>
          <w:snapToGrid w:val="0"/>
          <w:sz w:val="22"/>
          <w:szCs w:val="22"/>
          <w:lang w:val="en-GB" w:eastAsia="en-US"/>
        </w:rPr>
      </w:pPr>
      <w:r w:rsidRPr="003D6946">
        <w:rPr>
          <w:rFonts w:ascii="Arial" w:hAnsi="Arial" w:cs="Arial"/>
          <w:bCs/>
          <w:snapToGrid w:val="0"/>
          <w:sz w:val="22"/>
          <w:szCs w:val="22"/>
          <w:lang w:val="en-GB" w:eastAsia="en-US"/>
        </w:rPr>
        <w:t xml:space="preserve">The PBAC recommended </w:t>
      </w:r>
      <w:r w:rsidR="003D6946">
        <w:rPr>
          <w:rFonts w:ascii="Arial" w:hAnsi="Arial" w:cs="Arial"/>
          <w:bCs/>
          <w:snapToGrid w:val="0"/>
          <w:sz w:val="22"/>
          <w:szCs w:val="22"/>
          <w:lang w:val="en-GB" w:eastAsia="en-US"/>
        </w:rPr>
        <w:t xml:space="preserve">listing </w:t>
      </w:r>
      <w:r w:rsidRPr="003D6946">
        <w:rPr>
          <w:rFonts w:ascii="Arial" w:hAnsi="Arial" w:cs="Arial"/>
          <w:bCs/>
          <w:snapToGrid w:val="0"/>
          <w:sz w:val="22"/>
          <w:szCs w:val="22"/>
          <w:lang w:val="en-GB" w:eastAsia="en-US"/>
        </w:rPr>
        <w:t xml:space="preserve">fentanyl citrate buccal tablets </w:t>
      </w:r>
      <w:r w:rsidR="003D6946">
        <w:rPr>
          <w:rFonts w:ascii="Arial" w:hAnsi="Arial" w:cs="Arial"/>
          <w:bCs/>
          <w:snapToGrid w:val="0"/>
          <w:sz w:val="22"/>
          <w:szCs w:val="22"/>
          <w:lang w:val="en-GB" w:eastAsia="en-US"/>
        </w:rPr>
        <w:t xml:space="preserve">as an Authority </w:t>
      </w:r>
      <w:proofErr w:type="gramStart"/>
      <w:r w:rsidR="003D6946">
        <w:rPr>
          <w:rFonts w:ascii="Arial" w:hAnsi="Arial" w:cs="Arial"/>
          <w:bCs/>
          <w:snapToGrid w:val="0"/>
          <w:sz w:val="22"/>
          <w:szCs w:val="22"/>
          <w:lang w:val="en-GB" w:eastAsia="en-US"/>
        </w:rPr>
        <w:t>Required</w:t>
      </w:r>
      <w:proofErr w:type="gramEnd"/>
      <w:r w:rsidR="003D6946">
        <w:rPr>
          <w:rFonts w:ascii="Arial" w:hAnsi="Arial" w:cs="Arial"/>
          <w:bCs/>
          <w:snapToGrid w:val="0"/>
          <w:sz w:val="22"/>
          <w:szCs w:val="22"/>
          <w:lang w:val="en-GB" w:eastAsia="en-US"/>
        </w:rPr>
        <w:t xml:space="preserve"> benefit </w:t>
      </w:r>
      <w:r w:rsidRPr="003D6946">
        <w:rPr>
          <w:rFonts w:ascii="Arial" w:hAnsi="Arial" w:cs="Arial"/>
          <w:bCs/>
          <w:snapToGrid w:val="0"/>
          <w:sz w:val="22"/>
          <w:szCs w:val="22"/>
          <w:lang w:val="en-GB" w:eastAsia="en-US"/>
        </w:rPr>
        <w:t>on the Palliative Care Schedule</w:t>
      </w:r>
      <w:r w:rsidR="003D6946">
        <w:rPr>
          <w:rFonts w:ascii="Arial" w:hAnsi="Arial" w:cs="Arial"/>
          <w:bCs/>
          <w:snapToGrid w:val="0"/>
          <w:sz w:val="22"/>
          <w:szCs w:val="22"/>
          <w:lang w:val="en-GB" w:eastAsia="en-US"/>
        </w:rPr>
        <w:t xml:space="preserve"> for the treatment of breakthrough pain in patients undergoing palliative care for cancer</w:t>
      </w:r>
      <w:r w:rsidRPr="003D6946">
        <w:rPr>
          <w:rFonts w:ascii="Arial" w:hAnsi="Arial" w:cs="Arial"/>
          <w:bCs/>
          <w:snapToGrid w:val="0"/>
          <w:sz w:val="22"/>
          <w:szCs w:val="22"/>
          <w:lang w:val="en-GB" w:eastAsia="en-US"/>
        </w:rPr>
        <w:t xml:space="preserve">. </w:t>
      </w:r>
    </w:p>
    <w:p w:rsidR="003D6946" w:rsidRPr="003D6946" w:rsidRDefault="003D6946" w:rsidP="003D6946">
      <w:pPr>
        <w:widowControl w:val="0"/>
        <w:spacing w:after="120"/>
        <w:ind w:left="720"/>
        <w:contextualSpacing/>
        <w:jc w:val="both"/>
        <w:rPr>
          <w:rFonts w:ascii="Arial" w:hAnsi="Arial" w:cs="Arial"/>
          <w:bCs/>
          <w:snapToGrid w:val="0"/>
          <w:sz w:val="22"/>
          <w:szCs w:val="22"/>
          <w:lang w:val="en-GB" w:eastAsia="en-US"/>
        </w:rPr>
      </w:pPr>
    </w:p>
    <w:p w:rsidR="003D6946" w:rsidRDefault="003D6946" w:rsidP="00315B5D">
      <w:pPr>
        <w:widowControl w:val="0"/>
        <w:numPr>
          <w:ilvl w:val="1"/>
          <w:numId w:val="25"/>
        </w:numPr>
        <w:contextualSpacing/>
        <w:jc w:val="both"/>
        <w:rPr>
          <w:rFonts w:ascii="Arial" w:hAnsi="Arial" w:cs="Arial"/>
          <w:bCs/>
          <w:snapToGrid w:val="0"/>
          <w:sz w:val="22"/>
          <w:szCs w:val="22"/>
          <w:lang w:val="en-GB" w:eastAsia="en-US"/>
        </w:rPr>
      </w:pPr>
      <w:r w:rsidRPr="003D6946">
        <w:rPr>
          <w:rFonts w:ascii="Arial" w:hAnsi="Arial" w:cs="Arial"/>
          <w:bCs/>
          <w:snapToGrid w:val="0"/>
          <w:sz w:val="22"/>
          <w:szCs w:val="22"/>
          <w:lang w:val="en-GB" w:eastAsia="en-US"/>
        </w:rPr>
        <w:t xml:space="preserve">The recommendation was made on a cost-minimisation basis with fentanyl citrate sublingual tablets, which was recommended at the July 2015 PBAC meeting. </w:t>
      </w:r>
      <w:r w:rsidR="00FD4C7F">
        <w:rPr>
          <w:rFonts w:ascii="Arial" w:hAnsi="Arial" w:cs="Arial"/>
          <w:bCs/>
          <w:snapToGrid w:val="0"/>
          <w:sz w:val="22"/>
          <w:szCs w:val="22"/>
          <w:lang w:val="en-GB" w:eastAsia="en-US"/>
        </w:rPr>
        <w:t xml:space="preserve">The PBAC recalled that fentanyl citrate sublingual </w:t>
      </w:r>
      <w:r w:rsidR="000833A0">
        <w:rPr>
          <w:rFonts w:ascii="Arial" w:hAnsi="Arial" w:cs="Arial"/>
          <w:bCs/>
          <w:snapToGrid w:val="0"/>
          <w:sz w:val="22"/>
          <w:szCs w:val="22"/>
          <w:lang w:val="en-GB" w:eastAsia="en-US"/>
        </w:rPr>
        <w:t>tablets</w:t>
      </w:r>
      <w:r w:rsidR="00FD4C7F">
        <w:rPr>
          <w:rFonts w:ascii="Arial" w:hAnsi="Arial" w:cs="Arial"/>
          <w:bCs/>
          <w:snapToGrid w:val="0"/>
          <w:sz w:val="22"/>
          <w:szCs w:val="22"/>
          <w:lang w:val="en-GB" w:eastAsia="en-US"/>
        </w:rPr>
        <w:t xml:space="preserve"> were recommended on a cost-minimisation basis with immediate-release opioids and fentanyl lozenges.</w:t>
      </w:r>
      <w:r w:rsidR="001F66B7">
        <w:rPr>
          <w:rFonts w:ascii="Arial" w:hAnsi="Arial" w:cs="Arial"/>
          <w:bCs/>
          <w:snapToGrid w:val="0"/>
          <w:sz w:val="22"/>
          <w:szCs w:val="22"/>
          <w:lang w:val="en-GB" w:eastAsia="en-US"/>
        </w:rPr>
        <w:t xml:space="preserve"> The </w:t>
      </w:r>
      <w:proofErr w:type="spellStart"/>
      <w:r w:rsidR="001F66B7">
        <w:rPr>
          <w:rFonts w:ascii="Arial" w:hAnsi="Arial" w:cs="Arial"/>
          <w:bCs/>
          <w:snapToGrid w:val="0"/>
          <w:sz w:val="22"/>
          <w:szCs w:val="22"/>
          <w:lang w:val="en-GB" w:eastAsia="en-US"/>
        </w:rPr>
        <w:t>equi</w:t>
      </w:r>
      <w:proofErr w:type="spellEnd"/>
      <w:r w:rsidR="001F66B7">
        <w:rPr>
          <w:rFonts w:ascii="Arial" w:hAnsi="Arial" w:cs="Arial"/>
          <w:bCs/>
          <w:snapToGrid w:val="0"/>
          <w:sz w:val="22"/>
          <w:szCs w:val="22"/>
          <w:lang w:val="en-GB" w:eastAsia="en-US"/>
        </w:rPr>
        <w:t>-effective doses were not estimated</w:t>
      </w:r>
      <w:r w:rsidR="000F7EA3">
        <w:rPr>
          <w:rFonts w:ascii="Arial" w:hAnsi="Arial" w:cs="Arial"/>
          <w:bCs/>
          <w:snapToGrid w:val="0"/>
          <w:sz w:val="22"/>
          <w:szCs w:val="22"/>
          <w:lang w:val="en-GB" w:eastAsia="en-US"/>
        </w:rPr>
        <w:t>. However, an assumption of one dose per episode</w:t>
      </w:r>
      <w:r w:rsidR="00847661">
        <w:rPr>
          <w:rFonts w:ascii="Arial" w:hAnsi="Arial" w:cs="Arial"/>
          <w:bCs/>
          <w:snapToGrid w:val="0"/>
          <w:sz w:val="22"/>
          <w:szCs w:val="22"/>
          <w:lang w:val="en-GB" w:eastAsia="en-US"/>
        </w:rPr>
        <w:t xml:space="preserve"> of breakthrough pain</w:t>
      </w:r>
      <w:r w:rsidR="000F7EA3">
        <w:rPr>
          <w:rFonts w:ascii="Arial" w:hAnsi="Arial" w:cs="Arial"/>
          <w:bCs/>
          <w:snapToGrid w:val="0"/>
          <w:sz w:val="22"/>
          <w:szCs w:val="22"/>
          <w:lang w:val="en-GB" w:eastAsia="en-US"/>
        </w:rPr>
        <w:t xml:space="preserve"> was considered reasonable</w:t>
      </w:r>
      <w:r w:rsidR="00847661">
        <w:rPr>
          <w:rFonts w:ascii="Arial" w:hAnsi="Arial" w:cs="Arial"/>
          <w:bCs/>
          <w:snapToGrid w:val="0"/>
          <w:sz w:val="22"/>
          <w:szCs w:val="22"/>
          <w:lang w:val="en-GB" w:eastAsia="en-US"/>
        </w:rPr>
        <w:t xml:space="preserve">, </w:t>
      </w:r>
      <w:r w:rsidR="005D53E0">
        <w:rPr>
          <w:rFonts w:ascii="Arial" w:hAnsi="Arial" w:cs="Arial"/>
          <w:bCs/>
          <w:snapToGrid w:val="0"/>
          <w:sz w:val="22"/>
          <w:szCs w:val="22"/>
          <w:lang w:val="en-GB" w:eastAsia="en-US"/>
        </w:rPr>
        <w:t xml:space="preserve">and it was noted that the </w:t>
      </w:r>
      <w:r w:rsidR="004E2FF1">
        <w:rPr>
          <w:rFonts w:ascii="Arial" w:hAnsi="Arial" w:cs="Arial"/>
          <w:bCs/>
          <w:snapToGrid w:val="0"/>
          <w:sz w:val="22"/>
          <w:szCs w:val="22"/>
          <w:lang w:val="en-GB" w:eastAsia="en-US"/>
        </w:rPr>
        <w:t>resubmission proposed flat pricing across dose strengths</w:t>
      </w:r>
      <w:r w:rsidR="00315B5D">
        <w:rPr>
          <w:rFonts w:ascii="Arial" w:hAnsi="Arial" w:cs="Arial"/>
          <w:bCs/>
          <w:snapToGrid w:val="0"/>
          <w:sz w:val="22"/>
          <w:szCs w:val="22"/>
          <w:lang w:val="en-GB" w:eastAsia="en-US"/>
        </w:rPr>
        <w:t>,</w:t>
      </w:r>
      <w:r w:rsidR="00315B5D" w:rsidRPr="00315B5D">
        <w:t xml:space="preserve"> </w:t>
      </w:r>
      <w:r w:rsidR="00315B5D" w:rsidRPr="00315B5D">
        <w:rPr>
          <w:rFonts w:ascii="Arial" w:hAnsi="Arial" w:cs="Arial"/>
          <w:bCs/>
          <w:snapToGrid w:val="0"/>
          <w:sz w:val="22"/>
          <w:szCs w:val="22"/>
          <w:lang w:val="en-GB" w:eastAsia="en-US"/>
        </w:rPr>
        <w:t>address</w:t>
      </w:r>
      <w:r w:rsidR="00315B5D">
        <w:rPr>
          <w:rFonts w:ascii="Arial" w:hAnsi="Arial" w:cs="Arial"/>
          <w:bCs/>
          <w:snapToGrid w:val="0"/>
          <w:sz w:val="22"/>
          <w:szCs w:val="22"/>
          <w:lang w:val="en-GB" w:eastAsia="en-US"/>
        </w:rPr>
        <w:t>ing</w:t>
      </w:r>
      <w:r w:rsidR="00315B5D" w:rsidRPr="00315B5D">
        <w:rPr>
          <w:rFonts w:ascii="Arial" w:hAnsi="Arial" w:cs="Arial"/>
          <w:bCs/>
          <w:snapToGrid w:val="0"/>
          <w:sz w:val="22"/>
          <w:szCs w:val="22"/>
          <w:lang w:val="en-GB" w:eastAsia="en-US"/>
        </w:rPr>
        <w:t xml:space="preserve"> the issue of variability during titration</w:t>
      </w:r>
      <w:r w:rsidR="004E2FF1">
        <w:rPr>
          <w:rFonts w:ascii="Arial" w:hAnsi="Arial" w:cs="Arial"/>
          <w:bCs/>
          <w:snapToGrid w:val="0"/>
          <w:sz w:val="22"/>
          <w:szCs w:val="22"/>
          <w:lang w:val="en-GB" w:eastAsia="en-US"/>
        </w:rPr>
        <w:t>.</w:t>
      </w:r>
    </w:p>
    <w:p w:rsidR="004B06F2" w:rsidRDefault="004B06F2" w:rsidP="00366657">
      <w:pPr>
        <w:pStyle w:val="ListParagraph"/>
        <w:rPr>
          <w:rFonts w:ascii="Arial" w:hAnsi="Arial" w:cs="Arial"/>
          <w:bCs/>
          <w:snapToGrid w:val="0"/>
          <w:sz w:val="22"/>
          <w:szCs w:val="22"/>
          <w:lang w:val="en-GB" w:eastAsia="en-US"/>
        </w:rPr>
      </w:pPr>
    </w:p>
    <w:p w:rsidR="004B06F2" w:rsidRPr="003D6946" w:rsidRDefault="004B06F2" w:rsidP="00315B5D">
      <w:pPr>
        <w:widowControl w:val="0"/>
        <w:numPr>
          <w:ilvl w:val="1"/>
          <w:numId w:val="25"/>
        </w:numPr>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advised that fentanyl citrate buccal tablets should join the existing Risk Sharing Arrangement for fentanyl citrate sublingual tablets and be subject to the same subsidisation caps and rebate arrangements.</w:t>
      </w:r>
    </w:p>
    <w:p w:rsidR="003D6946" w:rsidRPr="003D6946" w:rsidRDefault="003D6946" w:rsidP="003D6946">
      <w:pPr>
        <w:pStyle w:val="ListParagraph"/>
        <w:rPr>
          <w:rFonts w:ascii="Arial" w:hAnsi="Arial" w:cs="Arial"/>
          <w:bCs/>
          <w:snapToGrid w:val="0"/>
          <w:sz w:val="22"/>
          <w:szCs w:val="22"/>
          <w:lang w:val="en-GB" w:eastAsia="en-US"/>
        </w:rPr>
      </w:pPr>
    </w:p>
    <w:p w:rsidR="003D6946" w:rsidRPr="003D6946" w:rsidRDefault="005D53E0" w:rsidP="00AE57F8">
      <w:pPr>
        <w:widowControl w:val="0"/>
        <w:numPr>
          <w:ilvl w:val="1"/>
          <w:numId w:val="25"/>
        </w:numPr>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resubmission nominated fentanyl lozenge as the main comparator, but considered the displacement of immediate release opiates in calculating a revised price. </w:t>
      </w:r>
      <w:r w:rsidR="003D6946" w:rsidRPr="003D6946">
        <w:rPr>
          <w:rFonts w:ascii="Arial" w:hAnsi="Arial" w:cs="Arial"/>
          <w:bCs/>
          <w:snapToGrid w:val="0"/>
          <w:sz w:val="22"/>
          <w:szCs w:val="22"/>
          <w:lang w:val="en-GB" w:eastAsia="en-US"/>
        </w:rPr>
        <w:t>The PBAC considered</w:t>
      </w:r>
      <w:r w:rsidR="00FD4C7F">
        <w:rPr>
          <w:rFonts w:ascii="Arial" w:hAnsi="Arial" w:cs="Arial"/>
          <w:bCs/>
          <w:snapToGrid w:val="0"/>
          <w:sz w:val="22"/>
          <w:szCs w:val="22"/>
          <w:lang w:val="en-GB" w:eastAsia="en-US"/>
        </w:rPr>
        <w:t>, as previously,</w:t>
      </w:r>
      <w:r w:rsidR="003D6946" w:rsidRPr="003D6946">
        <w:rPr>
          <w:rFonts w:ascii="Arial" w:hAnsi="Arial" w:cs="Arial"/>
          <w:bCs/>
          <w:snapToGrid w:val="0"/>
          <w:sz w:val="22"/>
          <w:szCs w:val="22"/>
          <w:lang w:val="en-GB" w:eastAsia="en-US"/>
        </w:rPr>
        <w:t xml:space="preserve"> both immediate-release oral opioids and fentanyl lozenges to be appropriate comparators. </w:t>
      </w:r>
    </w:p>
    <w:p w:rsidR="003D6946" w:rsidRPr="003D6946" w:rsidRDefault="003D6946" w:rsidP="003D6946">
      <w:pPr>
        <w:pStyle w:val="ListParagraph"/>
        <w:rPr>
          <w:rFonts w:ascii="Arial" w:hAnsi="Arial" w:cs="Arial"/>
          <w:bCs/>
          <w:snapToGrid w:val="0"/>
          <w:sz w:val="22"/>
          <w:szCs w:val="22"/>
          <w:lang w:val="en-GB" w:eastAsia="en-US"/>
        </w:rPr>
      </w:pPr>
    </w:p>
    <w:p w:rsidR="003D6946" w:rsidRDefault="003D6946" w:rsidP="00765375">
      <w:pPr>
        <w:widowControl w:val="0"/>
        <w:numPr>
          <w:ilvl w:val="1"/>
          <w:numId w:val="25"/>
        </w:numPr>
        <w:contextualSpacing/>
        <w:jc w:val="both"/>
        <w:rPr>
          <w:rFonts w:ascii="Arial" w:hAnsi="Arial" w:cs="Arial"/>
          <w:bCs/>
          <w:snapToGrid w:val="0"/>
          <w:sz w:val="22"/>
          <w:szCs w:val="22"/>
          <w:lang w:val="en-GB"/>
        </w:rPr>
      </w:pPr>
      <w:r w:rsidRPr="001B1873">
        <w:rPr>
          <w:rFonts w:ascii="Arial" w:hAnsi="Arial" w:cs="Arial"/>
          <w:bCs/>
          <w:snapToGrid w:val="0"/>
          <w:sz w:val="22"/>
          <w:szCs w:val="22"/>
          <w:lang w:val="en-GB" w:eastAsia="en-US"/>
        </w:rPr>
        <w:t xml:space="preserve">The PBAC noted that the resubmission had </w:t>
      </w:r>
      <w:r w:rsidR="001B1873" w:rsidRPr="001B1873">
        <w:rPr>
          <w:rFonts w:ascii="Arial" w:hAnsi="Arial" w:cs="Arial"/>
          <w:bCs/>
          <w:snapToGrid w:val="0"/>
          <w:sz w:val="22"/>
          <w:szCs w:val="22"/>
          <w:lang w:val="en-GB" w:eastAsia="en-US"/>
        </w:rPr>
        <w:t xml:space="preserve">appropriately </w:t>
      </w:r>
      <w:r w:rsidR="00E732E6">
        <w:rPr>
          <w:rFonts w:ascii="Arial" w:hAnsi="Arial" w:cs="Arial"/>
          <w:bCs/>
          <w:snapToGrid w:val="0"/>
          <w:sz w:val="22"/>
          <w:szCs w:val="22"/>
          <w:lang w:val="en-GB" w:eastAsia="en-US"/>
        </w:rPr>
        <w:t xml:space="preserve">estimated population numbers using </w:t>
      </w:r>
      <w:r w:rsidR="001B1873" w:rsidRPr="001B1873">
        <w:rPr>
          <w:rFonts w:ascii="Arial" w:hAnsi="Arial" w:cs="Arial"/>
          <w:bCs/>
          <w:snapToGrid w:val="0"/>
          <w:sz w:val="22"/>
          <w:szCs w:val="22"/>
          <w:lang w:val="en-GB" w:eastAsia="en-US"/>
        </w:rPr>
        <w:t xml:space="preserve">an epidemiological approach rather than a market share approach, as in the previous submission. </w:t>
      </w:r>
      <w:r w:rsidR="001F6741">
        <w:rPr>
          <w:rFonts w:ascii="Arial" w:hAnsi="Arial" w:cs="Arial"/>
          <w:bCs/>
          <w:snapToGrid w:val="0"/>
          <w:sz w:val="22"/>
          <w:szCs w:val="22"/>
          <w:lang w:val="en-GB" w:eastAsia="en-US"/>
        </w:rPr>
        <w:t xml:space="preserve">The PBAC also noted the revised </w:t>
      </w:r>
      <w:r w:rsidR="00A16367">
        <w:rPr>
          <w:rFonts w:ascii="Arial" w:hAnsi="Arial" w:cs="Arial"/>
          <w:bCs/>
          <w:snapToGrid w:val="0"/>
          <w:sz w:val="22"/>
          <w:szCs w:val="22"/>
          <w:lang w:val="en-GB" w:eastAsia="en-US"/>
        </w:rPr>
        <w:t xml:space="preserve">estimate of </w:t>
      </w:r>
      <w:r w:rsidR="001F6741">
        <w:rPr>
          <w:rFonts w:ascii="Arial" w:hAnsi="Arial" w:cs="Arial"/>
          <w:bCs/>
          <w:snapToGrid w:val="0"/>
          <w:sz w:val="22"/>
          <w:szCs w:val="22"/>
          <w:lang w:val="en-GB" w:eastAsia="en-US"/>
        </w:rPr>
        <w:t>uptake</w:t>
      </w:r>
      <w:r w:rsidR="00A16367">
        <w:rPr>
          <w:rFonts w:ascii="Arial" w:hAnsi="Arial" w:cs="Arial"/>
          <w:bCs/>
          <w:snapToGrid w:val="0"/>
          <w:sz w:val="22"/>
          <w:szCs w:val="22"/>
          <w:lang w:val="en-GB" w:eastAsia="en-US"/>
        </w:rPr>
        <w:t xml:space="preserve"> of </w:t>
      </w:r>
      <w:r w:rsidR="00363061">
        <w:rPr>
          <w:rFonts w:ascii="Arial" w:hAnsi="Arial" w:cs="Arial"/>
          <w:bCs/>
          <w:noProof/>
          <w:snapToGrid w:val="0"/>
          <w:color w:val="000000"/>
          <w:sz w:val="22"/>
          <w:szCs w:val="22"/>
          <w:highlight w:val="black"/>
          <w:lang w:val="en-GB" w:eastAsia="en-US"/>
        </w:rPr>
        <w:t>'''''''''</w:t>
      </w:r>
      <w:r w:rsidR="00A16367" w:rsidRPr="003E76D1">
        <w:rPr>
          <w:rFonts w:ascii="Arial" w:hAnsi="Arial" w:cs="Arial"/>
          <w:bCs/>
          <w:snapToGrid w:val="0"/>
          <w:sz w:val="22"/>
          <w:szCs w:val="22"/>
          <w:lang w:val="en-GB" w:eastAsia="en-US"/>
        </w:rPr>
        <w:t xml:space="preserve">% </w:t>
      </w:r>
      <w:r w:rsidR="00A16367">
        <w:rPr>
          <w:rFonts w:ascii="Arial" w:hAnsi="Arial" w:cs="Arial"/>
          <w:bCs/>
          <w:snapToGrid w:val="0"/>
          <w:sz w:val="22"/>
          <w:szCs w:val="22"/>
          <w:lang w:val="en-GB" w:eastAsia="en-US"/>
        </w:rPr>
        <w:t>of the fentanyl lozenge market by Year 3 of listing.</w:t>
      </w:r>
      <w:r w:rsidR="001F6741">
        <w:rPr>
          <w:rFonts w:ascii="Arial" w:hAnsi="Arial" w:cs="Arial"/>
          <w:bCs/>
          <w:snapToGrid w:val="0"/>
          <w:sz w:val="22"/>
          <w:szCs w:val="22"/>
          <w:lang w:val="en-GB" w:eastAsia="en-US"/>
        </w:rPr>
        <w:t xml:space="preserve"> </w:t>
      </w:r>
      <w:r w:rsidRPr="001B1873">
        <w:rPr>
          <w:rFonts w:ascii="Arial" w:hAnsi="Arial" w:cs="Arial"/>
          <w:bCs/>
          <w:snapToGrid w:val="0"/>
          <w:sz w:val="22"/>
          <w:szCs w:val="22"/>
          <w:lang w:val="en-GB" w:eastAsia="en-US"/>
        </w:rPr>
        <w:t xml:space="preserve">The PBAC </w:t>
      </w:r>
      <w:r w:rsidR="001B1873">
        <w:rPr>
          <w:rFonts w:ascii="Arial" w:hAnsi="Arial" w:cs="Arial"/>
          <w:bCs/>
          <w:snapToGrid w:val="0"/>
          <w:sz w:val="22"/>
          <w:szCs w:val="22"/>
          <w:lang w:val="en-GB" w:eastAsia="en-US"/>
        </w:rPr>
        <w:t xml:space="preserve">considered that the </w:t>
      </w:r>
      <w:r w:rsidR="001B1873" w:rsidRPr="001B1873">
        <w:rPr>
          <w:rFonts w:ascii="Arial" w:hAnsi="Arial" w:cs="Arial"/>
          <w:bCs/>
          <w:snapToGrid w:val="0"/>
          <w:sz w:val="22"/>
          <w:szCs w:val="22"/>
          <w:lang w:val="en-GB" w:eastAsia="en-US"/>
        </w:rPr>
        <w:t>size of the eligible population</w:t>
      </w:r>
      <w:r w:rsidR="005C0604">
        <w:rPr>
          <w:rFonts w:ascii="Arial" w:hAnsi="Arial" w:cs="Arial"/>
          <w:bCs/>
          <w:snapToGrid w:val="0"/>
          <w:sz w:val="22"/>
          <w:szCs w:val="22"/>
          <w:lang w:val="en-GB" w:eastAsia="en-US"/>
        </w:rPr>
        <w:t xml:space="preserve"> was still uncertain</w:t>
      </w:r>
      <w:r w:rsidR="00E54CEA">
        <w:rPr>
          <w:rFonts w:ascii="Arial" w:hAnsi="Arial" w:cs="Arial"/>
          <w:bCs/>
          <w:snapToGrid w:val="0"/>
          <w:sz w:val="22"/>
          <w:szCs w:val="22"/>
          <w:lang w:val="en-GB" w:eastAsia="en-US"/>
        </w:rPr>
        <w:t xml:space="preserve"> and</w:t>
      </w:r>
      <w:r w:rsidR="005C0604">
        <w:rPr>
          <w:rFonts w:ascii="Arial" w:hAnsi="Arial" w:cs="Arial"/>
          <w:bCs/>
          <w:snapToGrid w:val="0"/>
          <w:sz w:val="22"/>
          <w:szCs w:val="22"/>
          <w:lang w:val="en-GB" w:eastAsia="en-US"/>
        </w:rPr>
        <w:t xml:space="preserve"> that a</w:t>
      </w:r>
      <w:r w:rsidR="001B1873" w:rsidRPr="001B1873">
        <w:rPr>
          <w:rFonts w:ascii="Arial" w:hAnsi="Arial" w:cs="Arial"/>
          <w:bCs/>
          <w:snapToGrid w:val="0"/>
          <w:sz w:val="22"/>
          <w:szCs w:val="22"/>
          <w:lang w:val="en-GB" w:eastAsia="en-US"/>
        </w:rPr>
        <w:t xml:space="preserve"> </w:t>
      </w:r>
      <w:r w:rsidRPr="001B1873">
        <w:rPr>
          <w:rFonts w:ascii="Arial" w:hAnsi="Arial" w:cs="Arial"/>
          <w:bCs/>
          <w:snapToGrid w:val="0"/>
          <w:sz w:val="22"/>
          <w:szCs w:val="22"/>
          <w:lang w:val="en-GB" w:eastAsia="en-US"/>
        </w:rPr>
        <w:t>ris</w:t>
      </w:r>
      <w:r w:rsidR="005C0604">
        <w:rPr>
          <w:rFonts w:ascii="Arial" w:hAnsi="Arial" w:cs="Arial"/>
          <w:bCs/>
          <w:snapToGrid w:val="0"/>
          <w:sz w:val="22"/>
          <w:szCs w:val="22"/>
          <w:lang w:val="en-GB" w:eastAsia="en-US"/>
        </w:rPr>
        <w:t>k sharing arrangement</w:t>
      </w:r>
      <w:r w:rsidRPr="001B1873">
        <w:rPr>
          <w:rFonts w:ascii="Arial" w:hAnsi="Arial" w:cs="Arial"/>
          <w:bCs/>
          <w:snapToGrid w:val="0"/>
          <w:sz w:val="22"/>
          <w:szCs w:val="22"/>
          <w:lang w:val="en-GB" w:eastAsia="en-US"/>
        </w:rPr>
        <w:t xml:space="preserve"> </w:t>
      </w:r>
      <w:r w:rsidR="00E54CEA">
        <w:rPr>
          <w:rFonts w:ascii="Arial" w:hAnsi="Arial" w:cs="Arial"/>
          <w:bCs/>
          <w:snapToGrid w:val="0"/>
          <w:sz w:val="22"/>
          <w:szCs w:val="22"/>
          <w:lang w:val="en-GB" w:eastAsia="en-US"/>
        </w:rPr>
        <w:t xml:space="preserve">would be required to address this </w:t>
      </w:r>
      <w:r w:rsidR="00E54CEA">
        <w:rPr>
          <w:rFonts w:ascii="Arial" w:hAnsi="Arial" w:cs="Arial"/>
          <w:bCs/>
          <w:snapToGrid w:val="0"/>
          <w:sz w:val="22"/>
          <w:szCs w:val="22"/>
          <w:lang w:val="en-GB"/>
        </w:rPr>
        <w:t xml:space="preserve">uncertainty </w:t>
      </w:r>
      <w:r w:rsidR="001F66B7">
        <w:rPr>
          <w:rFonts w:ascii="Arial" w:hAnsi="Arial" w:cs="Arial"/>
          <w:bCs/>
          <w:snapToGrid w:val="0"/>
          <w:sz w:val="22"/>
          <w:szCs w:val="22"/>
          <w:lang w:val="en-GB"/>
        </w:rPr>
        <w:t>and</w:t>
      </w:r>
      <w:r w:rsidR="00E54CEA">
        <w:rPr>
          <w:rFonts w:ascii="Arial" w:hAnsi="Arial" w:cs="Arial"/>
          <w:bCs/>
          <w:snapToGrid w:val="0"/>
          <w:sz w:val="22"/>
          <w:szCs w:val="22"/>
          <w:lang w:val="en-GB"/>
        </w:rPr>
        <w:t xml:space="preserve"> manage the financial implications.</w:t>
      </w:r>
    </w:p>
    <w:p w:rsidR="001F66B7" w:rsidRPr="00C608E8" w:rsidRDefault="001F66B7" w:rsidP="001F66B7">
      <w:pPr>
        <w:pStyle w:val="ListParagraph"/>
        <w:rPr>
          <w:rFonts w:ascii="Arial" w:hAnsi="Arial" w:cs="Arial"/>
          <w:bCs/>
          <w:snapToGrid w:val="0"/>
          <w:sz w:val="22"/>
          <w:szCs w:val="22"/>
          <w:lang w:val="en-GB"/>
        </w:rPr>
      </w:pPr>
    </w:p>
    <w:p w:rsidR="001F66B7" w:rsidRPr="00C608E8" w:rsidRDefault="001F66B7" w:rsidP="001F66B7">
      <w:pPr>
        <w:widowControl w:val="0"/>
        <w:numPr>
          <w:ilvl w:val="1"/>
          <w:numId w:val="25"/>
        </w:numPr>
        <w:contextualSpacing/>
        <w:jc w:val="both"/>
        <w:rPr>
          <w:rFonts w:ascii="Arial" w:hAnsi="Arial" w:cs="Arial"/>
          <w:bCs/>
          <w:snapToGrid w:val="0"/>
          <w:sz w:val="22"/>
          <w:szCs w:val="22"/>
          <w:lang w:val="en-GB"/>
        </w:rPr>
      </w:pPr>
      <w:r w:rsidRPr="00C608E8">
        <w:rPr>
          <w:rFonts w:ascii="Arial" w:hAnsi="Arial" w:cs="Arial"/>
          <w:bCs/>
          <w:snapToGrid w:val="0"/>
          <w:sz w:val="22"/>
          <w:szCs w:val="22"/>
          <w:lang w:val="en-GB"/>
        </w:rPr>
        <w:t xml:space="preserve">The PBAC noted the restriction should be aligned with fentanyl citrate sublingual tablets, which the Department was currently in the process of finalising. </w:t>
      </w:r>
    </w:p>
    <w:p w:rsidR="00765375" w:rsidRDefault="00765375" w:rsidP="00765375">
      <w:pPr>
        <w:widowControl w:val="0"/>
        <w:ind w:left="720"/>
        <w:contextualSpacing/>
        <w:jc w:val="both"/>
        <w:rPr>
          <w:rFonts w:ascii="Arial" w:hAnsi="Arial" w:cs="Arial"/>
          <w:bCs/>
          <w:snapToGrid w:val="0"/>
          <w:sz w:val="22"/>
          <w:szCs w:val="22"/>
          <w:lang w:val="en-GB"/>
        </w:rPr>
      </w:pPr>
    </w:p>
    <w:p w:rsidR="00765375" w:rsidRPr="00765375" w:rsidRDefault="00765375" w:rsidP="00765375">
      <w:pPr>
        <w:widowControl w:val="0"/>
        <w:numPr>
          <w:ilvl w:val="1"/>
          <w:numId w:val="25"/>
        </w:numPr>
        <w:contextualSpacing/>
        <w:jc w:val="both"/>
        <w:rPr>
          <w:rFonts w:ascii="Arial" w:hAnsi="Arial" w:cs="Arial"/>
          <w:bCs/>
          <w:snapToGrid w:val="0"/>
          <w:sz w:val="22"/>
          <w:szCs w:val="22"/>
          <w:lang w:val="en-GB"/>
        </w:rPr>
      </w:pPr>
      <w:r w:rsidRPr="00765375">
        <w:rPr>
          <w:rFonts w:ascii="Arial" w:hAnsi="Arial" w:cs="Arial"/>
          <w:bCs/>
          <w:snapToGrid w:val="0"/>
          <w:sz w:val="22"/>
          <w:szCs w:val="22"/>
          <w:lang w:val="en-GB"/>
        </w:rPr>
        <w:t xml:space="preserve">The PBAC recommended that fentanyl citrate </w:t>
      </w:r>
      <w:r w:rsidR="001F6741">
        <w:rPr>
          <w:rFonts w:ascii="Arial" w:hAnsi="Arial" w:cs="Arial"/>
          <w:bCs/>
          <w:snapToGrid w:val="0"/>
          <w:sz w:val="22"/>
          <w:szCs w:val="22"/>
          <w:lang w:val="en-GB"/>
        </w:rPr>
        <w:t xml:space="preserve">buccal tablets </w:t>
      </w:r>
      <w:r w:rsidRPr="00765375">
        <w:rPr>
          <w:rFonts w:ascii="Arial" w:hAnsi="Arial" w:cs="Arial"/>
          <w:bCs/>
          <w:snapToGrid w:val="0"/>
          <w:sz w:val="22"/>
          <w:szCs w:val="22"/>
          <w:lang w:val="en-GB"/>
        </w:rPr>
        <w:t>should not be treated as interchangeable on an individual patient basis with any other drugs.</w:t>
      </w:r>
    </w:p>
    <w:p w:rsidR="0066050F" w:rsidRDefault="0066050F" w:rsidP="0066050F">
      <w:pPr>
        <w:pStyle w:val="ListParagraph"/>
        <w:rPr>
          <w:rFonts w:ascii="Arial" w:hAnsi="Arial" w:cs="Arial"/>
          <w:bCs/>
          <w:snapToGrid w:val="0"/>
          <w:sz w:val="22"/>
          <w:szCs w:val="22"/>
          <w:lang w:val="en-GB" w:eastAsia="en-US"/>
        </w:rPr>
      </w:pPr>
    </w:p>
    <w:p w:rsidR="0066050F" w:rsidRPr="0066050F" w:rsidRDefault="0066050F" w:rsidP="0066050F">
      <w:pPr>
        <w:widowControl w:val="0"/>
        <w:numPr>
          <w:ilvl w:val="1"/>
          <w:numId w:val="25"/>
        </w:numPr>
        <w:contextualSpacing/>
        <w:jc w:val="both"/>
        <w:rPr>
          <w:rFonts w:ascii="Arial" w:hAnsi="Arial" w:cs="Arial"/>
          <w:bCs/>
          <w:snapToGrid w:val="0"/>
          <w:sz w:val="22"/>
          <w:szCs w:val="22"/>
          <w:lang w:val="en-GB"/>
        </w:rPr>
      </w:pPr>
      <w:r w:rsidRPr="0066050F">
        <w:rPr>
          <w:rFonts w:ascii="Arial" w:hAnsi="Arial" w:cs="Arial"/>
          <w:bCs/>
          <w:snapToGrid w:val="0"/>
          <w:sz w:val="22"/>
          <w:szCs w:val="22"/>
          <w:lang w:val="en-GB"/>
        </w:rPr>
        <w:t xml:space="preserve">The PBAC advised that fentanyl citrate buccal tablets are suitable for prescribing by nurse practitioners under a Shared Care model.  </w:t>
      </w:r>
    </w:p>
    <w:p w:rsidR="0066050F" w:rsidRPr="003C3927" w:rsidRDefault="0066050F" w:rsidP="0066050F">
      <w:pPr>
        <w:widowControl w:val="0"/>
        <w:ind w:left="720"/>
        <w:contextualSpacing/>
        <w:jc w:val="both"/>
        <w:rPr>
          <w:rFonts w:ascii="Arial" w:hAnsi="Arial" w:cs="Arial"/>
          <w:bCs/>
          <w:snapToGrid w:val="0"/>
          <w:sz w:val="22"/>
          <w:szCs w:val="22"/>
          <w:highlight w:val="yellow"/>
          <w:lang w:val="en-GB"/>
        </w:rPr>
      </w:pPr>
    </w:p>
    <w:p w:rsidR="0066050F" w:rsidRPr="0066050F" w:rsidRDefault="0066050F" w:rsidP="0066050F">
      <w:pPr>
        <w:widowControl w:val="0"/>
        <w:numPr>
          <w:ilvl w:val="1"/>
          <w:numId w:val="25"/>
        </w:numPr>
        <w:contextualSpacing/>
        <w:jc w:val="both"/>
        <w:rPr>
          <w:rFonts w:ascii="Arial" w:hAnsi="Arial" w:cs="Arial"/>
          <w:bCs/>
          <w:snapToGrid w:val="0"/>
          <w:sz w:val="22"/>
          <w:szCs w:val="22"/>
          <w:lang w:val="en-GB"/>
        </w:rPr>
      </w:pPr>
      <w:r w:rsidRPr="0066050F">
        <w:rPr>
          <w:rFonts w:ascii="Arial" w:hAnsi="Arial" w:cs="Arial"/>
          <w:bCs/>
          <w:snapToGrid w:val="0"/>
          <w:sz w:val="22"/>
          <w:szCs w:val="22"/>
          <w:lang w:val="en-GB"/>
        </w:rPr>
        <w:t xml:space="preserve">The PBAC recommended that the Safety Net 20 Day Rule should not apply. </w:t>
      </w:r>
    </w:p>
    <w:p w:rsidR="0066050F" w:rsidRPr="00603DCB" w:rsidRDefault="0066050F" w:rsidP="0066050F">
      <w:pPr>
        <w:widowControl w:val="0"/>
        <w:ind w:left="720"/>
        <w:contextualSpacing/>
        <w:jc w:val="both"/>
        <w:rPr>
          <w:rFonts w:ascii="Arial" w:hAnsi="Arial" w:cs="Arial"/>
          <w:bCs/>
          <w:snapToGrid w:val="0"/>
          <w:sz w:val="22"/>
          <w:szCs w:val="22"/>
          <w:lang w:val="en-GB"/>
        </w:rPr>
      </w:pPr>
    </w:p>
    <w:p w:rsidR="0066050F" w:rsidRPr="00603DCB" w:rsidRDefault="0066050F" w:rsidP="0066050F">
      <w:pPr>
        <w:widowControl w:val="0"/>
        <w:numPr>
          <w:ilvl w:val="1"/>
          <w:numId w:val="25"/>
        </w:numPr>
        <w:spacing w:after="120"/>
        <w:contextualSpacing/>
        <w:jc w:val="both"/>
        <w:rPr>
          <w:rFonts w:ascii="Arial" w:hAnsi="Arial" w:cs="Arial"/>
          <w:bCs/>
          <w:snapToGrid w:val="0"/>
          <w:sz w:val="22"/>
          <w:szCs w:val="22"/>
          <w:lang w:val="en-GB" w:eastAsia="en-US"/>
        </w:rPr>
      </w:pPr>
      <w:r w:rsidRPr="00603DCB">
        <w:rPr>
          <w:rFonts w:ascii="Arial" w:hAnsi="Arial" w:cs="Arial"/>
          <w:bCs/>
          <w:snapToGrid w:val="0"/>
          <w:sz w:val="22"/>
          <w:szCs w:val="22"/>
          <w:lang w:val="en-GB"/>
        </w:rPr>
        <w:t>The submission is not eligible for an Independent Review</w:t>
      </w:r>
      <w:r w:rsidR="00603DCB" w:rsidRPr="00603DCB">
        <w:rPr>
          <w:rFonts w:ascii="Arial" w:hAnsi="Arial" w:cs="Arial"/>
          <w:bCs/>
          <w:snapToGrid w:val="0"/>
          <w:sz w:val="22"/>
          <w:szCs w:val="22"/>
          <w:lang w:val="en-GB"/>
        </w:rPr>
        <w:t xml:space="preserve"> as the PBAC has made a positive recommendation</w:t>
      </w:r>
      <w:r w:rsidRPr="00603DCB">
        <w:rPr>
          <w:rFonts w:ascii="Arial" w:hAnsi="Arial" w:cs="Arial"/>
          <w:bCs/>
          <w:snapToGrid w:val="0"/>
          <w:sz w:val="22"/>
          <w:szCs w:val="22"/>
          <w:lang w:val="en-GB"/>
        </w:rPr>
        <w:t>.</w:t>
      </w:r>
    </w:p>
    <w:p w:rsidR="00696486" w:rsidRPr="003D6946" w:rsidRDefault="00696486" w:rsidP="00696486">
      <w:pPr>
        <w:rPr>
          <w:rFonts w:ascii="Arial" w:hAnsi="Arial" w:cs="Arial"/>
          <w:snapToGrid w:val="0"/>
          <w:sz w:val="22"/>
          <w:szCs w:val="22"/>
          <w:highlight w:val="yellow"/>
          <w:lang w:val="en-GB" w:eastAsia="en-US"/>
        </w:rPr>
      </w:pPr>
    </w:p>
    <w:p w:rsidR="00696486" w:rsidRPr="000E195B" w:rsidRDefault="00696486" w:rsidP="00696486">
      <w:pPr>
        <w:jc w:val="both"/>
        <w:rPr>
          <w:rFonts w:ascii="Arial" w:hAnsi="Arial" w:cs="Arial"/>
          <w:b/>
          <w:bCs/>
          <w:snapToGrid w:val="0"/>
          <w:sz w:val="22"/>
          <w:szCs w:val="22"/>
          <w:highlight w:val="yellow"/>
          <w:lang w:val="en-GB" w:eastAsia="en-US"/>
        </w:rPr>
      </w:pPr>
    </w:p>
    <w:p w:rsidR="00696486" w:rsidRPr="0066050F" w:rsidRDefault="00696486" w:rsidP="00FA7508">
      <w:pPr>
        <w:pStyle w:val="Heading2"/>
        <w:rPr>
          <w:snapToGrid w:val="0"/>
          <w:lang w:val="en-GB" w:eastAsia="en-US"/>
        </w:rPr>
      </w:pPr>
      <w:r w:rsidRPr="0066050F">
        <w:rPr>
          <w:snapToGrid w:val="0"/>
          <w:lang w:val="en-GB" w:eastAsia="en-US"/>
        </w:rPr>
        <w:t>Outcome:</w:t>
      </w:r>
    </w:p>
    <w:p w:rsidR="00696486" w:rsidRPr="0066050F" w:rsidRDefault="00455B73" w:rsidP="00696486">
      <w:pPr>
        <w:jc w:val="both"/>
        <w:rPr>
          <w:rFonts w:ascii="Arial" w:hAnsi="Arial" w:cs="Arial"/>
          <w:bCs/>
          <w:snapToGrid w:val="0"/>
          <w:sz w:val="22"/>
          <w:szCs w:val="22"/>
          <w:lang w:val="en-GB" w:eastAsia="en-US"/>
        </w:rPr>
      </w:pPr>
      <w:r w:rsidRPr="0066050F">
        <w:rPr>
          <w:rFonts w:ascii="Arial" w:hAnsi="Arial" w:cs="Arial"/>
          <w:bCs/>
          <w:snapToGrid w:val="0"/>
          <w:sz w:val="22"/>
          <w:szCs w:val="22"/>
          <w:lang w:val="en-GB" w:eastAsia="en-US"/>
        </w:rPr>
        <w:t>Recommended</w:t>
      </w:r>
    </w:p>
    <w:p w:rsidR="00696486" w:rsidRPr="000E195B" w:rsidRDefault="00696486" w:rsidP="00696486">
      <w:pPr>
        <w:widowControl w:val="0"/>
        <w:jc w:val="both"/>
        <w:rPr>
          <w:rFonts w:ascii="Arial" w:hAnsi="Arial" w:cs="Arial"/>
          <w:b/>
          <w:bCs/>
          <w:snapToGrid w:val="0"/>
          <w:sz w:val="22"/>
          <w:szCs w:val="22"/>
          <w:highlight w:val="yellow"/>
          <w:lang w:eastAsia="en-US"/>
        </w:rPr>
      </w:pPr>
    </w:p>
    <w:p w:rsidR="00696486" w:rsidRPr="000E195B" w:rsidRDefault="00696486" w:rsidP="00696486">
      <w:pPr>
        <w:widowControl w:val="0"/>
        <w:jc w:val="both"/>
        <w:rPr>
          <w:rFonts w:ascii="Arial" w:hAnsi="Arial" w:cs="Arial"/>
          <w:bCs/>
          <w:snapToGrid w:val="0"/>
          <w:sz w:val="22"/>
          <w:szCs w:val="22"/>
          <w:highlight w:val="yellow"/>
          <w:lang w:eastAsia="en-US"/>
        </w:rPr>
      </w:pPr>
    </w:p>
    <w:p w:rsidR="00696486" w:rsidRPr="00C7111E" w:rsidRDefault="00696486" w:rsidP="00FA7508">
      <w:pPr>
        <w:pStyle w:val="Heading1"/>
        <w:rPr>
          <w:i/>
          <w:snapToGrid w:val="0"/>
          <w:lang w:val="en-GB" w:eastAsia="en-US"/>
        </w:rPr>
      </w:pPr>
      <w:r w:rsidRPr="00C7111E">
        <w:rPr>
          <w:snapToGrid w:val="0"/>
          <w:lang w:val="en-GB" w:eastAsia="en-US"/>
        </w:rPr>
        <w:t>Recommended listing</w:t>
      </w:r>
    </w:p>
    <w:p w:rsidR="00696486" w:rsidRPr="00C7111E" w:rsidRDefault="00696486" w:rsidP="00696486">
      <w:pPr>
        <w:jc w:val="both"/>
        <w:rPr>
          <w:rFonts w:ascii="Arial" w:hAnsi="Arial" w:cs="Arial"/>
          <w:b/>
          <w:bCs/>
          <w:snapToGrid w:val="0"/>
          <w:sz w:val="22"/>
          <w:szCs w:val="22"/>
          <w:lang w:val="en-GB" w:eastAsia="en-US"/>
        </w:rPr>
      </w:pPr>
    </w:p>
    <w:p w:rsidR="00696486" w:rsidRPr="007869EC" w:rsidRDefault="00696486" w:rsidP="00FD4683">
      <w:pPr>
        <w:widowControl w:val="0"/>
        <w:numPr>
          <w:ilvl w:val="1"/>
          <w:numId w:val="25"/>
        </w:numPr>
        <w:spacing w:after="120"/>
        <w:contextualSpacing/>
        <w:jc w:val="both"/>
        <w:rPr>
          <w:rFonts w:ascii="Arial" w:hAnsi="Arial" w:cs="Arial"/>
          <w:b/>
          <w:bCs/>
          <w:snapToGrid w:val="0"/>
          <w:sz w:val="22"/>
          <w:szCs w:val="22"/>
          <w:lang w:eastAsia="en-US"/>
        </w:rPr>
      </w:pPr>
      <w:r w:rsidRPr="00C7111E">
        <w:rPr>
          <w:rFonts w:ascii="Arial" w:hAnsi="Arial" w:cs="Arial"/>
          <w:bCs/>
          <w:snapToGrid w:val="0"/>
          <w:sz w:val="22"/>
          <w:szCs w:val="22"/>
          <w:lang w:eastAsia="en-US"/>
        </w:rPr>
        <w:t>Add new item:</w:t>
      </w:r>
      <w:r w:rsidR="00C7111E" w:rsidRPr="00C7111E">
        <w:rPr>
          <w:rFonts w:ascii="Arial" w:hAnsi="Arial" w:cs="Arial"/>
          <w:bCs/>
          <w:snapToGrid w:val="0"/>
          <w:sz w:val="22"/>
          <w:szCs w:val="22"/>
          <w:lang w:eastAsia="en-US"/>
        </w:rPr>
        <w:t xml:space="preserve"> Restrictions to be finalised.</w:t>
      </w:r>
    </w:p>
    <w:p w:rsidR="007869EC" w:rsidRDefault="007869EC" w:rsidP="007869EC">
      <w:pPr>
        <w:widowControl w:val="0"/>
        <w:spacing w:after="120"/>
        <w:contextualSpacing/>
        <w:jc w:val="both"/>
        <w:rPr>
          <w:rFonts w:ascii="Arial" w:hAnsi="Arial" w:cs="Arial"/>
          <w:bCs/>
          <w:snapToGrid w:val="0"/>
          <w:sz w:val="22"/>
          <w:szCs w:val="22"/>
          <w:lang w:eastAsia="en-US"/>
        </w:rPr>
      </w:pPr>
    </w:p>
    <w:p w:rsidR="007869EC" w:rsidRPr="007869EC" w:rsidRDefault="007869EC" w:rsidP="007869EC">
      <w:pPr>
        <w:rPr>
          <w:rFonts w:ascii="Arial" w:hAnsi="Arial" w:cs="Arial"/>
          <w:bCs/>
          <w:snapToGrid w:val="0"/>
          <w:sz w:val="22"/>
          <w:szCs w:val="22"/>
          <w:lang w:eastAsia="en-US"/>
        </w:rPr>
      </w:pPr>
    </w:p>
    <w:p w:rsidR="007869EC" w:rsidRPr="007869EC" w:rsidRDefault="007869EC" w:rsidP="00FA7508">
      <w:pPr>
        <w:pStyle w:val="Heading1"/>
        <w:rPr>
          <w:rFonts w:eastAsia="SimSun"/>
          <w:snapToGrid w:val="0"/>
          <w:lang w:eastAsia="en-US"/>
        </w:rPr>
      </w:pPr>
      <w:r w:rsidRPr="007869EC">
        <w:rPr>
          <w:rFonts w:eastAsia="SimSun"/>
          <w:snapToGrid w:val="0"/>
          <w:lang w:eastAsia="en-US"/>
        </w:rPr>
        <w:t>Context for Decision</w:t>
      </w:r>
    </w:p>
    <w:p w:rsidR="007869EC" w:rsidRPr="007869EC" w:rsidRDefault="007869EC" w:rsidP="007869EC">
      <w:pPr>
        <w:widowControl w:val="0"/>
        <w:ind w:left="720"/>
        <w:contextualSpacing/>
        <w:jc w:val="both"/>
        <w:rPr>
          <w:b/>
          <w:snapToGrid w:val="0"/>
        </w:rPr>
      </w:pPr>
    </w:p>
    <w:p w:rsidR="007869EC" w:rsidRPr="007869EC" w:rsidRDefault="007869EC" w:rsidP="007869EC">
      <w:pPr>
        <w:widowControl w:val="0"/>
        <w:ind w:left="720"/>
        <w:jc w:val="both"/>
        <w:rPr>
          <w:rFonts w:ascii="Arial" w:hAnsi="Arial" w:cs="Arial"/>
          <w:bCs/>
          <w:snapToGrid w:val="0"/>
          <w:sz w:val="22"/>
          <w:szCs w:val="22"/>
          <w:lang w:eastAsia="en-US"/>
        </w:rPr>
      </w:pPr>
      <w:r w:rsidRPr="007869EC">
        <w:rPr>
          <w:rFonts w:ascii="Arial" w:hAnsi="Arial" w:cs="Arial"/>
          <w:bCs/>
          <w:snapToGrid w:val="0"/>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869EC" w:rsidRPr="007869EC" w:rsidRDefault="007869EC" w:rsidP="007869EC">
      <w:pPr>
        <w:widowControl w:val="0"/>
        <w:jc w:val="both"/>
        <w:rPr>
          <w:lang w:eastAsia="en-US"/>
        </w:rPr>
      </w:pPr>
    </w:p>
    <w:p w:rsidR="007869EC" w:rsidRPr="007869EC" w:rsidRDefault="007869EC" w:rsidP="00FA7508">
      <w:pPr>
        <w:pStyle w:val="Heading1"/>
        <w:rPr>
          <w:rFonts w:eastAsia="SimSun"/>
          <w:snapToGrid w:val="0"/>
          <w:lang w:eastAsia="en-US"/>
        </w:rPr>
      </w:pPr>
      <w:r w:rsidRPr="007869EC">
        <w:rPr>
          <w:rFonts w:eastAsia="SimSun"/>
          <w:snapToGrid w:val="0"/>
          <w:lang w:eastAsia="en-US"/>
        </w:rPr>
        <w:t>Sponsor’s Com</w:t>
      </w:r>
      <w:bookmarkStart w:id="4" w:name="_GoBack"/>
      <w:bookmarkEnd w:id="4"/>
      <w:r w:rsidRPr="007869EC">
        <w:rPr>
          <w:rFonts w:eastAsia="SimSun"/>
          <w:snapToGrid w:val="0"/>
          <w:lang w:eastAsia="en-US"/>
        </w:rPr>
        <w:t>ment</w:t>
      </w:r>
    </w:p>
    <w:p w:rsidR="007869EC" w:rsidRPr="007869EC" w:rsidRDefault="007869EC" w:rsidP="007869EC">
      <w:pPr>
        <w:widowControl w:val="0"/>
        <w:tabs>
          <w:tab w:val="left" w:pos="2940"/>
        </w:tabs>
        <w:jc w:val="both"/>
        <w:rPr>
          <w:rFonts w:ascii="Arial" w:hAnsi="Arial"/>
          <w:snapToGrid w:val="0"/>
          <w:sz w:val="22"/>
          <w:szCs w:val="22"/>
        </w:rPr>
      </w:pPr>
    </w:p>
    <w:p w:rsidR="00916F8A" w:rsidRPr="007869EC" w:rsidRDefault="00916F8A" w:rsidP="00916F8A">
      <w:pPr>
        <w:widowControl w:val="0"/>
        <w:tabs>
          <w:tab w:val="left" w:pos="2940"/>
        </w:tabs>
        <w:ind w:left="709"/>
        <w:jc w:val="both"/>
        <w:rPr>
          <w:rFonts w:ascii="Arial" w:hAnsi="Arial"/>
          <w:snapToGrid w:val="0"/>
          <w:sz w:val="22"/>
          <w:szCs w:val="22"/>
        </w:rPr>
      </w:pPr>
      <w:proofErr w:type="spellStart"/>
      <w:r w:rsidRPr="009F2CEF">
        <w:rPr>
          <w:rFonts w:ascii="Arial" w:hAnsi="Arial"/>
          <w:snapToGrid w:val="0"/>
          <w:sz w:val="22"/>
          <w:szCs w:val="22"/>
        </w:rPr>
        <w:t>Teva</w:t>
      </w:r>
      <w:proofErr w:type="spellEnd"/>
      <w:r w:rsidRPr="009F2CEF">
        <w:rPr>
          <w:rFonts w:ascii="Arial" w:hAnsi="Arial"/>
          <w:snapToGrid w:val="0"/>
          <w:sz w:val="22"/>
          <w:szCs w:val="22"/>
        </w:rPr>
        <w:t xml:space="preserve"> welcomes the PBAC recommendation and will work with the department to progress the listing of </w:t>
      </w:r>
      <w:proofErr w:type="spellStart"/>
      <w:r w:rsidRPr="009F2CEF">
        <w:rPr>
          <w:rFonts w:ascii="Arial" w:hAnsi="Arial"/>
          <w:snapToGrid w:val="0"/>
          <w:sz w:val="22"/>
          <w:szCs w:val="22"/>
        </w:rPr>
        <w:t>Fentora</w:t>
      </w:r>
      <w:proofErr w:type="spellEnd"/>
      <w:r w:rsidRPr="009F2CEF">
        <w:rPr>
          <w:rFonts w:ascii="Arial" w:hAnsi="Arial"/>
          <w:snapToGrid w:val="0"/>
          <w:sz w:val="22"/>
          <w:szCs w:val="22"/>
        </w:rPr>
        <w:t>.</w:t>
      </w:r>
    </w:p>
    <w:p w:rsidR="00916F8A" w:rsidRPr="007869EC" w:rsidRDefault="00916F8A" w:rsidP="00916F8A">
      <w:pPr>
        <w:jc w:val="both"/>
        <w:rPr>
          <w:rFonts w:ascii="Arial" w:hAnsi="Arial" w:cs="Arial"/>
          <w:snapToGrid w:val="0"/>
          <w:sz w:val="22"/>
          <w:szCs w:val="22"/>
          <w:lang w:eastAsia="en-US"/>
        </w:rPr>
      </w:pPr>
    </w:p>
    <w:p w:rsidR="007869EC" w:rsidRPr="007869EC" w:rsidRDefault="007869EC" w:rsidP="00916F8A">
      <w:pPr>
        <w:ind w:left="720"/>
        <w:jc w:val="both"/>
        <w:rPr>
          <w:rFonts w:ascii="Arial" w:hAnsi="Arial" w:cs="Arial"/>
          <w:snapToGrid w:val="0"/>
          <w:sz w:val="22"/>
          <w:szCs w:val="22"/>
          <w:lang w:eastAsia="en-US"/>
        </w:rPr>
      </w:pPr>
    </w:p>
    <w:p w:rsidR="007869EC" w:rsidRPr="00FD4683" w:rsidRDefault="007869EC" w:rsidP="007869EC">
      <w:pPr>
        <w:widowControl w:val="0"/>
        <w:spacing w:after="120"/>
        <w:contextualSpacing/>
        <w:jc w:val="both"/>
        <w:rPr>
          <w:rFonts w:ascii="Arial" w:hAnsi="Arial" w:cs="Arial"/>
          <w:b/>
          <w:bCs/>
          <w:snapToGrid w:val="0"/>
          <w:sz w:val="22"/>
          <w:szCs w:val="22"/>
          <w:lang w:eastAsia="en-US"/>
        </w:rPr>
      </w:pPr>
    </w:p>
    <w:sectPr w:rsidR="007869EC" w:rsidRPr="00FD4683"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D2D544" w15:done="0"/>
  <w15:commentEx w15:paraId="424C7B5A" w15:paraIdParent="5BD2D544" w15:done="0"/>
  <w15:commentEx w15:paraId="0B2509E2" w15:done="0"/>
  <w15:commentEx w15:paraId="26F8E2F1" w15:paraIdParent="0B2509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61" w:rsidRDefault="00363061">
      <w:r>
        <w:separator/>
      </w:r>
    </w:p>
    <w:p w:rsidR="00363061" w:rsidRDefault="00363061"/>
  </w:endnote>
  <w:endnote w:type="continuationSeparator" w:id="0">
    <w:p w:rsidR="00363061" w:rsidRDefault="00363061">
      <w:r>
        <w:continuationSeparator/>
      </w:r>
    </w:p>
    <w:p w:rsidR="00363061" w:rsidRDefault="00363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45619" w:rsidTr="005A3173">
      <w:trPr>
        <w:trHeight w:val="151"/>
      </w:trPr>
      <w:tc>
        <w:tcPr>
          <w:tcW w:w="2250" w:type="pct"/>
          <w:tcBorders>
            <w:top w:val="nil"/>
            <w:left w:val="nil"/>
            <w:bottom w:val="single" w:sz="4" w:space="0" w:color="4F81BD"/>
            <w:right w:val="nil"/>
          </w:tcBorders>
        </w:tcPr>
        <w:p w:rsidR="00945619" w:rsidRPr="005A3173" w:rsidRDefault="009456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45619" w:rsidRPr="005A3173" w:rsidRDefault="009456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45619" w:rsidRPr="005A3173" w:rsidRDefault="00945619" w:rsidP="005A3173">
          <w:pPr>
            <w:pStyle w:val="Header"/>
            <w:spacing w:line="276" w:lineRule="auto"/>
            <w:rPr>
              <w:rFonts w:ascii="Calibri" w:eastAsia="MS Gothic" w:hAnsi="Calibri"/>
              <w:b/>
              <w:bCs/>
              <w:color w:val="4F81BD"/>
            </w:rPr>
          </w:pPr>
        </w:p>
      </w:tc>
    </w:tr>
    <w:tr w:rsidR="00945619" w:rsidTr="005A3173">
      <w:trPr>
        <w:trHeight w:val="150"/>
      </w:trPr>
      <w:tc>
        <w:tcPr>
          <w:tcW w:w="2250" w:type="pct"/>
          <w:tcBorders>
            <w:top w:val="single" w:sz="4" w:space="0" w:color="4F81BD"/>
            <w:left w:val="nil"/>
            <w:bottom w:val="nil"/>
            <w:right w:val="nil"/>
          </w:tcBorders>
        </w:tcPr>
        <w:p w:rsidR="00945619" w:rsidRPr="005A3173" w:rsidRDefault="00945619" w:rsidP="005A3173">
          <w:pPr>
            <w:pStyle w:val="Header"/>
            <w:spacing w:line="276" w:lineRule="auto"/>
            <w:rPr>
              <w:rFonts w:ascii="Calibri" w:eastAsia="MS Gothic" w:hAnsi="Calibri"/>
              <w:b/>
              <w:bCs/>
              <w:color w:val="4F81BD"/>
            </w:rPr>
          </w:pPr>
        </w:p>
      </w:tc>
      <w:tc>
        <w:tcPr>
          <w:tcW w:w="0" w:type="auto"/>
          <w:vMerge/>
          <w:vAlign w:val="center"/>
          <w:hideMark/>
        </w:tcPr>
        <w:p w:rsidR="00945619" w:rsidRPr="005A3173" w:rsidRDefault="009456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45619" w:rsidRPr="005A3173" w:rsidRDefault="00945619" w:rsidP="005A3173">
          <w:pPr>
            <w:pStyle w:val="Header"/>
            <w:spacing w:line="276" w:lineRule="auto"/>
            <w:rPr>
              <w:rFonts w:ascii="Calibri" w:eastAsia="MS Gothic" w:hAnsi="Calibri"/>
              <w:b/>
              <w:bCs/>
              <w:color w:val="4F81BD"/>
            </w:rPr>
          </w:pPr>
        </w:p>
      </w:tc>
    </w:tr>
  </w:tbl>
  <w:p w:rsidR="00945619" w:rsidRDefault="0094561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619" w:rsidRDefault="00945619">
    <w:pPr>
      <w:pStyle w:val="Footer"/>
    </w:pPr>
  </w:p>
  <w:p w:rsidR="00945619" w:rsidRDefault="009456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945619" w:rsidRPr="00696486" w:rsidRDefault="00696486" w:rsidP="00696486">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FA7508">
          <w:rPr>
            <w:rFonts w:ascii="Arial Narrow" w:hAnsi="Arial Narrow"/>
            <w:noProof/>
            <w:sz w:val="20"/>
            <w:szCs w:val="20"/>
          </w:rPr>
          <w:t>9</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45619" w:rsidTr="005A3173">
      <w:trPr>
        <w:trHeight w:val="151"/>
      </w:trPr>
      <w:tc>
        <w:tcPr>
          <w:tcW w:w="2250" w:type="pct"/>
          <w:tcBorders>
            <w:top w:val="nil"/>
            <w:left w:val="nil"/>
            <w:bottom w:val="single" w:sz="4" w:space="0" w:color="4F81BD"/>
            <w:right w:val="nil"/>
          </w:tcBorders>
        </w:tcPr>
        <w:p w:rsidR="00945619" w:rsidRPr="005A3173" w:rsidRDefault="009456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45619" w:rsidRPr="005A3173" w:rsidRDefault="009456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45619" w:rsidRPr="005A3173" w:rsidRDefault="00945619" w:rsidP="005A3173">
          <w:pPr>
            <w:pStyle w:val="Header"/>
            <w:spacing w:line="276" w:lineRule="auto"/>
            <w:rPr>
              <w:rFonts w:ascii="Calibri" w:eastAsia="MS Gothic" w:hAnsi="Calibri"/>
              <w:b/>
              <w:bCs/>
              <w:color w:val="4F81BD"/>
            </w:rPr>
          </w:pPr>
        </w:p>
      </w:tc>
    </w:tr>
    <w:tr w:rsidR="00945619" w:rsidTr="005A3173">
      <w:trPr>
        <w:trHeight w:val="150"/>
      </w:trPr>
      <w:tc>
        <w:tcPr>
          <w:tcW w:w="2250" w:type="pct"/>
          <w:tcBorders>
            <w:top w:val="single" w:sz="4" w:space="0" w:color="4F81BD"/>
            <w:left w:val="nil"/>
            <w:bottom w:val="nil"/>
            <w:right w:val="nil"/>
          </w:tcBorders>
        </w:tcPr>
        <w:p w:rsidR="00945619" w:rsidRPr="005A3173" w:rsidRDefault="00945619" w:rsidP="005A3173">
          <w:pPr>
            <w:pStyle w:val="Header"/>
            <w:spacing w:line="276" w:lineRule="auto"/>
            <w:rPr>
              <w:rFonts w:ascii="Calibri" w:eastAsia="MS Gothic" w:hAnsi="Calibri"/>
              <w:b/>
              <w:bCs/>
              <w:color w:val="4F81BD"/>
            </w:rPr>
          </w:pPr>
        </w:p>
      </w:tc>
      <w:tc>
        <w:tcPr>
          <w:tcW w:w="0" w:type="auto"/>
          <w:vMerge/>
          <w:vAlign w:val="center"/>
          <w:hideMark/>
        </w:tcPr>
        <w:p w:rsidR="00945619" w:rsidRPr="005A3173" w:rsidRDefault="009456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45619" w:rsidRPr="005A3173" w:rsidRDefault="0094561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45619" w:rsidTr="005A3173">
      <w:trPr>
        <w:trHeight w:val="151"/>
      </w:trPr>
      <w:tc>
        <w:tcPr>
          <w:tcW w:w="2250" w:type="pct"/>
          <w:tcBorders>
            <w:top w:val="nil"/>
            <w:left w:val="nil"/>
            <w:bottom w:val="single" w:sz="4" w:space="0" w:color="4F81BD"/>
            <w:right w:val="nil"/>
          </w:tcBorders>
        </w:tcPr>
        <w:p w:rsidR="00945619" w:rsidRPr="005A3173" w:rsidRDefault="009456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45619" w:rsidRPr="005A3173" w:rsidRDefault="009456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45619" w:rsidRPr="005A3173" w:rsidRDefault="00945619" w:rsidP="005A3173">
          <w:pPr>
            <w:pStyle w:val="Header"/>
            <w:spacing w:line="276" w:lineRule="auto"/>
            <w:rPr>
              <w:rFonts w:ascii="Calibri" w:eastAsia="MS Gothic" w:hAnsi="Calibri"/>
              <w:b/>
              <w:bCs/>
              <w:color w:val="4F81BD"/>
            </w:rPr>
          </w:pPr>
        </w:p>
      </w:tc>
    </w:tr>
    <w:tr w:rsidR="00945619" w:rsidTr="005A3173">
      <w:trPr>
        <w:trHeight w:val="150"/>
      </w:trPr>
      <w:tc>
        <w:tcPr>
          <w:tcW w:w="2250" w:type="pct"/>
          <w:tcBorders>
            <w:top w:val="single" w:sz="4" w:space="0" w:color="4F81BD"/>
            <w:left w:val="nil"/>
            <w:bottom w:val="nil"/>
            <w:right w:val="nil"/>
          </w:tcBorders>
        </w:tcPr>
        <w:p w:rsidR="00945619" w:rsidRPr="005A3173" w:rsidRDefault="00945619" w:rsidP="005A3173">
          <w:pPr>
            <w:pStyle w:val="Header"/>
            <w:spacing w:line="276" w:lineRule="auto"/>
            <w:rPr>
              <w:rFonts w:ascii="Calibri" w:eastAsia="MS Gothic" w:hAnsi="Calibri"/>
              <w:b/>
              <w:bCs/>
              <w:color w:val="4F81BD"/>
            </w:rPr>
          </w:pPr>
        </w:p>
      </w:tc>
      <w:tc>
        <w:tcPr>
          <w:tcW w:w="0" w:type="auto"/>
          <w:vMerge/>
          <w:vAlign w:val="center"/>
          <w:hideMark/>
        </w:tcPr>
        <w:p w:rsidR="00945619" w:rsidRPr="005A3173" w:rsidRDefault="009456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945619" w:rsidRPr="005A3173" w:rsidRDefault="00945619" w:rsidP="005A3173">
          <w:pPr>
            <w:pStyle w:val="Header"/>
            <w:spacing w:line="276" w:lineRule="auto"/>
            <w:rPr>
              <w:rFonts w:ascii="Calibri" w:eastAsia="MS Gothic" w:hAnsi="Calibri"/>
              <w:b/>
              <w:bCs/>
              <w:color w:val="4F81BD"/>
            </w:rPr>
          </w:pPr>
        </w:p>
      </w:tc>
    </w:tr>
  </w:tbl>
  <w:p w:rsidR="00945619" w:rsidRPr="007C0F57" w:rsidRDefault="0094561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45619" w:rsidRPr="007C0F57" w:rsidRDefault="00945619" w:rsidP="007C0F57">
    <w:pPr>
      <w:pStyle w:val="Footer"/>
      <w:jc w:val="center"/>
      <w:rPr>
        <w:b/>
        <w:i/>
        <w:sz w:val="20"/>
        <w:szCs w:val="20"/>
      </w:rPr>
    </w:pPr>
    <w:r w:rsidRPr="007C0F57">
      <w:rPr>
        <w:b/>
        <w:i/>
        <w:sz w:val="20"/>
        <w:szCs w:val="20"/>
      </w:rPr>
      <w:t>Commercial-in-Confidence</w:t>
    </w:r>
  </w:p>
  <w:p w:rsidR="00945619" w:rsidRDefault="009456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61" w:rsidRDefault="00363061">
      <w:r>
        <w:separator/>
      </w:r>
    </w:p>
    <w:p w:rsidR="00363061" w:rsidRDefault="00363061"/>
  </w:footnote>
  <w:footnote w:type="continuationSeparator" w:id="0">
    <w:p w:rsidR="00363061" w:rsidRDefault="00363061">
      <w:r>
        <w:continuationSeparator/>
      </w:r>
    </w:p>
    <w:p w:rsidR="00363061" w:rsidRDefault="003630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45619" w:rsidRPr="008E0D90" w:rsidTr="00A06225">
      <w:trPr>
        <w:trHeight w:val="151"/>
      </w:trPr>
      <w:tc>
        <w:tcPr>
          <w:tcW w:w="2389" w:type="pct"/>
          <w:tcBorders>
            <w:top w:val="nil"/>
            <w:left w:val="nil"/>
            <w:bottom w:val="single" w:sz="4" w:space="0" w:color="4F81BD"/>
            <w:right w:val="nil"/>
          </w:tcBorders>
        </w:tcPr>
        <w:p w:rsidR="00945619" w:rsidRPr="00A06225" w:rsidRDefault="00945619">
          <w:pPr>
            <w:pStyle w:val="Header"/>
            <w:spacing w:line="276" w:lineRule="auto"/>
            <w:rPr>
              <w:rFonts w:ascii="Cambria" w:eastAsia="MS Gothic" w:hAnsi="Cambria"/>
              <w:b/>
              <w:bCs/>
              <w:color w:val="4F81BD"/>
            </w:rPr>
          </w:pPr>
        </w:p>
      </w:tc>
      <w:tc>
        <w:tcPr>
          <w:tcW w:w="333" w:type="pct"/>
          <w:vMerge w:val="restart"/>
          <w:noWrap/>
          <w:vAlign w:val="center"/>
          <w:hideMark/>
        </w:tcPr>
        <w:p w:rsidR="00945619" w:rsidRPr="00A06225" w:rsidRDefault="0094561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45619" w:rsidRPr="00A06225" w:rsidRDefault="00945619">
          <w:pPr>
            <w:pStyle w:val="Header"/>
            <w:spacing w:line="276" w:lineRule="auto"/>
            <w:rPr>
              <w:rFonts w:ascii="Cambria" w:eastAsia="MS Gothic" w:hAnsi="Cambria"/>
              <w:b/>
              <w:bCs/>
              <w:color w:val="4F81BD"/>
            </w:rPr>
          </w:pPr>
        </w:p>
      </w:tc>
    </w:tr>
    <w:tr w:rsidR="00945619" w:rsidRPr="008E0D90" w:rsidTr="00A06225">
      <w:trPr>
        <w:trHeight w:val="150"/>
      </w:trPr>
      <w:tc>
        <w:tcPr>
          <w:tcW w:w="2389" w:type="pct"/>
          <w:tcBorders>
            <w:top w:val="single" w:sz="4" w:space="0" w:color="4F81BD"/>
            <w:left w:val="nil"/>
            <w:bottom w:val="nil"/>
            <w:right w:val="nil"/>
          </w:tcBorders>
        </w:tcPr>
        <w:p w:rsidR="00945619" w:rsidRPr="00A06225" w:rsidRDefault="00945619">
          <w:pPr>
            <w:pStyle w:val="Header"/>
            <w:spacing w:line="276" w:lineRule="auto"/>
            <w:rPr>
              <w:rFonts w:ascii="Cambria" w:eastAsia="MS Gothic" w:hAnsi="Cambria"/>
              <w:b/>
              <w:bCs/>
              <w:color w:val="4F81BD"/>
            </w:rPr>
          </w:pPr>
        </w:p>
      </w:tc>
      <w:tc>
        <w:tcPr>
          <w:tcW w:w="0" w:type="auto"/>
          <w:vMerge/>
          <w:vAlign w:val="center"/>
          <w:hideMark/>
        </w:tcPr>
        <w:p w:rsidR="00945619" w:rsidRPr="00A06225" w:rsidRDefault="00945619">
          <w:pPr>
            <w:rPr>
              <w:rFonts w:ascii="Cambria" w:hAnsi="Cambria"/>
              <w:color w:val="4F81BD"/>
              <w:sz w:val="22"/>
              <w:szCs w:val="22"/>
            </w:rPr>
          </w:pPr>
        </w:p>
      </w:tc>
      <w:tc>
        <w:tcPr>
          <w:tcW w:w="2278" w:type="pct"/>
          <w:tcBorders>
            <w:top w:val="single" w:sz="4" w:space="0" w:color="4F81BD"/>
            <w:left w:val="nil"/>
            <w:bottom w:val="nil"/>
            <w:right w:val="nil"/>
          </w:tcBorders>
        </w:tcPr>
        <w:p w:rsidR="00945619" w:rsidRPr="00A06225" w:rsidRDefault="00945619">
          <w:pPr>
            <w:pStyle w:val="Header"/>
            <w:spacing w:line="276" w:lineRule="auto"/>
            <w:rPr>
              <w:rFonts w:ascii="Cambria" w:eastAsia="MS Gothic" w:hAnsi="Cambria"/>
              <w:b/>
              <w:bCs/>
              <w:color w:val="4F81BD"/>
            </w:rPr>
          </w:pPr>
        </w:p>
      </w:tc>
    </w:tr>
  </w:tbl>
  <w:p w:rsidR="00945619" w:rsidRDefault="00945619">
    <w:pPr>
      <w:pStyle w:val="Header"/>
    </w:pPr>
  </w:p>
  <w:p w:rsidR="00945619" w:rsidRDefault="009456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9EC" w:rsidRPr="00BE15D7" w:rsidRDefault="007869EC" w:rsidP="007869EC">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E05C0D" w:rsidRPr="00696486" w:rsidRDefault="00E05C0D" w:rsidP="00696486">
    <w:pPr>
      <w:pStyle w:val="Header"/>
      <w:ind w:left="360"/>
      <w:jc w:val="cente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611686"/>
    <w:multiLevelType w:val="hybridMultilevel"/>
    <w:tmpl w:val="664E48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2F72AD90"/>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5"/>
  </w:num>
  <w:num w:numId="3">
    <w:abstractNumId w:val="20"/>
  </w:num>
  <w:num w:numId="4">
    <w:abstractNumId w:val="0"/>
  </w:num>
  <w:num w:numId="5">
    <w:abstractNumId w:val="6"/>
  </w:num>
  <w:num w:numId="6">
    <w:abstractNumId w:val="19"/>
  </w:num>
  <w:num w:numId="7">
    <w:abstractNumId w:val="16"/>
  </w:num>
  <w:num w:numId="8">
    <w:abstractNumId w:val="5"/>
  </w:num>
  <w:num w:numId="9">
    <w:abstractNumId w:val="8"/>
  </w:num>
  <w:num w:numId="10">
    <w:abstractNumId w:val="33"/>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6"/>
  </w:num>
  <w:num w:numId="15">
    <w:abstractNumId w:val="27"/>
  </w:num>
  <w:num w:numId="16">
    <w:abstractNumId w:val="23"/>
  </w:num>
  <w:num w:numId="17">
    <w:abstractNumId w:val="38"/>
  </w:num>
  <w:num w:numId="18">
    <w:abstractNumId w:val="13"/>
  </w:num>
  <w:num w:numId="19">
    <w:abstractNumId w:val="18"/>
  </w:num>
  <w:num w:numId="20">
    <w:abstractNumId w:val="4"/>
  </w:num>
  <w:num w:numId="21">
    <w:abstractNumId w:val="30"/>
  </w:num>
  <w:num w:numId="22">
    <w:abstractNumId w:val="34"/>
  </w:num>
  <w:num w:numId="23">
    <w:abstractNumId w:val="40"/>
  </w:num>
  <w:num w:numId="24">
    <w:abstractNumId w:val="15"/>
  </w:num>
  <w:num w:numId="25">
    <w:abstractNumId w:val="39"/>
  </w:num>
  <w:num w:numId="26">
    <w:abstractNumId w:val="28"/>
  </w:num>
  <w:num w:numId="27">
    <w:abstractNumId w:val="12"/>
  </w:num>
  <w:num w:numId="28">
    <w:abstractNumId w:val="7"/>
  </w:num>
  <w:num w:numId="29">
    <w:abstractNumId w:val="25"/>
  </w:num>
  <w:num w:numId="30">
    <w:abstractNumId w:val="3"/>
  </w:num>
  <w:num w:numId="31">
    <w:abstractNumId w:val="26"/>
  </w:num>
  <w:num w:numId="32">
    <w:abstractNumId w:val="37"/>
  </w:num>
  <w:num w:numId="33">
    <w:abstractNumId w:val="24"/>
  </w:num>
  <w:num w:numId="34">
    <w:abstractNumId w:val="41"/>
  </w:num>
  <w:num w:numId="35">
    <w:abstractNumId w:val="11"/>
  </w:num>
  <w:num w:numId="36">
    <w:abstractNumId w:val="22"/>
  </w:num>
  <w:num w:numId="37">
    <w:abstractNumId w:val="29"/>
  </w:num>
  <w:num w:numId="38">
    <w:abstractNumId w:val="9"/>
  </w:num>
  <w:num w:numId="39">
    <w:abstractNumId w:val="17"/>
  </w:num>
  <w:num w:numId="40">
    <w:abstractNumId w:val="1"/>
  </w:num>
  <w:num w:numId="41">
    <w:abstractNumId w:val="14"/>
  </w:num>
  <w:num w:numId="42">
    <w:abstractNumId w:val="32"/>
  </w:num>
  <w:num w:numId="43">
    <w:abstractNumId w:val="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5671"/>
    <w:rsid w:val="00020C50"/>
    <w:rsid w:val="0002464A"/>
    <w:rsid w:val="0003106B"/>
    <w:rsid w:val="000421A1"/>
    <w:rsid w:val="0004240E"/>
    <w:rsid w:val="00045E26"/>
    <w:rsid w:val="000514B5"/>
    <w:rsid w:val="00060E64"/>
    <w:rsid w:val="00066755"/>
    <w:rsid w:val="000717A2"/>
    <w:rsid w:val="000833A0"/>
    <w:rsid w:val="000839FF"/>
    <w:rsid w:val="000969AD"/>
    <w:rsid w:val="000B558D"/>
    <w:rsid w:val="000C6996"/>
    <w:rsid w:val="000D23BA"/>
    <w:rsid w:val="000E681E"/>
    <w:rsid w:val="000F4E6A"/>
    <w:rsid w:val="000F7EA3"/>
    <w:rsid w:val="00106EDD"/>
    <w:rsid w:val="001107BF"/>
    <w:rsid w:val="001166A7"/>
    <w:rsid w:val="0012417C"/>
    <w:rsid w:val="00142395"/>
    <w:rsid w:val="00142714"/>
    <w:rsid w:val="001452ED"/>
    <w:rsid w:val="00174EA8"/>
    <w:rsid w:val="00180FD2"/>
    <w:rsid w:val="001830CE"/>
    <w:rsid w:val="00196307"/>
    <w:rsid w:val="001B017F"/>
    <w:rsid w:val="001B1873"/>
    <w:rsid w:val="001B452A"/>
    <w:rsid w:val="001B5129"/>
    <w:rsid w:val="001C1195"/>
    <w:rsid w:val="001E3494"/>
    <w:rsid w:val="001F66B7"/>
    <w:rsid w:val="001F6741"/>
    <w:rsid w:val="002034B9"/>
    <w:rsid w:val="00213CFB"/>
    <w:rsid w:val="00271BA1"/>
    <w:rsid w:val="00274479"/>
    <w:rsid w:val="002760E9"/>
    <w:rsid w:val="00277505"/>
    <w:rsid w:val="0029458F"/>
    <w:rsid w:val="002A104C"/>
    <w:rsid w:val="002A4960"/>
    <w:rsid w:val="002B1AE6"/>
    <w:rsid w:val="002B30F8"/>
    <w:rsid w:val="002C212F"/>
    <w:rsid w:val="002D06A1"/>
    <w:rsid w:val="002E3153"/>
    <w:rsid w:val="002E4B0F"/>
    <w:rsid w:val="002E72CA"/>
    <w:rsid w:val="00315B5D"/>
    <w:rsid w:val="00326E79"/>
    <w:rsid w:val="003367EF"/>
    <w:rsid w:val="00341AE4"/>
    <w:rsid w:val="00355C44"/>
    <w:rsid w:val="00363061"/>
    <w:rsid w:val="00366657"/>
    <w:rsid w:val="00385557"/>
    <w:rsid w:val="003872CF"/>
    <w:rsid w:val="0039782C"/>
    <w:rsid w:val="003A5B4A"/>
    <w:rsid w:val="003B23C5"/>
    <w:rsid w:val="003B2A75"/>
    <w:rsid w:val="003D4AC4"/>
    <w:rsid w:val="003D63B7"/>
    <w:rsid w:val="003D6946"/>
    <w:rsid w:val="003E468B"/>
    <w:rsid w:val="003E76D1"/>
    <w:rsid w:val="003F11E3"/>
    <w:rsid w:val="003F5C8C"/>
    <w:rsid w:val="00410CD0"/>
    <w:rsid w:val="004149C8"/>
    <w:rsid w:val="00442D24"/>
    <w:rsid w:val="004463BD"/>
    <w:rsid w:val="004465BD"/>
    <w:rsid w:val="00455B73"/>
    <w:rsid w:val="00466ADA"/>
    <w:rsid w:val="004751E7"/>
    <w:rsid w:val="00476245"/>
    <w:rsid w:val="00485940"/>
    <w:rsid w:val="004A1FB6"/>
    <w:rsid w:val="004A5A85"/>
    <w:rsid w:val="004B06F2"/>
    <w:rsid w:val="004B5640"/>
    <w:rsid w:val="004B5BD6"/>
    <w:rsid w:val="004C1BD7"/>
    <w:rsid w:val="004C691D"/>
    <w:rsid w:val="004E2FF1"/>
    <w:rsid w:val="004E692D"/>
    <w:rsid w:val="00501554"/>
    <w:rsid w:val="00514CD7"/>
    <w:rsid w:val="00524D1A"/>
    <w:rsid w:val="005277B2"/>
    <w:rsid w:val="00530A2E"/>
    <w:rsid w:val="005319B2"/>
    <w:rsid w:val="00532C74"/>
    <w:rsid w:val="00534E2E"/>
    <w:rsid w:val="005376E7"/>
    <w:rsid w:val="005421C3"/>
    <w:rsid w:val="00544552"/>
    <w:rsid w:val="00581932"/>
    <w:rsid w:val="0059098C"/>
    <w:rsid w:val="005963BB"/>
    <w:rsid w:val="005A3173"/>
    <w:rsid w:val="005A3223"/>
    <w:rsid w:val="005A3DA3"/>
    <w:rsid w:val="005A3F45"/>
    <w:rsid w:val="005A52C4"/>
    <w:rsid w:val="005C0604"/>
    <w:rsid w:val="005D03AB"/>
    <w:rsid w:val="005D1F6E"/>
    <w:rsid w:val="005D5017"/>
    <w:rsid w:val="005D53E0"/>
    <w:rsid w:val="00601A91"/>
    <w:rsid w:val="00602BA3"/>
    <w:rsid w:val="00603DCB"/>
    <w:rsid w:val="00614159"/>
    <w:rsid w:val="006146C7"/>
    <w:rsid w:val="00617C00"/>
    <w:rsid w:val="006263BF"/>
    <w:rsid w:val="0062748A"/>
    <w:rsid w:val="00630A2C"/>
    <w:rsid w:val="00651169"/>
    <w:rsid w:val="00653080"/>
    <w:rsid w:val="00653D69"/>
    <w:rsid w:val="0066050F"/>
    <w:rsid w:val="0066493E"/>
    <w:rsid w:val="00670A76"/>
    <w:rsid w:val="006711AA"/>
    <w:rsid w:val="00672B57"/>
    <w:rsid w:val="00675622"/>
    <w:rsid w:val="006906DB"/>
    <w:rsid w:val="00696486"/>
    <w:rsid w:val="006A12A5"/>
    <w:rsid w:val="006B0D94"/>
    <w:rsid w:val="006B485D"/>
    <w:rsid w:val="006C708E"/>
    <w:rsid w:val="006D6EC7"/>
    <w:rsid w:val="006E4787"/>
    <w:rsid w:val="006F5125"/>
    <w:rsid w:val="00715EC9"/>
    <w:rsid w:val="007174BB"/>
    <w:rsid w:val="00736F0D"/>
    <w:rsid w:val="00736F8B"/>
    <w:rsid w:val="007557C0"/>
    <w:rsid w:val="00762733"/>
    <w:rsid w:val="0076420C"/>
    <w:rsid w:val="00765375"/>
    <w:rsid w:val="00767EAA"/>
    <w:rsid w:val="007753C2"/>
    <w:rsid w:val="007838B8"/>
    <w:rsid w:val="007869EC"/>
    <w:rsid w:val="007A029A"/>
    <w:rsid w:val="007C0F57"/>
    <w:rsid w:val="007C3FC2"/>
    <w:rsid w:val="007C40B6"/>
    <w:rsid w:val="007C729F"/>
    <w:rsid w:val="007D2DBF"/>
    <w:rsid w:val="007E1D28"/>
    <w:rsid w:val="007F0968"/>
    <w:rsid w:val="007F2641"/>
    <w:rsid w:val="007F6906"/>
    <w:rsid w:val="007F7C36"/>
    <w:rsid w:val="00806796"/>
    <w:rsid w:val="00826F6D"/>
    <w:rsid w:val="00837305"/>
    <w:rsid w:val="00847661"/>
    <w:rsid w:val="00856DDD"/>
    <w:rsid w:val="00861865"/>
    <w:rsid w:val="00863370"/>
    <w:rsid w:val="00863E68"/>
    <w:rsid w:val="008651DA"/>
    <w:rsid w:val="00882085"/>
    <w:rsid w:val="00883188"/>
    <w:rsid w:val="00890252"/>
    <w:rsid w:val="00897D58"/>
    <w:rsid w:val="008A1956"/>
    <w:rsid w:val="008A4937"/>
    <w:rsid w:val="008A71C2"/>
    <w:rsid w:val="008D3C82"/>
    <w:rsid w:val="008D447E"/>
    <w:rsid w:val="008D7A41"/>
    <w:rsid w:val="008E3680"/>
    <w:rsid w:val="008E5870"/>
    <w:rsid w:val="008F1434"/>
    <w:rsid w:val="008F7355"/>
    <w:rsid w:val="009067B7"/>
    <w:rsid w:val="00912FF2"/>
    <w:rsid w:val="00916F8A"/>
    <w:rsid w:val="00930937"/>
    <w:rsid w:val="00933E6C"/>
    <w:rsid w:val="00942160"/>
    <w:rsid w:val="00945619"/>
    <w:rsid w:val="009525EF"/>
    <w:rsid w:val="009602C5"/>
    <w:rsid w:val="0097028F"/>
    <w:rsid w:val="00974C21"/>
    <w:rsid w:val="009A06D5"/>
    <w:rsid w:val="009B0F67"/>
    <w:rsid w:val="009C2D84"/>
    <w:rsid w:val="009C43D4"/>
    <w:rsid w:val="009C703C"/>
    <w:rsid w:val="009D3CAA"/>
    <w:rsid w:val="009F4E46"/>
    <w:rsid w:val="009F5B65"/>
    <w:rsid w:val="009F5F2E"/>
    <w:rsid w:val="009F65AF"/>
    <w:rsid w:val="00A055A5"/>
    <w:rsid w:val="00A06225"/>
    <w:rsid w:val="00A128E6"/>
    <w:rsid w:val="00A16367"/>
    <w:rsid w:val="00A37C8D"/>
    <w:rsid w:val="00A40F5F"/>
    <w:rsid w:val="00A5273B"/>
    <w:rsid w:val="00A53A9D"/>
    <w:rsid w:val="00A55FEE"/>
    <w:rsid w:val="00A62A12"/>
    <w:rsid w:val="00A62C1A"/>
    <w:rsid w:val="00A6426D"/>
    <w:rsid w:val="00A70622"/>
    <w:rsid w:val="00A70977"/>
    <w:rsid w:val="00A8390C"/>
    <w:rsid w:val="00A928BD"/>
    <w:rsid w:val="00AA1C16"/>
    <w:rsid w:val="00AA4D1C"/>
    <w:rsid w:val="00AB15D7"/>
    <w:rsid w:val="00AB2A34"/>
    <w:rsid w:val="00AB4052"/>
    <w:rsid w:val="00AC35B4"/>
    <w:rsid w:val="00AC5206"/>
    <w:rsid w:val="00AE11A5"/>
    <w:rsid w:val="00AE13E2"/>
    <w:rsid w:val="00AE57F8"/>
    <w:rsid w:val="00AE6389"/>
    <w:rsid w:val="00AF68CC"/>
    <w:rsid w:val="00B205AA"/>
    <w:rsid w:val="00B22E84"/>
    <w:rsid w:val="00B25F75"/>
    <w:rsid w:val="00B31B9E"/>
    <w:rsid w:val="00B43E90"/>
    <w:rsid w:val="00B467DC"/>
    <w:rsid w:val="00B56118"/>
    <w:rsid w:val="00B6773F"/>
    <w:rsid w:val="00B74ED4"/>
    <w:rsid w:val="00B801BA"/>
    <w:rsid w:val="00B81841"/>
    <w:rsid w:val="00BA7822"/>
    <w:rsid w:val="00BB69F5"/>
    <w:rsid w:val="00BB7EC3"/>
    <w:rsid w:val="00BC4B9A"/>
    <w:rsid w:val="00BD5C50"/>
    <w:rsid w:val="00BD784C"/>
    <w:rsid w:val="00BF17EC"/>
    <w:rsid w:val="00BF4CB6"/>
    <w:rsid w:val="00C00DA7"/>
    <w:rsid w:val="00C12768"/>
    <w:rsid w:val="00C27B58"/>
    <w:rsid w:val="00C35996"/>
    <w:rsid w:val="00C5342C"/>
    <w:rsid w:val="00C55CBA"/>
    <w:rsid w:val="00C608E8"/>
    <w:rsid w:val="00C6256A"/>
    <w:rsid w:val="00C7111E"/>
    <w:rsid w:val="00C76BBE"/>
    <w:rsid w:val="00C91449"/>
    <w:rsid w:val="00C92D10"/>
    <w:rsid w:val="00CD7B04"/>
    <w:rsid w:val="00CE10C4"/>
    <w:rsid w:val="00CE27B5"/>
    <w:rsid w:val="00D0321E"/>
    <w:rsid w:val="00D050C2"/>
    <w:rsid w:val="00D11E36"/>
    <w:rsid w:val="00D13033"/>
    <w:rsid w:val="00D1455A"/>
    <w:rsid w:val="00D3280C"/>
    <w:rsid w:val="00D3406A"/>
    <w:rsid w:val="00D44EE9"/>
    <w:rsid w:val="00D469B2"/>
    <w:rsid w:val="00D741EB"/>
    <w:rsid w:val="00D75C0F"/>
    <w:rsid w:val="00D84934"/>
    <w:rsid w:val="00D91271"/>
    <w:rsid w:val="00DA2CB5"/>
    <w:rsid w:val="00DA4BAC"/>
    <w:rsid w:val="00DE6D27"/>
    <w:rsid w:val="00DF217D"/>
    <w:rsid w:val="00DF26A7"/>
    <w:rsid w:val="00DF337C"/>
    <w:rsid w:val="00E05C0D"/>
    <w:rsid w:val="00E164B3"/>
    <w:rsid w:val="00E16910"/>
    <w:rsid w:val="00E347D8"/>
    <w:rsid w:val="00E35172"/>
    <w:rsid w:val="00E54CEA"/>
    <w:rsid w:val="00E65E54"/>
    <w:rsid w:val="00E732E6"/>
    <w:rsid w:val="00E80155"/>
    <w:rsid w:val="00E813E7"/>
    <w:rsid w:val="00E848C0"/>
    <w:rsid w:val="00E90F3B"/>
    <w:rsid w:val="00E91B96"/>
    <w:rsid w:val="00E941A1"/>
    <w:rsid w:val="00E95CE3"/>
    <w:rsid w:val="00EA2825"/>
    <w:rsid w:val="00EB02F3"/>
    <w:rsid w:val="00EB5088"/>
    <w:rsid w:val="00EC65A0"/>
    <w:rsid w:val="00ED1644"/>
    <w:rsid w:val="00EE2893"/>
    <w:rsid w:val="00EF44A0"/>
    <w:rsid w:val="00EF4FED"/>
    <w:rsid w:val="00F050BD"/>
    <w:rsid w:val="00F05657"/>
    <w:rsid w:val="00F201A7"/>
    <w:rsid w:val="00F25578"/>
    <w:rsid w:val="00F258E5"/>
    <w:rsid w:val="00F25CF1"/>
    <w:rsid w:val="00F300BC"/>
    <w:rsid w:val="00F3334E"/>
    <w:rsid w:val="00F3613B"/>
    <w:rsid w:val="00F4092F"/>
    <w:rsid w:val="00F4731E"/>
    <w:rsid w:val="00F50EC4"/>
    <w:rsid w:val="00F55C46"/>
    <w:rsid w:val="00F57A6D"/>
    <w:rsid w:val="00F638CC"/>
    <w:rsid w:val="00F64CC1"/>
    <w:rsid w:val="00F77D98"/>
    <w:rsid w:val="00F8247A"/>
    <w:rsid w:val="00F878F4"/>
    <w:rsid w:val="00F9629A"/>
    <w:rsid w:val="00FA5883"/>
    <w:rsid w:val="00FA6055"/>
    <w:rsid w:val="00FA7508"/>
    <w:rsid w:val="00FA7E04"/>
    <w:rsid w:val="00FB322F"/>
    <w:rsid w:val="00FB3752"/>
    <w:rsid w:val="00FB3F43"/>
    <w:rsid w:val="00FB442F"/>
    <w:rsid w:val="00FC1929"/>
    <w:rsid w:val="00FC4A8E"/>
    <w:rsid w:val="00FC5B46"/>
    <w:rsid w:val="00FD4683"/>
    <w:rsid w:val="00FD4C7F"/>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62733"/>
    <w:rPr>
      <w:sz w:val="24"/>
      <w:szCs w:val="24"/>
    </w:rPr>
  </w:style>
  <w:style w:type="paragraph" w:styleId="Heading1">
    <w:name w:val="heading 1"/>
    <w:basedOn w:val="ListParagraph"/>
    <w:next w:val="Normal"/>
    <w:qFormat/>
    <w:rsid w:val="00FA7508"/>
    <w:pPr>
      <w:numPr>
        <w:numId w:val="25"/>
      </w:numPr>
      <w:jc w:val="both"/>
      <w:outlineLvl w:val="0"/>
    </w:pPr>
    <w:rPr>
      <w:rFonts w:ascii="Arial" w:hAnsi="Arial"/>
      <w:b/>
      <w:sz w:val="22"/>
      <w:szCs w:val="22"/>
    </w:rPr>
  </w:style>
  <w:style w:type="paragraph" w:styleId="Heading2">
    <w:name w:val="heading 2"/>
    <w:basedOn w:val="Normal"/>
    <w:next w:val="Normal"/>
    <w:qFormat/>
    <w:rsid w:val="00FA7508"/>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
    <w:name w:val="Table"/>
    <w:basedOn w:val="Normal"/>
    <w:link w:val="TableChar"/>
    <w:qFormat/>
    <w:rsid w:val="00F201A7"/>
    <w:pPr>
      <w:jc w:val="both"/>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F201A7"/>
    <w:rPr>
      <w:rFonts w:ascii="Candara" w:eastAsiaTheme="majorEastAsia" w:hAnsi="Candara" w:cstheme="majorBidi"/>
      <w:szCs w:val="22"/>
      <w:lang w:eastAsia="en-US" w:bidi="en-US"/>
    </w:rPr>
  </w:style>
  <w:style w:type="paragraph" w:customStyle="1" w:styleId="KMC-Tablecontent">
    <w:name w:val="KMC-Table content"/>
    <w:basedOn w:val="Normal"/>
    <w:link w:val="KMC-TablecontentChar"/>
    <w:qFormat/>
    <w:rsid w:val="00DF337C"/>
    <w:pPr>
      <w:spacing w:before="40" w:after="40"/>
    </w:pPr>
    <w:rPr>
      <w:rFonts w:ascii="Arial Narrow" w:hAnsi="Arial Narrow"/>
      <w:color w:val="000000"/>
      <w:sz w:val="22"/>
      <w:szCs w:val="20"/>
    </w:rPr>
  </w:style>
  <w:style w:type="character" w:customStyle="1" w:styleId="KMC-TablecontentChar">
    <w:name w:val="KMC-Table content Char"/>
    <w:basedOn w:val="DefaultParagraphFont"/>
    <w:link w:val="KMC-Tablecontent"/>
    <w:rsid w:val="00DF337C"/>
    <w:rPr>
      <w:rFonts w:ascii="Arial Narrow" w:hAnsi="Arial Narrow"/>
      <w:color w:val="000000"/>
      <w:sz w:val="22"/>
    </w:rPr>
  </w:style>
  <w:style w:type="table" w:customStyle="1" w:styleId="TableGrid1">
    <w:name w:val="Table Grid1"/>
    <w:basedOn w:val="TableNormal"/>
    <w:next w:val="TableGrid"/>
    <w:uiPriority w:val="39"/>
    <w:rsid w:val="00DF337C"/>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F4731E"/>
    <w:pPr>
      <w:ind w:left="720" w:hanging="720"/>
    </w:pPr>
    <w:rPr>
      <w:rFonts w:ascii="Arial" w:hAnsi="Arial" w:cs="Arial"/>
      <w:b/>
      <w:snapToGrid w:val="0"/>
      <w:sz w:val="22"/>
      <w:szCs w:val="22"/>
      <w:lang w:eastAsia="en-US"/>
    </w:rPr>
  </w:style>
  <w:style w:type="paragraph" w:styleId="Caption">
    <w:name w:val="caption"/>
    <w:aliases w:val="Char,Caption-FUSA,Bayer Caption Char Char Char Char,Bayer Caption Char,Bayer Caption Char Char Char,Bayer Caption Char Char,Bayer Caption"/>
    <w:basedOn w:val="ListBullet"/>
    <w:next w:val="Normal"/>
    <w:link w:val="CaptionChar"/>
    <w:uiPriority w:val="99"/>
    <w:rsid w:val="00D44EE9"/>
    <w:pPr>
      <w:keepNext/>
      <w:tabs>
        <w:tab w:val="clear" w:pos="360"/>
        <w:tab w:val="left" w:pos="567"/>
      </w:tabs>
      <w:spacing w:before="240" w:after="120" w:line="276" w:lineRule="auto"/>
      <w:ind w:left="1191" w:hanging="1191"/>
    </w:pPr>
    <w:rPr>
      <w:rFonts w:ascii="Arial" w:hAnsi="Arial"/>
      <w:b/>
      <w:color w:val="000000"/>
      <w:sz w:val="20"/>
      <w:szCs w:val="20"/>
    </w:rPr>
  </w:style>
  <w:style w:type="character" w:customStyle="1" w:styleId="CaptionChar">
    <w:name w:val="Caption Char"/>
    <w:aliases w:val="Char Char,Caption-FUSA Char,Bayer Caption Char Char Char Char Char,Bayer Caption Char Char1,Bayer Caption Char Char Char Char1,Bayer Caption Char Char Char1,Bayer Caption Char1"/>
    <w:basedOn w:val="DefaultParagraphFont"/>
    <w:link w:val="Caption"/>
    <w:uiPriority w:val="99"/>
    <w:rsid w:val="00D44EE9"/>
    <w:rPr>
      <w:rFonts w:ascii="Arial" w:hAnsi="Arial"/>
      <w:b/>
      <w:color w:val="000000"/>
    </w:rPr>
  </w:style>
  <w:style w:type="paragraph" w:customStyle="1" w:styleId="KMC-Text">
    <w:name w:val="KMC - Text"/>
    <w:basedOn w:val="Normal"/>
    <w:qFormat/>
    <w:rsid w:val="00D44EE9"/>
    <w:pPr>
      <w:spacing w:before="120" w:after="240" w:line="360" w:lineRule="auto"/>
      <w:jc w:val="both"/>
    </w:pPr>
    <w:rPr>
      <w:rFonts w:ascii="Arial" w:eastAsiaTheme="minorHAnsi" w:hAnsi="Arial" w:cstheme="minorBidi"/>
      <w:color w:val="000000" w:themeColor="text1"/>
      <w:sz w:val="22"/>
      <w:szCs w:val="22"/>
      <w:lang w:eastAsia="en-US"/>
    </w:rPr>
  </w:style>
  <w:style w:type="paragraph" w:styleId="ListBullet">
    <w:name w:val="List Bullet"/>
    <w:basedOn w:val="Normal"/>
    <w:rsid w:val="00D44EE9"/>
    <w:pPr>
      <w:tabs>
        <w:tab w:val="num" w:pos="360"/>
      </w:tabs>
      <w:ind w:left="360" w:hanging="360"/>
      <w:contextualSpacing/>
    </w:pPr>
  </w:style>
  <w:style w:type="character" w:customStyle="1" w:styleId="TabletextChar">
    <w:name w:val="Table text Char"/>
    <w:link w:val="Tabletext"/>
    <w:rsid w:val="00020C50"/>
    <w:rPr>
      <w:rFonts w:ascii="Arial" w:hAnsi="Arial"/>
      <w:lang w:eastAsia="en-US"/>
    </w:rPr>
  </w:style>
  <w:style w:type="paragraph" w:customStyle="1" w:styleId="PBACheading10">
    <w:name w:val="PBAC heading 1"/>
    <w:qFormat/>
    <w:rsid w:val="00765375"/>
    <w:pPr>
      <w:ind w:left="720" w:hanging="720"/>
    </w:pPr>
    <w:rPr>
      <w:rFonts w:ascii="Arial" w:hAnsi="Arial" w:cs="Arial"/>
      <w:snapToGrid w:val="0"/>
      <w:sz w:val="22"/>
      <w:szCs w:val="22"/>
      <w:lang w:eastAsia="en-US"/>
    </w:rPr>
  </w:style>
  <w:style w:type="paragraph" w:styleId="Title">
    <w:name w:val="Title"/>
    <w:basedOn w:val="Normal"/>
    <w:next w:val="Normal"/>
    <w:link w:val="TitleChar"/>
    <w:qFormat/>
    <w:rsid w:val="00FA7508"/>
    <w:pPr>
      <w:ind w:left="720" w:hanging="720"/>
      <w:outlineLvl w:val="0"/>
    </w:pPr>
    <w:rPr>
      <w:rFonts w:ascii="Arial" w:hAnsi="Arial"/>
      <w:b/>
      <w:sz w:val="28"/>
      <w:szCs w:val="28"/>
    </w:rPr>
  </w:style>
  <w:style w:type="character" w:customStyle="1" w:styleId="TitleChar">
    <w:name w:val="Title Char"/>
    <w:basedOn w:val="DefaultParagraphFont"/>
    <w:link w:val="Title"/>
    <w:rsid w:val="00FA7508"/>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62733"/>
    <w:rPr>
      <w:sz w:val="24"/>
      <w:szCs w:val="24"/>
    </w:rPr>
  </w:style>
  <w:style w:type="paragraph" w:styleId="Heading1">
    <w:name w:val="heading 1"/>
    <w:basedOn w:val="ListParagraph"/>
    <w:next w:val="Normal"/>
    <w:qFormat/>
    <w:rsid w:val="00FA7508"/>
    <w:pPr>
      <w:numPr>
        <w:numId w:val="25"/>
      </w:numPr>
      <w:jc w:val="both"/>
      <w:outlineLvl w:val="0"/>
    </w:pPr>
    <w:rPr>
      <w:rFonts w:ascii="Arial" w:hAnsi="Arial"/>
      <w:b/>
      <w:sz w:val="22"/>
      <w:szCs w:val="22"/>
    </w:rPr>
  </w:style>
  <w:style w:type="paragraph" w:styleId="Heading2">
    <w:name w:val="heading 2"/>
    <w:basedOn w:val="Normal"/>
    <w:next w:val="Normal"/>
    <w:qFormat/>
    <w:rsid w:val="00FA7508"/>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
    <w:name w:val="Table"/>
    <w:basedOn w:val="Normal"/>
    <w:link w:val="TableChar"/>
    <w:qFormat/>
    <w:rsid w:val="00F201A7"/>
    <w:pPr>
      <w:jc w:val="both"/>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F201A7"/>
    <w:rPr>
      <w:rFonts w:ascii="Candara" w:eastAsiaTheme="majorEastAsia" w:hAnsi="Candara" w:cstheme="majorBidi"/>
      <w:szCs w:val="22"/>
      <w:lang w:eastAsia="en-US" w:bidi="en-US"/>
    </w:rPr>
  </w:style>
  <w:style w:type="paragraph" w:customStyle="1" w:styleId="KMC-Tablecontent">
    <w:name w:val="KMC-Table content"/>
    <w:basedOn w:val="Normal"/>
    <w:link w:val="KMC-TablecontentChar"/>
    <w:qFormat/>
    <w:rsid w:val="00DF337C"/>
    <w:pPr>
      <w:spacing w:before="40" w:after="40"/>
    </w:pPr>
    <w:rPr>
      <w:rFonts w:ascii="Arial Narrow" w:hAnsi="Arial Narrow"/>
      <w:color w:val="000000"/>
      <w:sz w:val="22"/>
      <w:szCs w:val="20"/>
    </w:rPr>
  </w:style>
  <w:style w:type="character" w:customStyle="1" w:styleId="KMC-TablecontentChar">
    <w:name w:val="KMC-Table content Char"/>
    <w:basedOn w:val="DefaultParagraphFont"/>
    <w:link w:val="KMC-Tablecontent"/>
    <w:rsid w:val="00DF337C"/>
    <w:rPr>
      <w:rFonts w:ascii="Arial Narrow" w:hAnsi="Arial Narrow"/>
      <w:color w:val="000000"/>
      <w:sz w:val="22"/>
    </w:rPr>
  </w:style>
  <w:style w:type="table" w:customStyle="1" w:styleId="TableGrid1">
    <w:name w:val="Table Grid1"/>
    <w:basedOn w:val="TableNormal"/>
    <w:next w:val="TableGrid"/>
    <w:uiPriority w:val="39"/>
    <w:rsid w:val="00DF337C"/>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F4731E"/>
    <w:pPr>
      <w:ind w:left="720" w:hanging="720"/>
    </w:pPr>
    <w:rPr>
      <w:rFonts w:ascii="Arial" w:hAnsi="Arial" w:cs="Arial"/>
      <w:b/>
      <w:snapToGrid w:val="0"/>
      <w:sz w:val="22"/>
      <w:szCs w:val="22"/>
      <w:lang w:eastAsia="en-US"/>
    </w:rPr>
  </w:style>
  <w:style w:type="paragraph" w:styleId="Caption">
    <w:name w:val="caption"/>
    <w:aliases w:val="Char,Caption-FUSA,Bayer Caption Char Char Char Char,Bayer Caption Char,Bayer Caption Char Char Char,Bayer Caption Char Char,Bayer Caption"/>
    <w:basedOn w:val="ListBullet"/>
    <w:next w:val="Normal"/>
    <w:link w:val="CaptionChar"/>
    <w:uiPriority w:val="99"/>
    <w:rsid w:val="00D44EE9"/>
    <w:pPr>
      <w:keepNext/>
      <w:tabs>
        <w:tab w:val="clear" w:pos="360"/>
        <w:tab w:val="left" w:pos="567"/>
      </w:tabs>
      <w:spacing w:before="240" w:after="120" w:line="276" w:lineRule="auto"/>
      <w:ind w:left="1191" w:hanging="1191"/>
    </w:pPr>
    <w:rPr>
      <w:rFonts w:ascii="Arial" w:hAnsi="Arial"/>
      <w:b/>
      <w:color w:val="000000"/>
      <w:sz w:val="20"/>
      <w:szCs w:val="20"/>
    </w:rPr>
  </w:style>
  <w:style w:type="character" w:customStyle="1" w:styleId="CaptionChar">
    <w:name w:val="Caption Char"/>
    <w:aliases w:val="Char Char,Caption-FUSA Char,Bayer Caption Char Char Char Char Char,Bayer Caption Char Char1,Bayer Caption Char Char Char Char1,Bayer Caption Char Char Char1,Bayer Caption Char1"/>
    <w:basedOn w:val="DefaultParagraphFont"/>
    <w:link w:val="Caption"/>
    <w:uiPriority w:val="99"/>
    <w:rsid w:val="00D44EE9"/>
    <w:rPr>
      <w:rFonts w:ascii="Arial" w:hAnsi="Arial"/>
      <w:b/>
      <w:color w:val="000000"/>
    </w:rPr>
  </w:style>
  <w:style w:type="paragraph" w:customStyle="1" w:styleId="KMC-Text">
    <w:name w:val="KMC - Text"/>
    <w:basedOn w:val="Normal"/>
    <w:qFormat/>
    <w:rsid w:val="00D44EE9"/>
    <w:pPr>
      <w:spacing w:before="120" w:after="240" w:line="360" w:lineRule="auto"/>
      <w:jc w:val="both"/>
    </w:pPr>
    <w:rPr>
      <w:rFonts w:ascii="Arial" w:eastAsiaTheme="minorHAnsi" w:hAnsi="Arial" w:cstheme="minorBidi"/>
      <w:color w:val="000000" w:themeColor="text1"/>
      <w:sz w:val="22"/>
      <w:szCs w:val="22"/>
      <w:lang w:eastAsia="en-US"/>
    </w:rPr>
  </w:style>
  <w:style w:type="paragraph" w:styleId="ListBullet">
    <w:name w:val="List Bullet"/>
    <w:basedOn w:val="Normal"/>
    <w:rsid w:val="00D44EE9"/>
    <w:pPr>
      <w:tabs>
        <w:tab w:val="num" w:pos="360"/>
      </w:tabs>
      <w:ind w:left="360" w:hanging="360"/>
      <w:contextualSpacing/>
    </w:pPr>
  </w:style>
  <w:style w:type="character" w:customStyle="1" w:styleId="TabletextChar">
    <w:name w:val="Table text Char"/>
    <w:link w:val="Tabletext"/>
    <w:rsid w:val="00020C50"/>
    <w:rPr>
      <w:rFonts w:ascii="Arial" w:hAnsi="Arial"/>
      <w:lang w:eastAsia="en-US"/>
    </w:rPr>
  </w:style>
  <w:style w:type="paragraph" w:customStyle="1" w:styleId="PBACheading10">
    <w:name w:val="PBAC heading 1"/>
    <w:qFormat/>
    <w:rsid w:val="00765375"/>
    <w:pPr>
      <w:ind w:left="720" w:hanging="720"/>
    </w:pPr>
    <w:rPr>
      <w:rFonts w:ascii="Arial" w:hAnsi="Arial" w:cs="Arial"/>
      <w:snapToGrid w:val="0"/>
      <w:sz w:val="22"/>
      <w:szCs w:val="22"/>
      <w:lang w:eastAsia="en-US"/>
    </w:rPr>
  </w:style>
  <w:style w:type="paragraph" w:styleId="Title">
    <w:name w:val="Title"/>
    <w:basedOn w:val="Normal"/>
    <w:next w:val="Normal"/>
    <w:link w:val="TitleChar"/>
    <w:qFormat/>
    <w:rsid w:val="00FA7508"/>
    <w:pPr>
      <w:ind w:left="720" w:hanging="720"/>
      <w:outlineLvl w:val="0"/>
    </w:pPr>
    <w:rPr>
      <w:rFonts w:ascii="Arial" w:hAnsi="Arial"/>
      <w:b/>
      <w:sz w:val="28"/>
      <w:szCs w:val="28"/>
    </w:rPr>
  </w:style>
  <w:style w:type="character" w:customStyle="1" w:styleId="TitleChar">
    <w:name w:val="Title Char"/>
    <w:basedOn w:val="DefaultParagraphFont"/>
    <w:link w:val="Title"/>
    <w:rsid w:val="00FA7508"/>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7752397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297D18-FFF0-48BF-BD91-EF47218B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2204</Words>
  <Characters>13299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7.08 FENTANYL CITRATE</vt:lpstr>
    </vt:vector>
  </TitlesOfParts>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7.08 FENTANYL CITRATE</dc:title>
  <dc:creator/>
  <cp:lastModifiedBy/>
  <cp:revision>1</cp:revision>
  <dcterms:created xsi:type="dcterms:W3CDTF">2016-02-24T21:04:00Z</dcterms:created>
  <dcterms:modified xsi:type="dcterms:W3CDTF">2016-02-25T22:45:00Z</dcterms:modified>
</cp:coreProperties>
</file>