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01" w:rsidRPr="00413948" w:rsidRDefault="00361343" w:rsidP="00413948">
      <w:pPr>
        <w:pStyle w:val="Title"/>
      </w:pPr>
      <w:bookmarkStart w:id="0" w:name="_Toc430081380"/>
      <w:r w:rsidRPr="00413948">
        <w:t>5</w:t>
      </w:r>
      <w:r w:rsidR="00433044" w:rsidRPr="00413948">
        <w:t>.</w:t>
      </w:r>
      <w:r w:rsidR="008734DD">
        <w:t>0</w:t>
      </w:r>
      <w:bookmarkStart w:id="1" w:name="_GoBack"/>
      <w:bookmarkEnd w:id="1"/>
      <w:r w:rsidR="008734DD">
        <w:t>5</w:t>
      </w:r>
      <w:r w:rsidR="00B60939" w:rsidRPr="00413948">
        <w:tab/>
      </w:r>
      <w:r w:rsidR="00B23827" w:rsidRPr="00413948">
        <w:t>ELVITEGRAVIR/COBICISTAT/EMTRICITABINE/TENOFOVIR ALAFENAMIDE</w:t>
      </w:r>
      <w:r w:rsidR="00B60939" w:rsidRPr="00413948">
        <w:t xml:space="preserve">, </w:t>
      </w:r>
      <w:r w:rsidR="00433044" w:rsidRPr="00413948">
        <w:t>f</w:t>
      </w:r>
      <w:r w:rsidR="00B23827" w:rsidRPr="00413948">
        <w:t>ixed-dose combination tablet</w:t>
      </w:r>
      <w:r w:rsidR="00B60939" w:rsidRPr="00413948">
        <w:t xml:space="preserve">, </w:t>
      </w:r>
      <w:r w:rsidR="00B23827" w:rsidRPr="00413948">
        <w:t>150</w:t>
      </w:r>
      <w:r w:rsidR="00A0456D" w:rsidRPr="00413948">
        <w:t> </w:t>
      </w:r>
      <w:r w:rsidR="00B23827" w:rsidRPr="00413948">
        <w:t>mg/</w:t>
      </w:r>
      <w:r w:rsidR="00A0456D" w:rsidRPr="00413948">
        <w:t xml:space="preserve"> </w:t>
      </w:r>
      <w:r w:rsidR="00B23827" w:rsidRPr="00413948">
        <w:t>150</w:t>
      </w:r>
      <w:r w:rsidR="00A0456D" w:rsidRPr="00413948">
        <w:t> </w:t>
      </w:r>
      <w:r w:rsidR="00B23827" w:rsidRPr="00413948">
        <w:t>mg/200 mg/10 mg</w:t>
      </w:r>
      <w:r w:rsidR="00B60939" w:rsidRPr="00413948">
        <w:t xml:space="preserve">, </w:t>
      </w:r>
    </w:p>
    <w:p w:rsidR="00B60939" w:rsidRPr="00413948" w:rsidRDefault="00C35B01" w:rsidP="00413948">
      <w:pPr>
        <w:pStyle w:val="Title"/>
        <w:ind w:firstLine="0"/>
      </w:pPr>
      <w:r w:rsidRPr="00413948">
        <w:t>GENVOYA®</w:t>
      </w:r>
      <w:r w:rsidR="00B60939" w:rsidRPr="00413948">
        <w:t xml:space="preserve">, </w:t>
      </w:r>
      <w:r w:rsidR="00B23827" w:rsidRPr="00413948">
        <w:t>Gilead Sciences</w:t>
      </w:r>
      <w:bookmarkEnd w:id="0"/>
    </w:p>
    <w:p w:rsidR="00CB1E9E" w:rsidRDefault="00CB1E9E" w:rsidP="00CB1E9E"/>
    <w:p w:rsidR="007770FA" w:rsidRDefault="007770FA" w:rsidP="00413948">
      <w:pPr>
        <w:pStyle w:val="PBACHeading1"/>
        <w:numPr>
          <w:ilvl w:val="0"/>
          <w:numId w:val="0"/>
        </w:numPr>
      </w:pPr>
      <w:bookmarkStart w:id="2" w:name="_Toc430081382"/>
    </w:p>
    <w:p w:rsidR="00B50DB8" w:rsidRPr="00413948" w:rsidRDefault="00B50DB8" w:rsidP="00413948">
      <w:pPr>
        <w:pStyle w:val="PBACHeading1"/>
      </w:pPr>
      <w:r w:rsidRPr="00413948">
        <w:t>Purpose of Application</w:t>
      </w:r>
      <w:bookmarkEnd w:id="2"/>
    </w:p>
    <w:p w:rsidR="00B60939" w:rsidRPr="00F43587" w:rsidRDefault="00B60939" w:rsidP="00F22A9F">
      <w:pPr>
        <w:keepNext/>
        <w:rPr>
          <w:szCs w:val="22"/>
        </w:rPr>
      </w:pPr>
    </w:p>
    <w:p w:rsidR="002C2775" w:rsidRPr="00FD7C28" w:rsidRDefault="001E238E" w:rsidP="00F22A9F">
      <w:pPr>
        <w:pStyle w:val="ListParagraph"/>
        <w:keepNext/>
        <w:widowControl/>
        <w:numPr>
          <w:ilvl w:val="1"/>
          <w:numId w:val="9"/>
        </w:numPr>
        <w:rPr>
          <w:szCs w:val="22"/>
        </w:rPr>
      </w:pPr>
      <w:r w:rsidRPr="00EF6F2C">
        <w:t>Section 100</w:t>
      </w:r>
      <w:r w:rsidR="00DD78C1" w:rsidRPr="00EF6F2C">
        <w:t xml:space="preserve"> Highly Specialised Drug Program:</w:t>
      </w:r>
      <w:r w:rsidRPr="00321B24">
        <w:t xml:space="preserve"> </w:t>
      </w:r>
      <w:r w:rsidR="00DD78C1" w:rsidRPr="00321B24">
        <w:t>Authority Required (Streamlined)</w:t>
      </w:r>
      <w:r w:rsidRPr="00321B24">
        <w:t xml:space="preserve"> listing for </w:t>
      </w:r>
      <w:r w:rsidR="00D4180B" w:rsidRPr="00754170">
        <w:t>elvitegravir </w:t>
      </w:r>
      <w:r w:rsidR="00DD78C1" w:rsidRPr="00673F01">
        <w:t>150</w:t>
      </w:r>
      <w:r w:rsidR="00D4180B" w:rsidRPr="00980EE7">
        <w:t> mg/cobicistat </w:t>
      </w:r>
      <w:r w:rsidR="00DD78C1" w:rsidRPr="00980EE7">
        <w:t>150</w:t>
      </w:r>
      <w:r w:rsidR="00D4180B" w:rsidRPr="00C109D6">
        <w:t> </w:t>
      </w:r>
      <w:r w:rsidR="00DD78C1" w:rsidRPr="00C109D6">
        <w:t>mg/emtricitabin</w:t>
      </w:r>
      <w:r w:rsidR="00D4180B" w:rsidRPr="005A7A62">
        <w:t>e </w:t>
      </w:r>
      <w:r w:rsidR="00DD78C1" w:rsidRPr="005A7A62">
        <w:t>200</w:t>
      </w:r>
      <w:r w:rsidR="00D4180B" w:rsidRPr="005A7A62">
        <w:t> </w:t>
      </w:r>
      <w:r w:rsidR="00DD78C1" w:rsidRPr="00021BAC">
        <w:t>mg/tenofovir alafenamide</w:t>
      </w:r>
      <w:r w:rsidR="00D4180B" w:rsidRPr="00FD7C28">
        <w:t> </w:t>
      </w:r>
      <w:r w:rsidR="00DD78C1" w:rsidRPr="00FD7C28">
        <w:t>10</w:t>
      </w:r>
      <w:r w:rsidR="00D4180B" w:rsidRPr="00FD7C28">
        <w:t> </w:t>
      </w:r>
      <w:r w:rsidR="00DD78C1" w:rsidRPr="00FD7C28">
        <w:t>mg (EVG/c/FTC/tenofovir alafenamide)</w:t>
      </w:r>
      <w:r w:rsidRPr="00FD7C28">
        <w:t xml:space="preserve"> </w:t>
      </w:r>
      <w:r w:rsidR="009250AE" w:rsidRPr="00FD7C28">
        <w:t xml:space="preserve">fixed-dose combination (FDC) product </w:t>
      </w:r>
      <w:r w:rsidRPr="00FD7C28">
        <w:t xml:space="preserve">for treatment of </w:t>
      </w:r>
      <w:r w:rsidR="00DD78C1" w:rsidRPr="00FD7C28">
        <w:t>human immunodeficiency virus (HIV) infection in treatment</w:t>
      </w:r>
      <w:r w:rsidR="006B59C5" w:rsidRPr="00FD7C28">
        <w:t>-</w:t>
      </w:r>
      <w:r w:rsidR="00DD78C1" w:rsidRPr="00FD7C28">
        <w:t>naïve</w:t>
      </w:r>
      <w:r w:rsidR="006B59C5" w:rsidRPr="00FD7C28">
        <w:t xml:space="preserve"> patients</w:t>
      </w:r>
      <w:r w:rsidR="00DD78C1" w:rsidRPr="00FD7C28">
        <w:t xml:space="preserve"> and treatment</w:t>
      </w:r>
      <w:r w:rsidR="006B59C5" w:rsidRPr="00FD7C28">
        <w:t>-</w:t>
      </w:r>
      <w:r w:rsidR="00DD78C1" w:rsidRPr="00FD7C28">
        <w:t>experienced patients.</w:t>
      </w:r>
    </w:p>
    <w:p w:rsidR="00B60939" w:rsidRPr="00FD7C28" w:rsidRDefault="00B60939" w:rsidP="004B1CB4"/>
    <w:p w:rsidR="00DD78C1" w:rsidRPr="00FD7C28" w:rsidRDefault="00DD78C1" w:rsidP="004B1CB4"/>
    <w:p w:rsidR="00B50DB8" w:rsidRPr="00FD7C28" w:rsidRDefault="00B50DB8" w:rsidP="00413948">
      <w:pPr>
        <w:pStyle w:val="PBACHeading1"/>
      </w:pPr>
      <w:bookmarkStart w:id="3" w:name="_Toc430081383"/>
      <w:r w:rsidRPr="00FD7C28">
        <w:t>Requested listing</w:t>
      </w:r>
      <w:bookmarkEnd w:id="3"/>
    </w:p>
    <w:p w:rsidR="00B60939" w:rsidRPr="00FD7C28" w:rsidRDefault="00B60939" w:rsidP="004B1CB4"/>
    <w:p w:rsidR="00802660" w:rsidRPr="00FD7C28" w:rsidRDefault="00802660" w:rsidP="00617E12">
      <w:pPr>
        <w:pStyle w:val="ListParagraph"/>
        <w:widowControl/>
        <w:numPr>
          <w:ilvl w:val="1"/>
          <w:numId w:val="9"/>
        </w:numPr>
      </w:pPr>
      <w:r w:rsidRPr="00FD7C28">
        <w:t xml:space="preserve">The proposed PBS listing for EVG/c/FTC/tenofovir alafenamide was for initial treatment </w:t>
      </w:r>
      <w:r w:rsidR="007D3B1A" w:rsidRPr="00FD7C28">
        <w:t xml:space="preserve">of HIV infection </w:t>
      </w:r>
      <w:r w:rsidRPr="00FD7C28">
        <w:t>in treatment</w:t>
      </w:r>
      <w:r w:rsidR="006B59C5" w:rsidRPr="00FD7C28">
        <w:t>-</w:t>
      </w:r>
      <w:r w:rsidRPr="00FD7C28">
        <w:t xml:space="preserve">naïve patients and for continuing treatment </w:t>
      </w:r>
      <w:r w:rsidR="007D3B1A" w:rsidRPr="00FD7C28">
        <w:t xml:space="preserve">of HIV infection </w:t>
      </w:r>
      <w:r w:rsidRPr="00FD7C28">
        <w:t>in treatment</w:t>
      </w:r>
      <w:r w:rsidR="006B59C5" w:rsidRPr="00FD7C28">
        <w:t>-</w:t>
      </w:r>
      <w:r w:rsidRPr="00FD7C28">
        <w:t>experienced patients</w:t>
      </w:r>
      <w:r w:rsidR="00F22A9F" w:rsidRPr="00FD7C28">
        <w:t xml:space="preserve"> with a clinical indication to switch components of therapy (e.g. the occurrence of adverse effects o</w:t>
      </w:r>
      <w:r w:rsidR="00825D81" w:rsidRPr="00FD7C28">
        <w:t xml:space="preserve">r </w:t>
      </w:r>
      <w:r w:rsidR="00F22A9F" w:rsidRPr="00FD7C28">
        <w:t>loss of viral suppression)</w:t>
      </w:r>
      <w:r w:rsidRPr="00FD7C28">
        <w:t>.</w:t>
      </w:r>
    </w:p>
    <w:p w:rsidR="00617E12" w:rsidRPr="00FD7C28" w:rsidRDefault="00617E12" w:rsidP="00802660">
      <w:pPr>
        <w:pStyle w:val="ListParagraph"/>
        <w:widowControl/>
      </w:pPr>
    </w:p>
    <w:tbl>
      <w:tblPr>
        <w:tblStyle w:val="TableGrid"/>
        <w:tblW w:w="4596" w:type="pct"/>
        <w:tblInd w:w="7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Requested PBS listing"/>
      </w:tblPr>
      <w:tblGrid>
        <w:gridCol w:w="1701"/>
        <w:gridCol w:w="1984"/>
        <w:gridCol w:w="426"/>
        <w:gridCol w:w="568"/>
        <w:gridCol w:w="2122"/>
        <w:gridCol w:w="710"/>
        <w:gridCol w:w="838"/>
      </w:tblGrid>
      <w:tr w:rsidR="0049128A" w:rsidRPr="00FD7C28" w:rsidTr="0049128A">
        <w:trPr>
          <w:cantSplit/>
          <w:trHeight w:val="20"/>
          <w:tblHeader/>
        </w:trPr>
        <w:tc>
          <w:tcPr>
            <w:tcW w:w="2207" w:type="pct"/>
            <w:gridSpan w:val="2"/>
            <w:tcBorders>
              <w:bottom w:val="single" w:sz="4" w:space="0" w:color="auto"/>
            </w:tcBorders>
            <w:tcMar>
              <w:left w:w="28" w:type="dxa"/>
              <w:right w:w="28" w:type="dxa"/>
            </w:tcMar>
            <w:vAlign w:val="center"/>
          </w:tcPr>
          <w:p w:rsidR="004E2C60" w:rsidRPr="00FD7C28" w:rsidRDefault="004E2C60" w:rsidP="004E2C60">
            <w:pPr>
              <w:keepNext/>
              <w:widowControl/>
              <w:jc w:val="left"/>
              <w:rPr>
                <w:rFonts w:ascii="Arial Narrow" w:hAnsi="Arial Narrow"/>
                <w:b/>
                <w:bCs/>
                <w:sz w:val="20"/>
              </w:rPr>
            </w:pPr>
            <w:r w:rsidRPr="00FD7C28">
              <w:rPr>
                <w:rFonts w:ascii="Arial Narrow" w:hAnsi="Arial Narrow"/>
                <w:b/>
                <w:bCs/>
                <w:sz w:val="20"/>
              </w:rPr>
              <w:t>Name, Restriction,</w:t>
            </w:r>
          </w:p>
          <w:p w:rsidR="004E2C60" w:rsidRPr="00FD7C28" w:rsidRDefault="004E2C60" w:rsidP="004E2C60">
            <w:pPr>
              <w:keepNext/>
              <w:widowControl/>
              <w:jc w:val="left"/>
              <w:rPr>
                <w:rFonts w:ascii="Arial Narrow" w:hAnsi="Arial Narrow"/>
                <w:b/>
                <w:bCs/>
                <w:sz w:val="20"/>
              </w:rPr>
            </w:pPr>
            <w:r w:rsidRPr="00FD7C28">
              <w:rPr>
                <w:rFonts w:ascii="Arial Narrow" w:hAnsi="Arial Narrow"/>
                <w:b/>
                <w:bCs/>
                <w:sz w:val="20"/>
              </w:rPr>
              <w:t xml:space="preserve">Manner of administration and Form </w:t>
            </w:r>
          </w:p>
        </w:tc>
        <w:tc>
          <w:tcPr>
            <w:tcW w:w="255" w:type="pct"/>
            <w:tcBorders>
              <w:bottom w:val="single" w:sz="4" w:space="0" w:color="auto"/>
            </w:tcBorders>
            <w:tcMar>
              <w:left w:w="28" w:type="dxa"/>
              <w:right w:w="28" w:type="dxa"/>
            </w:tcMar>
            <w:vAlign w:val="center"/>
          </w:tcPr>
          <w:p w:rsidR="004E2C60" w:rsidRPr="00FD7C28" w:rsidRDefault="004E2C60" w:rsidP="004E2C60">
            <w:pPr>
              <w:keepNext/>
              <w:widowControl/>
              <w:jc w:val="center"/>
              <w:rPr>
                <w:rFonts w:ascii="Arial Narrow" w:hAnsi="Arial Narrow"/>
                <w:b/>
                <w:bCs/>
                <w:sz w:val="20"/>
              </w:rPr>
            </w:pPr>
            <w:r w:rsidRPr="00FD7C28">
              <w:rPr>
                <w:rFonts w:ascii="Arial Narrow" w:hAnsi="Arial Narrow"/>
                <w:b/>
                <w:bCs/>
                <w:sz w:val="20"/>
              </w:rPr>
              <w:t>Max Qty</w:t>
            </w:r>
          </w:p>
        </w:tc>
        <w:tc>
          <w:tcPr>
            <w:tcW w:w="340" w:type="pct"/>
            <w:tcBorders>
              <w:bottom w:val="single" w:sz="4" w:space="0" w:color="auto"/>
            </w:tcBorders>
            <w:tcMar>
              <w:left w:w="28" w:type="dxa"/>
              <w:right w:w="28" w:type="dxa"/>
            </w:tcMar>
            <w:vAlign w:val="center"/>
          </w:tcPr>
          <w:p w:rsidR="004E2C60" w:rsidRPr="00FD7C28" w:rsidRDefault="004E2C60" w:rsidP="004E2C60">
            <w:pPr>
              <w:keepNext/>
              <w:widowControl/>
              <w:jc w:val="center"/>
              <w:rPr>
                <w:rFonts w:ascii="Arial Narrow" w:hAnsi="Arial Narrow"/>
                <w:b/>
                <w:bCs/>
                <w:sz w:val="20"/>
              </w:rPr>
            </w:pPr>
            <w:r w:rsidRPr="00FD7C28">
              <w:rPr>
                <w:rFonts w:ascii="Arial Narrow" w:hAnsi="Arial Narrow"/>
                <w:b/>
                <w:bCs/>
                <w:sz w:val="20"/>
              </w:rPr>
              <w:t>No. of Rpts</w:t>
            </w:r>
          </w:p>
        </w:tc>
        <w:tc>
          <w:tcPr>
            <w:tcW w:w="1271" w:type="pct"/>
            <w:tcBorders>
              <w:bottom w:val="single" w:sz="4" w:space="0" w:color="auto"/>
            </w:tcBorders>
            <w:tcMar>
              <w:left w:w="28" w:type="dxa"/>
              <w:right w:w="28" w:type="dxa"/>
            </w:tcMar>
            <w:vAlign w:val="center"/>
          </w:tcPr>
          <w:p w:rsidR="004E2C60" w:rsidRPr="00FD7C28" w:rsidRDefault="004E2C60" w:rsidP="004E2C60">
            <w:pPr>
              <w:keepNext/>
              <w:widowControl/>
              <w:jc w:val="center"/>
              <w:rPr>
                <w:rFonts w:ascii="Arial Narrow" w:hAnsi="Arial Narrow"/>
                <w:b/>
                <w:bCs/>
                <w:sz w:val="20"/>
              </w:rPr>
            </w:pPr>
            <w:r w:rsidRPr="00FD7C28">
              <w:rPr>
                <w:rFonts w:ascii="Arial Narrow" w:hAnsi="Arial Narrow"/>
                <w:b/>
                <w:bCs/>
                <w:sz w:val="20"/>
              </w:rPr>
              <w:t>DPMQ</w:t>
            </w:r>
          </w:p>
        </w:tc>
        <w:tc>
          <w:tcPr>
            <w:tcW w:w="927" w:type="pct"/>
            <w:gridSpan w:val="2"/>
            <w:tcBorders>
              <w:bottom w:val="single" w:sz="4" w:space="0" w:color="auto"/>
            </w:tcBorders>
            <w:tcMar>
              <w:left w:w="28" w:type="dxa"/>
              <w:right w:w="28" w:type="dxa"/>
            </w:tcMar>
          </w:tcPr>
          <w:p w:rsidR="004E2C60" w:rsidRPr="00FD7C28" w:rsidRDefault="004E2C60" w:rsidP="004E2C60">
            <w:pPr>
              <w:keepNext/>
              <w:widowControl/>
              <w:jc w:val="center"/>
              <w:rPr>
                <w:rFonts w:ascii="Arial Narrow" w:hAnsi="Arial Narrow"/>
                <w:b/>
                <w:bCs/>
                <w:sz w:val="20"/>
              </w:rPr>
            </w:pPr>
            <w:r w:rsidRPr="00FD7C28">
              <w:rPr>
                <w:rFonts w:ascii="Arial Narrow" w:hAnsi="Arial Narrow"/>
                <w:b/>
                <w:bCs/>
                <w:sz w:val="20"/>
              </w:rPr>
              <w:t>Proprietary Name and Manufacturer</w:t>
            </w:r>
          </w:p>
        </w:tc>
      </w:tr>
      <w:tr w:rsidR="0049128A" w:rsidRPr="00FD7C28" w:rsidTr="0049128A">
        <w:trPr>
          <w:cantSplit/>
          <w:trHeight w:val="20"/>
        </w:trPr>
        <w:tc>
          <w:tcPr>
            <w:tcW w:w="220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4E2C60" w:rsidRPr="00FD7C28" w:rsidRDefault="004E2C60" w:rsidP="004E2C60">
            <w:pPr>
              <w:keepNext/>
              <w:jc w:val="left"/>
              <w:rPr>
                <w:rFonts w:ascii="Arial Narrow" w:hAnsi="Arial Narrow"/>
                <w:sz w:val="20"/>
              </w:rPr>
            </w:pPr>
            <w:r w:rsidRPr="00FD7C28">
              <w:rPr>
                <w:rFonts w:ascii="Arial Narrow" w:hAnsi="Arial Narrow"/>
                <w:smallCaps/>
                <w:sz w:val="20"/>
              </w:rPr>
              <w:t xml:space="preserve">Elvitegravir + Cobicistat + Emtricitabine + Tenofovir Alafenamide </w:t>
            </w:r>
            <w:r w:rsidRPr="00FD7C28">
              <w:rPr>
                <w:rFonts w:ascii="Arial Narrow" w:hAnsi="Arial Narrow"/>
                <w:sz w:val="20"/>
              </w:rPr>
              <w:t>Tablet; 150 mg/150 mg/</w:t>
            </w:r>
            <w:r w:rsidR="0049128A" w:rsidRPr="00FD7C28">
              <w:rPr>
                <w:rFonts w:ascii="Arial Narrow" w:hAnsi="Arial Narrow"/>
                <w:sz w:val="20"/>
              </w:rPr>
              <w:t xml:space="preserve"> </w:t>
            </w:r>
            <w:r w:rsidRPr="00FD7C28">
              <w:rPr>
                <w:rFonts w:ascii="Arial Narrow" w:hAnsi="Arial Narrow"/>
                <w:sz w:val="20"/>
              </w:rPr>
              <w:t>200 mg/10 mg</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tcPr>
          <w:p w:rsidR="004E2C60" w:rsidRPr="00FD7C28" w:rsidRDefault="004E2C60" w:rsidP="004E2C60">
            <w:pPr>
              <w:keepNext/>
              <w:widowControl/>
              <w:jc w:val="center"/>
              <w:rPr>
                <w:rFonts w:ascii="Arial Narrow" w:hAnsi="Arial Narrow"/>
                <w:sz w:val="20"/>
              </w:rPr>
            </w:pPr>
            <w:r w:rsidRPr="00FD7C28">
              <w:rPr>
                <w:rFonts w:ascii="Arial Narrow" w:hAnsi="Arial Narrow"/>
                <w:sz w:val="20"/>
              </w:rPr>
              <w:t>60</w:t>
            </w:r>
          </w:p>
        </w:tc>
        <w:tc>
          <w:tcPr>
            <w:tcW w:w="340" w:type="pct"/>
            <w:tcBorders>
              <w:top w:val="single" w:sz="4" w:space="0" w:color="auto"/>
              <w:left w:val="single" w:sz="4" w:space="0" w:color="auto"/>
              <w:bottom w:val="single" w:sz="4" w:space="0" w:color="auto"/>
              <w:right w:val="single" w:sz="4" w:space="0" w:color="auto"/>
            </w:tcBorders>
            <w:tcMar>
              <w:left w:w="28" w:type="dxa"/>
              <w:right w:w="28" w:type="dxa"/>
            </w:tcMar>
          </w:tcPr>
          <w:p w:rsidR="004E2C60" w:rsidRPr="00FD7C28" w:rsidRDefault="004E2C60" w:rsidP="004E2C60">
            <w:pPr>
              <w:keepNext/>
              <w:widowControl/>
              <w:jc w:val="center"/>
              <w:rPr>
                <w:rFonts w:ascii="Arial Narrow" w:hAnsi="Arial Narrow"/>
                <w:sz w:val="20"/>
              </w:rPr>
            </w:pPr>
            <w:r w:rsidRPr="00FD7C28">
              <w:rPr>
                <w:rFonts w:ascii="Arial Narrow" w:hAnsi="Arial Narrow"/>
                <w:sz w:val="20"/>
              </w:rPr>
              <w:t>5</w:t>
            </w:r>
          </w:p>
        </w:tc>
        <w:tc>
          <w:tcPr>
            <w:tcW w:w="1271" w:type="pct"/>
            <w:tcBorders>
              <w:top w:val="single" w:sz="4" w:space="0" w:color="auto"/>
              <w:left w:val="single" w:sz="4" w:space="0" w:color="auto"/>
              <w:bottom w:val="single" w:sz="4" w:space="0" w:color="auto"/>
              <w:right w:val="single" w:sz="4" w:space="0" w:color="auto"/>
            </w:tcBorders>
            <w:tcMar>
              <w:left w:w="28" w:type="dxa"/>
              <w:right w:w="28" w:type="dxa"/>
            </w:tcMar>
          </w:tcPr>
          <w:p w:rsidR="004E2C60" w:rsidRPr="00FD7C28" w:rsidRDefault="004E2C60" w:rsidP="0049128A">
            <w:pPr>
              <w:keepNext/>
              <w:widowControl/>
              <w:jc w:val="center"/>
              <w:rPr>
                <w:rFonts w:ascii="Arial Narrow" w:hAnsi="Arial Narrow"/>
                <w:sz w:val="20"/>
              </w:rPr>
            </w:pPr>
            <w:r w:rsidRPr="00FD7C28">
              <w:rPr>
                <w:rFonts w:ascii="Arial Narrow" w:hAnsi="Arial Narrow"/>
                <w:sz w:val="20"/>
              </w:rPr>
              <w:t>P</w:t>
            </w:r>
            <w:r w:rsidR="000F64A8" w:rsidRPr="00FD7C28">
              <w:rPr>
                <w:rFonts w:ascii="Arial Narrow" w:hAnsi="Arial Narrow"/>
                <w:sz w:val="20"/>
              </w:rPr>
              <w:t xml:space="preserve">ublic </w:t>
            </w:r>
            <w:r w:rsidRPr="00FD7C28">
              <w:rPr>
                <w:rFonts w:ascii="Arial Narrow" w:hAnsi="Arial Narrow"/>
                <w:sz w:val="20"/>
              </w:rPr>
              <w:t>hospital: $</w:t>
            </w:r>
            <w:r w:rsidR="00602705">
              <w:rPr>
                <w:rFonts w:ascii="Arial Narrow" w:hAnsi="Arial Narrow"/>
                <w:noProof/>
                <w:color w:val="000000"/>
                <w:sz w:val="20"/>
                <w:highlight w:val="black"/>
              </w:rPr>
              <w:t>''''''''''''''''''''''</w:t>
            </w:r>
          </w:p>
          <w:p w:rsidR="004E2C60" w:rsidRPr="004C16C5" w:rsidRDefault="0049128A" w:rsidP="0049128A">
            <w:pPr>
              <w:keepNext/>
              <w:widowControl/>
              <w:jc w:val="center"/>
              <w:rPr>
                <w:rFonts w:ascii="Arial Narrow" w:hAnsi="Arial Narrow"/>
                <w:sz w:val="20"/>
              </w:rPr>
            </w:pPr>
            <w:r w:rsidRPr="004C16C5">
              <w:rPr>
                <w:rFonts w:ascii="Arial Narrow" w:hAnsi="Arial Narrow"/>
                <w:sz w:val="20"/>
              </w:rPr>
              <w:t>Community A</w:t>
            </w:r>
            <w:r w:rsidR="004E2C60" w:rsidRPr="004C16C5">
              <w:rPr>
                <w:rFonts w:ascii="Arial Narrow" w:hAnsi="Arial Narrow"/>
                <w:sz w:val="20"/>
              </w:rPr>
              <w:t>ccess/</w:t>
            </w:r>
          </w:p>
          <w:p w:rsidR="004E2C60" w:rsidRPr="00FD7C28" w:rsidRDefault="000F64A8" w:rsidP="0049128A">
            <w:pPr>
              <w:keepNext/>
              <w:widowControl/>
              <w:jc w:val="center"/>
              <w:rPr>
                <w:rFonts w:ascii="Arial Narrow" w:hAnsi="Arial Narrow"/>
                <w:sz w:val="20"/>
              </w:rPr>
            </w:pPr>
            <w:r w:rsidRPr="004C16C5">
              <w:rPr>
                <w:rFonts w:ascii="Arial Narrow" w:hAnsi="Arial Narrow"/>
                <w:sz w:val="20"/>
              </w:rPr>
              <w:t>Private</w:t>
            </w:r>
            <w:r w:rsidR="004E2C60" w:rsidRPr="004C16C5">
              <w:rPr>
                <w:rFonts w:ascii="Arial Narrow" w:hAnsi="Arial Narrow"/>
                <w:sz w:val="20"/>
              </w:rPr>
              <w:t xml:space="preserve"> hospital: $</w:t>
            </w:r>
            <w:r w:rsidR="00602705">
              <w:rPr>
                <w:rFonts w:ascii="Arial Narrow" w:hAnsi="Arial Narrow"/>
                <w:noProof/>
                <w:color w:val="000000"/>
                <w:sz w:val="20"/>
                <w:highlight w:val="black"/>
              </w:rPr>
              <w:t>'''''''''''''''''''''''</w:t>
            </w:r>
          </w:p>
        </w:tc>
        <w:tc>
          <w:tcPr>
            <w:tcW w:w="425" w:type="pct"/>
            <w:tcBorders>
              <w:top w:val="single" w:sz="4" w:space="0" w:color="auto"/>
              <w:left w:val="single" w:sz="4" w:space="0" w:color="auto"/>
              <w:bottom w:val="single" w:sz="4" w:space="0" w:color="auto"/>
              <w:right w:val="single" w:sz="4" w:space="0" w:color="auto"/>
            </w:tcBorders>
            <w:tcMar>
              <w:left w:w="28" w:type="dxa"/>
              <w:right w:w="28" w:type="dxa"/>
            </w:tcMar>
          </w:tcPr>
          <w:p w:rsidR="004E2C60" w:rsidRPr="00EF319D" w:rsidRDefault="004E2C60" w:rsidP="004E2C60">
            <w:pPr>
              <w:keepNext/>
              <w:jc w:val="center"/>
              <w:rPr>
                <w:rFonts w:ascii="Arial Narrow" w:hAnsi="Arial Narrow"/>
                <w:sz w:val="20"/>
              </w:rPr>
            </w:pPr>
            <w:r w:rsidRPr="00F43587">
              <w:rPr>
                <w:rFonts w:ascii="Arial Narrow" w:hAnsi="Arial Narrow"/>
                <w:sz w:val="20"/>
              </w:rPr>
              <w:t>TBC</w:t>
            </w: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tcPr>
          <w:p w:rsidR="004E2C60" w:rsidRPr="00EF6F2C" w:rsidRDefault="004E2C60" w:rsidP="004E2C60">
            <w:pPr>
              <w:keepNext/>
              <w:jc w:val="center"/>
              <w:rPr>
                <w:rFonts w:ascii="Arial Narrow" w:hAnsi="Arial Narrow"/>
                <w:sz w:val="20"/>
              </w:rPr>
            </w:pPr>
            <w:r w:rsidRPr="00EF6F2C">
              <w:rPr>
                <w:rFonts w:ascii="Arial Narrow" w:hAnsi="Arial Narrow"/>
                <w:sz w:val="20"/>
              </w:rPr>
              <w:t>Gilead Sciences</w:t>
            </w:r>
          </w:p>
        </w:tc>
      </w:tr>
      <w:tr w:rsidR="004E2C60" w:rsidRPr="00FD7C28" w:rsidTr="004E2C60">
        <w:tblPrEx>
          <w:tblBorders>
            <w:insideH w:val="none" w:sz="0" w:space="0" w:color="auto"/>
            <w:insideV w:val="none" w:sz="0" w:space="0" w:color="auto"/>
          </w:tblBorders>
        </w:tblPrEx>
        <w:trPr>
          <w:cantSplit/>
          <w:trHeight w:val="20"/>
        </w:trPr>
        <w:tc>
          <w:tcPr>
            <w:tcW w:w="101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4E2C60" w:rsidRPr="00FD7C28" w:rsidRDefault="004E2C60" w:rsidP="004E2C60">
            <w:pPr>
              <w:keepNext/>
              <w:widowControl/>
              <w:rPr>
                <w:rFonts w:ascii="Arial Narrow" w:hAnsi="Arial Narrow"/>
                <w:color w:val="1F497D"/>
                <w:sz w:val="20"/>
                <w:lang w:val="en-GB"/>
              </w:rPr>
            </w:pPr>
            <w:r w:rsidRPr="00FD7C28">
              <w:rPr>
                <w:rFonts w:ascii="Arial Narrow" w:hAnsi="Arial Narrow"/>
                <w:sz w:val="20"/>
                <w:lang w:val="en-GB"/>
              </w:rPr>
              <w:t>Treatment phase:</w:t>
            </w:r>
          </w:p>
        </w:tc>
        <w:tc>
          <w:tcPr>
            <w:tcW w:w="3981" w:type="pct"/>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rsidR="004E2C60" w:rsidRPr="00FD7C28" w:rsidRDefault="004E2C60" w:rsidP="00F900EE">
            <w:pPr>
              <w:pStyle w:val="ListParagraph"/>
              <w:keepNext/>
              <w:widowControl/>
              <w:numPr>
                <w:ilvl w:val="0"/>
                <w:numId w:val="10"/>
              </w:numPr>
              <w:spacing w:before="20"/>
              <w:ind w:left="284" w:hanging="284"/>
              <w:contextualSpacing w:val="0"/>
              <w:rPr>
                <w:rFonts w:ascii="Arial Narrow" w:hAnsi="Arial Narrow"/>
                <w:sz w:val="20"/>
                <w:lang w:val="en-GB"/>
              </w:rPr>
            </w:pPr>
            <w:r w:rsidRPr="00FD7C28">
              <w:rPr>
                <w:rFonts w:ascii="Arial Narrow" w:hAnsi="Arial Narrow"/>
                <w:sz w:val="20"/>
                <w:lang w:val="en-GB"/>
              </w:rPr>
              <w:t>Initial treatment</w:t>
            </w:r>
          </w:p>
        </w:tc>
      </w:tr>
      <w:tr w:rsidR="004E2C60" w:rsidRPr="00FD7C28" w:rsidTr="004E2C60">
        <w:tblPrEx>
          <w:tblBorders>
            <w:insideH w:val="none" w:sz="0" w:space="0" w:color="auto"/>
            <w:insideV w:val="none" w:sz="0" w:space="0" w:color="auto"/>
          </w:tblBorders>
        </w:tblPrEx>
        <w:trPr>
          <w:cantSplit/>
          <w:trHeight w:val="20"/>
        </w:trPr>
        <w:tc>
          <w:tcPr>
            <w:tcW w:w="1019"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4E2C60" w:rsidRPr="00FD7C28" w:rsidRDefault="004E2C60" w:rsidP="004E2C60">
            <w:pPr>
              <w:widowControl/>
              <w:ind w:left="720" w:hanging="686"/>
              <w:rPr>
                <w:rFonts w:ascii="Arial Narrow" w:hAnsi="Arial Narrow"/>
                <w:color w:val="1F497D"/>
                <w:sz w:val="20"/>
                <w:lang w:val="en-GB"/>
              </w:rPr>
            </w:pPr>
            <w:r w:rsidRPr="00FD7C28">
              <w:rPr>
                <w:rFonts w:ascii="Arial Narrow" w:hAnsi="Arial Narrow"/>
                <w:sz w:val="20"/>
                <w:lang w:val="en-GB"/>
              </w:rPr>
              <w:t>Restriction:</w:t>
            </w:r>
          </w:p>
        </w:tc>
        <w:tc>
          <w:tcPr>
            <w:tcW w:w="398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4E2C60" w:rsidRPr="00FD7C28" w:rsidRDefault="004E2C60" w:rsidP="004E2C60">
            <w:pPr>
              <w:pStyle w:val="ListParagraph"/>
              <w:widowControl/>
              <w:numPr>
                <w:ilvl w:val="0"/>
                <w:numId w:val="10"/>
              </w:numPr>
              <w:spacing w:before="20"/>
              <w:ind w:left="284" w:hanging="284"/>
              <w:contextualSpacing w:val="0"/>
              <w:rPr>
                <w:rFonts w:ascii="Arial Narrow" w:hAnsi="Arial Narrow"/>
                <w:sz w:val="20"/>
                <w:lang w:val="en-GB"/>
              </w:rPr>
            </w:pPr>
            <w:r w:rsidRPr="00FD7C28">
              <w:rPr>
                <w:rFonts w:ascii="Arial Narrow" w:hAnsi="Arial Narrow"/>
                <w:sz w:val="20"/>
                <w:lang w:val="en-GB"/>
              </w:rPr>
              <w:t>Section 100 HSD: Authority Required (Streamlined)</w:t>
            </w:r>
          </w:p>
        </w:tc>
      </w:tr>
      <w:tr w:rsidR="004E2C60" w:rsidRPr="00FD7C28" w:rsidTr="00B47272">
        <w:tblPrEx>
          <w:tblBorders>
            <w:insideH w:val="none" w:sz="0" w:space="0" w:color="auto"/>
            <w:insideV w:val="none" w:sz="0" w:space="0" w:color="auto"/>
          </w:tblBorders>
        </w:tblPrEx>
        <w:trPr>
          <w:cantSplit/>
          <w:trHeight w:val="20"/>
        </w:trPr>
        <w:tc>
          <w:tcPr>
            <w:tcW w:w="1019" w:type="pct"/>
            <w:tcBorders>
              <w:top w:val="single" w:sz="4" w:space="0" w:color="auto"/>
              <w:left w:val="single" w:sz="4" w:space="0" w:color="auto"/>
              <w:bottom w:val="double" w:sz="4" w:space="0" w:color="auto"/>
              <w:right w:val="single" w:sz="4" w:space="0" w:color="auto"/>
            </w:tcBorders>
            <w:tcMar>
              <w:left w:w="28" w:type="dxa"/>
              <w:right w:w="28" w:type="dxa"/>
            </w:tcMar>
            <w:hideMark/>
          </w:tcPr>
          <w:p w:rsidR="004E2C60" w:rsidRPr="00FD7C28" w:rsidRDefault="004E2C60" w:rsidP="004E2C60">
            <w:pPr>
              <w:widowControl/>
              <w:ind w:left="720" w:hanging="686"/>
              <w:rPr>
                <w:rFonts w:ascii="Arial Narrow" w:hAnsi="Arial Narrow"/>
                <w:color w:val="1F497D"/>
                <w:sz w:val="20"/>
                <w:lang w:val="en-GB"/>
              </w:rPr>
            </w:pPr>
            <w:r w:rsidRPr="00FD7C28">
              <w:rPr>
                <w:rFonts w:ascii="Arial Narrow" w:hAnsi="Arial Narrow"/>
                <w:sz w:val="20"/>
                <w:lang w:val="en-GB"/>
              </w:rPr>
              <w:t>Clinical criteria:</w:t>
            </w:r>
          </w:p>
        </w:tc>
        <w:tc>
          <w:tcPr>
            <w:tcW w:w="3981" w:type="pct"/>
            <w:gridSpan w:val="6"/>
            <w:tcBorders>
              <w:top w:val="single" w:sz="4" w:space="0" w:color="auto"/>
              <w:left w:val="single" w:sz="4" w:space="0" w:color="auto"/>
              <w:bottom w:val="double" w:sz="4" w:space="0" w:color="auto"/>
              <w:right w:val="single" w:sz="4" w:space="0" w:color="auto"/>
            </w:tcBorders>
            <w:tcMar>
              <w:left w:w="28" w:type="dxa"/>
              <w:right w:w="28" w:type="dxa"/>
            </w:tcMar>
            <w:hideMark/>
          </w:tcPr>
          <w:p w:rsidR="004E2C60" w:rsidRPr="00FD7C28" w:rsidRDefault="004E2C60" w:rsidP="004E2C60">
            <w:pPr>
              <w:pStyle w:val="ListParagraph"/>
              <w:widowControl/>
              <w:numPr>
                <w:ilvl w:val="0"/>
                <w:numId w:val="10"/>
              </w:numPr>
              <w:spacing w:before="20"/>
              <w:ind w:left="284" w:hanging="284"/>
              <w:contextualSpacing w:val="0"/>
              <w:rPr>
                <w:rFonts w:ascii="Arial Narrow" w:hAnsi="Arial Narrow"/>
                <w:sz w:val="20"/>
                <w:lang w:val="en-GB"/>
              </w:rPr>
            </w:pPr>
            <w:r w:rsidRPr="00FD7C28">
              <w:rPr>
                <w:rFonts w:ascii="Arial Narrow" w:hAnsi="Arial Narrow"/>
                <w:sz w:val="20"/>
                <w:lang w:val="en-GB"/>
              </w:rPr>
              <w:t xml:space="preserve">Patient must be antiretroviral treatment naïve </w:t>
            </w:r>
          </w:p>
        </w:tc>
      </w:tr>
      <w:tr w:rsidR="000D4270" w:rsidRPr="00FD7C28" w:rsidTr="00B47272">
        <w:tblPrEx>
          <w:tblBorders>
            <w:insideH w:val="none" w:sz="0" w:space="0" w:color="auto"/>
            <w:insideV w:val="none" w:sz="0" w:space="0" w:color="auto"/>
          </w:tblBorders>
        </w:tblPrEx>
        <w:trPr>
          <w:cantSplit/>
          <w:trHeight w:val="20"/>
        </w:trPr>
        <w:tc>
          <w:tcPr>
            <w:tcW w:w="1019" w:type="pct"/>
            <w:tcBorders>
              <w:top w:val="double" w:sz="4" w:space="0" w:color="auto"/>
              <w:left w:val="single" w:sz="4" w:space="0" w:color="auto"/>
              <w:bottom w:val="single" w:sz="4" w:space="0" w:color="auto"/>
              <w:right w:val="single" w:sz="4" w:space="0" w:color="auto"/>
            </w:tcBorders>
            <w:tcMar>
              <w:left w:w="28" w:type="dxa"/>
              <w:right w:w="28" w:type="dxa"/>
            </w:tcMar>
          </w:tcPr>
          <w:p w:rsidR="000D4270" w:rsidRPr="00FD7C28" w:rsidRDefault="00B47272" w:rsidP="004E2C60">
            <w:pPr>
              <w:widowControl/>
              <w:ind w:left="720" w:hanging="686"/>
              <w:rPr>
                <w:rFonts w:ascii="Arial Narrow" w:hAnsi="Arial Narrow"/>
                <w:sz w:val="20"/>
                <w:lang w:val="en-GB"/>
              </w:rPr>
            </w:pPr>
            <w:r w:rsidRPr="00FD7C28">
              <w:rPr>
                <w:rFonts w:ascii="Arial Narrow" w:hAnsi="Arial Narrow"/>
                <w:sz w:val="20"/>
                <w:lang w:val="en-GB"/>
              </w:rPr>
              <w:t>Treatment phase:</w:t>
            </w:r>
          </w:p>
        </w:tc>
        <w:tc>
          <w:tcPr>
            <w:tcW w:w="3981" w:type="pct"/>
            <w:gridSpan w:val="6"/>
            <w:tcBorders>
              <w:top w:val="double" w:sz="4" w:space="0" w:color="auto"/>
              <w:left w:val="single" w:sz="4" w:space="0" w:color="auto"/>
              <w:bottom w:val="single" w:sz="4" w:space="0" w:color="auto"/>
              <w:right w:val="single" w:sz="4" w:space="0" w:color="auto"/>
            </w:tcBorders>
            <w:tcMar>
              <w:left w:w="28" w:type="dxa"/>
              <w:right w:w="28" w:type="dxa"/>
            </w:tcMar>
          </w:tcPr>
          <w:p w:rsidR="000D4270" w:rsidRPr="00FD7C28" w:rsidRDefault="000D4270" w:rsidP="004E2C60">
            <w:pPr>
              <w:pStyle w:val="ListParagraph"/>
              <w:widowControl/>
              <w:numPr>
                <w:ilvl w:val="0"/>
                <w:numId w:val="10"/>
              </w:numPr>
              <w:spacing w:before="20"/>
              <w:ind w:left="284" w:hanging="284"/>
              <w:contextualSpacing w:val="0"/>
              <w:rPr>
                <w:rFonts w:ascii="Arial Narrow" w:hAnsi="Arial Narrow"/>
                <w:sz w:val="20"/>
                <w:lang w:val="en-GB"/>
              </w:rPr>
            </w:pPr>
            <w:r w:rsidRPr="00FD7C28">
              <w:rPr>
                <w:rFonts w:ascii="Arial Narrow" w:hAnsi="Arial Narrow"/>
                <w:sz w:val="20"/>
                <w:lang w:val="en-GB"/>
              </w:rPr>
              <w:t>Continuing treatment</w:t>
            </w:r>
          </w:p>
        </w:tc>
      </w:tr>
      <w:tr w:rsidR="00B47272" w:rsidRPr="00FD7C28" w:rsidTr="004E2C60">
        <w:tblPrEx>
          <w:tblBorders>
            <w:insideH w:val="none" w:sz="0" w:space="0" w:color="auto"/>
            <w:insideV w:val="none" w:sz="0" w:space="0" w:color="auto"/>
          </w:tblBorders>
        </w:tblPrEx>
        <w:trPr>
          <w:cantSplit/>
          <w:trHeight w:val="20"/>
        </w:trPr>
        <w:tc>
          <w:tcPr>
            <w:tcW w:w="1019" w:type="pct"/>
            <w:tcBorders>
              <w:top w:val="single" w:sz="4" w:space="0" w:color="auto"/>
              <w:left w:val="single" w:sz="4" w:space="0" w:color="auto"/>
              <w:bottom w:val="single" w:sz="4" w:space="0" w:color="auto"/>
              <w:right w:val="single" w:sz="4" w:space="0" w:color="auto"/>
            </w:tcBorders>
            <w:tcMar>
              <w:left w:w="28" w:type="dxa"/>
              <w:right w:w="28" w:type="dxa"/>
            </w:tcMar>
          </w:tcPr>
          <w:p w:rsidR="00B47272" w:rsidRPr="00FD7C28" w:rsidRDefault="00B47272" w:rsidP="004E2C60">
            <w:pPr>
              <w:widowControl/>
              <w:ind w:left="720" w:hanging="686"/>
              <w:rPr>
                <w:rFonts w:ascii="Arial Narrow" w:hAnsi="Arial Narrow"/>
                <w:sz w:val="20"/>
                <w:lang w:val="en-GB"/>
              </w:rPr>
            </w:pPr>
            <w:r w:rsidRPr="00FD7C28">
              <w:rPr>
                <w:rFonts w:ascii="Arial Narrow" w:hAnsi="Arial Narrow"/>
                <w:sz w:val="20"/>
                <w:lang w:val="en-GB"/>
              </w:rPr>
              <w:t>Restriction:</w:t>
            </w:r>
          </w:p>
        </w:tc>
        <w:tc>
          <w:tcPr>
            <w:tcW w:w="398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B47272" w:rsidRPr="00FD7C28" w:rsidRDefault="00B47272" w:rsidP="004E2C60">
            <w:pPr>
              <w:pStyle w:val="ListParagraph"/>
              <w:widowControl/>
              <w:numPr>
                <w:ilvl w:val="0"/>
                <w:numId w:val="10"/>
              </w:numPr>
              <w:spacing w:before="20"/>
              <w:ind w:left="284" w:hanging="284"/>
              <w:contextualSpacing w:val="0"/>
              <w:rPr>
                <w:rFonts w:ascii="Arial Narrow" w:hAnsi="Arial Narrow"/>
                <w:sz w:val="20"/>
                <w:lang w:val="en-GB"/>
              </w:rPr>
            </w:pPr>
            <w:r w:rsidRPr="00FD7C28">
              <w:rPr>
                <w:rFonts w:ascii="Arial Narrow" w:hAnsi="Arial Narrow"/>
                <w:sz w:val="20"/>
                <w:lang w:val="en-GB"/>
              </w:rPr>
              <w:t>Section 100 HSD: Authority Required (Streamlined)</w:t>
            </w:r>
          </w:p>
        </w:tc>
      </w:tr>
      <w:tr w:rsidR="00B47272" w:rsidRPr="00FD7C28" w:rsidTr="004E2C60">
        <w:tblPrEx>
          <w:tblBorders>
            <w:insideH w:val="none" w:sz="0" w:space="0" w:color="auto"/>
            <w:insideV w:val="none" w:sz="0" w:space="0" w:color="auto"/>
          </w:tblBorders>
        </w:tblPrEx>
        <w:trPr>
          <w:cantSplit/>
          <w:trHeight w:val="20"/>
        </w:trPr>
        <w:tc>
          <w:tcPr>
            <w:tcW w:w="1019" w:type="pct"/>
            <w:tcBorders>
              <w:top w:val="single" w:sz="4" w:space="0" w:color="auto"/>
              <w:left w:val="single" w:sz="4" w:space="0" w:color="auto"/>
              <w:bottom w:val="single" w:sz="4" w:space="0" w:color="auto"/>
              <w:right w:val="single" w:sz="4" w:space="0" w:color="auto"/>
            </w:tcBorders>
            <w:tcMar>
              <w:left w:w="28" w:type="dxa"/>
              <w:right w:w="28" w:type="dxa"/>
            </w:tcMar>
          </w:tcPr>
          <w:p w:rsidR="00B47272" w:rsidRPr="00FD7C28" w:rsidRDefault="00B47272" w:rsidP="004E2C60">
            <w:pPr>
              <w:widowControl/>
              <w:ind w:left="720" w:hanging="686"/>
              <w:rPr>
                <w:rFonts w:ascii="Arial Narrow" w:hAnsi="Arial Narrow"/>
                <w:sz w:val="20"/>
                <w:lang w:val="en-GB"/>
              </w:rPr>
            </w:pPr>
            <w:r w:rsidRPr="00FD7C28">
              <w:rPr>
                <w:rFonts w:ascii="Arial Narrow" w:hAnsi="Arial Narrow"/>
                <w:sz w:val="20"/>
                <w:lang w:val="en-GB"/>
              </w:rPr>
              <w:t>Clinical criteria:</w:t>
            </w:r>
          </w:p>
        </w:tc>
        <w:tc>
          <w:tcPr>
            <w:tcW w:w="3981"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B47272" w:rsidRPr="00FD7C28" w:rsidRDefault="00B47272" w:rsidP="004E2C60">
            <w:pPr>
              <w:pStyle w:val="ListParagraph"/>
              <w:widowControl/>
              <w:numPr>
                <w:ilvl w:val="0"/>
                <w:numId w:val="10"/>
              </w:numPr>
              <w:spacing w:before="20"/>
              <w:ind w:left="284" w:hanging="284"/>
              <w:contextualSpacing w:val="0"/>
              <w:rPr>
                <w:rFonts w:ascii="Arial Narrow" w:hAnsi="Arial Narrow"/>
                <w:sz w:val="20"/>
                <w:lang w:val="en-GB"/>
              </w:rPr>
            </w:pPr>
            <w:r w:rsidRPr="00FD7C28">
              <w:rPr>
                <w:rFonts w:ascii="Arial Narrow" w:hAnsi="Arial Narrow"/>
                <w:sz w:val="20"/>
                <w:lang w:val="en-GB"/>
              </w:rPr>
              <w:t xml:space="preserve">Patient must have previously received PBS-subsidised therapy for HIV infection </w:t>
            </w:r>
          </w:p>
        </w:tc>
      </w:tr>
    </w:tbl>
    <w:p w:rsidR="004E2C60" w:rsidRPr="00FD7C28" w:rsidRDefault="004E2C60" w:rsidP="00802660">
      <w:pPr>
        <w:pStyle w:val="ListParagraph"/>
        <w:widowControl/>
        <w:rPr>
          <w:rFonts w:ascii="Arial Narrow" w:hAnsi="Arial Narrow"/>
          <w:sz w:val="18"/>
          <w:szCs w:val="18"/>
        </w:rPr>
      </w:pPr>
      <w:r w:rsidRPr="00FD7C28">
        <w:rPr>
          <w:rFonts w:ascii="Arial Narrow" w:hAnsi="Arial Narrow"/>
          <w:sz w:val="18"/>
          <w:szCs w:val="18"/>
        </w:rPr>
        <w:t>DPMQ = dispensed price for maximum quantity; HSD = Highly Specialised Drug; TBC = to be confirmed</w:t>
      </w:r>
    </w:p>
    <w:p w:rsidR="00B60939" w:rsidRPr="00FD7C28" w:rsidRDefault="00B60939" w:rsidP="004B1CB4"/>
    <w:p w:rsidR="00F97A78" w:rsidRPr="00FD7C28" w:rsidRDefault="009250AE" w:rsidP="00A35D16">
      <w:pPr>
        <w:pStyle w:val="ListParagraph"/>
        <w:widowControl/>
        <w:numPr>
          <w:ilvl w:val="1"/>
          <w:numId w:val="9"/>
        </w:numPr>
        <w:rPr>
          <w:szCs w:val="22"/>
        </w:rPr>
      </w:pPr>
      <w:r w:rsidRPr="00FD7C28">
        <w:rPr>
          <w:szCs w:val="22"/>
        </w:rPr>
        <w:t>The submission provided</w:t>
      </w:r>
      <w:r w:rsidR="00DD78C1" w:rsidRPr="00FD7C28">
        <w:rPr>
          <w:szCs w:val="22"/>
        </w:rPr>
        <w:t xml:space="preserve"> a cost-minimisation analysis of EVG/c/FTC/tenofovir alafenamide versus the </w:t>
      </w:r>
      <w:r w:rsidR="00A97B4E" w:rsidRPr="00FD7C28">
        <w:rPr>
          <w:szCs w:val="22"/>
        </w:rPr>
        <w:t xml:space="preserve">nominated </w:t>
      </w:r>
      <w:r w:rsidR="00DD78C1" w:rsidRPr="00FD7C28">
        <w:rPr>
          <w:szCs w:val="22"/>
        </w:rPr>
        <w:t>comparator, elvitegravir</w:t>
      </w:r>
      <w:r w:rsidR="00D4180B" w:rsidRPr="00FD7C28">
        <w:rPr>
          <w:szCs w:val="22"/>
        </w:rPr>
        <w:t> </w:t>
      </w:r>
      <w:r w:rsidR="0068419F" w:rsidRPr="00FD7C28">
        <w:rPr>
          <w:szCs w:val="22"/>
        </w:rPr>
        <w:t>150</w:t>
      </w:r>
      <w:r w:rsidR="00D4180B" w:rsidRPr="00FD7C28">
        <w:rPr>
          <w:szCs w:val="22"/>
        </w:rPr>
        <w:t> </w:t>
      </w:r>
      <w:r w:rsidR="0068419F" w:rsidRPr="00FD7C28">
        <w:rPr>
          <w:szCs w:val="22"/>
        </w:rPr>
        <w:t>mg/</w:t>
      </w:r>
      <w:r w:rsidR="00D4180B" w:rsidRPr="00FD7C28">
        <w:rPr>
          <w:szCs w:val="22"/>
        </w:rPr>
        <w:t xml:space="preserve"> </w:t>
      </w:r>
      <w:r w:rsidR="0068419F" w:rsidRPr="00FD7C28">
        <w:rPr>
          <w:szCs w:val="22"/>
        </w:rPr>
        <w:t>cobicistat</w:t>
      </w:r>
      <w:r w:rsidR="00D4180B" w:rsidRPr="00FD7C28">
        <w:rPr>
          <w:szCs w:val="22"/>
        </w:rPr>
        <w:t> </w:t>
      </w:r>
      <w:r w:rsidR="0068419F" w:rsidRPr="00FD7C28">
        <w:rPr>
          <w:szCs w:val="22"/>
        </w:rPr>
        <w:t>150</w:t>
      </w:r>
      <w:r w:rsidR="00D4180B" w:rsidRPr="00FD7C28">
        <w:rPr>
          <w:szCs w:val="22"/>
        </w:rPr>
        <w:t> </w:t>
      </w:r>
      <w:r w:rsidR="0068419F" w:rsidRPr="00FD7C28">
        <w:rPr>
          <w:szCs w:val="22"/>
        </w:rPr>
        <w:t>mg/emtricitabine</w:t>
      </w:r>
      <w:r w:rsidR="00D4180B" w:rsidRPr="00FD7C28">
        <w:rPr>
          <w:szCs w:val="22"/>
        </w:rPr>
        <w:t> </w:t>
      </w:r>
      <w:r w:rsidR="0068419F" w:rsidRPr="00FD7C28">
        <w:rPr>
          <w:szCs w:val="22"/>
        </w:rPr>
        <w:t>200</w:t>
      </w:r>
      <w:r w:rsidR="00D4180B" w:rsidRPr="00FD7C28">
        <w:rPr>
          <w:szCs w:val="22"/>
        </w:rPr>
        <w:t> </w:t>
      </w:r>
      <w:r w:rsidR="0068419F" w:rsidRPr="00FD7C28">
        <w:rPr>
          <w:szCs w:val="22"/>
        </w:rPr>
        <w:t>mg/tenofovir</w:t>
      </w:r>
      <w:r w:rsidR="00D4180B" w:rsidRPr="00FD7C28">
        <w:rPr>
          <w:szCs w:val="22"/>
        </w:rPr>
        <w:t> </w:t>
      </w:r>
      <w:r w:rsidR="0068419F" w:rsidRPr="00FD7C28">
        <w:rPr>
          <w:szCs w:val="22"/>
        </w:rPr>
        <w:t>disoproxil</w:t>
      </w:r>
      <w:r w:rsidR="00D4180B" w:rsidRPr="00FD7C28">
        <w:rPr>
          <w:szCs w:val="22"/>
        </w:rPr>
        <w:t> fumarate </w:t>
      </w:r>
      <w:r w:rsidR="0068419F" w:rsidRPr="00FD7C28">
        <w:rPr>
          <w:szCs w:val="22"/>
        </w:rPr>
        <w:t>300</w:t>
      </w:r>
      <w:r w:rsidR="00D4180B" w:rsidRPr="00FD7C28">
        <w:rPr>
          <w:szCs w:val="22"/>
        </w:rPr>
        <w:t> </w:t>
      </w:r>
      <w:r w:rsidR="0068419F" w:rsidRPr="00FD7C28">
        <w:rPr>
          <w:szCs w:val="22"/>
        </w:rPr>
        <w:t>mg (EVG/c/FTC/tenofovir DF).</w:t>
      </w:r>
      <w:r w:rsidR="00DD78C1" w:rsidRPr="00FD7C28">
        <w:rPr>
          <w:szCs w:val="22"/>
        </w:rPr>
        <w:t xml:space="preserve"> </w:t>
      </w:r>
    </w:p>
    <w:p w:rsidR="004E43B2" w:rsidRPr="00FD7C28" w:rsidRDefault="004E43B2" w:rsidP="004B1CB4"/>
    <w:p w:rsidR="00CD1819" w:rsidRPr="00C109D6" w:rsidRDefault="00CD1819" w:rsidP="00753877">
      <w:pPr>
        <w:ind w:left="709"/>
        <w:rPr>
          <w:i/>
        </w:rPr>
      </w:pPr>
      <w:r w:rsidRPr="00321B24">
        <w:rPr>
          <w:i/>
        </w:rPr>
        <w:t>For more detail on PBAC’</w:t>
      </w:r>
      <w:r w:rsidRPr="00754170">
        <w:rPr>
          <w:i/>
        </w:rPr>
        <w:t xml:space="preserve">s view, see section 7 </w:t>
      </w:r>
      <w:r w:rsidRPr="00673F01">
        <w:rPr>
          <w:i/>
        </w:rPr>
        <w:t>“</w:t>
      </w:r>
      <w:r w:rsidRPr="00980EE7">
        <w:rPr>
          <w:i/>
        </w:rPr>
        <w:t>PBAC outcome”</w:t>
      </w:r>
      <w:r w:rsidRPr="00C109D6">
        <w:rPr>
          <w:i/>
        </w:rPr>
        <w:t>.</w:t>
      </w:r>
    </w:p>
    <w:p w:rsidR="00B71276" w:rsidRPr="00FD7C28" w:rsidRDefault="00B71276" w:rsidP="004B1CB4"/>
    <w:p w:rsidR="0068419F" w:rsidRPr="00F43587" w:rsidRDefault="0068419F" w:rsidP="004B1CB4"/>
    <w:p w:rsidR="00B50DB8" w:rsidRPr="00EF6F2C" w:rsidRDefault="00B50DB8" w:rsidP="00413948">
      <w:pPr>
        <w:pStyle w:val="PBACHeading1"/>
      </w:pPr>
      <w:bookmarkStart w:id="4" w:name="_Toc430081384"/>
      <w:r w:rsidRPr="00EF6F2C">
        <w:t>Background</w:t>
      </w:r>
      <w:bookmarkEnd w:id="4"/>
    </w:p>
    <w:p w:rsidR="00B60939" w:rsidRPr="00EF6F2C" w:rsidRDefault="00B60939" w:rsidP="00B60939">
      <w:pPr>
        <w:rPr>
          <w:szCs w:val="22"/>
        </w:rPr>
      </w:pPr>
    </w:p>
    <w:p w:rsidR="00B60939" w:rsidRPr="00FD7C28" w:rsidRDefault="005C5373" w:rsidP="00CE2379">
      <w:pPr>
        <w:pStyle w:val="ListParagraph"/>
        <w:widowControl/>
        <w:numPr>
          <w:ilvl w:val="1"/>
          <w:numId w:val="9"/>
        </w:numPr>
        <w:rPr>
          <w:szCs w:val="22"/>
        </w:rPr>
      </w:pPr>
      <w:r w:rsidRPr="00966668">
        <w:rPr>
          <w:bCs/>
          <w:szCs w:val="22"/>
        </w:rPr>
        <w:t xml:space="preserve">TGA status at time of </w:t>
      </w:r>
      <w:r w:rsidR="00851F54" w:rsidRPr="00980EE7">
        <w:rPr>
          <w:bCs/>
          <w:szCs w:val="22"/>
        </w:rPr>
        <w:t>PBAC consideration</w:t>
      </w:r>
      <w:r w:rsidRPr="00980EE7">
        <w:rPr>
          <w:bCs/>
          <w:szCs w:val="22"/>
        </w:rPr>
        <w:t>:</w:t>
      </w:r>
      <w:r w:rsidRPr="00C109D6">
        <w:rPr>
          <w:szCs w:val="22"/>
        </w:rPr>
        <w:t xml:space="preserve"> </w:t>
      </w:r>
      <w:r w:rsidR="00851F54" w:rsidRPr="00C109D6">
        <w:rPr>
          <w:szCs w:val="22"/>
        </w:rPr>
        <w:t xml:space="preserve">Not registered. </w:t>
      </w:r>
      <w:r w:rsidR="0068419F" w:rsidRPr="005A7A62">
        <w:rPr>
          <w:szCs w:val="22"/>
        </w:rPr>
        <w:t xml:space="preserve">The submission was made under the TGA/PBAC Parallel Process. At the time of </w:t>
      </w:r>
      <w:r w:rsidR="00851F54" w:rsidRPr="00FD7C28">
        <w:rPr>
          <w:szCs w:val="22"/>
        </w:rPr>
        <w:t>PBAC consideration</w:t>
      </w:r>
      <w:r w:rsidR="0068419F" w:rsidRPr="00FD7C28">
        <w:rPr>
          <w:szCs w:val="22"/>
        </w:rPr>
        <w:t xml:space="preserve">, </w:t>
      </w:r>
      <w:r w:rsidR="00851F54" w:rsidRPr="00FD7C28">
        <w:rPr>
          <w:szCs w:val="22"/>
        </w:rPr>
        <w:t xml:space="preserve">a positive TGA Delegate summary was available. </w:t>
      </w:r>
      <w:r w:rsidR="0068419F" w:rsidRPr="00FD7C28">
        <w:rPr>
          <w:szCs w:val="22"/>
        </w:rPr>
        <w:t xml:space="preserve"> The </w:t>
      </w:r>
      <w:r w:rsidR="009250AE" w:rsidRPr="00FD7C28">
        <w:rPr>
          <w:szCs w:val="22"/>
        </w:rPr>
        <w:t>proposed TGA indication wa</w:t>
      </w:r>
      <w:r w:rsidR="0037170B" w:rsidRPr="00FD7C28">
        <w:rPr>
          <w:szCs w:val="22"/>
        </w:rPr>
        <w:t>s:</w:t>
      </w:r>
    </w:p>
    <w:p w:rsidR="0037170B" w:rsidRPr="00FD7C28" w:rsidRDefault="00D97156" w:rsidP="00825D81">
      <w:pPr>
        <w:pStyle w:val="ListParagraph"/>
        <w:widowControl/>
        <w:numPr>
          <w:ilvl w:val="0"/>
          <w:numId w:val="40"/>
        </w:numPr>
        <w:rPr>
          <w:szCs w:val="22"/>
        </w:rPr>
      </w:pPr>
      <w:r w:rsidRPr="00FD7C28">
        <w:rPr>
          <w:szCs w:val="22"/>
        </w:rPr>
        <w:lastRenderedPageBreak/>
        <w:t>F</w:t>
      </w:r>
      <w:r w:rsidR="0037170B" w:rsidRPr="00FD7C28">
        <w:rPr>
          <w:szCs w:val="22"/>
        </w:rPr>
        <w:t>or the treatment of HIV-1 infection in adults and paediatric patients 12 years of age and older without any known mutation associated with resistance to the individual components.</w:t>
      </w:r>
    </w:p>
    <w:p w:rsidR="00851F54" w:rsidRPr="00FD7C28" w:rsidRDefault="00851F54" w:rsidP="00851F54">
      <w:pPr>
        <w:widowControl/>
        <w:rPr>
          <w:szCs w:val="22"/>
        </w:rPr>
      </w:pPr>
    </w:p>
    <w:p w:rsidR="006167C3" w:rsidRPr="00FD7C28" w:rsidRDefault="0037170B" w:rsidP="006167C3">
      <w:pPr>
        <w:pStyle w:val="ListParagraph"/>
        <w:widowControl/>
        <w:numPr>
          <w:ilvl w:val="1"/>
          <w:numId w:val="9"/>
        </w:numPr>
        <w:rPr>
          <w:szCs w:val="22"/>
        </w:rPr>
      </w:pPr>
      <w:r w:rsidRPr="00FD7C28">
        <w:rPr>
          <w:szCs w:val="22"/>
        </w:rPr>
        <w:t>EVG</w:t>
      </w:r>
      <w:r w:rsidR="009250AE" w:rsidRPr="00FD7C28">
        <w:rPr>
          <w:szCs w:val="22"/>
        </w:rPr>
        <w:t>/c/FTC/tenofovir alafenamide had</w:t>
      </w:r>
      <w:r w:rsidRPr="00FD7C28">
        <w:rPr>
          <w:szCs w:val="22"/>
        </w:rPr>
        <w:t xml:space="preserve"> not been considered by </w:t>
      </w:r>
      <w:r w:rsidR="00D4180B" w:rsidRPr="00FD7C28">
        <w:rPr>
          <w:szCs w:val="22"/>
        </w:rPr>
        <w:t xml:space="preserve">the </w:t>
      </w:r>
      <w:r w:rsidRPr="00FD7C28">
        <w:rPr>
          <w:szCs w:val="22"/>
        </w:rPr>
        <w:t>PBAC previously.</w:t>
      </w:r>
    </w:p>
    <w:p w:rsidR="006167C3" w:rsidRPr="00FD7C28" w:rsidRDefault="006167C3" w:rsidP="006167C3">
      <w:pPr>
        <w:pStyle w:val="ListParagraph"/>
        <w:widowControl/>
        <w:rPr>
          <w:szCs w:val="22"/>
        </w:rPr>
      </w:pPr>
    </w:p>
    <w:p w:rsidR="006167C3" w:rsidRPr="00FD7C28" w:rsidRDefault="006167C3" w:rsidP="006167C3">
      <w:pPr>
        <w:pStyle w:val="ListParagraph"/>
        <w:widowControl/>
        <w:numPr>
          <w:ilvl w:val="1"/>
          <w:numId w:val="9"/>
        </w:numPr>
        <w:rPr>
          <w:szCs w:val="22"/>
        </w:rPr>
      </w:pPr>
      <w:r w:rsidRPr="00FD7C28">
        <w:rPr>
          <w:szCs w:val="22"/>
        </w:rPr>
        <w:t>EVG/c/FTC/tenofovir DF (Stribild</w:t>
      </w:r>
      <w:r w:rsidRPr="00FD7C28">
        <w:rPr>
          <w:szCs w:val="22"/>
          <w:vertAlign w:val="superscript"/>
        </w:rPr>
        <w:t>®</w:t>
      </w:r>
      <w:r w:rsidRPr="00FD7C28">
        <w:rPr>
          <w:szCs w:val="22"/>
        </w:rPr>
        <w:t xml:space="preserve">) was </w:t>
      </w:r>
      <w:r w:rsidR="00833975" w:rsidRPr="00FD7C28">
        <w:rPr>
          <w:szCs w:val="22"/>
        </w:rPr>
        <w:t xml:space="preserve">originally </w:t>
      </w:r>
      <w:r w:rsidRPr="00FD7C28">
        <w:rPr>
          <w:szCs w:val="22"/>
        </w:rPr>
        <w:t xml:space="preserve">considered by </w:t>
      </w:r>
      <w:r w:rsidR="00D4180B" w:rsidRPr="00FD7C28">
        <w:rPr>
          <w:szCs w:val="22"/>
        </w:rPr>
        <w:t xml:space="preserve">the </w:t>
      </w:r>
      <w:r w:rsidRPr="00FD7C28">
        <w:rPr>
          <w:szCs w:val="22"/>
        </w:rPr>
        <w:t xml:space="preserve">PBAC in </w:t>
      </w:r>
      <w:r w:rsidR="00FD7C28">
        <w:rPr>
          <w:szCs w:val="22"/>
        </w:rPr>
        <w:br/>
      </w:r>
      <w:r w:rsidRPr="00FD7C28">
        <w:rPr>
          <w:szCs w:val="22"/>
        </w:rPr>
        <w:t>March 2013</w:t>
      </w:r>
      <w:r w:rsidR="00833975" w:rsidRPr="00F43587">
        <w:rPr>
          <w:szCs w:val="22"/>
        </w:rPr>
        <w:t xml:space="preserve"> and</w:t>
      </w:r>
      <w:r w:rsidR="00E16B95" w:rsidRPr="00F43587">
        <w:rPr>
          <w:szCs w:val="22"/>
        </w:rPr>
        <w:t xml:space="preserve"> t</w:t>
      </w:r>
      <w:r w:rsidRPr="00F43587">
        <w:rPr>
          <w:szCs w:val="22"/>
        </w:rPr>
        <w:t>he PBAC recommended that a cost-offset be applied to EVG/c/FTC/teno</w:t>
      </w:r>
      <w:r w:rsidR="00D4180B" w:rsidRPr="00EF6F2C">
        <w:rPr>
          <w:szCs w:val="22"/>
        </w:rPr>
        <w:t>fovir </w:t>
      </w:r>
      <w:r w:rsidRPr="00EF6F2C">
        <w:rPr>
          <w:szCs w:val="22"/>
        </w:rPr>
        <w:t>DF to account for increased renal monitoring compared to those patients using efavirenz/FTC/tenofovir DF (Atripla</w:t>
      </w:r>
      <w:r w:rsidRPr="00754170">
        <w:rPr>
          <w:szCs w:val="22"/>
          <w:vertAlign w:val="superscript"/>
        </w:rPr>
        <w:t>®</w:t>
      </w:r>
      <w:r w:rsidRPr="00673F01">
        <w:rPr>
          <w:szCs w:val="22"/>
        </w:rPr>
        <w:t>)</w:t>
      </w:r>
      <w:r w:rsidRPr="00980EE7">
        <w:rPr>
          <w:szCs w:val="22"/>
        </w:rPr>
        <w:t xml:space="preserve">. </w:t>
      </w:r>
      <w:r w:rsidR="00E16B95" w:rsidRPr="00980EE7">
        <w:rPr>
          <w:szCs w:val="22"/>
        </w:rPr>
        <w:t>In November 2013</w:t>
      </w:r>
      <w:r w:rsidR="00137912" w:rsidRPr="00C109D6">
        <w:rPr>
          <w:szCs w:val="22"/>
        </w:rPr>
        <w:t>,</w:t>
      </w:r>
      <w:r w:rsidR="00E16B95" w:rsidRPr="005A7A62">
        <w:rPr>
          <w:szCs w:val="22"/>
        </w:rPr>
        <w:t xml:space="preserve"> the PBAC accepted that </w:t>
      </w:r>
      <w:r w:rsidRPr="00FD7C28">
        <w:rPr>
          <w:szCs w:val="22"/>
        </w:rPr>
        <w:t xml:space="preserve">EVG/c/FTC/tenofovir DF was </w:t>
      </w:r>
      <w:r w:rsidR="00E16B95" w:rsidRPr="00FD7C28">
        <w:rPr>
          <w:szCs w:val="22"/>
        </w:rPr>
        <w:t xml:space="preserve">non-inferior in terms of safety </w:t>
      </w:r>
      <w:r w:rsidR="00137912" w:rsidRPr="00FD7C28">
        <w:rPr>
          <w:szCs w:val="22"/>
        </w:rPr>
        <w:t>compared with</w:t>
      </w:r>
      <w:r w:rsidR="00E16B95" w:rsidRPr="00FD7C28">
        <w:rPr>
          <w:szCs w:val="22"/>
        </w:rPr>
        <w:t xml:space="preserve"> efavirenz/FTC/tenofovir DF, and EVG/c/FTC/tenofovir DF was listed on the PBS</w:t>
      </w:r>
      <w:r w:rsidR="00833975" w:rsidRPr="00FD7C28">
        <w:rPr>
          <w:szCs w:val="22"/>
        </w:rPr>
        <w:t xml:space="preserve"> with no cost-offsets</w:t>
      </w:r>
      <w:r w:rsidR="00E16B95" w:rsidRPr="00FD7C28">
        <w:rPr>
          <w:szCs w:val="22"/>
        </w:rPr>
        <w:t xml:space="preserve"> in</w:t>
      </w:r>
      <w:r w:rsidR="00833975" w:rsidRPr="00FD7C28">
        <w:rPr>
          <w:szCs w:val="22"/>
        </w:rPr>
        <w:t xml:space="preserve"> May 2014.</w:t>
      </w:r>
    </w:p>
    <w:p w:rsidR="00B60939" w:rsidRPr="00FD7C28" w:rsidRDefault="00B60939" w:rsidP="004B1CB4"/>
    <w:p w:rsidR="00CD1819" w:rsidRPr="00980EE7" w:rsidRDefault="00CD1819" w:rsidP="00CD1819">
      <w:pPr>
        <w:ind w:left="709"/>
        <w:rPr>
          <w:i/>
        </w:rPr>
      </w:pPr>
      <w:r w:rsidRPr="00321B24">
        <w:rPr>
          <w:i/>
        </w:rPr>
        <w:t xml:space="preserve">For more detail on PBAC’s view, see section 7 </w:t>
      </w:r>
      <w:r w:rsidRPr="00754170">
        <w:rPr>
          <w:i/>
        </w:rPr>
        <w:t>“</w:t>
      </w:r>
      <w:r w:rsidRPr="00673F01">
        <w:rPr>
          <w:i/>
        </w:rPr>
        <w:t>PBAC outcome</w:t>
      </w:r>
      <w:r w:rsidRPr="00980EE7">
        <w:rPr>
          <w:i/>
        </w:rPr>
        <w:t>”.</w:t>
      </w:r>
    </w:p>
    <w:p w:rsidR="00E55BB5" w:rsidRPr="00FD7C28" w:rsidRDefault="00E55BB5" w:rsidP="004B1CB4"/>
    <w:p w:rsidR="00B71276" w:rsidRPr="00F43587" w:rsidRDefault="00B71276" w:rsidP="004B1CB4"/>
    <w:p w:rsidR="00B50DB8" w:rsidRPr="00EF6F2C" w:rsidRDefault="00B50DB8" w:rsidP="00413948">
      <w:pPr>
        <w:pStyle w:val="PBACHeading1"/>
      </w:pPr>
      <w:bookmarkStart w:id="5" w:name="_Toc430081385"/>
      <w:r w:rsidRPr="00EF6F2C">
        <w:t>Clinical place for the proposed therapy</w:t>
      </w:r>
      <w:bookmarkEnd w:id="5"/>
    </w:p>
    <w:p w:rsidR="00B60939" w:rsidRPr="00EF6F2C" w:rsidRDefault="00B60939" w:rsidP="00B60939">
      <w:pPr>
        <w:rPr>
          <w:szCs w:val="22"/>
        </w:rPr>
      </w:pPr>
    </w:p>
    <w:p w:rsidR="00894489" w:rsidRPr="00FD7C28" w:rsidRDefault="00646017" w:rsidP="00894489">
      <w:pPr>
        <w:pStyle w:val="ListParagraph"/>
        <w:widowControl/>
        <w:numPr>
          <w:ilvl w:val="1"/>
          <w:numId w:val="9"/>
        </w:numPr>
        <w:rPr>
          <w:szCs w:val="22"/>
        </w:rPr>
      </w:pPr>
      <w:r w:rsidRPr="00754170">
        <w:t xml:space="preserve">The proposed drug is a </w:t>
      </w:r>
      <w:r w:rsidR="009250AE" w:rsidRPr="00673F01">
        <w:t>FDC</w:t>
      </w:r>
      <w:r w:rsidRPr="00980EE7">
        <w:t xml:space="preserve"> product containing four antiretrovirals for the treatment of HIV</w:t>
      </w:r>
      <w:r w:rsidR="009250AE" w:rsidRPr="00980EE7">
        <w:t xml:space="preserve"> infection</w:t>
      </w:r>
      <w:r w:rsidRPr="00C109D6">
        <w:t xml:space="preserve">: elvitegravir, a HIV integrase strand transfer inhibitor (INSTI); cobicistat, </w:t>
      </w:r>
      <w:r w:rsidRPr="00FD7C28">
        <w:t xml:space="preserve">an enhancer of CYP3A substrates; and emtricitabine and tenofovir alafenamide, </w:t>
      </w:r>
      <w:r w:rsidR="009250AE" w:rsidRPr="00FD7C28">
        <w:t xml:space="preserve">which are </w:t>
      </w:r>
      <w:r w:rsidRPr="00FD7C28">
        <w:t xml:space="preserve">nucleoside reverse transcriptase inhibitors (NRTIs). </w:t>
      </w:r>
    </w:p>
    <w:p w:rsidR="00C00CD3" w:rsidRPr="00FD7C28" w:rsidRDefault="00C00CD3" w:rsidP="00C00CD3">
      <w:pPr>
        <w:pStyle w:val="ListParagraph"/>
        <w:widowControl/>
        <w:rPr>
          <w:szCs w:val="22"/>
        </w:rPr>
      </w:pPr>
    </w:p>
    <w:p w:rsidR="002C2775" w:rsidRPr="00EF319D" w:rsidRDefault="009250AE" w:rsidP="00607E10">
      <w:pPr>
        <w:pStyle w:val="ListParagraph"/>
        <w:widowControl/>
        <w:numPr>
          <w:ilvl w:val="1"/>
          <w:numId w:val="9"/>
        </w:numPr>
        <w:rPr>
          <w:szCs w:val="22"/>
        </w:rPr>
      </w:pPr>
      <w:r w:rsidRPr="00FD7C28">
        <w:rPr>
          <w:szCs w:val="22"/>
        </w:rPr>
        <w:t>It wa</w:t>
      </w:r>
      <w:r w:rsidR="00646017" w:rsidRPr="00FD7C28">
        <w:rPr>
          <w:szCs w:val="22"/>
        </w:rPr>
        <w:t>s proposed that EVG/c/FTC/tenofovir alafenamide would be used first</w:t>
      </w:r>
      <w:r w:rsidR="00CE00C2" w:rsidRPr="00FD7C28">
        <w:rPr>
          <w:szCs w:val="22"/>
        </w:rPr>
        <w:t xml:space="preserve"> </w:t>
      </w:r>
      <w:r w:rsidR="00646017" w:rsidRPr="00FD7C28">
        <w:rPr>
          <w:szCs w:val="22"/>
        </w:rPr>
        <w:t>line in treatment</w:t>
      </w:r>
      <w:r w:rsidR="006B59C5" w:rsidRPr="00FD7C28">
        <w:rPr>
          <w:szCs w:val="22"/>
        </w:rPr>
        <w:t>-</w:t>
      </w:r>
      <w:r w:rsidR="00646017" w:rsidRPr="00FD7C28">
        <w:rPr>
          <w:szCs w:val="22"/>
        </w:rPr>
        <w:t>naïve patients. In treatment</w:t>
      </w:r>
      <w:r w:rsidR="006B59C5" w:rsidRPr="00FD7C28">
        <w:rPr>
          <w:szCs w:val="22"/>
        </w:rPr>
        <w:t>-</w:t>
      </w:r>
      <w:r w:rsidR="00646017" w:rsidRPr="00FD7C28">
        <w:rPr>
          <w:szCs w:val="22"/>
        </w:rPr>
        <w:t>experienced virologically supressed patients</w:t>
      </w:r>
      <w:r w:rsidR="00C00CD3" w:rsidRPr="00FD7C28">
        <w:rPr>
          <w:szCs w:val="22"/>
        </w:rPr>
        <w:t>, the choic</w:t>
      </w:r>
      <w:r w:rsidRPr="00FD7C28">
        <w:rPr>
          <w:szCs w:val="22"/>
        </w:rPr>
        <w:t>e of therapy would be</w:t>
      </w:r>
      <w:r w:rsidR="00C00CD3" w:rsidRPr="00FD7C28">
        <w:rPr>
          <w:szCs w:val="22"/>
        </w:rPr>
        <w:t xml:space="preserve"> guided by the resistance profile, and EVG/c/FTC/tenofovir alafenamide would be used when appropriate.</w:t>
      </w:r>
      <w:r w:rsidR="0064697A" w:rsidRPr="00FD7C28">
        <w:rPr>
          <w:szCs w:val="22"/>
        </w:rPr>
        <w:t xml:space="preserve"> </w:t>
      </w:r>
      <w:r w:rsidR="00F900EE" w:rsidRPr="00EF319D">
        <w:rPr>
          <w:szCs w:val="22"/>
        </w:rPr>
        <w:t xml:space="preserve">The ESC noted </w:t>
      </w:r>
      <w:r w:rsidR="0064697A" w:rsidRPr="00EF319D">
        <w:rPr>
          <w:szCs w:val="22"/>
        </w:rPr>
        <w:t xml:space="preserve">that the most recent </w:t>
      </w:r>
      <w:r w:rsidR="0064697A" w:rsidRPr="00EF319D">
        <w:t>US Department of Health and Human Services HIV treatment guidelines</w:t>
      </w:r>
      <w:r w:rsidR="00F43587">
        <w:t xml:space="preserve"> (</w:t>
      </w:r>
      <w:r w:rsidR="00F43587" w:rsidRPr="00EF319D">
        <w:t xml:space="preserve">Guidelines for the use of Antiretroviral Agents in HIV-1-Infected Adults and Adolescents, US Department of Health and Human Services) </w:t>
      </w:r>
      <w:r w:rsidR="0064697A" w:rsidRPr="00EF319D">
        <w:t xml:space="preserve"> and the Australian commentary</w:t>
      </w:r>
      <w:r w:rsidR="00EF319D">
        <w:t xml:space="preserve"> </w:t>
      </w:r>
      <w:r w:rsidR="00F43587">
        <w:t>(</w:t>
      </w:r>
      <w:r w:rsidR="00F43587" w:rsidRPr="00EF319D">
        <w:t>Australian Commentary to the US Department of Health and Human Services Guidelines for the use of Antiretroviral Agents in HIV-1-Infected Adults and Adolescent)</w:t>
      </w:r>
      <w:r w:rsidR="0064697A" w:rsidRPr="00EF319D">
        <w:t xml:space="preserve"> recommend </w:t>
      </w:r>
      <w:r w:rsidR="0064697A" w:rsidRPr="00EF319D">
        <w:rPr>
          <w:szCs w:val="22"/>
        </w:rPr>
        <w:t>EVG/c/FTC/tenofovir DF (Stribild</w:t>
      </w:r>
      <w:r w:rsidR="0064697A" w:rsidRPr="00EF319D">
        <w:rPr>
          <w:szCs w:val="22"/>
          <w:vertAlign w:val="superscript"/>
        </w:rPr>
        <w:t>®</w:t>
      </w:r>
      <w:r w:rsidR="0064697A" w:rsidRPr="00EF319D">
        <w:rPr>
          <w:szCs w:val="22"/>
        </w:rPr>
        <w:t>) as one option for first line therapy in treatment naïve patients</w:t>
      </w:r>
      <w:r w:rsidR="00822FF7" w:rsidRPr="00EF319D">
        <w:rPr>
          <w:szCs w:val="22"/>
        </w:rPr>
        <w:t>.</w:t>
      </w:r>
      <w:r w:rsidR="0064697A" w:rsidRPr="00EF319D">
        <w:rPr>
          <w:szCs w:val="22"/>
        </w:rPr>
        <w:t xml:space="preserve"> </w:t>
      </w:r>
      <w:r w:rsidR="00822FF7" w:rsidRPr="00EF319D">
        <w:rPr>
          <w:szCs w:val="22"/>
        </w:rPr>
        <w:t>The ESC noted</w:t>
      </w:r>
      <w:r w:rsidR="0064697A" w:rsidRPr="00EF319D">
        <w:rPr>
          <w:szCs w:val="22"/>
        </w:rPr>
        <w:t xml:space="preserve"> tenofovir alafenamide-containing regimens are not yet included in the guidelines.  The ESC considered </w:t>
      </w:r>
      <w:r w:rsidR="00822FF7" w:rsidRPr="00EF319D">
        <w:rPr>
          <w:szCs w:val="22"/>
        </w:rPr>
        <w:t>it</w:t>
      </w:r>
      <w:r w:rsidR="002419A9" w:rsidRPr="00EF319D">
        <w:rPr>
          <w:szCs w:val="22"/>
        </w:rPr>
        <w:t xml:space="preserve"> may be</w:t>
      </w:r>
      <w:r w:rsidR="001C0192" w:rsidRPr="00EF319D">
        <w:rPr>
          <w:szCs w:val="22"/>
        </w:rPr>
        <w:t xml:space="preserve"> </w:t>
      </w:r>
      <w:r w:rsidR="0064697A" w:rsidRPr="00EF319D">
        <w:rPr>
          <w:szCs w:val="22"/>
        </w:rPr>
        <w:t>appropriate to consider</w:t>
      </w:r>
      <w:r w:rsidR="00822FF7" w:rsidRPr="00EF319D">
        <w:rPr>
          <w:szCs w:val="22"/>
        </w:rPr>
        <w:t xml:space="preserve"> that the likely place in therapy for</w:t>
      </w:r>
      <w:r w:rsidR="0064697A" w:rsidRPr="00EF319D">
        <w:rPr>
          <w:szCs w:val="22"/>
        </w:rPr>
        <w:t xml:space="preserve"> EVG/c/FTC/tenofovir alafenamide would be </w:t>
      </w:r>
      <w:r w:rsidR="00822FF7" w:rsidRPr="00EF319D">
        <w:rPr>
          <w:szCs w:val="22"/>
        </w:rPr>
        <w:t>as</w:t>
      </w:r>
      <w:r w:rsidR="0064697A" w:rsidRPr="00EF319D">
        <w:rPr>
          <w:szCs w:val="22"/>
        </w:rPr>
        <w:t xml:space="preserve"> first line.  </w:t>
      </w:r>
    </w:p>
    <w:p w:rsidR="00E55BB5" w:rsidRPr="00FD7C28" w:rsidRDefault="00E55BB5" w:rsidP="00B60939">
      <w:pPr>
        <w:pStyle w:val="Header"/>
        <w:rPr>
          <w:szCs w:val="22"/>
        </w:rPr>
      </w:pPr>
    </w:p>
    <w:p w:rsidR="00CD1819" w:rsidRPr="00753877" w:rsidRDefault="00CD1819" w:rsidP="00CD1819">
      <w:pPr>
        <w:ind w:left="709"/>
        <w:rPr>
          <w:i/>
        </w:rPr>
      </w:pPr>
      <w:r w:rsidRPr="00753877">
        <w:rPr>
          <w:i/>
        </w:rPr>
        <w:t>For more detail on PBAC’s view, see section 7 “PBAC outcome”.</w:t>
      </w:r>
    </w:p>
    <w:p w:rsidR="00CD1819" w:rsidRPr="00FD7C28" w:rsidRDefault="00CD1819" w:rsidP="00B60939">
      <w:pPr>
        <w:pStyle w:val="Header"/>
        <w:rPr>
          <w:szCs w:val="22"/>
        </w:rPr>
      </w:pPr>
    </w:p>
    <w:p w:rsidR="00B50DB8" w:rsidRPr="00EF6F2C" w:rsidRDefault="00B50DB8" w:rsidP="00413948">
      <w:pPr>
        <w:pStyle w:val="PBACHeading1"/>
      </w:pPr>
      <w:bookmarkStart w:id="6" w:name="_Toc430081386"/>
      <w:r w:rsidRPr="00EF6F2C">
        <w:t>Comparator</w:t>
      </w:r>
      <w:bookmarkEnd w:id="6"/>
    </w:p>
    <w:p w:rsidR="00B60939" w:rsidRPr="00754170" w:rsidRDefault="00B60939" w:rsidP="004B1CB4"/>
    <w:p w:rsidR="00C00CD3" w:rsidRPr="00FD7C28" w:rsidRDefault="004E2C60" w:rsidP="00CE2379">
      <w:pPr>
        <w:pStyle w:val="ListParagraph"/>
        <w:widowControl/>
        <w:numPr>
          <w:ilvl w:val="1"/>
          <w:numId w:val="9"/>
        </w:numPr>
        <w:rPr>
          <w:szCs w:val="22"/>
        </w:rPr>
      </w:pPr>
      <w:r w:rsidRPr="00673F01">
        <w:t xml:space="preserve">The submission </w:t>
      </w:r>
      <w:r w:rsidRPr="00980EE7">
        <w:t>nominated e</w:t>
      </w:r>
      <w:r w:rsidR="00C00CD3" w:rsidRPr="00980EE7">
        <w:t>lvitegravir 150 mg/cobicistat 150 mg/emtricitabine 200</w:t>
      </w:r>
      <w:r w:rsidR="00CE00C2" w:rsidRPr="00C109D6">
        <w:t> </w:t>
      </w:r>
      <w:r w:rsidR="00C00CD3" w:rsidRPr="005A7A62">
        <w:t xml:space="preserve">mg/tenofovir disoproxil fumarate 300 mg </w:t>
      </w:r>
      <w:r w:rsidRPr="00FD7C28">
        <w:t xml:space="preserve">(EVG/c/FTC/tenofovir DF) </w:t>
      </w:r>
      <w:r w:rsidR="00C00CD3" w:rsidRPr="00FD7C28">
        <w:t>FDC</w:t>
      </w:r>
      <w:r w:rsidRPr="00FD7C28">
        <w:t xml:space="preserve"> (Stribild</w:t>
      </w:r>
      <w:r w:rsidRPr="00FD7C28">
        <w:rPr>
          <w:vertAlign w:val="superscript"/>
        </w:rPr>
        <w:t>®</w:t>
      </w:r>
      <w:r w:rsidRPr="00FD7C28">
        <w:t>) as the comparator</w:t>
      </w:r>
      <w:r w:rsidR="00F067A2" w:rsidRPr="00FD7C28">
        <w:t>.</w:t>
      </w:r>
      <w:r w:rsidR="00602A7D" w:rsidRPr="00FD7C28">
        <w:t xml:space="preserve">  </w:t>
      </w:r>
      <w:r w:rsidR="00F067A2" w:rsidRPr="00FD7C28">
        <w:t xml:space="preserve">  </w:t>
      </w:r>
    </w:p>
    <w:p w:rsidR="00C00CD3" w:rsidRPr="00FD7C28" w:rsidRDefault="00C00CD3" w:rsidP="00C00CD3">
      <w:pPr>
        <w:pStyle w:val="ListParagraph"/>
        <w:widowControl/>
        <w:rPr>
          <w:szCs w:val="22"/>
        </w:rPr>
      </w:pPr>
    </w:p>
    <w:p w:rsidR="002C2775" w:rsidRPr="00FD7C28" w:rsidRDefault="009250AE" w:rsidP="00CE2379">
      <w:pPr>
        <w:pStyle w:val="ListParagraph"/>
        <w:widowControl/>
        <w:numPr>
          <w:ilvl w:val="1"/>
          <w:numId w:val="9"/>
        </w:numPr>
        <w:rPr>
          <w:szCs w:val="22"/>
        </w:rPr>
      </w:pPr>
      <w:r w:rsidRPr="00FD7C28">
        <w:t>This wa</w:t>
      </w:r>
      <w:r w:rsidR="00F067A2" w:rsidRPr="00FD7C28">
        <w:t>s the appropriate comparator</w:t>
      </w:r>
      <w:r w:rsidR="00C00CD3" w:rsidRPr="00FD7C28">
        <w:t xml:space="preserve"> for adult patients without renal impairment</w:t>
      </w:r>
      <w:r w:rsidR="00F067A2" w:rsidRPr="00FD7C28">
        <w:t>.</w:t>
      </w:r>
      <w:r w:rsidR="00C00CD3" w:rsidRPr="00FD7C28">
        <w:t xml:space="preserve"> For adolescents</w:t>
      </w:r>
      <w:r w:rsidR="00337175" w:rsidRPr="00FD7C28">
        <w:t xml:space="preserve"> and patients with renal impairment, dolute</w:t>
      </w:r>
      <w:r w:rsidR="00B35888" w:rsidRPr="00FD7C28">
        <w:t>g</w:t>
      </w:r>
      <w:r w:rsidR="00337175" w:rsidRPr="00FD7C28">
        <w:t>ravir/abacavir/lamivudine (DTG/ABC/3TC) FDC (Triumeq</w:t>
      </w:r>
      <w:r w:rsidR="00337175" w:rsidRPr="00FD7C28">
        <w:rPr>
          <w:vertAlign w:val="superscript"/>
        </w:rPr>
        <w:t>®</w:t>
      </w:r>
      <w:r w:rsidR="00337175" w:rsidRPr="00FD7C28">
        <w:t>) might be the more appropriate comparator</w:t>
      </w:r>
      <w:r w:rsidR="00C00CD3" w:rsidRPr="00FD7C28">
        <w:t>,</w:t>
      </w:r>
      <w:r w:rsidR="00337175" w:rsidRPr="00FD7C28">
        <w:t xml:space="preserve"> as </w:t>
      </w:r>
      <w:r w:rsidR="00C00CD3" w:rsidRPr="00FD7C28">
        <w:t xml:space="preserve">EVG/c/FTC/tenofovir DF </w:t>
      </w:r>
      <w:r w:rsidR="00337175" w:rsidRPr="00FD7C28">
        <w:t xml:space="preserve">is not indicated for adolescents (12-18 years) and patients </w:t>
      </w:r>
      <w:r w:rsidR="00337175" w:rsidRPr="00FD7C28">
        <w:lastRenderedPageBreak/>
        <w:t>with an estimated glomerular filtration rate below 70 mL/minute (Australian product information)</w:t>
      </w:r>
      <w:r w:rsidR="00DA29E7" w:rsidRPr="00FD7C28">
        <w:t xml:space="preserve">. </w:t>
      </w:r>
      <w:r w:rsidR="00F067A2" w:rsidRPr="00FD7C28">
        <w:t xml:space="preserve"> </w:t>
      </w:r>
      <w:r w:rsidR="00587BE6" w:rsidRPr="00EF6F2C">
        <w:t xml:space="preserve">The ESC agreed that Stribild is the main comparator, but that EVG/c/FTC/tenofovir alafenamide might also displace other TDF/FTC-containing single tablet and multi-tablet highly active </w:t>
      </w:r>
      <w:r w:rsidR="00B84E67" w:rsidRPr="00EF6F2C">
        <w:t xml:space="preserve">antiretroviral </w:t>
      </w:r>
      <w:r w:rsidR="00587BE6" w:rsidRPr="00EF6F2C">
        <w:t>therapies as well as DTG/ABC/3TC.</w:t>
      </w:r>
    </w:p>
    <w:p w:rsidR="00421922" w:rsidRPr="00F43587" w:rsidRDefault="00421922" w:rsidP="00421922">
      <w:pPr>
        <w:widowControl/>
        <w:rPr>
          <w:szCs w:val="22"/>
        </w:rPr>
      </w:pPr>
    </w:p>
    <w:p w:rsidR="00CD1819" w:rsidRPr="00EF6F2C" w:rsidRDefault="00CD1819" w:rsidP="00CD1819">
      <w:pPr>
        <w:ind w:left="709"/>
      </w:pPr>
      <w:r w:rsidRPr="00EF6F2C">
        <w:t>For more detail on PBAC’s view, see section 7 “PBAC outcome”.</w:t>
      </w:r>
    </w:p>
    <w:p w:rsidR="00CD1819" w:rsidRPr="00FD7C28" w:rsidRDefault="00CD1819" w:rsidP="00CD1819">
      <w:pPr>
        <w:widowControl/>
        <w:rPr>
          <w:szCs w:val="22"/>
        </w:rPr>
      </w:pPr>
    </w:p>
    <w:p w:rsidR="00B60939" w:rsidRPr="00F43587" w:rsidRDefault="00B60939" w:rsidP="00DF5D2B">
      <w:pPr>
        <w:rPr>
          <w:szCs w:val="22"/>
        </w:rPr>
      </w:pPr>
    </w:p>
    <w:p w:rsidR="00B50DB8" w:rsidRPr="00EF6F2C" w:rsidRDefault="00BD6CF3" w:rsidP="00413948">
      <w:pPr>
        <w:pStyle w:val="PBACHeading1"/>
      </w:pPr>
      <w:bookmarkStart w:id="7" w:name="_Toc430081387"/>
      <w:r w:rsidRPr="00EF6F2C">
        <w:t>C</w:t>
      </w:r>
      <w:r w:rsidR="00B50DB8" w:rsidRPr="00EF6F2C">
        <w:t>onsideration of the evidence</w:t>
      </w:r>
      <w:bookmarkEnd w:id="7"/>
    </w:p>
    <w:p w:rsidR="00B60939" w:rsidRDefault="00B60939" w:rsidP="004B1CB4"/>
    <w:p w:rsidR="00EF6F2C" w:rsidRPr="00413948" w:rsidRDefault="00EF6F2C" w:rsidP="00413948">
      <w:pPr>
        <w:pStyle w:val="Heading2"/>
      </w:pPr>
      <w:r w:rsidRPr="00413948">
        <w:t>Sponsor hearing</w:t>
      </w:r>
    </w:p>
    <w:p w:rsidR="00EF6F2C" w:rsidRDefault="00EF6F2C" w:rsidP="004B1CB4"/>
    <w:p w:rsidR="00EF6F2C" w:rsidRDefault="00EF6F2C" w:rsidP="00EF6F2C">
      <w:pPr>
        <w:pStyle w:val="ListParagraph"/>
        <w:widowControl/>
        <w:numPr>
          <w:ilvl w:val="1"/>
          <w:numId w:val="9"/>
        </w:numPr>
      </w:pPr>
      <w:r>
        <w:t>There was no hearing for this item.</w:t>
      </w:r>
    </w:p>
    <w:p w:rsidR="00EF6F2C" w:rsidRDefault="00EF6F2C" w:rsidP="00EF6F2C">
      <w:pPr>
        <w:widowControl/>
      </w:pPr>
    </w:p>
    <w:p w:rsidR="00EF6F2C" w:rsidRPr="0078537A" w:rsidRDefault="00EF6F2C" w:rsidP="00413948">
      <w:pPr>
        <w:pStyle w:val="Heading2"/>
      </w:pPr>
      <w:r w:rsidRPr="0078537A">
        <w:t>Consumer comments</w:t>
      </w:r>
    </w:p>
    <w:p w:rsidR="00EF6F2C" w:rsidRDefault="00EF6F2C" w:rsidP="00EF6F2C">
      <w:pPr>
        <w:widowControl/>
      </w:pPr>
    </w:p>
    <w:p w:rsidR="00EF6F2C" w:rsidRDefault="00EF6F2C" w:rsidP="00EF6F2C">
      <w:pPr>
        <w:pStyle w:val="ListParagraph"/>
        <w:widowControl/>
        <w:numPr>
          <w:ilvl w:val="1"/>
          <w:numId w:val="9"/>
        </w:numPr>
      </w:pPr>
      <w:r>
        <w:t>The PBAC noted that no consumer comments were received for this item.</w:t>
      </w:r>
    </w:p>
    <w:p w:rsidR="00B71276" w:rsidRPr="00EF6F2C" w:rsidRDefault="00B71276" w:rsidP="00413948">
      <w:pPr>
        <w:pStyle w:val="Heading2"/>
      </w:pPr>
      <w:bookmarkStart w:id="8" w:name="_Toc430081388"/>
    </w:p>
    <w:p w:rsidR="00B60939" w:rsidRPr="00EF6F2C" w:rsidRDefault="00B60939" w:rsidP="00413948">
      <w:pPr>
        <w:pStyle w:val="Heading2"/>
      </w:pPr>
      <w:r w:rsidRPr="00EF6F2C">
        <w:t>Clinical trials</w:t>
      </w:r>
      <w:bookmarkEnd w:id="8"/>
    </w:p>
    <w:p w:rsidR="00B60939" w:rsidRPr="00FD7C28" w:rsidRDefault="00B60939" w:rsidP="00B60939">
      <w:pPr>
        <w:rPr>
          <w:szCs w:val="22"/>
        </w:rPr>
      </w:pPr>
    </w:p>
    <w:p w:rsidR="007F1017" w:rsidRPr="00FD7C28" w:rsidRDefault="009250AE" w:rsidP="00CE2379">
      <w:pPr>
        <w:pStyle w:val="ListParagraph"/>
        <w:widowControl/>
        <w:numPr>
          <w:ilvl w:val="1"/>
          <w:numId w:val="9"/>
        </w:numPr>
        <w:rPr>
          <w:szCs w:val="22"/>
        </w:rPr>
      </w:pPr>
      <w:r w:rsidRPr="00F43587">
        <w:t>The submission wa</w:t>
      </w:r>
      <w:r w:rsidR="00862502" w:rsidRPr="00F43587">
        <w:t xml:space="preserve">s based on </w:t>
      </w:r>
      <w:r w:rsidR="00421922" w:rsidRPr="00F43587">
        <w:t xml:space="preserve">two </w:t>
      </w:r>
      <w:r w:rsidR="00862502" w:rsidRPr="00F43587">
        <w:t xml:space="preserve">head-to-head </w:t>
      </w:r>
      <w:r w:rsidR="007F3204" w:rsidRPr="00F43587">
        <w:t xml:space="preserve">randomised controlled </w:t>
      </w:r>
      <w:r w:rsidR="00862502" w:rsidRPr="00EF319D">
        <w:t>trial</w:t>
      </w:r>
      <w:r w:rsidR="00421922" w:rsidRPr="00EF319D">
        <w:t>s</w:t>
      </w:r>
      <w:r w:rsidR="00862502" w:rsidRPr="00EF6F2C">
        <w:t xml:space="preserve"> comparing </w:t>
      </w:r>
      <w:r w:rsidR="00421922" w:rsidRPr="00EF6F2C">
        <w:t xml:space="preserve">EVG/c/FTC/tenofovir alafenamide </w:t>
      </w:r>
      <w:r w:rsidR="00862502" w:rsidRPr="00EF6F2C">
        <w:t xml:space="preserve">to </w:t>
      </w:r>
      <w:r w:rsidR="00421922" w:rsidRPr="00EF6F2C">
        <w:t>EVG/c/FTC/tenofovir DF in treatment</w:t>
      </w:r>
      <w:r w:rsidR="006B59C5" w:rsidRPr="00EF6F2C">
        <w:t>-</w:t>
      </w:r>
      <w:r w:rsidR="00421922" w:rsidRPr="00EF6F2C">
        <w:t>naïve patients (Study 104, n = 872; and Study 111, n = 872)</w:t>
      </w:r>
      <w:r w:rsidR="00F22A9F" w:rsidRPr="00EF6F2C">
        <w:t xml:space="preserve">. These studies </w:t>
      </w:r>
      <w:r w:rsidR="00F22A9F" w:rsidRPr="00754170">
        <w:t xml:space="preserve">assessed efficacy and safety, and used a </w:t>
      </w:r>
      <w:r w:rsidR="000415DF" w:rsidRPr="0017235C">
        <w:t>±</w:t>
      </w:r>
      <w:r w:rsidR="006C714A" w:rsidRPr="00673F01">
        <w:t xml:space="preserve"> </w:t>
      </w:r>
      <w:r w:rsidR="00F22A9F" w:rsidRPr="00980EE7">
        <w:t>12% margin for non-inferior efficacy to compare the agents. A</w:t>
      </w:r>
      <w:r w:rsidR="00421922" w:rsidRPr="00980EE7">
        <w:t xml:space="preserve"> randomised open</w:t>
      </w:r>
      <w:r w:rsidR="00F10F9A" w:rsidRPr="00C109D6">
        <w:t>-</w:t>
      </w:r>
      <w:r w:rsidR="00421922" w:rsidRPr="00C109D6">
        <w:t xml:space="preserve">label </w:t>
      </w:r>
      <w:r w:rsidR="001F1270" w:rsidRPr="005A7A62">
        <w:t>tria</w:t>
      </w:r>
      <w:r w:rsidR="00A97B4E" w:rsidRPr="005A7A62">
        <w:t xml:space="preserve">l </w:t>
      </w:r>
      <w:r w:rsidR="00421922" w:rsidRPr="005A7A62">
        <w:t xml:space="preserve">comparing EVG/c/FTC/tenofovir alafenamide to </w:t>
      </w:r>
      <w:r w:rsidR="007F3204" w:rsidRPr="00FD7C28">
        <w:t>pre-existing therapy (FTC/tenofovir DF plus third agent) in treatment</w:t>
      </w:r>
      <w:r w:rsidR="006B59C5" w:rsidRPr="00FD7C28">
        <w:t>-</w:t>
      </w:r>
      <w:r w:rsidR="007F3204" w:rsidRPr="00FD7C28">
        <w:t>experienced</w:t>
      </w:r>
      <w:r w:rsidR="00A97B4E" w:rsidRPr="00FD7C28">
        <w:t xml:space="preserve"> patients (Study 109, </w:t>
      </w:r>
      <w:r w:rsidR="007F3204" w:rsidRPr="00FD7C28">
        <w:t>n</w:t>
      </w:r>
      <w:r w:rsidR="00A97B4E" w:rsidRPr="00FD7C28">
        <w:t> </w:t>
      </w:r>
      <w:r w:rsidR="007F3204" w:rsidRPr="00FD7C28">
        <w:t>=</w:t>
      </w:r>
      <w:r w:rsidR="00A97B4E" w:rsidRPr="00FD7C28">
        <w:t> </w:t>
      </w:r>
      <w:r w:rsidR="007F3204" w:rsidRPr="00FD7C28">
        <w:t>1,443)</w:t>
      </w:r>
      <w:r w:rsidR="00F22A9F" w:rsidRPr="00FD7C28">
        <w:t xml:space="preserve"> was also presented to support the claim that virologically supressed patients on a </w:t>
      </w:r>
      <w:r w:rsidR="00825D81" w:rsidRPr="00FD7C28">
        <w:t xml:space="preserve">tenofovir </w:t>
      </w:r>
      <w:r w:rsidR="00F22A9F" w:rsidRPr="00FD7C28">
        <w:t>DF-containing regimen could switch to EVG/c/FTC/tenofovir alafenamide without loss of clinical efficacy.</w:t>
      </w:r>
      <w:r w:rsidR="00702F8F" w:rsidRPr="00FD7C28">
        <w:rPr>
          <w:color w:val="3366FF"/>
        </w:rPr>
        <w:t xml:space="preserve"> </w:t>
      </w:r>
      <w:r w:rsidR="00587BE6" w:rsidRPr="00EF6F2C">
        <w:t>The ESC considered that because only a proportion of participants in the comparator arm of Study 109 received EVG/c-based plus TDF/FTC, and because the outcome for this group was not reported separately, the study did not allow for a direct comparison of EVG/c/FTC/tenofovir alafenamide versus EVG/c/FTC/TDF in treatment experienced patients.</w:t>
      </w:r>
      <w:r w:rsidR="00702F8F" w:rsidRPr="00FD7C28">
        <w:t xml:space="preserve"> </w:t>
      </w:r>
    </w:p>
    <w:p w:rsidR="00862502" w:rsidRPr="00F43587" w:rsidRDefault="00862502" w:rsidP="00862502">
      <w:pPr>
        <w:widowControl/>
        <w:rPr>
          <w:szCs w:val="22"/>
        </w:rPr>
      </w:pPr>
    </w:p>
    <w:p w:rsidR="00862502" w:rsidRPr="00EF6F2C" w:rsidRDefault="00862502" w:rsidP="00862502">
      <w:pPr>
        <w:pStyle w:val="ListParagraph"/>
        <w:widowControl/>
        <w:numPr>
          <w:ilvl w:val="1"/>
          <w:numId w:val="9"/>
        </w:numPr>
        <w:rPr>
          <w:szCs w:val="22"/>
        </w:rPr>
      </w:pPr>
      <w:r w:rsidRPr="00EF6F2C">
        <w:rPr>
          <w:szCs w:val="22"/>
        </w:rPr>
        <w:t xml:space="preserve">Details of the trials presented in the submission are provided in the table below.  </w:t>
      </w:r>
    </w:p>
    <w:p w:rsidR="007F3204" w:rsidRPr="00EF6F2C" w:rsidRDefault="007F3204" w:rsidP="007F3204">
      <w:pPr>
        <w:widowControl/>
        <w:rPr>
          <w:szCs w:val="22"/>
        </w:rPr>
      </w:pPr>
    </w:p>
    <w:p w:rsidR="008F120A" w:rsidRPr="00EF6F2C" w:rsidRDefault="008F120A" w:rsidP="009047DD">
      <w:pPr>
        <w:keepNext/>
        <w:ind w:firstLine="720"/>
        <w:rPr>
          <w:rStyle w:val="CommentReference"/>
        </w:rPr>
      </w:pPr>
      <w:r w:rsidRPr="00EF6F2C">
        <w:rPr>
          <w:rStyle w:val="CommentReference"/>
        </w:rPr>
        <w:lastRenderedPageBreak/>
        <w:t xml:space="preserve">Table </w:t>
      </w:r>
      <w:r w:rsidR="007F3204" w:rsidRPr="00EF6F2C">
        <w:rPr>
          <w:rStyle w:val="CommentReference"/>
        </w:rPr>
        <w:t>1</w:t>
      </w:r>
      <w:r w:rsidRPr="00EF6F2C">
        <w:rPr>
          <w:rStyle w:val="CommentReference"/>
        </w:rPr>
        <w:t>: Trials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presented to support the submission"/>
      </w:tblPr>
      <w:tblGrid>
        <w:gridCol w:w="991"/>
        <w:gridCol w:w="5670"/>
        <w:gridCol w:w="1684"/>
      </w:tblGrid>
      <w:tr w:rsidR="008F120A" w:rsidRPr="00FD7C28" w:rsidTr="00777EDE">
        <w:trPr>
          <w:cantSplit/>
          <w:tblHeader/>
        </w:trPr>
        <w:tc>
          <w:tcPr>
            <w:tcW w:w="594" w:type="pct"/>
          </w:tcPr>
          <w:p w:rsidR="008F120A" w:rsidRPr="00321B24" w:rsidRDefault="008F120A" w:rsidP="009047DD">
            <w:pPr>
              <w:keepNext/>
              <w:jc w:val="left"/>
              <w:rPr>
                <w:rFonts w:ascii="Arial Narrow" w:hAnsi="Arial Narrow"/>
                <w:b/>
                <w:sz w:val="20"/>
              </w:rPr>
            </w:pPr>
            <w:r w:rsidRPr="00321B24">
              <w:rPr>
                <w:rFonts w:ascii="Arial Narrow" w:hAnsi="Arial Narrow"/>
                <w:b/>
                <w:sz w:val="20"/>
              </w:rPr>
              <w:t>Trial ID</w:t>
            </w:r>
          </w:p>
        </w:tc>
        <w:tc>
          <w:tcPr>
            <w:tcW w:w="3397" w:type="pct"/>
          </w:tcPr>
          <w:p w:rsidR="008F120A" w:rsidRPr="00754170" w:rsidRDefault="008F120A" w:rsidP="009047DD">
            <w:pPr>
              <w:keepNext/>
              <w:jc w:val="center"/>
              <w:rPr>
                <w:rFonts w:ascii="Arial Narrow" w:hAnsi="Arial Narrow"/>
                <w:b/>
                <w:sz w:val="20"/>
              </w:rPr>
            </w:pPr>
            <w:r w:rsidRPr="00754170">
              <w:rPr>
                <w:rFonts w:ascii="Arial Narrow" w:hAnsi="Arial Narrow"/>
                <w:b/>
                <w:sz w:val="20"/>
              </w:rPr>
              <w:t>Protocol title/ Publication title</w:t>
            </w:r>
          </w:p>
        </w:tc>
        <w:tc>
          <w:tcPr>
            <w:tcW w:w="1008" w:type="pct"/>
          </w:tcPr>
          <w:p w:rsidR="008F120A" w:rsidRPr="00BF0C1C" w:rsidRDefault="008F120A" w:rsidP="009047DD">
            <w:pPr>
              <w:keepNext/>
              <w:jc w:val="center"/>
              <w:rPr>
                <w:rFonts w:ascii="Arial Narrow" w:hAnsi="Arial Narrow"/>
                <w:b/>
                <w:sz w:val="20"/>
              </w:rPr>
            </w:pPr>
            <w:r w:rsidRPr="00673F01">
              <w:rPr>
                <w:rFonts w:ascii="Arial Narrow" w:hAnsi="Arial Narrow"/>
                <w:b/>
                <w:sz w:val="20"/>
              </w:rPr>
              <w:t>Publication cita</w:t>
            </w:r>
            <w:r w:rsidRPr="00BF0C1C">
              <w:rPr>
                <w:rFonts w:ascii="Arial Narrow" w:hAnsi="Arial Narrow"/>
                <w:b/>
                <w:sz w:val="20"/>
              </w:rPr>
              <w:t>tion</w:t>
            </w:r>
          </w:p>
        </w:tc>
      </w:tr>
      <w:tr w:rsidR="008F120A" w:rsidRPr="00FD7C28" w:rsidTr="009047DD">
        <w:trPr>
          <w:cantSplit/>
        </w:trPr>
        <w:tc>
          <w:tcPr>
            <w:tcW w:w="5000" w:type="pct"/>
            <w:gridSpan w:val="3"/>
          </w:tcPr>
          <w:p w:rsidR="008F120A" w:rsidRPr="00FD7C28" w:rsidRDefault="008F120A" w:rsidP="009047DD">
            <w:pPr>
              <w:keepNext/>
              <w:jc w:val="left"/>
              <w:rPr>
                <w:rFonts w:ascii="Arial Narrow" w:hAnsi="Arial Narrow"/>
                <w:b/>
                <w:sz w:val="20"/>
              </w:rPr>
            </w:pPr>
            <w:r w:rsidRPr="00FD7C28">
              <w:rPr>
                <w:rFonts w:ascii="Arial Narrow" w:hAnsi="Arial Narrow"/>
                <w:b/>
                <w:sz w:val="20"/>
              </w:rPr>
              <w:t>Direct randomised tri</w:t>
            </w:r>
            <w:r w:rsidR="00024689" w:rsidRPr="00FD7C28">
              <w:rPr>
                <w:rFonts w:ascii="Arial Narrow" w:hAnsi="Arial Narrow"/>
                <w:b/>
                <w:sz w:val="20"/>
              </w:rPr>
              <w:t>al</w:t>
            </w:r>
            <w:r w:rsidRPr="00FD7C28">
              <w:rPr>
                <w:rFonts w:ascii="Arial Narrow" w:hAnsi="Arial Narrow"/>
                <w:b/>
                <w:sz w:val="20"/>
              </w:rPr>
              <w:t>s</w:t>
            </w:r>
          </w:p>
        </w:tc>
      </w:tr>
      <w:tr w:rsidR="00024689" w:rsidRPr="00FD7C28" w:rsidTr="00777EDE">
        <w:trPr>
          <w:cantSplit/>
        </w:trPr>
        <w:tc>
          <w:tcPr>
            <w:tcW w:w="594" w:type="pct"/>
          </w:tcPr>
          <w:p w:rsidR="00024689" w:rsidRPr="00FD7C28" w:rsidRDefault="00024689" w:rsidP="009047DD">
            <w:pPr>
              <w:keepNext/>
              <w:jc w:val="left"/>
              <w:rPr>
                <w:rFonts w:ascii="Arial Narrow" w:hAnsi="Arial Narrow"/>
                <w:sz w:val="20"/>
              </w:rPr>
            </w:pPr>
            <w:r w:rsidRPr="00FD7C28">
              <w:rPr>
                <w:rFonts w:ascii="Arial Narrow" w:hAnsi="Arial Narrow"/>
                <w:sz w:val="20"/>
              </w:rPr>
              <w:t>Study 104</w:t>
            </w:r>
          </w:p>
        </w:tc>
        <w:tc>
          <w:tcPr>
            <w:tcW w:w="3397" w:type="pct"/>
          </w:tcPr>
          <w:p w:rsidR="00024689" w:rsidRPr="00FD7C28" w:rsidRDefault="00024689" w:rsidP="009047DD">
            <w:pPr>
              <w:keepNext/>
              <w:jc w:val="left"/>
              <w:rPr>
                <w:rFonts w:ascii="Arial Narrow" w:hAnsi="Arial Narrow"/>
                <w:sz w:val="20"/>
              </w:rPr>
            </w:pPr>
            <w:r w:rsidRPr="00FD7C28">
              <w:rPr>
                <w:rFonts w:ascii="Arial Narrow" w:hAnsi="Arial Narrow"/>
                <w:sz w:val="20"/>
              </w:rPr>
              <w:t xml:space="preserve">A Phase 3, randomised, double-blind, study to evaluate the safety and efficacy of elvitegravir/cobicistat/emtricitabine/tenofovir alafenamide versus elvitegravir/cobicistat/ emtricitabine/tenofovir disoproxil fumarate in HIV-1 positive, antiretroviral treatment naïve adults. </w:t>
            </w:r>
          </w:p>
          <w:p w:rsidR="00024689" w:rsidRPr="00FD7C28" w:rsidRDefault="00024689" w:rsidP="009047DD">
            <w:pPr>
              <w:keepNext/>
              <w:jc w:val="left"/>
              <w:rPr>
                <w:rFonts w:ascii="Arial Narrow" w:hAnsi="Arial Narrow"/>
                <w:sz w:val="20"/>
              </w:rPr>
            </w:pPr>
          </w:p>
          <w:p w:rsidR="00024689" w:rsidRPr="00EF6F2C" w:rsidRDefault="00024689" w:rsidP="009047DD">
            <w:pPr>
              <w:keepNext/>
              <w:jc w:val="left"/>
              <w:rPr>
                <w:rFonts w:ascii="Arial Narrow" w:hAnsi="Arial Narrow"/>
                <w:b/>
                <w:sz w:val="20"/>
              </w:rPr>
            </w:pPr>
            <w:r w:rsidRPr="00FD7C28">
              <w:rPr>
                <w:rFonts w:ascii="Arial Narrow" w:hAnsi="Arial Narrow"/>
                <w:sz w:val="20"/>
              </w:rPr>
              <w:t xml:space="preserve">Sax PE, Whol D, Yin MT, </w:t>
            </w:r>
            <w:r w:rsidRPr="00EF6F2C">
              <w:rPr>
                <w:rFonts w:ascii="Arial Narrow" w:hAnsi="Arial Narrow"/>
                <w:sz w:val="20"/>
              </w:rPr>
              <w:t>et al</w:t>
            </w:r>
            <w:r w:rsidRPr="00FD7C28">
              <w:rPr>
                <w:rFonts w:ascii="Arial Narrow" w:hAnsi="Arial Narrow"/>
                <w:sz w:val="20"/>
              </w:rPr>
              <w:t>. Tenofovir alafenamide versus tenofovir disoproxil fumarate, coformulated with elvitegravir, cobicistat, and emtricitabine, for initial treatment of HIV-1 infecti</w:t>
            </w:r>
            <w:r w:rsidRPr="00F43587">
              <w:rPr>
                <w:rFonts w:ascii="Arial Narrow" w:hAnsi="Arial Narrow"/>
                <w:sz w:val="20"/>
              </w:rPr>
              <w:t>on:</w:t>
            </w:r>
            <w:r w:rsidR="00777EDE" w:rsidRPr="00F43587">
              <w:rPr>
                <w:rFonts w:ascii="Arial Narrow" w:hAnsi="Arial Narrow"/>
                <w:sz w:val="20"/>
              </w:rPr>
              <w:t xml:space="preserve"> two randomised, double-blind, P</w:t>
            </w:r>
            <w:r w:rsidRPr="00EF6F2C">
              <w:rPr>
                <w:rFonts w:ascii="Arial Narrow" w:hAnsi="Arial Narrow"/>
                <w:sz w:val="20"/>
              </w:rPr>
              <w:t>hase 3, non-inferiority trials.</w:t>
            </w:r>
          </w:p>
        </w:tc>
        <w:tc>
          <w:tcPr>
            <w:tcW w:w="1008" w:type="pct"/>
          </w:tcPr>
          <w:p w:rsidR="00024689" w:rsidRPr="00EF6F2C" w:rsidRDefault="00024689" w:rsidP="009047DD">
            <w:pPr>
              <w:keepNext/>
              <w:jc w:val="left"/>
              <w:rPr>
                <w:rFonts w:ascii="Arial Narrow" w:hAnsi="Arial Narrow"/>
                <w:sz w:val="20"/>
              </w:rPr>
            </w:pPr>
            <w:r w:rsidRPr="00EF6F2C">
              <w:rPr>
                <w:rFonts w:ascii="Arial Narrow" w:hAnsi="Arial Narrow"/>
                <w:sz w:val="20"/>
              </w:rPr>
              <w:t>6 October 2014</w:t>
            </w:r>
          </w:p>
          <w:p w:rsidR="00024689" w:rsidRPr="00EF6F2C" w:rsidRDefault="00024689" w:rsidP="009047DD">
            <w:pPr>
              <w:keepNext/>
              <w:jc w:val="left"/>
              <w:rPr>
                <w:rFonts w:ascii="Arial Narrow" w:hAnsi="Arial Narrow"/>
                <w:sz w:val="20"/>
              </w:rPr>
            </w:pPr>
          </w:p>
          <w:p w:rsidR="00024689" w:rsidRPr="00321B24" w:rsidRDefault="00024689" w:rsidP="009047DD">
            <w:pPr>
              <w:keepNext/>
              <w:jc w:val="left"/>
              <w:rPr>
                <w:rFonts w:ascii="Arial Narrow" w:hAnsi="Arial Narrow"/>
                <w:sz w:val="20"/>
              </w:rPr>
            </w:pPr>
          </w:p>
          <w:p w:rsidR="00024689" w:rsidRPr="00754170" w:rsidRDefault="00024689" w:rsidP="009047DD">
            <w:pPr>
              <w:keepNext/>
              <w:jc w:val="left"/>
              <w:rPr>
                <w:rFonts w:ascii="Arial Narrow" w:hAnsi="Arial Narrow"/>
                <w:sz w:val="20"/>
              </w:rPr>
            </w:pPr>
          </w:p>
          <w:p w:rsidR="00024689" w:rsidRPr="00673F01" w:rsidRDefault="00024689" w:rsidP="009047DD">
            <w:pPr>
              <w:keepNext/>
              <w:jc w:val="left"/>
              <w:rPr>
                <w:rFonts w:ascii="Arial Narrow" w:hAnsi="Arial Narrow"/>
                <w:sz w:val="20"/>
              </w:rPr>
            </w:pPr>
          </w:p>
          <w:p w:rsidR="00024689" w:rsidRPr="00EF6F2C" w:rsidRDefault="00024689" w:rsidP="009047DD">
            <w:pPr>
              <w:keepNext/>
              <w:jc w:val="left"/>
              <w:rPr>
                <w:rFonts w:ascii="Arial Narrow" w:hAnsi="Arial Narrow"/>
                <w:b/>
                <w:sz w:val="20"/>
              </w:rPr>
            </w:pPr>
            <w:r w:rsidRPr="00EF6F2C">
              <w:rPr>
                <w:rFonts w:ascii="Arial Narrow" w:hAnsi="Arial Narrow"/>
                <w:sz w:val="20"/>
              </w:rPr>
              <w:t>Lancet</w:t>
            </w:r>
            <w:r w:rsidRPr="00FD7C28">
              <w:rPr>
                <w:rFonts w:ascii="Arial Narrow" w:hAnsi="Arial Narrow"/>
                <w:sz w:val="20"/>
              </w:rPr>
              <w:t>. 2015 385(9987):2</w:t>
            </w:r>
            <w:r w:rsidRPr="00F43587">
              <w:rPr>
                <w:rFonts w:ascii="Arial Narrow" w:hAnsi="Arial Narrow"/>
                <w:sz w:val="20"/>
              </w:rPr>
              <w:t>,606-</w:t>
            </w:r>
            <w:r w:rsidRPr="00EF6F2C">
              <w:rPr>
                <w:rFonts w:ascii="Arial Narrow" w:hAnsi="Arial Narrow"/>
                <w:sz w:val="20"/>
              </w:rPr>
              <w:t xml:space="preserve">2,615 </w:t>
            </w:r>
          </w:p>
        </w:tc>
      </w:tr>
      <w:tr w:rsidR="00024689" w:rsidRPr="00FD7C28" w:rsidTr="00777EDE">
        <w:trPr>
          <w:cantSplit/>
        </w:trPr>
        <w:tc>
          <w:tcPr>
            <w:tcW w:w="594" w:type="pct"/>
          </w:tcPr>
          <w:p w:rsidR="00024689" w:rsidRPr="00FD7C28" w:rsidRDefault="00024689" w:rsidP="0018752F">
            <w:pPr>
              <w:jc w:val="left"/>
              <w:rPr>
                <w:rFonts w:ascii="Arial Narrow" w:hAnsi="Arial Narrow"/>
                <w:sz w:val="20"/>
              </w:rPr>
            </w:pPr>
            <w:r w:rsidRPr="00FD7C28">
              <w:rPr>
                <w:rFonts w:ascii="Arial Narrow" w:hAnsi="Arial Narrow"/>
                <w:sz w:val="20"/>
              </w:rPr>
              <w:t>Study 111</w:t>
            </w:r>
          </w:p>
        </w:tc>
        <w:tc>
          <w:tcPr>
            <w:tcW w:w="3397" w:type="pct"/>
          </w:tcPr>
          <w:p w:rsidR="00024689" w:rsidRPr="00FD7C28" w:rsidRDefault="00024689" w:rsidP="005E5877">
            <w:pPr>
              <w:jc w:val="left"/>
              <w:rPr>
                <w:rFonts w:ascii="Arial Narrow" w:hAnsi="Arial Narrow"/>
                <w:sz w:val="20"/>
              </w:rPr>
            </w:pPr>
            <w:r w:rsidRPr="00FD7C28">
              <w:rPr>
                <w:rFonts w:ascii="Arial Narrow" w:hAnsi="Arial Narrow"/>
                <w:sz w:val="20"/>
              </w:rPr>
              <w:t xml:space="preserve">A Phase 3, randomised, double-blind, study to evaluate the safety and efficacy of elvitegravir/cobicistat/emtricitabine/tenofovir alafenamide versus elvitegravir/cobicistat/ emtricitabine/tenofovir disoproxil fumarate in HIV-1 positive, antiretroviral treatment naïve adults. </w:t>
            </w:r>
          </w:p>
          <w:p w:rsidR="00024689" w:rsidRPr="00FD7C28" w:rsidRDefault="00024689" w:rsidP="005E5877">
            <w:pPr>
              <w:jc w:val="left"/>
              <w:rPr>
                <w:rFonts w:ascii="Arial Narrow" w:hAnsi="Arial Narrow"/>
                <w:sz w:val="20"/>
              </w:rPr>
            </w:pPr>
          </w:p>
          <w:p w:rsidR="00024689" w:rsidRPr="00EF6F2C" w:rsidRDefault="00024689" w:rsidP="00777EDE">
            <w:pPr>
              <w:jc w:val="left"/>
              <w:rPr>
                <w:rFonts w:ascii="Arial Narrow" w:hAnsi="Arial Narrow"/>
                <w:b/>
                <w:sz w:val="20"/>
              </w:rPr>
            </w:pPr>
            <w:r w:rsidRPr="00FD7C28">
              <w:rPr>
                <w:rFonts w:ascii="Arial Narrow" w:hAnsi="Arial Narrow"/>
                <w:sz w:val="20"/>
              </w:rPr>
              <w:t xml:space="preserve">Sax PE, Whol D, Yin MT, </w:t>
            </w:r>
            <w:r w:rsidRPr="00EF6F2C">
              <w:rPr>
                <w:rFonts w:ascii="Arial Narrow" w:hAnsi="Arial Narrow"/>
                <w:sz w:val="20"/>
              </w:rPr>
              <w:t>et al</w:t>
            </w:r>
            <w:r w:rsidRPr="00FD7C28">
              <w:rPr>
                <w:rFonts w:ascii="Arial Narrow" w:hAnsi="Arial Narrow"/>
                <w:sz w:val="20"/>
              </w:rPr>
              <w:t>. Tenofovir alafenamide versus tenofovir disoproxil fumarate, coformulat</w:t>
            </w:r>
            <w:r w:rsidRPr="00F43587">
              <w:rPr>
                <w:rFonts w:ascii="Arial Narrow" w:hAnsi="Arial Narrow"/>
                <w:sz w:val="20"/>
              </w:rPr>
              <w:t xml:space="preserve">ed with elvitegravir, cobicistat, and emtricitabine, for initial treatment of HIV-1 infection: two randomised, double-blind, </w:t>
            </w:r>
            <w:r w:rsidR="00777EDE" w:rsidRPr="00EF6F2C">
              <w:rPr>
                <w:rFonts w:ascii="Arial Narrow" w:hAnsi="Arial Narrow"/>
                <w:sz w:val="20"/>
              </w:rPr>
              <w:t>P</w:t>
            </w:r>
            <w:r w:rsidRPr="00EF6F2C">
              <w:rPr>
                <w:rFonts w:ascii="Arial Narrow" w:hAnsi="Arial Narrow"/>
                <w:sz w:val="20"/>
              </w:rPr>
              <w:t>hase 3, non-inferiority trials.</w:t>
            </w:r>
          </w:p>
        </w:tc>
        <w:tc>
          <w:tcPr>
            <w:tcW w:w="1008" w:type="pct"/>
          </w:tcPr>
          <w:p w:rsidR="00024689" w:rsidRPr="00EF6F2C" w:rsidRDefault="00024689" w:rsidP="005E5877">
            <w:pPr>
              <w:jc w:val="left"/>
              <w:rPr>
                <w:rFonts w:ascii="Arial Narrow" w:hAnsi="Arial Narrow"/>
                <w:sz w:val="20"/>
              </w:rPr>
            </w:pPr>
            <w:r w:rsidRPr="00EF6F2C">
              <w:rPr>
                <w:rFonts w:ascii="Arial Narrow" w:hAnsi="Arial Narrow"/>
                <w:sz w:val="20"/>
              </w:rPr>
              <w:t>13 October 2014</w:t>
            </w:r>
          </w:p>
          <w:p w:rsidR="00024689" w:rsidRPr="00EF6F2C" w:rsidRDefault="00024689" w:rsidP="005E5877">
            <w:pPr>
              <w:jc w:val="left"/>
              <w:rPr>
                <w:rFonts w:ascii="Arial Narrow" w:hAnsi="Arial Narrow"/>
                <w:b/>
                <w:sz w:val="20"/>
              </w:rPr>
            </w:pPr>
          </w:p>
          <w:p w:rsidR="00024689" w:rsidRPr="00321B24" w:rsidRDefault="00024689" w:rsidP="005E5877">
            <w:pPr>
              <w:jc w:val="left"/>
              <w:rPr>
                <w:rFonts w:ascii="Arial Narrow" w:hAnsi="Arial Narrow"/>
                <w:b/>
                <w:sz w:val="20"/>
              </w:rPr>
            </w:pPr>
          </w:p>
          <w:p w:rsidR="00024689" w:rsidRPr="00754170" w:rsidRDefault="00024689" w:rsidP="005E5877">
            <w:pPr>
              <w:jc w:val="left"/>
              <w:rPr>
                <w:rFonts w:ascii="Arial Narrow" w:hAnsi="Arial Narrow"/>
                <w:b/>
                <w:sz w:val="20"/>
              </w:rPr>
            </w:pPr>
          </w:p>
          <w:p w:rsidR="00024689" w:rsidRPr="00673F01" w:rsidRDefault="00024689" w:rsidP="00777EDE">
            <w:pPr>
              <w:ind w:firstLine="115"/>
              <w:jc w:val="left"/>
              <w:rPr>
                <w:rFonts w:ascii="Arial Narrow" w:hAnsi="Arial Narrow"/>
                <w:b/>
                <w:sz w:val="20"/>
              </w:rPr>
            </w:pPr>
          </w:p>
          <w:p w:rsidR="00024689" w:rsidRPr="00EF6F2C" w:rsidRDefault="00024689" w:rsidP="0018752F">
            <w:pPr>
              <w:jc w:val="left"/>
              <w:rPr>
                <w:rFonts w:ascii="Arial Narrow" w:hAnsi="Arial Narrow"/>
                <w:b/>
                <w:sz w:val="20"/>
              </w:rPr>
            </w:pPr>
            <w:r w:rsidRPr="00EF6F2C">
              <w:rPr>
                <w:rFonts w:ascii="Arial Narrow" w:hAnsi="Arial Narrow"/>
                <w:sz w:val="20"/>
              </w:rPr>
              <w:t>Lancet</w:t>
            </w:r>
            <w:r w:rsidRPr="00FD7C28">
              <w:rPr>
                <w:rFonts w:ascii="Arial Narrow" w:hAnsi="Arial Narrow"/>
                <w:sz w:val="20"/>
              </w:rPr>
              <w:t>. 2015 385(9987):2</w:t>
            </w:r>
            <w:r w:rsidRPr="00F43587">
              <w:rPr>
                <w:rFonts w:ascii="Arial Narrow" w:hAnsi="Arial Narrow"/>
                <w:sz w:val="20"/>
              </w:rPr>
              <w:t>,606-</w:t>
            </w:r>
            <w:r w:rsidRPr="00EF6F2C">
              <w:rPr>
                <w:rFonts w:ascii="Arial Narrow" w:hAnsi="Arial Narrow"/>
                <w:sz w:val="20"/>
              </w:rPr>
              <w:t xml:space="preserve">2,615 </w:t>
            </w:r>
          </w:p>
        </w:tc>
      </w:tr>
      <w:tr w:rsidR="00024689" w:rsidRPr="00FD7C28" w:rsidTr="00777EDE">
        <w:trPr>
          <w:cantSplit/>
        </w:trPr>
        <w:tc>
          <w:tcPr>
            <w:tcW w:w="594" w:type="pct"/>
          </w:tcPr>
          <w:p w:rsidR="00024689" w:rsidRPr="00FD7C28" w:rsidRDefault="00024689" w:rsidP="0018752F">
            <w:pPr>
              <w:jc w:val="left"/>
              <w:rPr>
                <w:rFonts w:ascii="Arial Narrow" w:hAnsi="Arial Narrow"/>
                <w:sz w:val="20"/>
              </w:rPr>
            </w:pPr>
            <w:r w:rsidRPr="00FD7C28">
              <w:rPr>
                <w:rFonts w:ascii="Arial Narrow" w:hAnsi="Arial Narrow"/>
                <w:sz w:val="20"/>
              </w:rPr>
              <w:t>Study 109</w:t>
            </w:r>
          </w:p>
        </w:tc>
        <w:tc>
          <w:tcPr>
            <w:tcW w:w="3397" w:type="pct"/>
          </w:tcPr>
          <w:p w:rsidR="00024689" w:rsidRPr="00FD7C28" w:rsidRDefault="00024689" w:rsidP="0018752F">
            <w:pPr>
              <w:jc w:val="left"/>
              <w:rPr>
                <w:rFonts w:ascii="Arial Narrow" w:hAnsi="Arial Narrow"/>
                <w:b/>
                <w:sz w:val="20"/>
              </w:rPr>
            </w:pPr>
            <w:r w:rsidRPr="00FD7C28">
              <w:rPr>
                <w:rFonts w:ascii="Arial Narrow" w:hAnsi="Arial Narrow"/>
                <w:sz w:val="20"/>
              </w:rPr>
              <w:t>A Phase 3 open-label safety study to evaluate switching from a TDF-containing combination regimen to a TAF-containing combination single tablet regimen (STR) in virologically-supressed, HIV-1 positive subjects.</w:t>
            </w:r>
          </w:p>
        </w:tc>
        <w:tc>
          <w:tcPr>
            <w:tcW w:w="1008" w:type="pct"/>
          </w:tcPr>
          <w:p w:rsidR="00024689" w:rsidRPr="00FD7C28" w:rsidRDefault="00024689" w:rsidP="0018752F">
            <w:pPr>
              <w:jc w:val="left"/>
              <w:rPr>
                <w:rFonts w:ascii="Arial Narrow" w:hAnsi="Arial Narrow"/>
                <w:b/>
                <w:sz w:val="20"/>
              </w:rPr>
            </w:pPr>
            <w:r w:rsidRPr="00FD7C28">
              <w:rPr>
                <w:rFonts w:ascii="Arial Narrow" w:hAnsi="Arial Narrow"/>
                <w:sz w:val="20"/>
              </w:rPr>
              <w:t>1 October 2014</w:t>
            </w:r>
          </w:p>
        </w:tc>
      </w:tr>
    </w:tbl>
    <w:p w:rsidR="00862502" w:rsidRPr="00FD7C28" w:rsidRDefault="008F120A" w:rsidP="00E22A0D">
      <w:pPr>
        <w:pStyle w:val="TableFooter"/>
        <w:ind w:firstLine="720"/>
      </w:pPr>
      <w:r w:rsidRPr="00FD7C28">
        <w:t xml:space="preserve">Source: </w:t>
      </w:r>
      <w:r w:rsidR="00024689" w:rsidRPr="00FD7C28">
        <w:t>Table B-3, p30 of the submission</w:t>
      </w:r>
    </w:p>
    <w:p w:rsidR="00024689" w:rsidRPr="00FD7C28" w:rsidRDefault="00024689" w:rsidP="00833975">
      <w:pPr>
        <w:pStyle w:val="TableFooter"/>
        <w:ind w:firstLine="720"/>
      </w:pPr>
      <w:r w:rsidRPr="00FD7C28">
        <w:t>HIV = human immunodeficiency virus; TAF = tenofovir alafenamide; TDF = tenofovir disoproxil fumarate</w:t>
      </w:r>
    </w:p>
    <w:p w:rsidR="00862502" w:rsidRPr="00FD7C28" w:rsidRDefault="00862502" w:rsidP="008F120A">
      <w:pPr>
        <w:widowControl/>
        <w:rPr>
          <w:szCs w:val="22"/>
        </w:rPr>
      </w:pPr>
    </w:p>
    <w:p w:rsidR="0063409A" w:rsidRPr="00FD7C28" w:rsidRDefault="008F120A" w:rsidP="00CE2379">
      <w:pPr>
        <w:pStyle w:val="ListParagraph"/>
        <w:widowControl/>
        <w:numPr>
          <w:ilvl w:val="1"/>
          <w:numId w:val="9"/>
        </w:numPr>
        <w:rPr>
          <w:szCs w:val="22"/>
        </w:rPr>
      </w:pPr>
      <w:r w:rsidRPr="00FD7C28">
        <w:rPr>
          <w:szCs w:val="22"/>
        </w:rPr>
        <w:t>The key features of the direct randomised trial</w:t>
      </w:r>
      <w:r w:rsidR="00024689" w:rsidRPr="00FD7C28">
        <w:rPr>
          <w:szCs w:val="22"/>
        </w:rPr>
        <w:t xml:space="preserve">s </w:t>
      </w:r>
      <w:r w:rsidRPr="00FD7C28">
        <w:rPr>
          <w:szCs w:val="22"/>
        </w:rPr>
        <w:t>are summarised in the table below.</w:t>
      </w:r>
    </w:p>
    <w:p w:rsidR="007F1017" w:rsidRPr="00FD7C28" w:rsidRDefault="007F1017" w:rsidP="009047DD">
      <w:pPr>
        <w:keepNext/>
        <w:widowControl/>
        <w:rPr>
          <w:szCs w:val="22"/>
        </w:rPr>
      </w:pPr>
    </w:p>
    <w:p w:rsidR="007F1017" w:rsidRPr="00FD7C28" w:rsidRDefault="007F1017" w:rsidP="009047DD">
      <w:pPr>
        <w:keepNext/>
        <w:ind w:firstLine="720"/>
        <w:rPr>
          <w:rStyle w:val="CommentReference"/>
        </w:rPr>
      </w:pPr>
      <w:r w:rsidRPr="00FD7C28">
        <w:rPr>
          <w:rStyle w:val="CommentReference"/>
        </w:rPr>
        <w:t xml:space="preserve">Table </w:t>
      </w:r>
      <w:r w:rsidR="00024689" w:rsidRPr="00FD7C28">
        <w:rPr>
          <w:rStyle w:val="CommentReference"/>
        </w:rPr>
        <w:t>2</w:t>
      </w:r>
      <w:r w:rsidRPr="00FD7C28">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clinical trials"/>
      </w:tblPr>
      <w:tblGrid>
        <w:gridCol w:w="1234"/>
        <w:gridCol w:w="751"/>
        <w:gridCol w:w="1275"/>
        <w:gridCol w:w="993"/>
        <w:gridCol w:w="2126"/>
        <w:gridCol w:w="1966"/>
      </w:tblGrid>
      <w:tr w:rsidR="00F9752D" w:rsidRPr="00FD7C28" w:rsidTr="009047DD">
        <w:trPr>
          <w:cantSplit/>
          <w:tblHeader/>
        </w:trPr>
        <w:tc>
          <w:tcPr>
            <w:tcW w:w="739" w:type="pct"/>
            <w:shd w:val="clear" w:color="auto" w:fill="auto"/>
            <w:vAlign w:val="center"/>
          </w:tcPr>
          <w:p w:rsidR="00F9752D" w:rsidRPr="00FD7C28" w:rsidRDefault="00F9752D" w:rsidP="009047DD">
            <w:pPr>
              <w:keepNext/>
              <w:jc w:val="left"/>
              <w:rPr>
                <w:rFonts w:ascii="Arial Narrow" w:hAnsi="Arial Narrow"/>
                <w:b/>
                <w:sz w:val="20"/>
                <w:lang w:val="en-US"/>
              </w:rPr>
            </w:pPr>
            <w:r w:rsidRPr="00FD7C28">
              <w:rPr>
                <w:rFonts w:ascii="Arial Narrow" w:hAnsi="Arial Narrow"/>
                <w:b/>
                <w:sz w:val="20"/>
                <w:lang w:val="en-US"/>
              </w:rPr>
              <w:t>Trial</w:t>
            </w:r>
          </w:p>
        </w:tc>
        <w:tc>
          <w:tcPr>
            <w:tcW w:w="450" w:type="pct"/>
            <w:shd w:val="clear" w:color="auto" w:fill="auto"/>
            <w:vAlign w:val="center"/>
          </w:tcPr>
          <w:p w:rsidR="00F9752D" w:rsidRPr="00FD7C28" w:rsidRDefault="00F9752D" w:rsidP="009047DD">
            <w:pPr>
              <w:keepNext/>
              <w:jc w:val="center"/>
              <w:rPr>
                <w:rFonts w:ascii="Arial Narrow" w:hAnsi="Arial Narrow"/>
                <w:b/>
                <w:sz w:val="20"/>
                <w:lang w:val="en-US"/>
              </w:rPr>
            </w:pPr>
            <w:r w:rsidRPr="00FD7C28">
              <w:rPr>
                <w:rFonts w:ascii="Arial Narrow" w:hAnsi="Arial Narrow"/>
                <w:b/>
                <w:sz w:val="20"/>
                <w:lang w:val="en-US"/>
              </w:rPr>
              <w:t>N</w:t>
            </w:r>
          </w:p>
        </w:tc>
        <w:tc>
          <w:tcPr>
            <w:tcW w:w="764" w:type="pct"/>
            <w:shd w:val="clear" w:color="auto" w:fill="auto"/>
            <w:vAlign w:val="center"/>
          </w:tcPr>
          <w:p w:rsidR="00F9752D" w:rsidRPr="00FD7C28" w:rsidRDefault="00F9752D" w:rsidP="009047DD">
            <w:pPr>
              <w:keepNext/>
              <w:jc w:val="center"/>
              <w:rPr>
                <w:rFonts w:ascii="Arial Narrow" w:hAnsi="Arial Narrow"/>
                <w:b/>
                <w:sz w:val="20"/>
                <w:lang w:val="en-US"/>
              </w:rPr>
            </w:pPr>
            <w:r w:rsidRPr="00FD7C28">
              <w:rPr>
                <w:rFonts w:ascii="Arial Narrow" w:hAnsi="Arial Narrow"/>
                <w:b/>
                <w:sz w:val="20"/>
                <w:lang w:val="en-US"/>
              </w:rPr>
              <w:t xml:space="preserve">Design/ </w:t>
            </w:r>
          </w:p>
          <w:p w:rsidR="00F9752D" w:rsidRPr="00FD7C28" w:rsidRDefault="0003386F" w:rsidP="009047DD">
            <w:pPr>
              <w:keepNext/>
              <w:jc w:val="center"/>
              <w:rPr>
                <w:rFonts w:ascii="Arial Narrow" w:hAnsi="Arial Narrow"/>
                <w:b/>
                <w:sz w:val="20"/>
                <w:lang w:val="en-US"/>
              </w:rPr>
            </w:pPr>
            <w:r w:rsidRPr="00FD7C28">
              <w:rPr>
                <w:rFonts w:ascii="Arial Narrow" w:hAnsi="Arial Narrow"/>
                <w:b/>
                <w:sz w:val="20"/>
                <w:lang w:val="en-US"/>
              </w:rPr>
              <w:t>d</w:t>
            </w:r>
            <w:r w:rsidR="00F9752D" w:rsidRPr="00FD7C28">
              <w:rPr>
                <w:rFonts w:ascii="Arial Narrow" w:hAnsi="Arial Narrow"/>
                <w:b/>
                <w:sz w:val="20"/>
                <w:lang w:val="en-US"/>
              </w:rPr>
              <w:t>uration</w:t>
            </w:r>
          </w:p>
        </w:tc>
        <w:tc>
          <w:tcPr>
            <w:tcW w:w="595" w:type="pct"/>
            <w:shd w:val="clear" w:color="auto" w:fill="auto"/>
            <w:vAlign w:val="center"/>
          </w:tcPr>
          <w:p w:rsidR="00F9752D" w:rsidRPr="00FD7C28" w:rsidRDefault="00F9752D" w:rsidP="009047DD">
            <w:pPr>
              <w:keepNext/>
              <w:jc w:val="center"/>
              <w:rPr>
                <w:rFonts w:ascii="Arial Narrow" w:hAnsi="Arial Narrow"/>
                <w:b/>
                <w:sz w:val="20"/>
                <w:lang w:val="en-US"/>
              </w:rPr>
            </w:pPr>
            <w:r w:rsidRPr="00FD7C28">
              <w:rPr>
                <w:rFonts w:ascii="Arial Narrow" w:hAnsi="Arial Narrow"/>
                <w:b/>
                <w:sz w:val="20"/>
                <w:lang w:val="en-US"/>
              </w:rPr>
              <w:t>Risk of bias</w:t>
            </w:r>
          </w:p>
        </w:tc>
        <w:tc>
          <w:tcPr>
            <w:tcW w:w="1274" w:type="pct"/>
            <w:shd w:val="clear" w:color="auto" w:fill="auto"/>
            <w:vAlign w:val="center"/>
          </w:tcPr>
          <w:p w:rsidR="00F9752D" w:rsidRPr="00FD7C28" w:rsidRDefault="00F9752D" w:rsidP="009047DD">
            <w:pPr>
              <w:keepNext/>
              <w:jc w:val="center"/>
              <w:rPr>
                <w:rFonts w:ascii="Arial Narrow" w:hAnsi="Arial Narrow"/>
                <w:b/>
                <w:sz w:val="20"/>
                <w:lang w:val="en-US"/>
              </w:rPr>
            </w:pPr>
            <w:r w:rsidRPr="00FD7C28">
              <w:rPr>
                <w:rFonts w:ascii="Arial Narrow" w:hAnsi="Arial Narrow"/>
                <w:b/>
                <w:sz w:val="20"/>
                <w:lang w:val="en-US"/>
              </w:rPr>
              <w:t>Patient population</w:t>
            </w:r>
          </w:p>
        </w:tc>
        <w:tc>
          <w:tcPr>
            <w:tcW w:w="1178" w:type="pct"/>
            <w:shd w:val="clear" w:color="auto" w:fill="auto"/>
            <w:vAlign w:val="center"/>
          </w:tcPr>
          <w:p w:rsidR="00F9752D" w:rsidRPr="00FD7C28" w:rsidRDefault="00F9752D" w:rsidP="0003386F">
            <w:pPr>
              <w:keepNext/>
              <w:jc w:val="center"/>
              <w:rPr>
                <w:rFonts w:ascii="Arial Narrow" w:hAnsi="Arial Narrow"/>
                <w:b/>
                <w:sz w:val="20"/>
                <w:lang w:val="en-US"/>
              </w:rPr>
            </w:pPr>
            <w:r w:rsidRPr="00FD7C28">
              <w:rPr>
                <w:rFonts w:ascii="Arial Narrow" w:hAnsi="Arial Narrow"/>
                <w:b/>
                <w:sz w:val="20"/>
                <w:lang w:val="en-US"/>
              </w:rPr>
              <w:t xml:space="preserve">Primary </w:t>
            </w:r>
            <w:r w:rsidR="0003386F" w:rsidRPr="00FD7C28">
              <w:rPr>
                <w:rFonts w:ascii="Arial Narrow" w:hAnsi="Arial Narrow"/>
                <w:b/>
                <w:sz w:val="20"/>
                <w:lang w:val="en-US"/>
              </w:rPr>
              <w:t>o</w:t>
            </w:r>
            <w:r w:rsidRPr="00FD7C28">
              <w:rPr>
                <w:rFonts w:ascii="Arial Narrow" w:hAnsi="Arial Narrow"/>
                <w:b/>
                <w:sz w:val="20"/>
                <w:lang w:val="en-US"/>
              </w:rPr>
              <w:t>utcome</w:t>
            </w:r>
          </w:p>
        </w:tc>
      </w:tr>
      <w:tr w:rsidR="007F1017" w:rsidRPr="00FD7C28" w:rsidTr="009047DD">
        <w:trPr>
          <w:cantSplit/>
        </w:trPr>
        <w:tc>
          <w:tcPr>
            <w:tcW w:w="5000" w:type="pct"/>
            <w:gridSpan w:val="6"/>
            <w:shd w:val="clear" w:color="auto" w:fill="auto"/>
            <w:vAlign w:val="center"/>
          </w:tcPr>
          <w:p w:rsidR="007F1017" w:rsidRPr="00FD7C28" w:rsidRDefault="00E61261" w:rsidP="009047DD">
            <w:pPr>
              <w:keepNext/>
              <w:jc w:val="left"/>
              <w:rPr>
                <w:rFonts w:ascii="Arial Narrow" w:hAnsi="Arial Narrow"/>
                <w:b/>
                <w:sz w:val="20"/>
                <w:lang w:val="en-US"/>
              </w:rPr>
            </w:pPr>
            <w:r w:rsidRPr="00FD7C28">
              <w:rPr>
                <w:rFonts w:ascii="Arial Narrow" w:hAnsi="Arial Narrow"/>
                <w:b/>
                <w:sz w:val="20"/>
                <w:lang w:val="en-US"/>
              </w:rPr>
              <w:t>Treatment naïve</w:t>
            </w:r>
          </w:p>
        </w:tc>
      </w:tr>
      <w:tr w:rsidR="00F9752D" w:rsidRPr="00FD7C28" w:rsidTr="009047DD">
        <w:trPr>
          <w:cantSplit/>
        </w:trPr>
        <w:tc>
          <w:tcPr>
            <w:tcW w:w="739" w:type="pct"/>
            <w:shd w:val="clear" w:color="auto" w:fill="auto"/>
            <w:vAlign w:val="center"/>
          </w:tcPr>
          <w:p w:rsidR="00F9752D" w:rsidRPr="00FD7C28" w:rsidRDefault="00F9752D" w:rsidP="009047DD">
            <w:pPr>
              <w:keepNext/>
              <w:jc w:val="left"/>
              <w:rPr>
                <w:rFonts w:ascii="Arial Narrow" w:hAnsi="Arial Narrow"/>
                <w:sz w:val="20"/>
                <w:lang w:val="en-US"/>
              </w:rPr>
            </w:pPr>
            <w:r w:rsidRPr="00FD7C28">
              <w:rPr>
                <w:rFonts w:ascii="Arial Narrow" w:hAnsi="Arial Narrow"/>
                <w:sz w:val="20"/>
                <w:lang w:val="en-US"/>
              </w:rPr>
              <w:t>Study 104</w:t>
            </w:r>
          </w:p>
        </w:tc>
        <w:tc>
          <w:tcPr>
            <w:tcW w:w="450" w:type="pct"/>
            <w:shd w:val="clear" w:color="auto" w:fill="auto"/>
            <w:vAlign w:val="center"/>
          </w:tcPr>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872</w:t>
            </w:r>
          </w:p>
        </w:tc>
        <w:tc>
          <w:tcPr>
            <w:tcW w:w="764" w:type="pct"/>
            <w:shd w:val="clear" w:color="auto" w:fill="auto"/>
            <w:vAlign w:val="center"/>
          </w:tcPr>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R, DB, MC</w:t>
            </w:r>
          </w:p>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48 weeks</w:t>
            </w:r>
          </w:p>
        </w:tc>
        <w:tc>
          <w:tcPr>
            <w:tcW w:w="595" w:type="pct"/>
            <w:shd w:val="clear" w:color="auto" w:fill="auto"/>
            <w:vAlign w:val="center"/>
          </w:tcPr>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Low</w:t>
            </w:r>
          </w:p>
        </w:tc>
        <w:tc>
          <w:tcPr>
            <w:tcW w:w="1274" w:type="pct"/>
            <w:shd w:val="clear" w:color="auto" w:fill="auto"/>
            <w:vAlign w:val="center"/>
          </w:tcPr>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 xml:space="preserve">Treatment naïve; </w:t>
            </w:r>
          </w:p>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HIV-1 positive</w:t>
            </w:r>
          </w:p>
        </w:tc>
        <w:tc>
          <w:tcPr>
            <w:tcW w:w="1178" w:type="pct"/>
            <w:shd w:val="clear" w:color="auto" w:fill="auto"/>
            <w:vAlign w:val="center"/>
          </w:tcPr>
          <w:p w:rsidR="00F9752D" w:rsidRPr="00FD7C28" w:rsidRDefault="00F9752D" w:rsidP="009047DD">
            <w:pPr>
              <w:keepNext/>
              <w:jc w:val="center"/>
              <w:rPr>
                <w:rFonts w:ascii="Arial Narrow" w:hAnsi="Arial Narrow"/>
                <w:sz w:val="20"/>
                <w:highlight w:val="yellow"/>
                <w:lang w:val="en-US"/>
              </w:rPr>
            </w:pPr>
            <w:r w:rsidRPr="00FD7C28">
              <w:rPr>
                <w:rFonts w:ascii="Arial Narrow" w:hAnsi="Arial Narrow"/>
                <w:sz w:val="20"/>
                <w:lang w:val="en-US"/>
              </w:rPr>
              <w:t>HIV RNA &lt; 50 copies/mL</w:t>
            </w:r>
          </w:p>
        </w:tc>
      </w:tr>
      <w:tr w:rsidR="00F9752D" w:rsidRPr="00FD7C28" w:rsidTr="009047DD">
        <w:trPr>
          <w:cantSplit/>
        </w:trPr>
        <w:tc>
          <w:tcPr>
            <w:tcW w:w="739" w:type="pct"/>
            <w:shd w:val="clear" w:color="auto" w:fill="auto"/>
            <w:vAlign w:val="center"/>
          </w:tcPr>
          <w:p w:rsidR="00F9752D" w:rsidRPr="00FD7C28" w:rsidRDefault="00F9752D" w:rsidP="009047DD">
            <w:pPr>
              <w:keepNext/>
              <w:jc w:val="left"/>
              <w:rPr>
                <w:rFonts w:ascii="Arial Narrow" w:hAnsi="Arial Narrow"/>
                <w:sz w:val="20"/>
                <w:lang w:val="en-US"/>
              </w:rPr>
            </w:pPr>
            <w:r w:rsidRPr="00FD7C28">
              <w:rPr>
                <w:rFonts w:ascii="Arial Narrow" w:hAnsi="Arial Narrow"/>
                <w:sz w:val="20"/>
                <w:lang w:val="en-US"/>
              </w:rPr>
              <w:t>Study 111</w:t>
            </w:r>
          </w:p>
        </w:tc>
        <w:tc>
          <w:tcPr>
            <w:tcW w:w="450" w:type="pct"/>
            <w:shd w:val="clear" w:color="auto" w:fill="auto"/>
            <w:vAlign w:val="center"/>
          </w:tcPr>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872</w:t>
            </w:r>
          </w:p>
        </w:tc>
        <w:tc>
          <w:tcPr>
            <w:tcW w:w="764" w:type="pct"/>
            <w:shd w:val="clear" w:color="auto" w:fill="auto"/>
            <w:vAlign w:val="center"/>
          </w:tcPr>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R, DB, MC</w:t>
            </w:r>
          </w:p>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48 weeks</w:t>
            </w:r>
          </w:p>
        </w:tc>
        <w:tc>
          <w:tcPr>
            <w:tcW w:w="595" w:type="pct"/>
            <w:shd w:val="clear" w:color="auto" w:fill="auto"/>
            <w:vAlign w:val="center"/>
          </w:tcPr>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Low</w:t>
            </w:r>
          </w:p>
        </w:tc>
        <w:tc>
          <w:tcPr>
            <w:tcW w:w="1274" w:type="pct"/>
            <w:shd w:val="clear" w:color="auto" w:fill="auto"/>
            <w:vAlign w:val="center"/>
          </w:tcPr>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 xml:space="preserve">Treatment naïve; </w:t>
            </w:r>
          </w:p>
          <w:p w:rsidR="00F9752D" w:rsidRPr="00FD7C28" w:rsidRDefault="00F9752D" w:rsidP="009047DD">
            <w:pPr>
              <w:keepNext/>
              <w:jc w:val="center"/>
              <w:rPr>
                <w:rFonts w:ascii="Arial Narrow" w:hAnsi="Arial Narrow"/>
                <w:sz w:val="20"/>
                <w:lang w:val="en-US"/>
              </w:rPr>
            </w:pPr>
            <w:r w:rsidRPr="00FD7C28">
              <w:rPr>
                <w:rFonts w:ascii="Arial Narrow" w:hAnsi="Arial Narrow"/>
                <w:sz w:val="20"/>
                <w:lang w:val="en-US"/>
              </w:rPr>
              <w:t>HIV-1 positive</w:t>
            </w:r>
          </w:p>
        </w:tc>
        <w:tc>
          <w:tcPr>
            <w:tcW w:w="1178" w:type="pct"/>
            <w:shd w:val="clear" w:color="auto" w:fill="auto"/>
            <w:vAlign w:val="center"/>
          </w:tcPr>
          <w:p w:rsidR="00F9752D" w:rsidRPr="00FD7C28" w:rsidRDefault="00F9752D" w:rsidP="009047DD">
            <w:pPr>
              <w:keepNext/>
              <w:jc w:val="center"/>
              <w:rPr>
                <w:rFonts w:ascii="Arial Narrow" w:hAnsi="Arial Narrow"/>
                <w:sz w:val="20"/>
                <w:highlight w:val="yellow"/>
                <w:lang w:val="en-US"/>
              </w:rPr>
            </w:pPr>
            <w:r w:rsidRPr="00FD7C28">
              <w:rPr>
                <w:rFonts w:ascii="Arial Narrow" w:hAnsi="Arial Narrow"/>
                <w:sz w:val="20"/>
                <w:lang w:val="en-US"/>
              </w:rPr>
              <w:t>HIV RNA &lt; 50 copies/mL</w:t>
            </w:r>
          </w:p>
        </w:tc>
      </w:tr>
      <w:tr w:rsidR="00E61261" w:rsidRPr="00FD7C28" w:rsidTr="009047DD">
        <w:trPr>
          <w:cantSplit/>
        </w:trPr>
        <w:tc>
          <w:tcPr>
            <w:tcW w:w="5000" w:type="pct"/>
            <w:gridSpan w:val="6"/>
            <w:shd w:val="clear" w:color="auto" w:fill="auto"/>
            <w:vAlign w:val="center"/>
          </w:tcPr>
          <w:p w:rsidR="00E61261" w:rsidRPr="00FD7C28" w:rsidRDefault="00E61261" w:rsidP="00E61261">
            <w:pPr>
              <w:jc w:val="left"/>
              <w:rPr>
                <w:rFonts w:ascii="Arial Narrow" w:hAnsi="Arial Narrow"/>
                <w:b/>
                <w:sz w:val="20"/>
                <w:lang w:val="en-US"/>
              </w:rPr>
            </w:pPr>
            <w:r w:rsidRPr="00FD7C28">
              <w:rPr>
                <w:rFonts w:ascii="Arial Narrow" w:hAnsi="Arial Narrow"/>
                <w:b/>
                <w:sz w:val="20"/>
                <w:lang w:val="en-US"/>
              </w:rPr>
              <w:t>Treatment experienced</w:t>
            </w:r>
          </w:p>
        </w:tc>
      </w:tr>
      <w:tr w:rsidR="00F9752D" w:rsidRPr="00EF6F2C" w:rsidTr="009047DD">
        <w:trPr>
          <w:cantSplit/>
        </w:trPr>
        <w:tc>
          <w:tcPr>
            <w:tcW w:w="739" w:type="pct"/>
            <w:shd w:val="clear" w:color="auto" w:fill="auto"/>
            <w:vAlign w:val="center"/>
          </w:tcPr>
          <w:p w:rsidR="00F9752D" w:rsidRPr="00EF6F2C" w:rsidRDefault="00F9752D" w:rsidP="007F1017">
            <w:pPr>
              <w:jc w:val="left"/>
              <w:rPr>
                <w:rFonts w:ascii="Arial Narrow" w:hAnsi="Arial Narrow"/>
                <w:sz w:val="20"/>
                <w:lang w:val="en-US"/>
              </w:rPr>
            </w:pPr>
            <w:r w:rsidRPr="00EF6F2C">
              <w:rPr>
                <w:rFonts w:ascii="Arial Narrow" w:hAnsi="Arial Narrow"/>
                <w:sz w:val="20"/>
                <w:lang w:val="en-US"/>
              </w:rPr>
              <w:t>Study 109</w:t>
            </w:r>
          </w:p>
        </w:tc>
        <w:tc>
          <w:tcPr>
            <w:tcW w:w="450" w:type="pct"/>
            <w:shd w:val="clear" w:color="auto" w:fill="auto"/>
            <w:vAlign w:val="center"/>
          </w:tcPr>
          <w:p w:rsidR="00F9752D" w:rsidRPr="00EF6F2C" w:rsidRDefault="00F9752D" w:rsidP="007F1017">
            <w:pPr>
              <w:jc w:val="center"/>
              <w:rPr>
                <w:rFonts w:ascii="Arial Narrow" w:hAnsi="Arial Narrow"/>
                <w:sz w:val="20"/>
                <w:lang w:val="en-US"/>
              </w:rPr>
            </w:pPr>
            <w:r w:rsidRPr="00EF6F2C">
              <w:rPr>
                <w:rFonts w:ascii="Arial Narrow" w:hAnsi="Arial Narrow"/>
                <w:sz w:val="20"/>
                <w:lang w:val="en-US"/>
              </w:rPr>
              <w:t>1,443</w:t>
            </w:r>
          </w:p>
        </w:tc>
        <w:tc>
          <w:tcPr>
            <w:tcW w:w="764" w:type="pct"/>
            <w:shd w:val="clear" w:color="auto" w:fill="auto"/>
            <w:vAlign w:val="center"/>
          </w:tcPr>
          <w:p w:rsidR="00F9752D" w:rsidRPr="00EF6F2C" w:rsidRDefault="00F9752D" w:rsidP="003B048F">
            <w:pPr>
              <w:jc w:val="center"/>
              <w:rPr>
                <w:rFonts w:ascii="Arial Narrow" w:hAnsi="Arial Narrow"/>
                <w:sz w:val="20"/>
                <w:lang w:val="en-US"/>
              </w:rPr>
            </w:pPr>
            <w:r w:rsidRPr="00EF6F2C">
              <w:rPr>
                <w:rFonts w:ascii="Arial Narrow" w:hAnsi="Arial Narrow"/>
                <w:sz w:val="20"/>
                <w:lang w:val="en-US"/>
              </w:rPr>
              <w:t>R, OL, MC</w:t>
            </w:r>
          </w:p>
          <w:p w:rsidR="00F9752D" w:rsidRPr="00EF6F2C" w:rsidRDefault="00F9752D" w:rsidP="003B048F">
            <w:pPr>
              <w:jc w:val="center"/>
              <w:rPr>
                <w:rFonts w:ascii="Arial Narrow" w:hAnsi="Arial Narrow"/>
                <w:sz w:val="20"/>
                <w:lang w:val="en-US"/>
              </w:rPr>
            </w:pPr>
            <w:r w:rsidRPr="00EF6F2C">
              <w:rPr>
                <w:rFonts w:ascii="Arial Narrow" w:hAnsi="Arial Narrow"/>
                <w:sz w:val="20"/>
                <w:lang w:val="en-US"/>
              </w:rPr>
              <w:t>48 weeks</w:t>
            </w:r>
          </w:p>
        </w:tc>
        <w:tc>
          <w:tcPr>
            <w:tcW w:w="595" w:type="pct"/>
            <w:shd w:val="clear" w:color="auto" w:fill="auto"/>
            <w:vAlign w:val="center"/>
          </w:tcPr>
          <w:p w:rsidR="00E12676" w:rsidRPr="00EF6F2C" w:rsidRDefault="00E12676" w:rsidP="007F1017">
            <w:pPr>
              <w:jc w:val="center"/>
              <w:rPr>
                <w:rFonts w:ascii="Arial Narrow" w:hAnsi="Arial Narrow"/>
                <w:sz w:val="20"/>
                <w:lang w:val="en-US"/>
              </w:rPr>
            </w:pPr>
            <w:r w:rsidRPr="00EF6F2C">
              <w:rPr>
                <w:rFonts w:ascii="Arial Narrow" w:hAnsi="Arial Narrow"/>
                <w:color w:val="000000" w:themeColor="text1"/>
                <w:sz w:val="20"/>
                <w:lang w:val="en-US"/>
              </w:rPr>
              <w:t>Moderate</w:t>
            </w:r>
          </w:p>
        </w:tc>
        <w:tc>
          <w:tcPr>
            <w:tcW w:w="1274" w:type="pct"/>
            <w:shd w:val="clear" w:color="auto" w:fill="auto"/>
            <w:vAlign w:val="center"/>
          </w:tcPr>
          <w:p w:rsidR="00F9752D" w:rsidRPr="00FD7C28" w:rsidRDefault="00F9752D" w:rsidP="007F1017">
            <w:pPr>
              <w:jc w:val="center"/>
              <w:rPr>
                <w:rFonts w:ascii="Arial Narrow" w:hAnsi="Arial Narrow"/>
                <w:sz w:val="20"/>
                <w:lang w:val="en-US"/>
              </w:rPr>
            </w:pPr>
            <w:r w:rsidRPr="00FD7C28">
              <w:rPr>
                <w:rFonts w:ascii="Arial Narrow" w:hAnsi="Arial Narrow"/>
                <w:sz w:val="20"/>
                <w:lang w:val="en-US"/>
              </w:rPr>
              <w:t xml:space="preserve">Virologically suppressed; </w:t>
            </w:r>
          </w:p>
          <w:p w:rsidR="00F9752D" w:rsidRPr="00EF319D" w:rsidRDefault="00F9752D" w:rsidP="007F1017">
            <w:pPr>
              <w:jc w:val="center"/>
              <w:rPr>
                <w:rFonts w:ascii="Arial Narrow" w:hAnsi="Arial Narrow"/>
                <w:sz w:val="20"/>
                <w:lang w:val="en-US"/>
              </w:rPr>
            </w:pPr>
            <w:r w:rsidRPr="00F43587">
              <w:rPr>
                <w:rFonts w:ascii="Arial Narrow" w:hAnsi="Arial Narrow"/>
                <w:sz w:val="20"/>
                <w:lang w:val="en-US"/>
              </w:rPr>
              <w:t>HIV-1 positive</w:t>
            </w:r>
          </w:p>
        </w:tc>
        <w:tc>
          <w:tcPr>
            <w:tcW w:w="1178" w:type="pct"/>
            <w:shd w:val="clear" w:color="auto" w:fill="auto"/>
            <w:vAlign w:val="center"/>
          </w:tcPr>
          <w:p w:rsidR="00F9752D" w:rsidRPr="00EF6F2C" w:rsidRDefault="00F9752D" w:rsidP="00F9752D">
            <w:pPr>
              <w:jc w:val="center"/>
              <w:rPr>
                <w:rFonts w:ascii="Arial Narrow" w:hAnsi="Arial Narrow"/>
                <w:sz w:val="20"/>
                <w:highlight w:val="yellow"/>
                <w:lang w:val="en-US"/>
              </w:rPr>
            </w:pPr>
            <w:r w:rsidRPr="00EF6F2C">
              <w:rPr>
                <w:rFonts w:ascii="Arial Narrow" w:hAnsi="Arial Narrow"/>
                <w:sz w:val="20"/>
                <w:lang w:val="en-US"/>
              </w:rPr>
              <w:t>HIV RNA &lt; 50 copies/mL</w:t>
            </w:r>
          </w:p>
        </w:tc>
      </w:tr>
    </w:tbl>
    <w:p w:rsidR="001F40F1" w:rsidRPr="00754170" w:rsidRDefault="001F40F1" w:rsidP="001F40F1">
      <w:pPr>
        <w:pStyle w:val="TableFooter"/>
        <w:ind w:firstLine="720"/>
      </w:pPr>
      <w:r w:rsidRPr="00754170">
        <w:t>Source: compiled during the evaluation</w:t>
      </w:r>
    </w:p>
    <w:p w:rsidR="007F1017" w:rsidRPr="00FD7C28" w:rsidRDefault="007F1017" w:rsidP="001F40F1">
      <w:pPr>
        <w:pStyle w:val="TableFooter"/>
        <w:ind w:left="720"/>
      </w:pPr>
      <w:r w:rsidRPr="00673F01">
        <w:t>DB</w:t>
      </w:r>
      <w:r w:rsidR="003B048F" w:rsidRPr="00BF0C1C">
        <w:t xml:space="preserve"> </w:t>
      </w:r>
      <w:r w:rsidRPr="00980EE7">
        <w:t>=</w:t>
      </w:r>
      <w:r w:rsidR="003B048F" w:rsidRPr="00980EE7">
        <w:t xml:space="preserve"> </w:t>
      </w:r>
      <w:r w:rsidRPr="005A7A62">
        <w:t xml:space="preserve">double blind; </w:t>
      </w:r>
      <w:r w:rsidR="00E61261" w:rsidRPr="005A7A62">
        <w:t>H</w:t>
      </w:r>
      <w:r w:rsidR="001F40F1" w:rsidRPr="005A7A62">
        <w:t xml:space="preserve">IV = human immunodeficiency virus; </w:t>
      </w:r>
      <w:r w:rsidRPr="005A7A62">
        <w:t>MC</w:t>
      </w:r>
      <w:r w:rsidR="003B048F" w:rsidRPr="005A7A62">
        <w:t xml:space="preserve"> </w:t>
      </w:r>
      <w:r w:rsidRPr="00021BAC">
        <w:t>=</w:t>
      </w:r>
      <w:r w:rsidR="003B048F" w:rsidRPr="00021BAC">
        <w:t xml:space="preserve"> </w:t>
      </w:r>
      <w:r w:rsidRPr="00021BAC">
        <w:t>multi-centre; OL</w:t>
      </w:r>
      <w:r w:rsidR="003B048F" w:rsidRPr="00FD7C28">
        <w:t xml:space="preserve"> </w:t>
      </w:r>
      <w:r w:rsidRPr="00FD7C28">
        <w:t>=</w:t>
      </w:r>
      <w:r w:rsidR="003B048F" w:rsidRPr="00FD7C28">
        <w:t xml:space="preserve"> </w:t>
      </w:r>
      <w:r w:rsidRPr="00FD7C28">
        <w:t>open</w:t>
      </w:r>
      <w:r w:rsidR="00872213" w:rsidRPr="00FD7C28">
        <w:t xml:space="preserve"> </w:t>
      </w:r>
      <w:r w:rsidRPr="00FD7C28">
        <w:t xml:space="preserve">label; </w:t>
      </w:r>
      <w:r w:rsidR="001F40F1" w:rsidRPr="00FD7C28">
        <w:t>R</w:t>
      </w:r>
      <w:r w:rsidR="00E61261" w:rsidRPr="00FD7C28">
        <w:t xml:space="preserve"> </w:t>
      </w:r>
      <w:r w:rsidR="001F40F1" w:rsidRPr="00FD7C28">
        <w:t>=</w:t>
      </w:r>
      <w:r w:rsidR="00E61261" w:rsidRPr="00FD7C28">
        <w:t xml:space="preserve"> </w:t>
      </w:r>
      <w:r w:rsidR="001F40F1" w:rsidRPr="00FD7C28">
        <w:t>randomised; RNA</w:t>
      </w:r>
      <w:r w:rsidR="00777EDE" w:rsidRPr="00FD7C28">
        <w:t> </w:t>
      </w:r>
      <w:r w:rsidR="001F40F1" w:rsidRPr="00FD7C28">
        <w:t>=</w:t>
      </w:r>
      <w:r w:rsidR="00777EDE" w:rsidRPr="00FD7C28">
        <w:t> </w:t>
      </w:r>
      <w:r w:rsidR="001F40F1" w:rsidRPr="00FD7C28">
        <w:t>ribonucleic acid</w:t>
      </w:r>
    </w:p>
    <w:p w:rsidR="0063409A" w:rsidRPr="00FD7C28" w:rsidRDefault="0063409A" w:rsidP="001F40F1">
      <w:pPr>
        <w:pStyle w:val="TableFooter"/>
        <w:ind w:left="720"/>
      </w:pPr>
    </w:p>
    <w:p w:rsidR="0063409A" w:rsidRDefault="0063409A" w:rsidP="0063409A">
      <w:pPr>
        <w:pStyle w:val="ListParagraph"/>
        <w:widowControl/>
        <w:numPr>
          <w:ilvl w:val="1"/>
          <w:numId w:val="9"/>
        </w:numPr>
        <w:rPr>
          <w:szCs w:val="22"/>
        </w:rPr>
      </w:pPr>
      <w:r w:rsidRPr="00EF6F2C">
        <w:rPr>
          <w:szCs w:val="22"/>
        </w:rPr>
        <w:t>The ESC considered the risk of bias in the evidence reported for the safety endpoints from Study 109 to be moderate as it was an open-label study.</w:t>
      </w:r>
    </w:p>
    <w:p w:rsidR="00A73349" w:rsidRPr="00EF6F2C" w:rsidRDefault="00A73349" w:rsidP="00A73349">
      <w:pPr>
        <w:pStyle w:val="ListParagraph"/>
        <w:widowControl/>
        <w:rPr>
          <w:szCs w:val="22"/>
        </w:rPr>
      </w:pPr>
    </w:p>
    <w:p w:rsidR="007F1017" w:rsidRPr="00FD7C28" w:rsidRDefault="007F1017" w:rsidP="007F1017"/>
    <w:p w:rsidR="00B60939" w:rsidRPr="00EF6F2C" w:rsidRDefault="00B60939" w:rsidP="00413948">
      <w:pPr>
        <w:pStyle w:val="Heading2"/>
      </w:pPr>
      <w:bookmarkStart w:id="9" w:name="_Toc430081389"/>
      <w:r w:rsidRPr="00EF6F2C">
        <w:t>Comparative effectiveness</w:t>
      </w:r>
      <w:bookmarkEnd w:id="9"/>
    </w:p>
    <w:p w:rsidR="00B60939" w:rsidRPr="00FD7C28" w:rsidRDefault="00B60939" w:rsidP="00B60939">
      <w:pPr>
        <w:rPr>
          <w:szCs w:val="22"/>
        </w:rPr>
      </w:pPr>
    </w:p>
    <w:p w:rsidR="00B95070" w:rsidRPr="00754170" w:rsidRDefault="00B95070" w:rsidP="0016555A">
      <w:pPr>
        <w:pStyle w:val="ListParagraph"/>
        <w:widowControl/>
        <w:numPr>
          <w:ilvl w:val="1"/>
          <w:numId w:val="9"/>
        </w:numPr>
        <w:rPr>
          <w:rStyle w:val="CommentReference"/>
          <w:rFonts w:ascii="Arial" w:hAnsi="Arial"/>
          <w:b w:val="0"/>
          <w:sz w:val="22"/>
          <w:szCs w:val="22"/>
        </w:rPr>
      </w:pPr>
      <w:r w:rsidRPr="00F43587">
        <w:rPr>
          <w:rStyle w:val="CommentReference"/>
          <w:rFonts w:ascii="Arial" w:hAnsi="Arial"/>
          <w:b w:val="0"/>
          <w:sz w:val="22"/>
          <w:szCs w:val="22"/>
        </w:rPr>
        <w:t>The clinically relevant outcome for benefits wa</w:t>
      </w:r>
      <w:r w:rsidRPr="00EF319D">
        <w:rPr>
          <w:rStyle w:val="CommentReference"/>
          <w:rFonts w:ascii="Arial" w:hAnsi="Arial"/>
          <w:b w:val="0"/>
          <w:sz w:val="22"/>
          <w:szCs w:val="22"/>
        </w:rPr>
        <w:t xml:space="preserve">s the proportion of patients with HIV ribonucleic acid (RNA) </w:t>
      </w:r>
      <w:r w:rsidR="00C74B7B" w:rsidRPr="00EF6F2C">
        <w:rPr>
          <w:rStyle w:val="CommentReference"/>
          <w:rFonts w:ascii="Arial" w:hAnsi="Arial"/>
          <w:b w:val="0"/>
          <w:sz w:val="22"/>
          <w:szCs w:val="22"/>
        </w:rPr>
        <w:t>&lt;</w:t>
      </w:r>
      <w:r w:rsidRPr="00EF6F2C">
        <w:rPr>
          <w:rStyle w:val="CommentReference"/>
          <w:rFonts w:ascii="Arial" w:hAnsi="Arial"/>
          <w:b w:val="0"/>
          <w:sz w:val="22"/>
          <w:szCs w:val="22"/>
        </w:rPr>
        <w:t xml:space="preserve"> 50 copies/mL, using the </w:t>
      </w:r>
      <w:r w:rsidR="00872213" w:rsidRPr="00EF6F2C">
        <w:rPr>
          <w:rStyle w:val="CommentReference"/>
          <w:rFonts w:ascii="Arial" w:hAnsi="Arial"/>
          <w:b w:val="0"/>
          <w:sz w:val="22"/>
          <w:szCs w:val="22"/>
        </w:rPr>
        <w:t>US</w:t>
      </w:r>
      <w:r w:rsidRPr="00EF6F2C">
        <w:rPr>
          <w:rStyle w:val="CommentReference"/>
          <w:rFonts w:ascii="Arial" w:hAnsi="Arial"/>
          <w:b w:val="0"/>
          <w:sz w:val="22"/>
          <w:szCs w:val="22"/>
        </w:rPr>
        <w:t xml:space="preserve"> Fo</w:t>
      </w:r>
      <w:r w:rsidR="009250AE" w:rsidRPr="00EF6F2C">
        <w:rPr>
          <w:rStyle w:val="CommentReference"/>
          <w:rFonts w:ascii="Arial" w:hAnsi="Arial"/>
          <w:b w:val="0"/>
          <w:sz w:val="22"/>
          <w:szCs w:val="22"/>
        </w:rPr>
        <w:t>od and Drug Administration</w:t>
      </w:r>
      <w:r w:rsidRPr="00EF6F2C">
        <w:rPr>
          <w:rStyle w:val="CommentReference"/>
          <w:rFonts w:ascii="Arial" w:hAnsi="Arial"/>
          <w:b w:val="0"/>
          <w:sz w:val="22"/>
          <w:szCs w:val="22"/>
        </w:rPr>
        <w:t xml:space="preserve"> snapshot algorithm. This </w:t>
      </w:r>
      <w:r w:rsidR="00C74B7B" w:rsidRPr="00EF6F2C">
        <w:rPr>
          <w:rStyle w:val="CommentReference"/>
          <w:rFonts w:ascii="Arial" w:hAnsi="Arial"/>
          <w:b w:val="0"/>
          <w:sz w:val="22"/>
          <w:szCs w:val="22"/>
        </w:rPr>
        <w:t xml:space="preserve">was the primary </w:t>
      </w:r>
      <w:r w:rsidRPr="00EF6F2C">
        <w:rPr>
          <w:rStyle w:val="CommentReference"/>
          <w:rFonts w:ascii="Arial" w:hAnsi="Arial"/>
          <w:b w:val="0"/>
          <w:sz w:val="22"/>
          <w:szCs w:val="22"/>
        </w:rPr>
        <w:t xml:space="preserve">outcome in </w:t>
      </w:r>
      <w:r w:rsidR="00C74B7B" w:rsidRPr="00EF6F2C">
        <w:rPr>
          <w:rStyle w:val="CommentReference"/>
          <w:rFonts w:ascii="Arial" w:hAnsi="Arial"/>
          <w:b w:val="0"/>
          <w:sz w:val="22"/>
          <w:szCs w:val="22"/>
        </w:rPr>
        <w:t xml:space="preserve">the </w:t>
      </w:r>
      <w:r w:rsidRPr="00EF6F2C">
        <w:rPr>
          <w:rStyle w:val="CommentReference"/>
          <w:rFonts w:ascii="Arial" w:hAnsi="Arial"/>
          <w:b w:val="0"/>
          <w:sz w:val="22"/>
          <w:szCs w:val="22"/>
        </w:rPr>
        <w:t xml:space="preserve">three </w:t>
      </w:r>
      <w:r w:rsidR="00C74B7B" w:rsidRPr="00EF6F2C">
        <w:rPr>
          <w:rStyle w:val="CommentReference"/>
          <w:rFonts w:ascii="Arial" w:hAnsi="Arial"/>
          <w:b w:val="0"/>
          <w:sz w:val="22"/>
          <w:szCs w:val="22"/>
        </w:rPr>
        <w:t xml:space="preserve">pivotal </w:t>
      </w:r>
      <w:r w:rsidRPr="00EF6F2C">
        <w:rPr>
          <w:rStyle w:val="CommentReference"/>
          <w:rFonts w:ascii="Arial" w:hAnsi="Arial"/>
          <w:b w:val="0"/>
          <w:sz w:val="22"/>
          <w:szCs w:val="22"/>
        </w:rPr>
        <w:t>trials.</w:t>
      </w:r>
      <w:r w:rsidR="00F22A9F" w:rsidRPr="00EF6F2C">
        <w:rPr>
          <w:rStyle w:val="CommentReference"/>
          <w:rFonts w:ascii="Arial" w:hAnsi="Arial"/>
          <w:b w:val="0"/>
          <w:sz w:val="22"/>
          <w:szCs w:val="22"/>
        </w:rPr>
        <w:t xml:space="preserve"> This was the appropriate outcome measure.</w:t>
      </w:r>
    </w:p>
    <w:p w:rsidR="00B95070" w:rsidRPr="00673F01" w:rsidRDefault="00B95070" w:rsidP="00B95070">
      <w:pPr>
        <w:pStyle w:val="ListParagraph"/>
        <w:widowControl/>
        <w:rPr>
          <w:rStyle w:val="CommentReference"/>
          <w:rFonts w:ascii="Arial" w:hAnsi="Arial"/>
          <w:b w:val="0"/>
          <w:sz w:val="22"/>
          <w:szCs w:val="22"/>
        </w:rPr>
      </w:pPr>
    </w:p>
    <w:p w:rsidR="007F1017" w:rsidRPr="00FD7C28" w:rsidRDefault="007F1017" w:rsidP="008F7821">
      <w:pPr>
        <w:pStyle w:val="ListParagraph"/>
        <w:keepNext/>
        <w:widowControl/>
        <w:numPr>
          <w:ilvl w:val="1"/>
          <w:numId w:val="9"/>
        </w:numPr>
        <w:rPr>
          <w:rStyle w:val="CommentReference"/>
          <w:rFonts w:ascii="Arial" w:hAnsi="Arial"/>
          <w:b w:val="0"/>
          <w:sz w:val="22"/>
          <w:szCs w:val="22"/>
        </w:rPr>
      </w:pPr>
      <w:r w:rsidRPr="00673F01">
        <w:rPr>
          <w:rStyle w:val="CommentReference"/>
        </w:rPr>
        <w:lastRenderedPageBreak/>
        <w:t xml:space="preserve">Table </w:t>
      </w:r>
      <w:r w:rsidR="0016555A" w:rsidRPr="00BF0C1C">
        <w:rPr>
          <w:rStyle w:val="CommentReference"/>
        </w:rPr>
        <w:t>3</w:t>
      </w:r>
      <w:r w:rsidRPr="00980EE7">
        <w:rPr>
          <w:rStyle w:val="CommentReference"/>
        </w:rPr>
        <w:t>: Results</w:t>
      </w:r>
      <w:r w:rsidRPr="005A7A62">
        <w:rPr>
          <w:rStyle w:val="CommentReference"/>
        </w:rPr>
        <w:t xml:space="preserve"> </w:t>
      </w:r>
      <w:r w:rsidR="0016555A" w:rsidRPr="005A7A62">
        <w:rPr>
          <w:rStyle w:val="CommentReference"/>
        </w:rPr>
        <w:t>for the proportion of patients with HIV RNA &lt; 50 copies/mL</w:t>
      </w:r>
      <w:r w:rsidRPr="005A7A62">
        <w:rPr>
          <w:rStyle w:val="CommentReference"/>
        </w:rPr>
        <w:t xml:space="preserve"> across the direct randomised trials</w:t>
      </w:r>
      <w:r w:rsidR="0016555A" w:rsidRPr="00FD7C28">
        <w:rPr>
          <w:rStyle w:val="CommentReference"/>
        </w:rPr>
        <w:t xml:space="preserve"> (full analysis sets)</w:t>
      </w:r>
      <w:r w:rsidRPr="00FD7C28">
        <w:rPr>
          <w:rStyle w:val="CommentReference"/>
        </w:rPr>
        <w:t xml:space="preserve"> </w:t>
      </w:r>
    </w:p>
    <w:tbl>
      <w:tblPr>
        <w:tblStyle w:val="TableGrid"/>
        <w:tblW w:w="0" w:type="auto"/>
        <w:tblInd w:w="737" w:type="dxa"/>
        <w:tblLook w:val="04A0" w:firstRow="1" w:lastRow="0" w:firstColumn="1" w:lastColumn="0" w:noHBand="0" w:noVBand="1"/>
        <w:tblCaption w:val="Key clinical trial results"/>
      </w:tblPr>
      <w:tblGrid>
        <w:gridCol w:w="1985"/>
        <w:gridCol w:w="2126"/>
        <w:gridCol w:w="2126"/>
        <w:gridCol w:w="2108"/>
      </w:tblGrid>
      <w:tr w:rsidR="0016555A" w:rsidRPr="00FD7C28" w:rsidTr="0016555A">
        <w:trPr>
          <w:cantSplit/>
          <w:tblHeader/>
        </w:trPr>
        <w:tc>
          <w:tcPr>
            <w:tcW w:w="1985" w:type="dxa"/>
            <w:tcMar>
              <w:left w:w="28" w:type="dxa"/>
              <w:right w:w="28" w:type="dxa"/>
            </w:tcMar>
            <w:vAlign w:val="center"/>
          </w:tcPr>
          <w:p w:rsidR="0016555A" w:rsidRPr="00FD7C28" w:rsidRDefault="0016555A" w:rsidP="008F7821">
            <w:pPr>
              <w:keepNext/>
              <w:jc w:val="left"/>
              <w:rPr>
                <w:rFonts w:ascii="Arial Narrow" w:hAnsi="Arial Narrow"/>
                <w:sz w:val="20"/>
              </w:rPr>
            </w:pPr>
            <w:r w:rsidRPr="00FD7C28">
              <w:rPr>
                <w:rFonts w:ascii="Arial Narrow" w:hAnsi="Arial Narrow"/>
                <w:b/>
                <w:sz w:val="20"/>
              </w:rPr>
              <w:t>Treatment naïve</w:t>
            </w:r>
          </w:p>
        </w:tc>
        <w:tc>
          <w:tcPr>
            <w:tcW w:w="2126" w:type="dxa"/>
            <w:tcMar>
              <w:left w:w="28" w:type="dxa"/>
              <w:right w:w="28" w:type="dxa"/>
            </w:tcMar>
          </w:tcPr>
          <w:p w:rsidR="0016555A" w:rsidRPr="00FD7C28" w:rsidRDefault="0016555A" w:rsidP="008F7821">
            <w:pPr>
              <w:keepNext/>
              <w:jc w:val="center"/>
              <w:rPr>
                <w:rFonts w:ascii="Arial Narrow" w:hAnsi="Arial Narrow"/>
                <w:b/>
                <w:sz w:val="20"/>
              </w:rPr>
            </w:pPr>
            <w:r w:rsidRPr="00FD7C28">
              <w:rPr>
                <w:rFonts w:ascii="Arial Narrow" w:hAnsi="Arial Narrow"/>
                <w:b/>
                <w:sz w:val="20"/>
              </w:rPr>
              <w:t xml:space="preserve">EVG/c/FTC/TAF, </w:t>
            </w:r>
          </w:p>
          <w:p w:rsidR="0016555A" w:rsidRPr="00FD7C28" w:rsidRDefault="0016555A" w:rsidP="008F7821">
            <w:pPr>
              <w:keepNext/>
              <w:jc w:val="center"/>
              <w:rPr>
                <w:rFonts w:ascii="Arial Narrow" w:hAnsi="Arial Narrow"/>
                <w:b/>
                <w:sz w:val="20"/>
              </w:rPr>
            </w:pPr>
            <w:r w:rsidRPr="00FD7C28">
              <w:rPr>
                <w:rFonts w:ascii="Arial Narrow" w:hAnsi="Arial Narrow"/>
                <w:b/>
                <w:sz w:val="20"/>
              </w:rPr>
              <w:t>n/N (%)</w:t>
            </w:r>
          </w:p>
        </w:tc>
        <w:tc>
          <w:tcPr>
            <w:tcW w:w="2126" w:type="dxa"/>
            <w:tcMar>
              <w:left w:w="28" w:type="dxa"/>
              <w:right w:w="28" w:type="dxa"/>
            </w:tcMar>
          </w:tcPr>
          <w:p w:rsidR="0016555A" w:rsidRPr="00FD7C28" w:rsidRDefault="0016555A" w:rsidP="008F7821">
            <w:pPr>
              <w:keepNext/>
              <w:jc w:val="center"/>
              <w:rPr>
                <w:rFonts w:ascii="Arial Narrow" w:hAnsi="Arial Narrow"/>
                <w:b/>
                <w:sz w:val="20"/>
              </w:rPr>
            </w:pPr>
            <w:r w:rsidRPr="00FD7C28">
              <w:rPr>
                <w:rFonts w:ascii="Arial Narrow" w:hAnsi="Arial Narrow"/>
                <w:b/>
                <w:sz w:val="20"/>
              </w:rPr>
              <w:t xml:space="preserve">EVG/c/FTC/TDF, </w:t>
            </w:r>
          </w:p>
          <w:p w:rsidR="0016555A" w:rsidRPr="00FD7C28" w:rsidRDefault="0016555A" w:rsidP="008F7821">
            <w:pPr>
              <w:keepNext/>
              <w:jc w:val="center"/>
              <w:rPr>
                <w:rFonts w:ascii="Arial Narrow" w:hAnsi="Arial Narrow"/>
                <w:b/>
                <w:sz w:val="20"/>
              </w:rPr>
            </w:pPr>
            <w:r w:rsidRPr="00FD7C28">
              <w:rPr>
                <w:rFonts w:ascii="Arial Narrow" w:hAnsi="Arial Narrow"/>
                <w:b/>
                <w:sz w:val="20"/>
              </w:rPr>
              <w:t>n/N (%)</w:t>
            </w:r>
          </w:p>
        </w:tc>
        <w:tc>
          <w:tcPr>
            <w:tcW w:w="2108" w:type="dxa"/>
            <w:tcMar>
              <w:left w:w="28" w:type="dxa"/>
              <w:right w:w="28" w:type="dxa"/>
            </w:tcMar>
            <w:vAlign w:val="center"/>
          </w:tcPr>
          <w:p w:rsidR="0016555A" w:rsidRPr="00FD7C28" w:rsidRDefault="0016555A" w:rsidP="008F7821">
            <w:pPr>
              <w:keepNext/>
              <w:jc w:val="center"/>
              <w:rPr>
                <w:rFonts w:ascii="Arial Narrow" w:hAnsi="Arial Narrow"/>
                <w:b/>
                <w:sz w:val="20"/>
              </w:rPr>
            </w:pPr>
            <w:r w:rsidRPr="00FD7C28">
              <w:rPr>
                <w:rFonts w:ascii="Arial Narrow" w:hAnsi="Arial Narrow"/>
                <w:b/>
                <w:sz w:val="20"/>
              </w:rPr>
              <w:t xml:space="preserve">Difference in % </w:t>
            </w:r>
          </w:p>
          <w:p w:rsidR="0016555A" w:rsidRPr="00FD7C28" w:rsidRDefault="0016555A" w:rsidP="008F7821">
            <w:pPr>
              <w:keepNext/>
              <w:jc w:val="center"/>
              <w:rPr>
                <w:rFonts w:ascii="Arial Narrow" w:hAnsi="Arial Narrow"/>
                <w:b/>
                <w:sz w:val="20"/>
              </w:rPr>
            </w:pPr>
            <w:r w:rsidRPr="00FD7C28">
              <w:rPr>
                <w:rFonts w:ascii="Arial Narrow" w:hAnsi="Arial Narrow"/>
                <w:b/>
                <w:sz w:val="20"/>
              </w:rPr>
              <w:t>(95% CI)</w:t>
            </w:r>
          </w:p>
        </w:tc>
      </w:tr>
      <w:tr w:rsidR="0016555A" w:rsidRPr="00FD7C28" w:rsidTr="0016555A">
        <w:trPr>
          <w:cantSplit/>
        </w:trPr>
        <w:tc>
          <w:tcPr>
            <w:tcW w:w="1985" w:type="dxa"/>
            <w:tcMar>
              <w:left w:w="28" w:type="dxa"/>
              <w:right w:w="28" w:type="dxa"/>
            </w:tcMar>
          </w:tcPr>
          <w:p w:rsidR="0016555A" w:rsidRPr="00FD7C28" w:rsidRDefault="0016555A" w:rsidP="008F7821">
            <w:pPr>
              <w:keepNext/>
              <w:rPr>
                <w:rFonts w:ascii="Arial Narrow" w:hAnsi="Arial Narrow"/>
                <w:sz w:val="20"/>
              </w:rPr>
            </w:pPr>
            <w:r w:rsidRPr="00FD7C28">
              <w:rPr>
                <w:rFonts w:ascii="Arial Narrow" w:hAnsi="Arial Narrow"/>
                <w:sz w:val="20"/>
              </w:rPr>
              <w:t>Study 104</w:t>
            </w:r>
          </w:p>
        </w:tc>
        <w:tc>
          <w:tcPr>
            <w:tcW w:w="2126" w:type="dxa"/>
            <w:tcMar>
              <w:left w:w="28" w:type="dxa"/>
              <w:right w:w="28" w:type="dxa"/>
            </w:tcMar>
          </w:tcPr>
          <w:p w:rsidR="0016555A" w:rsidRPr="00FD7C28" w:rsidRDefault="0016555A" w:rsidP="008F7821">
            <w:pPr>
              <w:keepNext/>
              <w:jc w:val="center"/>
              <w:rPr>
                <w:rFonts w:ascii="Arial Narrow" w:hAnsi="Arial Narrow"/>
                <w:sz w:val="20"/>
              </w:rPr>
            </w:pPr>
            <w:r w:rsidRPr="00FD7C28">
              <w:rPr>
                <w:rFonts w:ascii="Arial Narrow" w:hAnsi="Arial Narrow"/>
                <w:sz w:val="20"/>
              </w:rPr>
              <w:t>405/435 (93.1%)</w:t>
            </w:r>
          </w:p>
        </w:tc>
        <w:tc>
          <w:tcPr>
            <w:tcW w:w="2126" w:type="dxa"/>
            <w:tcMar>
              <w:left w:w="28" w:type="dxa"/>
              <w:right w:w="28" w:type="dxa"/>
            </w:tcMar>
          </w:tcPr>
          <w:p w:rsidR="0016555A" w:rsidRPr="00FD7C28" w:rsidRDefault="0016555A" w:rsidP="008F7821">
            <w:pPr>
              <w:keepNext/>
              <w:jc w:val="center"/>
              <w:rPr>
                <w:rFonts w:ascii="Arial Narrow" w:hAnsi="Arial Narrow"/>
                <w:sz w:val="20"/>
              </w:rPr>
            </w:pPr>
            <w:r w:rsidRPr="00FD7C28">
              <w:rPr>
                <w:rFonts w:ascii="Arial Narrow" w:hAnsi="Arial Narrow"/>
                <w:sz w:val="20"/>
              </w:rPr>
              <w:t>399/432 (92.4%)</w:t>
            </w:r>
          </w:p>
        </w:tc>
        <w:tc>
          <w:tcPr>
            <w:tcW w:w="2108" w:type="dxa"/>
            <w:tcMar>
              <w:left w:w="28" w:type="dxa"/>
              <w:right w:w="28" w:type="dxa"/>
            </w:tcMar>
          </w:tcPr>
          <w:p w:rsidR="0016555A" w:rsidRPr="00FD7C28" w:rsidRDefault="0016555A" w:rsidP="008F7821">
            <w:pPr>
              <w:keepNext/>
              <w:jc w:val="center"/>
              <w:rPr>
                <w:rFonts w:ascii="Arial Narrow" w:hAnsi="Arial Narrow"/>
                <w:sz w:val="20"/>
              </w:rPr>
            </w:pPr>
            <w:r w:rsidRPr="00FD7C28">
              <w:rPr>
                <w:rFonts w:ascii="Arial Narrow" w:hAnsi="Arial Narrow"/>
                <w:sz w:val="20"/>
              </w:rPr>
              <w:t>1.0% (-2.6, 4.5)</w:t>
            </w:r>
          </w:p>
        </w:tc>
      </w:tr>
      <w:tr w:rsidR="0016555A" w:rsidRPr="00FD7C28" w:rsidTr="0016555A">
        <w:trPr>
          <w:cantSplit/>
        </w:trPr>
        <w:tc>
          <w:tcPr>
            <w:tcW w:w="1985" w:type="dxa"/>
            <w:tcMar>
              <w:left w:w="28" w:type="dxa"/>
              <w:right w:w="28" w:type="dxa"/>
            </w:tcMar>
          </w:tcPr>
          <w:p w:rsidR="0016555A" w:rsidRPr="00FD7C28" w:rsidRDefault="0016555A" w:rsidP="008F7821">
            <w:pPr>
              <w:keepNext/>
              <w:rPr>
                <w:rFonts w:ascii="Arial Narrow" w:hAnsi="Arial Narrow"/>
                <w:sz w:val="20"/>
              </w:rPr>
            </w:pPr>
            <w:r w:rsidRPr="00FD7C28">
              <w:rPr>
                <w:rFonts w:ascii="Arial Narrow" w:hAnsi="Arial Narrow"/>
                <w:sz w:val="20"/>
              </w:rPr>
              <w:t>Study 111</w:t>
            </w:r>
          </w:p>
        </w:tc>
        <w:tc>
          <w:tcPr>
            <w:tcW w:w="2126" w:type="dxa"/>
            <w:tcMar>
              <w:left w:w="28" w:type="dxa"/>
              <w:right w:w="28" w:type="dxa"/>
            </w:tcMar>
          </w:tcPr>
          <w:p w:rsidR="0016555A" w:rsidRPr="00FD7C28" w:rsidRDefault="0016555A" w:rsidP="008F7821">
            <w:pPr>
              <w:keepNext/>
              <w:jc w:val="center"/>
              <w:rPr>
                <w:rFonts w:ascii="Arial Narrow" w:hAnsi="Arial Narrow"/>
                <w:sz w:val="20"/>
              </w:rPr>
            </w:pPr>
            <w:r w:rsidRPr="00FD7C28">
              <w:rPr>
                <w:rFonts w:ascii="Arial Narrow" w:hAnsi="Arial Narrow"/>
                <w:sz w:val="20"/>
              </w:rPr>
              <w:t>395/431 (91.6%)</w:t>
            </w:r>
          </w:p>
        </w:tc>
        <w:tc>
          <w:tcPr>
            <w:tcW w:w="2126" w:type="dxa"/>
            <w:tcMar>
              <w:left w:w="28" w:type="dxa"/>
              <w:right w:w="28" w:type="dxa"/>
            </w:tcMar>
          </w:tcPr>
          <w:p w:rsidR="0016555A" w:rsidRPr="00FD7C28" w:rsidRDefault="0016555A" w:rsidP="008F7821">
            <w:pPr>
              <w:keepNext/>
              <w:jc w:val="center"/>
              <w:rPr>
                <w:rFonts w:ascii="Arial Narrow" w:hAnsi="Arial Narrow"/>
                <w:sz w:val="20"/>
              </w:rPr>
            </w:pPr>
            <w:r w:rsidRPr="00FD7C28">
              <w:rPr>
                <w:rFonts w:ascii="Arial Narrow" w:hAnsi="Arial Narrow"/>
                <w:sz w:val="20"/>
              </w:rPr>
              <w:t>385/435 (88.5%)</w:t>
            </w:r>
          </w:p>
        </w:tc>
        <w:tc>
          <w:tcPr>
            <w:tcW w:w="2108" w:type="dxa"/>
            <w:tcMar>
              <w:left w:w="28" w:type="dxa"/>
              <w:right w:w="28" w:type="dxa"/>
            </w:tcMar>
          </w:tcPr>
          <w:p w:rsidR="0016555A" w:rsidRPr="00FD7C28" w:rsidRDefault="0016555A" w:rsidP="008F7821">
            <w:pPr>
              <w:keepNext/>
              <w:jc w:val="center"/>
              <w:rPr>
                <w:rFonts w:ascii="Arial Narrow" w:hAnsi="Arial Narrow"/>
                <w:sz w:val="20"/>
              </w:rPr>
            </w:pPr>
            <w:r w:rsidRPr="00FD7C28">
              <w:rPr>
                <w:rFonts w:ascii="Arial Narrow" w:hAnsi="Arial Narrow"/>
                <w:sz w:val="20"/>
              </w:rPr>
              <w:t>3.1% (-1.0, 7.1)</w:t>
            </w:r>
          </w:p>
        </w:tc>
      </w:tr>
      <w:tr w:rsidR="0016555A" w:rsidRPr="00FD7C28" w:rsidTr="0016555A">
        <w:trPr>
          <w:cantSplit/>
        </w:trPr>
        <w:tc>
          <w:tcPr>
            <w:tcW w:w="1985" w:type="dxa"/>
            <w:tcMar>
              <w:left w:w="28" w:type="dxa"/>
              <w:right w:w="28" w:type="dxa"/>
            </w:tcMar>
          </w:tcPr>
          <w:p w:rsidR="0016555A" w:rsidRPr="00FD7C28" w:rsidRDefault="0016555A" w:rsidP="008F7821">
            <w:pPr>
              <w:keepNext/>
              <w:rPr>
                <w:rFonts w:ascii="Arial Narrow" w:hAnsi="Arial Narrow"/>
                <w:b/>
                <w:sz w:val="20"/>
              </w:rPr>
            </w:pPr>
            <w:r w:rsidRPr="00FD7C28">
              <w:rPr>
                <w:rFonts w:ascii="Arial Narrow" w:hAnsi="Arial Narrow"/>
                <w:b/>
                <w:sz w:val="20"/>
              </w:rPr>
              <w:t>Pooled analysis</w:t>
            </w:r>
          </w:p>
        </w:tc>
        <w:tc>
          <w:tcPr>
            <w:tcW w:w="2126" w:type="dxa"/>
            <w:tcMar>
              <w:left w:w="28" w:type="dxa"/>
              <w:right w:w="28" w:type="dxa"/>
            </w:tcMar>
          </w:tcPr>
          <w:p w:rsidR="0016555A" w:rsidRPr="00FD7C28" w:rsidRDefault="0016555A" w:rsidP="008F7821">
            <w:pPr>
              <w:keepNext/>
              <w:jc w:val="center"/>
              <w:rPr>
                <w:rFonts w:ascii="Arial Narrow" w:hAnsi="Arial Narrow"/>
                <w:sz w:val="20"/>
              </w:rPr>
            </w:pPr>
            <w:r w:rsidRPr="00FD7C28">
              <w:rPr>
                <w:rFonts w:ascii="Arial Narrow" w:hAnsi="Arial Narrow"/>
                <w:sz w:val="20"/>
              </w:rPr>
              <w:t>800/866 (92.4%)</w:t>
            </w:r>
          </w:p>
        </w:tc>
        <w:tc>
          <w:tcPr>
            <w:tcW w:w="2126" w:type="dxa"/>
            <w:tcMar>
              <w:left w:w="28" w:type="dxa"/>
              <w:right w:w="28" w:type="dxa"/>
            </w:tcMar>
          </w:tcPr>
          <w:p w:rsidR="0016555A" w:rsidRPr="00FD7C28" w:rsidRDefault="0016555A" w:rsidP="008F7821">
            <w:pPr>
              <w:keepNext/>
              <w:jc w:val="center"/>
              <w:rPr>
                <w:rFonts w:ascii="Arial Narrow" w:hAnsi="Arial Narrow"/>
                <w:sz w:val="20"/>
              </w:rPr>
            </w:pPr>
            <w:r w:rsidRPr="00FD7C28">
              <w:rPr>
                <w:rFonts w:ascii="Arial Narrow" w:hAnsi="Arial Narrow"/>
                <w:sz w:val="20"/>
              </w:rPr>
              <w:t>784/867 (90.4%)</w:t>
            </w:r>
          </w:p>
        </w:tc>
        <w:tc>
          <w:tcPr>
            <w:tcW w:w="2108" w:type="dxa"/>
            <w:tcMar>
              <w:left w:w="28" w:type="dxa"/>
              <w:right w:w="28" w:type="dxa"/>
            </w:tcMar>
          </w:tcPr>
          <w:p w:rsidR="0016555A" w:rsidRPr="00FD7C28" w:rsidRDefault="0016555A" w:rsidP="008F7821">
            <w:pPr>
              <w:keepNext/>
              <w:jc w:val="center"/>
              <w:rPr>
                <w:rFonts w:ascii="Arial Narrow" w:hAnsi="Arial Narrow"/>
                <w:sz w:val="20"/>
              </w:rPr>
            </w:pPr>
            <w:r w:rsidRPr="00FD7C28">
              <w:rPr>
                <w:rFonts w:ascii="Arial Narrow" w:hAnsi="Arial Narrow"/>
                <w:sz w:val="20"/>
              </w:rPr>
              <w:t>2.0% (-0.7, 4.7)</w:t>
            </w:r>
          </w:p>
        </w:tc>
      </w:tr>
      <w:tr w:rsidR="0016555A" w:rsidRPr="00FD7C28" w:rsidTr="0016555A">
        <w:trPr>
          <w:cantSplit/>
        </w:trPr>
        <w:tc>
          <w:tcPr>
            <w:tcW w:w="1985" w:type="dxa"/>
            <w:tcMar>
              <w:left w:w="28" w:type="dxa"/>
              <w:right w:w="28" w:type="dxa"/>
            </w:tcMar>
            <w:vAlign w:val="center"/>
          </w:tcPr>
          <w:p w:rsidR="0016555A" w:rsidRPr="00FD7C28" w:rsidRDefault="0016555A" w:rsidP="008F7821">
            <w:pPr>
              <w:keepNext/>
              <w:jc w:val="left"/>
              <w:rPr>
                <w:rFonts w:ascii="Arial Narrow" w:hAnsi="Arial Narrow"/>
                <w:sz w:val="20"/>
              </w:rPr>
            </w:pPr>
            <w:r w:rsidRPr="00FD7C28">
              <w:rPr>
                <w:rFonts w:ascii="Arial Narrow" w:hAnsi="Arial Narrow"/>
                <w:b/>
                <w:sz w:val="20"/>
              </w:rPr>
              <w:t>Treatment experienced</w:t>
            </w:r>
          </w:p>
        </w:tc>
        <w:tc>
          <w:tcPr>
            <w:tcW w:w="2126" w:type="dxa"/>
            <w:tcMar>
              <w:left w:w="28" w:type="dxa"/>
              <w:right w:w="28" w:type="dxa"/>
            </w:tcMar>
          </w:tcPr>
          <w:p w:rsidR="0016555A" w:rsidRPr="00FD7C28" w:rsidRDefault="0016555A" w:rsidP="008F7821">
            <w:pPr>
              <w:keepNext/>
              <w:jc w:val="center"/>
              <w:rPr>
                <w:rFonts w:ascii="Arial Narrow" w:hAnsi="Arial Narrow"/>
                <w:b/>
                <w:sz w:val="20"/>
              </w:rPr>
            </w:pPr>
            <w:r w:rsidRPr="00FD7C28">
              <w:rPr>
                <w:rFonts w:ascii="Arial Narrow" w:hAnsi="Arial Narrow"/>
                <w:b/>
                <w:sz w:val="20"/>
              </w:rPr>
              <w:t xml:space="preserve">EVG/c/FTC/TAF, </w:t>
            </w:r>
          </w:p>
          <w:p w:rsidR="0016555A" w:rsidRPr="00FD7C28" w:rsidRDefault="0016555A" w:rsidP="008F7821">
            <w:pPr>
              <w:keepNext/>
              <w:jc w:val="center"/>
              <w:rPr>
                <w:rFonts w:ascii="Arial Narrow" w:hAnsi="Arial Narrow"/>
                <w:sz w:val="20"/>
              </w:rPr>
            </w:pPr>
            <w:r w:rsidRPr="00FD7C28">
              <w:rPr>
                <w:rFonts w:ascii="Arial Narrow" w:hAnsi="Arial Narrow"/>
                <w:b/>
                <w:sz w:val="20"/>
              </w:rPr>
              <w:t>n/N (%)</w:t>
            </w:r>
          </w:p>
        </w:tc>
        <w:tc>
          <w:tcPr>
            <w:tcW w:w="2126" w:type="dxa"/>
            <w:tcMar>
              <w:left w:w="28" w:type="dxa"/>
              <w:right w:w="28" w:type="dxa"/>
            </w:tcMar>
          </w:tcPr>
          <w:p w:rsidR="0016555A" w:rsidRPr="00FD7C28" w:rsidRDefault="0016555A" w:rsidP="008F7821">
            <w:pPr>
              <w:keepNext/>
              <w:jc w:val="center"/>
              <w:rPr>
                <w:rFonts w:ascii="Arial Narrow" w:hAnsi="Arial Narrow"/>
                <w:b/>
                <w:sz w:val="20"/>
              </w:rPr>
            </w:pPr>
            <w:r w:rsidRPr="00FD7C28">
              <w:rPr>
                <w:rFonts w:ascii="Arial Narrow" w:hAnsi="Arial Narrow"/>
                <w:b/>
                <w:sz w:val="20"/>
              </w:rPr>
              <w:t>FTC/TDF + 3</w:t>
            </w:r>
            <w:r w:rsidRPr="00FD7C28">
              <w:rPr>
                <w:rFonts w:ascii="Arial Narrow" w:hAnsi="Arial Narrow"/>
                <w:b/>
                <w:sz w:val="20"/>
                <w:vertAlign w:val="superscript"/>
              </w:rPr>
              <w:t>rd</w:t>
            </w:r>
            <w:r w:rsidRPr="00FD7C28">
              <w:rPr>
                <w:rFonts w:ascii="Arial Narrow" w:hAnsi="Arial Narrow"/>
                <w:b/>
                <w:sz w:val="20"/>
              </w:rPr>
              <w:t xml:space="preserve"> agent </w:t>
            </w:r>
            <w:r w:rsidRPr="00FD7C28">
              <w:rPr>
                <w:rFonts w:ascii="Arial Narrow" w:hAnsi="Arial Narrow"/>
                <w:b/>
                <w:sz w:val="20"/>
                <w:vertAlign w:val="superscript"/>
              </w:rPr>
              <w:t>a</w:t>
            </w:r>
            <w:r w:rsidRPr="00FD7C28">
              <w:rPr>
                <w:rFonts w:ascii="Arial Narrow" w:hAnsi="Arial Narrow"/>
                <w:b/>
                <w:sz w:val="20"/>
              </w:rPr>
              <w:t>,</w:t>
            </w:r>
          </w:p>
          <w:p w:rsidR="0016555A" w:rsidRPr="00FD7C28" w:rsidRDefault="0016555A" w:rsidP="008F7821">
            <w:pPr>
              <w:keepNext/>
              <w:jc w:val="center"/>
              <w:rPr>
                <w:rFonts w:ascii="Arial Narrow" w:hAnsi="Arial Narrow"/>
                <w:sz w:val="20"/>
              </w:rPr>
            </w:pPr>
            <w:r w:rsidRPr="00FD7C28">
              <w:rPr>
                <w:rFonts w:ascii="Arial Narrow" w:hAnsi="Arial Narrow"/>
                <w:b/>
                <w:sz w:val="20"/>
              </w:rPr>
              <w:t>n/N (%)</w:t>
            </w:r>
          </w:p>
        </w:tc>
        <w:tc>
          <w:tcPr>
            <w:tcW w:w="2108" w:type="dxa"/>
            <w:tcMar>
              <w:left w:w="28" w:type="dxa"/>
              <w:right w:w="28" w:type="dxa"/>
            </w:tcMar>
          </w:tcPr>
          <w:p w:rsidR="0016555A" w:rsidRPr="00FD7C28" w:rsidRDefault="0016555A" w:rsidP="008F7821">
            <w:pPr>
              <w:keepNext/>
              <w:jc w:val="center"/>
              <w:rPr>
                <w:rFonts w:ascii="Arial Narrow" w:hAnsi="Arial Narrow"/>
                <w:b/>
                <w:sz w:val="20"/>
              </w:rPr>
            </w:pPr>
            <w:r w:rsidRPr="00FD7C28">
              <w:rPr>
                <w:rFonts w:ascii="Arial Narrow" w:hAnsi="Arial Narrow"/>
                <w:b/>
                <w:sz w:val="20"/>
              </w:rPr>
              <w:t xml:space="preserve">Difference in % </w:t>
            </w:r>
          </w:p>
          <w:p w:rsidR="0016555A" w:rsidRPr="00FD7C28" w:rsidRDefault="0016555A" w:rsidP="008F7821">
            <w:pPr>
              <w:keepNext/>
              <w:jc w:val="center"/>
              <w:rPr>
                <w:rFonts w:ascii="Arial Narrow" w:hAnsi="Arial Narrow"/>
                <w:sz w:val="20"/>
              </w:rPr>
            </w:pPr>
            <w:r w:rsidRPr="00FD7C28">
              <w:rPr>
                <w:rFonts w:ascii="Arial Narrow" w:hAnsi="Arial Narrow"/>
                <w:b/>
                <w:sz w:val="20"/>
              </w:rPr>
              <w:t>(95% CI)</w:t>
            </w:r>
          </w:p>
        </w:tc>
      </w:tr>
      <w:tr w:rsidR="0016555A" w:rsidRPr="00FD7C28" w:rsidTr="0016555A">
        <w:trPr>
          <w:cantSplit/>
        </w:trPr>
        <w:tc>
          <w:tcPr>
            <w:tcW w:w="1985" w:type="dxa"/>
            <w:tcMar>
              <w:left w:w="28" w:type="dxa"/>
              <w:right w:w="28" w:type="dxa"/>
            </w:tcMar>
          </w:tcPr>
          <w:p w:rsidR="0016555A" w:rsidRPr="00FD7C28" w:rsidDel="00383FA0" w:rsidRDefault="0016555A" w:rsidP="008F7821">
            <w:pPr>
              <w:keepNext/>
              <w:rPr>
                <w:rFonts w:ascii="Arial Narrow" w:hAnsi="Arial Narrow"/>
                <w:sz w:val="20"/>
              </w:rPr>
            </w:pPr>
            <w:r w:rsidRPr="00FD7C28">
              <w:rPr>
                <w:rFonts w:ascii="Arial Narrow" w:hAnsi="Arial Narrow"/>
                <w:sz w:val="20"/>
              </w:rPr>
              <w:t>Study 109</w:t>
            </w:r>
          </w:p>
        </w:tc>
        <w:tc>
          <w:tcPr>
            <w:tcW w:w="2126" w:type="dxa"/>
            <w:tcMar>
              <w:left w:w="28" w:type="dxa"/>
              <w:right w:w="28" w:type="dxa"/>
            </w:tcMar>
          </w:tcPr>
          <w:p w:rsidR="0016555A" w:rsidRPr="00FD7C28" w:rsidRDefault="0016555A" w:rsidP="008F7821">
            <w:pPr>
              <w:keepNext/>
              <w:jc w:val="center"/>
              <w:rPr>
                <w:rFonts w:ascii="Arial Narrow" w:hAnsi="Arial Narrow"/>
                <w:sz w:val="20"/>
              </w:rPr>
            </w:pPr>
            <w:r w:rsidRPr="00EF6F2C">
              <w:rPr>
                <w:rFonts w:ascii="Arial Narrow" w:hAnsi="Arial Narrow"/>
                <w:sz w:val="20"/>
              </w:rPr>
              <w:t>764/799 (95.6%)</w:t>
            </w:r>
          </w:p>
        </w:tc>
        <w:tc>
          <w:tcPr>
            <w:tcW w:w="2126" w:type="dxa"/>
            <w:tcMar>
              <w:left w:w="28" w:type="dxa"/>
              <w:right w:w="28" w:type="dxa"/>
            </w:tcMar>
          </w:tcPr>
          <w:p w:rsidR="0016555A" w:rsidRPr="00FD7C28" w:rsidRDefault="0016555A" w:rsidP="008F7821">
            <w:pPr>
              <w:keepNext/>
              <w:jc w:val="center"/>
              <w:rPr>
                <w:rFonts w:ascii="Arial Narrow" w:hAnsi="Arial Narrow"/>
                <w:sz w:val="20"/>
              </w:rPr>
            </w:pPr>
            <w:r w:rsidRPr="00EF6F2C">
              <w:rPr>
                <w:rFonts w:ascii="Arial Narrow" w:hAnsi="Arial Narrow"/>
                <w:sz w:val="20"/>
              </w:rPr>
              <w:t>369/397 (92.9%)</w:t>
            </w:r>
          </w:p>
        </w:tc>
        <w:tc>
          <w:tcPr>
            <w:tcW w:w="2108" w:type="dxa"/>
            <w:tcMar>
              <w:left w:w="28" w:type="dxa"/>
              <w:right w:w="28" w:type="dxa"/>
            </w:tcMar>
          </w:tcPr>
          <w:p w:rsidR="0016555A" w:rsidRPr="00F43587" w:rsidRDefault="0016555A" w:rsidP="008F7821">
            <w:pPr>
              <w:keepNext/>
              <w:jc w:val="center"/>
              <w:rPr>
                <w:rFonts w:ascii="Arial Narrow" w:hAnsi="Arial Narrow"/>
                <w:sz w:val="20"/>
              </w:rPr>
            </w:pPr>
            <w:r w:rsidRPr="00F43587">
              <w:rPr>
                <w:rFonts w:ascii="Arial Narrow" w:hAnsi="Arial Narrow"/>
                <w:sz w:val="20"/>
              </w:rPr>
              <w:t>2.7% (-0.3, 5.6)</w:t>
            </w:r>
          </w:p>
        </w:tc>
      </w:tr>
    </w:tbl>
    <w:p w:rsidR="0016555A" w:rsidRPr="00EF6F2C" w:rsidRDefault="0016555A" w:rsidP="006475AB">
      <w:pPr>
        <w:pStyle w:val="TableFooter"/>
        <w:ind w:left="720"/>
      </w:pPr>
      <w:r w:rsidRPr="00EF6F2C">
        <w:t>Source: Table B-17, p51; Table B-38, p75 of the submission</w:t>
      </w:r>
      <w:r w:rsidR="00B95070" w:rsidRPr="00EF6F2C">
        <w:t>; and Table 9-1, p96 of Study 109 CSR</w:t>
      </w:r>
    </w:p>
    <w:p w:rsidR="0016555A" w:rsidRPr="00EF6F2C" w:rsidRDefault="0016555A" w:rsidP="006475AB">
      <w:pPr>
        <w:pStyle w:val="TableFooter"/>
        <w:ind w:left="720"/>
      </w:pPr>
      <w:r w:rsidRPr="00FD7C28">
        <w:t>c = cobicistat; CI = confidence interval; E</w:t>
      </w:r>
      <w:r w:rsidRPr="00F43587">
        <w:t>VG</w:t>
      </w:r>
      <w:r w:rsidRPr="00EF319D">
        <w:t xml:space="preserve"> = elvitegravir; F</w:t>
      </w:r>
      <w:r w:rsidRPr="00EF6F2C">
        <w:t xml:space="preserve">TC = emtricitabine; </w:t>
      </w:r>
      <w:r w:rsidR="00D4046E" w:rsidRPr="00EF6F2C">
        <w:t>HIV = human immunodeficiency virus; RN</w:t>
      </w:r>
      <w:r w:rsidR="00090068" w:rsidRPr="00EF6F2C">
        <w:t>A </w:t>
      </w:r>
      <w:r w:rsidR="00D4046E" w:rsidRPr="00EF6F2C">
        <w:t>=</w:t>
      </w:r>
      <w:r w:rsidR="00090068" w:rsidRPr="00EF6F2C">
        <w:t> </w:t>
      </w:r>
      <w:r w:rsidR="00D4046E" w:rsidRPr="00EF6F2C">
        <w:t xml:space="preserve">ribonucleic acid; </w:t>
      </w:r>
      <w:r w:rsidRPr="00EF6F2C">
        <w:t>TAF = tenofovir alafenamide; TDF = tenofovir disoproxil fumarate</w:t>
      </w:r>
    </w:p>
    <w:p w:rsidR="0016555A" w:rsidRPr="00FD7C28" w:rsidRDefault="0016555A" w:rsidP="006475AB">
      <w:pPr>
        <w:pStyle w:val="TableFooter"/>
        <w:ind w:left="720"/>
      </w:pPr>
      <w:r w:rsidRPr="00754170">
        <w:rPr>
          <w:vertAlign w:val="superscript"/>
        </w:rPr>
        <w:t>a</w:t>
      </w:r>
      <w:r w:rsidRPr="0017235C">
        <w:t xml:space="preserve"> Third agent</w:t>
      </w:r>
      <w:r w:rsidR="00C74B7B" w:rsidRPr="00673F01">
        <w:t>s:</w:t>
      </w:r>
      <w:r w:rsidRPr="00673F01">
        <w:t xml:space="preserve"> </w:t>
      </w:r>
      <w:r w:rsidR="001F1270" w:rsidRPr="00BF0C1C">
        <w:t>cobicistat + elvitegravir</w:t>
      </w:r>
      <w:r w:rsidRPr="00980EE7">
        <w:t xml:space="preserve"> (~32%), efavirenz (~26%), ritonavir-boosted atazanavir (~15%), or c</w:t>
      </w:r>
      <w:r w:rsidR="001F1270" w:rsidRPr="00980EE7">
        <w:t>obicistat</w:t>
      </w:r>
      <w:r w:rsidRPr="005A7A62">
        <w:t>-boosted atazanavir (~27%)</w:t>
      </w:r>
    </w:p>
    <w:p w:rsidR="0016555A" w:rsidRPr="00FD7C28" w:rsidRDefault="0016555A" w:rsidP="00E22A0D">
      <w:pPr>
        <w:ind w:firstLine="720"/>
        <w:rPr>
          <w:rStyle w:val="CommentReference"/>
        </w:rPr>
      </w:pPr>
    </w:p>
    <w:p w:rsidR="0016555A" w:rsidRPr="00FD7C28" w:rsidRDefault="00B95070" w:rsidP="0016555A">
      <w:pPr>
        <w:pStyle w:val="ListParagraph"/>
        <w:widowControl/>
        <w:numPr>
          <w:ilvl w:val="1"/>
          <w:numId w:val="9"/>
        </w:numPr>
        <w:rPr>
          <w:szCs w:val="22"/>
        </w:rPr>
      </w:pPr>
      <w:r w:rsidRPr="00D332EA">
        <w:rPr>
          <w:szCs w:val="22"/>
        </w:rPr>
        <w:t xml:space="preserve">In the analyses, </w:t>
      </w:r>
      <w:r w:rsidRPr="00FD7C28">
        <w:rPr>
          <w:szCs w:val="22"/>
        </w:rPr>
        <w:t>virologic success was achieved in approximately 90% of patients</w:t>
      </w:r>
      <w:r w:rsidR="00747F3E" w:rsidRPr="00FD7C28">
        <w:rPr>
          <w:szCs w:val="22"/>
        </w:rPr>
        <w:t>, regardless of treatment</w:t>
      </w:r>
      <w:r w:rsidR="009250AE" w:rsidRPr="00FD7C28">
        <w:rPr>
          <w:szCs w:val="22"/>
        </w:rPr>
        <w:t>,</w:t>
      </w:r>
      <w:r w:rsidR="00747F3E" w:rsidRPr="00FD7C28">
        <w:rPr>
          <w:szCs w:val="22"/>
        </w:rPr>
        <w:t xml:space="preserve"> and the differences in percentages </w:t>
      </w:r>
      <w:r w:rsidR="009250AE" w:rsidRPr="00FD7C28">
        <w:rPr>
          <w:szCs w:val="22"/>
        </w:rPr>
        <w:t xml:space="preserve">between </w:t>
      </w:r>
      <w:r w:rsidR="00747F3E" w:rsidRPr="00FD7C28">
        <w:rPr>
          <w:szCs w:val="22"/>
        </w:rPr>
        <w:t xml:space="preserve">treatment arms were not significant. </w:t>
      </w:r>
      <w:r w:rsidR="0016555A" w:rsidRPr="00FD7C28">
        <w:rPr>
          <w:szCs w:val="22"/>
        </w:rPr>
        <w:t xml:space="preserve">EVG/c/FTC/tenofovir alafenamide was </w:t>
      </w:r>
      <w:r w:rsidR="00747F3E" w:rsidRPr="00FD7C28">
        <w:rPr>
          <w:szCs w:val="22"/>
        </w:rPr>
        <w:t xml:space="preserve">considered </w:t>
      </w:r>
      <w:r w:rsidR="0016555A" w:rsidRPr="00FD7C28">
        <w:rPr>
          <w:szCs w:val="22"/>
        </w:rPr>
        <w:t>non-inferior to EVG/</w:t>
      </w:r>
      <w:r w:rsidR="006B59C5" w:rsidRPr="00FD7C28">
        <w:rPr>
          <w:szCs w:val="22"/>
        </w:rPr>
        <w:t>c/FTC/tenofovir</w:t>
      </w:r>
      <w:r w:rsidR="00872213" w:rsidRPr="00FD7C28">
        <w:rPr>
          <w:szCs w:val="22"/>
        </w:rPr>
        <w:t> </w:t>
      </w:r>
      <w:r w:rsidR="006B59C5" w:rsidRPr="00FD7C28">
        <w:rPr>
          <w:szCs w:val="22"/>
        </w:rPr>
        <w:t>DF in treatment-</w:t>
      </w:r>
      <w:r w:rsidR="0016555A" w:rsidRPr="00FD7C28">
        <w:rPr>
          <w:szCs w:val="22"/>
        </w:rPr>
        <w:t>naïve patients and non-inferior to FTC/tenofovir</w:t>
      </w:r>
      <w:r w:rsidR="00872213" w:rsidRPr="00FD7C28">
        <w:rPr>
          <w:szCs w:val="22"/>
        </w:rPr>
        <w:t> </w:t>
      </w:r>
      <w:r w:rsidR="0016555A" w:rsidRPr="00FD7C28">
        <w:rPr>
          <w:szCs w:val="22"/>
        </w:rPr>
        <w:t>DF plus third agent regimens in treatment</w:t>
      </w:r>
      <w:r w:rsidR="006B59C5" w:rsidRPr="00FD7C28">
        <w:rPr>
          <w:szCs w:val="22"/>
        </w:rPr>
        <w:t>-</w:t>
      </w:r>
      <w:r w:rsidR="0016555A" w:rsidRPr="00FD7C28">
        <w:rPr>
          <w:szCs w:val="22"/>
        </w:rPr>
        <w:t xml:space="preserve">experienced patients as the lower bounds of the two-sided 95% confidence intervals </w:t>
      </w:r>
      <w:r w:rsidR="00872213" w:rsidRPr="00FD7C28">
        <w:rPr>
          <w:szCs w:val="22"/>
        </w:rPr>
        <w:t xml:space="preserve">(CI) </w:t>
      </w:r>
      <w:r w:rsidR="0016555A" w:rsidRPr="00FD7C28">
        <w:rPr>
          <w:szCs w:val="22"/>
        </w:rPr>
        <w:t>were greater than the pre-specified -12% margin. This was appropriate.</w:t>
      </w:r>
    </w:p>
    <w:p w:rsidR="00EF6F2C" w:rsidRPr="00EF6F2C" w:rsidRDefault="00EF6F2C" w:rsidP="00B60939">
      <w:pPr>
        <w:rPr>
          <w:szCs w:val="22"/>
        </w:rPr>
      </w:pPr>
    </w:p>
    <w:p w:rsidR="00B60939" w:rsidRPr="00EF6F2C" w:rsidRDefault="00B60939" w:rsidP="00413948">
      <w:pPr>
        <w:pStyle w:val="Heading2"/>
      </w:pPr>
      <w:bookmarkStart w:id="10" w:name="_Toc430081390"/>
      <w:r w:rsidRPr="00EF6F2C">
        <w:t>Comparative harms</w:t>
      </w:r>
      <w:bookmarkEnd w:id="10"/>
    </w:p>
    <w:p w:rsidR="00B60939" w:rsidRPr="00FD7C28" w:rsidRDefault="00B60939" w:rsidP="00B60939">
      <w:pPr>
        <w:ind w:left="720" w:hanging="720"/>
        <w:rPr>
          <w:szCs w:val="22"/>
        </w:rPr>
      </w:pPr>
    </w:p>
    <w:p w:rsidR="00747F3E" w:rsidRPr="00980EE7" w:rsidRDefault="00747F3E" w:rsidP="00CE2379">
      <w:pPr>
        <w:pStyle w:val="ListParagraph"/>
        <w:widowControl/>
        <w:numPr>
          <w:ilvl w:val="1"/>
          <w:numId w:val="9"/>
        </w:numPr>
        <w:rPr>
          <w:szCs w:val="22"/>
        </w:rPr>
      </w:pPr>
      <w:r w:rsidRPr="00F43587">
        <w:rPr>
          <w:szCs w:val="22"/>
        </w:rPr>
        <w:t xml:space="preserve">There were similar rates of adverse events and serious adverse events in </w:t>
      </w:r>
      <w:r w:rsidR="009250AE" w:rsidRPr="00EF319D">
        <w:rPr>
          <w:szCs w:val="22"/>
        </w:rPr>
        <w:t>treatment</w:t>
      </w:r>
      <w:r w:rsidR="006B59C5" w:rsidRPr="00EF6F2C">
        <w:rPr>
          <w:szCs w:val="22"/>
        </w:rPr>
        <w:t>-</w:t>
      </w:r>
      <w:r w:rsidR="009250AE" w:rsidRPr="00EF6F2C">
        <w:rPr>
          <w:szCs w:val="22"/>
        </w:rPr>
        <w:t>naïve patients (</w:t>
      </w:r>
      <w:r w:rsidRPr="00EF6F2C">
        <w:rPr>
          <w:szCs w:val="22"/>
        </w:rPr>
        <w:t>Studies 104 and 111</w:t>
      </w:r>
      <w:r w:rsidR="009250AE" w:rsidRPr="00EF6F2C">
        <w:rPr>
          <w:szCs w:val="22"/>
        </w:rPr>
        <w:t>)</w:t>
      </w:r>
      <w:r w:rsidRPr="00EF6F2C">
        <w:rPr>
          <w:szCs w:val="22"/>
        </w:rPr>
        <w:t xml:space="preserve">. The rates of discontinuation were also very similar. Rates of adverse events and serious adverse events </w:t>
      </w:r>
      <w:r w:rsidRPr="00754170">
        <w:rPr>
          <w:szCs w:val="22"/>
        </w:rPr>
        <w:t>were lower in treatment</w:t>
      </w:r>
      <w:r w:rsidR="006B59C5" w:rsidRPr="00673F01">
        <w:rPr>
          <w:szCs w:val="22"/>
        </w:rPr>
        <w:t>-</w:t>
      </w:r>
      <w:r w:rsidRPr="00BF0C1C">
        <w:rPr>
          <w:szCs w:val="22"/>
        </w:rPr>
        <w:t>experienced patients (Study 109).</w:t>
      </w:r>
    </w:p>
    <w:p w:rsidR="00D72693" w:rsidRPr="00FD7C28" w:rsidRDefault="00D72693" w:rsidP="008F7821">
      <w:pPr>
        <w:keepNext/>
        <w:ind w:firstLine="720"/>
        <w:rPr>
          <w:rStyle w:val="CommentReference"/>
        </w:rPr>
      </w:pPr>
    </w:p>
    <w:p w:rsidR="00747F3E" w:rsidRPr="00FD7C28" w:rsidRDefault="00747F3E" w:rsidP="008F7821">
      <w:pPr>
        <w:keepNext/>
        <w:ind w:firstLine="720"/>
        <w:rPr>
          <w:rStyle w:val="CommentReference"/>
        </w:rPr>
      </w:pPr>
      <w:r w:rsidRPr="00FD7C28">
        <w:rPr>
          <w:rStyle w:val="CommentReference"/>
        </w:rPr>
        <w:t>Table 4: Overview of the adverse events experienced (safety analysis sets)</w:t>
      </w:r>
    </w:p>
    <w:tbl>
      <w:tblPr>
        <w:tblStyle w:val="TableGrid"/>
        <w:tblW w:w="4564" w:type="pct"/>
        <w:tblInd w:w="737" w:type="dxa"/>
        <w:tblLayout w:type="fixed"/>
        <w:tblLook w:val="04A0" w:firstRow="1" w:lastRow="0" w:firstColumn="1" w:lastColumn="0" w:noHBand="0" w:noVBand="1"/>
        <w:tblCaption w:val="Overview of adverse events from clinical trials"/>
      </w:tblPr>
      <w:tblGrid>
        <w:gridCol w:w="2125"/>
        <w:gridCol w:w="994"/>
        <w:gridCol w:w="992"/>
        <w:gridCol w:w="992"/>
        <w:gridCol w:w="992"/>
        <w:gridCol w:w="1138"/>
        <w:gridCol w:w="1131"/>
      </w:tblGrid>
      <w:tr w:rsidR="00747F3E" w:rsidRPr="00FD7C28" w:rsidTr="00635E03">
        <w:trPr>
          <w:cantSplit/>
          <w:tblHeader/>
        </w:trPr>
        <w:tc>
          <w:tcPr>
            <w:tcW w:w="1271" w:type="pct"/>
            <w:vMerge w:val="restart"/>
            <w:tcMar>
              <w:left w:w="28" w:type="dxa"/>
              <w:right w:w="28" w:type="dxa"/>
            </w:tcMar>
          </w:tcPr>
          <w:p w:rsidR="00747F3E" w:rsidRPr="00FD7C28" w:rsidRDefault="00747F3E" w:rsidP="008F7821">
            <w:pPr>
              <w:keepNext/>
              <w:jc w:val="left"/>
              <w:rPr>
                <w:rFonts w:ascii="Arial Narrow" w:hAnsi="Arial Narrow"/>
                <w:sz w:val="20"/>
              </w:rPr>
            </w:pPr>
          </w:p>
        </w:tc>
        <w:tc>
          <w:tcPr>
            <w:tcW w:w="2373" w:type="pct"/>
            <w:gridSpan w:val="4"/>
            <w:tcMar>
              <w:left w:w="28" w:type="dxa"/>
              <w:right w:w="28" w:type="dxa"/>
            </w:tcMar>
            <w:vAlign w:val="center"/>
          </w:tcPr>
          <w:p w:rsidR="00747F3E" w:rsidRPr="00673F01" w:rsidRDefault="00747F3E" w:rsidP="008F7821">
            <w:pPr>
              <w:keepNext/>
              <w:jc w:val="center"/>
              <w:rPr>
                <w:rFonts w:ascii="Arial Narrow" w:hAnsi="Arial Narrow"/>
                <w:b/>
                <w:sz w:val="20"/>
              </w:rPr>
            </w:pPr>
            <w:r w:rsidRPr="00673F01">
              <w:rPr>
                <w:rFonts w:ascii="Arial Narrow" w:hAnsi="Arial Narrow"/>
                <w:b/>
                <w:sz w:val="20"/>
              </w:rPr>
              <w:t>Treatment naïve</w:t>
            </w:r>
          </w:p>
        </w:tc>
        <w:tc>
          <w:tcPr>
            <w:tcW w:w="1356" w:type="pct"/>
            <w:gridSpan w:val="2"/>
          </w:tcPr>
          <w:p w:rsidR="00747F3E" w:rsidRPr="00980EE7" w:rsidRDefault="00747F3E" w:rsidP="008F7821">
            <w:pPr>
              <w:keepNext/>
              <w:jc w:val="center"/>
              <w:rPr>
                <w:rFonts w:ascii="Arial Narrow" w:hAnsi="Arial Narrow"/>
                <w:b/>
                <w:sz w:val="20"/>
              </w:rPr>
            </w:pPr>
            <w:r w:rsidRPr="00980EE7">
              <w:rPr>
                <w:rFonts w:ascii="Arial Narrow" w:hAnsi="Arial Narrow"/>
                <w:b/>
                <w:sz w:val="20"/>
              </w:rPr>
              <w:t>Treatment experienced</w:t>
            </w:r>
          </w:p>
        </w:tc>
      </w:tr>
      <w:tr w:rsidR="00747F3E" w:rsidRPr="00FD7C28" w:rsidTr="00635E03">
        <w:trPr>
          <w:cantSplit/>
          <w:tblHeader/>
        </w:trPr>
        <w:tc>
          <w:tcPr>
            <w:tcW w:w="1271" w:type="pct"/>
            <w:vMerge/>
            <w:tcMar>
              <w:left w:w="28" w:type="dxa"/>
              <w:right w:w="28" w:type="dxa"/>
            </w:tcMar>
          </w:tcPr>
          <w:p w:rsidR="00747F3E" w:rsidRPr="00FD7C28" w:rsidRDefault="00747F3E" w:rsidP="008F7821">
            <w:pPr>
              <w:keepNext/>
              <w:jc w:val="left"/>
              <w:rPr>
                <w:rFonts w:ascii="Arial Narrow" w:hAnsi="Arial Narrow"/>
                <w:sz w:val="20"/>
              </w:rPr>
            </w:pPr>
          </w:p>
        </w:tc>
        <w:tc>
          <w:tcPr>
            <w:tcW w:w="1187" w:type="pct"/>
            <w:gridSpan w:val="2"/>
            <w:tcMar>
              <w:left w:w="28" w:type="dxa"/>
              <w:right w:w="28" w:type="dxa"/>
            </w:tcMar>
            <w:vAlign w:val="center"/>
          </w:tcPr>
          <w:p w:rsidR="00747F3E" w:rsidRPr="005A7A62" w:rsidRDefault="00747F3E" w:rsidP="008F7821">
            <w:pPr>
              <w:keepNext/>
              <w:jc w:val="center"/>
              <w:rPr>
                <w:rFonts w:ascii="Arial Narrow" w:hAnsi="Arial Narrow"/>
                <w:b/>
                <w:sz w:val="20"/>
              </w:rPr>
            </w:pPr>
            <w:r w:rsidRPr="005A7A62">
              <w:rPr>
                <w:rFonts w:ascii="Arial Narrow" w:hAnsi="Arial Narrow"/>
                <w:b/>
                <w:sz w:val="20"/>
              </w:rPr>
              <w:t>Study 104</w:t>
            </w:r>
          </w:p>
        </w:tc>
        <w:tc>
          <w:tcPr>
            <w:tcW w:w="1186" w:type="pct"/>
            <w:gridSpan w:val="2"/>
            <w:tcMar>
              <w:left w:w="28" w:type="dxa"/>
              <w:right w:w="28" w:type="dxa"/>
            </w:tcMar>
            <w:vAlign w:val="center"/>
          </w:tcPr>
          <w:p w:rsidR="00747F3E" w:rsidRPr="00FD7C28" w:rsidRDefault="00747F3E" w:rsidP="008F7821">
            <w:pPr>
              <w:keepNext/>
              <w:jc w:val="center"/>
              <w:rPr>
                <w:rFonts w:ascii="Arial Narrow" w:hAnsi="Arial Narrow"/>
                <w:b/>
                <w:sz w:val="20"/>
              </w:rPr>
            </w:pPr>
            <w:r w:rsidRPr="00FD7C28">
              <w:rPr>
                <w:rFonts w:ascii="Arial Narrow" w:hAnsi="Arial Narrow"/>
                <w:b/>
                <w:sz w:val="20"/>
              </w:rPr>
              <w:t>Study 111</w:t>
            </w:r>
          </w:p>
        </w:tc>
        <w:tc>
          <w:tcPr>
            <w:tcW w:w="1356" w:type="pct"/>
            <w:gridSpan w:val="2"/>
          </w:tcPr>
          <w:p w:rsidR="00747F3E" w:rsidRPr="00FD7C28" w:rsidRDefault="00747F3E" w:rsidP="008F7821">
            <w:pPr>
              <w:keepNext/>
              <w:jc w:val="center"/>
              <w:rPr>
                <w:rFonts w:ascii="Arial Narrow" w:hAnsi="Arial Narrow"/>
                <w:b/>
                <w:sz w:val="20"/>
              </w:rPr>
            </w:pPr>
            <w:r w:rsidRPr="00FD7C28">
              <w:rPr>
                <w:rFonts w:ascii="Arial Narrow" w:hAnsi="Arial Narrow"/>
                <w:b/>
                <w:sz w:val="20"/>
              </w:rPr>
              <w:t>Study 109</w:t>
            </w:r>
          </w:p>
        </w:tc>
      </w:tr>
      <w:tr w:rsidR="00635E03" w:rsidRPr="00FD7C28" w:rsidTr="00635E03">
        <w:trPr>
          <w:cantSplit/>
          <w:tblHeader/>
        </w:trPr>
        <w:tc>
          <w:tcPr>
            <w:tcW w:w="1271" w:type="pct"/>
            <w:vMerge/>
            <w:tcMar>
              <w:left w:w="28" w:type="dxa"/>
              <w:right w:w="28" w:type="dxa"/>
            </w:tcMar>
          </w:tcPr>
          <w:p w:rsidR="00747F3E" w:rsidRPr="00FD7C28" w:rsidRDefault="00747F3E" w:rsidP="008F7821">
            <w:pPr>
              <w:keepNext/>
              <w:jc w:val="left"/>
              <w:rPr>
                <w:rFonts w:ascii="Arial Narrow" w:hAnsi="Arial Narrow"/>
                <w:sz w:val="20"/>
              </w:rPr>
            </w:pPr>
          </w:p>
        </w:tc>
        <w:tc>
          <w:tcPr>
            <w:tcW w:w="594" w:type="pct"/>
            <w:tcMar>
              <w:left w:w="28" w:type="dxa"/>
              <w:right w:w="28" w:type="dxa"/>
            </w:tcMar>
            <w:vAlign w:val="center"/>
          </w:tcPr>
          <w:p w:rsidR="00747F3E" w:rsidRPr="00FD7C28" w:rsidRDefault="00747F3E" w:rsidP="008F7821">
            <w:pPr>
              <w:keepNext/>
              <w:jc w:val="center"/>
              <w:rPr>
                <w:rFonts w:ascii="Arial Narrow" w:hAnsi="Arial Narrow"/>
                <w:b/>
                <w:sz w:val="20"/>
              </w:rPr>
            </w:pPr>
            <w:r w:rsidRPr="00FD7C28">
              <w:rPr>
                <w:rFonts w:ascii="Arial Narrow" w:hAnsi="Arial Narrow"/>
                <w:b/>
                <w:sz w:val="20"/>
              </w:rPr>
              <w:t>EVG/c/FTC/</w:t>
            </w:r>
          </w:p>
          <w:p w:rsidR="00747F3E" w:rsidRPr="00FD7C28" w:rsidRDefault="00747F3E" w:rsidP="008F7821">
            <w:pPr>
              <w:keepNext/>
              <w:jc w:val="center"/>
              <w:rPr>
                <w:rFonts w:ascii="Arial Narrow" w:hAnsi="Arial Narrow"/>
                <w:b/>
                <w:sz w:val="20"/>
              </w:rPr>
            </w:pPr>
            <w:r w:rsidRPr="00FD7C28">
              <w:rPr>
                <w:rFonts w:ascii="Arial Narrow" w:hAnsi="Arial Narrow"/>
                <w:b/>
                <w:sz w:val="20"/>
              </w:rPr>
              <w:t>TAF</w:t>
            </w:r>
          </w:p>
        </w:tc>
        <w:tc>
          <w:tcPr>
            <w:tcW w:w="593" w:type="pct"/>
            <w:tcMar>
              <w:left w:w="28" w:type="dxa"/>
              <w:right w:w="28" w:type="dxa"/>
            </w:tcMar>
            <w:vAlign w:val="center"/>
          </w:tcPr>
          <w:p w:rsidR="00747F3E" w:rsidRPr="00FD7C28" w:rsidRDefault="00747F3E" w:rsidP="008F7821">
            <w:pPr>
              <w:keepNext/>
              <w:jc w:val="center"/>
              <w:rPr>
                <w:rFonts w:ascii="Arial Narrow" w:hAnsi="Arial Narrow"/>
                <w:b/>
                <w:sz w:val="20"/>
              </w:rPr>
            </w:pPr>
            <w:r w:rsidRPr="00FD7C28">
              <w:rPr>
                <w:rFonts w:ascii="Arial Narrow" w:hAnsi="Arial Narrow"/>
                <w:b/>
                <w:sz w:val="20"/>
              </w:rPr>
              <w:t>EVG/c/FTC/</w:t>
            </w:r>
          </w:p>
          <w:p w:rsidR="00747F3E" w:rsidRPr="00FD7C28" w:rsidRDefault="00747F3E" w:rsidP="008F7821">
            <w:pPr>
              <w:keepNext/>
              <w:jc w:val="center"/>
              <w:rPr>
                <w:rFonts w:ascii="Arial Narrow" w:hAnsi="Arial Narrow"/>
                <w:b/>
                <w:sz w:val="20"/>
              </w:rPr>
            </w:pPr>
            <w:r w:rsidRPr="00FD7C28">
              <w:rPr>
                <w:rFonts w:ascii="Arial Narrow" w:hAnsi="Arial Narrow"/>
                <w:b/>
                <w:sz w:val="20"/>
              </w:rPr>
              <w:t>TDF</w:t>
            </w:r>
          </w:p>
        </w:tc>
        <w:tc>
          <w:tcPr>
            <w:tcW w:w="593" w:type="pct"/>
            <w:tcMar>
              <w:left w:w="28" w:type="dxa"/>
              <w:right w:w="28" w:type="dxa"/>
            </w:tcMar>
            <w:vAlign w:val="center"/>
          </w:tcPr>
          <w:p w:rsidR="00747F3E" w:rsidRPr="00FD7C28" w:rsidRDefault="00747F3E" w:rsidP="008F7821">
            <w:pPr>
              <w:keepNext/>
              <w:jc w:val="center"/>
              <w:rPr>
                <w:rFonts w:ascii="Arial Narrow" w:hAnsi="Arial Narrow"/>
                <w:b/>
                <w:sz w:val="20"/>
              </w:rPr>
            </w:pPr>
            <w:r w:rsidRPr="00FD7C28">
              <w:rPr>
                <w:rFonts w:ascii="Arial Narrow" w:hAnsi="Arial Narrow"/>
                <w:b/>
                <w:sz w:val="20"/>
              </w:rPr>
              <w:t>EVG/c/FTC/</w:t>
            </w:r>
          </w:p>
          <w:p w:rsidR="00747F3E" w:rsidRPr="00FD7C28" w:rsidRDefault="00747F3E" w:rsidP="008F7821">
            <w:pPr>
              <w:keepNext/>
              <w:jc w:val="center"/>
              <w:rPr>
                <w:rFonts w:ascii="Arial Narrow" w:hAnsi="Arial Narrow"/>
                <w:b/>
                <w:sz w:val="20"/>
              </w:rPr>
            </w:pPr>
            <w:r w:rsidRPr="00FD7C28">
              <w:rPr>
                <w:rFonts w:ascii="Arial Narrow" w:hAnsi="Arial Narrow"/>
                <w:b/>
                <w:sz w:val="20"/>
              </w:rPr>
              <w:t>TAF</w:t>
            </w:r>
          </w:p>
        </w:tc>
        <w:tc>
          <w:tcPr>
            <w:tcW w:w="593" w:type="pct"/>
            <w:tcMar>
              <w:left w:w="28" w:type="dxa"/>
              <w:right w:w="28" w:type="dxa"/>
            </w:tcMar>
            <w:vAlign w:val="center"/>
          </w:tcPr>
          <w:p w:rsidR="00747F3E" w:rsidRPr="00FD7C28" w:rsidRDefault="00747F3E" w:rsidP="008F7821">
            <w:pPr>
              <w:keepNext/>
              <w:jc w:val="center"/>
              <w:rPr>
                <w:rFonts w:ascii="Arial Narrow" w:hAnsi="Arial Narrow"/>
                <w:b/>
                <w:sz w:val="20"/>
              </w:rPr>
            </w:pPr>
            <w:r w:rsidRPr="00FD7C28">
              <w:rPr>
                <w:rFonts w:ascii="Arial Narrow" w:hAnsi="Arial Narrow"/>
                <w:b/>
                <w:sz w:val="20"/>
              </w:rPr>
              <w:t>EVG/c/FTC/</w:t>
            </w:r>
          </w:p>
          <w:p w:rsidR="00747F3E" w:rsidRPr="00FD7C28" w:rsidRDefault="00747F3E" w:rsidP="008F7821">
            <w:pPr>
              <w:keepNext/>
              <w:jc w:val="center"/>
              <w:rPr>
                <w:rFonts w:ascii="Arial Narrow" w:hAnsi="Arial Narrow"/>
                <w:b/>
                <w:sz w:val="20"/>
              </w:rPr>
            </w:pPr>
            <w:r w:rsidRPr="00FD7C28">
              <w:rPr>
                <w:rFonts w:ascii="Arial Narrow" w:hAnsi="Arial Narrow"/>
                <w:b/>
                <w:sz w:val="20"/>
              </w:rPr>
              <w:t>TDF</w:t>
            </w:r>
          </w:p>
        </w:tc>
        <w:tc>
          <w:tcPr>
            <w:tcW w:w="680" w:type="pct"/>
            <w:vAlign w:val="center"/>
          </w:tcPr>
          <w:p w:rsidR="00747F3E" w:rsidRPr="00FD7C28" w:rsidRDefault="00747F3E" w:rsidP="008F7821">
            <w:pPr>
              <w:keepNext/>
              <w:jc w:val="center"/>
              <w:rPr>
                <w:rFonts w:ascii="Arial Narrow" w:hAnsi="Arial Narrow"/>
                <w:b/>
                <w:sz w:val="20"/>
              </w:rPr>
            </w:pPr>
            <w:r w:rsidRPr="00FD7C28">
              <w:rPr>
                <w:rFonts w:ascii="Arial Narrow" w:hAnsi="Arial Narrow"/>
                <w:b/>
                <w:sz w:val="20"/>
              </w:rPr>
              <w:t>EVG/c/FTC/</w:t>
            </w:r>
          </w:p>
          <w:p w:rsidR="00747F3E" w:rsidRPr="00FD7C28" w:rsidRDefault="00747F3E" w:rsidP="008F7821">
            <w:pPr>
              <w:keepNext/>
              <w:jc w:val="center"/>
              <w:rPr>
                <w:rFonts w:ascii="Arial Narrow" w:hAnsi="Arial Narrow"/>
                <w:b/>
                <w:sz w:val="20"/>
              </w:rPr>
            </w:pPr>
            <w:r w:rsidRPr="00FD7C28">
              <w:rPr>
                <w:rFonts w:ascii="Arial Narrow" w:hAnsi="Arial Narrow"/>
                <w:b/>
                <w:sz w:val="20"/>
              </w:rPr>
              <w:t>TAF</w:t>
            </w:r>
          </w:p>
        </w:tc>
        <w:tc>
          <w:tcPr>
            <w:tcW w:w="676" w:type="pct"/>
            <w:vAlign w:val="center"/>
          </w:tcPr>
          <w:p w:rsidR="00747F3E" w:rsidRPr="00FD7C28" w:rsidRDefault="00747F3E" w:rsidP="008F7821">
            <w:pPr>
              <w:keepNext/>
              <w:jc w:val="center"/>
              <w:rPr>
                <w:rFonts w:ascii="Arial Narrow" w:hAnsi="Arial Narrow"/>
                <w:b/>
                <w:sz w:val="20"/>
              </w:rPr>
            </w:pPr>
            <w:r w:rsidRPr="00FD7C28">
              <w:rPr>
                <w:rFonts w:ascii="Arial Narrow" w:hAnsi="Arial Narrow"/>
                <w:b/>
                <w:sz w:val="20"/>
              </w:rPr>
              <w:t>FTC/TDF + 3</w:t>
            </w:r>
            <w:r w:rsidRPr="00FD7C28">
              <w:rPr>
                <w:rFonts w:ascii="Arial Narrow" w:hAnsi="Arial Narrow"/>
                <w:b/>
                <w:sz w:val="20"/>
                <w:vertAlign w:val="superscript"/>
              </w:rPr>
              <w:t>rd</w:t>
            </w:r>
            <w:r w:rsidRPr="00FD7C28">
              <w:rPr>
                <w:rFonts w:ascii="Arial Narrow" w:hAnsi="Arial Narrow"/>
                <w:b/>
                <w:sz w:val="20"/>
              </w:rPr>
              <w:t xml:space="preserve"> agent </w:t>
            </w:r>
            <w:r w:rsidRPr="00FD7C28">
              <w:rPr>
                <w:rFonts w:ascii="Arial Narrow" w:hAnsi="Arial Narrow"/>
                <w:b/>
                <w:sz w:val="20"/>
                <w:vertAlign w:val="superscript"/>
              </w:rPr>
              <w:t>a</w:t>
            </w:r>
          </w:p>
        </w:tc>
      </w:tr>
      <w:tr w:rsidR="00635E03" w:rsidRPr="00FD7C28" w:rsidTr="00635E03">
        <w:trPr>
          <w:cantSplit/>
        </w:trPr>
        <w:tc>
          <w:tcPr>
            <w:tcW w:w="1271" w:type="pct"/>
            <w:tcMar>
              <w:left w:w="28" w:type="dxa"/>
              <w:right w:w="28" w:type="dxa"/>
            </w:tcMar>
          </w:tcPr>
          <w:p w:rsidR="00747F3E" w:rsidRPr="00FD7C28" w:rsidRDefault="00747F3E" w:rsidP="008F7821">
            <w:pPr>
              <w:keepNext/>
              <w:jc w:val="left"/>
              <w:rPr>
                <w:rFonts w:ascii="Arial Narrow" w:hAnsi="Arial Narrow"/>
                <w:sz w:val="20"/>
              </w:rPr>
            </w:pPr>
            <w:r w:rsidRPr="00FD7C28">
              <w:rPr>
                <w:rFonts w:ascii="Arial Narrow" w:hAnsi="Arial Narrow"/>
                <w:sz w:val="20"/>
              </w:rPr>
              <w:t>N</w:t>
            </w:r>
          </w:p>
        </w:tc>
        <w:tc>
          <w:tcPr>
            <w:tcW w:w="594"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435</w:t>
            </w:r>
          </w:p>
        </w:tc>
        <w:tc>
          <w:tcPr>
            <w:tcW w:w="593"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432</w:t>
            </w:r>
          </w:p>
        </w:tc>
        <w:tc>
          <w:tcPr>
            <w:tcW w:w="593"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431</w:t>
            </w:r>
          </w:p>
        </w:tc>
        <w:tc>
          <w:tcPr>
            <w:tcW w:w="593"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435</w:t>
            </w:r>
          </w:p>
        </w:tc>
        <w:tc>
          <w:tcPr>
            <w:tcW w:w="680" w:type="pct"/>
            <w:vAlign w:val="center"/>
          </w:tcPr>
          <w:p w:rsidR="00747F3E" w:rsidRPr="00FD7C28" w:rsidRDefault="00747F3E" w:rsidP="008F7821">
            <w:pPr>
              <w:pStyle w:val="TableCentre"/>
              <w:keepNext/>
              <w:rPr>
                <w:rFonts w:ascii="Arial Narrow" w:hAnsi="Arial Narrow"/>
                <w:szCs w:val="20"/>
              </w:rPr>
            </w:pPr>
            <w:r w:rsidRPr="00FD7C28">
              <w:rPr>
                <w:rFonts w:ascii="Arial Narrow" w:hAnsi="Arial Narrow"/>
                <w:szCs w:val="20"/>
              </w:rPr>
              <w:t>959</w:t>
            </w:r>
          </w:p>
        </w:tc>
        <w:tc>
          <w:tcPr>
            <w:tcW w:w="676" w:type="pct"/>
            <w:vAlign w:val="center"/>
          </w:tcPr>
          <w:p w:rsidR="00747F3E" w:rsidRPr="00FD7C28" w:rsidRDefault="00747F3E" w:rsidP="008F7821">
            <w:pPr>
              <w:pStyle w:val="TableCentre"/>
              <w:keepNext/>
              <w:rPr>
                <w:rFonts w:ascii="Arial Narrow" w:hAnsi="Arial Narrow"/>
                <w:szCs w:val="20"/>
              </w:rPr>
            </w:pPr>
            <w:r w:rsidRPr="00FD7C28">
              <w:rPr>
                <w:rFonts w:ascii="Arial Narrow" w:hAnsi="Arial Narrow"/>
                <w:szCs w:val="20"/>
              </w:rPr>
              <w:t>477</w:t>
            </w:r>
          </w:p>
        </w:tc>
      </w:tr>
      <w:tr w:rsidR="00635E03" w:rsidRPr="00FD7C28" w:rsidTr="00635E03">
        <w:trPr>
          <w:cantSplit/>
        </w:trPr>
        <w:tc>
          <w:tcPr>
            <w:tcW w:w="1271" w:type="pct"/>
            <w:tcMar>
              <w:left w:w="28" w:type="dxa"/>
              <w:right w:w="28" w:type="dxa"/>
            </w:tcMar>
          </w:tcPr>
          <w:p w:rsidR="00747F3E" w:rsidRPr="00FD7C28" w:rsidRDefault="00747F3E" w:rsidP="008F7821">
            <w:pPr>
              <w:keepNext/>
              <w:jc w:val="left"/>
              <w:rPr>
                <w:rFonts w:ascii="Arial Narrow" w:hAnsi="Arial Narrow"/>
                <w:sz w:val="20"/>
              </w:rPr>
            </w:pPr>
            <w:r w:rsidRPr="00FD7C28">
              <w:rPr>
                <w:rFonts w:ascii="Arial Narrow" w:hAnsi="Arial Narrow"/>
                <w:sz w:val="20"/>
              </w:rPr>
              <w:t>Any AE</w:t>
            </w:r>
          </w:p>
        </w:tc>
        <w:tc>
          <w:tcPr>
            <w:tcW w:w="594"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396 (91.0%)</w:t>
            </w:r>
          </w:p>
        </w:tc>
        <w:tc>
          <w:tcPr>
            <w:tcW w:w="593"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392 (90.7%)</w:t>
            </w:r>
          </w:p>
        </w:tc>
        <w:tc>
          <w:tcPr>
            <w:tcW w:w="593"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382 (88.6%)</w:t>
            </w:r>
          </w:p>
        </w:tc>
        <w:tc>
          <w:tcPr>
            <w:tcW w:w="593"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390 (89.7%)</w:t>
            </w:r>
          </w:p>
        </w:tc>
        <w:tc>
          <w:tcPr>
            <w:tcW w:w="680" w:type="pct"/>
            <w:vAlign w:val="center"/>
          </w:tcPr>
          <w:p w:rsidR="00747F3E" w:rsidRPr="00FD7C28" w:rsidRDefault="00747F3E" w:rsidP="008F7821">
            <w:pPr>
              <w:pStyle w:val="TableCentre"/>
              <w:keepNext/>
              <w:rPr>
                <w:rFonts w:ascii="Arial Narrow" w:hAnsi="Arial Narrow"/>
              </w:rPr>
            </w:pPr>
            <w:r w:rsidRPr="00FD7C28">
              <w:rPr>
                <w:rFonts w:ascii="Arial Narrow" w:hAnsi="Arial Narrow"/>
              </w:rPr>
              <w:t>764 (79.7%)</w:t>
            </w:r>
          </w:p>
        </w:tc>
        <w:tc>
          <w:tcPr>
            <w:tcW w:w="676" w:type="pct"/>
            <w:vAlign w:val="center"/>
          </w:tcPr>
          <w:p w:rsidR="00747F3E" w:rsidRPr="00FD7C28" w:rsidRDefault="00747F3E" w:rsidP="008F7821">
            <w:pPr>
              <w:pStyle w:val="TableCentre"/>
              <w:keepNext/>
              <w:rPr>
                <w:rFonts w:ascii="Arial Narrow" w:hAnsi="Arial Narrow"/>
              </w:rPr>
            </w:pPr>
            <w:r w:rsidRPr="00FD7C28">
              <w:rPr>
                <w:rFonts w:ascii="Arial Narrow" w:hAnsi="Arial Narrow"/>
              </w:rPr>
              <w:t>368 (77.1%)</w:t>
            </w:r>
          </w:p>
        </w:tc>
      </w:tr>
      <w:tr w:rsidR="00635E03" w:rsidRPr="00FD7C28" w:rsidTr="00635E03">
        <w:trPr>
          <w:cantSplit/>
        </w:trPr>
        <w:tc>
          <w:tcPr>
            <w:tcW w:w="1271" w:type="pct"/>
            <w:tcMar>
              <w:left w:w="28" w:type="dxa"/>
              <w:right w:w="28" w:type="dxa"/>
            </w:tcMar>
          </w:tcPr>
          <w:p w:rsidR="00747F3E" w:rsidRPr="00FD7C28" w:rsidRDefault="00747F3E" w:rsidP="008F7821">
            <w:pPr>
              <w:keepNext/>
              <w:jc w:val="left"/>
              <w:rPr>
                <w:rFonts w:ascii="Arial Narrow" w:hAnsi="Arial Narrow"/>
                <w:sz w:val="20"/>
              </w:rPr>
            </w:pPr>
            <w:r w:rsidRPr="00FD7C28">
              <w:rPr>
                <w:rFonts w:ascii="Arial Narrow" w:hAnsi="Arial Narrow"/>
                <w:sz w:val="20"/>
              </w:rPr>
              <w:t>Grade 3 or 4 AE</w:t>
            </w:r>
          </w:p>
        </w:tc>
        <w:tc>
          <w:tcPr>
            <w:tcW w:w="594"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36 (8.3%)</w:t>
            </w:r>
          </w:p>
        </w:tc>
        <w:tc>
          <w:tcPr>
            <w:tcW w:w="593"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26 (6.0%)</w:t>
            </w:r>
          </w:p>
        </w:tc>
        <w:tc>
          <w:tcPr>
            <w:tcW w:w="593"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35 (8.1%)</w:t>
            </w:r>
          </w:p>
        </w:tc>
        <w:tc>
          <w:tcPr>
            <w:tcW w:w="593" w:type="pct"/>
            <w:tcMar>
              <w:left w:w="28" w:type="dxa"/>
              <w:right w:w="28" w:type="dxa"/>
            </w:tcMar>
            <w:vAlign w:val="center"/>
          </w:tcPr>
          <w:p w:rsidR="00747F3E" w:rsidRPr="00FD7C28" w:rsidRDefault="00747F3E" w:rsidP="008F7821">
            <w:pPr>
              <w:keepNext/>
              <w:jc w:val="center"/>
              <w:rPr>
                <w:rFonts w:ascii="Arial Narrow" w:hAnsi="Arial Narrow"/>
                <w:sz w:val="20"/>
              </w:rPr>
            </w:pPr>
            <w:r w:rsidRPr="00FD7C28">
              <w:rPr>
                <w:rFonts w:ascii="Arial Narrow" w:hAnsi="Arial Narrow"/>
                <w:sz w:val="20"/>
              </w:rPr>
              <w:t>49 (11.3%)</w:t>
            </w:r>
          </w:p>
        </w:tc>
        <w:tc>
          <w:tcPr>
            <w:tcW w:w="680" w:type="pct"/>
            <w:vAlign w:val="center"/>
          </w:tcPr>
          <w:p w:rsidR="00747F3E" w:rsidRPr="00FD7C28" w:rsidRDefault="00747F3E" w:rsidP="008F7821">
            <w:pPr>
              <w:pStyle w:val="TableCentre"/>
              <w:keepNext/>
              <w:rPr>
                <w:rFonts w:ascii="Arial Narrow" w:hAnsi="Arial Narrow"/>
              </w:rPr>
            </w:pPr>
            <w:r w:rsidRPr="00FD7C28">
              <w:rPr>
                <w:rFonts w:ascii="Arial Narrow" w:hAnsi="Arial Narrow"/>
              </w:rPr>
              <w:t>61 (6.4%)</w:t>
            </w:r>
          </w:p>
        </w:tc>
        <w:tc>
          <w:tcPr>
            <w:tcW w:w="676" w:type="pct"/>
            <w:vAlign w:val="center"/>
          </w:tcPr>
          <w:p w:rsidR="00747F3E" w:rsidRPr="00FD7C28" w:rsidRDefault="00747F3E" w:rsidP="008F7821">
            <w:pPr>
              <w:pStyle w:val="TableCentre"/>
              <w:keepNext/>
              <w:rPr>
                <w:rFonts w:ascii="Arial Narrow" w:hAnsi="Arial Narrow"/>
              </w:rPr>
            </w:pPr>
            <w:r w:rsidRPr="00FD7C28">
              <w:rPr>
                <w:rFonts w:ascii="Arial Narrow" w:hAnsi="Arial Narrow"/>
              </w:rPr>
              <w:t>32 (6.7%)</w:t>
            </w:r>
          </w:p>
        </w:tc>
      </w:tr>
      <w:tr w:rsidR="00635E03" w:rsidRPr="00FD7C28" w:rsidTr="00635E03">
        <w:trPr>
          <w:cantSplit/>
        </w:trPr>
        <w:tc>
          <w:tcPr>
            <w:tcW w:w="1271" w:type="pct"/>
            <w:tcMar>
              <w:left w:w="28" w:type="dxa"/>
              <w:right w:w="28" w:type="dxa"/>
            </w:tcMar>
          </w:tcPr>
          <w:p w:rsidR="00747F3E" w:rsidRPr="00FD7C28" w:rsidRDefault="00747F3E" w:rsidP="00747F3E">
            <w:pPr>
              <w:jc w:val="left"/>
              <w:rPr>
                <w:rFonts w:ascii="Arial Narrow" w:hAnsi="Arial Narrow"/>
                <w:sz w:val="20"/>
              </w:rPr>
            </w:pPr>
            <w:r w:rsidRPr="00FD7C28">
              <w:rPr>
                <w:rFonts w:ascii="Arial Narrow" w:hAnsi="Arial Narrow"/>
                <w:sz w:val="20"/>
              </w:rPr>
              <w:t>Tx</w:t>
            </w:r>
            <w:r w:rsidR="00ED2900" w:rsidRPr="00FD7C28">
              <w:rPr>
                <w:rFonts w:ascii="Arial Narrow" w:hAnsi="Arial Narrow"/>
                <w:sz w:val="20"/>
              </w:rPr>
              <w:t>-</w:t>
            </w:r>
            <w:r w:rsidRPr="00FD7C28">
              <w:rPr>
                <w:rFonts w:ascii="Arial Narrow" w:hAnsi="Arial Narrow"/>
                <w:sz w:val="20"/>
              </w:rPr>
              <w:t>related AE</w:t>
            </w:r>
          </w:p>
        </w:tc>
        <w:tc>
          <w:tcPr>
            <w:tcW w:w="594"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182 (41.8%)</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196 (45.4%)</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160 (37.1%)</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168 (38.6%)</w:t>
            </w:r>
          </w:p>
        </w:tc>
        <w:tc>
          <w:tcPr>
            <w:tcW w:w="680" w:type="pct"/>
            <w:vAlign w:val="center"/>
          </w:tcPr>
          <w:p w:rsidR="00747F3E" w:rsidRPr="00FD7C28" w:rsidRDefault="00747F3E" w:rsidP="00747F3E">
            <w:pPr>
              <w:pStyle w:val="TableCentre"/>
              <w:rPr>
                <w:rFonts w:ascii="Arial Narrow" w:hAnsi="Arial Narrow"/>
              </w:rPr>
            </w:pPr>
            <w:r w:rsidRPr="00FD7C28">
              <w:rPr>
                <w:rFonts w:ascii="Arial Narrow" w:hAnsi="Arial Narrow"/>
              </w:rPr>
              <w:t>185 (19.3%)</w:t>
            </w:r>
          </w:p>
        </w:tc>
        <w:tc>
          <w:tcPr>
            <w:tcW w:w="676" w:type="pct"/>
            <w:vAlign w:val="center"/>
          </w:tcPr>
          <w:p w:rsidR="00747F3E" w:rsidRPr="00FD7C28" w:rsidRDefault="00747F3E" w:rsidP="00747F3E">
            <w:pPr>
              <w:pStyle w:val="TableCentre"/>
              <w:rPr>
                <w:rFonts w:ascii="Arial Narrow" w:hAnsi="Arial Narrow"/>
              </w:rPr>
            </w:pPr>
            <w:r w:rsidRPr="00FD7C28">
              <w:rPr>
                <w:rFonts w:ascii="Arial Narrow" w:hAnsi="Arial Narrow"/>
              </w:rPr>
              <w:t>61 (12.8%)</w:t>
            </w:r>
          </w:p>
        </w:tc>
      </w:tr>
      <w:tr w:rsidR="00635E03" w:rsidRPr="00FD7C28" w:rsidTr="00635E03">
        <w:trPr>
          <w:cantSplit/>
        </w:trPr>
        <w:tc>
          <w:tcPr>
            <w:tcW w:w="1271" w:type="pct"/>
            <w:tcMar>
              <w:left w:w="28" w:type="dxa"/>
              <w:right w:w="28" w:type="dxa"/>
            </w:tcMar>
          </w:tcPr>
          <w:p w:rsidR="00747F3E" w:rsidRPr="00FD7C28" w:rsidRDefault="00747F3E" w:rsidP="00747F3E">
            <w:pPr>
              <w:jc w:val="left"/>
              <w:rPr>
                <w:rFonts w:ascii="Arial Narrow" w:hAnsi="Arial Narrow"/>
                <w:sz w:val="20"/>
              </w:rPr>
            </w:pPr>
            <w:r w:rsidRPr="00FD7C28">
              <w:rPr>
                <w:rFonts w:ascii="Arial Narrow" w:hAnsi="Arial Narrow"/>
                <w:sz w:val="20"/>
              </w:rPr>
              <w:t>Tx</w:t>
            </w:r>
            <w:r w:rsidR="00ED2900" w:rsidRPr="00FD7C28">
              <w:rPr>
                <w:rFonts w:ascii="Arial Narrow" w:hAnsi="Arial Narrow"/>
                <w:sz w:val="20"/>
              </w:rPr>
              <w:t>-</w:t>
            </w:r>
            <w:r w:rsidRPr="00FD7C28">
              <w:rPr>
                <w:rFonts w:ascii="Arial Narrow" w:hAnsi="Arial Narrow"/>
                <w:sz w:val="20"/>
              </w:rPr>
              <w:t>related Grade 3 or 4 AE</w:t>
            </w:r>
          </w:p>
        </w:tc>
        <w:tc>
          <w:tcPr>
            <w:tcW w:w="594"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9 (2.1%)</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2 (0.5%)</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3 (0.7%)</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7 (1.6%)</w:t>
            </w:r>
          </w:p>
        </w:tc>
        <w:tc>
          <w:tcPr>
            <w:tcW w:w="680" w:type="pct"/>
            <w:vAlign w:val="center"/>
          </w:tcPr>
          <w:p w:rsidR="00747F3E" w:rsidRPr="00FD7C28" w:rsidRDefault="00747F3E" w:rsidP="00747F3E">
            <w:pPr>
              <w:pStyle w:val="TableCentre"/>
              <w:rPr>
                <w:rFonts w:ascii="Arial Narrow" w:hAnsi="Arial Narrow"/>
              </w:rPr>
            </w:pPr>
            <w:r w:rsidRPr="00FD7C28">
              <w:rPr>
                <w:rFonts w:ascii="Arial Narrow" w:hAnsi="Arial Narrow"/>
              </w:rPr>
              <w:t>3 (0.3%)</w:t>
            </w:r>
          </w:p>
        </w:tc>
        <w:tc>
          <w:tcPr>
            <w:tcW w:w="676" w:type="pct"/>
            <w:vAlign w:val="center"/>
          </w:tcPr>
          <w:p w:rsidR="00747F3E" w:rsidRPr="00FD7C28" w:rsidRDefault="00747F3E" w:rsidP="00747F3E">
            <w:pPr>
              <w:pStyle w:val="TableCentre"/>
              <w:rPr>
                <w:rFonts w:ascii="Arial Narrow" w:hAnsi="Arial Narrow"/>
              </w:rPr>
            </w:pPr>
            <w:r w:rsidRPr="00FD7C28">
              <w:rPr>
                <w:rFonts w:ascii="Arial Narrow" w:hAnsi="Arial Narrow"/>
              </w:rPr>
              <w:t>6 (1.3%)</w:t>
            </w:r>
          </w:p>
        </w:tc>
      </w:tr>
      <w:tr w:rsidR="00635E03" w:rsidRPr="00FD7C28" w:rsidTr="00635E03">
        <w:trPr>
          <w:cantSplit/>
        </w:trPr>
        <w:tc>
          <w:tcPr>
            <w:tcW w:w="1271" w:type="pct"/>
            <w:tcMar>
              <w:left w:w="28" w:type="dxa"/>
              <w:right w:w="28" w:type="dxa"/>
            </w:tcMar>
          </w:tcPr>
          <w:p w:rsidR="00747F3E" w:rsidRPr="00FD7C28" w:rsidRDefault="00747F3E" w:rsidP="005E5877">
            <w:pPr>
              <w:jc w:val="left"/>
              <w:rPr>
                <w:rFonts w:ascii="Arial Narrow" w:hAnsi="Arial Narrow"/>
                <w:sz w:val="20"/>
              </w:rPr>
            </w:pPr>
            <w:r w:rsidRPr="00FD7C28">
              <w:rPr>
                <w:rFonts w:ascii="Arial Narrow" w:hAnsi="Arial Narrow"/>
                <w:sz w:val="20"/>
              </w:rPr>
              <w:t>Any SAE</w:t>
            </w:r>
          </w:p>
        </w:tc>
        <w:tc>
          <w:tcPr>
            <w:tcW w:w="594"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37 (8.5%)</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29 (6.7%)</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33 (7.7%)</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30 (6.9%)</w:t>
            </w:r>
          </w:p>
        </w:tc>
        <w:tc>
          <w:tcPr>
            <w:tcW w:w="680" w:type="pct"/>
            <w:vAlign w:val="center"/>
          </w:tcPr>
          <w:p w:rsidR="00747F3E" w:rsidRPr="00FD7C28" w:rsidRDefault="00747F3E" w:rsidP="00747F3E">
            <w:pPr>
              <w:pStyle w:val="TableCentre"/>
              <w:rPr>
                <w:rFonts w:ascii="Arial Narrow" w:hAnsi="Arial Narrow"/>
              </w:rPr>
            </w:pPr>
            <w:r w:rsidRPr="00FD7C28">
              <w:rPr>
                <w:rFonts w:ascii="Arial Narrow" w:hAnsi="Arial Narrow"/>
              </w:rPr>
              <w:t>42 (4.4%)</w:t>
            </w:r>
          </w:p>
        </w:tc>
        <w:tc>
          <w:tcPr>
            <w:tcW w:w="676" w:type="pct"/>
            <w:vAlign w:val="center"/>
          </w:tcPr>
          <w:p w:rsidR="00747F3E" w:rsidRPr="00FD7C28" w:rsidRDefault="00747F3E" w:rsidP="00747F3E">
            <w:pPr>
              <w:pStyle w:val="TableCentre"/>
              <w:rPr>
                <w:rFonts w:ascii="Arial Narrow" w:hAnsi="Arial Narrow"/>
              </w:rPr>
            </w:pPr>
            <w:r w:rsidRPr="00FD7C28">
              <w:rPr>
                <w:rFonts w:ascii="Arial Narrow" w:hAnsi="Arial Narrow"/>
              </w:rPr>
              <w:t>21 (4.4%)</w:t>
            </w:r>
          </w:p>
        </w:tc>
      </w:tr>
      <w:tr w:rsidR="00635E03" w:rsidRPr="00FD7C28" w:rsidTr="00635E03">
        <w:trPr>
          <w:cantSplit/>
        </w:trPr>
        <w:tc>
          <w:tcPr>
            <w:tcW w:w="1271" w:type="pct"/>
            <w:tcMar>
              <w:left w:w="28" w:type="dxa"/>
              <w:right w:w="28" w:type="dxa"/>
            </w:tcMar>
          </w:tcPr>
          <w:p w:rsidR="00747F3E" w:rsidRPr="00FD7C28" w:rsidRDefault="00747F3E" w:rsidP="00747F3E">
            <w:pPr>
              <w:jc w:val="left"/>
              <w:rPr>
                <w:rFonts w:ascii="Arial Narrow" w:hAnsi="Arial Narrow"/>
                <w:sz w:val="20"/>
              </w:rPr>
            </w:pPr>
            <w:r w:rsidRPr="00FD7C28">
              <w:rPr>
                <w:rFonts w:ascii="Arial Narrow" w:hAnsi="Arial Narrow"/>
                <w:sz w:val="20"/>
              </w:rPr>
              <w:t>Tx</w:t>
            </w:r>
            <w:r w:rsidR="00ED2900" w:rsidRPr="00FD7C28">
              <w:rPr>
                <w:rFonts w:ascii="Arial Narrow" w:hAnsi="Arial Narrow"/>
                <w:sz w:val="20"/>
              </w:rPr>
              <w:t>-</w:t>
            </w:r>
            <w:r w:rsidRPr="00FD7C28">
              <w:rPr>
                <w:rFonts w:ascii="Arial Narrow" w:hAnsi="Arial Narrow"/>
                <w:sz w:val="20"/>
              </w:rPr>
              <w:t>related SAE</w:t>
            </w:r>
          </w:p>
        </w:tc>
        <w:tc>
          <w:tcPr>
            <w:tcW w:w="594"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3 (0.7%)</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1 (0.2%)</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0</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1 (0.2%)</w:t>
            </w:r>
          </w:p>
        </w:tc>
        <w:tc>
          <w:tcPr>
            <w:tcW w:w="680" w:type="pct"/>
            <w:vAlign w:val="center"/>
          </w:tcPr>
          <w:p w:rsidR="00747F3E" w:rsidRPr="00FD7C28" w:rsidRDefault="00747F3E" w:rsidP="00747F3E">
            <w:pPr>
              <w:pStyle w:val="TableCentre"/>
              <w:rPr>
                <w:rFonts w:ascii="Arial Narrow" w:hAnsi="Arial Narrow"/>
              </w:rPr>
            </w:pPr>
            <w:r w:rsidRPr="00FD7C28">
              <w:rPr>
                <w:rFonts w:ascii="Arial Narrow" w:hAnsi="Arial Narrow"/>
              </w:rPr>
              <w:t>0</w:t>
            </w:r>
          </w:p>
        </w:tc>
        <w:tc>
          <w:tcPr>
            <w:tcW w:w="676" w:type="pct"/>
            <w:vAlign w:val="center"/>
          </w:tcPr>
          <w:p w:rsidR="00747F3E" w:rsidRPr="00FD7C28" w:rsidRDefault="00747F3E" w:rsidP="00747F3E">
            <w:pPr>
              <w:pStyle w:val="TableCentre"/>
              <w:rPr>
                <w:rFonts w:ascii="Arial Narrow" w:hAnsi="Arial Narrow"/>
              </w:rPr>
            </w:pPr>
            <w:r w:rsidRPr="00FD7C28">
              <w:rPr>
                <w:rFonts w:ascii="Arial Narrow" w:hAnsi="Arial Narrow"/>
              </w:rPr>
              <w:t>1 (0.2%)</w:t>
            </w:r>
          </w:p>
        </w:tc>
      </w:tr>
      <w:tr w:rsidR="00635E03" w:rsidRPr="00FD7C28" w:rsidTr="00635E03">
        <w:trPr>
          <w:cantSplit/>
        </w:trPr>
        <w:tc>
          <w:tcPr>
            <w:tcW w:w="1271" w:type="pct"/>
            <w:tcMar>
              <w:left w:w="28" w:type="dxa"/>
              <w:right w:w="28" w:type="dxa"/>
            </w:tcMar>
          </w:tcPr>
          <w:p w:rsidR="00747F3E" w:rsidRPr="00FD7C28" w:rsidRDefault="00747F3E" w:rsidP="00635E03">
            <w:pPr>
              <w:jc w:val="left"/>
              <w:rPr>
                <w:rFonts w:ascii="Arial Narrow" w:hAnsi="Arial Narrow"/>
                <w:sz w:val="20"/>
              </w:rPr>
            </w:pPr>
            <w:r w:rsidRPr="00FD7C28">
              <w:rPr>
                <w:rFonts w:ascii="Arial Narrow" w:hAnsi="Arial Narrow"/>
                <w:sz w:val="20"/>
              </w:rPr>
              <w:t xml:space="preserve">AE resulting in </w:t>
            </w:r>
            <w:r w:rsidR="00635E03" w:rsidRPr="00FD7C28">
              <w:rPr>
                <w:rFonts w:ascii="Arial Narrow" w:hAnsi="Arial Narrow"/>
                <w:sz w:val="20"/>
              </w:rPr>
              <w:t>d</w:t>
            </w:r>
            <w:r w:rsidRPr="00FD7C28">
              <w:rPr>
                <w:rFonts w:ascii="Arial Narrow" w:hAnsi="Arial Narrow"/>
                <w:sz w:val="20"/>
              </w:rPr>
              <w:t>iscontinuation</w:t>
            </w:r>
          </w:p>
        </w:tc>
        <w:tc>
          <w:tcPr>
            <w:tcW w:w="594"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4 (0.9%)</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6 (1.4%)</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4 (0.9%)</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7 (1.6%)</w:t>
            </w:r>
          </w:p>
        </w:tc>
        <w:tc>
          <w:tcPr>
            <w:tcW w:w="680" w:type="pct"/>
            <w:vAlign w:val="center"/>
          </w:tcPr>
          <w:p w:rsidR="00747F3E" w:rsidRPr="00FD7C28" w:rsidRDefault="00747F3E" w:rsidP="00747F3E">
            <w:pPr>
              <w:pStyle w:val="TableCentre"/>
              <w:rPr>
                <w:rFonts w:ascii="Arial Narrow" w:hAnsi="Arial Narrow"/>
              </w:rPr>
            </w:pPr>
            <w:r w:rsidRPr="00FD7C28">
              <w:rPr>
                <w:rFonts w:ascii="Arial Narrow" w:hAnsi="Arial Narrow"/>
              </w:rPr>
              <w:t>9 (0.9%)</w:t>
            </w:r>
          </w:p>
        </w:tc>
        <w:tc>
          <w:tcPr>
            <w:tcW w:w="676" w:type="pct"/>
            <w:vAlign w:val="center"/>
          </w:tcPr>
          <w:p w:rsidR="00747F3E" w:rsidRPr="00FD7C28" w:rsidRDefault="00747F3E" w:rsidP="00747F3E">
            <w:pPr>
              <w:pStyle w:val="TableCentre"/>
              <w:rPr>
                <w:rFonts w:ascii="Arial Narrow" w:hAnsi="Arial Narrow"/>
              </w:rPr>
            </w:pPr>
            <w:r w:rsidRPr="00FD7C28">
              <w:rPr>
                <w:rFonts w:ascii="Arial Narrow" w:hAnsi="Arial Narrow"/>
              </w:rPr>
              <w:t>7 (1.5%)</w:t>
            </w:r>
          </w:p>
        </w:tc>
      </w:tr>
      <w:tr w:rsidR="00635E03" w:rsidRPr="00FD7C28" w:rsidTr="00635E03">
        <w:trPr>
          <w:cantSplit/>
        </w:trPr>
        <w:tc>
          <w:tcPr>
            <w:tcW w:w="1271" w:type="pct"/>
            <w:tcMar>
              <w:left w:w="28" w:type="dxa"/>
              <w:right w:w="28" w:type="dxa"/>
            </w:tcMar>
          </w:tcPr>
          <w:p w:rsidR="00747F3E" w:rsidRPr="00FD7C28" w:rsidRDefault="00747F3E" w:rsidP="005E5877">
            <w:pPr>
              <w:jc w:val="left"/>
              <w:rPr>
                <w:rFonts w:ascii="Arial Narrow" w:hAnsi="Arial Narrow"/>
                <w:sz w:val="20"/>
              </w:rPr>
            </w:pPr>
            <w:r w:rsidRPr="00FD7C28">
              <w:rPr>
                <w:rFonts w:ascii="Arial Narrow" w:hAnsi="Arial Narrow"/>
                <w:sz w:val="20"/>
              </w:rPr>
              <w:t>AE resulting in death</w:t>
            </w:r>
          </w:p>
        </w:tc>
        <w:tc>
          <w:tcPr>
            <w:tcW w:w="594"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1 (0.2%)</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0 (0.2%)</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1 (0.2%)</w:t>
            </w:r>
          </w:p>
        </w:tc>
        <w:tc>
          <w:tcPr>
            <w:tcW w:w="593" w:type="pct"/>
            <w:tcMar>
              <w:left w:w="28" w:type="dxa"/>
              <w:right w:w="28" w:type="dxa"/>
            </w:tcMar>
            <w:vAlign w:val="center"/>
          </w:tcPr>
          <w:p w:rsidR="00747F3E" w:rsidRPr="00FD7C28" w:rsidRDefault="00747F3E" w:rsidP="00747F3E">
            <w:pPr>
              <w:jc w:val="center"/>
              <w:rPr>
                <w:rFonts w:ascii="Arial Narrow" w:hAnsi="Arial Narrow"/>
                <w:sz w:val="20"/>
              </w:rPr>
            </w:pPr>
            <w:r w:rsidRPr="00FD7C28">
              <w:rPr>
                <w:rFonts w:ascii="Arial Narrow" w:hAnsi="Arial Narrow"/>
                <w:sz w:val="20"/>
              </w:rPr>
              <w:t>2 (0.5%)</w:t>
            </w:r>
          </w:p>
        </w:tc>
        <w:tc>
          <w:tcPr>
            <w:tcW w:w="680" w:type="pct"/>
            <w:vAlign w:val="center"/>
          </w:tcPr>
          <w:p w:rsidR="00747F3E" w:rsidRPr="00FD7C28" w:rsidRDefault="00747F3E" w:rsidP="00747F3E">
            <w:pPr>
              <w:pStyle w:val="TableCentre"/>
              <w:rPr>
                <w:rFonts w:ascii="Arial Narrow" w:hAnsi="Arial Narrow"/>
              </w:rPr>
            </w:pPr>
            <w:r w:rsidRPr="00FD7C28">
              <w:rPr>
                <w:rFonts w:ascii="Arial Narrow" w:hAnsi="Arial Narrow"/>
              </w:rPr>
              <w:t>2 (0.2%)</w:t>
            </w:r>
          </w:p>
        </w:tc>
        <w:tc>
          <w:tcPr>
            <w:tcW w:w="676" w:type="pct"/>
            <w:vAlign w:val="center"/>
          </w:tcPr>
          <w:p w:rsidR="00747F3E" w:rsidRPr="00FD7C28" w:rsidRDefault="00747F3E" w:rsidP="00747F3E">
            <w:pPr>
              <w:pStyle w:val="TableCentre"/>
              <w:rPr>
                <w:rFonts w:ascii="Arial Narrow" w:hAnsi="Arial Narrow"/>
              </w:rPr>
            </w:pPr>
            <w:r w:rsidRPr="00FD7C28">
              <w:rPr>
                <w:rFonts w:ascii="Arial Narrow" w:hAnsi="Arial Narrow"/>
              </w:rPr>
              <w:t>0</w:t>
            </w:r>
          </w:p>
        </w:tc>
      </w:tr>
    </w:tbl>
    <w:p w:rsidR="00747F3E" w:rsidRPr="00FD7C28" w:rsidRDefault="00747F3E" w:rsidP="00747F3E">
      <w:pPr>
        <w:ind w:firstLine="720"/>
        <w:rPr>
          <w:rFonts w:ascii="Arial Narrow" w:hAnsi="Arial Narrow"/>
          <w:sz w:val="18"/>
          <w:szCs w:val="18"/>
        </w:rPr>
      </w:pPr>
      <w:r w:rsidRPr="00FD7C28">
        <w:rPr>
          <w:rFonts w:ascii="Arial Narrow" w:hAnsi="Arial Narrow"/>
          <w:sz w:val="18"/>
          <w:szCs w:val="18"/>
        </w:rPr>
        <w:t>Source: Table B-24, pp60-61</w:t>
      </w:r>
      <w:r w:rsidR="00D4046E" w:rsidRPr="00FD7C28">
        <w:rPr>
          <w:rFonts w:ascii="Arial Narrow" w:hAnsi="Arial Narrow"/>
          <w:sz w:val="18"/>
          <w:szCs w:val="18"/>
        </w:rPr>
        <w:t xml:space="preserve">; </w:t>
      </w:r>
      <w:r w:rsidRPr="00FD7C28">
        <w:rPr>
          <w:rFonts w:ascii="Arial Narrow" w:hAnsi="Arial Narrow"/>
          <w:sz w:val="18"/>
          <w:szCs w:val="18"/>
        </w:rPr>
        <w:t>Table B-39, p77 of the submission</w:t>
      </w:r>
    </w:p>
    <w:p w:rsidR="00747F3E" w:rsidRPr="00FD7C28" w:rsidRDefault="00747F3E" w:rsidP="00747F3E">
      <w:pPr>
        <w:ind w:left="720"/>
        <w:rPr>
          <w:rFonts w:ascii="Arial Narrow" w:hAnsi="Arial Narrow"/>
          <w:sz w:val="18"/>
          <w:szCs w:val="18"/>
        </w:rPr>
      </w:pPr>
      <w:r w:rsidRPr="00FD7C28">
        <w:rPr>
          <w:rFonts w:ascii="Arial Narrow" w:hAnsi="Arial Narrow"/>
          <w:sz w:val="18"/>
          <w:szCs w:val="18"/>
        </w:rPr>
        <w:t xml:space="preserve">AE = adverse event; c = cobicistat; EVG = elvitegravir; FTC = emtricitabine; </w:t>
      </w:r>
      <w:r w:rsidR="0003386F" w:rsidRPr="00FD7C28">
        <w:rPr>
          <w:rFonts w:ascii="Arial Narrow" w:hAnsi="Arial Narrow"/>
          <w:sz w:val="18"/>
          <w:szCs w:val="18"/>
        </w:rPr>
        <w:t xml:space="preserve">SAE </w:t>
      </w:r>
      <w:r w:rsidRPr="00FD7C28">
        <w:rPr>
          <w:rFonts w:ascii="Arial Narrow" w:hAnsi="Arial Narrow"/>
          <w:sz w:val="18"/>
          <w:szCs w:val="18"/>
        </w:rPr>
        <w:t>= serious adverse event; TAF= tenofovir alafenamide; TDF = tenofovir disoproxil fumarate; Tx = treatment</w:t>
      </w:r>
    </w:p>
    <w:p w:rsidR="001F1270" w:rsidRPr="00FD7C28" w:rsidRDefault="001F1270" w:rsidP="001F1270">
      <w:pPr>
        <w:ind w:left="720"/>
        <w:rPr>
          <w:rFonts w:ascii="Arial Narrow" w:hAnsi="Arial Narrow"/>
          <w:sz w:val="18"/>
          <w:szCs w:val="18"/>
        </w:rPr>
      </w:pPr>
      <w:r w:rsidRPr="00FD7C28">
        <w:rPr>
          <w:rFonts w:ascii="Arial Narrow" w:hAnsi="Arial Narrow"/>
          <w:sz w:val="18"/>
          <w:szCs w:val="18"/>
          <w:vertAlign w:val="superscript"/>
        </w:rPr>
        <w:t>a</w:t>
      </w:r>
      <w:r w:rsidRPr="00FD7C28">
        <w:rPr>
          <w:rFonts w:ascii="Arial Narrow" w:hAnsi="Arial Narrow"/>
          <w:sz w:val="18"/>
          <w:szCs w:val="18"/>
        </w:rPr>
        <w:t xml:space="preserve"> Third agents: cobicistat + elvitegravir (~32%), efavirenz (~26%), ritonavir-boosted atazanavir (~15%), or cobicistat-boosted atazanavir (~27%)</w:t>
      </w:r>
    </w:p>
    <w:p w:rsidR="00B60939" w:rsidRPr="00FD7C28" w:rsidRDefault="00B60939" w:rsidP="007F1017">
      <w:pPr>
        <w:pStyle w:val="ListParagraph"/>
        <w:ind w:left="0"/>
        <w:rPr>
          <w:szCs w:val="22"/>
        </w:rPr>
      </w:pPr>
    </w:p>
    <w:p w:rsidR="009250AE" w:rsidRPr="00FD7C28" w:rsidRDefault="008F7821" w:rsidP="009250AE">
      <w:pPr>
        <w:pStyle w:val="ListParagraph"/>
        <w:widowControl/>
        <w:numPr>
          <w:ilvl w:val="1"/>
          <w:numId w:val="9"/>
        </w:numPr>
        <w:rPr>
          <w:szCs w:val="22"/>
        </w:rPr>
      </w:pPr>
      <w:r w:rsidRPr="00FD7C28">
        <w:lastRenderedPageBreak/>
        <w:t>The submission stated that EV</w:t>
      </w:r>
      <w:r w:rsidR="005E5877" w:rsidRPr="00FD7C28">
        <w:t>G/c/FTC/tenofovir alafenamide offered benefits over EVG/c/FTC/tenofovir DF, or any other tenofovir DF</w:t>
      </w:r>
      <w:r w:rsidR="00C572C2" w:rsidRPr="00FD7C28">
        <w:t>-</w:t>
      </w:r>
      <w:r w:rsidR="005E5877" w:rsidRPr="00FD7C28">
        <w:t xml:space="preserve">based regimen, in terms of increased bone mineral density and reduced renal function impact. </w:t>
      </w:r>
    </w:p>
    <w:p w:rsidR="009250AE" w:rsidRPr="00FD7C28" w:rsidRDefault="009250AE" w:rsidP="009250AE">
      <w:pPr>
        <w:pStyle w:val="ListParagraph"/>
        <w:widowControl/>
        <w:rPr>
          <w:szCs w:val="22"/>
        </w:rPr>
      </w:pPr>
    </w:p>
    <w:p w:rsidR="009250AE" w:rsidRPr="00EF6F2C" w:rsidRDefault="00777EDE" w:rsidP="0021498F">
      <w:pPr>
        <w:pStyle w:val="ListParagraph"/>
        <w:widowControl/>
        <w:numPr>
          <w:ilvl w:val="1"/>
          <w:numId w:val="9"/>
        </w:numPr>
        <w:rPr>
          <w:szCs w:val="22"/>
        </w:rPr>
      </w:pPr>
      <w:r w:rsidRPr="00FD7C28">
        <w:rPr>
          <w:szCs w:val="22"/>
        </w:rPr>
        <w:t xml:space="preserve">The </w:t>
      </w:r>
      <w:r w:rsidR="00867322" w:rsidRPr="00FD7C28">
        <w:rPr>
          <w:szCs w:val="22"/>
        </w:rPr>
        <w:t xml:space="preserve">decline in </w:t>
      </w:r>
      <w:r w:rsidRPr="00FD7C28">
        <w:rPr>
          <w:szCs w:val="22"/>
        </w:rPr>
        <w:t xml:space="preserve">bone mineral density </w:t>
      </w:r>
      <w:r w:rsidR="009250AE" w:rsidRPr="00FD7C28">
        <w:rPr>
          <w:szCs w:val="22"/>
        </w:rPr>
        <w:t>a</w:t>
      </w:r>
      <w:r w:rsidRPr="00FD7C28">
        <w:rPr>
          <w:szCs w:val="22"/>
        </w:rPr>
        <w:t>t the hip for EVG/c/FTC/tenofovir alafenamide treated patients was significantly smaller than the decline for EVG/c/FTC/tenofovir DF treated patients, with a difference of 2.29% (95%</w:t>
      </w:r>
      <w:r w:rsidR="00872213" w:rsidRPr="00FD7C28">
        <w:rPr>
          <w:szCs w:val="22"/>
        </w:rPr>
        <w:t xml:space="preserve"> CI</w:t>
      </w:r>
      <w:r w:rsidRPr="00FD7C28">
        <w:rPr>
          <w:szCs w:val="22"/>
        </w:rPr>
        <w:t>: 1.73% to 2.64%) for treatment</w:t>
      </w:r>
      <w:r w:rsidR="006B59C5" w:rsidRPr="00FD7C28">
        <w:rPr>
          <w:szCs w:val="22"/>
        </w:rPr>
        <w:t>-</w:t>
      </w:r>
      <w:r w:rsidRPr="00FD7C28">
        <w:rPr>
          <w:szCs w:val="22"/>
        </w:rPr>
        <w:t>naïve patients and 2.08% (95% CI</w:t>
      </w:r>
      <w:r w:rsidR="006B59C5" w:rsidRPr="00FD7C28">
        <w:rPr>
          <w:szCs w:val="22"/>
        </w:rPr>
        <w:t>: 1.70% to 2.46%) for treatment-</w:t>
      </w:r>
      <w:r w:rsidRPr="00FD7C28">
        <w:rPr>
          <w:szCs w:val="22"/>
        </w:rPr>
        <w:t xml:space="preserve">experienced patients. Although changes in hip bone mineral density were statistically significant at Week 48, these changes might not </w:t>
      </w:r>
      <w:r w:rsidR="00D97156" w:rsidRPr="00FD7C28">
        <w:rPr>
          <w:szCs w:val="22"/>
        </w:rPr>
        <w:t xml:space="preserve">have been clinically </w:t>
      </w:r>
      <w:r w:rsidR="0049128A" w:rsidRPr="00EF6F2C">
        <w:rPr>
          <w:szCs w:val="22"/>
        </w:rPr>
        <w:t>relevant</w:t>
      </w:r>
      <w:r w:rsidRPr="00EF6F2C">
        <w:rPr>
          <w:szCs w:val="22"/>
        </w:rPr>
        <w:t>.</w:t>
      </w:r>
      <w:r w:rsidR="00587BE6" w:rsidRPr="00321B24">
        <w:rPr>
          <w:szCs w:val="22"/>
        </w:rPr>
        <w:t xml:space="preserve"> </w:t>
      </w:r>
      <w:r w:rsidR="00587BE6" w:rsidRPr="00EF6F2C">
        <w:rPr>
          <w:szCs w:val="22"/>
        </w:rPr>
        <w:t xml:space="preserve">The ESC </w:t>
      </w:r>
      <w:r w:rsidR="00867322" w:rsidRPr="00EF6F2C">
        <w:rPr>
          <w:szCs w:val="22"/>
        </w:rPr>
        <w:t xml:space="preserve">considered </w:t>
      </w:r>
      <w:r w:rsidR="00587BE6" w:rsidRPr="00EF6F2C">
        <w:rPr>
          <w:szCs w:val="22"/>
        </w:rPr>
        <w:t xml:space="preserve">that there was significant uncertainty that any measured benefits in terms of </w:t>
      </w:r>
      <w:r w:rsidR="00E12676" w:rsidRPr="00EF6F2C">
        <w:rPr>
          <w:szCs w:val="22"/>
        </w:rPr>
        <w:t xml:space="preserve">bone mineral density </w:t>
      </w:r>
      <w:r w:rsidR="00587BE6" w:rsidRPr="00EF6F2C">
        <w:rPr>
          <w:szCs w:val="22"/>
        </w:rPr>
        <w:t xml:space="preserve">would result in clinically significant reduction in the risk of patient relevant outcomes </w:t>
      </w:r>
      <w:r w:rsidR="00867322" w:rsidRPr="00EF6F2C">
        <w:rPr>
          <w:szCs w:val="22"/>
        </w:rPr>
        <w:t xml:space="preserve">such as </w:t>
      </w:r>
      <w:r w:rsidR="00587BE6" w:rsidRPr="00EF6F2C">
        <w:rPr>
          <w:szCs w:val="22"/>
        </w:rPr>
        <w:t>fracture.</w:t>
      </w:r>
    </w:p>
    <w:p w:rsidR="00777EDE" w:rsidRPr="00EF6F2C" w:rsidRDefault="00777EDE" w:rsidP="00777EDE">
      <w:pPr>
        <w:pStyle w:val="ListParagraph"/>
        <w:rPr>
          <w:szCs w:val="22"/>
        </w:rPr>
      </w:pPr>
    </w:p>
    <w:p w:rsidR="00777EDE" w:rsidRDefault="00777EDE" w:rsidP="009250AE">
      <w:pPr>
        <w:pStyle w:val="ListParagraph"/>
        <w:widowControl/>
        <w:numPr>
          <w:ilvl w:val="1"/>
          <w:numId w:val="9"/>
        </w:numPr>
        <w:rPr>
          <w:szCs w:val="22"/>
        </w:rPr>
      </w:pPr>
      <w:r w:rsidRPr="00FD7C28">
        <w:rPr>
          <w:szCs w:val="22"/>
        </w:rPr>
        <w:t xml:space="preserve">Changes in </w:t>
      </w:r>
      <w:r w:rsidR="00E42025" w:rsidRPr="00FD7C28">
        <w:rPr>
          <w:szCs w:val="22"/>
        </w:rPr>
        <w:t>serum creatinine</w:t>
      </w:r>
      <w:r w:rsidRPr="00F43587">
        <w:rPr>
          <w:szCs w:val="22"/>
        </w:rPr>
        <w:t xml:space="preserve"> are</w:t>
      </w:r>
      <w:r w:rsidRPr="00EF319D">
        <w:rPr>
          <w:szCs w:val="22"/>
        </w:rPr>
        <w:t xml:space="preserve"> presented in the table below.</w:t>
      </w:r>
    </w:p>
    <w:p w:rsidR="00F61F28" w:rsidRPr="00EF319D" w:rsidRDefault="00F61F28" w:rsidP="00F61F28">
      <w:pPr>
        <w:pStyle w:val="ListParagraph"/>
        <w:widowControl/>
        <w:rPr>
          <w:szCs w:val="22"/>
        </w:rPr>
      </w:pPr>
    </w:p>
    <w:p w:rsidR="00455B9F" w:rsidRPr="00EF6F2C" w:rsidRDefault="00777EDE" w:rsidP="00A1254D">
      <w:pPr>
        <w:keepNext/>
        <w:widowControl/>
        <w:ind w:left="720"/>
        <w:rPr>
          <w:rStyle w:val="CommentReference"/>
        </w:rPr>
      </w:pPr>
      <w:r w:rsidRPr="00EF6F2C">
        <w:rPr>
          <w:rStyle w:val="CommentReference"/>
        </w:rPr>
        <w:t>Table 5</w:t>
      </w:r>
      <w:r w:rsidR="00455B9F" w:rsidRPr="00EF6F2C">
        <w:rPr>
          <w:rStyle w:val="CommentReference"/>
        </w:rPr>
        <w:t xml:space="preserve">: </w:t>
      </w:r>
      <w:r w:rsidR="00A1254D" w:rsidRPr="00EF6F2C">
        <w:rPr>
          <w:rStyle w:val="CommentReference"/>
        </w:rPr>
        <w:t>Change in serum creatinine from baseline by visit in treatment</w:t>
      </w:r>
      <w:r w:rsidR="006B59C5" w:rsidRPr="00EF6F2C">
        <w:rPr>
          <w:rStyle w:val="CommentReference"/>
        </w:rPr>
        <w:t>-</w:t>
      </w:r>
      <w:r w:rsidR="00A1254D" w:rsidRPr="00EF6F2C">
        <w:rPr>
          <w:rStyle w:val="CommentReference"/>
        </w:rPr>
        <w:t>naive</w:t>
      </w:r>
      <w:r w:rsidR="00455B9F" w:rsidRPr="00EF6F2C">
        <w:rPr>
          <w:rStyle w:val="CommentReference"/>
        </w:rPr>
        <w:t xml:space="preserve"> and treatment</w:t>
      </w:r>
      <w:r w:rsidR="006B59C5" w:rsidRPr="00EF6F2C">
        <w:rPr>
          <w:rStyle w:val="CommentReference"/>
        </w:rPr>
        <w:t>-</w:t>
      </w:r>
      <w:r w:rsidR="00455B9F" w:rsidRPr="00EF6F2C">
        <w:rPr>
          <w:rStyle w:val="CommentReference"/>
        </w:rPr>
        <w:t>experienced patients (safety analysis sets)</w:t>
      </w:r>
    </w:p>
    <w:tbl>
      <w:tblPr>
        <w:tblW w:w="8410" w:type="dxa"/>
        <w:tblInd w:w="737" w:type="dxa"/>
        <w:tblLook w:val="04A0" w:firstRow="1" w:lastRow="0" w:firstColumn="1" w:lastColumn="0" w:noHBand="0" w:noVBand="1"/>
        <w:tblCaption w:val="Summary of serum creatinine changes in clinical trials"/>
      </w:tblPr>
      <w:tblGrid>
        <w:gridCol w:w="1985"/>
        <w:gridCol w:w="425"/>
        <w:gridCol w:w="1559"/>
        <w:gridCol w:w="472"/>
        <w:gridCol w:w="1701"/>
        <w:gridCol w:w="2268"/>
      </w:tblGrid>
      <w:tr w:rsidR="00E42025" w:rsidRPr="00FD7C28" w:rsidTr="00D97156">
        <w:trPr>
          <w:cantSplit/>
          <w:trHeight w:val="139"/>
        </w:trPr>
        <w:tc>
          <w:tcPr>
            <w:tcW w:w="1985"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hideMark/>
          </w:tcPr>
          <w:p w:rsidR="00E42025" w:rsidRPr="00673F01" w:rsidRDefault="00E42025" w:rsidP="00867322">
            <w:pPr>
              <w:keepNext/>
              <w:widowControl/>
              <w:jc w:val="left"/>
              <w:rPr>
                <w:rFonts w:ascii="Arial Narrow" w:hAnsi="Arial Narrow" w:cs="Times New Roman"/>
                <w:b/>
                <w:snapToGrid/>
                <w:color w:val="000000"/>
                <w:sz w:val="20"/>
                <w:lang w:eastAsia="en-AU"/>
              </w:rPr>
            </w:pPr>
            <w:r w:rsidRPr="00754170">
              <w:rPr>
                <w:rFonts w:ascii="Arial Narrow" w:hAnsi="Arial Narrow" w:cs="Times New Roman"/>
                <w:b/>
                <w:snapToGrid/>
                <w:color w:val="000000"/>
                <w:sz w:val="20"/>
                <w:lang w:eastAsia="en-AU"/>
              </w:rPr>
              <w:t xml:space="preserve">Treatment </w:t>
            </w:r>
            <w:r w:rsidR="00867322" w:rsidRPr="0017235C">
              <w:rPr>
                <w:rFonts w:ascii="Arial Narrow" w:hAnsi="Arial Narrow" w:cs="Times New Roman"/>
                <w:b/>
                <w:snapToGrid/>
                <w:color w:val="000000"/>
                <w:sz w:val="20"/>
                <w:lang w:eastAsia="en-AU"/>
              </w:rPr>
              <w:t xml:space="preserve">naïve </w:t>
            </w:r>
          </w:p>
        </w:tc>
        <w:tc>
          <w:tcPr>
            <w:tcW w:w="198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42025" w:rsidRPr="00673F01" w:rsidRDefault="00E42025" w:rsidP="00A1254D">
            <w:pPr>
              <w:keepNext/>
              <w:widowControl/>
              <w:jc w:val="center"/>
              <w:rPr>
                <w:rFonts w:ascii="Arial Narrow" w:hAnsi="Arial Narrow" w:cs="Times New Roman"/>
                <w:b/>
                <w:bCs/>
                <w:snapToGrid/>
                <w:color w:val="000000"/>
                <w:sz w:val="20"/>
                <w:lang w:eastAsia="en-AU"/>
              </w:rPr>
            </w:pPr>
            <w:r w:rsidRPr="00673F01">
              <w:rPr>
                <w:rFonts w:ascii="Arial Narrow" w:hAnsi="Arial Narrow" w:cs="Times New Roman"/>
                <w:b/>
                <w:bCs/>
                <w:snapToGrid/>
                <w:color w:val="000000"/>
                <w:sz w:val="20"/>
                <w:lang w:eastAsia="en-AU"/>
              </w:rPr>
              <w:t>EVG/c/FTC/TAF</w:t>
            </w:r>
          </w:p>
        </w:tc>
        <w:tc>
          <w:tcPr>
            <w:tcW w:w="217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42025" w:rsidRPr="00980EE7" w:rsidRDefault="00E42025" w:rsidP="00A1254D">
            <w:pPr>
              <w:keepNext/>
              <w:widowControl/>
              <w:jc w:val="center"/>
              <w:rPr>
                <w:rFonts w:ascii="Arial Narrow" w:hAnsi="Arial Narrow" w:cs="Times New Roman"/>
                <w:b/>
                <w:bCs/>
                <w:snapToGrid/>
                <w:color w:val="000000"/>
                <w:sz w:val="20"/>
                <w:lang w:eastAsia="en-AU"/>
              </w:rPr>
            </w:pPr>
            <w:r w:rsidRPr="00980EE7">
              <w:rPr>
                <w:rFonts w:ascii="Arial Narrow" w:hAnsi="Arial Narrow" w:cs="Times New Roman"/>
                <w:b/>
                <w:bCs/>
                <w:snapToGrid/>
                <w:color w:val="000000"/>
                <w:sz w:val="20"/>
                <w:lang w:eastAsia="en-AU"/>
              </w:rPr>
              <w:t>EVG/c/FTC/TDF</w:t>
            </w:r>
          </w:p>
        </w:tc>
        <w:tc>
          <w:tcPr>
            <w:tcW w:w="2268"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rsidR="00E42025" w:rsidRPr="00980EE7" w:rsidRDefault="00E42025" w:rsidP="00090068">
            <w:pPr>
              <w:keepNext/>
              <w:widowControl/>
              <w:jc w:val="center"/>
              <w:rPr>
                <w:rFonts w:ascii="Arial Narrow" w:hAnsi="Arial Narrow" w:cs="Times New Roman"/>
                <w:b/>
                <w:snapToGrid/>
                <w:color w:val="000000"/>
                <w:sz w:val="20"/>
                <w:lang w:eastAsia="en-AU"/>
              </w:rPr>
            </w:pPr>
            <w:r w:rsidRPr="00980EE7">
              <w:rPr>
                <w:rFonts w:ascii="Arial Narrow" w:hAnsi="Arial Narrow" w:cs="Times New Roman"/>
                <w:b/>
                <w:snapToGrid/>
                <w:color w:val="000000"/>
                <w:sz w:val="20"/>
                <w:lang w:eastAsia="en-AU"/>
              </w:rPr>
              <w:t>Difference in LSM (95% CI)</w:t>
            </w:r>
          </w:p>
        </w:tc>
      </w:tr>
      <w:tr w:rsidR="00A1254D" w:rsidRPr="00FD7C28" w:rsidTr="00D97156">
        <w:trPr>
          <w:cantSplit/>
          <w:trHeight w:val="185"/>
        </w:trPr>
        <w:tc>
          <w:tcPr>
            <w:tcW w:w="1985" w:type="dxa"/>
            <w:vMerge/>
            <w:tcBorders>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E42025" w:rsidP="00A1254D">
            <w:pPr>
              <w:keepNext/>
              <w:widowControl/>
              <w:jc w:val="left"/>
              <w:rPr>
                <w:rFonts w:ascii="Arial Narrow" w:hAnsi="Arial Narrow" w:cs="Times New Roman"/>
                <w:snapToGrid/>
                <w:color w:val="000000"/>
                <w:sz w:val="20"/>
                <w:lang w:eastAsia="en-AU"/>
              </w:rPr>
            </w:pP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N</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Mean, mg/dL (SD)</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N</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Mean, mg/dL (SD)</w:t>
            </w:r>
          </w:p>
        </w:tc>
        <w:tc>
          <w:tcPr>
            <w:tcW w:w="2268" w:type="dxa"/>
            <w:vMerge/>
            <w:tcBorders>
              <w:left w:val="nil"/>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E42025" w:rsidP="00A1254D">
            <w:pPr>
              <w:keepNext/>
              <w:widowControl/>
              <w:jc w:val="left"/>
              <w:rPr>
                <w:rFonts w:ascii="Arial Narrow" w:hAnsi="Arial Narrow" w:cs="Times New Roman"/>
                <w:b/>
                <w:snapToGrid/>
                <w:color w:val="000000"/>
                <w:sz w:val="20"/>
                <w:lang w:eastAsia="en-AU"/>
              </w:rPr>
            </w:pPr>
          </w:p>
        </w:tc>
      </w:tr>
      <w:tr w:rsidR="00E42025" w:rsidRPr="00FD7C28" w:rsidTr="00A1254D">
        <w:trPr>
          <w:cantSplit/>
          <w:trHeight w:val="90"/>
        </w:trPr>
        <w:tc>
          <w:tcPr>
            <w:tcW w:w="8410" w:type="dxa"/>
            <w:gridSpan w:val="6"/>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rsidR="00E42025" w:rsidRPr="00FD7C28" w:rsidRDefault="00E42025" w:rsidP="00A1254D">
            <w:pPr>
              <w:keepNext/>
              <w:widowControl/>
              <w:jc w:val="left"/>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Study 104</w:t>
            </w:r>
          </w:p>
        </w:tc>
      </w:tr>
      <w:tr w:rsidR="00A1254D" w:rsidRPr="00FD7C28" w:rsidTr="00D97156">
        <w:trPr>
          <w:cantSplit/>
          <w:trHeight w:val="60"/>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E42025" w:rsidP="00AB249D">
            <w:pPr>
              <w:keepNext/>
              <w:widowControl/>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Baseline</w:t>
            </w:r>
            <w:r w:rsidR="00AB249D" w:rsidRPr="00FD7C28">
              <w:rPr>
                <w:rFonts w:ascii="Arial Narrow" w:hAnsi="Arial Narrow" w:cs="Times New Roman"/>
                <w:snapToGrid/>
                <w:color w:val="000000"/>
                <w:sz w:val="20"/>
                <w:lang w:eastAsia="en-AU"/>
              </w:rPr>
              <w:t xml:space="preserve"> serum creatinine</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435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0.91 (0.17)</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432</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0.93 (0.17)</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-0.02 (-0.04, 0.00)</w:t>
            </w:r>
          </w:p>
        </w:tc>
      </w:tr>
      <w:tr w:rsidR="00A1254D" w:rsidRPr="00FD7C28" w:rsidTr="00D97156">
        <w:trPr>
          <w:cantSplit/>
          <w:trHeight w:val="181"/>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AB249D" w:rsidP="00A1254D">
            <w:pPr>
              <w:keepNext/>
              <w:widowControl/>
              <w:ind w:firstLine="114"/>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xml:space="preserve">∆ at </w:t>
            </w:r>
            <w:r w:rsidR="00E42025" w:rsidRPr="00FD7C28">
              <w:rPr>
                <w:rFonts w:ascii="Arial Narrow" w:hAnsi="Arial Narrow" w:cs="Times New Roman"/>
                <w:snapToGrid/>
                <w:color w:val="000000"/>
                <w:sz w:val="20"/>
                <w:lang w:eastAsia="en-AU"/>
              </w:rPr>
              <w:t>Week 2</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417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0.07 (0.09)</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422</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0.10 (0.13)</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-0.03 (-0.05, -0.02)</w:t>
            </w:r>
          </w:p>
        </w:tc>
      </w:tr>
      <w:tr w:rsidR="00A1254D" w:rsidRPr="00FD7C28" w:rsidTr="00D97156">
        <w:trPr>
          <w:cantSplit/>
          <w:trHeight w:val="60"/>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AB249D" w:rsidP="00A1254D">
            <w:pPr>
              <w:keepNext/>
              <w:widowControl/>
              <w:ind w:firstLine="114"/>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xml:space="preserve">∆ at </w:t>
            </w:r>
            <w:r w:rsidR="00E42025" w:rsidRPr="00FD7C28">
              <w:rPr>
                <w:rFonts w:ascii="Arial Narrow" w:hAnsi="Arial Narrow" w:cs="Times New Roman"/>
                <w:snapToGrid/>
                <w:color w:val="000000"/>
                <w:sz w:val="20"/>
                <w:lang w:eastAsia="en-AU"/>
              </w:rPr>
              <w:t>Week 24</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418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0.07 (0.11)</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417</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0.10 (0.12)</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-0.03 (-0.05, -0.02)</w:t>
            </w:r>
          </w:p>
        </w:tc>
      </w:tr>
      <w:tr w:rsidR="00A1254D" w:rsidRPr="00FD7C28" w:rsidTr="00D97156">
        <w:trPr>
          <w:cantSplit/>
          <w:trHeight w:val="60"/>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AB249D" w:rsidP="00A1254D">
            <w:pPr>
              <w:keepNext/>
              <w:widowControl/>
              <w:ind w:firstLine="114"/>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xml:space="preserve">∆ at </w:t>
            </w:r>
            <w:r w:rsidR="00E42025" w:rsidRPr="00FD7C28">
              <w:rPr>
                <w:rFonts w:ascii="Arial Narrow" w:hAnsi="Arial Narrow" w:cs="Times New Roman"/>
                <w:snapToGrid/>
                <w:color w:val="000000"/>
                <w:sz w:val="20"/>
                <w:lang w:eastAsia="en-AU"/>
              </w:rPr>
              <w:t>Week 48</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415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0.08 (0.11)</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404</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0.11 (0.12)</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-0.03 (-0.04, -0.01)</w:t>
            </w:r>
          </w:p>
        </w:tc>
      </w:tr>
      <w:tr w:rsidR="00E42025" w:rsidRPr="00FD7C28" w:rsidTr="00A1254D">
        <w:trPr>
          <w:cantSplit/>
          <w:trHeight w:val="60"/>
        </w:trPr>
        <w:tc>
          <w:tcPr>
            <w:tcW w:w="8410" w:type="dxa"/>
            <w:gridSpan w:val="6"/>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E42025" w:rsidP="00A1254D">
            <w:pPr>
              <w:keepNext/>
              <w:widowControl/>
              <w:jc w:val="left"/>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Study 111 </w:t>
            </w:r>
          </w:p>
        </w:tc>
      </w:tr>
      <w:tr w:rsidR="00A1254D" w:rsidRPr="00FD7C28" w:rsidTr="00D97156">
        <w:trPr>
          <w:cantSplit/>
          <w:trHeight w:val="60"/>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E42025" w:rsidP="00AB249D">
            <w:pPr>
              <w:keepNext/>
              <w:widowControl/>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Baseline</w:t>
            </w:r>
            <w:r w:rsidR="00AB249D" w:rsidRPr="00FD7C28">
              <w:rPr>
                <w:rFonts w:ascii="Arial Narrow" w:hAnsi="Arial Narrow" w:cs="Times New Roman"/>
                <w:snapToGrid/>
                <w:color w:val="000000"/>
                <w:sz w:val="20"/>
                <w:lang w:eastAsia="en-AU"/>
              </w:rPr>
              <w:t xml:space="preserve"> serum creatinine</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431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0.95 (0.17)</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435</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0.94 (0.16)</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0.01 (-0.02, 0.03)</w:t>
            </w:r>
          </w:p>
        </w:tc>
      </w:tr>
      <w:tr w:rsidR="00A1254D" w:rsidRPr="00FD7C28" w:rsidTr="00D97156">
        <w:trPr>
          <w:cantSplit/>
          <w:trHeight w:val="60"/>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AB249D" w:rsidP="00A1254D">
            <w:pPr>
              <w:keepNext/>
              <w:widowControl/>
              <w:ind w:firstLine="114"/>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xml:space="preserve">∆ at </w:t>
            </w:r>
            <w:r w:rsidR="00E42025" w:rsidRPr="00FD7C28">
              <w:rPr>
                <w:rFonts w:ascii="Arial Narrow" w:hAnsi="Arial Narrow" w:cs="Times New Roman"/>
                <w:snapToGrid/>
                <w:color w:val="000000"/>
                <w:sz w:val="20"/>
                <w:lang w:eastAsia="en-AU"/>
              </w:rPr>
              <w:t>Week 2</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422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0.06 (0.12)</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422</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0.10 (0.12)</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-0.04 (-0.05, -0.02)</w:t>
            </w:r>
          </w:p>
        </w:tc>
      </w:tr>
      <w:tr w:rsidR="00A1254D" w:rsidRPr="00FD7C28" w:rsidTr="00D97156">
        <w:trPr>
          <w:cantSplit/>
          <w:trHeight w:val="60"/>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AB249D" w:rsidP="00A1254D">
            <w:pPr>
              <w:keepNext/>
              <w:widowControl/>
              <w:ind w:firstLine="114"/>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xml:space="preserve">∆ at </w:t>
            </w:r>
            <w:r w:rsidR="00E42025" w:rsidRPr="00FD7C28">
              <w:rPr>
                <w:rFonts w:ascii="Arial Narrow" w:hAnsi="Arial Narrow" w:cs="Times New Roman"/>
                <w:snapToGrid/>
                <w:color w:val="000000"/>
                <w:sz w:val="20"/>
                <w:lang w:eastAsia="en-AU"/>
              </w:rPr>
              <w:t>Week 24</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418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0.07 (0.12)</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417</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0.10 (0.12)</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-0.03 (-0.04, -0.01)</w:t>
            </w:r>
          </w:p>
        </w:tc>
      </w:tr>
      <w:tr w:rsidR="00A1254D" w:rsidRPr="00FD7C28" w:rsidTr="00D97156">
        <w:trPr>
          <w:cantSplit/>
          <w:trHeight w:val="60"/>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AB249D" w:rsidP="00A1254D">
            <w:pPr>
              <w:keepNext/>
              <w:widowControl/>
              <w:ind w:firstLine="114"/>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xml:space="preserve">∆ at </w:t>
            </w:r>
            <w:r w:rsidR="00E42025" w:rsidRPr="00FD7C28">
              <w:rPr>
                <w:rFonts w:ascii="Arial Narrow" w:hAnsi="Arial Narrow" w:cs="Times New Roman"/>
                <w:snapToGrid/>
                <w:color w:val="000000"/>
                <w:sz w:val="20"/>
                <w:lang w:eastAsia="en-AU"/>
              </w:rPr>
              <w:t>Week 48</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405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0.08 (0.14)</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402</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0.12 (0.28)</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-0.04 (-0.07, -0.01)</w:t>
            </w:r>
          </w:p>
        </w:tc>
      </w:tr>
      <w:tr w:rsidR="00E42025" w:rsidRPr="00FD7C28" w:rsidTr="00D97156">
        <w:trPr>
          <w:cantSplit/>
          <w:trHeight w:val="60"/>
        </w:trPr>
        <w:tc>
          <w:tcPr>
            <w:tcW w:w="1985" w:type="dxa"/>
            <w:vMerge w:val="restart"/>
            <w:tcBorders>
              <w:top w:val="nil"/>
              <w:left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left"/>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Treatment experienced</w:t>
            </w:r>
          </w:p>
        </w:tc>
        <w:tc>
          <w:tcPr>
            <w:tcW w:w="198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bCs/>
                <w:snapToGrid/>
                <w:color w:val="000000"/>
                <w:sz w:val="20"/>
                <w:lang w:eastAsia="en-AU"/>
              </w:rPr>
            </w:pPr>
            <w:r w:rsidRPr="00FD7C28">
              <w:rPr>
                <w:rFonts w:ascii="Arial Narrow" w:hAnsi="Arial Narrow" w:cs="Times New Roman"/>
                <w:b/>
                <w:bCs/>
                <w:snapToGrid/>
                <w:color w:val="000000"/>
                <w:sz w:val="20"/>
                <w:lang w:eastAsia="en-AU"/>
              </w:rPr>
              <w:t>EVG/c/FTC/TAF</w:t>
            </w:r>
          </w:p>
        </w:tc>
        <w:tc>
          <w:tcPr>
            <w:tcW w:w="217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bCs/>
                <w:snapToGrid/>
                <w:color w:val="000000"/>
                <w:sz w:val="20"/>
                <w:lang w:eastAsia="en-AU"/>
              </w:rPr>
            </w:pPr>
            <w:r w:rsidRPr="00FD7C28">
              <w:rPr>
                <w:rFonts w:ascii="Arial Narrow" w:hAnsi="Arial Narrow" w:cs="Times New Roman"/>
                <w:b/>
                <w:bCs/>
                <w:snapToGrid/>
                <w:color w:val="000000"/>
                <w:sz w:val="20"/>
                <w:lang w:eastAsia="en-AU"/>
              </w:rPr>
              <w:t>FTC/TDF + 3</w:t>
            </w:r>
            <w:r w:rsidRPr="00FD7C28">
              <w:rPr>
                <w:rFonts w:ascii="Arial Narrow" w:hAnsi="Arial Narrow" w:cs="Times New Roman"/>
                <w:b/>
                <w:bCs/>
                <w:snapToGrid/>
                <w:color w:val="000000"/>
                <w:sz w:val="20"/>
                <w:vertAlign w:val="superscript"/>
                <w:lang w:eastAsia="en-AU"/>
              </w:rPr>
              <w:t>rd</w:t>
            </w:r>
            <w:r w:rsidRPr="00FD7C28">
              <w:rPr>
                <w:rFonts w:ascii="Arial Narrow" w:hAnsi="Arial Narrow" w:cs="Times New Roman"/>
                <w:b/>
                <w:bCs/>
                <w:snapToGrid/>
                <w:color w:val="000000"/>
                <w:sz w:val="20"/>
                <w:lang w:eastAsia="en-AU"/>
              </w:rPr>
              <w:t xml:space="preserve"> agent </w:t>
            </w:r>
            <w:r w:rsidRPr="00FD7C28">
              <w:rPr>
                <w:rFonts w:ascii="Arial Narrow" w:hAnsi="Arial Narrow" w:cs="Times New Roman"/>
                <w:b/>
                <w:bCs/>
                <w:snapToGrid/>
                <w:color w:val="000000"/>
                <w:sz w:val="20"/>
                <w:vertAlign w:val="superscript"/>
                <w:lang w:eastAsia="en-AU"/>
              </w:rPr>
              <w:t>a</w:t>
            </w:r>
          </w:p>
        </w:tc>
        <w:tc>
          <w:tcPr>
            <w:tcW w:w="2268" w:type="dxa"/>
            <w:vMerge w:val="restart"/>
            <w:tcBorders>
              <w:top w:val="nil"/>
              <w:left w:val="nil"/>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b/>
                <w:snapToGrid/>
                <w:color w:val="000000"/>
                <w:sz w:val="20"/>
                <w:lang w:eastAsia="en-AU"/>
              </w:rPr>
              <w:t>Difference in LSM (95% CI)</w:t>
            </w:r>
            <w:r w:rsidRPr="00FD7C28">
              <w:rPr>
                <w:rFonts w:ascii="Arial Narrow" w:hAnsi="Arial Narrow" w:cs="Times New Roman"/>
                <w:snapToGrid/>
                <w:color w:val="000000"/>
                <w:sz w:val="20"/>
                <w:lang w:eastAsia="en-AU"/>
              </w:rPr>
              <w:t> </w:t>
            </w:r>
          </w:p>
        </w:tc>
      </w:tr>
      <w:tr w:rsidR="00E42025" w:rsidRPr="00FD7C28" w:rsidTr="00D97156">
        <w:trPr>
          <w:cantSplit/>
          <w:trHeight w:val="60"/>
        </w:trPr>
        <w:tc>
          <w:tcPr>
            <w:tcW w:w="1985" w:type="dxa"/>
            <w:vMerge/>
            <w:tcBorders>
              <w:left w:val="single" w:sz="4" w:space="0" w:color="auto"/>
              <w:bottom w:val="single" w:sz="4" w:space="0" w:color="auto"/>
              <w:right w:val="single" w:sz="4" w:space="0" w:color="auto"/>
            </w:tcBorders>
            <w:shd w:val="clear" w:color="auto" w:fill="auto"/>
            <w:noWrap/>
            <w:tcMar>
              <w:left w:w="28" w:type="dxa"/>
              <w:right w:w="28" w:type="dxa"/>
            </w:tcMar>
            <w:vAlign w:val="bottom"/>
          </w:tcPr>
          <w:p w:rsidR="00E42025" w:rsidRPr="00FD7C28" w:rsidRDefault="00E42025" w:rsidP="00A1254D">
            <w:pPr>
              <w:keepNext/>
              <w:widowControl/>
              <w:jc w:val="left"/>
              <w:rPr>
                <w:rFonts w:ascii="Arial Narrow" w:hAnsi="Arial Narrow" w:cs="Times New Roman"/>
                <w:snapToGrid/>
                <w:color w:val="000000"/>
                <w:sz w:val="20"/>
                <w:lang w:eastAsia="en-AU"/>
              </w:rPr>
            </w:pP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E42025" w:rsidRPr="00FD7C28" w:rsidRDefault="00E42025" w:rsidP="00A1254D">
            <w:pPr>
              <w:keepNext/>
              <w:widowControl/>
              <w:jc w:val="center"/>
              <w:rPr>
                <w:rFonts w:ascii="Arial Narrow" w:hAnsi="Arial Narrow" w:cs="Times New Roman"/>
                <w:b/>
                <w:bCs/>
                <w:snapToGrid/>
                <w:color w:val="000000"/>
                <w:sz w:val="20"/>
                <w:lang w:eastAsia="en-AU"/>
              </w:rPr>
            </w:pPr>
            <w:r w:rsidRPr="00FD7C28">
              <w:rPr>
                <w:rFonts w:ascii="Arial Narrow" w:hAnsi="Arial Narrow" w:cs="Times New Roman"/>
                <w:b/>
                <w:snapToGrid/>
                <w:color w:val="000000"/>
                <w:sz w:val="20"/>
                <w:lang w:eastAsia="en-AU"/>
              </w:rPr>
              <w:t>N</w:t>
            </w:r>
          </w:p>
        </w:tc>
        <w:tc>
          <w:tcPr>
            <w:tcW w:w="1559"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E42025" w:rsidRPr="00FD7C28" w:rsidRDefault="00E42025" w:rsidP="00A1254D">
            <w:pPr>
              <w:keepNext/>
              <w:widowControl/>
              <w:jc w:val="center"/>
              <w:rPr>
                <w:rFonts w:ascii="Arial Narrow" w:hAnsi="Arial Narrow" w:cs="Times New Roman"/>
                <w:b/>
                <w:bCs/>
                <w:snapToGrid/>
                <w:color w:val="000000"/>
                <w:sz w:val="20"/>
                <w:lang w:eastAsia="en-AU"/>
              </w:rPr>
            </w:pPr>
            <w:r w:rsidRPr="00FD7C28">
              <w:rPr>
                <w:rFonts w:ascii="Arial Narrow" w:hAnsi="Arial Narrow" w:cs="Times New Roman"/>
                <w:b/>
                <w:snapToGrid/>
                <w:color w:val="000000"/>
                <w:sz w:val="20"/>
                <w:lang w:eastAsia="en-AU"/>
              </w:rPr>
              <w:t>Mean, mg/dL (SD)</w:t>
            </w:r>
          </w:p>
        </w:tc>
        <w:tc>
          <w:tcPr>
            <w:tcW w:w="47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E42025" w:rsidRPr="00FD7C28" w:rsidRDefault="00E42025" w:rsidP="00A1254D">
            <w:pPr>
              <w:keepNext/>
              <w:widowControl/>
              <w:jc w:val="center"/>
              <w:rPr>
                <w:rFonts w:ascii="Arial Narrow" w:hAnsi="Arial Narrow" w:cs="Times New Roman"/>
                <w:b/>
                <w:bCs/>
                <w:snapToGrid/>
                <w:color w:val="000000"/>
                <w:sz w:val="20"/>
                <w:lang w:eastAsia="en-AU"/>
              </w:rPr>
            </w:pPr>
            <w:r w:rsidRPr="00FD7C28">
              <w:rPr>
                <w:rFonts w:ascii="Arial Narrow" w:hAnsi="Arial Narrow" w:cs="Times New Roman"/>
                <w:b/>
                <w:snapToGrid/>
                <w:color w:val="000000"/>
                <w:sz w:val="20"/>
                <w:lang w:eastAsia="en-AU"/>
              </w:rPr>
              <w:t>N</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E42025" w:rsidRPr="00FD7C28" w:rsidRDefault="00E42025" w:rsidP="00A1254D">
            <w:pPr>
              <w:keepNext/>
              <w:widowControl/>
              <w:jc w:val="center"/>
              <w:rPr>
                <w:rFonts w:ascii="Arial Narrow" w:hAnsi="Arial Narrow" w:cs="Times New Roman"/>
                <w:b/>
                <w:bCs/>
                <w:snapToGrid/>
                <w:color w:val="000000"/>
                <w:sz w:val="20"/>
                <w:lang w:eastAsia="en-AU"/>
              </w:rPr>
            </w:pPr>
            <w:r w:rsidRPr="00FD7C28">
              <w:rPr>
                <w:rFonts w:ascii="Arial Narrow" w:hAnsi="Arial Narrow" w:cs="Times New Roman"/>
                <w:b/>
                <w:snapToGrid/>
                <w:color w:val="000000"/>
                <w:sz w:val="20"/>
                <w:lang w:eastAsia="en-AU"/>
              </w:rPr>
              <w:t>Mean, mg/dL (SD)</w:t>
            </w:r>
          </w:p>
        </w:tc>
        <w:tc>
          <w:tcPr>
            <w:tcW w:w="2268" w:type="dxa"/>
            <w:vMerge/>
            <w:tcBorders>
              <w:left w:val="nil"/>
              <w:bottom w:val="single" w:sz="4" w:space="0" w:color="auto"/>
              <w:right w:val="single" w:sz="4" w:space="0" w:color="auto"/>
            </w:tcBorders>
            <w:shd w:val="clear" w:color="auto" w:fill="auto"/>
            <w:noWrap/>
            <w:tcMar>
              <w:left w:w="28" w:type="dxa"/>
              <w:right w:w="28" w:type="dxa"/>
            </w:tcMar>
            <w:vAlign w:val="center"/>
          </w:tcPr>
          <w:p w:rsidR="00E42025" w:rsidRPr="00FD7C28" w:rsidRDefault="00E42025" w:rsidP="00A1254D">
            <w:pPr>
              <w:keepNext/>
              <w:widowControl/>
              <w:jc w:val="center"/>
              <w:rPr>
                <w:rFonts w:ascii="Arial Narrow" w:hAnsi="Arial Narrow" w:cs="Times New Roman"/>
                <w:snapToGrid/>
                <w:color w:val="000000"/>
                <w:sz w:val="20"/>
                <w:lang w:eastAsia="en-AU"/>
              </w:rPr>
            </w:pPr>
          </w:p>
        </w:tc>
      </w:tr>
      <w:tr w:rsidR="00E42025" w:rsidRPr="00FD7C28" w:rsidTr="00A1254D">
        <w:trPr>
          <w:cantSplit/>
          <w:trHeight w:val="60"/>
        </w:trPr>
        <w:tc>
          <w:tcPr>
            <w:tcW w:w="8410" w:type="dxa"/>
            <w:gridSpan w:val="6"/>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rsidR="00E42025" w:rsidRPr="00FD7C28" w:rsidRDefault="00E42025" w:rsidP="00A1254D">
            <w:pPr>
              <w:keepNext/>
              <w:widowControl/>
              <w:jc w:val="left"/>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 xml:space="preserve">Study 109 </w:t>
            </w:r>
          </w:p>
        </w:tc>
      </w:tr>
      <w:tr w:rsidR="00E42025" w:rsidRPr="00FD7C28" w:rsidTr="00D97156">
        <w:trPr>
          <w:cantSplit/>
          <w:trHeight w:val="60"/>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E42025" w:rsidP="00AB249D">
            <w:pPr>
              <w:keepNext/>
              <w:widowControl/>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Baseline</w:t>
            </w:r>
            <w:r w:rsidR="00AB249D" w:rsidRPr="00FD7C28">
              <w:rPr>
                <w:rFonts w:ascii="Arial Narrow" w:hAnsi="Arial Narrow" w:cs="Times New Roman"/>
                <w:snapToGrid/>
                <w:color w:val="000000"/>
                <w:sz w:val="20"/>
                <w:lang w:eastAsia="en-AU"/>
              </w:rPr>
              <w:t xml:space="preserve"> serum creatinine</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708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1.05 (0.19)</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352</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1.05 (0.19) </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-0.01 (-0.03, 0.02)</w:t>
            </w:r>
          </w:p>
        </w:tc>
      </w:tr>
      <w:tr w:rsidR="00E42025" w:rsidRPr="00FD7C28" w:rsidTr="00D97156">
        <w:trPr>
          <w:cantSplit/>
          <w:trHeight w:val="137"/>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AB249D" w:rsidP="00A1254D">
            <w:pPr>
              <w:keepNext/>
              <w:widowControl/>
              <w:ind w:firstLine="114"/>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xml:space="preserve">∆ at </w:t>
            </w:r>
            <w:r w:rsidR="00E42025" w:rsidRPr="00FD7C28">
              <w:rPr>
                <w:rFonts w:ascii="Arial Narrow" w:hAnsi="Arial Narrow" w:cs="Times New Roman"/>
                <w:snapToGrid/>
                <w:color w:val="000000"/>
                <w:sz w:val="20"/>
                <w:lang w:eastAsia="en-AU"/>
              </w:rPr>
              <w:t>Week 2</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678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0.00 (0.11)</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331</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0.01 (0.09) </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-0.02, (-0.03, -0.00) </w:t>
            </w:r>
          </w:p>
        </w:tc>
      </w:tr>
      <w:tr w:rsidR="00E42025" w:rsidRPr="00FD7C28" w:rsidTr="00D97156">
        <w:trPr>
          <w:cantSplit/>
          <w:trHeight w:val="60"/>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AB249D" w:rsidP="00A1254D">
            <w:pPr>
              <w:keepNext/>
              <w:widowControl/>
              <w:ind w:firstLine="114"/>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xml:space="preserve">∆ at </w:t>
            </w:r>
            <w:r w:rsidR="00E42025" w:rsidRPr="00FD7C28">
              <w:rPr>
                <w:rFonts w:ascii="Arial Narrow" w:hAnsi="Arial Narrow" w:cs="Times New Roman"/>
                <w:snapToGrid/>
                <w:color w:val="000000"/>
                <w:sz w:val="20"/>
                <w:lang w:eastAsia="en-AU"/>
              </w:rPr>
              <w:t>Week 24</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687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0.00 (0.11)</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335</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0.02 (0.11) </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-0.03 (-0.04, -0.02) </w:t>
            </w:r>
          </w:p>
        </w:tc>
      </w:tr>
      <w:tr w:rsidR="00E42025" w:rsidRPr="00FD7C28" w:rsidTr="00D97156">
        <w:trPr>
          <w:cantSplit/>
          <w:trHeight w:val="87"/>
        </w:trPr>
        <w:tc>
          <w:tcPr>
            <w:tcW w:w="198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42025" w:rsidRPr="00FD7C28" w:rsidRDefault="00AB249D" w:rsidP="00A1254D">
            <w:pPr>
              <w:keepNext/>
              <w:widowControl/>
              <w:ind w:firstLine="114"/>
              <w:jc w:val="left"/>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xml:space="preserve">∆ at </w:t>
            </w:r>
            <w:r w:rsidR="00E42025" w:rsidRPr="00FD7C28">
              <w:rPr>
                <w:rFonts w:ascii="Arial Narrow" w:hAnsi="Arial Narrow" w:cs="Times New Roman"/>
                <w:snapToGrid/>
                <w:color w:val="000000"/>
                <w:sz w:val="20"/>
                <w:lang w:eastAsia="en-AU"/>
              </w:rPr>
              <w:t>Week 48</w:t>
            </w:r>
          </w:p>
        </w:tc>
        <w:tc>
          <w:tcPr>
            <w:tcW w:w="42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545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 -0.01 (0.12)</w:t>
            </w:r>
          </w:p>
        </w:tc>
        <w:tc>
          <w:tcPr>
            <w:tcW w:w="4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266</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snapToGrid/>
                <w:color w:val="000000"/>
                <w:sz w:val="20"/>
                <w:lang w:eastAsia="en-AU"/>
              </w:rPr>
            </w:pPr>
            <w:r w:rsidRPr="00FD7C28">
              <w:rPr>
                <w:rFonts w:ascii="Arial Narrow" w:hAnsi="Arial Narrow" w:cs="Times New Roman"/>
                <w:snapToGrid/>
                <w:color w:val="000000"/>
                <w:sz w:val="20"/>
                <w:lang w:eastAsia="en-AU"/>
              </w:rPr>
              <w:t>0.04 (0.12) </w:t>
            </w:r>
          </w:p>
        </w:tc>
        <w:tc>
          <w:tcPr>
            <w:tcW w:w="22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42025" w:rsidRPr="00FD7C28" w:rsidRDefault="00E42025" w:rsidP="00A1254D">
            <w:pPr>
              <w:keepNext/>
              <w:widowControl/>
              <w:jc w:val="center"/>
              <w:rPr>
                <w:rFonts w:ascii="Arial Narrow" w:hAnsi="Arial Narrow" w:cs="Times New Roman"/>
                <w:b/>
                <w:snapToGrid/>
                <w:color w:val="000000"/>
                <w:sz w:val="20"/>
                <w:lang w:eastAsia="en-AU"/>
              </w:rPr>
            </w:pPr>
            <w:r w:rsidRPr="00FD7C28">
              <w:rPr>
                <w:rFonts w:ascii="Arial Narrow" w:hAnsi="Arial Narrow" w:cs="Times New Roman"/>
                <w:b/>
                <w:snapToGrid/>
                <w:color w:val="000000"/>
                <w:sz w:val="20"/>
                <w:lang w:eastAsia="en-AU"/>
              </w:rPr>
              <w:t>-0.05 (-0.07, -0.03) </w:t>
            </w:r>
          </w:p>
        </w:tc>
      </w:tr>
    </w:tbl>
    <w:p w:rsidR="00E42025" w:rsidRPr="00EF6F2C" w:rsidRDefault="00E42025" w:rsidP="00A1254D">
      <w:pPr>
        <w:ind w:left="720"/>
        <w:rPr>
          <w:rFonts w:ascii="Arial Narrow" w:hAnsi="Arial Narrow"/>
          <w:sz w:val="18"/>
          <w:szCs w:val="18"/>
        </w:rPr>
      </w:pPr>
      <w:r w:rsidRPr="00EF6F2C">
        <w:rPr>
          <w:rFonts w:ascii="Arial Narrow" w:hAnsi="Arial Narrow"/>
          <w:sz w:val="18"/>
          <w:szCs w:val="18"/>
        </w:rPr>
        <w:t>Source: Table 46.2, pp542-548 of Study 104 CSR; Table 46.2, pp553-559 of Study 111 CSR; and Table 47.2, pp1,109-1,115 of Study 109 CSR</w:t>
      </w:r>
    </w:p>
    <w:p w:rsidR="00E42025" w:rsidRPr="00EF6F2C" w:rsidRDefault="00E42025" w:rsidP="00A1254D">
      <w:pPr>
        <w:ind w:left="720"/>
        <w:rPr>
          <w:rFonts w:ascii="Arial Narrow" w:hAnsi="Arial Narrow"/>
          <w:sz w:val="18"/>
          <w:szCs w:val="18"/>
        </w:rPr>
      </w:pPr>
      <w:r w:rsidRPr="00FD7C28">
        <w:rPr>
          <w:rFonts w:ascii="Arial Narrow" w:hAnsi="Arial Narrow"/>
          <w:sz w:val="18"/>
          <w:szCs w:val="18"/>
        </w:rPr>
        <w:t>c = cobicistat; CI = confidence interval; EVG = elvitegravir; FTC = emtricitabine; LSM = least squares mean; SD = standard deviation; TAF = tenofovir alafenamide; TDF = tenofovir disoproxil fumarate</w:t>
      </w:r>
      <w:r w:rsidRPr="00F43587">
        <w:rPr>
          <w:rFonts w:ascii="Arial Narrow" w:hAnsi="Arial Narrow"/>
          <w:sz w:val="18"/>
          <w:szCs w:val="18"/>
        </w:rPr>
        <w:t xml:space="preserve">; </w:t>
      </w:r>
      <w:r w:rsidRPr="00EF319D">
        <w:rPr>
          <w:rFonts w:ascii="Arial Narrow" w:hAnsi="Arial Narrow"/>
          <w:b/>
          <w:sz w:val="18"/>
          <w:szCs w:val="18"/>
        </w:rPr>
        <w:t>Bold</w:t>
      </w:r>
      <w:r w:rsidRPr="00EF6F2C">
        <w:rPr>
          <w:rFonts w:ascii="Arial Narrow" w:hAnsi="Arial Narrow"/>
          <w:sz w:val="18"/>
          <w:szCs w:val="18"/>
        </w:rPr>
        <w:t xml:space="preserve"> = significant result</w:t>
      </w:r>
    </w:p>
    <w:p w:rsidR="00E42025" w:rsidRPr="00673F01" w:rsidRDefault="00E42025" w:rsidP="00A1254D">
      <w:pPr>
        <w:ind w:firstLine="720"/>
        <w:rPr>
          <w:rFonts w:ascii="Arial Narrow" w:hAnsi="Arial Narrow"/>
          <w:sz w:val="18"/>
          <w:szCs w:val="18"/>
        </w:rPr>
      </w:pPr>
      <w:r w:rsidRPr="00754170">
        <w:rPr>
          <w:rFonts w:ascii="Arial Narrow" w:hAnsi="Arial Narrow"/>
          <w:sz w:val="18"/>
          <w:szCs w:val="18"/>
          <w:vertAlign w:val="superscript"/>
        </w:rPr>
        <w:t>a</w:t>
      </w:r>
      <w:r w:rsidRPr="0017235C">
        <w:rPr>
          <w:rFonts w:ascii="Arial Narrow" w:hAnsi="Arial Narrow"/>
          <w:sz w:val="18"/>
          <w:szCs w:val="18"/>
        </w:rPr>
        <w:t xml:space="preserve"> Third agents: cobicistat + elvitegravir (~32%), ritonavir-boosted atazanavir (~15%), or cobicistat-boosted atazanavir (~27%)</w:t>
      </w:r>
    </w:p>
    <w:p w:rsidR="00455B9F" w:rsidRPr="00673F01" w:rsidRDefault="00455B9F" w:rsidP="00455B9F">
      <w:pPr>
        <w:ind w:left="720"/>
      </w:pPr>
    </w:p>
    <w:p w:rsidR="00B8530F" w:rsidRPr="00FD7C28" w:rsidRDefault="00F10F9A" w:rsidP="00B8530F">
      <w:pPr>
        <w:pStyle w:val="ListParagraph"/>
        <w:widowControl/>
        <w:numPr>
          <w:ilvl w:val="1"/>
          <w:numId w:val="9"/>
        </w:numPr>
      </w:pPr>
      <w:r w:rsidRPr="00980EE7">
        <w:t xml:space="preserve">The submission stated that </w:t>
      </w:r>
      <w:r w:rsidR="00A1254D" w:rsidRPr="00980EE7">
        <w:t>EVG/c/FTC/tenofovir alafenamide was associated with a preferential renal safety profile compared wi</w:t>
      </w:r>
      <w:r w:rsidR="00A1254D" w:rsidRPr="00FD7C28">
        <w:t xml:space="preserve">th </w:t>
      </w:r>
      <w:r w:rsidR="00B8530F" w:rsidRPr="00FD7C28">
        <w:t>EVG/c/FTC/tenofovir DF and FTC/tenofovir DF plus third agent regimens</w:t>
      </w:r>
      <w:r w:rsidR="00170C63" w:rsidRPr="00FD7C28">
        <w:t xml:space="preserve"> and</w:t>
      </w:r>
      <w:r w:rsidR="00A1254D" w:rsidRPr="00FD7C28">
        <w:t xml:space="preserve"> demonstrated a significantly more favourable</w:t>
      </w:r>
      <w:r w:rsidR="00AB249D" w:rsidRPr="00FD7C28">
        <w:t xml:space="preserve"> outcome</w:t>
      </w:r>
      <w:r w:rsidR="00A1254D" w:rsidRPr="00FD7C28">
        <w:t xml:space="preserve"> in terms of change in serum creatinine. It should be noted that at Week 2 there was an initial difference in serum creatinine of approximately 0.03</w:t>
      </w:r>
      <w:r w:rsidR="007E09AE" w:rsidRPr="00FD7C28">
        <w:t> </w:t>
      </w:r>
      <w:r w:rsidR="00A1254D" w:rsidRPr="00FD7C28">
        <w:t xml:space="preserve">mg/dL, which was maintained throughout the 48 week observation period. A similar trend was observed for estimated glomerular filtration rate (data not presented). Further, patients were included in the three pivotal trials if they had an estimated glomerular filtration rate of 50 mL/minute or above. The Australian product information for EVG/c/FTC/tenofovir DF recommends that treatment should not be </w:t>
      </w:r>
      <w:r w:rsidR="00A1254D" w:rsidRPr="00FD7C28">
        <w:lastRenderedPageBreak/>
        <w:t xml:space="preserve">initiated in patients with an estimated glomerular filtration rate below 70 mL/minute. This might have resulted in poorer than expected renal outcomes for some patients in the EVG/c/FTC/tenofovir DF arms. </w:t>
      </w:r>
      <w:r w:rsidR="0021498F" w:rsidRPr="00EF6F2C">
        <w:t xml:space="preserve">The ESC agreed that there was significant uncertainty that any measured benefits in terms of renal function would result in clinically significant reduction in the risk </w:t>
      </w:r>
      <w:r w:rsidR="00113E60" w:rsidRPr="00EF6F2C">
        <w:t xml:space="preserve">in </w:t>
      </w:r>
      <w:r w:rsidR="0021498F" w:rsidRPr="00EF6F2C">
        <w:t>patient relevant outcomes like symptomatic renal failure.</w:t>
      </w:r>
    </w:p>
    <w:p w:rsidR="00EF6F2C" w:rsidRPr="00EF6F2C" w:rsidRDefault="00EF6F2C" w:rsidP="00A1254D">
      <w:pPr>
        <w:pStyle w:val="ListParagraph"/>
        <w:widowControl/>
      </w:pPr>
    </w:p>
    <w:p w:rsidR="00B8530F" w:rsidRPr="00EF6F2C" w:rsidRDefault="00B8530F" w:rsidP="00413948">
      <w:pPr>
        <w:pStyle w:val="Heading2"/>
      </w:pPr>
      <w:bookmarkStart w:id="11" w:name="_Toc430081391"/>
      <w:r w:rsidRPr="00EF6F2C">
        <w:t>Clinical claim</w:t>
      </w:r>
      <w:bookmarkEnd w:id="11"/>
    </w:p>
    <w:p w:rsidR="00B8530F" w:rsidRPr="00FD7C28" w:rsidRDefault="00B8530F" w:rsidP="00B8530F">
      <w:pPr>
        <w:pStyle w:val="ListParagraph"/>
        <w:widowControl/>
        <w:rPr>
          <w:lang w:val="en-US"/>
        </w:rPr>
      </w:pPr>
    </w:p>
    <w:p w:rsidR="00B8530F" w:rsidRPr="00FD7C28" w:rsidRDefault="001F1A36" w:rsidP="00B8530F">
      <w:pPr>
        <w:pStyle w:val="ListParagraph"/>
        <w:widowControl/>
        <w:numPr>
          <w:ilvl w:val="1"/>
          <w:numId w:val="9"/>
        </w:numPr>
        <w:rPr>
          <w:lang w:val="en-US"/>
        </w:rPr>
      </w:pPr>
      <w:r w:rsidRPr="00F43587">
        <w:t>The submission described</w:t>
      </w:r>
      <w:r w:rsidR="00B8530F" w:rsidRPr="00EF319D">
        <w:t xml:space="preserve"> EVG/c/FTC/tenofovir alafenamide</w:t>
      </w:r>
      <w:r w:rsidR="00B8530F" w:rsidRPr="00EF6F2C">
        <w:t xml:space="preserve"> as non-inferior in terms of comparative effectiveness and favourable in terms of comparative safety over </w:t>
      </w:r>
      <w:r w:rsidR="00B8530F" w:rsidRPr="00754170">
        <w:t>EVG/c/FTC/tenofovir DF in treatment</w:t>
      </w:r>
      <w:r w:rsidR="006B59C5" w:rsidRPr="0017235C">
        <w:t>-</w:t>
      </w:r>
      <w:r w:rsidR="00B8530F" w:rsidRPr="00673F01">
        <w:t xml:space="preserve">naïve patients and non-inferior in terms of comparative effectiveness and </w:t>
      </w:r>
      <w:r w:rsidR="00B8530F" w:rsidRPr="00980EE7">
        <w:t xml:space="preserve">safety over </w:t>
      </w:r>
      <w:r w:rsidR="00B8530F" w:rsidRPr="00C109D6">
        <w:t>FTC/tenofovir DF plus third agent</w:t>
      </w:r>
      <w:r w:rsidR="001E32EA" w:rsidRPr="005A7A62">
        <w:t xml:space="preserve"> regimens</w:t>
      </w:r>
      <w:r w:rsidR="00B8530F" w:rsidRPr="00FD7C28">
        <w:t xml:space="preserve"> in treatment</w:t>
      </w:r>
      <w:r w:rsidR="006B59C5" w:rsidRPr="00FD7C28">
        <w:t>-</w:t>
      </w:r>
      <w:r w:rsidR="00B8530F" w:rsidRPr="00FD7C28">
        <w:t xml:space="preserve">experienced patients.  </w:t>
      </w:r>
    </w:p>
    <w:p w:rsidR="0067171A" w:rsidRPr="00FD7C28" w:rsidRDefault="0067171A" w:rsidP="0067171A">
      <w:pPr>
        <w:pStyle w:val="ListParagraph"/>
        <w:widowControl/>
        <w:rPr>
          <w:lang w:val="en-US"/>
        </w:rPr>
      </w:pPr>
    </w:p>
    <w:p w:rsidR="00B8530F" w:rsidRPr="00FD7C28" w:rsidRDefault="00B8530F" w:rsidP="0067171A">
      <w:pPr>
        <w:pStyle w:val="ListParagraph"/>
        <w:widowControl/>
        <w:numPr>
          <w:ilvl w:val="1"/>
          <w:numId w:val="9"/>
        </w:numPr>
        <w:rPr>
          <w:lang w:val="en-US"/>
        </w:rPr>
      </w:pPr>
      <w:r w:rsidRPr="00FD7C28">
        <w:t>Th</w:t>
      </w:r>
      <w:r w:rsidR="001F1A36" w:rsidRPr="00FD7C28">
        <w:t>e</w:t>
      </w:r>
      <w:r w:rsidRPr="00FD7C28">
        <w:t xml:space="preserve"> claim</w:t>
      </w:r>
      <w:r w:rsidR="001F1A36" w:rsidRPr="00FD7C28">
        <w:t>s</w:t>
      </w:r>
      <w:r w:rsidRPr="00FD7C28">
        <w:t xml:space="preserve"> of non-inferiority in terms of comparative effectiveness in treatment</w:t>
      </w:r>
      <w:r w:rsidR="006B59C5" w:rsidRPr="00FD7C28">
        <w:t>-</w:t>
      </w:r>
      <w:r w:rsidRPr="00FD7C28">
        <w:t>naïve and treatment</w:t>
      </w:r>
      <w:r w:rsidR="006B59C5" w:rsidRPr="00FD7C28">
        <w:t>-</w:t>
      </w:r>
      <w:r w:rsidRPr="00FD7C28">
        <w:t>experienced patients were adequately supported.</w:t>
      </w:r>
    </w:p>
    <w:p w:rsidR="0067171A" w:rsidRPr="00FD7C28" w:rsidRDefault="0067171A" w:rsidP="0067171A">
      <w:pPr>
        <w:pStyle w:val="ListParagraph"/>
        <w:rPr>
          <w:lang w:val="en-US"/>
        </w:rPr>
      </w:pPr>
    </w:p>
    <w:p w:rsidR="00AB249D" w:rsidRPr="00FD7C28" w:rsidRDefault="00B8530F" w:rsidP="00AB249D">
      <w:pPr>
        <w:pStyle w:val="ListParagraph"/>
        <w:widowControl/>
        <w:numPr>
          <w:ilvl w:val="1"/>
          <w:numId w:val="9"/>
        </w:numPr>
        <w:rPr>
          <w:lang w:val="en-US"/>
        </w:rPr>
      </w:pPr>
      <w:r w:rsidRPr="00FD7C28">
        <w:t>The claim that EVG/c/FTC/tenofovir alafenamide ha</w:t>
      </w:r>
      <w:r w:rsidR="001F1A36" w:rsidRPr="00FD7C28">
        <w:t>d</w:t>
      </w:r>
      <w:r w:rsidRPr="00FD7C28">
        <w:t xml:space="preserve"> a favourable safety profile compared </w:t>
      </w:r>
      <w:r w:rsidR="00141F9B" w:rsidRPr="00FD7C28">
        <w:t xml:space="preserve">with </w:t>
      </w:r>
      <w:r w:rsidRPr="00FD7C28">
        <w:t>EVG/c/FTC/tenofovir DF in treatment</w:t>
      </w:r>
      <w:r w:rsidR="006B59C5" w:rsidRPr="00FD7C28">
        <w:t>-</w:t>
      </w:r>
      <w:r w:rsidRPr="00FD7C28">
        <w:t>naïve patients might be supported</w:t>
      </w:r>
      <w:r w:rsidR="00AB249D" w:rsidRPr="00FD7C28">
        <w:t xml:space="preserve"> with respect to intermediate outcome measures relating to bone mineral density and renal function. H</w:t>
      </w:r>
      <w:r w:rsidRPr="00FD7C28">
        <w:t>owever</w:t>
      </w:r>
      <w:r w:rsidR="001F1A36" w:rsidRPr="00FD7C28">
        <w:t>,</w:t>
      </w:r>
      <w:r w:rsidRPr="00FD7C28">
        <w:t xml:space="preserve"> </w:t>
      </w:r>
      <w:r w:rsidR="00AB249D" w:rsidRPr="00FD7C28">
        <w:t>it may have been more appropriate for the submission to have claimed non-inferiority in terms of comparative safety as:</w:t>
      </w:r>
    </w:p>
    <w:p w:rsidR="008234A0" w:rsidRPr="00FD7C28" w:rsidRDefault="008234A0" w:rsidP="008234A0">
      <w:pPr>
        <w:numPr>
          <w:ilvl w:val="0"/>
          <w:numId w:val="3"/>
        </w:numPr>
        <w:ind w:left="1077" w:hanging="357"/>
      </w:pPr>
      <w:r w:rsidRPr="00FD7C28">
        <w:t xml:space="preserve">there were no significant differences </w:t>
      </w:r>
      <w:r w:rsidR="00E64083" w:rsidRPr="00FD7C28">
        <w:t xml:space="preserve">in </w:t>
      </w:r>
      <w:r w:rsidRPr="00FD7C28">
        <w:t>the rates of treatment-emergent adverse events or serious adverse events;</w:t>
      </w:r>
    </w:p>
    <w:p w:rsidR="008234A0" w:rsidRPr="00FD7C28" w:rsidRDefault="008234A0" w:rsidP="008234A0">
      <w:pPr>
        <w:numPr>
          <w:ilvl w:val="0"/>
          <w:numId w:val="3"/>
        </w:numPr>
        <w:ind w:left="1077" w:hanging="357"/>
      </w:pPr>
      <w:r w:rsidRPr="00FD7C28">
        <w:t>the benefits of EVG/c/FTC/tenofovir alafenamide in terms of bone mineral density were small and might not be clinically relevant. Further, follow-up was limited to 48 weeks, which might not reflect the long</w:t>
      </w:r>
      <w:r w:rsidR="00E64083" w:rsidRPr="00FD7C28">
        <w:t>-</w:t>
      </w:r>
      <w:r w:rsidRPr="00FD7C28">
        <w:t>term risk of fractures;</w:t>
      </w:r>
    </w:p>
    <w:p w:rsidR="008234A0" w:rsidRPr="00FD7C28" w:rsidRDefault="008234A0" w:rsidP="008234A0">
      <w:pPr>
        <w:numPr>
          <w:ilvl w:val="0"/>
          <w:numId w:val="3"/>
        </w:numPr>
        <w:ind w:left="1077" w:hanging="357"/>
      </w:pPr>
      <w:r w:rsidRPr="00FD7C28">
        <w:t>patients were included in Studies 104 and 111 if they had an estimated glomerular filtration rate of 50 mL/minute or above. The Australian product information for EVG/c/FTC/tenofovir DF recommends that treatment should not be initiated in patients with an estimated glomerular filtration rate below 70 mL/minute. This might have resulted in poorer than expected renal outcomes for some patients in the EVG/c/FTC/tenofovir DF arms; and</w:t>
      </w:r>
    </w:p>
    <w:p w:rsidR="008234A0" w:rsidRPr="00FD7C28" w:rsidRDefault="008234A0" w:rsidP="008234A0">
      <w:pPr>
        <w:numPr>
          <w:ilvl w:val="0"/>
          <w:numId w:val="3"/>
        </w:numPr>
        <w:ind w:left="1077" w:hanging="357"/>
      </w:pPr>
      <w:r w:rsidRPr="00FD7C28">
        <w:t>the differences in renal safety were based on the surrogate outcomes of serum creatinine, estimated glomerular filtration rates and proteinuria. Although statistically significant, it was unclear whether the results were clinically relevant. From the key trials it was unclear whether the differences between EVG/c/FTC/tenofovir alafenamide and EVG/c/FTC/tenofovir DF seen at Week 48 would be maintained and would result in lower long</w:t>
      </w:r>
      <w:r w:rsidR="00141F9B" w:rsidRPr="00FD7C28">
        <w:t>-</w:t>
      </w:r>
      <w:r w:rsidRPr="00FD7C28">
        <w:t>term renal event rates.</w:t>
      </w:r>
    </w:p>
    <w:p w:rsidR="00B8530F" w:rsidRPr="00FD7C28" w:rsidRDefault="00B8530F" w:rsidP="00B8530F"/>
    <w:p w:rsidR="00B60939" w:rsidRPr="00FD7C28" w:rsidRDefault="00B8530F" w:rsidP="00607E10">
      <w:pPr>
        <w:pStyle w:val="ListParagraph"/>
        <w:widowControl/>
        <w:numPr>
          <w:ilvl w:val="1"/>
          <w:numId w:val="9"/>
        </w:numPr>
        <w:rPr>
          <w:szCs w:val="22"/>
        </w:rPr>
      </w:pPr>
      <w:r w:rsidRPr="00FD7C28">
        <w:t>The claim of non-inferiority of EVG/c/FTC/tenofovir alafenamide in terms of</w:t>
      </w:r>
      <w:r w:rsidRPr="00FD7C28">
        <w:rPr>
          <w:szCs w:val="22"/>
        </w:rPr>
        <w:t xml:space="preserve"> comparative safety to FTC/tenofovir DF plus third agent in treatment</w:t>
      </w:r>
      <w:r w:rsidR="006B59C5" w:rsidRPr="00FD7C28">
        <w:rPr>
          <w:szCs w:val="22"/>
        </w:rPr>
        <w:t>-</w:t>
      </w:r>
      <w:r w:rsidRPr="00FD7C28">
        <w:rPr>
          <w:szCs w:val="22"/>
        </w:rPr>
        <w:t>experienced patients was adequately supported.</w:t>
      </w:r>
    </w:p>
    <w:p w:rsidR="00B60939" w:rsidRDefault="00B60939" w:rsidP="00B60939">
      <w:pPr>
        <w:ind w:left="720" w:hanging="720"/>
        <w:rPr>
          <w:szCs w:val="22"/>
        </w:rPr>
      </w:pPr>
    </w:p>
    <w:p w:rsidR="00673F01" w:rsidRDefault="00673F01" w:rsidP="00673F01">
      <w:pPr>
        <w:pStyle w:val="ListParagraph"/>
        <w:widowControl/>
        <w:numPr>
          <w:ilvl w:val="1"/>
          <w:numId w:val="9"/>
        </w:numPr>
        <w:rPr>
          <w:szCs w:val="22"/>
        </w:rPr>
      </w:pPr>
      <w:r>
        <w:rPr>
          <w:szCs w:val="22"/>
        </w:rPr>
        <w:t>The PBAC considered that the claim of non-inferior comparative effectiveness was reasonable.</w:t>
      </w:r>
      <w:r w:rsidR="009A4E8D">
        <w:rPr>
          <w:szCs w:val="22"/>
        </w:rPr>
        <w:t xml:space="preserve">  In terms of comparative safety, the PBAC agreed with</w:t>
      </w:r>
      <w:r w:rsidR="00F25464">
        <w:rPr>
          <w:szCs w:val="22"/>
        </w:rPr>
        <w:t xml:space="preserve"> the</w:t>
      </w:r>
      <w:r w:rsidR="009A4E8D">
        <w:rPr>
          <w:szCs w:val="22"/>
        </w:rPr>
        <w:t xml:space="preserve"> ESC </w:t>
      </w:r>
      <w:r w:rsidR="00067A39">
        <w:rPr>
          <w:szCs w:val="22"/>
        </w:rPr>
        <w:t xml:space="preserve">as stated in paragraph 6.14 above and </w:t>
      </w:r>
      <w:r w:rsidR="009A4E8D">
        <w:rPr>
          <w:szCs w:val="22"/>
        </w:rPr>
        <w:t>that it was reasonable to accept non-inferior comparative safety against Stribild</w:t>
      </w:r>
      <w:r w:rsidR="00941AC5" w:rsidRPr="00FD7C28">
        <w:rPr>
          <w:vertAlign w:val="superscript"/>
        </w:rPr>
        <w:t>®</w:t>
      </w:r>
      <w:r w:rsidR="009A4E8D">
        <w:rPr>
          <w:szCs w:val="22"/>
        </w:rPr>
        <w:t xml:space="preserve">.  </w:t>
      </w:r>
      <w:r w:rsidR="00301B8C">
        <w:rPr>
          <w:szCs w:val="22"/>
        </w:rPr>
        <w:t xml:space="preserve">    </w:t>
      </w:r>
      <w:r w:rsidR="00845017">
        <w:rPr>
          <w:szCs w:val="22"/>
        </w:rPr>
        <w:t xml:space="preserve"> </w:t>
      </w:r>
      <w:r w:rsidR="00301B8C">
        <w:rPr>
          <w:szCs w:val="22"/>
        </w:rPr>
        <w:t xml:space="preserve"> </w:t>
      </w:r>
    </w:p>
    <w:p w:rsidR="00673F01" w:rsidRPr="00673F01" w:rsidRDefault="00673F01" w:rsidP="00753877">
      <w:pPr>
        <w:rPr>
          <w:szCs w:val="22"/>
        </w:rPr>
      </w:pPr>
    </w:p>
    <w:p w:rsidR="00B60939" w:rsidRPr="00321B24" w:rsidRDefault="00B60939" w:rsidP="00413948">
      <w:pPr>
        <w:pStyle w:val="Heading2"/>
      </w:pPr>
      <w:bookmarkStart w:id="12" w:name="_Toc430081392"/>
      <w:r w:rsidRPr="00EF6F2C">
        <w:lastRenderedPageBreak/>
        <w:t>Economic analysis</w:t>
      </w:r>
      <w:bookmarkEnd w:id="12"/>
      <w:r w:rsidR="00491B3A" w:rsidRPr="00EF6F2C">
        <w:t xml:space="preserve"> </w:t>
      </w:r>
    </w:p>
    <w:p w:rsidR="00B60939" w:rsidRPr="00FD7C28" w:rsidRDefault="00B60939" w:rsidP="00B60939">
      <w:pPr>
        <w:ind w:left="720" w:hanging="720"/>
        <w:rPr>
          <w:szCs w:val="22"/>
        </w:rPr>
      </w:pPr>
    </w:p>
    <w:p w:rsidR="00A86E8B" w:rsidRPr="00EF319D" w:rsidRDefault="001F1A36" w:rsidP="00A86E8B">
      <w:pPr>
        <w:pStyle w:val="ListParagraph"/>
        <w:widowControl/>
        <w:numPr>
          <w:ilvl w:val="1"/>
          <w:numId w:val="9"/>
        </w:numPr>
        <w:rPr>
          <w:szCs w:val="22"/>
        </w:rPr>
      </w:pPr>
      <w:r w:rsidRPr="00F43587">
        <w:t xml:space="preserve">The submission presented a cost-minimisation analysis. </w:t>
      </w:r>
    </w:p>
    <w:p w:rsidR="001F1A36" w:rsidRPr="00EF6F2C" w:rsidRDefault="001F1A36" w:rsidP="001F1A36">
      <w:pPr>
        <w:pStyle w:val="ListParagraph"/>
        <w:widowControl/>
        <w:rPr>
          <w:szCs w:val="22"/>
        </w:rPr>
      </w:pPr>
    </w:p>
    <w:p w:rsidR="001F1A36" w:rsidRPr="00EF6F2C" w:rsidRDefault="00A86E8B" w:rsidP="00CE2379">
      <w:pPr>
        <w:pStyle w:val="ListParagraph"/>
        <w:widowControl/>
        <w:numPr>
          <w:ilvl w:val="1"/>
          <w:numId w:val="9"/>
        </w:numPr>
        <w:rPr>
          <w:szCs w:val="22"/>
        </w:rPr>
      </w:pPr>
      <w:r w:rsidRPr="00EF6F2C">
        <w:t xml:space="preserve">The equi-effective doses </w:t>
      </w:r>
      <w:r w:rsidR="001F1A36" w:rsidRPr="00EF6F2C">
        <w:t xml:space="preserve">were </w:t>
      </w:r>
      <w:r w:rsidRPr="00EF6F2C">
        <w:t>estimated as</w:t>
      </w:r>
      <w:r w:rsidR="001F1A36" w:rsidRPr="00EF6F2C">
        <w:t>:</w:t>
      </w:r>
    </w:p>
    <w:p w:rsidR="001F1A36" w:rsidRPr="0017235C" w:rsidRDefault="003710F5" w:rsidP="002370AE">
      <w:pPr>
        <w:pStyle w:val="ListParagraph"/>
        <w:numPr>
          <w:ilvl w:val="0"/>
          <w:numId w:val="40"/>
        </w:numPr>
      </w:pPr>
      <w:bookmarkStart w:id="13" w:name="_Toc428522698"/>
      <w:bookmarkStart w:id="14" w:name="_Toc428882584"/>
      <w:r w:rsidRPr="00754170">
        <w:t>e</w:t>
      </w:r>
      <w:r w:rsidR="001F1A36" w:rsidRPr="0017235C">
        <w:t>lvitegravir 150 mg/cobicistat 150 mg/emtricitabine 200 mg/tenofovir alafenamide 10 mg (EVG/c/FTC/tenofovir alafenamide) in a FDC product, once daily; and</w:t>
      </w:r>
      <w:bookmarkEnd w:id="13"/>
      <w:bookmarkEnd w:id="14"/>
    </w:p>
    <w:p w:rsidR="001F1A36" w:rsidRPr="00980EE7" w:rsidRDefault="003710F5" w:rsidP="002370AE">
      <w:pPr>
        <w:pStyle w:val="ListParagraph"/>
        <w:numPr>
          <w:ilvl w:val="0"/>
          <w:numId w:val="40"/>
        </w:numPr>
      </w:pPr>
      <w:bookmarkStart w:id="15" w:name="_Toc428522699"/>
      <w:bookmarkStart w:id="16" w:name="_Toc428882585"/>
      <w:r w:rsidRPr="00673F01">
        <w:t>e</w:t>
      </w:r>
      <w:r w:rsidR="001F1A36" w:rsidRPr="00673F01">
        <w:t>lvitegravir 150 mg/cobicistat 150 mg/emtricitabine 200 mg/tenofovir disoproxil fumarate 30</w:t>
      </w:r>
      <w:r w:rsidR="001F1A36" w:rsidRPr="00980EE7">
        <w:t>0 mg (EVG/c/FTC/tenofovir DF) in a FDC product, once daily.</w:t>
      </w:r>
      <w:bookmarkEnd w:id="15"/>
      <w:bookmarkEnd w:id="16"/>
    </w:p>
    <w:p w:rsidR="00A86E8B" w:rsidRPr="00980EE7" w:rsidRDefault="00A86E8B" w:rsidP="00A86E8B">
      <w:pPr>
        <w:widowControl/>
        <w:rPr>
          <w:szCs w:val="22"/>
        </w:rPr>
      </w:pPr>
    </w:p>
    <w:p w:rsidR="00C25D9C" w:rsidRPr="00FD7C28" w:rsidRDefault="00997DC1" w:rsidP="00C25D9C">
      <w:pPr>
        <w:pStyle w:val="ListParagraph"/>
        <w:widowControl/>
        <w:numPr>
          <w:ilvl w:val="1"/>
          <w:numId w:val="9"/>
        </w:numPr>
        <w:rPr>
          <w:szCs w:val="22"/>
        </w:rPr>
      </w:pPr>
      <w:r w:rsidRPr="00FD7C28">
        <w:t xml:space="preserve">The cost-minimisation analysis only included the cost of drug acquisition. The submission considered there would be no additional cost consequences of listing EVG/c/FTC/tenofovir alafenamide. This was reasonable. </w:t>
      </w:r>
    </w:p>
    <w:p w:rsidR="00997DC1" w:rsidRPr="00FD7C28" w:rsidRDefault="00997DC1" w:rsidP="00997DC1">
      <w:pPr>
        <w:pStyle w:val="ListParagraph"/>
        <w:widowControl/>
      </w:pPr>
    </w:p>
    <w:p w:rsidR="00997DC1" w:rsidRPr="00FD7C28" w:rsidRDefault="00777EDE" w:rsidP="00CB0A4F">
      <w:pPr>
        <w:keepNext/>
        <w:ind w:firstLine="720"/>
        <w:rPr>
          <w:rStyle w:val="CommentReference"/>
        </w:rPr>
      </w:pPr>
      <w:r w:rsidRPr="00FD7C28">
        <w:rPr>
          <w:rStyle w:val="CommentReference"/>
        </w:rPr>
        <w:t>Table 6</w:t>
      </w:r>
      <w:r w:rsidR="00997DC1" w:rsidRPr="00FD7C28">
        <w:rPr>
          <w:rStyle w:val="CommentReference"/>
        </w:rPr>
        <w:t>: Cost-minimisation analysis for EVG/c/FTC/tenofovir alafenamide FDC</w:t>
      </w:r>
    </w:p>
    <w:tbl>
      <w:tblPr>
        <w:tblStyle w:val="TableGrid"/>
        <w:tblW w:w="8363" w:type="dxa"/>
        <w:tblInd w:w="737" w:type="dxa"/>
        <w:tblLayout w:type="fixed"/>
        <w:tblCellMar>
          <w:left w:w="28" w:type="dxa"/>
          <w:right w:w="28" w:type="dxa"/>
        </w:tblCellMar>
        <w:tblLook w:val="04A0" w:firstRow="1" w:lastRow="0" w:firstColumn="1" w:lastColumn="0" w:noHBand="0" w:noVBand="1"/>
        <w:tblCaption w:val="Cost minimisation analysis"/>
      </w:tblPr>
      <w:tblGrid>
        <w:gridCol w:w="425"/>
        <w:gridCol w:w="5387"/>
        <w:gridCol w:w="1417"/>
        <w:gridCol w:w="1134"/>
      </w:tblGrid>
      <w:tr w:rsidR="00997DC1" w:rsidRPr="00FD7C28" w:rsidTr="00CB0A4F">
        <w:trPr>
          <w:cantSplit/>
          <w:tblHeader/>
        </w:trPr>
        <w:tc>
          <w:tcPr>
            <w:tcW w:w="5812" w:type="dxa"/>
            <w:gridSpan w:val="2"/>
          </w:tcPr>
          <w:p w:rsidR="00997DC1" w:rsidRPr="00980EE7" w:rsidRDefault="00997DC1" w:rsidP="00CB0A4F">
            <w:pPr>
              <w:keepNext/>
              <w:keepLines/>
              <w:ind w:left="-70"/>
              <w:jc w:val="left"/>
              <w:rPr>
                <w:rFonts w:ascii="Arial Narrow" w:hAnsi="Arial Narrow"/>
                <w:b/>
                <w:sz w:val="20"/>
              </w:rPr>
            </w:pPr>
            <w:r w:rsidRPr="00BF0C1C">
              <w:rPr>
                <w:rFonts w:ascii="Arial Narrow" w:hAnsi="Arial Narrow"/>
                <w:b/>
                <w:sz w:val="20"/>
              </w:rPr>
              <w:t>I</w:t>
            </w:r>
          </w:p>
        </w:tc>
        <w:tc>
          <w:tcPr>
            <w:tcW w:w="1417" w:type="dxa"/>
          </w:tcPr>
          <w:p w:rsidR="00997DC1" w:rsidRPr="00980EE7" w:rsidRDefault="00997DC1" w:rsidP="00CB0A4F">
            <w:pPr>
              <w:keepNext/>
              <w:keepLines/>
              <w:ind w:left="-70"/>
              <w:jc w:val="center"/>
              <w:rPr>
                <w:rFonts w:ascii="Arial Narrow" w:hAnsi="Arial Narrow"/>
                <w:b/>
                <w:sz w:val="20"/>
              </w:rPr>
            </w:pPr>
            <w:r w:rsidRPr="00980EE7">
              <w:rPr>
                <w:rFonts w:ascii="Arial Narrow" w:hAnsi="Arial Narrow"/>
                <w:b/>
                <w:sz w:val="20"/>
              </w:rPr>
              <w:t>Method</w:t>
            </w:r>
          </w:p>
        </w:tc>
        <w:tc>
          <w:tcPr>
            <w:tcW w:w="1134" w:type="dxa"/>
            <w:vAlign w:val="center"/>
          </w:tcPr>
          <w:p w:rsidR="00997DC1" w:rsidRPr="00FD7C28" w:rsidRDefault="00997DC1" w:rsidP="00CB0A4F">
            <w:pPr>
              <w:keepNext/>
              <w:keepLines/>
              <w:ind w:left="-70"/>
              <w:jc w:val="center"/>
              <w:rPr>
                <w:rFonts w:ascii="Arial Narrow" w:hAnsi="Arial Narrow"/>
                <w:b/>
                <w:sz w:val="20"/>
              </w:rPr>
            </w:pPr>
          </w:p>
        </w:tc>
      </w:tr>
      <w:tr w:rsidR="00997DC1" w:rsidRPr="00FD7C28" w:rsidTr="00CB0A4F">
        <w:trPr>
          <w:cantSplit/>
        </w:trPr>
        <w:tc>
          <w:tcPr>
            <w:tcW w:w="8363" w:type="dxa"/>
            <w:gridSpan w:val="4"/>
          </w:tcPr>
          <w:p w:rsidR="00997DC1" w:rsidRPr="00FD7C28" w:rsidRDefault="00997DC1" w:rsidP="00CB0A4F">
            <w:pPr>
              <w:pStyle w:val="TableText0"/>
              <w:keepLines/>
              <w:spacing w:before="0" w:after="0"/>
              <w:rPr>
                <w:rFonts w:cs="Arial"/>
                <w:b/>
              </w:rPr>
            </w:pPr>
            <w:r w:rsidRPr="00FD7C28">
              <w:rPr>
                <w:rFonts w:cs="Arial"/>
                <w:b/>
              </w:rPr>
              <w:t>EVG/c/FTC/tenofovir DF FDC</w:t>
            </w:r>
          </w:p>
        </w:tc>
      </w:tr>
      <w:tr w:rsidR="00BB47DF" w:rsidRPr="00FD7C28" w:rsidTr="00D97156">
        <w:trPr>
          <w:cantSplit/>
        </w:trPr>
        <w:tc>
          <w:tcPr>
            <w:tcW w:w="425" w:type="dxa"/>
          </w:tcPr>
          <w:p w:rsidR="00997DC1" w:rsidRPr="00FD7C28" w:rsidRDefault="00997DC1" w:rsidP="00CB0A4F">
            <w:pPr>
              <w:pStyle w:val="TableText0"/>
              <w:keepLines/>
              <w:spacing w:before="0" w:after="0"/>
              <w:jc w:val="center"/>
              <w:rPr>
                <w:rFonts w:cs="Arial"/>
              </w:rPr>
            </w:pPr>
            <w:r w:rsidRPr="00FD7C28">
              <w:rPr>
                <w:rFonts w:cs="Arial"/>
              </w:rPr>
              <w:t>-</w:t>
            </w:r>
          </w:p>
        </w:tc>
        <w:tc>
          <w:tcPr>
            <w:tcW w:w="5387" w:type="dxa"/>
          </w:tcPr>
          <w:p w:rsidR="00997DC1" w:rsidRPr="00FD7C28" w:rsidRDefault="00997DC1" w:rsidP="00CB0A4F">
            <w:pPr>
              <w:pStyle w:val="TableText0"/>
              <w:keepLines/>
              <w:spacing w:before="0" w:after="0"/>
              <w:rPr>
                <w:rFonts w:cs="Arial"/>
              </w:rPr>
            </w:pPr>
            <w:r w:rsidRPr="00FD7C28">
              <w:rPr>
                <w:rFonts w:cs="Arial"/>
              </w:rPr>
              <w:t>PBS item code</w:t>
            </w:r>
          </w:p>
        </w:tc>
        <w:tc>
          <w:tcPr>
            <w:tcW w:w="1417" w:type="dxa"/>
          </w:tcPr>
          <w:p w:rsidR="00997DC1" w:rsidRPr="00FD7C28" w:rsidRDefault="00997DC1" w:rsidP="00CB0A4F">
            <w:pPr>
              <w:pStyle w:val="TableText0"/>
              <w:keepLines/>
              <w:spacing w:before="0" w:after="0"/>
              <w:jc w:val="center"/>
              <w:rPr>
                <w:rFonts w:cs="Arial"/>
              </w:rPr>
            </w:pPr>
            <w:r w:rsidRPr="00FD7C28">
              <w:rPr>
                <w:rFonts w:ascii="Times New Roman" w:hAnsi="Times New Roman" w:cs="Times New Roman"/>
              </w:rPr>
              <w:t>─</w:t>
            </w:r>
          </w:p>
        </w:tc>
        <w:tc>
          <w:tcPr>
            <w:tcW w:w="1134" w:type="dxa"/>
            <w:vAlign w:val="center"/>
          </w:tcPr>
          <w:p w:rsidR="00997DC1" w:rsidRPr="00FD7C28" w:rsidRDefault="00997DC1" w:rsidP="00CB0A4F">
            <w:pPr>
              <w:pStyle w:val="TableText0"/>
              <w:keepLines/>
              <w:spacing w:before="0" w:after="0"/>
              <w:jc w:val="right"/>
              <w:rPr>
                <w:rFonts w:cs="Arial"/>
              </w:rPr>
            </w:pPr>
            <w:r w:rsidRPr="00FD7C28">
              <w:rPr>
                <w:rFonts w:cs="Arial"/>
              </w:rPr>
              <w:t>10307L</w:t>
            </w:r>
          </w:p>
        </w:tc>
      </w:tr>
      <w:tr w:rsidR="00BB47DF" w:rsidRPr="00FD7C28" w:rsidTr="00D97156">
        <w:trPr>
          <w:cantSplit/>
        </w:trPr>
        <w:tc>
          <w:tcPr>
            <w:tcW w:w="425" w:type="dxa"/>
          </w:tcPr>
          <w:p w:rsidR="00997DC1" w:rsidRPr="00FD7C28" w:rsidRDefault="00997DC1" w:rsidP="00CB0A4F">
            <w:pPr>
              <w:pStyle w:val="TableText0"/>
              <w:keepLines/>
              <w:spacing w:before="0" w:after="0"/>
              <w:jc w:val="center"/>
              <w:rPr>
                <w:rFonts w:cs="Arial"/>
              </w:rPr>
            </w:pPr>
            <w:r w:rsidRPr="00FD7C28">
              <w:rPr>
                <w:rFonts w:cs="Arial"/>
              </w:rPr>
              <w:t>A</w:t>
            </w:r>
          </w:p>
        </w:tc>
        <w:tc>
          <w:tcPr>
            <w:tcW w:w="5387" w:type="dxa"/>
          </w:tcPr>
          <w:p w:rsidR="00997DC1" w:rsidRPr="00FD7C28" w:rsidRDefault="00997DC1" w:rsidP="00CB0A4F">
            <w:pPr>
              <w:pStyle w:val="TableText0"/>
              <w:keepLines/>
              <w:spacing w:before="0" w:after="0"/>
              <w:rPr>
                <w:rFonts w:cs="Arial"/>
              </w:rPr>
            </w:pPr>
            <w:r w:rsidRPr="00FD7C28">
              <w:rPr>
                <w:rFonts w:cs="Arial"/>
              </w:rPr>
              <w:t>AEMP (30 tablets/1 pack)</w:t>
            </w:r>
          </w:p>
        </w:tc>
        <w:tc>
          <w:tcPr>
            <w:tcW w:w="1417" w:type="dxa"/>
            <w:vAlign w:val="center"/>
          </w:tcPr>
          <w:p w:rsidR="00997DC1" w:rsidRPr="00FD7C28" w:rsidRDefault="00997DC1" w:rsidP="00CB0A4F">
            <w:pPr>
              <w:pStyle w:val="TableText0"/>
              <w:keepLines/>
              <w:spacing w:before="0" w:after="0"/>
              <w:jc w:val="center"/>
              <w:rPr>
                <w:rFonts w:cs="Arial"/>
              </w:rPr>
            </w:pPr>
            <w:r w:rsidRPr="00FD7C28">
              <w:rPr>
                <w:rFonts w:cs="Arial"/>
              </w:rPr>
              <w:t>Submission</w:t>
            </w:r>
          </w:p>
        </w:tc>
        <w:tc>
          <w:tcPr>
            <w:tcW w:w="1134" w:type="dxa"/>
            <w:vAlign w:val="center"/>
          </w:tcPr>
          <w:p w:rsidR="00997DC1" w:rsidRPr="00FD7C28" w:rsidRDefault="00997DC1" w:rsidP="00CB0A4F">
            <w:pPr>
              <w:pStyle w:val="TableText0"/>
              <w:keepLines/>
              <w:spacing w:before="0" w:after="0"/>
              <w:jc w:val="right"/>
              <w:rPr>
                <w:rFonts w:cs="Arial"/>
              </w:rPr>
            </w:pPr>
            <w:r w:rsidRPr="00FD7C28">
              <w:rPr>
                <w:rFonts w:cs="Arial"/>
              </w:rPr>
              <w:t>$</w:t>
            </w:r>
            <w:r w:rsidRPr="003C2784">
              <w:rPr>
                <w:rFonts w:cs="Arial"/>
              </w:rPr>
              <w:t>1,036.68</w:t>
            </w:r>
          </w:p>
        </w:tc>
      </w:tr>
      <w:tr w:rsidR="00997DC1" w:rsidRPr="00FD7C28" w:rsidTr="00CB0A4F">
        <w:trPr>
          <w:cantSplit/>
        </w:trPr>
        <w:tc>
          <w:tcPr>
            <w:tcW w:w="8363" w:type="dxa"/>
            <w:gridSpan w:val="4"/>
          </w:tcPr>
          <w:p w:rsidR="00997DC1" w:rsidRPr="00FD7C28" w:rsidRDefault="00997DC1" w:rsidP="00381309">
            <w:pPr>
              <w:pStyle w:val="TableText0"/>
              <w:keepLines/>
              <w:spacing w:before="0" w:after="0"/>
              <w:rPr>
                <w:rFonts w:cs="Arial"/>
                <w:b/>
              </w:rPr>
            </w:pPr>
            <w:r w:rsidRPr="00FD7C28">
              <w:rPr>
                <w:rFonts w:cs="Arial"/>
                <w:b/>
              </w:rPr>
              <w:t>EVG/c/FTC/tenofovir alafenamide FDC</w:t>
            </w:r>
          </w:p>
        </w:tc>
      </w:tr>
      <w:tr w:rsidR="00BB47DF" w:rsidRPr="00FD7C28" w:rsidTr="00D97156">
        <w:trPr>
          <w:cantSplit/>
        </w:trPr>
        <w:tc>
          <w:tcPr>
            <w:tcW w:w="425" w:type="dxa"/>
          </w:tcPr>
          <w:p w:rsidR="00997DC1" w:rsidRPr="00FD7C28" w:rsidRDefault="00997DC1" w:rsidP="00381309">
            <w:pPr>
              <w:pStyle w:val="TableText0"/>
              <w:keepLines/>
              <w:spacing w:before="0" w:after="0"/>
              <w:jc w:val="center"/>
              <w:rPr>
                <w:rFonts w:cs="Arial"/>
              </w:rPr>
            </w:pPr>
            <w:r w:rsidRPr="00FD7C28">
              <w:rPr>
                <w:rFonts w:cs="Arial"/>
              </w:rPr>
              <w:t>B</w:t>
            </w:r>
          </w:p>
        </w:tc>
        <w:tc>
          <w:tcPr>
            <w:tcW w:w="5387" w:type="dxa"/>
          </w:tcPr>
          <w:p w:rsidR="00997DC1" w:rsidRPr="00FD7C28" w:rsidRDefault="00997DC1" w:rsidP="00381309">
            <w:pPr>
              <w:pStyle w:val="TableText0"/>
              <w:keepLines/>
              <w:spacing w:before="0" w:after="0"/>
              <w:rPr>
                <w:rFonts w:cs="Arial"/>
              </w:rPr>
            </w:pPr>
            <w:r w:rsidRPr="00FD7C28">
              <w:rPr>
                <w:rFonts w:cs="Arial"/>
              </w:rPr>
              <w:t>AEMP (30 tablets/1 pack)</w:t>
            </w:r>
          </w:p>
        </w:tc>
        <w:tc>
          <w:tcPr>
            <w:tcW w:w="1417" w:type="dxa"/>
            <w:tcBorders>
              <w:bottom w:val="single" w:sz="4" w:space="0" w:color="auto"/>
            </w:tcBorders>
            <w:vAlign w:val="center"/>
          </w:tcPr>
          <w:p w:rsidR="00997DC1" w:rsidRPr="00FD7C28" w:rsidRDefault="00997DC1" w:rsidP="00381309">
            <w:pPr>
              <w:pStyle w:val="TableText0"/>
              <w:keepLines/>
              <w:spacing w:before="0" w:after="0"/>
              <w:jc w:val="center"/>
              <w:rPr>
                <w:rFonts w:cs="Times New Roman"/>
              </w:rPr>
            </w:pPr>
            <w:r w:rsidRPr="00FD7C28">
              <w:rPr>
                <w:rFonts w:cs="Times New Roman"/>
              </w:rPr>
              <w:t>A</w:t>
            </w:r>
          </w:p>
        </w:tc>
        <w:tc>
          <w:tcPr>
            <w:tcW w:w="1134" w:type="dxa"/>
            <w:vAlign w:val="center"/>
          </w:tcPr>
          <w:p w:rsidR="00997DC1" w:rsidRPr="00FD7C28" w:rsidRDefault="00997DC1" w:rsidP="00381309">
            <w:pPr>
              <w:pStyle w:val="TableText0"/>
              <w:keepLines/>
              <w:spacing w:before="0" w:after="0"/>
              <w:jc w:val="right"/>
              <w:rPr>
                <w:rFonts w:cs="Arial"/>
              </w:rPr>
            </w:pPr>
            <w:r w:rsidRPr="00FD7C28">
              <w:rPr>
                <w:rFonts w:cs="Arial"/>
              </w:rPr>
              <w:t>$</w:t>
            </w:r>
            <w:r w:rsidR="00602705">
              <w:rPr>
                <w:rFonts w:cs="Arial"/>
                <w:noProof/>
                <w:color w:val="000000"/>
                <w:highlight w:val="black"/>
              </w:rPr>
              <w:t>''''''''''''''''''''''</w:t>
            </w:r>
          </w:p>
        </w:tc>
      </w:tr>
      <w:tr w:rsidR="00BB47DF" w:rsidRPr="00FD7C28" w:rsidTr="00D97156">
        <w:trPr>
          <w:cantSplit/>
        </w:trPr>
        <w:tc>
          <w:tcPr>
            <w:tcW w:w="425" w:type="dxa"/>
          </w:tcPr>
          <w:p w:rsidR="00997DC1" w:rsidRPr="00FD7C28" w:rsidRDefault="00997DC1" w:rsidP="00381309">
            <w:pPr>
              <w:pStyle w:val="TableText0"/>
              <w:keepLines/>
              <w:spacing w:before="0" w:after="0"/>
              <w:jc w:val="center"/>
              <w:rPr>
                <w:rFonts w:cs="Arial"/>
              </w:rPr>
            </w:pPr>
            <w:r w:rsidRPr="00FD7C28">
              <w:rPr>
                <w:rFonts w:cs="Arial"/>
              </w:rPr>
              <w:t>C</w:t>
            </w:r>
          </w:p>
        </w:tc>
        <w:tc>
          <w:tcPr>
            <w:tcW w:w="5387" w:type="dxa"/>
          </w:tcPr>
          <w:p w:rsidR="00997DC1" w:rsidRPr="00FD7C28" w:rsidRDefault="00997DC1" w:rsidP="00381309">
            <w:pPr>
              <w:pStyle w:val="TableText0"/>
              <w:keepLines/>
              <w:spacing w:before="0" w:after="0"/>
              <w:rPr>
                <w:rFonts w:cs="Arial"/>
              </w:rPr>
            </w:pPr>
            <w:r w:rsidRPr="00FD7C28">
              <w:rPr>
                <w:rFonts w:cs="Arial"/>
              </w:rPr>
              <w:t xml:space="preserve">Maximum quantity; packs </w:t>
            </w:r>
          </w:p>
        </w:tc>
        <w:tc>
          <w:tcPr>
            <w:tcW w:w="1417" w:type="dxa"/>
            <w:tcBorders>
              <w:bottom w:val="single" w:sz="4" w:space="0" w:color="auto"/>
            </w:tcBorders>
            <w:vAlign w:val="center"/>
          </w:tcPr>
          <w:p w:rsidR="00997DC1" w:rsidRPr="00FD7C28" w:rsidRDefault="00997DC1" w:rsidP="00381309">
            <w:pPr>
              <w:pStyle w:val="TableText0"/>
              <w:keepLines/>
              <w:spacing w:before="0" w:after="0"/>
              <w:jc w:val="center"/>
              <w:rPr>
                <w:rFonts w:cs="Arial"/>
              </w:rPr>
            </w:pPr>
            <w:r w:rsidRPr="00FD7C28">
              <w:rPr>
                <w:rFonts w:ascii="Times New Roman" w:hAnsi="Times New Roman" w:cs="Times New Roman"/>
              </w:rPr>
              <w:t>─</w:t>
            </w:r>
          </w:p>
        </w:tc>
        <w:tc>
          <w:tcPr>
            <w:tcW w:w="1134" w:type="dxa"/>
            <w:vAlign w:val="center"/>
          </w:tcPr>
          <w:p w:rsidR="00997DC1" w:rsidRPr="00FD7C28" w:rsidRDefault="00997DC1" w:rsidP="00381309">
            <w:pPr>
              <w:pStyle w:val="TableText0"/>
              <w:keepLines/>
              <w:spacing w:before="0" w:after="0"/>
              <w:jc w:val="right"/>
              <w:rPr>
                <w:rFonts w:cs="Arial"/>
              </w:rPr>
            </w:pPr>
            <w:r w:rsidRPr="00FD7C28">
              <w:rPr>
                <w:rFonts w:cs="Arial"/>
              </w:rPr>
              <w:t xml:space="preserve">2 </w:t>
            </w:r>
          </w:p>
        </w:tc>
      </w:tr>
      <w:tr w:rsidR="00BB47DF" w:rsidRPr="00FD7C28" w:rsidTr="00D97156">
        <w:trPr>
          <w:cantSplit/>
        </w:trPr>
        <w:tc>
          <w:tcPr>
            <w:tcW w:w="425" w:type="dxa"/>
          </w:tcPr>
          <w:p w:rsidR="00997DC1" w:rsidRPr="00FD7C28" w:rsidRDefault="00997DC1" w:rsidP="00381309">
            <w:pPr>
              <w:pStyle w:val="TableText0"/>
              <w:keepLines/>
              <w:spacing w:before="0" w:after="0"/>
              <w:jc w:val="center"/>
              <w:rPr>
                <w:rFonts w:cs="Arial"/>
              </w:rPr>
            </w:pPr>
            <w:r w:rsidRPr="00FD7C28">
              <w:rPr>
                <w:rFonts w:cs="Arial"/>
              </w:rPr>
              <w:t>D</w:t>
            </w:r>
          </w:p>
        </w:tc>
        <w:tc>
          <w:tcPr>
            <w:tcW w:w="5387" w:type="dxa"/>
            <w:tcBorders>
              <w:right w:val="single" w:sz="4" w:space="0" w:color="auto"/>
            </w:tcBorders>
          </w:tcPr>
          <w:p w:rsidR="00997DC1" w:rsidRPr="00FD7C28" w:rsidRDefault="00997DC1" w:rsidP="00381309">
            <w:pPr>
              <w:pStyle w:val="TableText0"/>
              <w:keepLines/>
              <w:spacing w:before="0" w:after="0"/>
              <w:rPr>
                <w:rFonts w:cs="Arial"/>
              </w:rPr>
            </w:pPr>
            <w:r w:rsidRPr="00FD7C28">
              <w:rPr>
                <w:rFonts w:cs="Arial"/>
              </w:rPr>
              <w:t xml:space="preserve">HSD mark-up (Private) </w:t>
            </w:r>
          </w:p>
        </w:tc>
        <w:tc>
          <w:tcPr>
            <w:tcW w:w="1417" w:type="dxa"/>
            <w:vMerge w:val="restart"/>
            <w:tcBorders>
              <w:top w:val="single" w:sz="4" w:space="0" w:color="auto"/>
              <w:left w:val="single" w:sz="4" w:space="0" w:color="auto"/>
              <w:right w:val="single" w:sz="4" w:space="0" w:color="auto"/>
            </w:tcBorders>
            <w:vAlign w:val="center"/>
          </w:tcPr>
          <w:p w:rsidR="00997DC1" w:rsidRPr="00FD7C28" w:rsidRDefault="00997DC1" w:rsidP="00381309">
            <w:pPr>
              <w:pStyle w:val="TableText0"/>
              <w:keepLines/>
              <w:spacing w:before="0" w:after="0"/>
              <w:jc w:val="center"/>
              <w:rPr>
                <w:rFonts w:cs="Arial"/>
              </w:rPr>
            </w:pPr>
            <w:r w:rsidRPr="00FD7C28">
              <w:rPr>
                <w:rFonts w:cs="Arial"/>
              </w:rPr>
              <w:t>PBS Schedule</w:t>
            </w:r>
          </w:p>
        </w:tc>
        <w:tc>
          <w:tcPr>
            <w:tcW w:w="1134" w:type="dxa"/>
            <w:tcBorders>
              <w:left w:val="single" w:sz="4" w:space="0" w:color="auto"/>
            </w:tcBorders>
            <w:vAlign w:val="center"/>
          </w:tcPr>
          <w:p w:rsidR="00997DC1" w:rsidRPr="00FD7C28" w:rsidRDefault="00997DC1" w:rsidP="00381309">
            <w:pPr>
              <w:pStyle w:val="TableText0"/>
              <w:keepLines/>
              <w:spacing w:before="0" w:after="0"/>
              <w:jc w:val="right"/>
              <w:rPr>
                <w:rFonts w:cs="Arial"/>
                <w:vertAlign w:val="superscript"/>
              </w:rPr>
            </w:pPr>
            <w:r w:rsidRPr="00FD7C28">
              <w:rPr>
                <w:rFonts w:cs="Arial"/>
              </w:rPr>
              <w:t xml:space="preserve">$40 </w:t>
            </w:r>
            <w:r w:rsidRPr="00FD7C28">
              <w:rPr>
                <w:rFonts w:cs="Arial"/>
                <w:vertAlign w:val="superscript"/>
              </w:rPr>
              <w:t>a</w:t>
            </w:r>
          </w:p>
        </w:tc>
      </w:tr>
      <w:tr w:rsidR="00BB47DF" w:rsidRPr="00FD7C28" w:rsidTr="00D97156">
        <w:trPr>
          <w:cantSplit/>
        </w:trPr>
        <w:tc>
          <w:tcPr>
            <w:tcW w:w="425" w:type="dxa"/>
          </w:tcPr>
          <w:p w:rsidR="00997DC1" w:rsidRPr="00FD7C28" w:rsidRDefault="00997DC1" w:rsidP="00381309">
            <w:pPr>
              <w:pStyle w:val="TableText0"/>
              <w:keepLines/>
              <w:spacing w:before="0" w:after="0"/>
              <w:jc w:val="center"/>
              <w:rPr>
                <w:rFonts w:cs="Arial"/>
              </w:rPr>
            </w:pPr>
            <w:r w:rsidRPr="00FD7C28">
              <w:rPr>
                <w:rFonts w:cs="Arial"/>
              </w:rPr>
              <w:t>E</w:t>
            </w:r>
          </w:p>
        </w:tc>
        <w:tc>
          <w:tcPr>
            <w:tcW w:w="5387" w:type="dxa"/>
            <w:tcBorders>
              <w:right w:val="single" w:sz="4" w:space="0" w:color="auto"/>
            </w:tcBorders>
          </w:tcPr>
          <w:p w:rsidR="00997DC1" w:rsidRPr="00FD7C28" w:rsidRDefault="00997DC1" w:rsidP="00381309">
            <w:pPr>
              <w:pStyle w:val="TableText0"/>
              <w:keepLines/>
              <w:spacing w:before="0" w:after="0"/>
              <w:rPr>
                <w:rFonts w:cs="Arial"/>
              </w:rPr>
            </w:pPr>
            <w:r w:rsidRPr="00FD7C28">
              <w:rPr>
                <w:rFonts w:cs="Arial"/>
              </w:rPr>
              <w:t>Dispensing fee</w:t>
            </w:r>
          </w:p>
        </w:tc>
        <w:tc>
          <w:tcPr>
            <w:tcW w:w="1417" w:type="dxa"/>
            <w:vMerge/>
            <w:tcBorders>
              <w:left w:val="single" w:sz="4" w:space="0" w:color="auto"/>
              <w:bottom w:val="single" w:sz="4" w:space="0" w:color="auto"/>
              <w:right w:val="single" w:sz="4" w:space="0" w:color="auto"/>
            </w:tcBorders>
            <w:vAlign w:val="center"/>
          </w:tcPr>
          <w:p w:rsidR="00997DC1" w:rsidRPr="00FD7C28" w:rsidRDefault="00997DC1" w:rsidP="00381309">
            <w:pPr>
              <w:pStyle w:val="TableText0"/>
              <w:keepLines/>
              <w:spacing w:before="0" w:after="0"/>
              <w:jc w:val="center"/>
              <w:rPr>
                <w:rFonts w:cs="Arial"/>
              </w:rPr>
            </w:pPr>
          </w:p>
        </w:tc>
        <w:tc>
          <w:tcPr>
            <w:tcW w:w="1134" w:type="dxa"/>
            <w:tcBorders>
              <w:left w:val="single" w:sz="4" w:space="0" w:color="auto"/>
            </w:tcBorders>
            <w:vAlign w:val="center"/>
          </w:tcPr>
          <w:p w:rsidR="00997DC1" w:rsidRPr="00FD7C28" w:rsidRDefault="00997DC1" w:rsidP="00381309">
            <w:pPr>
              <w:pStyle w:val="TableText0"/>
              <w:keepLines/>
              <w:spacing w:before="0" w:after="0"/>
              <w:jc w:val="right"/>
              <w:rPr>
                <w:rFonts w:cs="Arial"/>
                <w:vertAlign w:val="superscript"/>
              </w:rPr>
            </w:pPr>
            <w:r w:rsidRPr="00FD7C28">
              <w:rPr>
                <w:rFonts w:cs="Arial"/>
              </w:rPr>
              <w:t xml:space="preserve">$6.93 </w:t>
            </w:r>
            <w:r w:rsidRPr="00FD7C28">
              <w:rPr>
                <w:rFonts w:cs="Arial"/>
                <w:vertAlign w:val="superscript"/>
              </w:rPr>
              <w:t>b</w:t>
            </w:r>
          </w:p>
        </w:tc>
      </w:tr>
      <w:tr w:rsidR="00BB47DF" w:rsidRPr="00FD7C28" w:rsidTr="00D97156">
        <w:trPr>
          <w:cantSplit/>
        </w:trPr>
        <w:tc>
          <w:tcPr>
            <w:tcW w:w="425" w:type="dxa"/>
          </w:tcPr>
          <w:p w:rsidR="00997DC1" w:rsidRPr="00FD7C28" w:rsidRDefault="00997DC1" w:rsidP="00381309">
            <w:pPr>
              <w:pStyle w:val="TableText0"/>
              <w:keepLines/>
              <w:spacing w:before="0" w:after="0"/>
              <w:jc w:val="center"/>
              <w:rPr>
                <w:rFonts w:cs="Arial"/>
                <w:b/>
              </w:rPr>
            </w:pPr>
            <w:r w:rsidRPr="00FD7C28">
              <w:rPr>
                <w:rFonts w:cs="Arial"/>
                <w:b/>
              </w:rPr>
              <w:t>F</w:t>
            </w:r>
          </w:p>
        </w:tc>
        <w:tc>
          <w:tcPr>
            <w:tcW w:w="5387" w:type="dxa"/>
          </w:tcPr>
          <w:p w:rsidR="00997DC1" w:rsidRPr="00FD7C28" w:rsidRDefault="00997DC1" w:rsidP="00381309">
            <w:pPr>
              <w:pStyle w:val="TableText0"/>
              <w:keepLines/>
              <w:spacing w:before="0" w:after="0"/>
              <w:rPr>
                <w:rFonts w:cs="Arial"/>
                <w:b/>
              </w:rPr>
            </w:pPr>
            <w:r w:rsidRPr="00FD7C28">
              <w:rPr>
                <w:rFonts w:cs="Arial"/>
                <w:b/>
              </w:rPr>
              <w:t>Public hospital for DPMQ</w:t>
            </w:r>
          </w:p>
        </w:tc>
        <w:tc>
          <w:tcPr>
            <w:tcW w:w="1417" w:type="dxa"/>
            <w:vAlign w:val="center"/>
          </w:tcPr>
          <w:p w:rsidR="00997DC1" w:rsidRPr="00FD7C28" w:rsidRDefault="00997DC1" w:rsidP="00381309">
            <w:pPr>
              <w:pStyle w:val="TableText0"/>
              <w:keepLines/>
              <w:spacing w:before="0" w:after="0"/>
              <w:jc w:val="center"/>
              <w:rPr>
                <w:rFonts w:cs="Arial"/>
              </w:rPr>
            </w:pPr>
            <w:r w:rsidRPr="00FD7C28">
              <w:rPr>
                <w:rFonts w:cs="Arial"/>
              </w:rPr>
              <w:t xml:space="preserve">B x C </w:t>
            </w:r>
          </w:p>
        </w:tc>
        <w:tc>
          <w:tcPr>
            <w:tcW w:w="1134" w:type="dxa"/>
            <w:vAlign w:val="center"/>
          </w:tcPr>
          <w:p w:rsidR="00997DC1" w:rsidRPr="00FD7C28" w:rsidRDefault="00997DC1" w:rsidP="00381309">
            <w:pPr>
              <w:pStyle w:val="TableText0"/>
              <w:keepLines/>
              <w:spacing w:before="0" w:after="0"/>
              <w:jc w:val="right"/>
              <w:rPr>
                <w:rFonts w:cs="Arial"/>
                <w:b/>
              </w:rPr>
            </w:pPr>
            <w:r w:rsidRPr="00FD7C28">
              <w:rPr>
                <w:rFonts w:cs="Arial"/>
                <w:b/>
              </w:rPr>
              <w:t>$</w:t>
            </w:r>
            <w:r w:rsidR="00602705">
              <w:rPr>
                <w:rFonts w:cs="Arial"/>
                <w:b/>
                <w:noProof/>
                <w:color w:val="000000"/>
                <w:highlight w:val="black"/>
              </w:rPr>
              <w:t>''''''''''''''''</w:t>
            </w:r>
          </w:p>
        </w:tc>
      </w:tr>
      <w:tr w:rsidR="00BB47DF" w:rsidRPr="00EF6F2C" w:rsidTr="00D97156">
        <w:trPr>
          <w:cantSplit/>
        </w:trPr>
        <w:tc>
          <w:tcPr>
            <w:tcW w:w="425" w:type="dxa"/>
          </w:tcPr>
          <w:p w:rsidR="00997DC1" w:rsidRPr="00EF6F2C" w:rsidRDefault="00997DC1" w:rsidP="00381309">
            <w:pPr>
              <w:pStyle w:val="TableText0"/>
              <w:keepLines/>
              <w:spacing w:before="0" w:after="0"/>
              <w:jc w:val="center"/>
              <w:rPr>
                <w:rFonts w:cs="Arial"/>
                <w:b/>
              </w:rPr>
            </w:pPr>
            <w:r w:rsidRPr="00EF6F2C">
              <w:rPr>
                <w:rFonts w:cs="Arial"/>
                <w:b/>
              </w:rPr>
              <w:t>G</w:t>
            </w:r>
          </w:p>
        </w:tc>
        <w:tc>
          <w:tcPr>
            <w:tcW w:w="5387" w:type="dxa"/>
          </w:tcPr>
          <w:p w:rsidR="00997DC1" w:rsidRPr="00EF6F2C" w:rsidRDefault="00997DC1" w:rsidP="00BB47DF">
            <w:pPr>
              <w:pStyle w:val="TableText0"/>
              <w:keepLines/>
              <w:spacing w:before="0" w:after="0"/>
              <w:rPr>
                <w:rFonts w:cs="Arial"/>
                <w:b/>
              </w:rPr>
            </w:pPr>
            <w:r w:rsidRPr="00EF6F2C">
              <w:rPr>
                <w:rFonts w:cs="Arial"/>
                <w:b/>
              </w:rPr>
              <w:t>Private hospital/Community Access Program for DPMQ</w:t>
            </w:r>
          </w:p>
        </w:tc>
        <w:tc>
          <w:tcPr>
            <w:tcW w:w="1417" w:type="dxa"/>
            <w:vAlign w:val="center"/>
          </w:tcPr>
          <w:p w:rsidR="00997DC1" w:rsidRPr="00EF6F2C" w:rsidRDefault="00997DC1" w:rsidP="00381309">
            <w:pPr>
              <w:pStyle w:val="TableText0"/>
              <w:keepLines/>
              <w:spacing w:before="0" w:after="0"/>
              <w:jc w:val="center"/>
              <w:rPr>
                <w:rFonts w:cs="Arial"/>
              </w:rPr>
            </w:pPr>
            <w:r w:rsidRPr="00EF6F2C">
              <w:rPr>
                <w:rFonts w:cs="Arial"/>
              </w:rPr>
              <w:t>(D + E) + F</w:t>
            </w:r>
          </w:p>
        </w:tc>
        <w:tc>
          <w:tcPr>
            <w:tcW w:w="1134" w:type="dxa"/>
            <w:vAlign w:val="center"/>
          </w:tcPr>
          <w:p w:rsidR="00997DC1" w:rsidRPr="00EF6F2C" w:rsidRDefault="00997DC1" w:rsidP="00381309">
            <w:pPr>
              <w:pStyle w:val="TableText0"/>
              <w:keepLines/>
              <w:spacing w:before="0" w:after="0"/>
              <w:jc w:val="right"/>
              <w:rPr>
                <w:rFonts w:cs="Arial"/>
                <w:b/>
              </w:rPr>
            </w:pPr>
            <w:r w:rsidRPr="00EF6F2C">
              <w:rPr>
                <w:rFonts w:cs="Arial"/>
                <w:b/>
              </w:rPr>
              <w:t>$</w:t>
            </w:r>
            <w:r w:rsidR="00602705">
              <w:rPr>
                <w:rFonts w:cs="Arial"/>
                <w:b/>
                <w:noProof/>
                <w:color w:val="000000"/>
                <w:highlight w:val="black"/>
              </w:rPr>
              <w:t>'''''''''''''''''</w:t>
            </w:r>
          </w:p>
        </w:tc>
      </w:tr>
    </w:tbl>
    <w:p w:rsidR="00997DC1" w:rsidRPr="00FD7C28" w:rsidRDefault="00997DC1" w:rsidP="00BB47DF">
      <w:pPr>
        <w:pStyle w:val="TableFooter"/>
        <w:ind w:firstLine="720"/>
      </w:pPr>
      <w:r w:rsidRPr="00EF6F2C">
        <w:t>Source: Table D.1, p95 of the submission; and calculated during the evaluation</w:t>
      </w:r>
    </w:p>
    <w:p w:rsidR="00997DC1" w:rsidRPr="00EF6F2C" w:rsidRDefault="00997DC1" w:rsidP="00BB47DF">
      <w:pPr>
        <w:pStyle w:val="TableFooter"/>
        <w:ind w:left="720"/>
      </w:pPr>
      <w:r w:rsidRPr="00F43587">
        <w:t xml:space="preserve">AEMP = approved ex-manufacturer price; c = cobicistat; DF = disoproxil fumarate; DPMQ = dispensed price for maximum quantity; EVG = elvitegravir; FDC = fixed-dose combination; </w:t>
      </w:r>
      <w:r w:rsidRPr="00EF6F2C">
        <w:t>FTC = emtricitabine</w:t>
      </w:r>
      <w:r w:rsidR="00090068" w:rsidRPr="00EF6F2C">
        <w:t>; HSD = Highly Sp</w:t>
      </w:r>
      <w:r w:rsidRPr="00EF6F2C">
        <w:t xml:space="preserve">ecialised </w:t>
      </w:r>
      <w:r w:rsidR="00090068" w:rsidRPr="00EF6F2C">
        <w:t>D</w:t>
      </w:r>
      <w:r w:rsidRPr="00EF6F2C">
        <w:t>rug; PBS</w:t>
      </w:r>
      <w:r w:rsidR="00090068" w:rsidRPr="00EF6F2C">
        <w:t> </w:t>
      </w:r>
      <w:r w:rsidRPr="00EF6F2C">
        <w:t>=</w:t>
      </w:r>
      <w:r w:rsidR="00090068" w:rsidRPr="00EF6F2C">
        <w:t> </w:t>
      </w:r>
      <w:r w:rsidRPr="00EF6F2C">
        <w:t>Pharmaceutical Benefits Scheme</w:t>
      </w:r>
    </w:p>
    <w:p w:rsidR="00997DC1" w:rsidRPr="00673F01" w:rsidRDefault="00997DC1" w:rsidP="00BB47DF">
      <w:pPr>
        <w:pStyle w:val="TableFooter"/>
        <w:ind w:firstLine="720"/>
      </w:pPr>
      <w:r w:rsidRPr="00754170">
        <w:rPr>
          <w:vertAlign w:val="superscript"/>
        </w:rPr>
        <w:t>a</w:t>
      </w:r>
      <w:r w:rsidRPr="0017235C">
        <w:t xml:space="preserve"> For drugs with AEMP &gt; $1,000.00</w:t>
      </w:r>
    </w:p>
    <w:p w:rsidR="00997DC1" w:rsidRPr="00C109D6" w:rsidRDefault="00997DC1" w:rsidP="00BB47DF">
      <w:pPr>
        <w:pStyle w:val="TableFooter"/>
        <w:ind w:firstLine="720"/>
        <w:rPr>
          <w:szCs w:val="22"/>
        </w:rPr>
      </w:pPr>
      <w:r w:rsidRPr="00980EE7">
        <w:rPr>
          <w:vertAlign w:val="superscript"/>
        </w:rPr>
        <w:t>b</w:t>
      </w:r>
      <w:r w:rsidRPr="00980EE7">
        <w:t xml:space="preserve"> As of 1 July 2015, the ready-prepared dispensing fee is $6.93 </w:t>
      </w:r>
    </w:p>
    <w:p w:rsidR="00997DC1" w:rsidRPr="00FD7C28" w:rsidRDefault="00997DC1" w:rsidP="00997DC1">
      <w:pPr>
        <w:pStyle w:val="ListParagraph"/>
        <w:widowControl/>
        <w:rPr>
          <w:szCs w:val="22"/>
        </w:rPr>
      </w:pPr>
    </w:p>
    <w:p w:rsidR="00BB47DF" w:rsidRPr="00FD7C28" w:rsidRDefault="00C25D9C" w:rsidP="00413948">
      <w:pPr>
        <w:pStyle w:val="Heading2"/>
      </w:pPr>
      <w:bookmarkStart w:id="17" w:name="_Toc430081393"/>
      <w:r w:rsidRPr="00FD7C28">
        <w:t xml:space="preserve">Drug cost/patient/year: </w:t>
      </w:r>
      <w:r w:rsidR="00BB47DF" w:rsidRPr="00FD7C28">
        <w:t xml:space="preserve">Public hospital - </w:t>
      </w:r>
      <w:r w:rsidRPr="00FD7C28">
        <w:t>$</w:t>
      </w:r>
      <w:r w:rsidR="00602705">
        <w:rPr>
          <w:noProof/>
          <w:color w:val="000000"/>
          <w:highlight w:val="black"/>
        </w:rPr>
        <w:t>''''''''''''</w:t>
      </w:r>
      <w:r w:rsidR="00BB47DF" w:rsidRPr="00FD7C28">
        <w:t>;</w:t>
      </w:r>
      <w:bookmarkEnd w:id="17"/>
      <w:r w:rsidR="00BB47DF" w:rsidRPr="00FD7C28">
        <w:t xml:space="preserve"> </w:t>
      </w:r>
    </w:p>
    <w:p w:rsidR="00C25D9C" w:rsidRPr="00FD7C28" w:rsidRDefault="00BB47DF" w:rsidP="00413948">
      <w:pPr>
        <w:pStyle w:val="Heading2"/>
        <w:rPr>
          <w:szCs w:val="22"/>
        </w:rPr>
      </w:pPr>
      <w:r w:rsidRPr="00FD7C28">
        <w:t xml:space="preserve">     </w:t>
      </w:r>
      <w:bookmarkStart w:id="18" w:name="_Toc428522701"/>
      <w:bookmarkStart w:id="19" w:name="_Toc430081394"/>
      <w:r w:rsidRPr="00FD7C28">
        <w:t xml:space="preserve">Private </w:t>
      </w:r>
      <w:r w:rsidR="007D3B1A" w:rsidRPr="00FD7C28">
        <w:t>h</w:t>
      </w:r>
      <w:r w:rsidRPr="00FD7C28">
        <w:t>ospital/Community Access Program - $</w:t>
      </w:r>
      <w:r w:rsidR="00602705">
        <w:rPr>
          <w:noProof/>
          <w:color w:val="000000"/>
          <w:highlight w:val="black"/>
        </w:rPr>
        <w:t>'''''''''''''''</w:t>
      </w:r>
      <w:r w:rsidRPr="00FD7C28">
        <w:t>.</w:t>
      </w:r>
      <w:bookmarkEnd w:id="18"/>
      <w:bookmarkEnd w:id="19"/>
    </w:p>
    <w:p w:rsidR="00C25D9C" w:rsidRPr="00FD7C28" w:rsidRDefault="00C25D9C" w:rsidP="00C25D9C">
      <w:pPr>
        <w:widowControl/>
        <w:rPr>
          <w:szCs w:val="22"/>
        </w:rPr>
      </w:pPr>
    </w:p>
    <w:p w:rsidR="00B60939" w:rsidRPr="00FD7C28" w:rsidRDefault="00BB47DF" w:rsidP="001456B0">
      <w:pPr>
        <w:pStyle w:val="ListParagraph"/>
        <w:widowControl/>
        <w:numPr>
          <w:ilvl w:val="1"/>
          <w:numId w:val="9"/>
        </w:numPr>
        <w:rPr>
          <w:szCs w:val="22"/>
        </w:rPr>
      </w:pPr>
      <w:r w:rsidRPr="00FD7C28">
        <w:rPr>
          <w:szCs w:val="22"/>
        </w:rPr>
        <w:t>Treatment with EVG/c/FTC/tenofovir alafenamide is ongoing. The annual drug costs were calculated using the dispensed price for maximum quantity for public hospital and private hospital/Community Access Program and assuming an average of 6.1 dispensings per patient per year</w:t>
      </w:r>
      <w:r w:rsidR="00B35888" w:rsidRPr="00FD7C28">
        <w:rPr>
          <w:szCs w:val="22"/>
        </w:rPr>
        <w:t xml:space="preserve"> (60 days treatment per dispensing)</w:t>
      </w:r>
      <w:r w:rsidRPr="00FD7C28">
        <w:rPr>
          <w:szCs w:val="22"/>
        </w:rPr>
        <w:t xml:space="preserve">. The annual costs of the comparator, EVG/c/FTC/tenofovir DF, </w:t>
      </w:r>
      <w:r w:rsidR="00B35888" w:rsidRPr="00FD7C28">
        <w:rPr>
          <w:szCs w:val="22"/>
        </w:rPr>
        <w:t xml:space="preserve">are </w:t>
      </w:r>
      <w:r w:rsidRPr="00FD7C28">
        <w:rPr>
          <w:szCs w:val="22"/>
        </w:rPr>
        <w:t>the same.</w:t>
      </w:r>
    </w:p>
    <w:p w:rsidR="00BB47DF" w:rsidRPr="00FD7C28" w:rsidRDefault="00BB47DF" w:rsidP="00BB47DF">
      <w:pPr>
        <w:pStyle w:val="ListParagraph"/>
        <w:widowControl/>
        <w:rPr>
          <w:szCs w:val="22"/>
        </w:rPr>
      </w:pPr>
    </w:p>
    <w:p w:rsidR="00B60939" w:rsidRPr="00753877" w:rsidRDefault="00B60939" w:rsidP="00413948">
      <w:pPr>
        <w:pStyle w:val="Heading2"/>
      </w:pPr>
      <w:bookmarkStart w:id="20" w:name="_Toc430081395"/>
      <w:r w:rsidRPr="00753877">
        <w:t>Estimated PBS usage &amp; financial implications</w:t>
      </w:r>
      <w:bookmarkEnd w:id="20"/>
    </w:p>
    <w:p w:rsidR="00C41F2F" w:rsidRPr="00FD7C28" w:rsidRDefault="00C41F2F" w:rsidP="00A635BD">
      <w:pPr>
        <w:contextualSpacing/>
        <w:rPr>
          <w:bCs/>
          <w:szCs w:val="22"/>
        </w:rPr>
      </w:pPr>
    </w:p>
    <w:p w:rsidR="002541A5" w:rsidRPr="00EF6F2C" w:rsidRDefault="002541A5" w:rsidP="002541A5">
      <w:pPr>
        <w:pStyle w:val="ListParagraph"/>
        <w:widowControl/>
        <w:numPr>
          <w:ilvl w:val="1"/>
          <w:numId w:val="9"/>
        </w:numPr>
        <w:ind w:left="709"/>
        <w:rPr>
          <w:szCs w:val="22"/>
        </w:rPr>
      </w:pPr>
      <w:r w:rsidRPr="00F43587">
        <w:t>The submission used a market share ap</w:t>
      </w:r>
      <w:r w:rsidRPr="00EF319D">
        <w:t>proach to estimate the utilisation and cost of EVG/c/FTC/tenofovir alafenamide over a five year time horizon.</w:t>
      </w:r>
      <w:r w:rsidRPr="00EF6F2C">
        <w:t xml:space="preserve"> The submission assumed that utilisation of EVG/c/FTC/tenofovir alafenamide was expected to be almost exclusively accounted for by patients switching from EVG/c/FTC/tenofovir DF, with minimal substitution of other HIV single tablet regimens.</w:t>
      </w:r>
      <w:r w:rsidR="0021498F" w:rsidRPr="00EF6F2C">
        <w:rPr>
          <w:color w:val="FF0000"/>
        </w:rPr>
        <w:t xml:space="preserve"> </w:t>
      </w:r>
      <w:r w:rsidR="0021498F" w:rsidRPr="00321B24">
        <w:t>The ESC considered that if there are perceived safety benefits, EVG/c/FTC/TAF might substitute for other single tablet regimens and for other TDF-containing firs</w:t>
      </w:r>
      <w:r w:rsidR="0021498F" w:rsidRPr="00754170">
        <w:t>t line regimens.</w:t>
      </w:r>
    </w:p>
    <w:p w:rsidR="002541A5" w:rsidRPr="00EF6F2C" w:rsidRDefault="002541A5" w:rsidP="002541A5">
      <w:pPr>
        <w:widowControl/>
        <w:rPr>
          <w:szCs w:val="22"/>
        </w:rPr>
      </w:pPr>
    </w:p>
    <w:p w:rsidR="002541A5" w:rsidRPr="00EF319D" w:rsidRDefault="002541A5" w:rsidP="002541A5">
      <w:pPr>
        <w:keepNext/>
        <w:ind w:firstLine="709"/>
        <w:rPr>
          <w:rStyle w:val="CommentReference"/>
        </w:rPr>
      </w:pPr>
      <w:r w:rsidRPr="00FD7C28">
        <w:rPr>
          <w:rStyle w:val="CommentReference"/>
        </w:rPr>
        <w:lastRenderedPageBreak/>
        <w:t>Table 7</w:t>
      </w:r>
      <w:r w:rsidRPr="00F43587">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4"/>
        <w:gridCol w:w="991"/>
        <w:gridCol w:w="1134"/>
        <w:gridCol w:w="1132"/>
        <w:gridCol w:w="1134"/>
        <w:gridCol w:w="1122"/>
      </w:tblGrid>
      <w:tr w:rsidR="002541A5" w:rsidRPr="00FD7C28" w:rsidTr="002541A5">
        <w:trPr>
          <w:cantSplit/>
          <w:tblHeader/>
        </w:trPr>
        <w:tc>
          <w:tcPr>
            <w:tcW w:w="1698" w:type="pct"/>
            <w:shd w:val="clear" w:color="auto" w:fill="auto"/>
            <w:vAlign w:val="center"/>
          </w:tcPr>
          <w:p w:rsidR="002541A5" w:rsidRPr="00EF6F2C" w:rsidRDefault="002541A5" w:rsidP="002541A5">
            <w:pPr>
              <w:keepNext/>
              <w:tabs>
                <w:tab w:val="left" w:pos="142"/>
              </w:tabs>
              <w:jc w:val="left"/>
              <w:rPr>
                <w:rFonts w:ascii="Arial Narrow" w:hAnsi="Arial Narrow"/>
                <w:b/>
                <w:sz w:val="20"/>
              </w:rPr>
            </w:pPr>
          </w:p>
        </w:tc>
        <w:tc>
          <w:tcPr>
            <w:tcW w:w="594" w:type="pct"/>
            <w:shd w:val="clear" w:color="auto" w:fill="auto"/>
            <w:vAlign w:val="center"/>
          </w:tcPr>
          <w:p w:rsidR="002541A5" w:rsidRPr="00EF6F2C" w:rsidRDefault="002541A5" w:rsidP="002541A5">
            <w:pPr>
              <w:keepNext/>
              <w:jc w:val="center"/>
              <w:rPr>
                <w:rFonts w:ascii="Arial Narrow" w:hAnsi="Arial Narrow"/>
                <w:b/>
                <w:sz w:val="20"/>
              </w:rPr>
            </w:pPr>
            <w:r w:rsidRPr="00EF6F2C">
              <w:rPr>
                <w:rFonts w:ascii="Arial Narrow" w:hAnsi="Arial Narrow"/>
                <w:b/>
                <w:sz w:val="20"/>
              </w:rPr>
              <w:t>Year 1</w:t>
            </w:r>
          </w:p>
        </w:tc>
        <w:tc>
          <w:tcPr>
            <w:tcW w:w="679" w:type="pct"/>
            <w:shd w:val="clear" w:color="auto" w:fill="auto"/>
            <w:vAlign w:val="center"/>
          </w:tcPr>
          <w:p w:rsidR="002541A5" w:rsidRPr="00754170" w:rsidRDefault="002541A5" w:rsidP="002541A5">
            <w:pPr>
              <w:keepNext/>
              <w:jc w:val="center"/>
              <w:rPr>
                <w:rFonts w:ascii="Arial Narrow" w:hAnsi="Arial Narrow"/>
                <w:b/>
                <w:sz w:val="20"/>
              </w:rPr>
            </w:pPr>
            <w:r w:rsidRPr="00754170">
              <w:rPr>
                <w:rFonts w:ascii="Arial Narrow" w:hAnsi="Arial Narrow"/>
                <w:b/>
                <w:sz w:val="20"/>
              </w:rPr>
              <w:t>Year 2</w:t>
            </w:r>
          </w:p>
        </w:tc>
        <w:tc>
          <w:tcPr>
            <w:tcW w:w="678" w:type="pct"/>
            <w:shd w:val="clear" w:color="auto" w:fill="auto"/>
            <w:vAlign w:val="center"/>
          </w:tcPr>
          <w:p w:rsidR="002541A5" w:rsidRPr="00673F01" w:rsidRDefault="002541A5" w:rsidP="002541A5">
            <w:pPr>
              <w:keepNext/>
              <w:jc w:val="center"/>
              <w:rPr>
                <w:rFonts w:ascii="Arial Narrow" w:hAnsi="Arial Narrow"/>
                <w:b/>
                <w:sz w:val="20"/>
              </w:rPr>
            </w:pPr>
            <w:r w:rsidRPr="00673F01">
              <w:rPr>
                <w:rFonts w:ascii="Arial Narrow" w:hAnsi="Arial Narrow"/>
                <w:b/>
                <w:sz w:val="20"/>
              </w:rPr>
              <w:t>Year 3</w:t>
            </w:r>
          </w:p>
        </w:tc>
        <w:tc>
          <w:tcPr>
            <w:tcW w:w="679" w:type="pct"/>
            <w:shd w:val="clear" w:color="auto" w:fill="auto"/>
            <w:vAlign w:val="center"/>
          </w:tcPr>
          <w:p w:rsidR="002541A5" w:rsidRPr="00980EE7" w:rsidRDefault="002541A5" w:rsidP="002541A5">
            <w:pPr>
              <w:keepNext/>
              <w:jc w:val="center"/>
              <w:rPr>
                <w:rFonts w:ascii="Arial Narrow" w:hAnsi="Arial Narrow"/>
                <w:b/>
                <w:sz w:val="20"/>
              </w:rPr>
            </w:pPr>
            <w:r w:rsidRPr="00980EE7">
              <w:rPr>
                <w:rFonts w:ascii="Arial Narrow" w:hAnsi="Arial Narrow"/>
                <w:b/>
                <w:sz w:val="20"/>
              </w:rPr>
              <w:t>Year 4</w:t>
            </w:r>
          </w:p>
        </w:tc>
        <w:tc>
          <w:tcPr>
            <w:tcW w:w="671" w:type="pct"/>
            <w:shd w:val="clear" w:color="auto" w:fill="auto"/>
            <w:vAlign w:val="center"/>
          </w:tcPr>
          <w:p w:rsidR="002541A5" w:rsidRPr="00980EE7" w:rsidRDefault="002541A5" w:rsidP="002541A5">
            <w:pPr>
              <w:keepNext/>
              <w:jc w:val="center"/>
              <w:rPr>
                <w:rFonts w:ascii="Arial Narrow" w:hAnsi="Arial Narrow"/>
                <w:b/>
                <w:sz w:val="20"/>
              </w:rPr>
            </w:pPr>
            <w:r w:rsidRPr="00980EE7">
              <w:rPr>
                <w:rFonts w:ascii="Arial Narrow" w:hAnsi="Arial Narrow"/>
                <w:b/>
                <w:sz w:val="20"/>
              </w:rPr>
              <w:t>Year 5</w:t>
            </w:r>
          </w:p>
        </w:tc>
      </w:tr>
      <w:tr w:rsidR="002541A5" w:rsidRPr="00FD7C28" w:rsidTr="002541A5">
        <w:tc>
          <w:tcPr>
            <w:tcW w:w="5000" w:type="pct"/>
            <w:gridSpan w:val="6"/>
            <w:shd w:val="clear" w:color="auto" w:fill="auto"/>
            <w:vAlign w:val="center"/>
          </w:tcPr>
          <w:p w:rsidR="002541A5" w:rsidRPr="00FD7C28" w:rsidRDefault="002541A5" w:rsidP="002541A5">
            <w:pPr>
              <w:keepNext/>
              <w:jc w:val="left"/>
              <w:rPr>
                <w:rFonts w:ascii="Arial Narrow" w:hAnsi="Arial Narrow"/>
                <w:b/>
                <w:bCs/>
                <w:color w:val="000000"/>
                <w:sz w:val="20"/>
              </w:rPr>
            </w:pPr>
            <w:r w:rsidRPr="00FD7C28">
              <w:rPr>
                <w:rFonts w:ascii="Arial Narrow" w:hAnsi="Arial Narrow"/>
                <w:b/>
                <w:bCs/>
                <w:color w:val="000000"/>
                <w:sz w:val="20"/>
              </w:rPr>
              <w:t>Estimated extent of use</w:t>
            </w:r>
          </w:p>
        </w:tc>
      </w:tr>
      <w:tr w:rsidR="002541A5" w:rsidRPr="00FD7C28" w:rsidTr="002541A5">
        <w:tc>
          <w:tcPr>
            <w:tcW w:w="1698" w:type="pct"/>
            <w:shd w:val="clear" w:color="auto" w:fill="auto"/>
          </w:tcPr>
          <w:p w:rsidR="002541A5" w:rsidRPr="00FD7C28" w:rsidRDefault="002541A5" w:rsidP="002541A5">
            <w:pPr>
              <w:keepNext/>
              <w:tabs>
                <w:tab w:val="left" w:pos="142"/>
              </w:tabs>
              <w:jc w:val="left"/>
              <w:rPr>
                <w:rFonts w:ascii="Arial Narrow" w:hAnsi="Arial Narrow"/>
                <w:sz w:val="20"/>
              </w:rPr>
            </w:pPr>
            <w:r w:rsidRPr="00FD7C28">
              <w:rPr>
                <w:rFonts w:ascii="Arial Narrow" w:hAnsi="Arial Narrow"/>
                <w:sz w:val="20"/>
              </w:rPr>
              <w:t>Projected HIV single tablet services</w:t>
            </w:r>
          </w:p>
        </w:tc>
        <w:tc>
          <w:tcPr>
            <w:tcW w:w="594" w:type="pct"/>
            <w:shd w:val="clear" w:color="auto" w:fill="auto"/>
          </w:tcPr>
          <w:p w:rsidR="002541A5" w:rsidRPr="00602705" w:rsidRDefault="00602705" w:rsidP="002541A5">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tcPr>
          <w:p w:rsidR="002541A5" w:rsidRPr="00602705" w:rsidRDefault="00602705" w:rsidP="002541A5">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tcPr>
          <w:p w:rsidR="002541A5" w:rsidRPr="00602705" w:rsidRDefault="00602705" w:rsidP="002541A5">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tcPr>
          <w:p w:rsidR="002541A5" w:rsidRPr="00602705" w:rsidRDefault="00602705" w:rsidP="002541A5">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1" w:type="pct"/>
            <w:shd w:val="clear" w:color="auto" w:fill="auto"/>
          </w:tcPr>
          <w:p w:rsidR="002541A5" w:rsidRPr="00602705" w:rsidRDefault="00602705" w:rsidP="002541A5">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2541A5" w:rsidRPr="00FD7C28" w:rsidTr="002541A5">
        <w:tc>
          <w:tcPr>
            <w:tcW w:w="1698" w:type="pct"/>
            <w:shd w:val="clear" w:color="auto" w:fill="auto"/>
          </w:tcPr>
          <w:p w:rsidR="002541A5" w:rsidRPr="00FD7C28" w:rsidRDefault="002541A5" w:rsidP="002541A5">
            <w:pPr>
              <w:keepNext/>
              <w:tabs>
                <w:tab w:val="left" w:pos="142"/>
              </w:tabs>
              <w:jc w:val="left"/>
              <w:rPr>
                <w:rFonts w:ascii="Arial Narrow" w:hAnsi="Arial Narrow"/>
                <w:sz w:val="20"/>
              </w:rPr>
            </w:pPr>
            <w:r w:rsidRPr="00FD7C28">
              <w:rPr>
                <w:rFonts w:ascii="Arial Narrow" w:hAnsi="Arial Narrow"/>
                <w:sz w:val="20"/>
              </w:rPr>
              <w:t>EVG/c/FTC/TAF uptake rate</w:t>
            </w:r>
          </w:p>
        </w:tc>
        <w:tc>
          <w:tcPr>
            <w:tcW w:w="594" w:type="pct"/>
            <w:shd w:val="clear" w:color="auto" w:fill="auto"/>
          </w:tcPr>
          <w:p w:rsidR="002541A5" w:rsidRPr="00FD7C28" w:rsidRDefault="002541A5" w:rsidP="002541A5">
            <w:pPr>
              <w:keepNext/>
              <w:jc w:val="center"/>
              <w:rPr>
                <w:rFonts w:ascii="Arial Narrow" w:hAnsi="Arial Narrow"/>
                <w:bCs/>
                <w:color w:val="000000"/>
                <w:sz w:val="20"/>
              </w:rPr>
            </w:pPr>
            <w:r w:rsidRPr="00FD7C28">
              <w:rPr>
                <w:rFonts w:ascii="Arial Narrow" w:hAnsi="Arial Narrow"/>
                <w:sz w:val="20"/>
              </w:rPr>
              <w:t>7%</w:t>
            </w:r>
          </w:p>
        </w:tc>
        <w:tc>
          <w:tcPr>
            <w:tcW w:w="679" w:type="pct"/>
            <w:shd w:val="clear" w:color="auto" w:fill="auto"/>
          </w:tcPr>
          <w:p w:rsidR="002541A5" w:rsidRPr="00FD7C28" w:rsidRDefault="002541A5" w:rsidP="002541A5">
            <w:pPr>
              <w:keepNext/>
              <w:jc w:val="center"/>
              <w:rPr>
                <w:rFonts w:ascii="Arial Narrow" w:hAnsi="Arial Narrow"/>
                <w:bCs/>
                <w:color w:val="000000"/>
                <w:sz w:val="20"/>
              </w:rPr>
            </w:pPr>
            <w:r w:rsidRPr="00FD7C28">
              <w:rPr>
                <w:rFonts w:ascii="Arial Narrow" w:hAnsi="Arial Narrow"/>
                <w:sz w:val="20"/>
              </w:rPr>
              <w:t>12%</w:t>
            </w:r>
          </w:p>
        </w:tc>
        <w:tc>
          <w:tcPr>
            <w:tcW w:w="678" w:type="pct"/>
            <w:shd w:val="clear" w:color="auto" w:fill="auto"/>
          </w:tcPr>
          <w:p w:rsidR="002541A5" w:rsidRPr="00FD7C28" w:rsidRDefault="002541A5" w:rsidP="002541A5">
            <w:pPr>
              <w:keepNext/>
              <w:jc w:val="center"/>
              <w:rPr>
                <w:rFonts w:ascii="Arial Narrow" w:hAnsi="Arial Narrow"/>
                <w:bCs/>
                <w:color w:val="000000"/>
                <w:sz w:val="20"/>
              </w:rPr>
            </w:pPr>
            <w:r w:rsidRPr="00FD7C28">
              <w:rPr>
                <w:rFonts w:ascii="Arial Narrow" w:hAnsi="Arial Narrow"/>
                <w:sz w:val="20"/>
              </w:rPr>
              <w:t>17%</w:t>
            </w:r>
          </w:p>
        </w:tc>
        <w:tc>
          <w:tcPr>
            <w:tcW w:w="679" w:type="pct"/>
            <w:shd w:val="clear" w:color="auto" w:fill="auto"/>
          </w:tcPr>
          <w:p w:rsidR="002541A5" w:rsidRPr="00FD7C28" w:rsidRDefault="002541A5" w:rsidP="002541A5">
            <w:pPr>
              <w:keepNext/>
              <w:jc w:val="center"/>
              <w:rPr>
                <w:rFonts w:ascii="Arial Narrow" w:hAnsi="Arial Narrow"/>
                <w:bCs/>
                <w:color w:val="000000"/>
                <w:sz w:val="20"/>
              </w:rPr>
            </w:pPr>
            <w:r w:rsidRPr="00FD7C28">
              <w:rPr>
                <w:rFonts w:ascii="Arial Narrow" w:hAnsi="Arial Narrow"/>
                <w:sz w:val="20"/>
              </w:rPr>
              <w:t>19%</w:t>
            </w:r>
          </w:p>
        </w:tc>
        <w:tc>
          <w:tcPr>
            <w:tcW w:w="671" w:type="pct"/>
            <w:shd w:val="clear" w:color="auto" w:fill="auto"/>
          </w:tcPr>
          <w:p w:rsidR="002541A5" w:rsidRPr="00FD7C28" w:rsidRDefault="002541A5" w:rsidP="002541A5">
            <w:pPr>
              <w:keepNext/>
              <w:jc w:val="center"/>
              <w:rPr>
                <w:rFonts w:ascii="Arial Narrow" w:hAnsi="Arial Narrow"/>
                <w:bCs/>
                <w:color w:val="000000"/>
                <w:sz w:val="20"/>
              </w:rPr>
            </w:pPr>
            <w:r w:rsidRPr="00FD7C28">
              <w:rPr>
                <w:rFonts w:ascii="Arial Narrow" w:hAnsi="Arial Narrow"/>
                <w:sz w:val="20"/>
              </w:rPr>
              <w:t>21%</w:t>
            </w:r>
          </w:p>
        </w:tc>
      </w:tr>
      <w:tr w:rsidR="002541A5" w:rsidRPr="00FD7C28" w:rsidTr="002541A5">
        <w:tc>
          <w:tcPr>
            <w:tcW w:w="1698" w:type="pct"/>
            <w:shd w:val="clear" w:color="auto" w:fill="auto"/>
          </w:tcPr>
          <w:p w:rsidR="002541A5" w:rsidRPr="00FD7C28" w:rsidRDefault="002541A5" w:rsidP="002541A5">
            <w:pPr>
              <w:keepNext/>
              <w:tabs>
                <w:tab w:val="left" w:pos="142"/>
              </w:tabs>
              <w:jc w:val="left"/>
              <w:rPr>
                <w:rFonts w:ascii="Arial Narrow" w:hAnsi="Arial Narrow"/>
                <w:sz w:val="20"/>
              </w:rPr>
            </w:pPr>
            <w:r w:rsidRPr="00FD7C28">
              <w:rPr>
                <w:rFonts w:ascii="Arial Narrow" w:hAnsi="Arial Narrow"/>
                <w:sz w:val="20"/>
              </w:rPr>
              <w:t>EVG/c/FTC/TAF services (2 packs)</w:t>
            </w:r>
          </w:p>
        </w:tc>
        <w:tc>
          <w:tcPr>
            <w:tcW w:w="594" w:type="pct"/>
            <w:shd w:val="clear" w:color="auto" w:fill="auto"/>
            <w:vAlign w:val="bottom"/>
          </w:tcPr>
          <w:p w:rsidR="002541A5" w:rsidRPr="00602705" w:rsidRDefault="00602705" w:rsidP="002541A5">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bottom"/>
          </w:tcPr>
          <w:p w:rsidR="002541A5" w:rsidRPr="00602705" w:rsidRDefault="00602705" w:rsidP="002541A5">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bottom"/>
          </w:tcPr>
          <w:p w:rsidR="002541A5" w:rsidRPr="00602705" w:rsidRDefault="00602705" w:rsidP="002541A5">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bottom"/>
          </w:tcPr>
          <w:p w:rsidR="002541A5" w:rsidRPr="00602705" w:rsidRDefault="00602705" w:rsidP="002541A5">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1" w:type="pct"/>
            <w:shd w:val="clear" w:color="auto" w:fill="auto"/>
            <w:vAlign w:val="bottom"/>
          </w:tcPr>
          <w:p w:rsidR="002541A5" w:rsidRPr="00602705" w:rsidRDefault="00602705" w:rsidP="002541A5">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2541A5" w:rsidRPr="00EF6F2C" w:rsidTr="002541A5">
        <w:tc>
          <w:tcPr>
            <w:tcW w:w="5000" w:type="pct"/>
            <w:gridSpan w:val="6"/>
            <w:shd w:val="clear" w:color="auto" w:fill="auto"/>
            <w:vAlign w:val="center"/>
          </w:tcPr>
          <w:p w:rsidR="002541A5" w:rsidRPr="00FD7C28" w:rsidRDefault="002541A5" w:rsidP="002541A5">
            <w:pPr>
              <w:jc w:val="left"/>
              <w:rPr>
                <w:rFonts w:ascii="Arial Narrow" w:hAnsi="Arial Narrow"/>
                <w:b/>
                <w:bCs/>
                <w:color w:val="000000"/>
                <w:sz w:val="20"/>
              </w:rPr>
            </w:pPr>
            <w:r w:rsidRPr="00FD7C28">
              <w:rPr>
                <w:rFonts w:ascii="Arial Narrow" w:hAnsi="Arial Narrow"/>
                <w:b/>
                <w:bCs/>
                <w:color w:val="000000"/>
                <w:sz w:val="20"/>
              </w:rPr>
              <w:t>Estimated net cost to PBS/RPBS/MBS</w:t>
            </w:r>
          </w:p>
        </w:tc>
      </w:tr>
      <w:tr w:rsidR="002541A5" w:rsidRPr="00FD7C28" w:rsidTr="002541A5">
        <w:tc>
          <w:tcPr>
            <w:tcW w:w="1698" w:type="pct"/>
            <w:shd w:val="clear" w:color="auto" w:fill="auto"/>
            <w:vAlign w:val="center"/>
          </w:tcPr>
          <w:p w:rsidR="002541A5" w:rsidRPr="00673F01" w:rsidRDefault="002541A5" w:rsidP="002541A5">
            <w:pPr>
              <w:tabs>
                <w:tab w:val="left" w:pos="142"/>
              </w:tabs>
              <w:jc w:val="left"/>
              <w:rPr>
                <w:rFonts w:ascii="Arial Narrow" w:hAnsi="Arial Narrow"/>
                <w:sz w:val="20"/>
              </w:rPr>
            </w:pPr>
            <w:r w:rsidRPr="00754170">
              <w:rPr>
                <w:rFonts w:ascii="Arial Narrow" w:hAnsi="Arial Narrow"/>
                <w:sz w:val="19"/>
                <w:szCs w:val="19"/>
              </w:rPr>
              <w:t>Net cost to PBS</w:t>
            </w:r>
            <w:r w:rsidRPr="0017235C">
              <w:rPr>
                <w:rFonts w:ascii="Arial Narrow" w:hAnsi="Arial Narrow"/>
                <w:sz w:val="19"/>
                <w:szCs w:val="19"/>
              </w:rPr>
              <w:t>/RPBS</w:t>
            </w:r>
          </w:p>
        </w:tc>
        <w:tc>
          <w:tcPr>
            <w:tcW w:w="594" w:type="pct"/>
            <w:shd w:val="clear" w:color="auto" w:fill="auto"/>
            <w:vAlign w:val="bottom"/>
          </w:tcPr>
          <w:p w:rsidR="002541A5" w:rsidRPr="00FD7C28" w:rsidRDefault="002541A5" w:rsidP="002541A5">
            <w:pPr>
              <w:jc w:val="right"/>
              <w:rPr>
                <w:rFonts w:ascii="Arial Narrow" w:hAnsi="Arial Narrow"/>
                <w:bCs/>
                <w:color w:val="000000"/>
                <w:sz w:val="20"/>
              </w:rPr>
            </w:pPr>
            <w:r w:rsidRPr="00EF6F2C">
              <w:rPr>
                <w:rFonts w:ascii="Arial Narrow" w:hAnsi="Arial Narrow"/>
                <w:sz w:val="20"/>
              </w:rPr>
              <w:t>$</w:t>
            </w:r>
            <w:r w:rsidR="00602705">
              <w:rPr>
                <w:rFonts w:ascii="Arial Narrow" w:hAnsi="Arial Narrow"/>
                <w:noProof/>
                <w:color w:val="000000"/>
                <w:sz w:val="20"/>
                <w:highlight w:val="black"/>
              </w:rPr>
              <w:t>'''''''''''''''''''''''''</w:t>
            </w:r>
          </w:p>
        </w:tc>
        <w:tc>
          <w:tcPr>
            <w:tcW w:w="679" w:type="pct"/>
            <w:shd w:val="clear" w:color="auto" w:fill="auto"/>
            <w:vAlign w:val="bottom"/>
          </w:tcPr>
          <w:p w:rsidR="002541A5" w:rsidRPr="00FD7C28" w:rsidRDefault="002541A5" w:rsidP="002541A5">
            <w:pPr>
              <w:jc w:val="right"/>
              <w:rPr>
                <w:rFonts w:ascii="Arial Narrow" w:hAnsi="Arial Narrow"/>
                <w:bCs/>
                <w:color w:val="000000"/>
                <w:sz w:val="20"/>
              </w:rPr>
            </w:pPr>
            <w:r w:rsidRPr="00EF6F2C">
              <w:rPr>
                <w:rFonts w:ascii="Arial Narrow" w:hAnsi="Arial Narrow"/>
                <w:sz w:val="20"/>
              </w:rPr>
              <w:t>$</w:t>
            </w:r>
            <w:r w:rsidR="00602705">
              <w:rPr>
                <w:rFonts w:ascii="Arial Narrow" w:hAnsi="Arial Narrow"/>
                <w:noProof/>
                <w:color w:val="000000"/>
                <w:sz w:val="20"/>
                <w:highlight w:val="black"/>
              </w:rPr>
              <w:t>''''''''''''''''''''''''''</w:t>
            </w:r>
          </w:p>
        </w:tc>
        <w:tc>
          <w:tcPr>
            <w:tcW w:w="678" w:type="pct"/>
            <w:shd w:val="clear" w:color="auto" w:fill="auto"/>
            <w:vAlign w:val="bottom"/>
          </w:tcPr>
          <w:p w:rsidR="002541A5" w:rsidRPr="00FD7C28" w:rsidRDefault="002541A5" w:rsidP="002541A5">
            <w:pPr>
              <w:jc w:val="right"/>
              <w:rPr>
                <w:rFonts w:ascii="Arial Narrow" w:hAnsi="Arial Narrow"/>
                <w:bCs/>
                <w:color w:val="000000"/>
                <w:sz w:val="20"/>
              </w:rPr>
            </w:pPr>
            <w:r w:rsidRPr="00EF6F2C">
              <w:rPr>
                <w:rFonts w:ascii="Arial Narrow" w:hAnsi="Arial Narrow"/>
                <w:sz w:val="20"/>
              </w:rPr>
              <w:t>$</w:t>
            </w:r>
            <w:r w:rsidR="00602705">
              <w:rPr>
                <w:rFonts w:ascii="Arial Narrow" w:hAnsi="Arial Narrow"/>
                <w:noProof/>
                <w:color w:val="000000"/>
                <w:sz w:val="20"/>
                <w:highlight w:val="black"/>
              </w:rPr>
              <w:t>''''''''''''''''''''''''''''</w:t>
            </w:r>
          </w:p>
        </w:tc>
        <w:tc>
          <w:tcPr>
            <w:tcW w:w="679" w:type="pct"/>
            <w:shd w:val="clear" w:color="auto" w:fill="auto"/>
            <w:vAlign w:val="bottom"/>
          </w:tcPr>
          <w:p w:rsidR="002541A5" w:rsidRPr="00FD7C28" w:rsidRDefault="002541A5" w:rsidP="002541A5">
            <w:pPr>
              <w:jc w:val="right"/>
              <w:rPr>
                <w:rFonts w:ascii="Arial Narrow" w:hAnsi="Arial Narrow"/>
                <w:bCs/>
                <w:color w:val="000000"/>
                <w:sz w:val="20"/>
              </w:rPr>
            </w:pPr>
            <w:r w:rsidRPr="00EF6F2C">
              <w:rPr>
                <w:rFonts w:ascii="Arial Narrow" w:hAnsi="Arial Narrow"/>
                <w:sz w:val="20"/>
              </w:rPr>
              <w:t>$</w:t>
            </w:r>
            <w:r w:rsidR="00602705">
              <w:rPr>
                <w:rFonts w:ascii="Arial Narrow" w:hAnsi="Arial Narrow"/>
                <w:noProof/>
                <w:color w:val="000000"/>
                <w:sz w:val="20"/>
                <w:highlight w:val="black"/>
              </w:rPr>
              <w:t>''''''''''''''''''''''''''</w:t>
            </w:r>
          </w:p>
        </w:tc>
        <w:tc>
          <w:tcPr>
            <w:tcW w:w="671" w:type="pct"/>
            <w:shd w:val="clear" w:color="auto" w:fill="auto"/>
            <w:vAlign w:val="bottom"/>
          </w:tcPr>
          <w:p w:rsidR="002541A5" w:rsidRPr="00FD7C28" w:rsidRDefault="002541A5" w:rsidP="002541A5">
            <w:pPr>
              <w:jc w:val="right"/>
              <w:rPr>
                <w:rFonts w:ascii="Arial Narrow" w:hAnsi="Arial Narrow"/>
                <w:bCs/>
                <w:color w:val="000000"/>
                <w:sz w:val="20"/>
              </w:rPr>
            </w:pPr>
            <w:r w:rsidRPr="00EF6F2C">
              <w:rPr>
                <w:rFonts w:ascii="Arial Narrow" w:hAnsi="Arial Narrow"/>
                <w:sz w:val="20"/>
              </w:rPr>
              <w:t>$</w:t>
            </w:r>
            <w:r w:rsidR="00602705">
              <w:rPr>
                <w:rFonts w:ascii="Arial Narrow" w:hAnsi="Arial Narrow"/>
                <w:noProof/>
                <w:color w:val="000000"/>
                <w:sz w:val="20"/>
                <w:highlight w:val="black"/>
              </w:rPr>
              <w:t>'''''''''''''''''''''''''''''</w:t>
            </w:r>
          </w:p>
        </w:tc>
      </w:tr>
      <w:tr w:rsidR="002541A5" w:rsidRPr="00EF6F2C" w:rsidTr="002541A5">
        <w:tc>
          <w:tcPr>
            <w:tcW w:w="1698" w:type="pct"/>
            <w:shd w:val="clear" w:color="auto" w:fill="auto"/>
            <w:vAlign w:val="center"/>
          </w:tcPr>
          <w:p w:rsidR="002541A5" w:rsidRPr="00FD7C28" w:rsidRDefault="002541A5" w:rsidP="002541A5">
            <w:pPr>
              <w:tabs>
                <w:tab w:val="left" w:pos="142"/>
              </w:tabs>
              <w:jc w:val="left"/>
              <w:rPr>
                <w:rFonts w:ascii="Arial Narrow" w:hAnsi="Arial Narrow"/>
                <w:sz w:val="20"/>
              </w:rPr>
            </w:pPr>
            <w:r w:rsidRPr="00FD7C28">
              <w:rPr>
                <w:rFonts w:ascii="Arial Narrow" w:hAnsi="Arial Narrow"/>
                <w:sz w:val="20"/>
              </w:rPr>
              <w:t>Net cost saving to PBS/RPBS</w:t>
            </w:r>
          </w:p>
        </w:tc>
        <w:tc>
          <w:tcPr>
            <w:tcW w:w="594" w:type="pct"/>
            <w:shd w:val="clear" w:color="auto" w:fill="auto"/>
            <w:vAlign w:val="bottom"/>
          </w:tcPr>
          <w:p w:rsidR="002541A5" w:rsidRPr="00FD7C28" w:rsidRDefault="002541A5" w:rsidP="002541A5">
            <w:pPr>
              <w:jc w:val="right"/>
              <w:rPr>
                <w:rFonts w:ascii="Arial Narrow" w:hAnsi="Arial Narrow"/>
                <w:bCs/>
                <w:color w:val="000000"/>
                <w:sz w:val="20"/>
              </w:rPr>
            </w:pPr>
            <w:r w:rsidRPr="00EF6F2C">
              <w:rPr>
                <w:rFonts w:ascii="Arial Narrow" w:hAnsi="Arial Narrow"/>
                <w:sz w:val="20"/>
              </w:rPr>
              <w:t>-$</w:t>
            </w:r>
            <w:r w:rsidR="00602705">
              <w:rPr>
                <w:rFonts w:ascii="Arial Narrow" w:hAnsi="Arial Narrow"/>
                <w:noProof/>
                <w:color w:val="000000"/>
                <w:sz w:val="20"/>
                <w:highlight w:val="black"/>
              </w:rPr>
              <w:t>''''''''''''''''''''''</w:t>
            </w:r>
          </w:p>
        </w:tc>
        <w:tc>
          <w:tcPr>
            <w:tcW w:w="679" w:type="pct"/>
            <w:shd w:val="clear" w:color="auto" w:fill="auto"/>
            <w:vAlign w:val="bottom"/>
          </w:tcPr>
          <w:p w:rsidR="002541A5" w:rsidRPr="00FD7C28" w:rsidRDefault="002541A5" w:rsidP="002541A5">
            <w:pPr>
              <w:jc w:val="right"/>
              <w:rPr>
                <w:rFonts w:ascii="Arial Narrow" w:hAnsi="Arial Narrow"/>
                <w:bCs/>
                <w:color w:val="000000"/>
                <w:sz w:val="20"/>
              </w:rPr>
            </w:pPr>
            <w:r w:rsidRPr="00EF6F2C">
              <w:rPr>
                <w:rFonts w:ascii="Arial Narrow" w:hAnsi="Arial Narrow"/>
                <w:sz w:val="20"/>
              </w:rPr>
              <w:t>-$</w:t>
            </w:r>
            <w:r w:rsidR="00602705">
              <w:rPr>
                <w:rFonts w:ascii="Arial Narrow" w:hAnsi="Arial Narrow"/>
                <w:noProof/>
                <w:color w:val="000000"/>
                <w:sz w:val="20"/>
                <w:highlight w:val="black"/>
              </w:rPr>
              <w:t>'''''''''''''''''''''''''''</w:t>
            </w:r>
          </w:p>
        </w:tc>
        <w:tc>
          <w:tcPr>
            <w:tcW w:w="678" w:type="pct"/>
            <w:shd w:val="clear" w:color="auto" w:fill="auto"/>
            <w:vAlign w:val="bottom"/>
          </w:tcPr>
          <w:p w:rsidR="002541A5" w:rsidRPr="00FD7C28" w:rsidRDefault="002541A5" w:rsidP="002541A5">
            <w:pPr>
              <w:jc w:val="right"/>
              <w:rPr>
                <w:rFonts w:ascii="Arial Narrow" w:hAnsi="Arial Narrow"/>
                <w:bCs/>
                <w:color w:val="000000"/>
                <w:sz w:val="20"/>
              </w:rPr>
            </w:pPr>
            <w:r w:rsidRPr="00EF6F2C">
              <w:rPr>
                <w:rFonts w:ascii="Arial Narrow" w:hAnsi="Arial Narrow"/>
                <w:sz w:val="20"/>
              </w:rPr>
              <w:t>-$</w:t>
            </w:r>
            <w:r w:rsidR="00602705">
              <w:rPr>
                <w:rFonts w:ascii="Arial Narrow" w:hAnsi="Arial Narrow"/>
                <w:noProof/>
                <w:color w:val="000000"/>
                <w:sz w:val="20"/>
                <w:highlight w:val="black"/>
              </w:rPr>
              <w:t>''''''''''''''''''''''''''''</w:t>
            </w:r>
          </w:p>
        </w:tc>
        <w:tc>
          <w:tcPr>
            <w:tcW w:w="679" w:type="pct"/>
            <w:shd w:val="clear" w:color="auto" w:fill="auto"/>
            <w:vAlign w:val="bottom"/>
          </w:tcPr>
          <w:p w:rsidR="002541A5" w:rsidRPr="00FD7C28" w:rsidRDefault="002541A5" w:rsidP="002541A5">
            <w:pPr>
              <w:jc w:val="right"/>
              <w:rPr>
                <w:rFonts w:ascii="Arial Narrow" w:hAnsi="Arial Narrow"/>
                <w:bCs/>
                <w:color w:val="000000"/>
                <w:sz w:val="20"/>
              </w:rPr>
            </w:pPr>
            <w:r w:rsidRPr="00EF6F2C">
              <w:rPr>
                <w:rFonts w:ascii="Arial Narrow" w:hAnsi="Arial Narrow"/>
                <w:sz w:val="20"/>
              </w:rPr>
              <w:t>-$</w:t>
            </w:r>
            <w:r w:rsidR="00602705">
              <w:rPr>
                <w:rFonts w:ascii="Arial Narrow" w:hAnsi="Arial Narrow"/>
                <w:noProof/>
                <w:color w:val="000000"/>
                <w:sz w:val="20"/>
                <w:highlight w:val="black"/>
              </w:rPr>
              <w:t>''''''''''''''''''''''''</w:t>
            </w:r>
          </w:p>
        </w:tc>
        <w:tc>
          <w:tcPr>
            <w:tcW w:w="671" w:type="pct"/>
            <w:shd w:val="clear" w:color="auto" w:fill="auto"/>
            <w:vAlign w:val="bottom"/>
          </w:tcPr>
          <w:p w:rsidR="002541A5" w:rsidRPr="00FD7C28" w:rsidRDefault="002541A5" w:rsidP="002541A5">
            <w:pPr>
              <w:jc w:val="right"/>
              <w:rPr>
                <w:rFonts w:ascii="Arial Narrow" w:hAnsi="Arial Narrow"/>
                <w:bCs/>
                <w:color w:val="000000"/>
                <w:sz w:val="20"/>
              </w:rPr>
            </w:pPr>
            <w:r w:rsidRPr="00EF6F2C">
              <w:rPr>
                <w:rFonts w:ascii="Arial Narrow" w:hAnsi="Arial Narrow"/>
                <w:sz w:val="20"/>
              </w:rPr>
              <w:t>-$</w:t>
            </w:r>
            <w:r w:rsidR="00602705">
              <w:rPr>
                <w:rFonts w:ascii="Arial Narrow" w:hAnsi="Arial Narrow"/>
                <w:noProof/>
                <w:color w:val="000000"/>
                <w:sz w:val="20"/>
                <w:highlight w:val="black"/>
              </w:rPr>
              <w:t>''''''''''''''''''''''''''''</w:t>
            </w:r>
          </w:p>
        </w:tc>
      </w:tr>
      <w:tr w:rsidR="002541A5" w:rsidRPr="00EF6F2C" w:rsidTr="002541A5">
        <w:tc>
          <w:tcPr>
            <w:tcW w:w="1698" w:type="pct"/>
            <w:shd w:val="clear" w:color="auto" w:fill="auto"/>
            <w:vAlign w:val="center"/>
          </w:tcPr>
          <w:p w:rsidR="002541A5" w:rsidRPr="00EF6F2C" w:rsidRDefault="002541A5" w:rsidP="002541A5">
            <w:pPr>
              <w:tabs>
                <w:tab w:val="left" w:pos="142"/>
              </w:tabs>
              <w:jc w:val="left"/>
              <w:rPr>
                <w:rFonts w:ascii="Arial Narrow" w:hAnsi="Arial Narrow"/>
                <w:sz w:val="19"/>
                <w:szCs w:val="19"/>
              </w:rPr>
            </w:pPr>
            <w:r w:rsidRPr="00EF6F2C">
              <w:rPr>
                <w:rFonts w:ascii="Arial Narrow" w:hAnsi="Arial Narrow"/>
                <w:sz w:val="19"/>
                <w:szCs w:val="19"/>
              </w:rPr>
              <w:t>Net cost to MBS</w:t>
            </w:r>
          </w:p>
        </w:tc>
        <w:tc>
          <w:tcPr>
            <w:tcW w:w="594" w:type="pct"/>
            <w:shd w:val="clear" w:color="auto" w:fill="auto"/>
          </w:tcPr>
          <w:p w:rsidR="002541A5" w:rsidRPr="00EF6F2C" w:rsidRDefault="002541A5" w:rsidP="002541A5">
            <w:pPr>
              <w:jc w:val="right"/>
              <w:rPr>
                <w:rFonts w:ascii="Arial Narrow" w:hAnsi="Arial Narrow"/>
                <w:sz w:val="20"/>
              </w:rPr>
            </w:pPr>
            <w:r w:rsidRPr="00EF6F2C">
              <w:rPr>
                <w:rFonts w:ascii="Arial Narrow" w:hAnsi="Arial Narrow"/>
                <w:bCs/>
                <w:sz w:val="20"/>
              </w:rPr>
              <w:t>$0</w:t>
            </w:r>
          </w:p>
        </w:tc>
        <w:tc>
          <w:tcPr>
            <w:tcW w:w="679" w:type="pct"/>
            <w:shd w:val="clear" w:color="auto" w:fill="auto"/>
          </w:tcPr>
          <w:p w:rsidR="002541A5" w:rsidRPr="00EF6F2C" w:rsidRDefault="002541A5" w:rsidP="002541A5">
            <w:pPr>
              <w:jc w:val="right"/>
              <w:rPr>
                <w:rFonts w:ascii="Arial Narrow" w:hAnsi="Arial Narrow"/>
                <w:sz w:val="20"/>
              </w:rPr>
            </w:pPr>
            <w:r w:rsidRPr="00FD7C28">
              <w:rPr>
                <w:rFonts w:ascii="Arial Narrow" w:hAnsi="Arial Narrow"/>
                <w:bCs/>
                <w:sz w:val="20"/>
              </w:rPr>
              <w:t>$0</w:t>
            </w:r>
          </w:p>
        </w:tc>
        <w:tc>
          <w:tcPr>
            <w:tcW w:w="678" w:type="pct"/>
            <w:shd w:val="clear" w:color="auto" w:fill="auto"/>
          </w:tcPr>
          <w:p w:rsidR="002541A5" w:rsidRPr="00EF6F2C" w:rsidRDefault="002541A5" w:rsidP="002541A5">
            <w:pPr>
              <w:jc w:val="right"/>
              <w:rPr>
                <w:rFonts w:ascii="Arial Narrow" w:hAnsi="Arial Narrow"/>
                <w:sz w:val="20"/>
              </w:rPr>
            </w:pPr>
            <w:r w:rsidRPr="00FD7C28">
              <w:rPr>
                <w:rFonts w:ascii="Arial Narrow" w:hAnsi="Arial Narrow"/>
                <w:bCs/>
                <w:sz w:val="20"/>
              </w:rPr>
              <w:t>$0</w:t>
            </w:r>
          </w:p>
        </w:tc>
        <w:tc>
          <w:tcPr>
            <w:tcW w:w="679" w:type="pct"/>
            <w:shd w:val="clear" w:color="auto" w:fill="auto"/>
          </w:tcPr>
          <w:p w:rsidR="002541A5" w:rsidRPr="00EF6F2C" w:rsidRDefault="002541A5" w:rsidP="002541A5">
            <w:pPr>
              <w:jc w:val="right"/>
              <w:rPr>
                <w:rFonts w:ascii="Arial Narrow" w:hAnsi="Arial Narrow"/>
                <w:sz w:val="20"/>
              </w:rPr>
            </w:pPr>
            <w:r w:rsidRPr="00FD7C28">
              <w:rPr>
                <w:rFonts w:ascii="Arial Narrow" w:hAnsi="Arial Narrow"/>
                <w:bCs/>
                <w:sz w:val="20"/>
              </w:rPr>
              <w:t>$0</w:t>
            </w:r>
          </w:p>
        </w:tc>
        <w:tc>
          <w:tcPr>
            <w:tcW w:w="671" w:type="pct"/>
            <w:shd w:val="clear" w:color="auto" w:fill="auto"/>
          </w:tcPr>
          <w:p w:rsidR="002541A5" w:rsidRPr="00EF6F2C" w:rsidRDefault="002541A5" w:rsidP="002541A5">
            <w:pPr>
              <w:jc w:val="right"/>
              <w:rPr>
                <w:rFonts w:ascii="Arial Narrow" w:hAnsi="Arial Narrow"/>
                <w:sz w:val="20"/>
              </w:rPr>
            </w:pPr>
            <w:r w:rsidRPr="00FD7C28">
              <w:rPr>
                <w:rFonts w:ascii="Arial Narrow" w:hAnsi="Arial Narrow"/>
                <w:bCs/>
                <w:sz w:val="20"/>
              </w:rPr>
              <w:t>$0</w:t>
            </w:r>
          </w:p>
        </w:tc>
      </w:tr>
      <w:tr w:rsidR="002541A5" w:rsidRPr="00FD7C28" w:rsidTr="002541A5">
        <w:tc>
          <w:tcPr>
            <w:tcW w:w="5000" w:type="pct"/>
            <w:gridSpan w:val="6"/>
            <w:shd w:val="clear" w:color="auto" w:fill="auto"/>
            <w:vAlign w:val="center"/>
          </w:tcPr>
          <w:p w:rsidR="002541A5" w:rsidRPr="00754170" w:rsidRDefault="002541A5" w:rsidP="002541A5">
            <w:pPr>
              <w:jc w:val="left"/>
              <w:rPr>
                <w:rFonts w:ascii="Arial Narrow" w:hAnsi="Arial Narrow"/>
                <w:b/>
                <w:color w:val="000000"/>
                <w:sz w:val="20"/>
              </w:rPr>
            </w:pPr>
            <w:r w:rsidRPr="00754170">
              <w:rPr>
                <w:rFonts w:ascii="Arial Narrow" w:hAnsi="Arial Narrow"/>
                <w:b/>
                <w:color w:val="000000"/>
                <w:sz w:val="20"/>
              </w:rPr>
              <w:t>Estimated total net cost</w:t>
            </w:r>
          </w:p>
        </w:tc>
      </w:tr>
      <w:tr w:rsidR="002541A5" w:rsidRPr="00FD7C28" w:rsidTr="002541A5">
        <w:tc>
          <w:tcPr>
            <w:tcW w:w="1698" w:type="pct"/>
            <w:shd w:val="clear" w:color="auto" w:fill="auto"/>
            <w:vAlign w:val="center"/>
          </w:tcPr>
          <w:p w:rsidR="002541A5" w:rsidRPr="00FD7C28" w:rsidRDefault="002541A5" w:rsidP="002541A5">
            <w:pPr>
              <w:tabs>
                <w:tab w:val="left" w:pos="142"/>
              </w:tabs>
              <w:jc w:val="left"/>
              <w:rPr>
                <w:rFonts w:ascii="Arial Narrow" w:hAnsi="Arial Narrow"/>
                <w:b/>
                <w:sz w:val="20"/>
              </w:rPr>
            </w:pPr>
            <w:r w:rsidRPr="00FD7C28">
              <w:rPr>
                <w:rFonts w:ascii="Arial Narrow" w:hAnsi="Arial Narrow"/>
                <w:b/>
                <w:bCs/>
                <w:color w:val="000000"/>
                <w:sz w:val="20"/>
              </w:rPr>
              <w:t>Net cost to PBS/RPBS/MBS</w:t>
            </w:r>
          </w:p>
        </w:tc>
        <w:tc>
          <w:tcPr>
            <w:tcW w:w="594" w:type="pct"/>
            <w:shd w:val="clear" w:color="auto" w:fill="auto"/>
          </w:tcPr>
          <w:p w:rsidR="002541A5" w:rsidRPr="00FD7C28" w:rsidRDefault="002541A5" w:rsidP="002541A5">
            <w:pPr>
              <w:jc w:val="right"/>
              <w:rPr>
                <w:rFonts w:ascii="Arial Narrow" w:hAnsi="Arial Narrow"/>
                <w:color w:val="000000"/>
                <w:sz w:val="20"/>
              </w:rPr>
            </w:pPr>
            <w:r w:rsidRPr="00FD7C28">
              <w:rPr>
                <w:rFonts w:ascii="Arial Narrow" w:hAnsi="Arial Narrow"/>
                <w:b/>
                <w:bCs/>
                <w:sz w:val="20"/>
              </w:rPr>
              <w:t>$0</w:t>
            </w:r>
          </w:p>
        </w:tc>
        <w:tc>
          <w:tcPr>
            <w:tcW w:w="679" w:type="pct"/>
            <w:shd w:val="clear" w:color="auto" w:fill="auto"/>
          </w:tcPr>
          <w:p w:rsidR="002541A5" w:rsidRPr="00FD7C28" w:rsidRDefault="002541A5" w:rsidP="002541A5">
            <w:pPr>
              <w:jc w:val="right"/>
              <w:rPr>
                <w:rFonts w:ascii="Arial Narrow" w:hAnsi="Arial Narrow"/>
                <w:color w:val="000000"/>
                <w:sz w:val="20"/>
              </w:rPr>
            </w:pPr>
            <w:r w:rsidRPr="00FD7C28">
              <w:rPr>
                <w:rFonts w:ascii="Arial Narrow" w:hAnsi="Arial Narrow"/>
                <w:b/>
                <w:bCs/>
                <w:sz w:val="20"/>
              </w:rPr>
              <w:t>$0</w:t>
            </w:r>
          </w:p>
        </w:tc>
        <w:tc>
          <w:tcPr>
            <w:tcW w:w="678" w:type="pct"/>
            <w:shd w:val="clear" w:color="auto" w:fill="auto"/>
          </w:tcPr>
          <w:p w:rsidR="002541A5" w:rsidRPr="00FD7C28" w:rsidRDefault="002541A5" w:rsidP="002541A5">
            <w:pPr>
              <w:jc w:val="right"/>
              <w:rPr>
                <w:rFonts w:ascii="Arial Narrow" w:hAnsi="Arial Narrow"/>
                <w:color w:val="000000"/>
                <w:sz w:val="20"/>
              </w:rPr>
            </w:pPr>
            <w:r w:rsidRPr="00FD7C28">
              <w:rPr>
                <w:rFonts w:ascii="Arial Narrow" w:hAnsi="Arial Narrow"/>
                <w:b/>
                <w:bCs/>
                <w:sz w:val="20"/>
              </w:rPr>
              <w:t>$0</w:t>
            </w:r>
          </w:p>
        </w:tc>
        <w:tc>
          <w:tcPr>
            <w:tcW w:w="679" w:type="pct"/>
            <w:shd w:val="clear" w:color="auto" w:fill="auto"/>
          </w:tcPr>
          <w:p w:rsidR="002541A5" w:rsidRPr="00FD7C28" w:rsidRDefault="002541A5" w:rsidP="002541A5">
            <w:pPr>
              <w:jc w:val="right"/>
              <w:rPr>
                <w:rFonts w:ascii="Arial Narrow" w:hAnsi="Arial Narrow"/>
                <w:color w:val="000000"/>
                <w:sz w:val="20"/>
              </w:rPr>
            </w:pPr>
            <w:r w:rsidRPr="00FD7C28">
              <w:rPr>
                <w:rFonts w:ascii="Arial Narrow" w:hAnsi="Arial Narrow"/>
                <w:b/>
                <w:bCs/>
                <w:sz w:val="20"/>
              </w:rPr>
              <w:t>$0</w:t>
            </w:r>
          </w:p>
        </w:tc>
        <w:tc>
          <w:tcPr>
            <w:tcW w:w="671" w:type="pct"/>
            <w:shd w:val="clear" w:color="auto" w:fill="auto"/>
          </w:tcPr>
          <w:p w:rsidR="002541A5" w:rsidRPr="00FD7C28" w:rsidRDefault="002541A5" w:rsidP="002541A5">
            <w:pPr>
              <w:jc w:val="right"/>
              <w:rPr>
                <w:rFonts w:ascii="Arial Narrow" w:hAnsi="Arial Narrow"/>
                <w:color w:val="000000"/>
                <w:sz w:val="20"/>
              </w:rPr>
            </w:pPr>
            <w:r w:rsidRPr="00FD7C28">
              <w:rPr>
                <w:rFonts w:ascii="Arial Narrow" w:hAnsi="Arial Narrow"/>
                <w:b/>
                <w:bCs/>
                <w:sz w:val="20"/>
              </w:rPr>
              <w:t>$0</w:t>
            </w:r>
          </w:p>
        </w:tc>
      </w:tr>
    </w:tbl>
    <w:p w:rsidR="002541A5" w:rsidRPr="00EF6F2C" w:rsidRDefault="002541A5" w:rsidP="002541A5">
      <w:pPr>
        <w:ind w:firstLine="720"/>
        <w:rPr>
          <w:rFonts w:ascii="Arial Narrow" w:hAnsi="Arial Narrow"/>
          <w:sz w:val="18"/>
          <w:szCs w:val="18"/>
        </w:rPr>
      </w:pPr>
      <w:r w:rsidRPr="00FD7C28">
        <w:rPr>
          <w:rFonts w:ascii="Arial Narrow" w:hAnsi="Arial Narrow"/>
          <w:sz w:val="18"/>
          <w:szCs w:val="18"/>
        </w:rPr>
        <w:t xml:space="preserve">Source: ‘ECFTAF PBAC submission_Section E Workbook FINAL.xlsx’; and </w:t>
      </w:r>
      <w:r w:rsidRPr="00EF6F2C">
        <w:rPr>
          <w:rFonts w:ascii="Arial Narrow" w:hAnsi="Arial Narrow"/>
          <w:sz w:val="18"/>
          <w:szCs w:val="18"/>
        </w:rPr>
        <w:t>calculated during evaluation</w:t>
      </w:r>
    </w:p>
    <w:p w:rsidR="002541A5" w:rsidRPr="00F43587" w:rsidRDefault="002541A5" w:rsidP="002541A5">
      <w:pPr>
        <w:ind w:left="720"/>
        <w:rPr>
          <w:rFonts w:ascii="Arial Narrow" w:hAnsi="Arial Narrow"/>
          <w:sz w:val="18"/>
          <w:szCs w:val="18"/>
        </w:rPr>
      </w:pPr>
      <w:r w:rsidRPr="00FD7C28">
        <w:rPr>
          <w:rFonts w:ascii="Arial Narrow" w:hAnsi="Arial Narrow"/>
          <w:sz w:val="18"/>
          <w:szCs w:val="18"/>
        </w:rPr>
        <w:t>c = cobicistat; EVG = elvitegravir; FTC = emtricitabine; HIV = human immunodeficiency virus; MBS = Medicare Benefits Schedule; PBS = Pharmaceutical Benefits Scheme; RPBS = Repatriation Pharmaceutical Benefits Scheme; TAF = tenofovir alafenamide</w:t>
      </w:r>
    </w:p>
    <w:p w:rsidR="002541A5" w:rsidRPr="00EF6F2C" w:rsidRDefault="002541A5" w:rsidP="002541A5">
      <w:pPr>
        <w:pStyle w:val="TableFooter"/>
        <w:ind w:firstLine="720"/>
        <w:rPr>
          <w:szCs w:val="22"/>
        </w:rPr>
      </w:pPr>
    </w:p>
    <w:p w:rsidR="001C0941" w:rsidRPr="00EF6F2C" w:rsidRDefault="001C0941" w:rsidP="00A16C47">
      <w:pPr>
        <w:pStyle w:val="ListParagraph"/>
        <w:widowControl/>
        <w:numPr>
          <w:ilvl w:val="1"/>
          <w:numId w:val="9"/>
        </w:numPr>
        <w:rPr>
          <w:szCs w:val="22"/>
        </w:rPr>
      </w:pPr>
      <w:r w:rsidRPr="00EF6F2C">
        <w:rPr>
          <w:szCs w:val="22"/>
        </w:rPr>
        <w:t xml:space="preserve">It was estimated that there would be </w:t>
      </w:r>
      <w:r w:rsidR="00602705">
        <w:rPr>
          <w:noProof/>
          <w:color w:val="000000"/>
          <w:szCs w:val="22"/>
          <w:highlight w:val="black"/>
        </w:rPr>
        <w:t>'''''''''''''''''</w:t>
      </w:r>
      <w:r w:rsidRPr="00EF6F2C">
        <w:rPr>
          <w:szCs w:val="22"/>
        </w:rPr>
        <w:t xml:space="preserve"> dispensings (60 tablets) of EVG/c/FTC/tenofovir alafenamide FDC in Year 5 of listing. This corresponds to a net cost to the PBS/RPBS of approximately </w:t>
      </w:r>
      <w:r w:rsidR="00E34409" w:rsidRPr="00E34409">
        <w:rPr>
          <w:i/>
          <w:szCs w:val="22"/>
        </w:rPr>
        <w:t xml:space="preserve">$30 – </w:t>
      </w:r>
      <w:r w:rsidR="00E34409">
        <w:rPr>
          <w:i/>
          <w:szCs w:val="22"/>
        </w:rPr>
        <w:t>$</w:t>
      </w:r>
      <w:r w:rsidR="00E34409" w:rsidRPr="00E34409">
        <w:rPr>
          <w:i/>
          <w:szCs w:val="22"/>
        </w:rPr>
        <w:t xml:space="preserve">60 million </w:t>
      </w:r>
      <w:r w:rsidR="00A73349">
        <w:rPr>
          <w:szCs w:val="22"/>
        </w:rPr>
        <w:t xml:space="preserve">in Year 5 and of </w:t>
      </w:r>
      <w:r w:rsidR="00A16C47" w:rsidRPr="00B36C0A">
        <w:rPr>
          <w:i/>
          <w:szCs w:val="22"/>
        </w:rPr>
        <w:t>$60 – $100 million</w:t>
      </w:r>
      <w:r w:rsidR="00A16C47" w:rsidRPr="00B36C0A">
        <w:rPr>
          <w:szCs w:val="22"/>
        </w:rPr>
        <w:t xml:space="preserve"> </w:t>
      </w:r>
      <w:r w:rsidRPr="00EF6F2C">
        <w:rPr>
          <w:szCs w:val="22"/>
        </w:rPr>
        <w:t xml:space="preserve">over the first five years. </w:t>
      </w:r>
    </w:p>
    <w:p w:rsidR="001C0941" w:rsidRPr="00754170" w:rsidRDefault="001C0941" w:rsidP="007E3324">
      <w:pPr>
        <w:rPr>
          <w:szCs w:val="22"/>
        </w:rPr>
      </w:pPr>
    </w:p>
    <w:p w:rsidR="001C0941" w:rsidRPr="00EF6F2C" w:rsidRDefault="001C0941" w:rsidP="001C0941">
      <w:pPr>
        <w:pStyle w:val="ListParagraph"/>
        <w:widowControl/>
        <w:numPr>
          <w:ilvl w:val="1"/>
          <w:numId w:val="9"/>
        </w:numPr>
        <w:rPr>
          <w:szCs w:val="22"/>
        </w:rPr>
      </w:pPr>
      <w:r w:rsidRPr="00EF6F2C">
        <w:rPr>
          <w:szCs w:val="22"/>
        </w:rPr>
        <w:t xml:space="preserve">The ESC </w:t>
      </w:r>
      <w:r w:rsidR="007E3324" w:rsidRPr="00EF6F2C">
        <w:rPr>
          <w:szCs w:val="22"/>
        </w:rPr>
        <w:t xml:space="preserve">noted </w:t>
      </w:r>
      <w:r w:rsidR="007E3324" w:rsidRPr="00FD7C28">
        <w:rPr>
          <w:szCs w:val="22"/>
        </w:rPr>
        <w:t>it was unknown</w:t>
      </w:r>
      <w:r w:rsidRPr="00EF6F2C">
        <w:rPr>
          <w:szCs w:val="22"/>
        </w:rPr>
        <w:t xml:space="preserve"> </w:t>
      </w:r>
      <w:r w:rsidRPr="00FD7C28">
        <w:rPr>
          <w:szCs w:val="22"/>
        </w:rPr>
        <w:t>whether utilisation and cost estimates were an over or underestimation as:</w:t>
      </w:r>
    </w:p>
    <w:p w:rsidR="001C0941" w:rsidRPr="00F43587" w:rsidRDefault="001C0941" w:rsidP="001C0941">
      <w:pPr>
        <w:pStyle w:val="ListParagraph"/>
        <w:numPr>
          <w:ilvl w:val="0"/>
          <w:numId w:val="23"/>
        </w:numPr>
        <w:ind w:left="993" w:hanging="284"/>
        <w:rPr>
          <w:szCs w:val="22"/>
        </w:rPr>
      </w:pPr>
      <w:r w:rsidRPr="00FD7C28">
        <w:rPr>
          <w:szCs w:val="22"/>
        </w:rPr>
        <w:t>there was considerable uncertainty around the projected market for EVG/c/FTC/tenofovir alafenamide FDC, due to the use of a linear extrapolation to project HIV single tablet market growth (overe</w:t>
      </w:r>
      <w:r w:rsidRPr="00F43587">
        <w:rPr>
          <w:szCs w:val="22"/>
        </w:rPr>
        <w:t>stimation);</w:t>
      </w:r>
    </w:p>
    <w:p w:rsidR="001C0941" w:rsidRPr="00EF6F2C" w:rsidRDefault="001C0941" w:rsidP="001C0941">
      <w:pPr>
        <w:pStyle w:val="ListParagraph"/>
        <w:numPr>
          <w:ilvl w:val="0"/>
          <w:numId w:val="23"/>
        </w:numPr>
        <w:ind w:left="993" w:hanging="284"/>
        <w:rPr>
          <w:szCs w:val="22"/>
        </w:rPr>
      </w:pPr>
      <w:r w:rsidRPr="00EF6F2C">
        <w:rPr>
          <w:szCs w:val="22"/>
        </w:rPr>
        <w:t xml:space="preserve">the assumed uptake rates for EVG/c/FTC/tenofovir alafenamide FDC were not justified (over or underestimation); </w:t>
      </w:r>
    </w:p>
    <w:p w:rsidR="001C0941" w:rsidRPr="00754170" w:rsidRDefault="001C0941" w:rsidP="001C0941">
      <w:pPr>
        <w:pStyle w:val="ListParagraph"/>
        <w:numPr>
          <w:ilvl w:val="0"/>
          <w:numId w:val="23"/>
        </w:numPr>
        <w:ind w:left="993" w:hanging="284"/>
        <w:rPr>
          <w:szCs w:val="22"/>
        </w:rPr>
      </w:pPr>
      <w:r w:rsidRPr="00EF6F2C">
        <w:rPr>
          <w:szCs w:val="22"/>
        </w:rPr>
        <w:t>the proposed TGA indication for EVG/c/FTC/tenofovir alafenamide FDC includes adolescent patients and patents with mild to moderate r</w:t>
      </w:r>
      <w:r w:rsidRPr="00754170">
        <w:rPr>
          <w:szCs w:val="22"/>
        </w:rPr>
        <w:t>enal failure. For those patients fewer single tablet options are available (underestimate); and</w:t>
      </w:r>
    </w:p>
    <w:p w:rsidR="001C0941" w:rsidRPr="00980EE7" w:rsidRDefault="001C0941" w:rsidP="001C0941">
      <w:pPr>
        <w:pStyle w:val="ListParagraph"/>
        <w:numPr>
          <w:ilvl w:val="0"/>
          <w:numId w:val="23"/>
        </w:numPr>
        <w:ind w:left="993" w:hanging="284"/>
        <w:rPr>
          <w:szCs w:val="22"/>
        </w:rPr>
      </w:pPr>
      <w:r w:rsidRPr="00673F01">
        <w:rPr>
          <w:szCs w:val="22"/>
        </w:rPr>
        <w:t>the impact of the Community Access Program to dispensing of HIV medications was not explored as data were not available to make projections regarding this (over</w:t>
      </w:r>
      <w:r w:rsidRPr="00980EE7">
        <w:rPr>
          <w:szCs w:val="22"/>
        </w:rPr>
        <w:t xml:space="preserve"> or underestimation).</w:t>
      </w:r>
    </w:p>
    <w:p w:rsidR="001C0941" w:rsidRPr="00980EE7" w:rsidRDefault="001C0941" w:rsidP="001C0941">
      <w:pPr>
        <w:rPr>
          <w:szCs w:val="22"/>
        </w:rPr>
      </w:pPr>
    </w:p>
    <w:p w:rsidR="007E3324" w:rsidRPr="00FD7C28" w:rsidRDefault="007E3324" w:rsidP="007E3324">
      <w:pPr>
        <w:pStyle w:val="ListParagraph"/>
        <w:widowControl/>
        <w:numPr>
          <w:ilvl w:val="1"/>
          <w:numId w:val="9"/>
        </w:numPr>
        <w:rPr>
          <w:szCs w:val="22"/>
        </w:rPr>
      </w:pPr>
      <w:r w:rsidRPr="00FD7C28">
        <w:t>The submission estimated that the use of other HIV single tablet regimens would be expected to drop as a result of direct substitution with EVG/c/FTC/tenofovir alafenamide FDC. Overall the submission concluded that there would be no financial impact of the PBS listing of EVG/c/FTC/tenofovir alafenamide to the Commonwealth Government Health Budget.</w:t>
      </w:r>
    </w:p>
    <w:p w:rsidR="0021498F" w:rsidRPr="00FD7C28" w:rsidRDefault="0021498F" w:rsidP="0021498F">
      <w:pPr>
        <w:widowControl/>
        <w:rPr>
          <w:szCs w:val="22"/>
        </w:rPr>
      </w:pPr>
    </w:p>
    <w:p w:rsidR="0021498F" w:rsidRPr="00EF6F2C" w:rsidRDefault="005D2F95" w:rsidP="00413948">
      <w:pPr>
        <w:pStyle w:val="Heading2"/>
      </w:pPr>
      <w:bookmarkStart w:id="21" w:name="_Toc430081398"/>
      <w:r w:rsidRPr="00EF6F2C">
        <w:t>Request</w:t>
      </w:r>
      <w:r w:rsidR="0021498F" w:rsidRPr="00EF6F2C">
        <w:t xml:space="preserve"> under Subsection 101(4AC)</w:t>
      </w:r>
      <w:bookmarkEnd w:id="21"/>
      <w:r w:rsidRPr="00EF6F2C">
        <w:t xml:space="preserve"> of the National Health Act 1953</w:t>
      </w:r>
    </w:p>
    <w:p w:rsidR="005D2F95" w:rsidRPr="00FD7C28" w:rsidRDefault="005D2F95" w:rsidP="0021498F">
      <w:pPr>
        <w:widowControl/>
        <w:rPr>
          <w:szCs w:val="22"/>
        </w:rPr>
      </w:pPr>
    </w:p>
    <w:p w:rsidR="008A0180" w:rsidRPr="00673F01" w:rsidRDefault="005D2F95" w:rsidP="008A0180">
      <w:pPr>
        <w:pStyle w:val="ListParagraph"/>
        <w:widowControl/>
        <w:numPr>
          <w:ilvl w:val="1"/>
          <w:numId w:val="9"/>
        </w:numPr>
        <w:rPr>
          <w:szCs w:val="22"/>
        </w:rPr>
      </w:pPr>
      <w:r w:rsidRPr="00F43587">
        <w:rPr>
          <w:szCs w:val="22"/>
        </w:rPr>
        <w:t xml:space="preserve">The submission </w:t>
      </w:r>
      <w:r w:rsidR="00D83626">
        <w:rPr>
          <w:szCs w:val="22"/>
        </w:rPr>
        <w:t>requested</w:t>
      </w:r>
      <w:r w:rsidRPr="00F43587">
        <w:rPr>
          <w:szCs w:val="22"/>
        </w:rPr>
        <w:t xml:space="preserve"> that the PBAC advice the Minister under Subse</w:t>
      </w:r>
      <w:r w:rsidRPr="00EF319D">
        <w:rPr>
          <w:szCs w:val="22"/>
        </w:rPr>
        <w:t xml:space="preserve">ction 101(4AC) of the National Health Act 1953 to list </w:t>
      </w:r>
      <w:r w:rsidRPr="00EF6F2C">
        <w:rPr>
          <w:szCs w:val="22"/>
        </w:rPr>
        <w:t xml:space="preserve">EVG/c/FTC/tenofovir alafenamide FDC such that the price of EVG/c/FTC/tenofovir alafenamide FDC be maintained in the event of any future reductions in the price of </w:t>
      </w:r>
      <w:r w:rsidR="005A1A9F" w:rsidRPr="00754170">
        <w:rPr>
          <w:szCs w:val="22"/>
        </w:rPr>
        <w:t>genericised components of the FDC</w:t>
      </w:r>
      <w:r w:rsidR="008A0180" w:rsidRPr="00673F01">
        <w:rPr>
          <w:szCs w:val="22"/>
        </w:rPr>
        <w:t>.</w:t>
      </w:r>
    </w:p>
    <w:p w:rsidR="008A0180" w:rsidRDefault="008A0180" w:rsidP="00B50BAF">
      <w:pPr>
        <w:pStyle w:val="ListParagraph"/>
        <w:widowControl/>
        <w:rPr>
          <w:szCs w:val="22"/>
        </w:rPr>
      </w:pPr>
    </w:p>
    <w:p w:rsidR="00D83626" w:rsidRDefault="00D83626" w:rsidP="00D83626">
      <w:pPr>
        <w:pStyle w:val="BodyText"/>
        <w:ind w:firstLine="720"/>
        <w:rPr>
          <w:b/>
          <w:iCs/>
        </w:rPr>
      </w:pPr>
      <w:r>
        <w:t xml:space="preserve">Section </w:t>
      </w:r>
      <w:r>
        <w:rPr>
          <w:iCs/>
        </w:rPr>
        <w:t>101(4AC) of the Act states that:</w:t>
      </w:r>
    </w:p>
    <w:p w:rsidR="00D83626" w:rsidRDefault="00D83626" w:rsidP="00D83626">
      <w:pPr>
        <w:pStyle w:val="BodyText"/>
        <w:ind w:left="993"/>
        <w:rPr>
          <w:b/>
          <w:i/>
        </w:rPr>
      </w:pPr>
      <w:r>
        <w:rPr>
          <w:i/>
        </w:rPr>
        <w:t>If the Committee is satisfied that the therapy involving a combination item provides, for some patients:</w:t>
      </w:r>
    </w:p>
    <w:p w:rsidR="00D83626" w:rsidRDefault="00D83626" w:rsidP="00D83626">
      <w:pPr>
        <w:pStyle w:val="BodyText"/>
        <w:numPr>
          <w:ilvl w:val="0"/>
          <w:numId w:val="50"/>
        </w:numPr>
        <w:tabs>
          <w:tab w:val="left" w:pos="1418"/>
        </w:tabs>
        <w:snapToGrid w:val="0"/>
        <w:ind w:left="993" w:firstLine="0"/>
        <w:rPr>
          <w:b/>
          <w:i/>
        </w:rPr>
      </w:pPr>
      <w:r>
        <w:rPr>
          <w:i/>
        </w:rPr>
        <w:lastRenderedPageBreak/>
        <w:t>a significant improvement in patient compliance with the therapy; or</w:t>
      </w:r>
    </w:p>
    <w:p w:rsidR="00D83626" w:rsidRDefault="00D83626" w:rsidP="00D83626">
      <w:pPr>
        <w:pStyle w:val="BodyText"/>
        <w:numPr>
          <w:ilvl w:val="0"/>
          <w:numId w:val="50"/>
        </w:numPr>
        <w:tabs>
          <w:tab w:val="left" w:pos="1418"/>
        </w:tabs>
        <w:snapToGrid w:val="0"/>
        <w:ind w:left="993" w:firstLine="0"/>
        <w:rPr>
          <w:b/>
          <w:i/>
        </w:rPr>
      </w:pPr>
      <w:r>
        <w:rPr>
          <w:i/>
        </w:rPr>
        <w:t>a significant improvement in efficacy or reduction in toxicity;</w:t>
      </w:r>
    </w:p>
    <w:p w:rsidR="00D83626" w:rsidRDefault="00D83626" w:rsidP="00D83626">
      <w:pPr>
        <w:pStyle w:val="BodyText"/>
        <w:ind w:left="993"/>
        <w:rPr>
          <w:b/>
          <w:i/>
        </w:rPr>
      </w:pPr>
      <w:r>
        <w:rPr>
          <w:i/>
        </w:rPr>
        <w:t>over alternative therapies, then the Committee must advise the Minister accordingly.</w:t>
      </w:r>
    </w:p>
    <w:p w:rsidR="00D83626" w:rsidRPr="00980EE7" w:rsidRDefault="00D83626" w:rsidP="00B50BAF">
      <w:pPr>
        <w:pStyle w:val="ListParagraph"/>
        <w:widowControl/>
        <w:rPr>
          <w:szCs w:val="22"/>
        </w:rPr>
      </w:pPr>
      <w:r>
        <w:rPr>
          <w:szCs w:val="22"/>
        </w:rPr>
        <w:t xml:space="preserve"> </w:t>
      </w:r>
    </w:p>
    <w:p w:rsidR="0019004A" w:rsidRDefault="0019004A" w:rsidP="008A0180">
      <w:pPr>
        <w:pStyle w:val="ListParagraph"/>
        <w:widowControl/>
        <w:numPr>
          <w:ilvl w:val="1"/>
          <w:numId w:val="9"/>
        </w:numPr>
        <w:rPr>
          <w:szCs w:val="22"/>
        </w:rPr>
      </w:pPr>
      <w:r>
        <w:rPr>
          <w:szCs w:val="22"/>
        </w:rPr>
        <w:t>The submission makes a claim on both impr</w:t>
      </w:r>
      <w:r w:rsidR="00F25464">
        <w:rPr>
          <w:szCs w:val="22"/>
        </w:rPr>
        <w:t xml:space="preserve">oved compliance and </w:t>
      </w:r>
      <w:r>
        <w:rPr>
          <w:szCs w:val="22"/>
        </w:rPr>
        <w:t xml:space="preserve">improved efficacy </w:t>
      </w:r>
      <w:r w:rsidR="00C17F91">
        <w:rPr>
          <w:szCs w:val="22"/>
        </w:rPr>
        <w:t>or</w:t>
      </w:r>
      <w:r>
        <w:rPr>
          <w:szCs w:val="22"/>
        </w:rPr>
        <w:t xml:space="preserve"> reduced toxicity.</w:t>
      </w:r>
    </w:p>
    <w:p w:rsidR="0019004A" w:rsidRDefault="0019004A" w:rsidP="0019004A">
      <w:pPr>
        <w:pStyle w:val="ListParagraph"/>
        <w:widowControl/>
        <w:rPr>
          <w:szCs w:val="22"/>
        </w:rPr>
      </w:pPr>
    </w:p>
    <w:p w:rsidR="0019004A" w:rsidRPr="0019004A" w:rsidRDefault="0019004A" w:rsidP="0019004A">
      <w:pPr>
        <w:pStyle w:val="ListParagraph"/>
        <w:widowControl/>
        <w:numPr>
          <w:ilvl w:val="1"/>
          <w:numId w:val="9"/>
        </w:numPr>
        <w:rPr>
          <w:szCs w:val="22"/>
        </w:rPr>
      </w:pPr>
      <w:r>
        <w:rPr>
          <w:szCs w:val="22"/>
        </w:rPr>
        <w:t xml:space="preserve">The PBAC agreed with the DUSC that the claim of improved compliance over the alternative therapy nominated in the submission </w:t>
      </w:r>
      <w:r>
        <w:t>elvitegravir/cobicistat/emtricitabine/ tenofovir DF (Stribild</w:t>
      </w:r>
      <w:r w:rsidRPr="0019004A">
        <w:rPr>
          <w:vertAlign w:val="superscript"/>
        </w:rPr>
        <w:t>®</w:t>
      </w:r>
      <w:r>
        <w:t>) was not reliably demonstrated based on the following issues:</w:t>
      </w:r>
      <w:r w:rsidRPr="0019004A">
        <w:rPr>
          <w:szCs w:val="22"/>
        </w:rPr>
        <w:t xml:space="preserve">  </w:t>
      </w:r>
    </w:p>
    <w:p w:rsidR="0019004A" w:rsidRPr="0019004A" w:rsidRDefault="0019004A" w:rsidP="0019004A">
      <w:pPr>
        <w:numPr>
          <w:ilvl w:val="0"/>
          <w:numId w:val="51"/>
        </w:numPr>
        <w:ind w:left="993" w:hanging="284"/>
        <w:contextualSpacing/>
        <w:rPr>
          <w:bCs/>
          <w:szCs w:val="22"/>
        </w:rPr>
      </w:pPr>
      <w:r w:rsidRPr="0019004A">
        <w:rPr>
          <w:bCs/>
          <w:szCs w:val="22"/>
        </w:rPr>
        <w:t>Quantitative or qualitative evidence specifically comparing compliance with an EVG/c/FTC/tenofovir alafenamide single-tablet regimen to alternative therapy/s has not been provided. The claim in the submission is speculative in nature.</w:t>
      </w:r>
    </w:p>
    <w:p w:rsidR="0019004A" w:rsidRPr="0019004A" w:rsidRDefault="0019004A" w:rsidP="0019004A">
      <w:pPr>
        <w:numPr>
          <w:ilvl w:val="0"/>
          <w:numId w:val="51"/>
        </w:numPr>
        <w:ind w:left="993" w:hanging="284"/>
        <w:contextualSpacing/>
        <w:rPr>
          <w:bCs/>
          <w:szCs w:val="22"/>
        </w:rPr>
      </w:pPr>
      <w:r w:rsidRPr="0019004A">
        <w:rPr>
          <w:bCs/>
          <w:szCs w:val="22"/>
        </w:rPr>
        <w:t>Quantitative or qualitative evidence demonstrating the impact of improved compliance on health outcomes specific to the EVG/c/FTC/tenofovir alafenamide single-tablet regimen over alternative therapy/s has not been provided.</w:t>
      </w:r>
    </w:p>
    <w:p w:rsidR="0019004A" w:rsidRPr="0019004A" w:rsidRDefault="0019004A" w:rsidP="0019004A">
      <w:pPr>
        <w:numPr>
          <w:ilvl w:val="0"/>
          <w:numId w:val="51"/>
        </w:numPr>
        <w:ind w:left="993" w:hanging="284"/>
        <w:contextualSpacing/>
        <w:rPr>
          <w:bCs/>
          <w:szCs w:val="22"/>
        </w:rPr>
      </w:pPr>
      <w:r w:rsidRPr="0019004A">
        <w:rPr>
          <w:bCs/>
          <w:szCs w:val="22"/>
        </w:rPr>
        <w:t xml:space="preserve">The improvements in toxicity are based on small changes in surrogate markers for renal impairment and osteoporosis/osteopenia over a short timeframe (48 weeks). </w:t>
      </w:r>
    </w:p>
    <w:p w:rsidR="0019004A" w:rsidRPr="0019004A" w:rsidRDefault="0019004A" w:rsidP="0019004A">
      <w:pPr>
        <w:numPr>
          <w:ilvl w:val="0"/>
          <w:numId w:val="51"/>
        </w:numPr>
        <w:ind w:left="993" w:hanging="284"/>
        <w:contextualSpacing/>
        <w:rPr>
          <w:bCs/>
          <w:szCs w:val="22"/>
        </w:rPr>
      </w:pPr>
      <w:r w:rsidRPr="0019004A">
        <w:rPr>
          <w:bCs/>
          <w:szCs w:val="22"/>
        </w:rPr>
        <w:t>The clinical relevance, nor the relevance to patients of the changes in surrogate endpoints, including over a life-time of therapy has not been substantiated.</w:t>
      </w:r>
    </w:p>
    <w:p w:rsidR="0019004A" w:rsidRPr="00F25464" w:rsidRDefault="0019004A" w:rsidP="00F25464">
      <w:pPr>
        <w:ind w:left="709"/>
        <w:contextualSpacing/>
        <w:rPr>
          <w:bCs/>
          <w:szCs w:val="22"/>
        </w:rPr>
      </w:pPr>
      <w:r>
        <w:rPr>
          <w:bCs/>
          <w:szCs w:val="22"/>
        </w:rPr>
        <w:t xml:space="preserve"> </w:t>
      </w:r>
    </w:p>
    <w:p w:rsidR="005D2F95" w:rsidRPr="00F25464" w:rsidRDefault="00F25464" w:rsidP="00F25464">
      <w:pPr>
        <w:pStyle w:val="ListParagraph"/>
        <w:widowControl/>
        <w:numPr>
          <w:ilvl w:val="1"/>
          <w:numId w:val="9"/>
        </w:numPr>
        <w:rPr>
          <w:szCs w:val="22"/>
        </w:rPr>
      </w:pPr>
      <w:r>
        <w:rPr>
          <w:szCs w:val="22"/>
        </w:rPr>
        <w:t xml:space="preserve">The PBAC </w:t>
      </w:r>
      <w:r w:rsidR="00DA79F5">
        <w:rPr>
          <w:szCs w:val="22"/>
        </w:rPr>
        <w:t xml:space="preserve">agreed with </w:t>
      </w:r>
      <w:r w:rsidR="008A0180" w:rsidRPr="00980EE7">
        <w:rPr>
          <w:szCs w:val="22"/>
        </w:rPr>
        <w:t>the ESC</w:t>
      </w:r>
      <w:r>
        <w:rPr>
          <w:szCs w:val="22"/>
        </w:rPr>
        <w:t xml:space="preserve"> advice and</w:t>
      </w:r>
      <w:r w:rsidR="008A0180" w:rsidRPr="00980EE7">
        <w:rPr>
          <w:szCs w:val="22"/>
        </w:rPr>
        <w:t xml:space="preserve"> </w:t>
      </w:r>
      <w:r w:rsidR="005A1A9F" w:rsidRPr="00980EE7">
        <w:rPr>
          <w:szCs w:val="22"/>
        </w:rPr>
        <w:t>noted th</w:t>
      </w:r>
      <w:r w:rsidR="002B15C7" w:rsidRPr="00980EE7">
        <w:rPr>
          <w:szCs w:val="22"/>
        </w:rPr>
        <w:t>e following points</w:t>
      </w:r>
      <w:r w:rsidR="008A0180" w:rsidRPr="00980EE7">
        <w:rPr>
          <w:szCs w:val="22"/>
        </w:rPr>
        <w:t>:</w:t>
      </w:r>
    </w:p>
    <w:p w:rsidR="0021498F" w:rsidRPr="00FD7C28" w:rsidRDefault="002B15C7" w:rsidP="0021498F">
      <w:pPr>
        <w:pStyle w:val="ListParagraph"/>
        <w:widowControl/>
        <w:numPr>
          <w:ilvl w:val="1"/>
          <w:numId w:val="33"/>
        </w:numPr>
        <w:ind w:left="1004" w:hanging="284"/>
        <w:rPr>
          <w:szCs w:val="22"/>
        </w:rPr>
      </w:pPr>
      <w:r w:rsidRPr="00FD7C28">
        <w:rPr>
          <w:szCs w:val="22"/>
        </w:rPr>
        <w:t xml:space="preserve">EVG/c/FTC/tenofovir alafenamide </w:t>
      </w:r>
      <w:r w:rsidR="0021498F" w:rsidRPr="00FD7C28">
        <w:rPr>
          <w:szCs w:val="22"/>
        </w:rPr>
        <w:t>met the definition of a combination product, which was appropriate;</w:t>
      </w:r>
    </w:p>
    <w:p w:rsidR="0021498F" w:rsidRPr="00FD7C28" w:rsidRDefault="0006746E" w:rsidP="0021498F">
      <w:pPr>
        <w:pStyle w:val="ListParagraph"/>
        <w:widowControl/>
        <w:numPr>
          <w:ilvl w:val="1"/>
          <w:numId w:val="33"/>
        </w:numPr>
        <w:ind w:left="1004" w:hanging="284"/>
        <w:rPr>
          <w:szCs w:val="22"/>
        </w:rPr>
      </w:pPr>
      <w:r w:rsidRPr="00FD7C28">
        <w:rPr>
          <w:szCs w:val="22"/>
        </w:rPr>
        <w:t xml:space="preserve">the </w:t>
      </w:r>
      <w:r w:rsidR="002B15C7" w:rsidRPr="00FD7C28">
        <w:rPr>
          <w:szCs w:val="22"/>
        </w:rPr>
        <w:t xml:space="preserve">claim of </w:t>
      </w:r>
      <w:r w:rsidR="0021498F" w:rsidRPr="00FD7C28">
        <w:rPr>
          <w:szCs w:val="22"/>
        </w:rPr>
        <w:t xml:space="preserve">minimised toxic effects over a lifetime of treatment, as EVG/c/FTC/tenofovir alafenamide had less impact on surrogate endpoints related to renal and bone safety. This might not have been appropriate, as it was difficult to quantify differences in effects seen at Week 48 in terms of long-term outcomes; and </w:t>
      </w:r>
    </w:p>
    <w:p w:rsidR="0021498F" w:rsidRPr="00FD7C28" w:rsidRDefault="002B15C7" w:rsidP="0021498F">
      <w:pPr>
        <w:pStyle w:val="ListParagraph"/>
        <w:widowControl/>
        <w:numPr>
          <w:ilvl w:val="1"/>
          <w:numId w:val="33"/>
        </w:numPr>
        <w:ind w:left="1004" w:hanging="284"/>
        <w:rPr>
          <w:szCs w:val="22"/>
        </w:rPr>
      </w:pPr>
      <w:r w:rsidRPr="00FD7C28">
        <w:rPr>
          <w:szCs w:val="22"/>
        </w:rPr>
        <w:t xml:space="preserve">the submission </w:t>
      </w:r>
      <w:r w:rsidR="0021498F" w:rsidRPr="00FD7C28">
        <w:rPr>
          <w:szCs w:val="22"/>
        </w:rPr>
        <w:t>provided features that were likely to facilitate improved treatment compliance for some patients over a multiple tablet regimen. This was not appropriate as the submission did not provide evidence of improved compliance.</w:t>
      </w:r>
    </w:p>
    <w:p w:rsidR="0067171A" w:rsidRPr="00FD7C28" w:rsidRDefault="0067171A" w:rsidP="0067171A">
      <w:pPr>
        <w:widowControl/>
        <w:ind w:left="720"/>
        <w:rPr>
          <w:szCs w:val="22"/>
        </w:rPr>
      </w:pPr>
    </w:p>
    <w:p w:rsidR="0021498F" w:rsidRDefault="0021498F" w:rsidP="00B50BAF">
      <w:pPr>
        <w:pStyle w:val="ListParagraph"/>
        <w:widowControl/>
        <w:numPr>
          <w:ilvl w:val="1"/>
          <w:numId w:val="9"/>
        </w:numPr>
        <w:rPr>
          <w:szCs w:val="22"/>
        </w:rPr>
      </w:pPr>
      <w:r w:rsidRPr="00EF6F2C">
        <w:rPr>
          <w:szCs w:val="22"/>
        </w:rPr>
        <w:t>The</w:t>
      </w:r>
      <w:r w:rsidR="00F25464">
        <w:rPr>
          <w:szCs w:val="22"/>
        </w:rPr>
        <w:t xml:space="preserve"> PBAC also agreed with the</w:t>
      </w:r>
      <w:r w:rsidRPr="00EF6F2C">
        <w:rPr>
          <w:szCs w:val="22"/>
        </w:rPr>
        <w:t xml:space="preserve"> ESC</w:t>
      </w:r>
      <w:r w:rsidR="004A3859">
        <w:rPr>
          <w:szCs w:val="22"/>
        </w:rPr>
        <w:t xml:space="preserve"> and</w:t>
      </w:r>
      <w:r w:rsidRPr="00EF6F2C">
        <w:rPr>
          <w:szCs w:val="22"/>
        </w:rPr>
        <w:t xml:space="preserve"> considered that patient relevant safety benefits of EVG/c/FTC/tenofovir alafenamide over EVG/c/FTC/TDF were uncertain, and furthermore that safety benefit over non-TDF containing highly active </w:t>
      </w:r>
      <w:r w:rsidR="00500CCE" w:rsidRPr="00EF6F2C">
        <w:rPr>
          <w:szCs w:val="22"/>
        </w:rPr>
        <w:t xml:space="preserve">antiretroviral </w:t>
      </w:r>
      <w:r w:rsidRPr="00EF6F2C">
        <w:rPr>
          <w:szCs w:val="22"/>
        </w:rPr>
        <w:t xml:space="preserve">therapies (e.g ABC/3TC/DTG) was not demonstrated. In addition, there was no reason to expect any benefit in compliance over existing highly </w:t>
      </w:r>
      <w:r w:rsidR="0060010C" w:rsidRPr="00EF6F2C">
        <w:rPr>
          <w:szCs w:val="22"/>
        </w:rPr>
        <w:t>active</w:t>
      </w:r>
      <w:r w:rsidR="0060010C">
        <w:rPr>
          <w:szCs w:val="22"/>
        </w:rPr>
        <w:t xml:space="preserve"> </w:t>
      </w:r>
      <w:r w:rsidR="00867322" w:rsidRPr="00EF6F2C">
        <w:rPr>
          <w:szCs w:val="22"/>
        </w:rPr>
        <w:t>low pill burden</w:t>
      </w:r>
      <w:r w:rsidRPr="00EF6F2C">
        <w:rPr>
          <w:szCs w:val="22"/>
        </w:rPr>
        <w:t xml:space="preserve"> ARV therapies.</w:t>
      </w:r>
    </w:p>
    <w:p w:rsidR="00DA79F5" w:rsidRDefault="00DA79F5" w:rsidP="00753877">
      <w:pPr>
        <w:pStyle w:val="ListParagraph"/>
        <w:widowControl/>
        <w:rPr>
          <w:szCs w:val="22"/>
        </w:rPr>
      </w:pPr>
    </w:p>
    <w:p w:rsidR="00DA79F5" w:rsidRPr="00DA79F5" w:rsidRDefault="00DA79F5" w:rsidP="00B50BAF">
      <w:pPr>
        <w:pStyle w:val="ListParagraph"/>
        <w:widowControl/>
        <w:numPr>
          <w:ilvl w:val="1"/>
          <w:numId w:val="9"/>
        </w:numPr>
        <w:rPr>
          <w:szCs w:val="22"/>
        </w:rPr>
      </w:pPr>
      <w:r w:rsidRPr="00753877">
        <w:t>The Pre-Sub-Committee Response argued that it is not a requirement of the Act to provide evidence to support this claim as the request relies on PBAC’s determination. The ESC considered there was insufficient evidence to support a claim that EVG/c/FRC/TAF offered a substantial benefit in terms of efficacy, safety, or compliance over existing PBS-listed products.</w:t>
      </w:r>
      <w:r w:rsidR="000E6518">
        <w:t xml:space="preserve">  The PBAC agreed with the ESC.</w:t>
      </w:r>
      <w:r w:rsidRPr="00DA79F5">
        <w:t xml:space="preserve"> </w:t>
      </w:r>
    </w:p>
    <w:p w:rsidR="00DA79F5" w:rsidRPr="00EF6F2C" w:rsidRDefault="00DA79F5" w:rsidP="000E6518">
      <w:pPr>
        <w:widowControl/>
        <w:rPr>
          <w:szCs w:val="22"/>
        </w:rPr>
      </w:pPr>
    </w:p>
    <w:p w:rsidR="00CD1819" w:rsidRPr="00754170" w:rsidRDefault="00CD1819" w:rsidP="00CD1819">
      <w:pPr>
        <w:ind w:left="709"/>
        <w:rPr>
          <w:i/>
        </w:rPr>
      </w:pPr>
      <w:r w:rsidRPr="00754170">
        <w:rPr>
          <w:i/>
        </w:rPr>
        <w:t>For more detail on PBAC’s view, see section 7 “PBAC outcome”.</w:t>
      </w:r>
    </w:p>
    <w:p w:rsidR="00CD1819" w:rsidRDefault="00CD1819" w:rsidP="00BE1EC8">
      <w:pPr>
        <w:contextualSpacing/>
        <w:rPr>
          <w:bCs/>
          <w:szCs w:val="22"/>
        </w:rPr>
      </w:pPr>
    </w:p>
    <w:p w:rsidR="00C8299E" w:rsidRPr="00F43587" w:rsidRDefault="00C8299E" w:rsidP="00BE1EC8">
      <w:pPr>
        <w:contextualSpacing/>
        <w:rPr>
          <w:bCs/>
          <w:szCs w:val="22"/>
        </w:rPr>
      </w:pPr>
    </w:p>
    <w:p w:rsidR="0015514D" w:rsidRPr="00EF6F2C" w:rsidRDefault="00CD1819" w:rsidP="00413948">
      <w:pPr>
        <w:pStyle w:val="PBACHeading1"/>
      </w:pPr>
      <w:r w:rsidRPr="00EF6F2C">
        <w:lastRenderedPageBreak/>
        <w:t>PBAC Outcome</w:t>
      </w:r>
    </w:p>
    <w:p w:rsidR="00CD1819" w:rsidRPr="00EF6F2C" w:rsidRDefault="00CD1819" w:rsidP="00413948">
      <w:pPr>
        <w:pStyle w:val="PBACHeading1"/>
        <w:numPr>
          <w:ilvl w:val="0"/>
          <w:numId w:val="0"/>
        </w:numPr>
      </w:pPr>
    </w:p>
    <w:p w:rsidR="0017235C" w:rsidRDefault="00321B24" w:rsidP="00754170">
      <w:pPr>
        <w:pStyle w:val="ListParagraph"/>
        <w:widowControl/>
        <w:numPr>
          <w:ilvl w:val="1"/>
          <w:numId w:val="9"/>
        </w:numPr>
      </w:pPr>
      <w:r w:rsidRPr="00754170">
        <w:t>The PBAC recommended Section 100 Highly Specialised Drugs Program (HSD) listing of elvitegravir</w:t>
      </w:r>
      <w:r w:rsidR="00980EE7">
        <w:t xml:space="preserve"> with </w:t>
      </w:r>
      <w:r w:rsidRPr="00754170">
        <w:t>cobicista</w:t>
      </w:r>
      <w:r w:rsidR="00980EE7">
        <w:t xml:space="preserve">t, </w:t>
      </w:r>
      <w:r w:rsidRPr="00754170">
        <w:t>emtricitabine</w:t>
      </w:r>
      <w:r w:rsidR="00980EE7">
        <w:t xml:space="preserve"> and </w:t>
      </w:r>
      <w:r w:rsidRPr="00754170">
        <w:t>tenofovir alafenamide</w:t>
      </w:r>
      <w:r w:rsidR="00980EE7">
        <w:t xml:space="preserve"> (EVG/c/FTC/tenofovir alafenamide)</w:t>
      </w:r>
      <w:r w:rsidRPr="00754170">
        <w:t xml:space="preserve"> fixed dose combination for the treatment of HIV.  The PBAC recommended the special arrangements under the HSD Community Access, Authority Required (STREAMLINED).</w:t>
      </w:r>
    </w:p>
    <w:p w:rsidR="0017235C" w:rsidRDefault="0017235C" w:rsidP="0017235C">
      <w:pPr>
        <w:pStyle w:val="ListParagraph"/>
        <w:widowControl/>
      </w:pPr>
    </w:p>
    <w:p w:rsidR="00980EE7" w:rsidRDefault="00BF0C1C" w:rsidP="00980EE7">
      <w:pPr>
        <w:pStyle w:val="ListParagraph"/>
        <w:widowControl/>
        <w:numPr>
          <w:ilvl w:val="1"/>
          <w:numId w:val="9"/>
        </w:numPr>
      </w:pPr>
      <w:r>
        <w:t xml:space="preserve">The PBAC recommended the listing of </w:t>
      </w:r>
      <w:r w:rsidR="00980EE7">
        <w:t>EVG/c/FTC</w:t>
      </w:r>
      <w:r w:rsidRPr="00754170">
        <w:t>/tenofovir alafenamide</w:t>
      </w:r>
      <w:r>
        <w:t xml:space="preserve"> on a cost-minimisation basis with</w:t>
      </w:r>
      <w:r w:rsidR="00980EE7">
        <w:t xml:space="preserve"> elvitegravir/cobicistat/emtricitabine/tenofovir disoproxil fumarate (Stribild</w:t>
      </w:r>
      <w:r w:rsidR="00966668" w:rsidRPr="00FD7C28">
        <w:rPr>
          <w:vertAlign w:val="superscript"/>
        </w:rPr>
        <w:t>®</w:t>
      </w:r>
      <w:r w:rsidR="00980EE7">
        <w:t>).  The equi-effective doses are</w:t>
      </w:r>
      <w:r>
        <w:t xml:space="preserve"> </w:t>
      </w:r>
      <w:r w:rsidR="00980EE7" w:rsidRPr="00754170">
        <w:t>e</w:t>
      </w:r>
      <w:r w:rsidR="00980EE7" w:rsidRPr="0017235C">
        <w:t xml:space="preserve">lvitegravir 150 mg/cobicistat 150 mg/emtricitabine 200 mg/tenofovir alafenamide 10 mg </w:t>
      </w:r>
      <w:r w:rsidR="00980EE7">
        <w:t xml:space="preserve"> in a FDC product, once daily is equal to</w:t>
      </w:r>
      <w:r w:rsidR="00980EE7" w:rsidRPr="0017235C">
        <w:t xml:space="preserve"> </w:t>
      </w:r>
      <w:r w:rsidR="00980EE7" w:rsidRPr="00673F01">
        <w:t>elvitegravir 150 mg/cobicistat 150 mg/emtricitabine 200 mg/tenofovir disoproxil fumarate 30</w:t>
      </w:r>
      <w:r w:rsidR="00980EE7" w:rsidRPr="00117DD2">
        <w:t>0 mg (EVG/c/FTC/tenofovir DF) in a FDC product, once daily.</w:t>
      </w:r>
      <w:r w:rsidR="00980EE7">
        <w:t xml:space="preserve"> </w:t>
      </w:r>
    </w:p>
    <w:p w:rsidR="00980EE7" w:rsidRDefault="00980EE7" w:rsidP="00980EE7">
      <w:pPr>
        <w:widowControl/>
      </w:pPr>
    </w:p>
    <w:p w:rsidR="00980EE7" w:rsidRPr="00117DD2" w:rsidRDefault="00C109D6" w:rsidP="00980EE7">
      <w:pPr>
        <w:pStyle w:val="ListParagraph"/>
        <w:widowControl/>
        <w:numPr>
          <w:ilvl w:val="1"/>
          <w:numId w:val="9"/>
        </w:numPr>
      </w:pPr>
      <w:r>
        <w:t xml:space="preserve">The PBAC </w:t>
      </w:r>
      <w:r w:rsidR="00500A8E">
        <w:t xml:space="preserve">recommended that the restriction for EVG/c/FTC/tenofovir alafenamide should be consistent </w:t>
      </w:r>
      <w:r w:rsidR="00CA44D5">
        <w:t xml:space="preserve">with </w:t>
      </w:r>
      <w:r w:rsidR="00500A8E">
        <w:t>that of Stribild</w:t>
      </w:r>
      <w:r w:rsidR="00966668" w:rsidRPr="00FD7C28">
        <w:rPr>
          <w:vertAlign w:val="superscript"/>
        </w:rPr>
        <w:t>®</w:t>
      </w:r>
      <w:r w:rsidR="00500A8E">
        <w:t xml:space="preserve">, and that it therefore include both treatment-experienced and treatment-naïve patients.  </w:t>
      </w:r>
    </w:p>
    <w:p w:rsidR="00980EE7" w:rsidRPr="0017235C" w:rsidRDefault="00980EE7" w:rsidP="00980EE7">
      <w:pPr>
        <w:widowControl/>
      </w:pPr>
    </w:p>
    <w:p w:rsidR="0078537A" w:rsidRDefault="00500A8E" w:rsidP="00754170">
      <w:pPr>
        <w:pStyle w:val="ListParagraph"/>
        <w:widowControl/>
        <w:numPr>
          <w:ilvl w:val="1"/>
          <w:numId w:val="9"/>
        </w:numPr>
      </w:pPr>
      <w:r>
        <w:t>The PBAC accepted</w:t>
      </w:r>
      <w:r w:rsidR="0078537A">
        <w:t xml:space="preserve"> elvitegravir/cobicistat/emtricitabine/tenofovir disoproxil fumarate (Stribild</w:t>
      </w:r>
      <w:r w:rsidR="00966668" w:rsidRPr="00FD7C28">
        <w:rPr>
          <w:vertAlign w:val="superscript"/>
        </w:rPr>
        <w:t>®</w:t>
      </w:r>
      <w:r w:rsidR="0078537A">
        <w:t>) as</w:t>
      </w:r>
      <w:r w:rsidR="00CA44D5">
        <w:t xml:space="preserve"> the most</w:t>
      </w:r>
      <w:r w:rsidR="0078537A">
        <w:t xml:space="preserve"> appropriate comparator.</w:t>
      </w:r>
      <w:r w:rsidR="00FE01A0">
        <w:t xml:space="preserve">  The PBAC agreed with ESC that </w:t>
      </w:r>
      <w:r w:rsidR="00FE01A0" w:rsidRPr="00EF6F2C">
        <w:t xml:space="preserve">EVG/c/FTC/tenofovir alafenamide might also displace other TDF/FTC-containing single tablet and multi-tablet highly active antiretroviral therapies as well as </w:t>
      </w:r>
      <w:r w:rsidR="00FE01A0">
        <w:t>d</w:t>
      </w:r>
      <w:r w:rsidR="00966668">
        <w:t>olutegravir/abacavir/lamivudine FDC (Triumeq</w:t>
      </w:r>
      <w:r w:rsidR="00966668" w:rsidRPr="00FD7C28">
        <w:rPr>
          <w:vertAlign w:val="superscript"/>
        </w:rPr>
        <w:t>®</w:t>
      </w:r>
      <w:r w:rsidR="00966668">
        <w:t xml:space="preserve">) for adolescents and patients with renal impairment. </w:t>
      </w:r>
      <w:r w:rsidR="00FE01A0">
        <w:t xml:space="preserve">    </w:t>
      </w:r>
    </w:p>
    <w:p w:rsidR="001142F5" w:rsidRDefault="001142F5" w:rsidP="00FD6474"/>
    <w:p w:rsidR="00254540" w:rsidRDefault="00966668" w:rsidP="00754170">
      <w:pPr>
        <w:pStyle w:val="ListParagraph"/>
        <w:widowControl/>
        <w:numPr>
          <w:ilvl w:val="1"/>
          <w:numId w:val="9"/>
        </w:numPr>
      </w:pPr>
      <w:r>
        <w:t>The PBAC noted</w:t>
      </w:r>
      <w:r w:rsidR="0015031A">
        <w:t xml:space="preserve"> that the primary trials (Study 104 and Study 111) and supplementary trial (Study 109) </w:t>
      </w:r>
      <w:r w:rsidR="001142F5">
        <w:t xml:space="preserve">reported the </w:t>
      </w:r>
      <w:r w:rsidR="001142F5" w:rsidRPr="00EF319D">
        <w:rPr>
          <w:rStyle w:val="CommentReference"/>
          <w:rFonts w:ascii="Arial" w:hAnsi="Arial"/>
          <w:b w:val="0"/>
          <w:sz w:val="22"/>
          <w:szCs w:val="22"/>
        </w:rPr>
        <w:t xml:space="preserve">proportion of patients with HIV ribonucleic acid (RNA) </w:t>
      </w:r>
      <w:r w:rsidR="001142F5" w:rsidRPr="00EF6F2C">
        <w:rPr>
          <w:rStyle w:val="CommentReference"/>
          <w:rFonts w:ascii="Arial" w:hAnsi="Arial"/>
          <w:b w:val="0"/>
          <w:sz w:val="22"/>
          <w:szCs w:val="22"/>
        </w:rPr>
        <w:t>&lt; 50 copies/mL</w:t>
      </w:r>
      <w:r w:rsidR="0015031A">
        <w:t xml:space="preserve"> </w:t>
      </w:r>
      <w:r w:rsidR="001142F5">
        <w:t xml:space="preserve">as </w:t>
      </w:r>
      <w:r w:rsidR="00CA44D5">
        <w:t xml:space="preserve">the </w:t>
      </w:r>
      <w:r w:rsidR="001142F5">
        <w:t>clinically relevant outcome</w:t>
      </w:r>
      <w:r w:rsidR="00E3621B">
        <w:t xml:space="preserve">.  The PBAC also noted that in terms of safety, there </w:t>
      </w:r>
      <w:r w:rsidR="00E3621B" w:rsidRPr="00F43587">
        <w:rPr>
          <w:szCs w:val="22"/>
        </w:rPr>
        <w:t xml:space="preserve">were similar rates of adverse events and serious adverse events in </w:t>
      </w:r>
      <w:r w:rsidR="00E3621B" w:rsidRPr="00EF319D">
        <w:rPr>
          <w:szCs w:val="22"/>
        </w:rPr>
        <w:t>treatment</w:t>
      </w:r>
      <w:r w:rsidR="00E3621B" w:rsidRPr="00EF6F2C">
        <w:rPr>
          <w:szCs w:val="22"/>
        </w:rPr>
        <w:t>-naïve patients (Studies 104 and 111)</w:t>
      </w:r>
      <w:r w:rsidR="00E3621B">
        <w:t>.  The PBAC agreed</w:t>
      </w:r>
      <w:r w:rsidR="00FD6474">
        <w:t xml:space="preserve"> </w:t>
      </w:r>
      <w:r w:rsidR="001142F5">
        <w:t xml:space="preserve">that </w:t>
      </w:r>
      <w:r w:rsidR="0015031A" w:rsidRPr="00EF6F2C">
        <w:t>EVG/c/FTC/tenofovir alafenamide</w:t>
      </w:r>
      <w:r w:rsidR="001142F5">
        <w:t xml:space="preserve"> was non-inferior</w:t>
      </w:r>
      <w:r w:rsidR="0015031A" w:rsidRPr="00EF6F2C">
        <w:t xml:space="preserve"> to EVG/c/FTC/tenofovir DF</w:t>
      </w:r>
      <w:r w:rsidR="00FD6474">
        <w:t xml:space="preserve"> in </w:t>
      </w:r>
      <w:r w:rsidR="00E3621B">
        <w:t>comparative</w:t>
      </w:r>
      <w:r w:rsidR="00FD6474">
        <w:t xml:space="preserve"> efficacy</w:t>
      </w:r>
      <w:r w:rsidR="00254540">
        <w:t xml:space="preserve"> and safety</w:t>
      </w:r>
      <w:r w:rsidR="00FD6474">
        <w:t xml:space="preserve">.  </w:t>
      </w:r>
    </w:p>
    <w:p w:rsidR="00DA79F5" w:rsidRDefault="00DA79F5" w:rsidP="000E6518">
      <w:pPr>
        <w:pStyle w:val="ListParagraph"/>
      </w:pPr>
    </w:p>
    <w:p w:rsidR="00C133F0" w:rsidRDefault="00C133F0" w:rsidP="00D20D07">
      <w:pPr>
        <w:pStyle w:val="ListParagraph"/>
        <w:widowControl/>
        <w:numPr>
          <w:ilvl w:val="1"/>
          <w:numId w:val="9"/>
        </w:numPr>
      </w:pPr>
      <w:r>
        <w:t xml:space="preserve">The PBAC </w:t>
      </w:r>
      <w:r w:rsidR="002F7AC8">
        <w:t>noted</w:t>
      </w:r>
      <w:r>
        <w:t xml:space="preserve"> the submission’s utilisation estimates and </w:t>
      </w:r>
      <w:r w:rsidR="002F7AC8">
        <w:t xml:space="preserve">claim of cost neutrality to the </w:t>
      </w:r>
      <w:r w:rsidR="000D5EB7">
        <w:t>Commonwealth</w:t>
      </w:r>
      <w:r w:rsidR="002F7AC8">
        <w:t xml:space="preserve"> Government Health Budget</w:t>
      </w:r>
      <w:r w:rsidR="00023EB0">
        <w:t xml:space="preserve"> as reported in paragraphs 6.24 to 6.26</w:t>
      </w:r>
      <w:r w:rsidR="002F7AC8">
        <w:t>.</w:t>
      </w:r>
      <w:r w:rsidR="00023EB0">
        <w:t xml:space="preserve">  </w:t>
      </w:r>
      <w:r w:rsidR="002F7AC8">
        <w:t xml:space="preserve">The PBAC agreed with ESC that </w:t>
      </w:r>
      <w:r w:rsidRPr="00321B24">
        <w:t>if there are perceived safety benefits, EVG/c/FTC/TAF might substitute for other single tablet regimens and for other TDF-containing firs</w:t>
      </w:r>
      <w:r w:rsidRPr="00754170">
        <w:t>t line regimens.</w:t>
      </w:r>
    </w:p>
    <w:p w:rsidR="00C133F0" w:rsidRDefault="00C133F0" w:rsidP="00023EB0"/>
    <w:p w:rsidR="00E3621B" w:rsidRPr="00E3621B" w:rsidRDefault="00E3621B" w:rsidP="00E3621B">
      <w:pPr>
        <w:pStyle w:val="ListParagraph"/>
        <w:widowControl/>
        <w:numPr>
          <w:ilvl w:val="1"/>
          <w:numId w:val="9"/>
        </w:numPr>
      </w:pPr>
      <w:r w:rsidRPr="00E3621B">
        <w:t>Advice to the Minister under subsection 101(4AC) of the Act</w:t>
      </w:r>
    </w:p>
    <w:p w:rsidR="00E3621B" w:rsidRDefault="00E3621B" w:rsidP="00E3621B">
      <w:pPr>
        <w:pStyle w:val="ListParagraph"/>
        <w:widowControl/>
        <w:ind w:left="709"/>
      </w:pPr>
      <w:r>
        <w:t>The PBAC noted the submission requested that the PBAC advise the Minister under subsection 101(4AC) of the Act. Based on the reasons provided in paragraphs 6.30 to 6.32, the PBAC decided it was not satisfied as required by subsection 101(4AC) and therefore will not provide advice to the Minister under that section.</w:t>
      </w:r>
    </w:p>
    <w:p w:rsidR="00EB05B3" w:rsidRDefault="00EB05B3" w:rsidP="00E3621B">
      <w:pPr>
        <w:pStyle w:val="ListParagraph"/>
        <w:widowControl/>
        <w:ind w:left="709"/>
      </w:pPr>
    </w:p>
    <w:p w:rsidR="00E3621B" w:rsidRDefault="00E3621B" w:rsidP="008C759C">
      <w:pPr>
        <w:pStyle w:val="ListParagraph"/>
        <w:widowControl/>
        <w:numPr>
          <w:ilvl w:val="1"/>
          <w:numId w:val="9"/>
        </w:numPr>
      </w:pPr>
      <w:r>
        <w:t>The PBAC advised that Section 100 medicines are currently considered out of scope by prescribing by nurse practitioners.</w:t>
      </w:r>
    </w:p>
    <w:p w:rsidR="008C759C" w:rsidRDefault="008C759C" w:rsidP="008C759C">
      <w:pPr>
        <w:pStyle w:val="ListParagraph"/>
        <w:widowControl/>
      </w:pPr>
    </w:p>
    <w:p w:rsidR="008C759C" w:rsidRDefault="008C759C" w:rsidP="008C759C">
      <w:pPr>
        <w:pStyle w:val="ListParagraph"/>
        <w:widowControl/>
        <w:numPr>
          <w:ilvl w:val="1"/>
          <w:numId w:val="9"/>
        </w:numPr>
        <w:snapToGrid w:val="0"/>
        <w:rPr>
          <w:szCs w:val="22"/>
        </w:rPr>
      </w:pPr>
      <w:r>
        <w:rPr>
          <w:szCs w:val="22"/>
        </w:rPr>
        <w:lastRenderedPageBreak/>
        <w:t xml:space="preserve">The PBAC recommended that the Safety Net 20 Day Rule should apply to </w:t>
      </w:r>
      <w:r>
        <w:t>EVG/c/FTC/tenofovir alafenamide</w:t>
      </w:r>
      <w:r>
        <w:rPr>
          <w:szCs w:val="22"/>
        </w:rPr>
        <w:t xml:space="preserve">.  The PBAC also recommended that the Safety Net rule should flow-on to all HIV treatment currently listed on the PBS.  </w:t>
      </w:r>
    </w:p>
    <w:p w:rsidR="008C759C" w:rsidRPr="008C759C" w:rsidRDefault="008C759C" w:rsidP="008C759C">
      <w:pPr>
        <w:pStyle w:val="ListParagraph"/>
        <w:rPr>
          <w:szCs w:val="22"/>
        </w:rPr>
      </w:pPr>
    </w:p>
    <w:p w:rsidR="008C759C" w:rsidRDefault="008C759C" w:rsidP="008C759C">
      <w:pPr>
        <w:pStyle w:val="ListParagraph"/>
        <w:widowControl/>
        <w:numPr>
          <w:ilvl w:val="1"/>
          <w:numId w:val="9"/>
        </w:numPr>
        <w:snapToGrid w:val="0"/>
        <w:rPr>
          <w:szCs w:val="22"/>
        </w:rPr>
      </w:pPr>
      <w:r>
        <w:rPr>
          <w:szCs w:val="22"/>
        </w:rPr>
        <w:t xml:space="preserve">In accordance with subsection 101(3BA) of the Act, the PBAC advised that it is of the opinion that </w:t>
      </w:r>
      <w:r>
        <w:t>EVG/c/FTC/tenofovir alafenamide</w:t>
      </w:r>
      <w:r>
        <w:rPr>
          <w:szCs w:val="22"/>
        </w:rPr>
        <w:t xml:space="preserve"> should not be treated as interchangeable on an individual patient basis with other antiretroviral therapies.</w:t>
      </w:r>
    </w:p>
    <w:p w:rsidR="00E3621B" w:rsidRDefault="00E3621B" w:rsidP="002B4C53">
      <w:pPr>
        <w:pStyle w:val="ListParagraph"/>
        <w:widowControl/>
        <w:snapToGrid w:val="0"/>
      </w:pPr>
    </w:p>
    <w:p w:rsidR="00980EE7" w:rsidRPr="00673F01" w:rsidRDefault="00E3621B" w:rsidP="002B4C53">
      <w:pPr>
        <w:pStyle w:val="ListParagraph"/>
      </w:pPr>
      <w:r>
        <w:t xml:space="preserve"> </w:t>
      </w:r>
    </w:p>
    <w:p w:rsidR="00CD1819" w:rsidRPr="00980EE7" w:rsidRDefault="00CD1819" w:rsidP="00413948">
      <w:pPr>
        <w:pStyle w:val="PBACHeading1"/>
        <w:numPr>
          <w:ilvl w:val="0"/>
          <w:numId w:val="0"/>
        </w:numPr>
      </w:pPr>
      <w:r w:rsidRPr="00980EE7">
        <w:t>Outcome:</w:t>
      </w:r>
    </w:p>
    <w:p w:rsidR="00CD1819" w:rsidRPr="00413948" w:rsidRDefault="00CD1819" w:rsidP="00413948">
      <w:pPr>
        <w:pStyle w:val="PBACHeading1"/>
        <w:numPr>
          <w:ilvl w:val="0"/>
          <w:numId w:val="0"/>
        </w:numPr>
        <w:rPr>
          <w:b w:val="0"/>
        </w:rPr>
      </w:pPr>
      <w:r w:rsidRPr="00413948">
        <w:rPr>
          <w:b w:val="0"/>
        </w:rPr>
        <w:t>Recommended</w:t>
      </w:r>
    </w:p>
    <w:p w:rsidR="00CD1819" w:rsidRPr="00EF6F2C" w:rsidRDefault="00CD1819" w:rsidP="0015514D">
      <w:pPr>
        <w:widowControl/>
      </w:pPr>
    </w:p>
    <w:p w:rsidR="00CD1819" w:rsidRPr="00FD7C28" w:rsidRDefault="00CD1819" w:rsidP="00CD1819">
      <w:pPr>
        <w:rPr>
          <w:bCs/>
          <w:szCs w:val="22"/>
          <w:highlight w:val="yellow"/>
        </w:rPr>
      </w:pPr>
    </w:p>
    <w:p w:rsidR="00CD1819" w:rsidRPr="00FE66D5" w:rsidRDefault="00CD1819" w:rsidP="00413948">
      <w:pPr>
        <w:pStyle w:val="PBACHeading1"/>
        <w:rPr>
          <w:lang w:val="en-GB"/>
        </w:rPr>
      </w:pPr>
      <w:r w:rsidRPr="00FE66D5">
        <w:rPr>
          <w:lang w:val="en-GB"/>
        </w:rPr>
        <w:t>Recommended listing</w:t>
      </w:r>
    </w:p>
    <w:p w:rsidR="00CD1819" w:rsidRPr="00FE66D5" w:rsidRDefault="00CD1819" w:rsidP="00CD1819">
      <w:pPr>
        <w:rPr>
          <w:b/>
          <w:bCs/>
          <w:szCs w:val="22"/>
          <w:lang w:val="en-GB"/>
        </w:rPr>
      </w:pPr>
    </w:p>
    <w:p w:rsidR="00CD1819" w:rsidRPr="00753877" w:rsidRDefault="00CD1819" w:rsidP="00FE66D5">
      <w:pPr>
        <w:numPr>
          <w:ilvl w:val="1"/>
          <w:numId w:val="9"/>
        </w:numPr>
        <w:contextualSpacing/>
        <w:rPr>
          <w:bCs/>
          <w:szCs w:val="22"/>
        </w:rPr>
      </w:pPr>
      <w:r w:rsidRPr="00753877">
        <w:rPr>
          <w:bCs/>
          <w:szCs w:val="22"/>
        </w:rPr>
        <w:t>Add new item:</w:t>
      </w:r>
      <w:r w:rsidR="004C16C5" w:rsidRPr="00753877">
        <w:rPr>
          <w:bCs/>
          <w:szCs w:val="22"/>
        </w:rPr>
        <w:t xml:space="preserve"> </w:t>
      </w:r>
      <w:r w:rsidR="004C16C5" w:rsidRPr="00753877">
        <w:t xml:space="preserve">Safety Net 20 Day rule to flow-on to all HIV treatment currently listed on the PBS. </w:t>
      </w:r>
    </w:p>
    <w:p w:rsidR="004C16C5" w:rsidRPr="004C16C5" w:rsidRDefault="004C16C5" w:rsidP="00FE66D5">
      <w:pPr>
        <w:ind w:left="720"/>
        <w:contextualSpacing/>
        <w:rPr>
          <w:bCs/>
          <w:szCs w:val="22"/>
          <w:highlight w:val="yellow"/>
        </w:rPr>
      </w:pPr>
    </w:p>
    <w:p w:rsidR="00CD1819" w:rsidRPr="00FD7C28" w:rsidRDefault="00CD1819" w:rsidP="00CD1819">
      <w:pPr>
        <w:pStyle w:val="NoSpacing"/>
        <w:rPr>
          <w:lang w:val="en-GB"/>
        </w:rPr>
      </w:pPr>
    </w:p>
    <w:p w:rsidR="00F61F28" w:rsidRDefault="00F61F28">
      <w:pPr>
        <w:widowControl/>
        <w:jc w:val="left"/>
        <w:rPr>
          <w:lang w:val="en-GB"/>
        </w:rPr>
      </w:pPr>
      <w:r>
        <w:rPr>
          <w:lang w:val="en-GB"/>
        </w:rPr>
        <w:br w:type="page"/>
      </w:r>
    </w:p>
    <w:tbl>
      <w:tblPr>
        <w:tblW w:w="9218" w:type="dxa"/>
        <w:tblInd w:w="108" w:type="dxa"/>
        <w:tblLayout w:type="fixed"/>
        <w:tblLook w:val="04A0" w:firstRow="1" w:lastRow="0" w:firstColumn="1" w:lastColumn="0" w:noHBand="0" w:noVBand="1"/>
        <w:tblCaption w:val="Recommended PBS restriction"/>
      </w:tblPr>
      <w:tblGrid>
        <w:gridCol w:w="2834"/>
        <w:gridCol w:w="426"/>
        <w:gridCol w:w="567"/>
        <w:gridCol w:w="850"/>
        <w:gridCol w:w="1702"/>
        <w:gridCol w:w="1560"/>
        <w:gridCol w:w="1279"/>
      </w:tblGrid>
      <w:tr w:rsidR="004C16C5" w:rsidTr="00F61F28">
        <w:trPr>
          <w:cantSplit/>
          <w:trHeight w:val="471"/>
        </w:trPr>
        <w:tc>
          <w:tcPr>
            <w:tcW w:w="3260" w:type="dxa"/>
            <w:gridSpan w:val="2"/>
            <w:tcBorders>
              <w:top w:val="nil"/>
              <w:left w:val="nil"/>
              <w:bottom w:val="single" w:sz="4" w:space="0" w:color="auto"/>
              <w:right w:val="nil"/>
            </w:tcBorders>
            <w:hideMark/>
          </w:tcPr>
          <w:p w:rsidR="004C16C5" w:rsidRDefault="004C16C5">
            <w:pPr>
              <w:keepNext/>
              <w:ind w:left="-108"/>
              <w:rPr>
                <w:rFonts w:ascii="Arial Narrow" w:hAnsi="Arial Narrow"/>
                <w:sz w:val="20"/>
                <w:szCs w:val="24"/>
              </w:rPr>
            </w:pPr>
            <w:r>
              <w:rPr>
                <w:rFonts w:ascii="Arial Narrow" w:hAnsi="Arial Narrow"/>
                <w:sz w:val="20"/>
              </w:rPr>
              <w:lastRenderedPageBreak/>
              <w:t>Name, Restriction,</w:t>
            </w:r>
          </w:p>
          <w:p w:rsidR="004C16C5" w:rsidRDefault="004C16C5">
            <w:pPr>
              <w:keepNext/>
              <w:ind w:left="-108"/>
              <w:rPr>
                <w:rFonts w:ascii="Arial Narrow" w:hAnsi="Arial Narrow"/>
                <w:sz w:val="20"/>
                <w:szCs w:val="24"/>
              </w:rPr>
            </w:pPr>
            <w:r>
              <w:rPr>
                <w:rFonts w:ascii="Arial Narrow" w:hAnsi="Arial Narrow"/>
                <w:sz w:val="20"/>
              </w:rPr>
              <w:t>Manner of administration and form</w:t>
            </w:r>
          </w:p>
        </w:tc>
        <w:tc>
          <w:tcPr>
            <w:tcW w:w="567" w:type="dxa"/>
            <w:tcBorders>
              <w:top w:val="nil"/>
              <w:left w:val="nil"/>
              <w:bottom w:val="single" w:sz="4" w:space="0" w:color="auto"/>
              <w:right w:val="nil"/>
            </w:tcBorders>
            <w:hideMark/>
          </w:tcPr>
          <w:p w:rsidR="004C16C5" w:rsidRDefault="004C16C5">
            <w:pPr>
              <w:keepNext/>
              <w:ind w:left="-108"/>
              <w:rPr>
                <w:rFonts w:ascii="Arial Narrow" w:hAnsi="Arial Narrow"/>
                <w:sz w:val="20"/>
                <w:szCs w:val="24"/>
              </w:rPr>
            </w:pPr>
            <w:r>
              <w:rPr>
                <w:rFonts w:ascii="Arial Narrow" w:hAnsi="Arial Narrow"/>
                <w:sz w:val="20"/>
              </w:rPr>
              <w:t>Max.</w:t>
            </w:r>
          </w:p>
          <w:p w:rsidR="004C16C5" w:rsidRDefault="004C16C5">
            <w:pPr>
              <w:keepNext/>
              <w:ind w:left="-108"/>
              <w:rPr>
                <w:rFonts w:ascii="Arial Narrow" w:hAnsi="Arial Narrow"/>
                <w:sz w:val="20"/>
                <w:szCs w:val="24"/>
              </w:rPr>
            </w:pPr>
            <w:r>
              <w:rPr>
                <w:rFonts w:ascii="Arial Narrow" w:hAnsi="Arial Narrow"/>
                <w:sz w:val="20"/>
              </w:rPr>
              <w:t>Qty</w:t>
            </w:r>
          </w:p>
        </w:tc>
        <w:tc>
          <w:tcPr>
            <w:tcW w:w="850" w:type="dxa"/>
            <w:tcBorders>
              <w:top w:val="nil"/>
              <w:left w:val="nil"/>
              <w:bottom w:val="single" w:sz="4" w:space="0" w:color="auto"/>
              <w:right w:val="nil"/>
            </w:tcBorders>
            <w:hideMark/>
          </w:tcPr>
          <w:p w:rsidR="004C16C5" w:rsidRDefault="004C16C5">
            <w:pPr>
              <w:keepNext/>
              <w:ind w:left="-108"/>
              <w:rPr>
                <w:rFonts w:ascii="Arial Narrow" w:hAnsi="Arial Narrow"/>
                <w:sz w:val="20"/>
                <w:szCs w:val="24"/>
              </w:rPr>
            </w:pPr>
            <w:r>
              <w:rPr>
                <w:rFonts w:ascii="Arial Narrow" w:hAnsi="Arial Narrow"/>
                <w:sz w:val="20"/>
              </w:rPr>
              <w:t>№.of</w:t>
            </w:r>
          </w:p>
          <w:p w:rsidR="004C16C5" w:rsidRDefault="004C16C5">
            <w:pPr>
              <w:keepNext/>
              <w:ind w:left="-108"/>
              <w:rPr>
                <w:rFonts w:ascii="Arial Narrow" w:hAnsi="Arial Narrow"/>
                <w:sz w:val="20"/>
                <w:szCs w:val="24"/>
              </w:rPr>
            </w:pPr>
            <w:r>
              <w:rPr>
                <w:rFonts w:ascii="Arial Narrow" w:hAnsi="Arial Narrow"/>
                <w:sz w:val="20"/>
              </w:rPr>
              <w:t>Rpts</w:t>
            </w:r>
          </w:p>
        </w:tc>
        <w:tc>
          <w:tcPr>
            <w:tcW w:w="1702" w:type="dxa"/>
            <w:tcBorders>
              <w:top w:val="nil"/>
              <w:left w:val="nil"/>
              <w:bottom w:val="single" w:sz="4" w:space="0" w:color="auto"/>
              <w:right w:val="nil"/>
            </w:tcBorders>
            <w:hideMark/>
          </w:tcPr>
          <w:p w:rsidR="004C16C5" w:rsidRDefault="004C16C5">
            <w:pPr>
              <w:keepNext/>
              <w:ind w:left="-108"/>
              <w:rPr>
                <w:rFonts w:ascii="Arial Narrow" w:hAnsi="Arial Narrow"/>
                <w:sz w:val="20"/>
                <w:szCs w:val="24"/>
              </w:rPr>
            </w:pPr>
          </w:p>
        </w:tc>
        <w:tc>
          <w:tcPr>
            <w:tcW w:w="2839" w:type="dxa"/>
            <w:gridSpan w:val="2"/>
            <w:tcBorders>
              <w:top w:val="nil"/>
              <w:left w:val="nil"/>
              <w:bottom w:val="single" w:sz="4" w:space="0" w:color="auto"/>
              <w:right w:val="nil"/>
            </w:tcBorders>
            <w:hideMark/>
          </w:tcPr>
          <w:p w:rsidR="004C16C5" w:rsidRDefault="004C16C5">
            <w:pPr>
              <w:keepNext/>
              <w:rPr>
                <w:rFonts w:ascii="Arial Narrow" w:hAnsi="Arial Narrow"/>
                <w:sz w:val="20"/>
                <w:szCs w:val="24"/>
                <w:lang w:val="fr-FR"/>
              </w:rPr>
            </w:pPr>
            <w:r>
              <w:rPr>
                <w:rFonts w:ascii="Arial Narrow" w:hAnsi="Arial Narrow"/>
                <w:sz w:val="20"/>
              </w:rPr>
              <w:t>Proprietary Name and Manufacturer</w:t>
            </w:r>
          </w:p>
        </w:tc>
      </w:tr>
      <w:tr w:rsidR="004C16C5" w:rsidTr="00F61F28">
        <w:trPr>
          <w:cantSplit/>
          <w:trHeight w:val="577"/>
        </w:trPr>
        <w:tc>
          <w:tcPr>
            <w:tcW w:w="3260" w:type="dxa"/>
            <w:gridSpan w:val="2"/>
            <w:hideMark/>
          </w:tcPr>
          <w:tbl>
            <w:tblPr>
              <w:tblW w:w="3153" w:type="dxa"/>
              <w:tblLayout w:type="fixed"/>
              <w:tblCellMar>
                <w:left w:w="28" w:type="dxa"/>
                <w:right w:w="28" w:type="dxa"/>
              </w:tblCellMar>
              <w:tblLook w:val="04A0" w:firstRow="1" w:lastRow="0" w:firstColumn="1" w:lastColumn="0" w:noHBand="0" w:noVBand="1"/>
            </w:tblPr>
            <w:tblGrid>
              <w:gridCol w:w="2637"/>
              <w:gridCol w:w="516"/>
            </w:tblGrid>
            <w:tr w:rsidR="004C16C5" w:rsidTr="00F61F28">
              <w:trPr>
                <w:cantSplit/>
                <w:trHeight w:val="577"/>
              </w:trPr>
              <w:tc>
                <w:tcPr>
                  <w:tcW w:w="4182" w:type="pct"/>
                  <w:hideMark/>
                </w:tcPr>
                <w:p w:rsidR="004C16C5" w:rsidRDefault="004C16C5">
                  <w:pPr>
                    <w:keepNext/>
                    <w:rPr>
                      <w:rFonts w:ascii="Arial Narrow" w:hAnsi="Arial Narrow"/>
                      <w:smallCaps/>
                      <w:sz w:val="20"/>
                      <w:szCs w:val="24"/>
                    </w:rPr>
                  </w:pPr>
                  <w:r>
                    <w:rPr>
                      <w:rFonts w:ascii="Arial Narrow" w:hAnsi="Arial Narrow"/>
                      <w:smallCaps/>
                      <w:sz w:val="20"/>
                    </w:rPr>
                    <w:t>ELVITEGRAVIR + COBICISTAT + EMTRICITABINE + TENOFOVIR ALAFENAMIDE</w:t>
                  </w:r>
                </w:p>
                <w:p w:rsidR="004C16C5" w:rsidRDefault="004C16C5">
                  <w:pPr>
                    <w:keepNext/>
                    <w:rPr>
                      <w:rFonts w:ascii="Arial Narrow" w:hAnsi="Arial Narrow"/>
                      <w:sz w:val="20"/>
                      <w:szCs w:val="24"/>
                    </w:rPr>
                  </w:pPr>
                  <w:r>
                    <w:rPr>
                      <w:rFonts w:ascii="Arial Narrow" w:hAnsi="Arial Narrow"/>
                      <w:sz w:val="20"/>
                    </w:rPr>
                    <w:t xml:space="preserve">fixed dose combination tablet 60, elvitegravir 150mg +cobicistat 150 mg +emtricitabine 200mg +tenofovir alafenamide 10mg </w:t>
                  </w:r>
                </w:p>
              </w:tc>
              <w:tc>
                <w:tcPr>
                  <w:tcW w:w="818" w:type="pct"/>
                </w:tcPr>
                <w:p w:rsidR="004C16C5" w:rsidRDefault="004C16C5">
                  <w:pPr>
                    <w:keepNext/>
                    <w:jc w:val="center"/>
                    <w:rPr>
                      <w:rFonts w:ascii="Arial Narrow" w:hAnsi="Arial Narrow"/>
                      <w:sz w:val="20"/>
                      <w:szCs w:val="24"/>
                    </w:rPr>
                  </w:pPr>
                </w:p>
                <w:p w:rsidR="004C16C5" w:rsidRDefault="004C16C5">
                  <w:pPr>
                    <w:keepNext/>
                    <w:jc w:val="center"/>
                    <w:rPr>
                      <w:rFonts w:ascii="Arial Narrow" w:hAnsi="Arial Narrow"/>
                      <w:sz w:val="20"/>
                      <w:szCs w:val="24"/>
                    </w:rPr>
                  </w:pPr>
                </w:p>
              </w:tc>
            </w:tr>
          </w:tbl>
          <w:p w:rsidR="004C16C5" w:rsidRDefault="004C16C5">
            <w:pPr>
              <w:keepNext/>
              <w:rPr>
                <w:rFonts w:ascii="Arial Narrow" w:hAnsi="Arial Narrow"/>
                <w:sz w:val="20"/>
                <w:szCs w:val="24"/>
              </w:rPr>
            </w:pPr>
          </w:p>
        </w:tc>
        <w:tc>
          <w:tcPr>
            <w:tcW w:w="567" w:type="dxa"/>
          </w:tcPr>
          <w:p w:rsidR="004C16C5" w:rsidRDefault="004C16C5">
            <w:pPr>
              <w:keepNext/>
              <w:jc w:val="center"/>
              <w:rPr>
                <w:rFonts w:ascii="Arial Narrow" w:hAnsi="Arial Narrow"/>
                <w:sz w:val="20"/>
                <w:szCs w:val="24"/>
              </w:rPr>
            </w:pPr>
          </w:p>
          <w:p w:rsidR="004C16C5" w:rsidRDefault="004C16C5">
            <w:pPr>
              <w:keepNext/>
              <w:ind w:left="-108"/>
              <w:rPr>
                <w:rFonts w:ascii="Arial Narrow" w:hAnsi="Arial Narrow"/>
                <w:sz w:val="20"/>
                <w:szCs w:val="24"/>
              </w:rPr>
            </w:pPr>
            <w:r>
              <w:rPr>
                <w:rFonts w:ascii="Arial Narrow" w:hAnsi="Arial Narrow"/>
                <w:sz w:val="20"/>
              </w:rPr>
              <w:t>60</w:t>
            </w:r>
          </w:p>
        </w:tc>
        <w:tc>
          <w:tcPr>
            <w:tcW w:w="850" w:type="dxa"/>
          </w:tcPr>
          <w:p w:rsidR="004C16C5" w:rsidRDefault="004C16C5">
            <w:pPr>
              <w:keepNext/>
              <w:jc w:val="center"/>
              <w:rPr>
                <w:rFonts w:ascii="Arial Narrow" w:hAnsi="Arial Narrow"/>
                <w:sz w:val="20"/>
                <w:szCs w:val="24"/>
              </w:rPr>
            </w:pPr>
          </w:p>
          <w:p w:rsidR="004C16C5" w:rsidRDefault="004C16C5">
            <w:pPr>
              <w:keepNext/>
              <w:ind w:left="-108"/>
              <w:rPr>
                <w:rFonts w:ascii="Arial Narrow" w:hAnsi="Arial Narrow"/>
                <w:sz w:val="20"/>
                <w:szCs w:val="24"/>
              </w:rPr>
            </w:pPr>
            <w:r>
              <w:rPr>
                <w:rFonts w:ascii="Arial Narrow" w:hAnsi="Arial Narrow"/>
                <w:sz w:val="20"/>
              </w:rPr>
              <w:t>5</w:t>
            </w:r>
          </w:p>
        </w:tc>
        <w:tc>
          <w:tcPr>
            <w:tcW w:w="1702" w:type="dxa"/>
          </w:tcPr>
          <w:p w:rsidR="004C16C5" w:rsidRDefault="004C16C5">
            <w:pPr>
              <w:keepNext/>
              <w:jc w:val="center"/>
              <w:rPr>
                <w:rFonts w:ascii="Arial Narrow" w:hAnsi="Arial Narrow"/>
                <w:sz w:val="20"/>
                <w:szCs w:val="24"/>
              </w:rPr>
            </w:pPr>
          </w:p>
          <w:p w:rsidR="004C16C5" w:rsidRDefault="004C16C5">
            <w:pPr>
              <w:keepNext/>
              <w:ind w:left="-108"/>
              <w:rPr>
                <w:rFonts w:ascii="Arial Narrow" w:hAnsi="Arial Narrow"/>
                <w:sz w:val="20"/>
                <w:szCs w:val="24"/>
              </w:rPr>
            </w:pPr>
          </w:p>
        </w:tc>
        <w:tc>
          <w:tcPr>
            <w:tcW w:w="1560" w:type="dxa"/>
            <w:hideMark/>
          </w:tcPr>
          <w:p w:rsidR="004C16C5" w:rsidRDefault="004C16C5">
            <w:pPr>
              <w:keepNext/>
              <w:rPr>
                <w:rFonts w:ascii="Arial Narrow" w:hAnsi="Arial Narrow"/>
                <w:sz w:val="20"/>
                <w:szCs w:val="24"/>
              </w:rPr>
            </w:pPr>
            <w:r>
              <w:rPr>
                <w:rFonts w:ascii="Arial Narrow" w:hAnsi="Arial Narrow"/>
                <w:sz w:val="20"/>
              </w:rPr>
              <w:t>TBA</w:t>
            </w:r>
          </w:p>
        </w:tc>
        <w:tc>
          <w:tcPr>
            <w:tcW w:w="1279" w:type="dxa"/>
            <w:hideMark/>
          </w:tcPr>
          <w:p w:rsidR="004C16C5" w:rsidRDefault="004C16C5">
            <w:pPr>
              <w:keepNext/>
              <w:rPr>
                <w:rFonts w:ascii="Arial Narrow" w:hAnsi="Arial Narrow"/>
                <w:sz w:val="20"/>
                <w:szCs w:val="24"/>
              </w:rPr>
            </w:pPr>
            <w:r>
              <w:rPr>
                <w:rFonts w:ascii="Arial Narrow" w:hAnsi="Arial Narrow"/>
                <w:sz w:val="20"/>
              </w:rPr>
              <w:t>Gilead Sciences Pty Ltd</w:t>
            </w:r>
          </w:p>
        </w:tc>
      </w:tr>
      <w:tr w:rsidR="004C16C5" w:rsidTr="004C16C5">
        <w:trPr>
          <w:cantSplit/>
          <w:trHeight w:val="360"/>
        </w:trPr>
        <w:tc>
          <w:tcPr>
            <w:tcW w:w="9218" w:type="dxa"/>
            <w:gridSpan w:val="7"/>
            <w:tcBorders>
              <w:top w:val="nil"/>
              <w:left w:val="nil"/>
              <w:bottom w:val="single" w:sz="4" w:space="0" w:color="auto"/>
              <w:right w:val="nil"/>
            </w:tcBorders>
          </w:tcPr>
          <w:p w:rsidR="004C16C5" w:rsidRDefault="004C16C5">
            <w:pPr>
              <w:rPr>
                <w:rFonts w:ascii="Arial Narrow" w:hAnsi="Arial Narrow"/>
                <w:sz w:val="20"/>
                <w:szCs w:val="24"/>
              </w:rPr>
            </w:pPr>
          </w:p>
        </w:tc>
      </w:tr>
      <w:tr w:rsidR="004C16C5" w:rsidTr="00F61F28">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Category / Program</w:t>
            </w:r>
          </w:p>
        </w:tc>
        <w:tc>
          <w:tcPr>
            <w:tcW w:w="6384" w:type="dxa"/>
            <w:gridSpan w:val="6"/>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Section 100 – Highly Specialised Drugs Program (Community Access)</w:t>
            </w:r>
          </w:p>
        </w:tc>
      </w:tr>
      <w:tr w:rsidR="004C16C5" w:rsidTr="00F61F28">
        <w:trPr>
          <w:cantSplit/>
          <w:trHeight w:val="360"/>
        </w:trPr>
        <w:tc>
          <w:tcPr>
            <w:tcW w:w="2834" w:type="dxa"/>
            <w:tcBorders>
              <w:top w:val="single" w:sz="4" w:space="0" w:color="auto"/>
              <w:left w:val="single" w:sz="4" w:space="0" w:color="auto"/>
              <w:bottom w:val="single" w:sz="4" w:space="0" w:color="auto"/>
              <w:right w:val="single" w:sz="4" w:space="0" w:color="auto"/>
            </w:tcBorders>
          </w:tcPr>
          <w:p w:rsidR="004C16C5" w:rsidRDefault="004C16C5">
            <w:pPr>
              <w:rPr>
                <w:rFonts w:ascii="Arial Narrow" w:hAnsi="Arial Narrow"/>
                <w:b/>
                <w:sz w:val="20"/>
                <w:szCs w:val="24"/>
              </w:rPr>
            </w:pPr>
            <w:r>
              <w:rPr>
                <w:rFonts w:ascii="Arial Narrow" w:hAnsi="Arial Narrow"/>
                <w:b/>
                <w:sz w:val="20"/>
              </w:rPr>
              <w:t>Prescriber type:</w:t>
            </w:r>
          </w:p>
          <w:p w:rsidR="004C16C5" w:rsidRDefault="004C16C5">
            <w:pPr>
              <w:rPr>
                <w:rFonts w:ascii="Arial Narrow" w:hAnsi="Arial Narrow"/>
                <w:b/>
                <w:sz w:val="20"/>
                <w:szCs w:val="24"/>
              </w:rPr>
            </w:pPr>
          </w:p>
        </w:tc>
        <w:tc>
          <w:tcPr>
            <w:tcW w:w="6384" w:type="dxa"/>
            <w:gridSpan w:val="6"/>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Nurse practitioners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Optometrists</w:t>
            </w:r>
          </w:p>
          <w:p w:rsidR="004C16C5" w:rsidRDefault="004C16C5">
            <w:pPr>
              <w:rPr>
                <w:rFonts w:ascii="Arial Narrow" w:hAnsi="Arial Narrow"/>
                <w:sz w:val="20"/>
                <w:szCs w:val="24"/>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Midwives</w:t>
            </w:r>
          </w:p>
        </w:tc>
      </w:tr>
      <w:tr w:rsidR="004C16C5" w:rsidTr="00F61F28">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Episodicity:</w:t>
            </w:r>
          </w:p>
        </w:tc>
        <w:tc>
          <w:tcPr>
            <w:tcW w:w="6384" w:type="dxa"/>
            <w:gridSpan w:val="6"/>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w:t>
            </w:r>
          </w:p>
        </w:tc>
      </w:tr>
      <w:tr w:rsidR="004C16C5" w:rsidTr="00F61F28">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Severity:</w:t>
            </w:r>
          </w:p>
        </w:tc>
        <w:tc>
          <w:tcPr>
            <w:tcW w:w="6384" w:type="dxa"/>
            <w:gridSpan w:val="6"/>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w:t>
            </w:r>
          </w:p>
        </w:tc>
      </w:tr>
      <w:tr w:rsidR="004C16C5" w:rsidTr="00F61F28">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Condition:</w:t>
            </w:r>
          </w:p>
        </w:tc>
        <w:tc>
          <w:tcPr>
            <w:tcW w:w="6384" w:type="dxa"/>
            <w:gridSpan w:val="6"/>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HIV Infection</w:t>
            </w:r>
          </w:p>
        </w:tc>
      </w:tr>
      <w:tr w:rsidR="004C16C5" w:rsidTr="00F61F28">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PBS Indication:</w:t>
            </w:r>
          </w:p>
        </w:tc>
        <w:tc>
          <w:tcPr>
            <w:tcW w:w="6384" w:type="dxa"/>
            <w:gridSpan w:val="6"/>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HIV Infection</w:t>
            </w:r>
          </w:p>
        </w:tc>
      </w:tr>
      <w:tr w:rsidR="004C16C5" w:rsidTr="00F61F28">
        <w:trPr>
          <w:cantSplit/>
          <w:trHeight w:val="360"/>
        </w:trPr>
        <w:tc>
          <w:tcPr>
            <w:tcW w:w="2834" w:type="dxa"/>
            <w:tcBorders>
              <w:top w:val="single" w:sz="4" w:space="0" w:color="auto"/>
              <w:left w:val="single" w:sz="4" w:space="0" w:color="auto"/>
              <w:bottom w:val="single" w:sz="4" w:space="0" w:color="auto"/>
              <w:right w:val="single" w:sz="4" w:space="0" w:color="auto"/>
            </w:tcBorders>
          </w:tcPr>
          <w:p w:rsidR="004C16C5" w:rsidRDefault="004C16C5">
            <w:pPr>
              <w:rPr>
                <w:rFonts w:ascii="Arial Narrow" w:hAnsi="Arial Narrow"/>
                <w:b/>
                <w:sz w:val="20"/>
                <w:szCs w:val="24"/>
              </w:rPr>
            </w:pPr>
            <w:r>
              <w:rPr>
                <w:rFonts w:ascii="Arial Narrow" w:hAnsi="Arial Narrow"/>
                <w:b/>
                <w:sz w:val="20"/>
              </w:rPr>
              <w:t>Treatment phase:</w:t>
            </w:r>
          </w:p>
          <w:p w:rsidR="004C16C5" w:rsidRDefault="004C16C5">
            <w:pPr>
              <w:rPr>
                <w:rFonts w:ascii="Arial Narrow" w:hAnsi="Arial Narrow"/>
                <w:i/>
                <w:sz w:val="20"/>
                <w:szCs w:val="24"/>
              </w:rPr>
            </w:pPr>
          </w:p>
        </w:tc>
        <w:tc>
          <w:tcPr>
            <w:tcW w:w="6384" w:type="dxa"/>
            <w:gridSpan w:val="6"/>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Initial</w:t>
            </w:r>
          </w:p>
        </w:tc>
      </w:tr>
      <w:tr w:rsidR="004C16C5" w:rsidTr="00F61F28">
        <w:trPr>
          <w:cantSplit/>
          <w:trHeight w:val="360"/>
        </w:trPr>
        <w:tc>
          <w:tcPr>
            <w:tcW w:w="2834" w:type="dxa"/>
            <w:tcBorders>
              <w:top w:val="single" w:sz="4" w:space="0" w:color="auto"/>
              <w:left w:val="single" w:sz="4" w:space="0" w:color="auto"/>
              <w:bottom w:val="single" w:sz="4" w:space="0" w:color="auto"/>
              <w:right w:val="single" w:sz="4" w:space="0" w:color="auto"/>
            </w:tcBorders>
          </w:tcPr>
          <w:p w:rsidR="004C16C5" w:rsidRDefault="004C16C5">
            <w:pPr>
              <w:rPr>
                <w:rFonts w:ascii="Arial Narrow" w:hAnsi="Arial Narrow"/>
                <w:b/>
                <w:sz w:val="20"/>
                <w:szCs w:val="24"/>
              </w:rPr>
            </w:pPr>
            <w:r>
              <w:rPr>
                <w:rFonts w:ascii="Arial Narrow" w:hAnsi="Arial Narrow"/>
                <w:b/>
                <w:sz w:val="20"/>
              </w:rPr>
              <w:t>Restriction Level / Method:</w:t>
            </w:r>
          </w:p>
          <w:p w:rsidR="004C16C5" w:rsidRDefault="004C16C5">
            <w:pPr>
              <w:rPr>
                <w:rFonts w:ascii="Arial Narrow" w:hAnsi="Arial Narrow"/>
                <w:i/>
                <w:sz w:val="20"/>
                <w:szCs w:val="24"/>
              </w:rPr>
            </w:pPr>
          </w:p>
        </w:tc>
        <w:tc>
          <w:tcPr>
            <w:tcW w:w="6384" w:type="dxa"/>
            <w:gridSpan w:val="6"/>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Restricted benefit</w:t>
            </w:r>
          </w:p>
          <w:p w:rsidR="004C16C5" w:rsidRDefault="004C16C5">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In Writing</w:t>
            </w:r>
          </w:p>
          <w:p w:rsidR="004C16C5" w:rsidRDefault="004C16C5">
            <w:pPr>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Telephone</w:t>
            </w:r>
          </w:p>
          <w:p w:rsidR="004C16C5" w:rsidRDefault="004C16C5">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Emergency</w:t>
            </w:r>
          </w:p>
          <w:p w:rsidR="004C16C5" w:rsidRDefault="004C16C5">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Electronic</w:t>
            </w:r>
          </w:p>
          <w:p w:rsidR="004C16C5" w:rsidRDefault="004C16C5">
            <w:pPr>
              <w:rPr>
                <w:rFonts w:ascii="Arial Narrow" w:hAnsi="Arial Narrow"/>
                <w:sz w:val="20"/>
                <w:szCs w:val="24"/>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Streamlined</w:t>
            </w:r>
          </w:p>
        </w:tc>
      </w:tr>
      <w:tr w:rsidR="004C16C5" w:rsidTr="00F61F28">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Clinical criteria:</w:t>
            </w:r>
          </w:p>
        </w:tc>
        <w:tc>
          <w:tcPr>
            <w:tcW w:w="6384" w:type="dxa"/>
            <w:gridSpan w:val="6"/>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Patient must be antiretroviral treatment naïve.</w:t>
            </w:r>
          </w:p>
        </w:tc>
      </w:tr>
    </w:tbl>
    <w:p w:rsidR="00CD1819" w:rsidRDefault="00CD1819" w:rsidP="00CD1819">
      <w:pPr>
        <w:pStyle w:val="NoSpacing"/>
        <w:rPr>
          <w:lang w:val="en-GB"/>
        </w:rPr>
      </w:pPr>
    </w:p>
    <w:tbl>
      <w:tblPr>
        <w:tblW w:w="9210" w:type="dxa"/>
        <w:tblInd w:w="108" w:type="dxa"/>
        <w:tblLayout w:type="fixed"/>
        <w:tblLook w:val="04A0" w:firstRow="1" w:lastRow="0" w:firstColumn="1" w:lastColumn="0" w:noHBand="0" w:noVBand="1"/>
        <w:tblCaption w:val="Recommended PBS restriction"/>
      </w:tblPr>
      <w:tblGrid>
        <w:gridCol w:w="2834"/>
        <w:gridCol w:w="6376"/>
      </w:tblGrid>
      <w:tr w:rsidR="004C16C5" w:rsidTr="004C16C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 xml:space="preserve">Category / </w:t>
            </w:r>
          </w:p>
          <w:p w:rsidR="004C16C5" w:rsidRDefault="004C16C5">
            <w:pPr>
              <w:rPr>
                <w:rFonts w:ascii="Arial Narrow" w:hAnsi="Arial Narrow"/>
                <w:b/>
                <w:sz w:val="20"/>
                <w:szCs w:val="24"/>
              </w:rPr>
            </w:pPr>
            <w:r>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4C16C5" w:rsidRDefault="004C16C5">
            <w:pPr>
              <w:rPr>
                <w:rFonts w:ascii="Arial Narrow" w:hAnsi="Arial Narrow"/>
                <w:sz w:val="20"/>
                <w:szCs w:val="24"/>
              </w:rPr>
            </w:pPr>
            <w:r>
              <w:rPr>
                <w:rFonts w:ascii="Arial Narrow" w:hAnsi="Arial Narrow"/>
                <w:sz w:val="20"/>
              </w:rPr>
              <w:t>Section 100 – Highly Specialised Drugs Program (Community Access)</w:t>
            </w:r>
          </w:p>
          <w:p w:rsidR="004C16C5" w:rsidRDefault="004C16C5">
            <w:pPr>
              <w:rPr>
                <w:rFonts w:ascii="Arial Narrow" w:hAnsi="Arial Narrow"/>
                <w:sz w:val="20"/>
                <w:szCs w:val="24"/>
              </w:rPr>
            </w:pPr>
          </w:p>
        </w:tc>
      </w:tr>
      <w:tr w:rsidR="004C16C5" w:rsidTr="004C16C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6C5" w:rsidRDefault="004C16C5">
            <w:pPr>
              <w:rPr>
                <w:rFonts w:ascii="Arial Narrow" w:hAnsi="Arial Narrow"/>
                <w:b/>
                <w:sz w:val="20"/>
                <w:szCs w:val="24"/>
              </w:rPr>
            </w:pPr>
            <w:r>
              <w:rPr>
                <w:rFonts w:ascii="Arial Narrow" w:hAnsi="Arial Narrow"/>
                <w:b/>
                <w:sz w:val="20"/>
              </w:rPr>
              <w:t>Prescriber type:</w:t>
            </w:r>
          </w:p>
          <w:p w:rsidR="004C16C5" w:rsidRDefault="004C16C5">
            <w:pPr>
              <w:rPr>
                <w:rFonts w:ascii="Arial Narrow" w:hAnsi="Arial Narrow"/>
                <w:b/>
                <w:sz w:val="20"/>
                <w:szCs w:val="24"/>
              </w:rPr>
            </w:pPr>
          </w:p>
        </w:tc>
        <w:tc>
          <w:tcPr>
            <w:tcW w:w="6379"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Nurse practitioners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Optometrists</w:t>
            </w:r>
          </w:p>
          <w:p w:rsidR="004C16C5" w:rsidRDefault="004C16C5">
            <w:pPr>
              <w:rPr>
                <w:rFonts w:ascii="Arial Narrow" w:hAnsi="Arial Narrow"/>
                <w:sz w:val="20"/>
                <w:szCs w:val="24"/>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Midwives</w:t>
            </w:r>
          </w:p>
        </w:tc>
      </w:tr>
      <w:tr w:rsidR="004C16C5" w:rsidTr="004C16C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w:t>
            </w:r>
          </w:p>
        </w:tc>
      </w:tr>
      <w:tr w:rsidR="004C16C5" w:rsidTr="004C16C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w:t>
            </w:r>
          </w:p>
        </w:tc>
      </w:tr>
      <w:tr w:rsidR="004C16C5" w:rsidTr="004C16C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HIV Infection</w:t>
            </w:r>
          </w:p>
        </w:tc>
      </w:tr>
      <w:tr w:rsidR="004C16C5" w:rsidTr="004C16C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HIV Infection</w:t>
            </w:r>
          </w:p>
        </w:tc>
      </w:tr>
      <w:tr w:rsidR="004C16C5" w:rsidTr="004C16C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Continuing</w:t>
            </w:r>
          </w:p>
        </w:tc>
      </w:tr>
      <w:tr w:rsidR="004C16C5" w:rsidTr="004C16C5">
        <w:trPr>
          <w:cantSplit/>
          <w:trHeight w:val="360"/>
        </w:trPr>
        <w:tc>
          <w:tcPr>
            <w:tcW w:w="2835" w:type="dxa"/>
            <w:tcBorders>
              <w:top w:val="single" w:sz="4" w:space="0" w:color="auto"/>
              <w:left w:val="single" w:sz="4" w:space="0" w:color="auto"/>
              <w:bottom w:val="single" w:sz="4" w:space="0" w:color="auto"/>
              <w:right w:val="single" w:sz="4" w:space="0" w:color="auto"/>
            </w:tcBorders>
          </w:tcPr>
          <w:p w:rsidR="004C16C5" w:rsidRDefault="004C16C5">
            <w:pPr>
              <w:rPr>
                <w:rFonts w:ascii="Arial Narrow" w:hAnsi="Arial Narrow"/>
                <w:b/>
                <w:sz w:val="20"/>
                <w:szCs w:val="24"/>
              </w:rPr>
            </w:pPr>
            <w:r>
              <w:rPr>
                <w:rFonts w:ascii="Arial Narrow" w:hAnsi="Arial Narrow"/>
                <w:b/>
                <w:sz w:val="20"/>
              </w:rPr>
              <w:t>Restriction Level / Method:</w:t>
            </w:r>
          </w:p>
          <w:p w:rsidR="004C16C5" w:rsidRDefault="004C16C5">
            <w:pPr>
              <w:rPr>
                <w:rFonts w:ascii="Arial Narrow" w:hAnsi="Arial Narrow"/>
                <w:i/>
                <w:sz w:val="20"/>
                <w:highlight w:val="yellow"/>
              </w:rPr>
            </w:pPr>
          </w:p>
          <w:p w:rsidR="004C16C5" w:rsidRDefault="004C16C5">
            <w:pPr>
              <w:rPr>
                <w:rFonts w:ascii="Arial Narrow" w:hAnsi="Arial Narrow"/>
                <w:i/>
                <w:sz w:val="20"/>
                <w:szCs w:val="24"/>
              </w:rPr>
            </w:pPr>
          </w:p>
        </w:tc>
        <w:tc>
          <w:tcPr>
            <w:tcW w:w="6379"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Restricted benefit</w:t>
            </w:r>
          </w:p>
          <w:p w:rsidR="004C16C5" w:rsidRDefault="004C16C5">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In Writing</w:t>
            </w:r>
          </w:p>
          <w:p w:rsidR="004C16C5" w:rsidRDefault="004C16C5">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Telephone</w:t>
            </w:r>
          </w:p>
          <w:p w:rsidR="004C16C5" w:rsidRDefault="004C16C5">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Emergency</w:t>
            </w:r>
          </w:p>
          <w:p w:rsidR="004C16C5" w:rsidRDefault="004C16C5">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Electronic</w:t>
            </w:r>
          </w:p>
          <w:p w:rsidR="004C16C5" w:rsidRDefault="004C16C5">
            <w:pPr>
              <w:rPr>
                <w:rFonts w:ascii="Arial Narrow" w:hAnsi="Arial Narrow"/>
                <w:sz w:val="20"/>
                <w:szCs w:val="24"/>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8734DD">
              <w:rPr>
                <w:rFonts w:ascii="Arial Narrow" w:hAnsi="Arial Narrow"/>
                <w:sz w:val="20"/>
              </w:rPr>
            </w:r>
            <w:r w:rsidR="008734DD">
              <w:rPr>
                <w:rFonts w:ascii="Arial Narrow" w:hAnsi="Arial Narrow"/>
                <w:sz w:val="20"/>
              </w:rPr>
              <w:fldChar w:fldCharType="separate"/>
            </w:r>
            <w:r>
              <w:rPr>
                <w:rFonts w:ascii="Arial Narrow" w:hAnsi="Arial Narrow"/>
                <w:sz w:val="20"/>
              </w:rPr>
              <w:fldChar w:fldCharType="end"/>
            </w:r>
            <w:r>
              <w:rPr>
                <w:rFonts w:ascii="Arial Narrow" w:hAnsi="Arial Narrow"/>
                <w:sz w:val="20"/>
              </w:rPr>
              <w:t>Streamlined</w:t>
            </w:r>
          </w:p>
        </w:tc>
      </w:tr>
      <w:tr w:rsidR="004C16C5" w:rsidTr="004C16C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b/>
                <w:sz w:val="20"/>
                <w:szCs w:val="24"/>
              </w:rPr>
            </w:pPr>
            <w:r>
              <w:rPr>
                <w:rFonts w:ascii="Arial Narrow" w:hAnsi="Arial Narrow"/>
                <w:b/>
                <w:sz w:val="20"/>
              </w:rPr>
              <w:t>Clinical criteria:</w:t>
            </w:r>
          </w:p>
        </w:tc>
        <w:tc>
          <w:tcPr>
            <w:tcW w:w="6379" w:type="dxa"/>
            <w:tcBorders>
              <w:top w:val="single" w:sz="4" w:space="0" w:color="auto"/>
              <w:left w:val="single" w:sz="4" w:space="0" w:color="auto"/>
              <w:bottom w:val="single" w:sz="4" w:space="0" w:color="auto"/>
              <w:right w:val="single" w:sz="4" w:space="0" w:color="auto"/>
            </w:tcBorders>
            <w:hideMark/>
          </w:tcPr>
          <w:p w:rsidR="004C16C5" w:rsidRDefault="004C16C5">
            <w:pPr>
              <w:rPr>
                <w:rFonts w:ascii="Arial Narrow" w:hAnsi="Arial Narrow"/>
                <w:sz w:val="20"/>
                <w:szCs w:val="24"/>
              </w:rPr>
            </w:pPr>
            <w:r>
              <w:rPr>
                <w:rFonts w:ascii="Arial Narrow" w:hAnsi="Arial Narrow"/>
                <w:sz w:val="20"/>
              </w:rPr>
              <w:t>Patient must have previously received PBS-subsidised therapy for HIV infection.</w:t>
            </w:r>
          </w:p>
        </w:tc>
      </w:tr>
    </w:tbl>
    <w:p w:rsidR="004C16C5" w:rsidRPr="00FD7C28" w:rsidRDefault="004C16C5" w:rsidP="00CD1819">
      <w:pPr>
        <w:pStyle w:val="NoSpacing"/>
        <w:rPr>
          <w:lang w:val="en-GB"/>
        </w:rPr>
      </w:pPr>
    </w:p>
    <w:p w:rsidR="00B71276" w:rsidRDefault="00CD1819" w:rsidP="00C41F2F">
      <w:pPr>
        <w:widowControl/>
        <w:rPr>
          <w:bCs/>
          <w:szCs w:val="22"/>
        </w:rPr>
      </w:pPr>
      <w:r w:rsidRPr="00FD7C28">
        <w:rPr>
          <w:bCs/>
          <w:szCs w:val="22"/>
        </w:rPr>
        <w:t xml:space="preserve"> </w:t>
      </w:r>
    </w:p>
    <w:p w:rsidR="000E1DAB" w:rsidRDefault="000E1DAB" w:rsidP="001213F7">
      <w:pPr>
        <w:spacing w:line="720" w:lineRule="auto"/>
        <w:rPr>
          <w:rStyle w:val="IntenseReference"/>
          <w:b w:val="0"/>
          <w:bCs w:val="0"/>
          <w:i w:val="0"/>
        </w:rPr>
      </w:pPr>
    </w:p>
    <w:p w:rsidR="000E1DAB" w:rsidRDefault="000E1DAB" w:rsidP="00413948">
      <w:pPr>
        <w:pStyle w:val="PBACHeading1"/>
        <w:rPr>
          <w:rFonts w:eastAsia="SimSun"/>
        </w:rPr>
      </w:pPr>
      <w:r>
        <w:rPr>
          <w:rFonts w:eastAsia="SimSun"/>
        </w:rPr>
        <w:lastRenderedPageBreak/>
        <w:t>Context for Decision</w:t>
      </w:r>
    </w:p>
    <w:p w:rsidR="000E1DAB" w:rsidRDefault="000E1DAB" w:rsidP="000E1DAB">
      <w:pPr>
        <w:ind w:left="720"/>
        <w:contextualSpacing/>
        <w:rPr>
          <w:b/>
        </w:rPr>
      </w:pPr>
    </w:p>
    <w:p w:rsidR="000E1DAB" w:rsidRDefault="000E1DAB" w:rsidP="000E1DAB">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E1DAB" w:rsidRDefault="000E1DAB" w:rsidP="000E1DAB"/>
    <w:p w:rsidR="000E1DAB" w:rsidRDefault="000E1DAB" w:rsidP="00413948">
      <w:pPr>
        <w:pStyle w:val="PBACHeading1"/>
        <w:rPr>
          <w:rFonts w:eastAsia="SimSun"/>
        </w:rPr>
      </w:pPr>
      <w:r>
        <w:rPr>
          <w:rFonts w:eastAsia="SimSun"/>
        </w:rPr>
        <w:t>Sponsor’s Comment</w:t>
      </w:r>
    </w:p>
    <w:p w:rsidR="000E1DAB" w:rsidRDefault="000E1DAB" w:rsidP="000E1DAB">
      <w:pPr>
        <w:rPr>
          <w:szCs w:val="22"/>
        </w:rPr>
      </w:pPr>
    </w:p>
    <w:p w:rsidR="00B36C0A" w:rsidRDefault="00B36C0A" w:rsidP="00B36C0A">
      <w:pPr>
        <w:ind w:left="720"/>
        <w:rPr>
          <w:bCs/>
          <w:szCs w:val="22"/>
        </w:rPr>
      </w:pPr>
      <w:r>
        <w:rPr>
          <w:bCs/>
          <w:szCs w:val="22"/>
        </w:rPr>
        <w:t>The sponsor had no comment.</w:t>
      </w:r>
    </w:p>
    <w:p w:rsidR="00E21F78" w:rsidRPr="00FD7C28" w:rsidRDefault="00E21F78" w:rsidP="00C41F2F">
      <w:pPr>
        <w:widowControl/>
        <w:rPr>
          <w:rFonts w:ascii="Arial Narrow" w:hAnsi="Arial Narrow"/>
          <w:b/>
          <w:sz w:val="20"/>
          <w:szCs w:val="16"/>
        </w:rPr>
      </w:pPr>
    </w:p>
    <w:sectPr w:rsidR="00E21F78" w:rsidRPr="00FD7C28" w:rsidSect="006475A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2D0F5E" w15:done="0"/>
  <w15:commentEx w15:paraId="3AB372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DD" w:rsidRDefault="008734DD" w:rsidP="00124A51">
      <w:r>
        <w:separator/>
      </w:r>
    </w:p>
  </w:endnote>
  <w:endnote w:type="continuationSeparator" w:id="0">
    <w:p w:rsidR="008734DD" w:rsidRDefault="008734DD"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DD" w:rsidRDefault="00873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226651"/>
      <w:docPartObj>
        <w:docPartGallery w:val="Page Numbers (Bottom of Page)"/>
        <w:docPartUnique/>
      </w:docPartObj>
    </w:sdtPr>
    <w:sdtEndPr>
      <w:rPr>
        <w:noProof/>
      </w:rPr>
    </w:sdtEndPr>
    <w:sdtContent>
      <w:p w:rsidR="008734DD" w:rsidRDefault="008734DD">
        <w:pPr>
          <w:pStyle w:val="Footer"/>
          <w:jc w:val="center"/>
        </w:pPr>
        <w:r>
          <w:fldChar w:fldCharType="begin"/>
        </w:r>
        <w:r>
          <w:instrText xml:space="preserve"> PAGE   \* MERGEFORMAT </w:instrText>
        </w:r>
        <w:r>
          <w:fldChar w:fldCharType="separate"/>
        </w:r>
        <w:r w:rsidR="000E0B5C">
          <w:rPr>
            <w:noProof/>
          </w:rPr>
          <w:t>2</w:t>
        </w:r>
        <w:r>
          <w:rPr>
            <w:noProof/>
          </w:rPr>
          <w:fldChar w:fldCharType="end"/>
        </w:r>
      </w:p>
    </w:sdtContent>
  </w:sdt>
  <w:p w:rsidR="008734DD" w:rsidRDefault="008734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DD" w:rsidRDefault="00873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DD" w:rsidRDefault="008734DD" w:rsidP="00124A51">
      <w:r>
        <w:separator/>
      </w:r>
    </w:p>
  </w:footnote>
  <w:footnote w:type="continuationSeparator" w:id="0">
    <w:p w:rsidR="008734DD" w:rsidRDefault="008734DD"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DD" w:rsidRDefault="00873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DD" w:rsidRDefault="008734DD" w:rsidP="00C35B01">
    <w:pPr>
      <w:pStyle w:val="Header"/>
      <w:jc w:val="center"/>
      <w:rPr>
        <w:i/>
        <w:color w:val="808080"/>
      </w:rPr>
    </w:pPr>
    <w:r w:rsidRPr="00C35B01">
      <w:rPr>
        <w:i/>
        <w:color w:val="808080"/>
      </w:rPr>
      <w:t>Public Summary Document – November 2015 PBAC Meeting</w:t>
    </w:r>
  </w:p>
  <w:p w:rsidR="008734DD" w:rsidRDefault="008734DD" w:rsidP="00C35B0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DD" w:rsidRDefault="008734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71842"/>
    <w:multiLevelType w:val="hybridMultilevel"/>
    <w:tmpl w:val="A800B534"/>
    <w:lvl w:ilvl="0" w:tplc="F488CFD6">
      <w:numFmt w:val="bullet"/>
      <w:lvlText w:val="-"/>
      <w:lvlJc w:val="left"/>
      <w:pPr>
        <w:ind w:left="6" w:hanging="360"/>
      </w:pPr>
      <w:rPr>
        <w:rFonts w:ascii="Times New Roman" w:eastAsia="Times New Roman" w:hAnsi="Times New Roman" w:cs="Times New Roman"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
    <w:nsid w:val="096A68D0"/>
    <w:multiLevelType w:val="hybridMultilevel"/>
    <w:tmpl w:val="6F604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C0E1CAC"/>
    <w:multiLevelType w:val="hybridMultilevel"/>
    <w:tmpl w:val="635AE1F6"/>
    <w:lvl w:ilvl="0" w:tplc="FCF4AD2E">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C2D5CAA"/>
    <w:multiLevelType w:val="hybridMultilevel"/>
    <w:tmpl w:val="56FEBCF0"/>
    <w:lvl w:ilvl="0" w:tplc="F488CFD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DBF0A91"/>
    <w:multiLevelType w:val="hybridMultilevel"/>
    <w:tmpl w:val="2CC83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111504"/>
    <w:multiLevelType w:val="multilevel"/>
    <w:tmpl w:val="3DF2B864"/>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8">
    <w:nsid w:val="1B9C5943"/>
    <w:multiLevelType w:val="hybridMultilevel"/>
    <w:tmpl w:val="765417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CBF6FC5"/>
    <w:multiLevelType w:val="multilevel"/>
    <w:tmpl w:val="65F0336C"/>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0">
    <w:nsid w:val="2195071A"/>
    <w:multiLevelType w:val="hybridMultilevel"/>
    <w:tmpl w:val="0BAC0AA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85041AE"/>
    <w:multiLevelType w:val="hybridMultilevel"/>
    <w:tmpl w:val="C6183E9E"/>
    <w:lvl w:ilvl="0" w:tplc="04090001">
      <w:start w:val="1"/>
      <w:numFmt w:val="bullet"/>
      <w:lvlText w:val=""/>
      <w:lvlJc w:val="left"/>
      <w:pPr>
        <w:tabs>
          <w:tab w:val="num" w:pos="1437"/>
        </w:tabs>
        <w:ind w:left="1437" w:hanging="360"/>
      </w:pPr>
      <w:rPr>
        <w:rFonts w:ascii="Symbol" w:hAnsi="Symbol" w:hint="default"/>
      </w:rPr>
    </w:lvl>
    <w:lvl w:ilvl="1" w:tplc="04090003">
      <w:start w:val="1"/>
      <w:numFmt w:val="bullet"/>
      <w:lvlText w:val="o"/>
      <w:lvlJc w:val="left"/>
      <w:pPr>
        <w:tabs>
          <w:tab w:val="num" w:pos="2286"/>
        </w:tabs>
        <w:ind w:left="2286" w:hanging="360"/>
      </w:pPr>
      <w:rPr>
        <w:rFonts w:ascii="Courier New" w:hAnsi="Courier New" w:cs="Courier New" w:hint="default"/>
      </w:rPr>
    </w:lvl>
    <w:lvl w:ilvl="2" w:tplc="04090005" w:tentative="1">
      <w:start w:val="1"/>
      <w:numFmt w:val="bullet"/>
      <w:lvlText w:val=""/>
      <w:lvlJc w:val="left"/>
      <w:pPr>
        <w:tabs>
          <w:tab w:val="num" w:pos="3006"/>
        </w:tabs>
        <w:ind w:left="3006" w:hanging="360"/>
      </w:pPr>
      <w:rPr>
        <w:rFonts w:ascii="Wingdings" w:hAnsi="Wingdings" w:hint="default"/>
      </w:rPr>
    </w:lvl>
    <w:lvl w:ilvl="3" w:tplc="04090001" w:tentative="1">
      <w:start w:val="1"/>
      <w:numFmt w:val="bullet"/>
      <w:lvlText w:val=""/>
      <w:lvlJc w:val="left"/>
      <w:pPr>
        <w:tabs>
          <w:tab w:val="num" w:pos="3726"/>
        </w:tabs>
        <w:ind w:left="3726" w:hanging="360"/>
      </w:pPr>
      <w:rPr>
        <w:rFonts w:ascii="Symbol" w:hAnsi="Symbol" w:hint="default"/>
      </w:rPr>
    </w:lvl>
    <w:lvl w:ilvl="4" w:tplc="04090003" w:tentative="1">
      <w:start w:val="1"/>
      <w:numFmt w:val="bullet"/>
      <w:lvlText w:val="o"/>
      <w:lvlJc w:val="left"/>
      <w:pPr>
        <w:tabs>
          <w:tab w:val="num" w:pos="4446"/>
        </w:tabs>
        <w:ind w:left="4446" w:hanging="360"/>
      </w:pPr>
      <w:rPr>
        <w:rFonts w:ascii="Courier New" w:hAnsi="Courier New" w:cs="Courier New" w:hint="default"/>
      </w:rPr>
    </w:lvl>
    <w:lvl w:ilvl="5" w:tplc="04090005" w:tentative="1">
      <w:start w:val="1"/>
      <w:numFmt w:val="bullet"/>
      <w:lvlText w:val=""/>
      <w:lvlJc w:val="left"/>
      <w:pPr>
        <w:tabs>
          <w:tab w:val="num" w:pos="5166"/>
        </w:tabs>
        <w:ind w:left="5166" w:hanging="360"/>
      </w:pPr>
      <w:rPr>
        <w:rFonts w:ascii="Wingdings" w:hAnsi="Wingdings" w:hint="default"/>
      </w:rPr>
    </w:lvl>
    <w:lvl w:ilvl="6" w:tplc="04090001" w:tentative="1">
      <w:start w:val="1"/>
      <w:numFmt w:val="bullet"/>
      <w:lvlText w:val=""/>
      <w:lvlJc w:val="left"/>
      <w:pPr>
        <w:tabs>
          <w:tab w:val="num" w:pos="5886"/>
        </w:tabs>
        <w:ind w:left="5886" w:hanging="360"/>
      </w:pPr>
      <w:rPr>
        <w:rFonts w:ascii="Symbol" w:hAnsi="Symbol" w:hint="default"/>
      </w:rPr>
    </w:lvl>
    <w:lvl w:ilvl="7" w:tplc="04090003" w:tentative="1">
      <w:start w:val="1"/>
      <w:numFmt w:val="bullet"/>
      <w:lvlText w:val="o"/>
      <w:lvlJc w:val="left"/>
      <w:pPr>
        <w:tabs>
          <w:tab w:val="num" w:pos="6606"/>
        </w:tabs>
        <w:ind w:left="6606" w:hanging="360"/>
      </w:pPr>
      <w:rPr>
        <w:rFonts w:ascii="Courier New" w:hAnsi="Courier New" w:cs="Courier New" w:hint="default"/>
      </w:rPr>
    </w:lvl>
    <w:lvl w:ilvl="8" w:tplc="04090005" w:tentative="1">
      <w:start w:val="1"/>
      <w:numFmt w:val="bullet"/>
      <w:lvlText w:val=""/>
      <w:lvlJc w:val="left"/>
      <w:pPr>
        <w:tabs>
          <w:tab w:val="num" w:pos="7326"/>
        </w:tabs>
        <w:ind w:left="7326" w:hanging="360"/>
      </w:pPr>
      <w:rPr>
        <w:rFonts w:ascii="Wingdings" w:hAnsi="Wingdings" w:hint="default"/>
      </w:rPr>
    </w:lvl>
  </w:abstractNum>
  <w:abstractNum w:abstractNumId="12">
    <w:nsid w:val="2D9C7E23"/>
    <w:multiLevelType w:val="hybridMultilevel"/>
    <w:tmpl w:val="219E1738"/>
    <w:lvl w:ilvl="0" w:tplc="FC70F12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1D3ACC"/>
    <w:multiLevelType w:val="hybridMultilevel"/>
    <w:tmpl w:val="D1E83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F37198A"/>
    <w:multiLevelType w:val="hybridMultilevel"/>
    <w:tmpl w:val="07965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28F5C0E"/>
    <w:multiLevelType w:val="hybridMultilevel"/>
    <w:tmpl w:val="A530A5C8"/>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9045A3"/>
    <w:multiLevelType w:val="hybridMultilevel"/>
    <w:tmpl w:val="8EBC56AC"/>
    <w:lvl w:ilvl="0" w:tplc="0C090001">
      <w:start w:val="1"/>
      <w:numFmt w:val="bullet"/>
      <w:lvlText w:val=""/>
      <w:lvlJc w:val="left"/>
      <w:pPr>
        <w:ind w:left="360" w:hanging="360"/>
      </w:pPr>
      <w:rPr>
        <w:rFonts w:ascii="Symbol" w:hAnsi="Symbol" w:hint="default"/>
        <w:b w:val="0"/>
        <w:i w:val="0"/>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E74D1C"/>
    <w:multiLevelType w:val="hybridMultilevel"/>
    <w:tmpl w:val="74D0B5A0"/>
    <w:lvl w:ilvl="0" w:tplc="DCF06DD8">
      <w:start w:val="2"/>
      <w:numFmt w:val="bullet"/>
      <w:lvlText w:val="-"/>
      <w:lvlJc w:val="left"/>
      <w:pPr>
        <w:ind w:left="360" w:hanging="360"/>
      </w:pPr>
      <w:rPr>
        <w:rFonts w:ascii="Arial Narrow" w:eastAsia="Times New Roman" w:hAnsi="Arial Narrow" w:cs="Arial Narro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846072C"/>
    <w:multiLevelType w:val="hybridMultilevel"/>
    <w:tmpl w:val="53625466"/>
    <w:lvl w:ilvl="0" w:tplc="332C7780">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nsid w:val="3B167B57"/>
    <w:multiLevelType w:val="hybridMultilevel"/>
    <w:tmpl w:val="2B92D960"/>
    <w:lvl w:ilvl="0" w:tplc="0C090001">
      <w:start w:val="1"/>
      <w:numFmt w:val="bullet"/>
      <w:lvlText w:val=""/>
      <w:lvlJc w:val="left"/>
      <w:pPr>
        <w:ind w:left="360" w:hanging="360"/>
      </w:pPr>
      <w:rPr>
        <w:rFonts w:ascii="Symbol" w:hAnsi="Symbol" w:hint="default"/>
        <w:b w:val="0"/>
        <w:i w:val="0"/>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B7C34E2"/>
    <w:multiLevelType w:val="hybridMultilevel"/>
    <w:tmpl w:val="0276B864"/>
    <w:lvl w:ilvl="0" w:tplc="FFFFFFFF">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3C5F3E09"/>
    <w:multiLevelType w:val="hybridMultilevel"/>
    <w:tmpl w:val="25302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4">
    <w:nsid w:val="3E8838A8"/>
    <w:multiLevelType w:val="hybridMultilevel"/>
    <w:tmpl w:val="77601B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nsid w:val="45CB3229"/>
    <w:multiLevelType w:val="hybridMultilevel"/>
    <w:tmpl w:val="02C480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7">
    <w:nsid w:val="49CC68FB"/>
    <w:multiLevelType w:val="hybridMultilevel"/>
    <w:tmpl w:val="58FACB8C"/>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AA01A34"/>
    <w:multiLevelType w:val="hybridMultilevel"/>
    <w:tmpl w:val="E4AE6448"/>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B2513E4"/>
    <w:multiLevelType w:val="hybridMultilevel"/>
    <w:tmpl w:val="22323740"/>
    <w:lvl w:ilvl="0" w:tplc="0C090001">
      <w:start w:val="1"/>
      <w:numFmt w:val="bullet"/>
      <w:lvlText w:val=""/>
      <w:lvlJc w:val="left"/>
      <w:pPr>
        <w:ind w:left="1080" w:hanging="360"/>
      </w:pPr>
      <w:rPr>
        <w:rFonts w:ascii="Symbol" w:hAnsi="Symbol" w:hint="default"/>
        <w:b w:val="0"/>
        <w:i w:val="0"/>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4DEE745B"/>
    <w:multiLevelType w:val="hybridMultilevel"/>
    <w:tmpl w:val="43C8AC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F704D59"/>
    <w:multiLevelType w:val="hybridMultilevel"/>
    <w:tmpl w:val="BBA061E4"/>
    <w:lvl w:ilvl="0" w:tplc="D4544B0E">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3">
    <w:nsid w:val="58993F39"/>
    <w:multiLevelType w:val="hybridMultilevel"/>
    <w:tmpl w:val="61321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5960074F"/>
    <w:multiLevelType w:val="hybridMultilevel"/>
    <w:tmpl w:val="20CEC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936E2D"/>
    <w:multiLevelType w:val="hybridMultilevel"/>
    <w:tmpl w:val="25BC2AE6"/>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FF74B3D"/>
    <w:multiLevelType w:val="hybridMultilevel"/>
    <w:tmpl w:val="451CD858"/>
    <w:lvl w:ilvl="0" w:tplc="FCF4AD2E">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3EA6242"/>
    <w:multiLevelType w:val="hybridMultilevel"/>
    <w:tmpl w:val="A17CB6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6354B42"/>
    <w:multiLevelType w:val="hybridMultilevel"/>
    <w:tmpl w:val="ADBE00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nsid w:val="680B36B9"/>
    <w:multiLevelType w:val="hybridMultilevel"/>
    <w:tmpl w:val="5BFEB5EA"/>
    <w:lvl w:ilvl="0" w:tplc="11402CA0">
      <w:start w:val="10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6ECA7BD4"/>
    <w:multiLevelType w:val="hybridMultilevel"/>
    <w:tmpl w:val="AC0AA252"/>
    <w:lvl w:ilvl="0" w:tplc="0C090017">
      <w:start w:val="1"/>
      <w:numFmt w:val="lowerLetter"/>
      <w:lvlText w:val="%1)"/>
      <w:lvlJc w:val="left"/>
      <w:pPr>
        <w:ind w:left="98" w:hanging="360"/>
      </w:pPr>
    </w:lvl>
    <w:lvl w:ilvl="1" w:tplc="0C090019" w:tentative="1">
      <w:start w:val="1"/>
      <w:numFmt w:val="lowerLetter"/>
      <w:lvlText w:val="%2."/>
      <w:lvlJc w:val="left"/>
      <w:pPr>
        <w:ind w:left="818" w:hanging="360"/>
      </w:pPr>
    </w:lvl>
    <w:lvl w:ilvl="2" w:tplc="0C09001B" w:tentative="1">
      <w:start w:val="1"/>
      <w:numFmt w:val="lowerRoman"/>
      <w:lvlText w:val="%3."/>
      <w:lvlJc w:val="right"/>
      <w:pPr>
        <w:ind w:left="1538" w:hanging="180"/>
      </w:pPr>
    </w:lvl>
    <w:lvl w:ilvl="3" w:tplc="0C09000F" w:tentative="1">
      <w:start w:val="1"/>
      <w:numFmt w:val="decimal"/>
      <w:lvlText w:val="%4."/>
      <w:lvlJc w:val="left"/>
      <w:pPr>
        <w:ind w:left="2258" w:hanging="360"/>
      </w:pPr>
    </w:lvl>
    <w:lvl w:ilvl="4" w:tplc="0C090019" w:tentative="1">
      <w:start w:val="1"/>
      <w:numFmt w:val="lowerLetter"/>
      <w:lvlText w:val="%5."/>
      <w:lvlJc w:val="left"/>
      <w:pPr>
        <w:ind w:left="2978" w:hanging="360"/>
      </w:pPr>
    </w:lvl>
    <w:lvl w:ilvl="5" w:tplc="0C09001B" w:tentative="1">
      <w:start w:val="1"/>
      <w:numFmt w:val="lowerRoman"/>
      <w:lvlText w:val="%6."/>
      <w:lvlJc w:val="right"/>
      <w:pPr>
        <w:ind w:left="3698" w:hanging="180"/>
      </w:pPr>
    </w:lvl>
    <w:lvl w:ilvl="6" w:tplc="0C09000F" w:tentative="1">
      <w:start w:val="1"/>
      <w:numFmt w:val="decimal"/>
      <w:lvlText w:val="%7."/>
      <w:lvlJc w:val="left"/>
      <w:pPr>
        <w:ind w:left="4418" w:hanging="360"/>
      </w:pPr>
    </w:lvl>
    <w:lvl w:ilvl="7" w:tplc="0C090019" w:tentative="1">
      <w:start w:val="1"/>
      <w:numFmt w:val="lowerLetter"/>
      <w:lvlText w:val="%8."/>
      <w:lvlJc w:val="left"/>
      <w:pPr>
        <w:ind w:left="5138" w:hanging="360"/>
      </w:pPr>
    </w:lvl>
    <w:lvl w:ilvl="8" w:tplc="0C09001B" w:tentative="1">
      <w:start w:val="1"/>
      <w:numFmt w:val="lowerRoman"/>
      <w:lvlText w:val="%9."/>
      <w:lvlJc w:val="right"/>
      <w:pPr>
        <w:ind w:left="5858" w:hanging="180"/>
      </w:pPr>
    </w:lvl>
  </w:abstractNum>
  <w:abstractNum w:abstractNumId="43">
    <w:nsid w:val="714A71EC"/>
    <w:multiLevelType w:val="hybridMultilevel"/>
    <w:tmpl w:val="92E0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4DF60DB"/>
    <w:multiLevelType w:val="hybridMultilevel"/>
    <w:tmpl w:val="CAEAE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76D47EF1"/>
    <w:multiLevelType w:val="hybridMultilevel"/>
    <w:tmpl w:val="51989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784D033C"/>
    <w:multiLevelType w:val="multilevel"/>
    <w:tmpl w:val="3594F4D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9D77650"/>
    <w:multiLevelType w:val="hybridMultilevel"/>
    <w:tmpl w:val="687A6982"/>
    <w:lvl w:ilvl="0" w:tplc="0C090001">
      <w:start w:val="1"/>
      <w:numFmt w:val="bullet"/>
      <w:lvlText w:val=""/>
      <w:lvlJc w:val="left"/>
      <w:pPr>
        <w:ind w:left="720" w:hanging="360"/>
      </w:pPr>
      <w:rPr>
        <w:rFonts w:ascii="Symbol" w:hAnsi="Symbol"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3"/>
  </w:num>
  <w:num w:numId="3">
    <w:abstractNumId w:val="11"/>
  </w:num>
  <w:num w:numId="4">
    <w:abstractNumId w:val="6"/>
  </w:num>
  <w:num w:numId="5">
    <w:abstractNumId w:val="48"/>
  </w:num>
  <w:num w:numId="6">
    <w:abstractNumId w:val="26"/>
  </w:num>
  <w:num w:numId="7">
    <w:abstractNumId w:val="21"/>
  </w:num>
  <w:num w:numId="8">
    <w:abstractNumId w:val="0"/>
  </w:num>
  <w:num w:numId="9">
    <w:abstractNumId w:val="46"/>
  </w:num>
  <w:num w:numId="10">
    <w:abstractNumId w:val="12"/>
  </w:num>
  <w:num w:numId="11">
    <w:abstractNumId w:val="2"/>
  </w:num>
  <w:num w:numId="12">
    <w:abstractNumId w:val="38"/>
  </w:num>
  <w:num w:numId="13">
    <w:abstractNumId w:val="15"/>
  </w:num>
  <w:num w:numId="14">
    <w:abstractNumId w:val="28"/>
  </w:num>
  <w:num w:numId="15">
    <w:abstractNumId w:val="35"/>
  </w:num>
  <w:num w:numId="16">
    <w:abstractNumId w:val="27"/>
  </w:num>
  <w:num w:numId="17">
    <w:abstractNumId w:val="14"/>
  </w:num>
  <w:num w:numId="18">
    <w:abstractNumId w:val="22"/>
  </w:num>
  <w:num w:numId="19">
    <w:abstractNumId w:val="43"/>
  </w:num>
  <w:num w:numId="20">
    <w:abstractNumId w:val="8"/>
  </w:num>
  <w:num w:numId="21">
    <w:abstractNumId w:val="33"/>
  </w:num>
  <w:num w:numId="22">
    <w:abstractNumId w:val="44"/>
  </w:num>
  <w:num w:numId="23">
    <w:abstractNumId w:val="45"/>
  </w:num>
  <w:num w:numId="24">
    <w:abstractNumId w:val="5"/>
  </w:num>
  <w:num w:numId="25">
    <w:abstractNumId w:val="42"/>
  </w:num>
  <w:num w:numId="26">
    <w:abstractNumId w:val="31"/>
  </w:num>
  <w:num w:numId="27">
    <w:abstractNumId w:val="4"/>
  </w:num>
  <w:num w:numId="28">
    <w:abstractNumId w:val="1"/>
  </w:num>
  <w:num w:numId="29">
    <w:abstractNumId w:val="34"/>
  </w:num>
  <w:num w:numId="30">
    <w:abstractNumId w:val="41"/>
  </w:num>
  <w:num w:numId="31">
    <w:abstractNumId w:val="40"/>
  </w:num>
  <w:num w:numId="32">
    <w:abstractNumId w:val="9"/>
  </w:num>
  <w:num w:numId="33">
    <w:abstractNumId w:val="7"/>
  </w:num>
  <w:num w:numId="34">
    <w:abstractNumId w:val="3"/>
  </w:num>
  <w:num w:numId="35">
    <w:abstractNumId w:val="13"/>
  </w:num>
  <w:num w:numId="36">
    <w:abstractNumId w:val="10"/>
  </w:num>
  <w:num w:numId="37">
    <w:abstractNumId w:val="30"/>
  </w:num>
  <w:num w:numId="38">
    <w:abstractNumId w:val="39"/>
  </w:num>
  <w:num w:numId="39">
    <w:abstractNumId w:val="47"/>
  </w:num>
  <w:num w:numId="40">
    <w:abstractNumId w:val="29"/>
  </w:num>
  <w:num w:numId="41">
    <w:abstractNumId w:val="16"/>
  </w:num>
  <w:num w:numId="42">
    <w:abstractNumId w:val="20"/>
  </w:num>
  <w:num w:numId="43">
    <w:abstractNumId w:val="17"/>
  </w:num>
  <w:num w:numId="44">
    <w:abstractNumId w:val="25"/>
  </w:num>
  <w:num w:numId="45">
    <w:abstractNumId w:val="18"/>
  </w:num>
  <w:num w:numId="46">
    <w:abstractNumId w:val="37"/>
  </w:num>
  <w:num w:numId="47">
    <w:abstractNumId w:val="46"/>
  </w:num>
  <w:num w:numId="48">
    <w:abstractNumId w:val="46"/>
  </w:num>
  <w:num w:numId="49">
    <w:abstractNumId w:val="32"/>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DF"/>
    <w:rsid w:val="00000790"/>
    <w:rsid w:val="0000110B"/>
    <w:rsid w:val="00003499"/>
    <w:rsid w:val="00012263"/>
    <w:rsid w:val="00013247"/>
    <w:rsid w:val="00015687"/>
    <w:rsid w:val="00015886"/>
    <w:rsid w:val="000162EF"/>
    <w:rsid w:val="00021BAC"/>
    <w:rsid w:val="0002225F"/>
    <w:rsid w:val="00023763"/>
    <w:rsid w:val="00023EB0"/>
    <w:rsid w:val="00024689"/>
    <w:rsid w:val="00025142"/>
    <w:rsid w:val="0003386F"/>
    <w:rsid w:val="00034D81"/>
    <w:rsid w:val="00036A3E"/>
    <w:rsid w:val="00036B57"/>
    <w:rsid w:val="00037A27"/>
    <w:rsid w:val="00040895"/>
    <w:rsid w:val="000415DF"/>
    <w:rsid w:val="00043C37"/>
    <w:rsid w:val="00043E2D"/>
    <w:rsid w:val="00045B21"/>
    <w:rsid w:val="000546D7"/>
    <w:rsid w:val="00056D43"/>
    <w:rsid w:val="0006746E"/>
    <w:rsid w:val="00067A39"/>
    <w:rsid w:val="00070A4A"/>
    <w:rsid w:val="00071248"/>
    <w:rsid w:val="000720B9"/>
    <w:rsid w:val="000774BC"/>
    <w:rsid w:val="00077E90"/>
    <w:rsid w:val="000812CA"/>
    <w:rsid w:val="00085E35"/>
    <w:rsid w:val="0008737E"/>
    <w:rsid w:val="0008775A"/>
    <w:rsid w:val="00090068"/>
    <w:rsid w:val="00090C7E"/>
    <w:rsid w:val="00092AA7"/>
    <w:rsid w:val="00092F7C"/>
    <w:rsid w:val="00096204"/>
    <w:rsid w:val="000A5A20"/>
    <w:rsid w:val="000B0526"/>
    <w:rsid w:val="000B161F"/>
    <w:rsid w:val="000C0081"/>
    <w:rsid w:val="000C2392"/>
    <w:rsid w:val="000C5CE1"/>
    <w:rsid w:val="000C6C9F"/>
    <w:rsid w:val="000D0B5F"/>
    <w:rsid w:val="000D1BFC"/>
    <w:rsid w:val="000D1C65"/>
    <w:rsid w:val="000D3179"/>
    <w:rsid w:val="000D4270"/>
    <w:rsid w:val="000D5EB7"/>
    <w:rsid w:val="000D7FBF"/>
    <w:rsid w:val="000E0288"/>
    <w:rsid w:val="000E0B5C"/>
    <w:rsid w:val="000E1D8D"/>
    <w:rsid w:val="000E1DAB"/>
    <w:rsid w:val="000E3E9D"/>
    <w:rsid w:val="000E4996"/>
    <w:rsid w:val="000E6518"/>
    <w:rsid w:val="000F3875"/>
    <w:rsid w:val="000F4BB8"/>
    <w:rsid w:val="000F6498"/>
    <w:rsid w:val="000F64A8"/>
    <w:rsid w:val="000F7127"/>
    <w:rsid w:val="000F7689"/>
    <w:rsid w:val="00100F8A"/>
    <w:rsid w:val="00105899"/>
    <w:rsid w:val="00107F2A"/>
    <w:rsid w:val="0011032E"/>
    <w:rsid w:val="00111FA0"/>
    <w:rsid w:val="0011348B"/>
    <w:rsid w:val="00113E60"/>
    <w:rsid w:val="001142F5"/>
    <w:rsid w:val="00114591"/>
    <w:rsid w:val="00117DBC"/>
    <w:rsid w:val="001213F7"/>
    <w:rsid w:val="00121799"/>
    <w:rsid w:val="001222FC"/>
    <w:rsid w:val="00124A51"/>
    <w:rsid w:val="001251C0"/>
    <w:rsid w:val="00126621"/>
    <w:rsid w:val="001267D0"/>
    <w:rsid w:val="001301E9"/>
    <w:rsid w:val="001322CC"/>
    <w:rsid w:val="0013303A"/>
    <w:rsid w:val="00134AE2"/>
    <w:rsid w:val="00134D26"/>
    <w:rsid w:val="00135905"/>
    <w:rsid w:val="00137645"/>
    <w:rsid w:val="00137872"/>
    <w:rsid w:val="00137912"/>
    <w:rsid w:val="0014015A"/>
    <w:rsid w:val="00140E99"/>
    <w:rsid w:val="00141F9B"/>
    <w:rsid w:val="00145540"/>
    <w:rsid w:val="001456B0"/>
    <w:rsid w:val="001472C5"/>
    <w:rsid w:val="00147802"/>
    <w:rsid w:val="0015031A"/>
    <w:rsid w:val="0015514D"/>
    <w:rsid w:val="00157130"/>
    <w:rsid w:val="00162913"/>
    <w:rsid w:val="00163EFF"/>
    <w:rsid w:val="00164AA2"/>
    <w:rsid w:val="0016555A"/>
    <w:rsid w:val="001661FB"/>
    <w:rsid w:val="001700E0"/>
    <w:rsid w:val="00170C63"/>
    <w:rsid w:val="0017235C"/>
    <w:rsid w:val="001756CE"/>
    <w:rsid w:val="0017713D"/>
    <w:rsid w:val="00180A93"/>
    <w:rsid w:val="00183FAB"/>
    <w:rsid w:val="00185C39"/>
    <w:rsid w:val="0018752F"/>
    <w:rsid w:val="0019004A"/>
    <w:rsid w:val="001916B9"/>
    <w:rsid w:val="00195222"/>
    <w:rsid w:val="00196AB9"/>
    <w:rsid w:val="001975D8"/>
    <w:rsid w:val="001A1748"/>
    <w:rsid w:val="001A3708"/>
    <w:rsid w:val="001A41AC"/>
    <w:rsid w:val="001A5CF6"/>
    <w:rsid w:val="001B3443"/>
    <w:rsid w:val="001B42F8"/>
    <w:rsid w:val="001B6C78"/>
    <w:rsid w:val="001C0192"/>
    <w:rsid w:val="001C0941"/>
    <w:rsid w:val="001C5669"/>
    <w:rsid w:val="001C6BDD"/>
    <w:rsid w:val="001C6E66"/>
    <w:rsid w:val="001C79C0"/>
    <w:rsid w:val="001D312D"/>
    <w:rsid w:val="001D5E83"/>
    <w:rsid w:val="001E217E"/>
    <w:rsid w:val="001E238E"/>
    <w:rsid w:val="001E2B1E"/>
    <w:rsid w:val="001E32EA"/>
    <w:rsid w:val="001E52EB"/>
    <w:rsid w:val="001E740C"/>
    <w:rsid w:val="001F1235"/>
    <w:rsid w:val="001F1270"/>
    <w:rsid w:val="001F1A36"/>
    <w:rsid w:val="001F1CB3"/>
    <w:rsid w:val="001F40F1"/>
    <w:rsid w:val="001F4D57"/>
    <w:rsid w:val="001F7361"/>
    <w:rsid w:val="0020385F"/>
    <w:rsid w:val="00207021"/>
    <w:rsid w:val="00207D00"/>
    <w:rsid w:val="002105C1"/>
    <w:rsid w:val="00212C2F"/>
    <w:rsid w:val="0021498F"/>
    <w:rsid w:val="00214ABA"/>
    <w:rsid w:val="00214B3D"/>
    <w:rsid w:val="0021621C"/>
    <w:rsid w:val="0022159A"/>
    <w:rsid w:val="00223B49"/>
    <w:rsid w:val="00224DD4"/>
    <w:rsid w:val="00226FAB"/>
    <w:rsid w:val="002309CC"/>
    <w:rsid w:val="002311F0"/>
    <w:rsid w:val="002370AE"/>
    <w:rsid w:val="00237326"/>
    <w:rsid w:val="0024023A"/>
    <w:rsid w:val="00240F6E"/>
    <w:rsid w:val="002419A9"/>
    <w:rsid w:val="00242ED7"/>
    <w:rsid w:val="002541A5"/>
    <w:rsid w:val="00254540"/>
    <w:rsid w:val="00254DCF"/>
    <w:rsid w:val="0025534B"/>
    <w:rsid w:val="00255BB7"/>
    <w:rsid w:val="00261AA1"/>
    <w:rsid w:val="00262A87"/>
    <w:rsid w:val="00264ABC"/>
    <w:rsid w:val="00265304"/>
    <w:rsid w:val="0026792F"/>
    <w:rsid w:val="002701BA"/>
    <w:rsid w:val="00275C5A"/>
    <w:rsid w:val="00281014"/>
    <w:rsid w:val="00282C8E"/>
    <w:rsid w:val="00283954"/>
    <w:rsid w:val="00287ADC"/>
    <w:rsid w:val="002A14AB"/>
    <w:rsid w:val="002A533E"/>
    <w:rsid w:val="002A7862"/>
    <w:rsid w:val="002B12CA"/>
    <w:rsid w:val="002B15C7"/>
    <w:rsid w:val="002B1C1F"/>
    <w:rsid w:val="002B432F"/>
    <w:rsid w:val="002B4C53"/>
    <w:rsid w:val="002B6644"/>
    <w:rsid w:val="002B6CCE"/>
    <w:rsid w:val="002B6DE6"/>
    <w:rsid w:val="002C047F"/>
    <w:rsid w:val="002C1F75"/>
    <w:rsid w:val="002C210D"/>
    <w:rsid w:val="002C2775"/>
    <w:rsid w:val="002C27C1"/>
    <w:rsid w:val="002D521A"/>
    <w:rsid w:val="002D6957"/>
    <w:rsid w:val="002D722F"/>
    <w:rsid w:val="002E6030"/>
    <w:rsid w:val="002F4313"/>
    <w:rsid w:val="002F7AC8"/>
    <w:rsid w:val="003003CD"/>
    <w:rsid w:val="00301017"/>
    <w:rsid w:val="0030159D"/>
    <w:rsid w:val="00301B8C"/>
    <w:rsid w:val="00302F8F"/>
    <w:rsid w:val="0030786C"/>
    <w:rsid w:val="0031031A"/>
    <w:rsid w:val="00310981"/>
    <w:rsid w:val="00315498"/>
    <w:rsid w:val="00321B24"/>
    <w:rsid w:val="00324A9E"/>
    <w:rsid w:val="00325905"/>
    <w:rsid w:val="003261F9"/>
    <w:rsid w:val="003366C9"/>
    <w:rsid w:val="00337175"/>
    <w:rsid w:val="003371B0"/>
    <w:rsid w:val="00341F93"/>
    <w:rsid w:val="00342D1C"/>
    <w:rsid w:val="0034790E"/>
    <w:rsid w:val="0035043C"/>
    <w:rsid w:val="0035620E"/>
    <w:rsid w:val="00360FB6"/>
    <w:rsid w:val="00361343"/>
    <w:rsid w:val="003710F5"/>
    <w:rsid w:val="0037170B"/>
    <w:rsid w:val="003729D6"/>
    <w:rsid w:val="00373C3C"/>
    <w:rsid w:val="00377457"/>
    <w:rsid w:val="00381309"/>
    <w:rsid w:val="0038365C"/>
    <w:rsid w:val="00383FA0"/>
    <w:rsid w:val="0039567F"/>
    <w:rsid w:val="00396FD0"/>
    <w:rsid w:val="003A1A7A"/>
    <w:rsid w:val="003A4A02"/>
    <w:rsid w:val="003B048F"/>
    <w:rsid w:val="003B0BCC"/>
    <w:rsid w:val="003B5CE5"/>
    <w:rsid w:val="003B75F6"/>
    <w:rsid w:val="003C2784"/>
    <w:rsid w:val="003C2F23"/>
    <w:rsid w:val="003D1828"/>
    <w:rsid w:val="003D1C12"/>
    <w:rsid w:val="003D2422"/>
    <w:rsid w:val="003D3DA4"/>
    <w:rsid w:val="003F08DF"/>
    <w:rsid w:val="003F1DB1"/>
    <w:rsid w:val="003F4156"/>
    <w:rsid w:val="003F5FE3"/>
    <w:rsid w:val="003F767B"/>
    <w:rsid w:val="003F7F10"/>
    <w:rsid w:val="00401354"/>
    <w:rsid w:val="0040260E"/>
    <w:rsid w:val="00404BC9"/>
    <w:rsid w:val="00407B0A"/>
    <w:rsid w:val="00410431"/>
    <w:rsid w:val="00410708"/>
    <w:rsid w:val="00410DCA"/>
    <w:rsid w:val="00410EC7"/>
    <w:rsid w:val="004120A9"/>
    <w:rsid w:val="00413948"/>
    <w:rsid w:val="00414476"/>
    <w:rsid w:val="004173EE"/>
    <w:rsid w:val="00420B9F"/>
    <w:rsid w:val="00421922"/>
    <w:rsid w:val="004319F8"/>
    <w:rsid w:val="00433044"/>
    <w:rsid w:val="0043453A"/>
    <w:rsid w:val="004368D6"/>
    <w:rsid w:val="004377A0"/>
    <w:rsid w:val="004443A7"/>
    <w:rsid w:val="004464EB"/>
    <w:rsid w:val="004539C9"/>
    <w:rsid w:val="004547B6"/>
    <w:rsid w:val="00455B9F"/>
    <w:rsid w:val="00455D45"/>
    <w:rsid w:val="00456AC9"/>
    <w:rsid w:val="004575B0"/>
    <w:rsid w:val="00462867"/>
    <w:rsid w:val="00464595"/>
    <w:rsid w:val="00484E4C"/>
    <w:rsid w:val="004867E2"/>
    <w:rsid w:val="0049128A"/>
    <w:rsid w:val="00491B3A"/>
    <w:rsid w:val="00492CFD"/>
    <w:rsid w:val="004962D2"/>
    <w:rsid w:val="004A0DA1"/>
    <w:rsid w:val="004A3859"/>
    <w:rsid w:val="004A6597"/>
    <w:rsid w:val="004B1CB4"/>
    <w:rsid w:val="004B2F18"/>
    <w:rsid w:val="004B3DDB"/>
    <w:rsid w:val="004B4124"/>
    <w:rsid w:val="004B44FD"/>
    <w:rsid w:val="004B5CFC"/>
    <w:rsid w:val="004C16C5"/>
    <w:rsid w:val="004C36DF"/>
    <w:rsid w:val="004C4AED"/>
    <w:rsid w:val="004C7E96"/>
    <w:rsid w:val="004D4A6E"/>
    <w:rsid w:val="004D4B2D"/>
    <w:rsid w:val="004E0EB8"/>
    <w:rsid w:val="004E1FFF"/>
    <w:rsid w:val="004E2ADC"/>
    <w:rsid w:val="004E2C60"/>
    <w:rsid w:val="004E43B2"/>
    <w:rsid w:val="004E699C"/>
    <w:rsid w:val="004F1B6A"/>
    <w:rsid w:val="004F1D02"/>
    <w:rsid w:val="004F2679"/>
    <w:rsid w:val="004F7865"/>
    <w:rsid w:val="00500A8E"/>
    <w:rsid w:val="00500CCE"/>
    <w:rsid w:val="00506928"/>
    <w:rsid w:val="005132CE"/>
    <w:rsid w:val="005143EB"/>
    <w:rsid w:val="005152B5"/>
    <w:rsid w:val="00516CAC"/>
    <w:rsid w:val="00517D83"/>
    <w:rsid w:val="00521319"/>
    <w:rsid w:val="00521516"/>
    <w:rsid w:val="00523679"/>
    <w:rsid w:val="00523C28"/>
    <w:rsid w:val="00537109"/>
    <w:rsid w:val="00537183"/>
    <w:rsid w:val="00545265"/>
    <w:rsid w:val="0054585F"/>
    <w:rsid w:val="00550670"/>
    <w:rsid w:val="00551B7B"/>
    <w:rsid w:val="00552BD3"/>
    <w:rsid w:val="00555109"/>
    <w:rsid w:val="005632AE"/>
    <w:rsid w:val="0056696F"/>
    <w:rsid w:val="00574349"/>
    <w:rsid w:val="00575D8D"/>
    <w:rsid w:val="00576004"/>
    <w:rsid w:val="00576972"/>
    <w:rsid w:val="00583699"/>
    <w:rsid w:val="00584758"/>
    <w:rsid w:val="00587BE6"/>
    <w:rsid w:val="00596327"/>
    <w:rsid w:val="00597348"/>
    <w:rsid w:val="005A1A9F"/>
    <w:rsid w:val="005A375F"/>
    <w:rsid w:val="005A7A62"/>
    <w:rsid w:val="005B1FC5"/>
    <w:rsid w:val="005B2118"/>
    <w:rsid w:val="005B27DF"/>
    <w:rsid w:val="005B5857"/>
    <w:rsid w:val="005C1B83"/>
    <w:rsid w:val="005C346B"/>
    <w:rsid w:val="005C5373"/>
    <w:rsid w:val="005D044D"/>
    <w:rsid w:val="005D0996"/>
    <w:rsid w:val="005D0DB7"/>
    <w:rsid w:val="005D18AD"/>
    <w:rsid w:val="005D2F95"/>
    <w:rsid w:val="005E00ED"/>
    <w:rsid w:val="005E4F76"/>
    <w:rsid w:val="005E5877"/>
    <w:rsid w:val="005E6038"/>
    <w:rsid w:val="005E73C0"/>
    <w:rsid w:val="005E79F4"/>
    <w:rsid w:val="005F2706"/>
    <w:rsid w:val="005F6A8F"/>
    <w:rsid w:val="005F7E34"/>
    <w:rsid w:val="0060010C"/>
    <w:rsid w:val="00600A7F"/>
    <w:rsid w:val="00602559"/>
    <w:rsid w:val="00602705"/>
    <w:rsid w:val="00602A7D"/>
    <w:rsid w:val="0060493A"/>
    <w:rsid w:val="00607669"/>
    <w:rsid w:val="00607E10"/>
    <w:rsid w:val="00607EAD"/>
    <w:rsid w:val="00612F97"/>
    <w:rsid w:val="006155FA"/>
    <w:rsid w:val="0061583F"/>
    <w:rsid w:val="006167C3"/>
    <w:rsid w:val="00616802"/>
    <w:rsid w:val="00617E12"/>
    <w:rsid w:val="00621477"/>
    <w:rsid w:val="0062350F"/>
    <w:rsid w:val="00631D6B"/>
    <w:rsid w:val="00632D62"/>
    <w:rsid w:val="0063409A"/>
    <w:rsid w:val="00634270"/>
    <w:rsid w:val="0063479F"/>
    <w:rsid w:val="00634D3D"/>
    <w:rsid w:val="00635E03"/>
    <w:rsid w:val="006364A1"/>
    <w:rsid w:val="00637BFD"/>
    <w:rsid w:val="00646017"/>
    <w:rsid w:val="0064697A"/>
    <w:rsid w:val="006471CC"/>
    <w:rsid w:val="006475AB"/>
    <w:rsid w:val="0065079F"/>
    <w:rsid w:val="00670D67"/>
    <w:rsid w:val="0067171A"/>
    <w:rsid w:val="00673F01"/>
    <w:rsid w:val="00674E42"/>
    <w:rsid w:val="0067617F"/>
    <w:rsid w:val="00676CBC"/>
    <w:rsid w:val="00682112"/>
    <w:rsid w:val="0068419F"/>
    <w:rsid w:val="006872BA"/>
    <w:rsid w:val="00687806"/>
    <w:rsid w:val="006917D7"/>
    <w:rsid w:val="00693259"/>
    <w:rsid w:val="00694F44"/>
    <w:rsid w:val="006961E2"/>
    <w:rsid w:val="006B066B"/>
    <w:rsid w:val="006B59C5"/>
    <w:rsid w:val="006C2A8E"/>
    <w:rsid w:val="006C2AF9"/>
    <w:rsid w:val="006C37EA"/>
    <w:rsid w:val="006C420F"/>
    <w:rsid w:val="006C714A"/>
    <w:rsid w:val="006D3A69"/>
    <w:rsid w:val="006D3C7D"/>
    <w:rsid w:val="006D5D5F"/>
    <w:rsid w:val="006D7AE8"/>
    <w:rsid w:val="006E240C"/>
    <w:rsid w:val="006F17D1"/>
    <w:rsid w:val="006F2FDA"/>
    <w:rsid w:val="006F3309"/>
    <w:rsid w:val="006F63A5"/>
    <w:rsid w:val="0070276E"/>
    <w:rsid w:val="00702F8F"/>
    <w:rsid w:val="0071089C"/>
    <w:rsid w:val="00711A36"/>
    <w:rsid w:val="00714C2D"/>
    <w:rsid w:val="007172AD"/>
    <w:rsid w:val="0072416F"/>
    <w:rsid w:val="00731740"/>
    <w:rsid w:val="00733EA9"/>
    <w:rsid w:val="00734EB2"/>
    <w:rsid w:val="00735328"/>
    <w:rsid w:val="0073685B"/>
    <w:rsid w:val="0074340A"/>
    <w:rsid w:val="00744B16"/>
    <w:rsid w:val="00745643"/>
    <w:rsid w:val="00747F3E"/>
    <w:rsid w:val="00753877"/>
    <w:rsid w:val="00754170"/>
    <w:rsid w:val="007551D3"/>
    <w:rsid w:val="0076124C"/>
    <w:rsid w:val="00762DCB"/>
    <w:rsid w:val="00767A13"/>
    <w:rsid w:val="007715FB"/>
    <w:rsid w:val="007770FA"/>
    <w:rsid w:val="00777646"/>
    <w:rsid w:val="00777EDE"/>
    <w:rsid w:val="0078036A"/>
    <w:rsid w:val="007809CD"/>
    <w:rsid w:val="007813A4"/>
    <w:rsid w:val="00783C8A"/>
    <w:rsid w:val="0078537A"/>
    <w:rsid w:val="00785C04"/>
    <w:rsid w:val="00791650"/>
    <w:rsid w:val="007A0A12"/>
    <w:rsid w:val="007A123A"/>
    <w:rsid w:val="007A65C9"/>
    <w:rsid w:val="007B236D"/>
    <w:rsid w:val="007B251D"/>
    <w:rsid w:val="007B4D83"/>
    <w:rsid w:val="007B77D1"/>
    <w:rsid w:val="007C0C39"/>
    <w:rsid w:val="007C13B6"/>
    <w:rsid w:val="007C361D"/>
    <w:rsid w:val="007D0B38"/>
    <w:rsid w:val="007D3B1A"/>
    <w:rsid w:val="007D7AD4"/>
    <w:rsid w:val="007E09AE"/>
    <w:rsid w:val="007E3324"/>
    <w:rsid w:val="007E3E20"/>
    <w:rsid w:val="007F1017"/>
    <w:rsid w:val="007F3204"/>
    <w:rsid w:val="007F476B"/>
    <w:rsid w:val="007F4A3F"/>
    <w:rsid w:val="00801275"/>
    <w:rsid w:val="00802660"/>
    <w:rsid w:val="00805142"/>
    <w:rsid w:val="00807A8B"/>
    <w:rsid w:val="008114BA"/>
    <w:rsid w:val="00812149"/>
    <w:rsid w:val="00814D6E"/>
    <w:rsid w:val="008166EF"/>
    <w:rsid w:val="00817767"/>
    <w:rsid w:val="00822FF7"/>
    <w:rsid w:val="008234A0"/>
    <w:rsid w:val="00825D81"/>
    <w:rsid w:val="008264EB"/>
    <w:rsid w:val="00833975"/>
    <w:rsid w:val="00833B05"/>
    <w:rsid w:val="00840CA2"/>
    <w:rsid w:val="00844201"/>
    <w:rsid w:val="00845017"/>
    <w:rsid w:val="00851F54"/>
    <w:rsid w:val="008534DC"/>
    <w:rsid w:val="00856A25"/>
    <w:rsid w:val="00856E9A"/>
    <w:rsid w:val="00862502"/>
    <w:rsid w:val="00867322"/>
    <w:rsid w:val="008675B6"/>
    <w:rsid w:val="00872213"/>
    <w:rsid w:val="008734DD"/>
    <w:rsid w:val="00877738"/>
    <w:rsid w:val="00881F79"/>
    <w:rsid w:val="00882874"/>
    <w:rsid w:val="00883787"/>
    <w:rsid w:val="00885C08"/>
    <w:rsid w:val="00887F66"/>
    <w:rsid w:val="0089073C"/>
    <w:rsid w:val="0089268F"/>
    <w:rsid w:val="00894489"/>
    <w:rsid w:val="00895590"/>
    <w:rsid w:val="008956BD"/>
    <w:rsid w:val="008963A5"/>
    <w:rsid w:val="008968D4"/>
    <w:rsid w:val="008A0180"/>
    <w:rsid w:val="008A3849"/>
    <w:rsid w:val="008A3C3E"/>
    <w:rsid w:val="008A79DE"/>
    <w:rsid w:val="008B7D7E"/>
    <w:rsid w:val="008C25F8"/>
    <w:rsid w:val="008C333D"/>
    <w:rsid w:val="008C759C"/>
    <w:rsid w:val="008C7ECB"/>
    <w:rsid w:val="008D2170"/>
    <w:rsid w:val="008D6B73"/>
    <w:rsid w:val="008E1B9E"/>
    <w:rsid w:val="008E2624"/>
    <w:rsid w:val="008E4FC3"/>
    <w:rsid w:val="008F120A"/>
    <w:rsid w:val="008F36DD"/>
    <w:rsid w:val="008F48EB"/>
    <w:rsid w:val="008F4F0B"/>
    <w:rsid w:val="008F5CC6"/>
    <w:rsid w:val="008F7821"/>
    <w:rsid w:val="008F7F5C"/>
    <w:rsid w:val="0090057A"/>
    <w:rsid w:val="00901859"/>
    <w:rsid w:val="009047DD"/>
    <w:rsid w:val="009062A5"/>
    <w:rsid w:val="00906DFF"/>
    <w:rsid w:val="00911272"/>
    <w:rsid w:val="00911CFD"/>
    <w:rsid w:val="009126E9"/>
    <w:rsid w:val="009146B2"/>
    <w:rsid w:val="00922CCC"/>
    <w:rsid w:val="009250AE"/>
    <w:rsid w:val="00926E56"/>
    <w:rsid w:val="00930831"/>
    <w:rsid w:val="0093234F"/>
    <w:rsid w:val="00937C98"/>
    <w:rsid w:val="00941AC5"/>
    <w:rsid w:val="00943662"/>
    <w:rsid w:val="00950A4C"/>
    <w:rsid w:val="00951372"/>
    <w:rsid w:val="0095502E"/>
    <w:rsid w:val="009554D4"/>
    <w:rsid w:val="0095572C"/>
    <w:rsid w:val="00962CB9"/>
    <w:rsid w:val="0096400F"/>
    <w:rsid w:val="00964312"/>
    <w:rsid w:val="00964864"/>
    <w:rsid w:val="00966668"/>
    <w:rsid w:val="00971A29"/>
    <w:rsid w:val="009721E5"/>
    <w:rsid w:val="00972E6E"/>
    <w:rsid w:val="00980EE7"/>
    <w:rsid w:val="00983E57"/>
    <w:rsid w:val="00990F74"/>
    <w:rsid w:val="00991946"/>
    <w:rsid w:val="00993FE7"/>
    <w:rsid w:val="00996B1A"/>
    <w:rsid w:val="00997DC1"/>
    <w:rsid w:val="009A0813"/>
    <w:rsid w:val="009A2F11"/>
    <w:rsid w:val="009A4E8D"/>
    <w:rsid w:val="009B225A"/>
    <w:rsid w:val="009B3E26"/>
    <w:rsid w:val="009B6E74"/>
    <w:rsid w:val="009C183B"/>
    <w:rsid w:val="009C7A25"/>
    <w:rsid w:val="009D18A5"/>
    <w:rsid w:val="009D3B5A"/>
    <w:rsid w:val="009D4AF8"/>
    <w:rsid w:val="009D5B20"/>
    <w:rsid w:val="009D5B91"/>
    <w:rsid w:val="009E10C7"/>
    <w:rsid w:val="009E4C07"/>
    <w:rsid w:val="009F43B7"/>
    <w:rsid w:val="009F4643"/>
    <w:rsid w:val="009F53D6"/>
    <w:rsid w:val="00A03C47"/>
    <w:rsid w:val="00A03D43"/>
    <w:rsid w:val="00A04380"/>
    <w:rsid w:val="00A0456D"/>
    <w:rsid w:val="00A1254D"/>
    <w:rsid w:val="00A1295E"/>
    <w:rsid w:val="00A13948"/>
    <w:rsid w:val="00A16C47"/>
    <w:rsid w:val="00A27AEC"/>
    <w:rsid w:val="00A30214"/>
    <w:rsid w:val="00A34661"/>
    <w:rsid w:val="00A34D40"/>
    <w:rsid w:val="00A35D16"/>
    <w:rsid w:val="00A43C59"/>
    <w:rsid w:val="00A46F57"/>
    <w:rsid w:val="00A50ECD"/>
    <w:rsid w:val="00A52729"/>
    <w:rsid w:val="00A53327"/>
    <w:rsid w:val="00A53675"/>
    <w:rsid w:val="00A5515C"/>
    <w:rsid w:val="00A56977"/>
    <w:rsid w:val="00A56B6A"/>
    <w:rsid w:val="00A578DC"/>
    <w:rsid w:val="00A635BD"/>
    <w:rsid w:val="00A6725B"/>
    <w:rsid w:val="00A7315B"/>
    <w:rsid w:val="00A73349"/>
    <w:rsid w:val="00A7470A"/>
    <w:rsid w:val="00A846C0"/>
    <w:rsid w:val="00A86E8B"/>
    <w:rsid w:val="00A93072"/>
    <w:rsid w:val="00A950E4"/>
    <w:rsid w:val="00A957F7"/>
    <w:rsid w:val="00A959D8"/>
    <w:rsid w:val="00A9750E"/>
    <w:rsid w:val="00A97B4E"/>
    <w:rsid w:val="00AA172D"/>
    <w:rsid w:val="00AA2074"/>
    <w:rsid w:val="00AA55FB"/>
    <w:rsid w:val="00AB042A"/>
    <w:rsid w:val="00AB14A8"/>
    <w:rsid w:val="00AB249D"/>
    <w:rsid w:val="00AB2D34"/>
    <w:rsid w:val="00AB3430"/>
    <w:rsid w:val="00AB7032"/>
    <w:rsid w:val="00AB7CFA"/>
    <w:rsid w:val="00AD4C06"/>
    <w:rsid w:val="00AE5C68"/>
    <w:rsid w:val="00AE6682"/>
    <w:rsid w:val="00AE6A9B"/>
    <w:rsid w:val="00AF5E45"/>
    <w:rsid w:val="00B017AE"/>
    <w:rsid w:val="00B01B34"/>
    <w:rsid w:val="00B071CD"/>
    <w:rsid w:val="00B16307"/>
    <w:rsid w:val="00B23827"/>
    <w:rsid w:val="00B2638E"/>
    <w:rsid w:val="00B3162D"/>
    <w:rsid w:val="00B356CE"/>
    <w:rsid w:val="00B35888"/>
    <w:rsid w:val="00B36698"/>
    <w:rsid w:val="00B36C0A"/>
    <w:rsid w:val="00B42851"/>
    <w:rsid w:val="00B47272"/>
    <w:rsid w:val="00B50BAF"/>
    <w:rsid w:val="00B50DB8"/>
    <w:rsid w:val="00B534F3"/>
    <w:rsid w:val="00B53905"/>
    <w:rsid w:val="00B54B5B"/>
    <w:rsid w:val="00B5562E"/>
    <w:rsid w:val="00B57000"/>
    <w:rsid w:val="00B60939"/>
    <w:rsid w:val="00B60AFD"/>
    <w:rsid w:val="00B62715"/>
    <w:rsid w:val="00B63144"/>
    <w:rsid w:val="00B67D30"/>
    <w:rsid w:val="00B70E4E"/>
    <w:rsid w:val="00B71276"/>
    <w:rsid w:val="00B77399"/>
    <w:rsid w:val="00B818A4"/>
    <w:rsid w:val="00B84E67"/>
    <w:rsid w:val="00B8530F"/>
    <w:rsid w:val="00B857BF"/>
    <w:rsid w:val="00B8649C"/>
    <w:rsid w:val="00B9294E"/>
    <w:rsid w:val="00B92D0B"/>
    <w:rsid w:val="00B936EC"/>
    <w:rsid w:val="00B94945"/>
    <w:rsid w:val="00B95070"/>
    <w:rsid w:val="00B97462"/>
    <w:rsid w:val="00B97E88"/>
    <w:rsid w:val="00BA0D7F"/>
    <w:rsid w:val="00BA3666"/>
    <w:rsid w:val="00BA4ACD"/>
    <w:rsid w:val="00BB47DF"/>
    <w:rsid w:val="00BB56AA"/>
    <w:rsid w:val="00BB7405"/>
    <w:rsid w:val="00BC5425"/>
    <w:rsid w:val="00BC6915"/>
    <w:rsid w:val="00BD267D"/>
    <w:rsid w:val="00BD6CF3"/>
    <w:rsid w:val="00BD7272"/>
    <w:rsid w:val="00BE1EC8"/>
    <w:rsid w:val="00BE2180"/>
    <w:rsid w:val="00BE3E94"/>
    <w:rsid w:val="00BE4275"/>
    <w:rsid w:val="00BF0C1C"/>
    <w:rsid w:val="00BF2433"/>
    <w:rsid w:val="00BF409A"/>
    <w:rsid w:val="00BF61C9"/>
    <w:rsid w:val="00C00CD3"/>
    <w:rsid w:val="00C0556E"/>
    <w:rsid w:val="00C1074C"/>
    <w:rsid w:val="00C109D6"/>
    <w:rsid w:val="00C118C3"/>
    <w:rsid w:val="00C133F0"/>
    <w:rsid w:val="00C14D75"/>
    <w:rsid w:val="00C15D8A"/>
    <w:rsid w:val="00C17F91"/>
    <w:rsid w:val="00C25418"/>
    <w:rsid w:val="00C25D9C"/>
    <w:rsid w:val="00C30B4C"/>
    <w:rsid w:val="00C31649"/>
    <w:rsid w:val="00C33D3E"/>
    <w:rsid w:val="00C35B01"/>
    <w:rsid w:val="00C40385"/>
    <w:rsid w:val="00C41F2F"/>
    <w:rsid w:val="00C51EA7"/>
    <w:rsid w:val="00C54450"/>
    <w:rsid w:val="00C572C2"/>
    <w:rsid w:val="00C65576"/>
    <w:rsid w:val="00C66165"/>
    <w:rsid w:val="00C665C0"/>
    <w:rsid w:val="00C74B7B"/>
    <w:rsid w:val="00C750C8"/>
    <w:rsid w:val="00C75F8F"/>
    <w:rsid w:val="00C7693C"/>
    <w:rsid w:val="00C8213F"/>
    <w:rsid w:val="00C8299E"/>
    <w:rsid w:val="00C878ED"/>
    <w:rsid w:val="00C8797A"/>
    <w:rsid w:val="00C9255C"/>
    <w:rsid w:val="00C938CF"/>
    <w:rsid w:val="00C93FCD"/>
    <w:rsid w:val="00CA1F7B"/>
    <w:rsid w:val="00CA44D5"/>
    <w:rsid w:val="00CA5245"/>
    <w:rsid w:val="00CA58C9"/>
    <w:rsid w:val="00CA7B09"/>
    <w:rsid w:val="00CB0A4F"/>
    <w:rsid w:val="00CB14CA"/>
    <w:rsid w:val="00CB1E9E"/>
    <w:rsid w:val="00CB3864"/>
    <w:rsid w:val="00CB5AEE"/>
    <w:rsid w:val="00CB5B1A"/>
    <w:rsid w:val="00CD1819"/>
    <w:rsid w:val="00CD1F4D"/>
    <w:rsid w:val="00CD62DD"/>
    <w:rsid w:val="00CD6ADC"/>
    <w:rsid w:val="00CE00C2"/>
    <w:rsid w:val="00CE2379"/>
    <w:rsid w:val="00CE6274"/>
    <w:rsid w:val="00CE6F9F"/>
    <w:rsid w:val="00CF456B"/>
    <w:rsid w:val="00CF5A22"/>
    <w:rsid w:val="00D0262E"/>
    <w:rsid w:val="00D06F99"/>
    <w:rsid w:val="00D110BD"/>
    <w:rsid w:val="00D12F25"/>
    <w:rsid w:val="00D17D6C"/>
    <w:rsid w:val="00D201FD"/>
    <w:rsid w:val="00D20D07"/>
    <w:rsid w:val="00D2272A"/>
    <w:rsid w:val="00D22FE2"/>
    <w:rsid w:val="00D332EA"/>
    <w:rsid w:val="00D357FF"/>
    <w:rsid w:val="00D35E40"/>
    <w:rsid w:val="00D36A9C"/>
    <w:rsid w:val="00D4046E"/>
    <w:rsid w:val="00D4180B"/>
    <w:rsid w:val="00D43A5E"/>
    <w:rsid w:val="00D44AA9"/>
    <w:rsid w:val="00D46FC9"/>
    <w:rsid w:val="00D57915"/>
    <w:rsid w:val="00D61B22"/>
    <w:rsid w:val="00D64D4E"/>
    <w:rsid w:val="00D64F37"/>
    <w:rsid w:val="00D72693"/>
    <w:rsid w:val="00D740A4"/>
    <w:rsid w:val="00D76A44"/>
    <w:rsid w:val="00D77505"/>
    <w:rsid w:val="00D8080E"/>
    <w:rsid w:val="00D81085"/>
    <w:rsid w:val="00D83626"/>
    <w:rsid w:val="00D858D1"/>
    <w:rsid w:val="00D870EE"/>
    <w:rsid w:val="00D93753"/>
    <w:rsid w:val="00D97156"/>
    <w:rsid w:val="00DA0D70"/>
    <w:rsid w:val="00DA29E7"/>
    <w:rsid w:val="00DA77A5"/>
    <w:rsid w:val="00DA79F5"/>
    <w:rsid w:val="00DC0969"/>
    <w:rsid w:val="00DC5501"/>
    <w:rsid w:val="00DC79A0"/>
    <w:rsid w:val="00DD2A3E"/>
    <w:rsid w:val="00DD3F28"/>
    <w:rsid w:val="00DD4537"/>
    <w:rsid w:val="00DD49BB"/>
    <w:rsid w:val="00DD4E15"/>
    <w:rsid w:val="00DD52BB"/>
    <w:rsid w:val="00DD78C1"/>
    <w:rsid w:val="00DE2047"/>
    <w:rsid w:val="00DE4FCB"/>
    <w:rsid w:val="00DE55C7"/>
    <w:rsid w:val="00DF417D"/>
    <w:rsid w:val="00DF5D2B"/>
    <w:rsid w:val="00E0468D"/>
    <w:rsid w:val="00E10149"/>
    <w:rsid w:val="00E10B6E"/>
    <w:rsid w:val="00E11963"/>
    <w:rsid w:val="00E12676"/>
    <w:rsid w:val="00E12932"/>
    <w:rsid w:val="00E15300"/>
    <w:rsid w:val="00E16372"/>
    <w:rsid w:val="00E16B95"/>
    <w:rsid w:val="00E2007A"/>
    <w:rsid w:val="00E20ED6"/>
    <w:rsid w:val="00E21269"/>
    <w:rsid w:val="00E21358"/>
    <w:rsid w:val="00E21F78"/>
    <w:rsid w:val="00E2249B"/>
    <w:rsid w:val="00E22A0D"/>
    <w:rsid w:val="00E2771E"/>
    <w:rsid w:val="00E34409"/>
    <w:rsid w:val="00E3621B"/>
    <w:rsid w:val="00E37569"/>
    <w:rsid w:val="00E41E30"/>
    <w:rsid w:val="00E42025"/>
    <w:rsid w:val="00E43D70"/>
    <w:rsid w:val="00E47681"/>
    <w:rsid w:val="00E47B2C"/>
    <w:rsid w:val="00E51560"/>
    <w:rsid w:val="00E5162A"/>
    <w:rsid w:val="00E521DA"/>
    <w:rsid w:val="00E5283E"/>
    <w:rsid w:val="00E52D54"/>
    <w:rsid w:val="00E53A04"/>
    <w:rsid w:val="00E55424"/>
    <w:rsid w:val="00E55BB5"/>
    <w:rsid w:val="00E6044C"/>
    <w:rsid w:val="00E61261"/>
    <w:rsid w:val="00E64083"/>
    <w:rsid w:val="00E650A7"/>
    <w:rsid w:val="00E65E79"/>
    <w:rsid w:val="00E67416"/>
    <w:rsid w:val="00E71130"/>
    <w:rsid w:val="00E718B6"/>
    <w:rsid w:val="00E73581"/>
    <w:rsid w:val="00E77968"/>
    <w:rsid w:val="00E83BDF"/>
    <w:rsid w:val="00E87284"/>
    <w:rsid w:val="00E9468E"/>
    <w:rsid w:val="00EA3864"/>
    <w:rsid w:val="00EA4B1E"/>
    <w:rsid w:val="00EA7FCD"/>
    <w:rsid w:val="00EB05B3"/>
    <w:rsid w:val="00EB15B6"/>
    <w:rsid w:val="00EB1DC5"/>
    <w:rsid w:val="00EB38FC"/>
    <w:rsid w:val="00EB3F22"/>
    <w:rsid w:val="00EB428C"/>
    <w:rsid w:val="00EB4916"/>
    <w:rsid w:val="00EC00C9"/>
    <w:rsid w:val="00EC406C"/>
    <w:rsid w:val="00EC4235"/>
    <w:rsid w:val="00EC5DA9"/>
    <w:rsid w:val="00ED2900"/>
    <w:rsid w:val="00ED7F7A"/>
    <w:rsid w:val="00EE07D3"/>
    <w:rsid w:val="00EE2DDA"/>
    <w:rsid w:val="00EE54D1"/>
    <w:rsid w:val="00EF319D"/>
    <w:rsid w:val="00EF6F2C"/>
    <w:rsid w:val="00F01B9B"/>
    <w:rsid w:val="00F060D1"/>
    <w:rsid w:val="00F067A2"/>
    <w:rsid w:val="00F10F9A"/>
    <w:rsid w:val="00F157F9"/>
    <w:rsid w:val="00F15874"/>
    <w:rsid w:val="00F178C8"/>
    <w:rsid w:val="00F20498"/>
    <w:rsid w:val="00F22A9F"/>
    <w:rsid w:val="00F24837"/>
    <w:rsid w:val="00F25464"/>
    <w:rsid w:val="00F2575F"/>
    <w:rsid w:val="00F27BF1"/>
    <w:rsid w:val="00F3170D"/>
    <w:rsid w:val="00F33DE9"/>
    <w:rsid w:val="00F3619A"/>
    <w:rsid w:val="00F372E4"/>
    <w:rsid w:val="00F4117B"/>
    <w:rsid w:val="00F43587"/>
    <w:rsid w:val="00F46CB6"/>
    <w:rsid w:val="00F55E73"/>
    <w:rsid w:val="00F60092"/>
    <w:rsid w:val="00F60F99"/>
    <w:rsid w:val="00F61F28"/>
    <w:rsid w:val="00F62CF8"/>
    <w:rsid w:val="00F64B49"/>
    <w:rsid w:val="00F73339"/>
    <w:rsid w:val="00F73ABC"/>
    <w:rsid w:val="00F73B22"/>
    <w:rsid w:val="00F77B83"/>
    <w:rsid w:val="00F80E5D"/>
    <w:rsid w:val="00F851CE"/>
    <w:rsid w:val="00F869B4"/>
    <w:rsid w:val="00F870A3"/>
    <w:rsid w:val="00F87A35"/>
    <w:rsid w:val="00F900EE"/>
    <w:rsid w:val="00F92C99"/>
    <w:rsid w:val="00F9752D"/>
    <w:rsid w:val="00F97A78"/>
    <w:rsid w:val="00FA10D6"/>
    <w:rsid w:val="00FA24E7"/>
    <w:rsid w:val="00FA4609"/>
    <w:rsid w:val="00FA5496"/>
    <w:rsid w:val="00FA5D9C"/>
    <w:rsid w:val="00FB2FCB"/>
    <w:rsid w:val="00FB3C0C"/>
    <w:rsid w:val="00FB6486"/>
    <w:rsid w:val="00FC1074"/>
    <w:rsid w:val="00FC1884"/>
    <w:rsid w:val="00FC7D17"/>
    <w:rsid w:val="00FD1212"/>
    <w:rsid w:val="00FD2100"/>
    <w:rsid w:val="00FD2E20"/>
    <w:rsid w:val="00FD446D"/>
    <w:rsid w:val="00FD6474"/>
    <w:rsid w:val="00FD7C28"/>
    <w:rsid w:val="00FE01A0"/>
    <w:rsid w:val="00FE0759"/>
    <w:rsid w:val="00FE4DB1"/>
    <w:rsid w:val="00FE66D5"/>
    <w:rsid w:val="00FE69A9"/>
    <w:rsid w:val="00FF1AD1"/>
    <w:rsid w:val="00FF3DCF"/>
    <w:rsid w:val="00FF3F90"/>
    <w:rsid w:val="00FF5644"/>
    <w:rsid w:val="00FF5AA3"/>
    <w:rsid w:val="00FF75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13948"/>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13948"/>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CSR 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
    <w:link w:val="Caption"/>
    <w:uiPriority w:val="99"/>
    <w:rsid w:val="00124A51"/>
    <w:rPr>
      <w:b/>
      <w:bCs/>
      <w:snapToGrid w:val="0"/>
      <w:color w:val="4F81BD" w:themeColor="accent1"/>
      <w:sz w:val="18"/>
      <w:szCs w:val="18"/>
      <w:lang w:eastAsia="en-US"/>
    </w:rPr>
  </w:style>
  <w:style w:type="paragraph" w:styleId="Title">
    <w:name w:val="Title"/>
    <w:basedOn w:val="Heading1"/>
    <w:next w:val="Normal"/>
    <w:link w:val="TitleChar"/>
    <w:rsid w:val="00413948"/>
    <w:pPr>
      <w:jc w:val="left"/>
    </w:pPr>
    <w:rPr>
      <w:sz w:val="28"/>
    </w:rPr>
  </w:style>
  <w:style w:type="character" w:customStyle="1" w:styleId="TitleChar">
    <w:name w:val="Title Char"/>
    <w:basedOn w:val="DefaultParagraphFont"/>
    <w:link w:val="Title"/>
    <w:rsid w:val="00413948"/>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13948"/>
    <w:pPr>
      <w:keepNext/>
      <w:numPr>
        <w:numId w:val="9"/>
      </w:numPr>
      <w:outlineLvl w:val="0"/>
    </w:pPr>
    <w:rPr>
      <w:rFonts w:ascii="Arial" w:hAnsi="Arial" w:cs="Arial"/>
      <w:b/>
      <w:snapToGrid w:val="0"/>
      <w:sz w:val="22"/>
      <w:szCs w:val="22"/>
      <w:lang w:eastAsia="en-US"/>
    </w:rPr>
  </w:style>
  <w:style w:type="character" w:customStyle="1" w:styleId="Small">
    <w:name w:val="Small"/>
    <w:basedOn w:val="DefaultParagraphFont"/>
    <w:uiPriority w:val="4"/>
    <w:qFormat/>
    <w:rsid w:val="00F157F9"/>
    <w:rPr>
      <w:rFonts w:ascii="Candara" w:hAnsi="Candara"/>
      <w:sz w:val="20"/>
    </w:rPr>
  </w:style>
  <w:style w:type="paragraph" w:customStyle="1" w:styleId="TableBullets">
    <w:name w:val="Table Bullets"/>
    <w:basedOn w:val="Normal"/>
    <w:uiPriority w:val="5"/>
    <w:qFormat/>
    <w:rsid w:val="00F157F9"/>
    <w:pPr>
      <w:widowControl/>
      <w:numPr>
        <w:numId w:val="12"/>
      </w:numPr>
      <w:ind w:left="357" w:hanging="357"/>
      <w:jc w:val="left"/>
    </w:pPr>
    <w:rPr>
      <w:rFonts w:ascii="Candara" w:eastAsiaTheme="majorEastAsia" w:hAnsi="Candara" w:cstheme="majorBidi"/>
      <w:snapToGrid/>
      <w:sz w:val="20"/>
      <w:szCs w:val="22"/>
      <w:lang w:bidi="en-US"/>
    </w:rPr>
  </w:style>
  <w:style w:type="character" w:customStyle="1" w:styleId="SmallSubscript">
    <w:name w:val="Small Subscript"/>
    <w:basedOn w:val="Small"/>
    <w:uiPriority w:val="1"/>
    <w:qFormat/>
    <w:rsid w:val="00F157F9"/>
    <w:rPr>
      <w:rFonts w:ascii="Candara" w:hAnsi="Candara"/>
      <w:b w:val="0"/>
      <w:sz w:val="20"/>
      <w:vertAlign w:val="subscript"/>
    </w:rPr>
  </w:style>
  <w:style w:type="paragraph" w:customStyle="1" w:styleId="Table">
    <w:name w:val="Table"/>
    <w:basedOn w:val="Normal"/>
    <w:link w:val="TableChar"/>
    <w:qFormat/>
    <w:rsid w:val="00D64F37"/>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D64F37"/>
    <w:rPr>
      <w:rFonts w:ascii="Candara" w:eastAsiaTheme="majorEastAsia" w:hAnsi="Candara" w:cstheme="majorBidi"/>
      <w:szCs w:val="22"/>
      <w:lang w:eastAsia="en-US" w:bidi="en-US"/>
    </w:rPr>
  </w:style>
  <w:style w:type="paragraph" w:customStyle="1" w:styleId="TableCentre">
    <w:name w:val="Table Centre"/>
    <w:basedOn w:val="Table"/>
    <w:qFormat/>
    <w:rsid w:val="00261AA1"/>
    <w:pPr>
      <w:jc w:val="center"/>
    </w:pPr>
  </w:style>
  <w:style w:type="character" w:customStyle="1" w:styleId="SmallSuperscript">
    <w:name w:val="Small Superscript"/>
    <w:basedOn w:val="Small"/>
    <w:uiPriority w:val="1"/>
    <w:qFormat/>
    <w:rsid w:val="00C30B4C"/>
    <w:rPr>
      <w:rFonts w:ascii="Candara" w:hAnsi="Candara"/>
      <w:sz w:val="20"/>
      <w:vertAlign w:val="superscript"/>
    </w:rPr>
  </w:style>
  <w:style w:type="character" w:customStyle="1" w:styleId="SmallBold">
    <w:name w:val="Small Bold"/>
    <w:basedOn w:val="Small"/>
    <w:uiPriority w:val="4"/>
    <w:qFormat/>
    <w:rsid w:val="00D77505"/>
    <w:rPr>
      <w:rFonts w:ascii="Candara" w:hAnsi="Candara"/>
      <w:b/>
      <w:sz w:val="20"/>
      <w:lang w:val="en-AU"/>
    </w:rPr>
  </w:style>
  <w:style w:type="paragraph" w:customStyle="1" w:styleId="CaptionFootnote">
    <w:name w:val="Caption Footnote"/>
    <w:basedOn w:val="Caption"/>
    <w:uiPriority w:val="99"/>
    <w:qFormat/>
    <w:rsid w:val="003B75F6"/>
    <w:pPr>
      <w:spacing w:after="0"/>
      <w:jc w:val="left"/>
    </w:pPr>
    <w:rPr>
      <w:rFonts w:ascii="Candara" w:eastAsiaTheme="majorEastAsia" w:hAnsi="Candara" w:cstheme="majorBidi"/>
      <w:b w:val="0"/>
      <w:snapToGrid/>
      <w:color w:val="auto"/>
      <w:sz w:val="16"/>
      <w:lang w:bidi="en-US"/>
    </w:rPr>
  </w:style>
  <w:style w:type="character" w:customStyle="1" w:styleId="TableTextChar0">
    <w:name w:val="TableText Char"/>
    <w:basedOn w:val="DefaultParagraphFont"/>
    <w:link w:val="TableText0"/>
    <w:rsid w:val="000B161F"/>
    <w:rPr>
      <w:rFonts w:ascii="Arial Narrow" w:hAnsi="Arial Narrow" w:cs="Arial Narrow"/>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37109"/>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A9750E"/>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693259"/>
    <w:rPr>
      <w:sz w:val="20"/>
    </w:rPr>
  </w:style>
  <w:style w:type="character" w:customStyle="1" w:styleId="FootnoteTextChar">
    <w:name w:val="Footnote Text Char"/>
    <w:basedOn w:val="DefaultParagraphFont"/>
    <w:link w:val="FootnoteText"/>
    <w:semiHidden/>
    <w:rsid w:val="00693259"/>
    <w:rPr>
      <w:rFonts w:ascii="Arial" w:hAnsi="Arial" w:cs="Arial"/>
      <w:snapToGrid w:val="0"/>
      <w:lang w:eastAsia="en-US"/>
    </w:rPr>
  </w:style>
  <w:style w:type="character" w:styleId="FootnoteReference">
    <w:name w:val="footnote reference"/>
    <w:basedOn w:val="DefaultParagraphFont"/>
    <w:semiHidden/>
    <w:unhideWhenUsed/>
    <w:rsid w:val="00693259"/>
    <w:rPr>
      <w:vertAlign w:val="superscript"/>
    </w:rPr>
  </w:style>
  <w:style w:type="character" w:styleId="IntenseReference">
    <w:name w:val="Intense Reference"/>
    <w:basedOn w:val="DefaultParagraphFont"/>
    <w:uiPriority w:val="32"/>
    <w:qFormat/>
    <w:rsid w:val="00B71276"/>
    <w:rPr>
      <w:b/>
      <w:bCs/>
      <w:i/>
      <w:smallCaps/>
      <w:color w:val="C0504D" w:themeColor="accent2"/>
      <w:spacing w:val="5"/>
      <w:u w:val="none"/>
    </w:rPr>
  </w:style>
  <w:style w:type="character" w:customStyle="1" w:styleId="ListParagraphChar">
    <w:name w:val="List Paragraph Char"/>
    <w:basedOn w:val="DefaultParagraphFont"/>
    <w:link w:val="ListParagraph"/>
    <w:uiPriority w:val="72"/>
    <w:locked/>
    <w:rsid w:val="00E3621B"/>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13948"/>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13948"/>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CSR 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
    <w:link w:val="Caption"/>
    <w:uiPriority w:val="99"/>
    <w:rsid w:val="00124A51"/>
    <w:rPr>
      <w:b/>
      <w:bCs/>
      <w:snapToGrid w:val="0"/>
      <w:color w:val="4F81BD" w:themeColor="accent1"/>
      <w:sz w:val="18"/>
      <w:szCs w:val="18"/>
      <w:lang w:eastAsia="en-US"/>
    </w:rPr>
  </w:style>
  <w:style w:type="paragraph" w:styleId="Title">
    <w:name w:val="Title"/>
    <w:basedOn w:val="Heading1"/>
    <w:next w:val="Normal"/>
    <w:link w:val="TitleChar"/>
    <w:rsid w:val="00413948"/>
    <w:pPr>
      <w:jc w:val="left"/>
    </w:pPr>
    <w:rPr>
      <w:sz w:val="28"/>
    </w:rPr>
  </w:style>
  <w:style w:type="character" w:customStyle="1" w:styleId="TitleChar">
    <w:name w:val="Title Char"/>
    <w:basedOn w:val="DefaultParagraphFont"/>
    <w:link w:val="Title"/>
    <w:rsid w:val="00413948"/>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13948"/>
    <w:pPr>
      <w:keepNext/>
      <w:numPr>
        <w:numId w:val="9"/>
      </w:numPr>
      <w:outlineLvl w:val="0"/>
    </w:pPr>
    <w:rPr>
      <w:rFonts w:ascii="Arial" w:hAnsi="Arial" w:cs="Arial"/>
      <w:b/>
      <w:snapToGrid w:val="0"/>
      <w:sz w:val="22"/>
      <w:szCs w:val="22"/>
      <w:lang w:eastAsia="en-US"/>
    </w:rPr>
  </w:style>
  <w:style w:type="character" w:customStyle="1" w:styleId="Small">
    <w:name w:val="Small"/>
    <w:basedOn w:val="DefaultParagraphFont"/>
    <w:uiPriority w:val="4"/>
    <w:qFormat/>
    <w:rsid w:val="00F157F9"/>
    <w:rPr>
      <w:rFonts w:ascii="Candara" w:hAnsi="Candara"/>
      <w:sz w:val="20"/>
    </w:rPr>
  </w:style>
  <w:style w:type="paragraph" w:customStyle="1" w:styleId="TableBullets">
    <w:name w:val="Table Bullets"/>
    <w:basedOn w:val="Normal"/>
    <w:uiPriority w:val="5"/>
    <w:qFormat/>
    <w:rsid w:val="00F157F9"/>
    <w:pPr>
      <w:widowControl/>
      <w:numPr>
        <w:numId w:val="12"/>
      </w:numPr>
      <w:ind w:left="357" w:hanging="357"/>
      <w:jc w:val="left"/>
    </w:pPr>
    <w:rPr>
      <w:rFonts w:ascii="Candara" w:eastAsiaTheme="majorEastAsia" w:hAnsi="Candara" w:cstheme="majorBidi"/>
      <w:snapToGrid/>
      <w:sz w:val="20"/>
      <w:szCs w:val="22"/>
      <w:lang w:bidi="en-US"/>
    </w:rPr>
  </w:style>
  <w:style w:type="character" w:customStyle="1" w:styleId="SmallSubscript">
    <w:name w:val="Small Subscript"/>
    <w:basedOn w:val="Small"/>
    <w:uiPriority w:val="1"/>
    <w:qFormat/>
    <w:rsid w:val="00F157F9"/>
    <w:rPr>
      <w:rFonts w:ascii="Candara" w:hAnsi="Candara"/>
      <w:b w:val="0"/>
      <w:sz w:val="20"/>
      <w:vertAlign w:val="subscript"/>
    </w:rPr>
  </w:style>
  <w:style w:type="paragraph" w:customStyle="1" w:styleId="Table">
    <w:name w:val="Table"/>
    <w:basedOn w:val="Normal"/>
    <w:link w:val="TableChar"/>
    <w:qFormat/>
    <w:rsid w:val="00D64F37"/>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D64F37"/>
    <w:rPr>
      <w:rFonts w:ascii="Candara" w:eastAsiaTheme="majorEastAsia" w:hAnsi="Candara" w:cstheme="majorBidi"/>
      <w:szCs w:val="22"/>
      <w:lang w:eastAsia="en-US" w:bidi="en-US"/>
    </w:rPr>
  </w:style>
  <w:style w:type="paragraph" w:customStyle="1" w:styleId="TableCentre">
    <w:name w:val="Table Centre"/>
    <w:basedOn w:val="Table"/>
    <w:qFormat/>
    <w:rsid w:val="00261AA1"/>
    <w:pPr>
      <w:jc w:val="center"/>
    </w:pPr>
  </w:style>
  <w:style w:type="character" w:customStyle="1" w:styleId="SmallSuperscript">
    <w:name w:val="Small Superscript"/>
    <w:basedOn w:val="Small"/>
    <w:uiPriority w:val="1"/>
    <w:qFormat/>
    <w:rsid w:val="00C30B4C"/>
    <w:rPr>
      <w:rFonts w:ascii="Candara" w:hAnsi="Candara"/>
      <w:sz w:val="20"/>
      <w:vertAlign w:val="superscript"/>
    </w:rPr>
  </w:style>
  <w:style w:type="character" w:customStyle="1" w:styleId="SmallBold">
    <w:name w:val="Small Bold"/>
    <w:basedOn w:val="Small"/>
    <w:uiPriority w:val="4"/>
    <w:qFormat/>
    <w:rsid w:val="00D77505"/>
    <w:rPr>
      <w:rFonts w:ascii="Candara" w:hAnsi="Candara"/>
      <w:b/>
      <w:sz w:val="20"/>
      <w:lang w:val="en-AU"/>
    </w:rPr>
  </w:style>
  <w:style w:type="paragraph" w:customStyle="1" w:styleId="CaptionFootnote">
    <w:name w:val="Caption Footnote"/>
    <w:basedOn w:val="Caption"/>
    <w:uiPriority w:val="99"/>
    <w:qFormat/>
    <w:rsid w:val="003B75F6"/>
    <w:pPr>
      <w:spacing w:after="0"/>
      <w:jc w:val="left"/>
    </w:pPr>
    <w:rPr>
      <w:rFonts w:ascii="Candara" w:eastAsiaTheme="majorEastAsia" w:hAnsi="Candara" w:cstheme="majorBidi"/>
      <w:b w:val="0"/>
      <w:snapToGrid/>
      <w:color w:val="auto"/>
      <w:sz w:val="16"/>
      <w:lang w:bidi="en-US"/>
    </w:rPr>
  </w:style>
  <w:style w:type="character" w:customStyle="1" w:styleId="TableTextChar0">
    <w:name w:val="TableText Char"/>
    <w:basedOn w:val="DefaultParagraphFont"/>
    <w:link w:val="TableText0"/>
    <w:rsid w:val="000B161F"/>
    <w:rPr>
      <w:rFonts w:ascii="Arial Narrow" w:hAnsi="Arial Narrow" w:cs="Arial Narrow"/>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37109"/>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A9750E"/>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693259"/>
    <w:rPr>
      <w:sz w:val="20"/>
    </w:rPr>
  </w:style>
  <w:style w:type="character" w:customStyle="1" w:styleId="FootnoteTextChar">
    <w:name w:val="Footnote Text Char"/>
    <w:basedOn w:val="DefaultParagraphFont"/>
    <w:link w:val="FootnoteText"/>
    <w:semiHidden/>
    <w:rsid w:val="00693259"/>
    <w:rPr>
      <w:rFonts w:ascii="Arial" w:hAnsi="Arial" w:cs="Arial"/>
      <w:snapToGrid w:val="0"/>
      <w:lang w:eastAsia="en-US"/>
    </w:rPr>
  </w:style>
  <w:style w:type="character" w:styleId="FootnoteReference">
    <w:name w:val="footnote reference"/>
    <w:basedOn w:val="DefaultParagraphFont"/>
    <w:semiHidden/>
    <w:unhideWhenUsed/>
    <w:rsid w:val="00693259"/>
    <w:rPr>
      <w:vertAlign w:val="superscript"/>
    </w:rPr>
  </w:style>
  <w:style w:type="character" w:styleId="IntenseReference">
    <w:name w:val="Intense Reference"/>
    <w:basedOn w:val="DefaultParagraphFont"/>
    <w:uiPriority w:val="32"/>
    <w:qFormat/>
    <w:rsid w:val="00B71276"/>
    <w:rPr>
      <w:b/>
      <w:bCs/>
      <w:i/>
      <w:smallCaps/>
      <w:color w:val="C0504D" w:themeColor="accent2"/>
      <w:spacing w:val="5"/>
      <w:u w:val="none"/>
    </w:rPr>
  </w:style>
  <w:style w:type="character" w:customStyle="1" w:styleId="ListParagraphChar">
    <w:name w:val="List Paragraph Char"/>
    <w:basedOn w:val="DefaultParagraphFont"/>
    <w:link w:val="ListParagraph"/>
    <w:uiPriority w:val="72"/>
    <w:locked/>
    <w:rsid w:val="00E3621B"/>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1211">
      <w:bodyDiv w:val="1"/>
      <w:marLeft w:val="0"/>
      <w:marRight w:val="0"/>
      <w:marTop w:val="0"/>
      <w:marBottom w:val="0"/>
      <w:divBdr>
        <w:top w:val="none" w:sz="0" w:space="0" w:color="auto"/>
        <w:left w:val="none" w:sz="0" w:space="0" w:color="auto"/>
        <w:bottom w:val="none" w:sz="0" w:space="0" w:color="auto"/>
        <w:right w:val="none" w:sz="0" w:space="0" w:color="auto"/>
      </w:divBdr>
    </w:div>
    <w:div w:id="170265822">
      <w:bodyDiv w:val="1"/>
      <w:marLeft w:val="0"/>
      <w:marRight w:val="0"/>
      <w:marTop w:val="0"/>
      <w:marBottom w:val="0"/>
      <w:divBdr>
        <w:top w:val="none" w:sz="0" w:space="0" w:color="auto"/>
        <w:left w:val="none" w:sz="0" w:space="0" w:color="auto"/>
        <w:bottom w:val="none" w:sz="0" w:space="0" w:color="auto"/>
        <w:right w:val="none" w:sz="0" w:space="0" w:color="auto"/>
      </w:divBdr>
    </w:div>
    <w:div w:id="242690515">
      <w:bodyDiv w:val="1"/>
      <w:marLeft w:val="0"/>
      <w:marRight w:val="0"/>
      <w:marTop w:val="0"/>
      <w:marBottom w:val="0"/>
      <w:divBdr>
        <w:top w:val="none" w:sz="0" w:space="0" w:color="auto"/>
        <w:left w:val="none" w:sz="0" w:space="0" w:color="auto"/>
        <w:bottom w:val="none" w:sz="0" w:space="0" w:color="auto"/>
        <w:right w:val="none" w:sz="0" w:space="0" w:color="auto"/>
      </w:divBdr>
    </w:div>
    <w:div w:id="391195189">
      <w:bodyDiv w:val="1"/>
      <w:marLeft w:val="0"/>
      <w:marRight w:val="0"/>
      <w:marTop w:val="0"/>
      <w:marBottom w:val="0"/>
      <w:divBdr>
        <w:top w:val="none" w:sz="0" w:space="0" w:color="auto"/>
        <w:left w:val="none" w:sz="0" w:space="0" w:color="auto"/>
        <w:bottom w:val="none" w:sz="0" w:space="0" w:color="auto"/>
        <w:right w:val="none" w:sz="0" w:space="0" w:color="auto"/>
      </w:divBdr>
    </w:div>
    <w:div w:id="528642563">
      <w:bodyDiv w:val="1"/>
      <w:marLeft w:val="0"/>
      <w:marRight w:val="0"/>
      <w:marTop w:val="0"/>
      <w:marBottom w:val="0"/>
      <w:divBdr>
        <w:top w:val="none" w:sz="0" w:space="0" w:color="auto"/>
        <w:left w:val="none" w:sz="0" w:space="0" w:color="auto"/>
        <w:bottom w:val="none" w:sz="0" w:space="0" w:color="auto"/>
        <w:right w:val="none" w:sz="0" w:space="0" w:color="auto"/>
      </w:divBdr>
    </w:div>
    <w:div w:id="575282549">
      <w:bodyDiv w:val="1"/>
      <w:marLeft w:val="0"/>
      <w:marRight w:val="0"/>
      <w:marTop w:val="0"/>
      <w:marBottom w:val="0"/>
      <w:divBdr>
        <w:top w:val="none" w:sz="0" w:space="0" w:color="auto"/>
        <w:left w:val="none" w:sz="0" w:space="0" w:color="auto"/>
        <w:bottom w:val="none" w:sz="0" w:space="0" w:color="auto"/>
        <w:right w:val="none" w:sz="0" w:space="0" w:color="auto"/>
      </w:divBdr>
    </w:div>
    <w:div w:id="615872491">
      <w:bodyDiv w:val="1"/>
      <w:marLeft w:val="0"/>
      <w:marRight w:val="0"/>
      <w:marTop w:val="0"/>
      <w:marBottom w:val="0"/>
      <w:divBdr>
        <w:top w:val="none" w:sz="0" w:space="0" w:color="auto"/>
        <w:left w:val="none" w:sz="0" w:space="0" w:color="auto"/>
        <w:bottom w:val="none" w:sz="0" w:space="0" w:color="auto"/>
        <w:right w:val="none" w:sz="0" w:space="0" w:color="auto"/>
      </w:divBdr>
    </w:div>
    <w:div w:id="667176829">
      <w:bodyDiv w:val="1"/>
      <w:marLeft w:val="0"/>
      <w:marRight w:val="0"/>
      <w:marTop w:val="0"/>
      <w:marBottom w:val="0"/>
      <w:divBdr>
        <w:top w:val="none" w:sz="0" w:space="0" w:color="auto"/>
        <w:left w:val="none" w:sz="0" w:space="0" w:color="auto"/>
        <w:bottom w:val="none" w:sz="0" w:space="0" w:color="auto"/>
        <w:right w:val="none" w:sz="0" w:space="0" w:color="auto"/>
      </w:divBdr>
    </w:div>
    <w:div w:id="671372494">
      <w:bodyDiv w:val="1"/>
      <w:marLeft w:val="0"/>
      <w:marRight w:val="0"/>
      <w:marTop w:val="0"/>
      <w:marBottom w:val="0"/>
      <w:divBdr>
        <w:top w:val="none" w:sz="0" w:space="0" w:color="auto"/>
        <w:left w:val="none" w:sz="0" w:space="0" w:color="auto"/>
        <w:bottom w:val="none" w:sz="0" w:space="0" w:color="auto"/>
        <w:right w:val="none" w:sz="0" w:space="0" w:color="auto"/>
      </w:divBdr>
    </w:div>
    <w:div w:id="760688065">
      <w:bodyDiv w:val="1"/>
      <w:marLeft w:val="0"/>
      <w:marRight w:val="0"/>
      <w:marTop w:val="0"/>
      <w:marBottom w:val="0"/>
      <w:divBdr>
        <w:top w:val="none" w:sz="0" w:space="0" w:color="auto"/>
        <w:left w:val="none" w:sz="0" w:space="0" w:color="auto"/>
        <w:bottom w:val="none" w:sz="0" w:space="0" w:color="auto"/>
        <w:right w:val="none" w:sz="0" w:space="0" w:color="auto"/>
      </w:divBdr>
    </w:div>
    <w:div w:id="813529652">
      <w:bodyDiv w:val="1"/>
      <w:marLeft w:val="0"/>
      <w:marRight w:val="0"/>
      <w:marTop w:val="0"/>
      <w:marBottom w:val="0"/>
      <w:divBdr>
        <w:top w:val="none" w:sz="0" w:space="0" w:color="auto"/>
        <w:left w:val="none" w:sz="0" w:space="0" w:color="auto"/>
        <w:bottom w:val="none" w:sz="0" w:space="0" w:color="auto"/>
        <w:right w:val="none" w:sz="0" w:space="0" w:color="auto"/>
      </w:divBdr>
    </w:div>
    <w:div w:id="915094744">
      <w:bodyDiv w:val="1"/>
      <w:marLeft w:val="0"/>
      <w:marRight w:val="0"/>
      <w:marTop w:val="0"/>
      <w:marBottom w:val="0"/>
      <w:divBdr>
        <w:top w:val="none" w:sz="0" w:space="0" w:color="auto"/>
        <w:left w:val="none" w:sz="0" w:space="0" w:color="auto"/>
        <w:bottom w:val="none" w:sz="0" w:space="0" w:color="auto"/>
        <w:right w:val="none" w:sz="0" w:space="0" w:color="auto"/>
      </w:divBdr>
    </w:div>
    <w:div w:id="183999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4808</Words>
  <Characters>29492</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5.05 elviteg+cobicis+emtrici+TAF</vt:lpstr>
    </vt:vector>
  </TitlesOfParts>
  <LinksUpToDate>false</LinksUpToDate>
  <CharactersWithSpaces>34232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 elviteg+cobicis+emtrici+TAF</dc:title>
  <dc:creator/>
  <cp:lastModifiedBy/>
  <cp:revision>1</cp:revision>
  <dcterms:created xsi:type="dcterms:W3CDTF">2016-02-16T00:32:00Z</dcterms:created>
  <dcterms:modified xsi:type="dcterms:W3CDTF">2016-02-26T05:42:00Z</dcterms:modified>
</cp:coreProperties>
</file>