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738" w:rsidRPr="00651644" w:rsidRDefault="000831DF" w:rsidP="00651644">
      <w:pPr>
        <w:pStyle w:val="Title"/>
      </w:pPr>
      <w:bookmarkStart w:id="0" w:name="_Toc430015979"/>
      <w:r w:rsidRPr="00651644">
        <w:t>5.04</w:t>
      </w:r>
      <w:r w:rsidR="00B60939" w:rsidRPr="00651644">
        <w:tab/>
      </w:r>
      <w:r w:rsidR="00182F18" w:rsidRPr="00651644">
        <w:t>DARUNAVIR</w:t>
      </w:r>
      <w:r w:rsidR="006431FD" w:rsidRPr="00651644">
        <w:t>/</w:t>
      </w:r>
      <w:r w:rsidR="00955241" w:rsidRPr="00651644">
        <w:t>COBICISTAT</w:t>
      </w:r>
    </w:p>
    <w:p w:rsidR="00854BA1" w:rsidRPr="00651644" w:rsidRDefault="00570AAE" w:rsidP="00651644">
      <w:pPr>
        <w:pStyle w:val="Title"/>
        <w:ind w:firstLine="0"/>
        <w:rPr>
          <w:caps w:val="0"/>
        </w:rPr>
      </w:pPr>
      <w:r w:rsidRPr="00651644">
        <w:rPr>
          <w:caps w:val="0"/>
        </w:rPr>
        <w:t>fixed-</w:t>
      </w:r>
      <w:r w:rsidR="00394457" w:rsidRPr="00651644">
        <w:rPr>
          <w:caps w:val="0"/>
        </w:rPr>
        <w:t xml:space="preserve">dose combination </w:t>
      </w:r>
      <w:r w:rsidR="00955241" w:rsidRPr="00651644">
        <w:rPr>
          <w:caps w:val="0"/>
        </w:rPr>
        <w:t>tablet</w:t>
      </w:r>
      <w:r w:rsidR="00B60939" w:rsidRPr="00651644">
        <w:rPr>
          <w:caps w:val="0"/>
        </w:rPr>
        <w:t>,</w:t>
      </w:r>
      <w:r w:rsidR="00394457" w:rsidRPr="00651644">
        <w:rPr>
          <w:caps w:val="0"/>
        </w:rPr>
        <w:t xml:space="preserve"> 30,</w:t>
      </w:r>
      <w:r w:rsidR="00B60939" w:rsidRPr="00651644">
        <w:rPr>
          <w:caps w:val="0"/>
        </w:rPr>
        <w:t xml:space="preserve"> </w:t>
      </w:r>
      <w:r w:rsidR="00BE3FA3" w:rsidRPr="00651644">
        <w:rPr>
          <w:caps w:val="0"/>
        </w:rPr>
        <w:t xml:space="preserve">darunavir 800 mg + cobicstat </w:t>
      </w:r>
      <w:r w:rsidR="00955241" w:rsidRPr="00651644">
        <w:rPr>
          <w:caps w:val="0"/>
        </w:rPr>
        <w:t>150mg</w:t>
      </w:r>
      <w:r w:rsidR="00B60939" w:rsidRPr="00651644">
        <w:rPr>
          <w:caps w:val="0"/>
        </w:rPr>
        <w:t>,</w:t>
      </w:r>
      <w:r w:rsidR="00394457" w:rsidRPr="00651644">
        <w:rPr>
          <w:caps w:val="0"/>
        </w:rPr>
        <w:t xml:space="preserve"> </w:t>
      </w:r>
    </w:p>
    <w:p w:rsidR="00B60939" w:rsidRPr="00651644" w:rsidRDefault="00955241" w:rsidP="00651644">
      <w:pPr>
        <w:pStyle w:val="Title"/>
        <w:ind w:firstLine="0"/>
        <w:rPr>
          <w:caps w:val="0"/>
        </w:rPr>
      </w:pPr>
      <w:r w:rsidRPr="00651644">
        <w:rPr>
          <w:caps w:val="0"/>
        </w:rPr>
        <w:t>Prezcobix</w:t>
      </w:r>
      <w:r w:rsidR="00B60939" w:rsidRPr="00651644">
        <w:rPr>
          <w:caps w:val="0"/>
        </w:rPr>
        <w:t xml:space="preserve">®, </w:t>
      </w:r>
      <w:r w:rsidRPr="00651644">
        <w:rPr>
          <w:caps w:val="0"/>
        </w:rPr>
        <w:t>Janssen-Cilag Pty Ltd</w:t>
      </w:r>
      <w:r w:rsidR="00B60939" w:rsidRPr="00651644">
        <w:rPr>
          <w:caps w:val="0"/>
        </w:rPr>
        <w:t>.</w:t>
      </w:r>
      <w:bookmarkEnd w:id="0"/>
    </w:p>
    <w:p w:rsidR="00EC6219" w:rsidRPr="00651644" w:rsidRDefault="00EC6219" w:rsidP="00651644">
      <w:bookmarkStart w:id="1" w:name="_Toc430015981"/>
    </w:p>
    <w:p w:rsidR="00B50DB8" w:rsidRPr="00407F2D" w:rsidRDefault="00B50DB8" w:rsidP="00941BF9">
      <w:pPr>
        <w:pStyle w:val="PBACHeading1"/>
        <w:widowControl w:val="0"/>
      </w:pPr>
      <w:r w:rsidRPr="00407F2D">
        <w:t>Purpose of Application</w:t>
      </w:r>
      <w:bookmarkEnd w:id="1"/>
    </w:p>
    <w:p w:rsidR="00B60939" w:rsidRPr="00882085" w:rsidRDefault="00B60939" w:rsidP="00941BF9">
      <w:pPr>
        <w:widowControl w:val="0"/>
        <w:rPr>
          <w:szCs w:val="22"/>
        </w:rPr>
      </w:pPr>
    </w:p>
    <w:p w:rsidR="004E43B2" w:rsidRPr="00FE50B8" w:rsidRDefault="00C25086" w:rsidP="004B1CB4">
      <w:pPr>
        <w:pStyle w:val="ListParagraph"/>
        <w:widowControl w:val="0"/>
        <w:numPr>
          <w:ilvl w:val="1"/>
          <w:numId w:val="3"/>
        </w:numPr>
        <w:rPr>
          <w:szCs w:val="22"/>
        </w:rPr>
      </w:pPr>
      <w:r>
        <w:t xml:space="preserve">The submission requested Section 100, Authority Required listing for darunavir/cobicistat </w:t>
      </w:r>
      <w:r w:rsidR="00E52E01">
        <w:t>fixed-dose combination (</w:t>
      </w:r>
      <w:r>
        <w:t>FDC</w:t>
      </w:r>
      <w:r w:rsidR="00E52E01">
        <w:t>)</w:t>
      </w:r>
      <w:r w:rsidR="001E238E" w:rsidRPr="004B3DDB">
        <w:t xml:space="preserve"> for treatment of</w:t>
      </w:r>
      <w:r w:rsidR="00E52E01">
        <w:t xml:space="preserve"> human immunodeficiency virus (</w:t>
      </w:r>
      <w:r>
        <w:t>HIV</w:t>
      </w:r>
      <w:r w:rsidR="00E52E01">
        <w:t>)</w:t>
      </w:r>
      <w:r>
        <w:t xml:space="preserve"> infection in combination</w:t>
      </w:r>
      <w:r w:rsidRPr="00C25086">
        <w:t xml:space="preserve"> </w:t>
      </w:r>
      <w:r>
        <w:t>with other antiretroviral agents in patients who ha</w:t>
      </w:r>
      <w:r w:rsidR="00E52E01">
        <w:t>ve</w:t>
      </w:r>
      <w:r w:rsidRPr="004409C0">
        <w:t xml:space="preserve"> experienced virological failure (viral load &gt; 400 copies/mL) or clinical failure or genotypic resistance after at least one antiretroviral regimen and have no darunavir resistance associated mutations</w:t>
      </w:r>
      <w:r>
        <w:t>.</w:t>
      </w:r>
    </w:p>
    <w:p w:rsidR="00987940" w:rsidRPr="00651644" w:rsidRDefault="00987940" w:rsidP="00651644"/>
    <w:p w:rsidR="00617E12" w:rsidRDefault="00B50DB8" w:rsidP="00617E12">
      <w:pPr>
        <w:pStyle w:val="PBACHeading1"/>
      </w:pPr>
      <w:bookmarkStart w:id="2" w:name="_Toc430015982"/>
      <w:r w:rsidRPr="00407F2D">
        <w:t>Requested listing</w:t>
      </w:r>
      <w:bookmarkEnd w:id="2"/>
    </w:p>
    <w:p w:rsidR="00F33EE1" w:rsidRPr="00651644" w:rsidRDefault="00F33EE1" w:rsidP="00651644"/>
    <w:p w:rsidR="00F33EE1" w:rsidRPr="00B50DB8" w:rsidRDefault="00F33EE1" w:rsidP="0044463D">
      <w:pPr>
        <w:pStyle w:val="ListParagraph"/>
        <w:numPr>
          <w:ilvl w:val="1"/>
          <w:numId w:val="3"/>
        </w:numPr>
        <w:rPr>
          <w:szCs w:val="22"/>
        </w:rPr>
      </w:pPr>
      <w:r>
        <w:rPr>
          <w:szCs w:val="22"/>
        </w:rPr>
        <w:t>The requested PBS listing for darunavir/cobicistat FDC was the same as PBS list</w:t>
      </w:r>
      <w:r w:rsidR="00E52E01">
        <w:rPr>
          <w:szCs w:val="22"/>
        </w:rPr>
        <w:t>ing for</w:t>
      </w:r>
      <w:r>
        <w:rPr>
          <w:szCs w:val="22"/>
        </w:rPr>
        <w:t xml:space="preserve"> darunavir 800 mg. </w:t>
      </w:r>
    </w:p>
    <w:p w:rsidR="00F33EE1" w:rsidRPr="00651644" w:rsidRDefault="00F33EE1" w:rsidP="00651644"/>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Requested PBS listing"/>
      </w:tblPr>
      <w:tblGrid>
        <w:gridCol w:w="2733"/>
        <w:gridCol w:w="602"/>
        <w:gridCol w:w="905"/>
        <w:gridCol w:w="1811"/>
        <w:gridCol w:w="935"/>
        <w:gridCol w:w="1359"/>
      </w:tblGrid>
      <w:tr w:rsidR="00C25086" w:rsidRPr="00A939CD" w:rsidTr="00C25086">
        <w:trPr>
          <w:cantSplit/>
          <w:trHeight w:val="471"/>
        </w:trPr>
        <w:tc>
          <w:tcPr>
            <w:tcW w:w="1638" w:type="pct"/>
          </w:tcPr>
          <w:p w:rsidR="00C25086" w:rsidRPr="00C87E5D" w:rsidRDefault="00C25086" w:rsidP="00D41704">
            <w:pPr>
              <w:keepNext/>
              <w:rPr>
                <w:rFonts w:ascii="Arial Narrow" w:hAnsi="Arial Narrow"/>
                <w:sz w:val="20"/>
              </w:rPr>
            </w:pPr>
            <w:r w:rsidRPr="00C87E5D">
              <w:rPr>
                <w:rFonts w:ascii="Arial Narrow" w:hAnsi="Arial Narrow"/>
                <w:sz w:val="20"/>
              </w:rPr>
              <w:t>Name, Restriction,</w:t>
            </w:r>
          </w:p>
          <w:p w:rsidR="00C25086" w:rsidRPr="00C87E5D" w:rsidRDefault="00C25086" w:rsidP="00D41704">
            <w:pPr>
              <w:keepNext/>
              <w:rPr>
                <w:rFonts w:ascii="Arial Narrow" w:hAnsi="Arial Narrow"/>
                <w:sz w:val="20"/>
              </w:rPr>
            </w:pPr>
            <w:r w:rsidRPr="00C87E5D">
              <w:rPr>
                <w:rFonts w:ascii="Arial Narrow" w:hAnsi="Arial Narrow"/>
                <w:sz w:val="20"/>
              </w:rPr>
              <w:t>Manner of administration and form</w:t>
            </w:r>
          </w:p>
        </w:tc>
        <w:tc>
          <w:tcPr>
            <w:tcW w:w="361" w:type="pct"/>
          </w:tcPr>
          <w:p w:rsidR="00C25086" w:rsidRPr="00C87E5D" w:rsidRDefault="00C25086" w:rsidP="00D41704">
            <w:pPr>
              <w:keepNext/>
              <w:jc w:val="center"/>
              <w:rPr>
                <w:rFonts w:ascii="Arial Narrow" w:hAnsi="Arial Narrow"/>
                <w:sz w:val="20"/>
              </w:rPr>
            </w:pPr>
            <w:r w:rsidRPr="00C87E5D">
              <w:rPr>
                <w:rFonts w:ascii="Arial Narrow" w:hAnsi="Arial Narrow"/>
                <w:sz w:val="20"/>
              </w:rPr>
              <w:t>Max.</w:t>
            </w:r>
          </w:p>
          <w:p w:rsidR="00C25086" w:rsidRPr="00C87E5D" w:rsidRDefault="00C25086" w:rsidP="00D41704">
            <w:pPr>
              <w:keepNext/>
              <w:jc w:val="center"/>
              <w:rPr>
                <w:rFonts w:ascii="Arial Narrow" w:hAnsi="Arial Narrow"/>
                <w:sz w:val="20"/>
              </w:rPr>
            </w:pPr>
            <w:r w:rsidRPr="00C87E5D">
              <w:rPr>
                <w:rFonts w:ascii="Arial Narrow" w:hAnsi="Arial Narrow"/>
                <w:sz w:val="20"/>
              </w:rPr>
              <w:t>Qty</w:t>
            </w:r>
          </w:p>
        </w:tc>
        <w:tc>
          <w:tcPr>
            <w:tcW w:w="542" w:type="pct"/>
          </w:tcPr>
          <w:p w:rsidR="00C25086" w:rsidRPr="00C87E5D" w:rsidRDefault="00C25086" w:rsidP="00D41704">
            <w:pPr>
              <w:keepNext/>
              <w:jc w:val="center"/>
              <w:rPr>
                <w:rFonts w:ascii="Arial Narrow" w:hAnsi="Arial Narrow"/>
                <w:sz w:val="20"/>
              </w:rPr>
            </w:pPr>
            <w:r w:rsidRPr="00C87E5D">
              <w:rPr>
                <w:rFonts w:ascii="Arial Narrow" w:hAnsi="Arial Narrow"/>
                <w:sz w:val="20"/>
              </w:rPr>
              <w:t>№.of</w:t>
            </w:r>
          </w:p>
          <w:p w:rsidR="00C25086" w:rsidRPr="00C87E5D" w:rsidRDefault="00C25086" w:rsidP="00D41704">
            <w:pPr>
              <w:keepNext/>
              <w:jc w:val="center"/>
              <w:rPr>
                <w:rFonts w:ascii="Arial Narrow" w:hAnsi="Arial Narrow"/>
                <w:sz w:val="20"/>
              </w:rPr>
            </w:pPr>
            <w:r w:rsidRPr="00C87E5D">
              <w:rPr>
                <w:rFonts w:ascii="Arial Narrow" w:hAnsi="Arial Narrow"/>
                <w:sz w:val="20"/>
              </w:rPr>
              <w:t>Rpts</w:t>
            </w:r>
          </w:p>
        </w:tc>
        <w:tc>
          <w:tcPr>
            <w:tcW w:w="1085" w:type="pct"/>
          </w:tcPr>
          <w:p w:rsidR="00C25086" w:rsidRPr="00C87E5D" w:rsidRDefault="00C25086" w:rsidP="00D41704">
            <w:pPr>
              <w:keepNext/>
              <w:jc w:val="center"/>
              <w:rPr>
                <w:rFonts w:ascii="Arial Narrow" w:hAnsi="Arial Narrow"/>
                <w:sz w:val="20"/>
              </w:rPr>
            </w:pPr>
            <w:r w:rsidRPr="00C87E5D">
              <w:rPr>
                <w:rFonts w:ascii="Arial Narrow" w:hAnsi="Arial Narrow"/>
                <w:sz w:val="20"/>
              </w:rPr>
              <w:t>Dispensed Price for Max. Qty</w:t>
            </w:r>
          </w:p>
        </w:tc>
        <w:tc>
          <w:tcPr>
            <w:tcW w:w="1373" w:type="pct"/>
            <w:gridSpan w:val="2"/>
          </w:tcPr>
          <w:p w:rsidR="00C25086" w:rsidRPr="00C87E5D" w:rsidRDefault="00C25086" w:rsidP="00D41704">
            <w:pPr>
              <w:keepNext/>
              <w:jc w:val="center"/>
              <w:rPr>
                <w:rFonts w:ascii="Arial Narrow" w:hAnsi="Arial Narrow"/>
                <w:sz w:val="20"/>
                <w:lang w:val="fr-FR"/>
              </w:rPr>
            </w:pPr>
            <w:r w:rsidRPr="00C87E5D">
              <w:rPr>
                <w:rFonts w:ascii="Arial Narrow" w:hAnsi="Arial Narrow"/>
                <w:sz w:val="20"/>
              </w:rPr>
              <w:t>Proprietary Name and Manufacturer</w:t>
            </w:r>
          </w:p>
        </w:tc>
      </w:tr>
      <w:tr w:rsidR="00C25086" w:rsidRPr="00A939CD" w:rsidTr="00C25086">
        <w:trPr>
          <w:cantSplit/>
          <w:trHeight w:val="577"/>
        </w:trPr>
        <w:tc>
          <w:tcPr>
            <w:tcW w:w="1638" w:type="pct"/>
          </w:tcPr>
          <w:p w:rsidR="00C25086" w:rsidRPr="00C87E5D" w:rsidRDefault="00C25086" w:rsidP="00D41704">
            <w:pPr>
              <w:keepNext/>
              <w:rPr>
                <w:rFonts w:ascii="Arial Narrow" w:hAnsi="Arial Narrow"/>
                <w:sz w:val="20"/>
              </w:rPr>
            </w:pPr>
            <w:r w:rsidRPr="00C87E5D">
              <w:rPr>
                <w:rFonts w:ascii="Arial Narrow" w:hAnsi="Arial Narrow"/>
                <w:smallCaps/>
                <w:sz w:val="20"/>
              </w:rPr>
              <w:t xml:space="preserve">Darunavir 800 mg/ cobicistat 150 mg </w:t>
            </w:r>
            <w:r>
              <w:rPr>
                <w:rFonts w:ascii="Arial Narrow" w:hAnsi="Arial Narrow"/>
                <w:smallCaps/>
                <w:sz w:val="20"/>
              </w:rPr>
              <w:t>fixed dose combination</w:t>
            </w:r>
            <w:r w:rsidRPr="00C87E5D">
              <w:rPr>
                <w:rFonts w:ascii="Arial Narrow" w:hAnsi="Arial Narrow"/>
                <w:smallCaps/>
                <w:sz w:val="20"/>
              </w:rPr>
              <w:t>, Oral tablet (30)</w:t>
            </w:r>
          </w:p>
        </w:tc>
        <w:tc>
          <w:tcPr>
            <w:tcW w:w="361" w:type="pct"/>
          </w:tcPr>
          <w:p w:rsidR="00C25086" w:rsidRPr="00C87E5D" w:rsidRDefault="00C25086" w:rsidP="00D7404E">
            <w:pPr>
              <w:keepNext/>
              <w:jc w:val="center"/>
              <w:rPr>
                <w:rFonts w:ascii="Arial Narrow" w:hAnsi="Arial Narrow"/>
                <w:sz w:val="20"/>
              </w:rPr>
            </w:pPr>
            <w:r w:rsidRPr="00C87E5D">
              <w:rPr>
                <w:rFonts w:ascii="Arial Narrow" w:hAnsi="Arial Narrow"/>
                <w:sz w:val="20"/>
              </w:rPr>
              <w:t>2</w:t>
            </w:r>
          </w:p>
        </w:tc>
        <w:tc>
          <w:tcPr>
            <w:tcW w:w="542" w:type="pct"/>
          </w:tcPr>
          <w:p w:rsidR="00C25086" w:rsidRPr="00C87E5D" w:rsidRDefault="00C25086" w:rsidP="00D7404E">
            <w:pPr>
              <w:keepNext/>
              <w:jc w:val="center"/>
              <w:rPr>
                <w:rFonts w:ascii="Arial Narrow" w:hAnsi="Arial Narrow"/>
                <w:sz w:val="20"/>
              </w:rPr>
            </w:pPr>
            <w:r w:rsidRPr="00C87E5D">
              <w:rPr>
                <w:rFonts w:ascii="Arial Narrow" w:hAnsi="Arial Narrow"/>
                <w:sz w:val="20"/>
              </w:rPr>
              <w:t>5</w:t>
            </w:r>
          </w:p>
        </w:tc>
        <w:tc>
          <w:tcPr>
            <w:tcW w:w="1085" w:type="pct"/>
          </w:tcPr>
          <w:p w:rsidR="00C25086" w:rsidRPr="00C87E5D" w:rsidRDefault="00C25086" w:rsidP="00D7404E">
            <w:pPr>
              <w:keepNext/>
              <w:jc w:val="center"/>
              <w:rPr>
                <w:rFonts w:ascii="Arial Narrow" w:hAnsi="Arial Narrow"/>
                <w:sz w:val="20"/>
              </w:rPr>
            </w:pPr>
            <w:r w:rsidRPr="00C87E5D">
              <w:rPr>
                <w:rFonts w:ascii="Arial Narrow" w:hAnsi="Arial Narrow"/>
                <w:sz w:val="20"/>
              </w:rPr>
              <w:t>$</w:t>
            </w:r>
            <w:r w:rsidR="00182F18">
              <w:rPr>
                <w:rFonts w:ascii="Arial Narrow" w:hAnsi="Arial Narrow"/>
                <w:noProof/>
                <w:color w:val="000000"/>
                <w:sz w:val="20"/>
                <w:highlight w:val="black"/>
              </w:rPr>
              <w:t>'''''''''''''''''''''</w:t>
            </w:r>
            <w:r w:rsidRPr="00C87E5D">
              <w:rPr>
                <w:rFonts w:ascii="Arial Narrow" w:hAnsi="Arial Narrow"/>
                <w:sz w:val="20"/>
              </w:rPr>
              <w:t xml:space="preserve"> (Public)</w:t>
            </w:r>
          </w:p>
          <w:p w:rsidR="00C25086" w:rsidRPr="00C87E5D" w:rsidRDefault="00D7404E" w:rsidP="00D7404E">
            <w:pPr>
              <w:keepNext/>
              <w:jc w:val="center"/>
              <w:rPr>
                <w:rFonts w:ascii="Arial Narrow" w:hAnsi="Arial Narrow"/>
                <w:sz w:val="20"/>
              </w:rPr>
            </w:pPr>
            <w:r>
              <w:rPr>
                <w:rFonts w:ascii="Arial Narrow" w:hAnsi="Arial Narrow"/>
                <w:sz w:val="20"/>
              </w:rPr>
              <w:t>$</w:t>
            </w:r>
            <w:r w:rsidR="00182F18">
              <w:rPr>
                <w:rFonts w:ascii="Arial Narrow" w:hAnsi="Arial Narrow"/>
                <w:noProof/>
                <w:color w:val="000000"/>
                <w:sz w:val="20"/>
                <w:highlight w:val="black"/>
              </w:rPr>
              <w:t>''''''''''''''''''''</w:t>
            </w:r>
            <w:r>
              <w:rPr>
                <w:rFonts w:ascii="Arial Narrow" w:hAnsi="Arial Narrow"/>
                <w:sz w:val="20"/>
              </w:rPr>
              <w:t xml:space="preserve"> (Private and Community P</w:t>
            </w:r>
            <w:r w:rsidR="00C25086" w:rsidRPr="00C87E5D">
              <w:rPr>
                <w:rFonts w:ascii="Arial Narrow" w:hAnsi="Arial Narrow"/>
                <w:sz w:val="20"/>
              </w:rPr>
              <w:t>harmacy)</w:t>
            </w:r>
          </w:p>
        </w:tc>
        <w:tc>
          <w:tcPr>
            <w:tcW w:w="560" w:type="pct"/>
          </w:tcPr>
          <w:p w:rsidR="00C25086" w:rsidRPr="00C87E5D" w:rsidRDefault="00C25086" w:rsidP="00D41704">
            <w:pPr>
              <w:keepNext/>
              <w:jc w:val="center"/>
              <w:rPr>
                <w:rFonts w:ascii="Arial Narrow" w:hAnsi="Arial Narrow"/>
                <w:sz w:val="20"/>
              </w:rPr>
            </w:pPr>
            <w:r w:rsidRPr="00C87E5D">
              <w:rPr>
                <w:rFonts w:ascii="Arial Narrow" w:hAnsi="Arial Narrow"/>
                <w:sz w:val="20"/>
              </w:rPr>
              <w:t>Prezcobix®</w:t>
            </w:r>
          </w:p>
        </w:tc>
        <w:tc>
          <w:tcPr>
            <w:tcW w:w="813" w:type="pct"/>
          </w:tcPr>
          <w:p w:rsidR="00C25086" w:rsidRPr="00C87E5D" w:rsidRDefault="00C25086" w:rsidP="00D41704">
            <w:pPr>
              <w:keepNext/>
              <w:jc w:val="center"/>
              <w:rPr>
                <w:rFonts w:ascii="Arial Narrow" w:hAnsi="Arial Narrow"/>
                <w:sz w:val="20"/>
              </w:rPr>
            </w:pPr>
            <w:r w:rsidRPr="00C87E5D">
              <w:rPr>
                <w:rFonts w:ascii="Arial Narrow" w:hAnsi="Arial Narrow"/>
                <w:sz w:val="20"/>
              </w:rPr>
              <w:t>Janssen-Cilag Pty Ltd</w:t>
            </w:r>
          </w:p>
        </w:tc>
      </w:tr>
      <w:tr w:rsidR="00C25086" w:rsidRPr="00A939CD" w:rsidTr="00C25086">
        <w:trPr>
          <w:cantSplit/>
          <w:trHeight w:val="360"/>
        </w:trPr>
        <w:tc>
          <w:tcPr>
            <w:tcW w:w="5000" w:type="pct"/>
            <w:gridSpan w:val="6"/>
          </w:tcPr>
          <w:p w:rsidR="00C25086" w:rsidRPr="002D4A43" w:rsidRDefault="00C25086" w:rsidP="00D41704">
            <w:pPr>
              <w:rPr>
                <w:rFonts w:ascii="Arial Narrow" w:hAnsi="Arial Narrow"/>
                <w:b/>
                <w:sz w:val="20"/>
                <w:u w:val="single"/>
              </w:rPr>
            </w:pPr>
            <w:r w:rsidRPr="00C87E5D">
              <w:rPr>
                <w:rFonts w:ascii="Arial Narrow" w:hAnsi="Arial Narrow"/>
                <w:b/>
                <w:sz w:val="20"/>
                <w:u w:val="single"/>
              </w:rPr>
              <w:t xml:space="preserve">Section 100 </w:t>
            </w:r>
            <w:r w:rsidRPr="002D4A43">
              <w:rPr>
                <w:rFonts w:ascii="Arial Narrow" w:hAnsi="Arial Narrow"/>
                <w:b/>
                <w:sz w:val="20"/>
                <w:u w:val="single"/>
              </w:rPr>
              <w:t>(Highly Specialised Drugs Program), Private Hospital Authority required, Public Hospital Authority required (STREAMLINED)</w:t>
            </w:r>
          </w:p>
          <w:p w:rsidR="00C25086" w:rsidRPr="00C87E5D" w:rsidRDefault="00C25086" w:rsidP="00D41704">
            <w:pPr>
              <w:rPr>
                <w:rFonts w:ascii="Arial Narrow" w:hAnsi="Arial Narrow"/>
                <w:sz w:val="20"/>
              </w:rPr>
            </w:pPr>
            <w:r w:rsidRPr="00C87E5D">
              <w:rPr>
                <w:rFonts w:ascii="Arial Narrow" w:hAnsi="Arial Narrow"/>
                <w:sz w:val="20"/>
              </w:rPr>
              <w:t xml:space="preserve">Human </w:t>
            </w:r>
            <w:r w:rsidR="00E52E01">
              <w:rPr>
                <w:rFonts w:ascii="Arial Narrow" w:hAnsi="Arial Narrow"/>
                <w:sz w:val="20"/>
              </w:rPr>
              <w:t>i</w:t>
            </w:r>
            <w:r w:rsidRPr="00C87E5D">
              <w:rPr>
                <w:rFonts w:ascii="Arial Narrow" w:hAnsi="Arial Narrow"/>
                <w:sz w:val="20"/>
              </w:rPr>
              <w:t xml:space="preserve">mmunodeficiency </w:t>
            </w:r>
            <w:r w:rsidR="00E52E01">
              <w:rPr>
                <w:rFonts w:ascii="Arial Narrow" w:hAnsi="Arial Narrow"/>
                <w:sz w:val="20"/>
              </w:rPr>
              <w:t>v</w:t>
            </w:r>
            <w:r w:rsidRPr="00C87E5D">
              <w:rPr>
                <w:rFonts w:ascii="Arial Narrow" w:hAnsi="Arial Narrow"/>
                <w:sz w:val="20"/>
              </w:rPr>
              <w:t>irus (HIV) infection</w:t>
            </w:r>
          </w:p>
          <w:p w:rsidR="00C25086" w:rsidRPr="00C87E5D" w:rsidRDefault="00C25086" w:rsidP="00D41704">
            <w:pPr>
              <w:rPr>
                <w:rFonts w:ascii="Arial Narrow" w:hAnsi="Arial Narrow"/>
                <w:sz w:val="20"/>
              </w:rPr>
            </w:pPr>
            <w:r w:rsidRPr="00C87E5D">
              <w:rPr>
                <w:rFonts w:ascii="Arial Narrow" w:hAnsi="Arial Narrow"/>
                <w:b/>
                <w:sz w:val="20"/>
              </w:rPr>
              <w:t>Clinical criteria:</w:t>
            </w:r>
            <w:r w:rsidRPr="00C87E5D">
              <w:rPr>
                <w:rFonts w:ascii="Arial Narrow" w:hAnsi="Arial Narrow"/>
                <w:sz w:val="20"/>
              </w:rPr>
              <w:t xml:space="preserve"> The treatment must be in addition to optimised background therapy</w:t>
            </w:r>
          </w:p>
          <w:p w:rsidR="00C25086" w:rsidRPr="00C87E5D" w:rsidRDefault="00C25086" w:rsidP="00D41704">
            <w:pPr>
              <w:rPr>
                <w:rFonts w:ascii="Arial Narrow" w:hAnsi="Arial Narrow"/>
                <w:sz w:val="20"/>
              </w:rPr>
            </w:pPr>
            <w:r w:rsidRPr="00C87E5D">
              <w:rPr>
                <w:rFonts w:ascii="Arial Narrow" w:hAnsi="Arial Narrow"/>
                <w:b/>
                <w:sz w:val="20"/>
              </w:rPr>
              <w:t xml:space="preserve">AND </w:t>
            </w:r>
            <w:r w:rsidRPr="00C87E5D">
              <w:rPr>
                <w:rFonts w:ascii="Arial Narrow" w:hAnsi="Arial Narrow"/>
                <w:sz w:val="20"/>
              </w:rPr>
              <w:t>The treatment must be in combination with other antiretroviral agents,</w:t>
            </w:r>
          </w:p>
          <w:p w:rsidR="00C25086" w:rsidRPr="00C87E5D" w:rsidRDefault="00C25086" w:rsidP="00D41704">
            <w:pPr>
              <w:rPr>
                <w:rFonts w:ascii="Arial Narrow" w:hAnsi="Arial Narrow"/>
                <w:sz w:val="20"/>
              </w:rPr>
            </w:pPr>
            <w:r w:rsidRPr="00C87E5D">
              <w:rPr>
                <w:rFonts w:ascii="Arial Narrow" w:hAnsi="Arial Narrow"/>
                <w:b/>
                <w:sz w:val="20"/>
              </w:rPr>
              <w:t xml:space="preserve">AND  </w:t>
            </w:r>
            <w:r w:rsidRPr="00C87E5D">
              <w:rPr>
                <w:rFonts w:ascii="Arial Narrow" w:hAnsi="Arial Narrow"/>
                <w:sz w:val="20"/>
              </w:rPr>
              <w:t>Patient must have experienced virological failure or clinical failure or genotypic resistance after at least one antiretroviral regimen</w:t>
            </w:r>
          </w:p>
          <w:p w:rsidR="00C25086" w:rsidRPr="00C87E5D" w:rsidRDefault="00C25086" w:rsidP="00D41704">
            <w:pPr>
              <w:rPr>
                <w:rFonts w:ascii="Arial Narrow" w:hAnsi="Arial Narrow"/>
                <w:sz w:val="20"/>
              </w:rPr>
            </w:pPr>
            <w:r w:rsidRPr="00C87E5D">
              <w:rPr>
                <w:rFonts w:ascii="Arial Narrow" w:hAnsi="Arial Narrow"/>
                <w:sz w:val="20"/>
              </w:rPr>
              <w:t>Virological failure is defined as a viral load greater than 400 copies per mL on two consecutive occasions, while clinical failure is linked to emerging signs and symptoms of progressing HIV infection or treatment-limiting toxicity.</w:t>
            </w:r>
          </w:p>
          <w:p w:rsidR="00C25086" w:rsidRPr="00C87E5D" w:rsidRDefault="00C25086" w:rsidP="00D41704">
            <w:pPr>
              <w:rPr>
                <w:rFonts w:ascii="Arial Narrow" w:hAnsi="Arial Narrow"/>
                <w:sz w:val="20"/>
              </w:rPr>
            </w:pPr>
            <w:r w:rsidRPr="00C87E5D">
              <w:rPr>
                <w:rFonts w:ascii="Arial Narrow" w:hAnsi="Arial Narrow"/>
                <w:b/>
                <w:sz w:val="20"/>
              </w:rPr>
              <w:t>Note:</w:t>
            </w:r>
            <w:r w:rsidRPr="00C87E5D">
              <w:rPr>
                <w:rFonts w:ascii="Arial Narrow" w:hAnsi="Arial Narrow"/>
                <w:sz w:val="20"/>
              </w:rPr>
              <w:t xml:space="preserve"> The cobicistat component of the darunavir + cobicistat combination product provides the necessary pharmacokinetic enhancement of darunavir to achieve therapeutic levels of darunavir. The darunavir + cobicistat combination product must not be administered with ritonavir.</w:t>
            </w:r>
          </w:p>
        </w:tc>
      </w:tr>
    </w:tbl>
    <w:p w:rsidR="00B60939" w:rsidRPr="00882085" w:rsidRDefault="00B60939" w:rsidP="004B1CB4"/>
    <w:p w:rsidR="00EB477E" w:rsidRDefault="002A6611" w:rsidP="004B1CB4">
      <w:pPr>
        <w:pStyle w:val="ListParagraph"/>
        <w:numPr>
          <w:ilvl w:val="1"/>
          <w:numId w:val="3"/>
        </w:numPr>
        <w:rPr>
          <w:szCs w:val="22"/>
        </w:rPr>
      </w:pPr>
      <w:r>
        <w:rPr>
          <w:szCs w:val="22"/>
        </w:rPr>
        <w:t xml:space="preserve">The </w:t>
      </w:r>
      <w:r w:rsidR="00F33EE1">
        <w:rPr>
          <w:szCs w:val="22"/>
        </w:rPr>
        <w:t xml:space="preserve">requested listing was based on a cost-minimisation analysis against the comparator, </w:t>
      </w:r>
      <w:r w:rsidR="00912070">
        <w:rPr>
          <w:szCs w:val="22"/>
        </w:rPr>
        <w:t>darunavir and</w:t>
      </w:r>
      <w:r w:rsidR="00F33EE1">
        <w:rPr>
          <w:szCs w:val="22"/>
        </w:rPr>
        <w:t xml:space="preserve"> ritonavir provided concomitantly.</w:t>
      </w:r>
    </w:p>
    <w:p w:rsidR="00987940" w:rsidRPr="00492B02" w:rsidRDefault="00492B02" w:rsidP="00492B02">
      <w:pPr>
        <w:jc w:val="left"/>
        <w:rPr>
          <w:szCs w:val="22"/>
        </w:rPr>
      </w:pPr>
      <w:r>
        <w:rPr>
          <w:szCs w:val="22"/>
        </w:rPr>
        <w:br w:type="page"/>
      </w:r>
    </w:p>
    <w:p w:rsidR="00B60939" w:rsidRDefault="00B50DB8" w:rsidP="00B60939">
      <w:pPr>
        <w:pStyle w:val="PBACHeading1"/>
      </w:pPr>
      <w:bookmarkStart w:id="3" w:name="_Toc430015983"/>
      <w:r w:rsidRPr="00407F2D">
        <w:lastRenderedPageBreak/>
        <w:t>Background</w:t>
      </w:r>
      <w:bookmarkEnd w:id="3"/>
    </w:p>
    <w:p w:rsidR="00492B02" w:rsidRPr="00651644" w:rsidRDefault="00492B02" w:rsidP="00651644"/>
    <w:p w:rsidR="00CE5710" w:rsidRDefault="00757049" w:rsidP="00CE5710">
      <w:pPr>
        <w:pStyle w:val="ListParagraph"/>
        <w:numPr>
          <w:ilvl w:val="1"/>
          <w:numId w:val="3"/>
        </w:numPr>
        <w:rPr>
          <w:szCs w:val="22"/>
        </w:rPr>
      </w:pPr>
      <w:r>
        <w:rPr>
          <w:szCs w:val="22"/>
        </w:rPr>
        <w:t xml:space="preserve">The submission was made under the TGA/PBAC Parallel Process.  The ESC noted that darunavir/cobicistat FDC received TGA approval and </w:t>
      </w:r>
      <w:r w:rsidR="00CE5710">
        <w:rPr>
          <w:szCs w:val="22"/>
        </w:rPr>
        <w:t>was registered on</w:t>
      </w:r>
      <w:r>
        <w:rPr>
          <w:szCs w:val="22"/>
        </w:rPr>
        <w:t xml:space="preserve"> the ARTG on</w:t>
      </w:r>
      <w:r w:rsidR="00CE5710">
        <w:rPr>
          <w:szCs w:val="22"/>
        </w:rPr>
        <w:t xml:space="preserve"> </w:t>
      </w:r>
      <w:r w:rsidR="00CE5710" w:rsidRPr="00017332">
        <w:rPr>
          <w:szCs w:val="22"/>
        </w:rPr>
        <w:t xml:space="preserve">24 September 2015. </w:t>
      </w:r>
    </w:p>
    <w:p w:rsidR="003F239B" w:rsidRPr="003F239B" w:rsidRDefault="003F239B" w:rsidP="003F239B">
      <w:pPr>
        <w:rPr>
          <w:szCs w:val="22"/>
        </w:rPr>
      </w:pPr>
    </w:p>
    <w:p w:rsidR="00D41704" w:rsidRPr="00D41704" w:rsidRDefault="002A6611" w:rsidP="0044463D">
      <w:pPr>
        <w:pStyle w:val="ListParagraph"/>
        <w:numPr>
          <w:ilvl w:val="1"/>
          <w:numId w:val="3"/>
        </w:numPr>
        <w:rPr>
          <w:szCs w:val="22"/>
        </w:rPr>
      </w:pPr>
      <w:r>
        <w:rPr>
          <w:szCs w:val="22"/>
        </w:rPr>
        <w:t>The  TGA</w:t>
      </w:r>
      <w:r w:rsidR="00840227">
        <w:rPr>
          <w:szCs w:val="22"/>
        </w:rPr>
        <w:t xml:space="preserve"> </w:t>
      </w:r>
      <w:r w:rsidR="00840227" w:rsidRPr="00017332">
        <w:rPr>
          <w:szCs w:val="22"/>
        </w:rPr>
        <w:t>approved</w:t>
      </w:r>
      <w:r w:rsidRPr="00017332">
        <w:rPr>
          <w:szCs w:val="22"/>
        </w:rPr>
        <w:t xml:space="preserve"> </w:t>
      </w:r>
      <w:r>
        <w:rPr>
          <w:szCs w:val="22"/>
        </w:rPr>
        <w:t>indications for the darunav</w:t>
      </w:r>
      <w:r w:rsidR="00D41704">
        <w:rPr>
          <w:szCs w:val="22"/>
        </w:rPr>
        <w:t xml:space="preserve">ir/cobicistat FDC in combination </w:t>
      </w:r>
      <w:r w:rsidR="00D41704">
        <w:t>with other antiretroviral agents</w:t>
      </w:r>
      <w:r w:rsidR="004240FC">
        <w:t xml:space="preserve"> is</w:t>
      </w:r>
      <w:r w:rsidR="00D41704">
        <w:t xml:space="preserve"> for the treatment of HIV-1 infection in:</w:t>
      </w:r>
    </w:p>
    <w:p w:rsidR="00D41704" w:rsidRDefault="00D41704" w:rsidP="00613BF9">
      <w:pPr>
        <w:pStyle w:val="ListParagraph"/>
        <w:numPr>
          <w:ilvl w:val="0"/>
          <w:numId w:val="23"/>
        </w:numPr>
        <w:ind w:left="1066" w:hanging="357"/>
      </w:pPr>
      <w:r>
        <w:t>antiretroviral treatment-naïve adult patients;</w:t>
      </w:r>
    </w:p>
    <w:p w:rsidR="00D41704" w:rsidRDefault="00D41704" w:rsidP="00613BF9">
      <w:pPr>
        <w:pStyle w:val="ListParagraph"/>
        <w:numPr>
          <w:ilvl w:val="0"/>
          <w:numId w:val="23"/>
        </w:numPr>
        <w:ind w:left="1066" w:hanging="357"/>
      </w:pPr>
      <w:r>
        <w:t>antiretroviral treatment-experienced adult patients with no darunavir resistance associated mutation and who have plasma HIV-1 ribonucleic acid (RNA) &lt;100,000 copies/mL; and</w:t>
      </w:r>
    </w:p>
    <w:p w:rsidR="00B60939" w:rsidRDefault="00D41704" w:rsidP="00613BF9">
      <w:pPr>
        <w:pStyle w:val="ListParagraph"/>
        <w:numPr>
          <w:ilvl w:val="0"/>
          <w:numId w:val="23"/>
        </w:numPr>
        <w:ind w:left="1066" w:hanging="357"/>
      </w:pPr>
      <w:r>
        <w:t>antiretroviral treatment-experienced but HIV-1 protease inhibitor-naïve adult patients for whom HIV-1 genotype testing is unavailable.</w:t>
      </w:r>
    </w:p>
    <w:p w:rsidR="00B60939" w:rsidRPr="00D41704" w:rsidRDefault="00B60939" w:rsidP="00D41704">
      <w:pPr>
        <w:rPr>
          <w:szCs w:val="22"/>
        </w:rPr>
      </w:pPr>
    </w:p>
    <w:p w:rsidR="00840FC0" w:rsidRPr="00306DF7" w:rsidRDefault="004240FC" w:rsidP="0044463D">
      <w:pPr>
        <w:pStyle w:val="ListParagraph"/>
        <w:numPr>
          <w:ilvl w:val="1"/>
          <w:numId w:val="3"/>
        </w:numPr>
        <w:rPr>
          <w:szCs w:val="22"/>
        </w:rPr>
      </w:pPr>
      <w:r w:rsidRPr="00306DF7">
        <w:rPr>
          <w:szCs w:val="22"/>
        </w:rPr>
        <w:t>T</w:t>
      </w:r>
      <w:r w:rsidR="00D41704" w:rsidRPr="00306DF7">
        <w:rPr>
          <w:szCs w:val="22"/>
        </w:rPr>
        <w:t>he</w:t>
      </w:r>
      <w:r w:rsidR="00F33EE1" w:rsidRPr="00306DF7">
        <w:rPr>
          <w:szCs w:val="22"/>
        </w:rPr>
        <w:t xml:space="preserve"> </w:t>
      </w:r>
      <w:r w:rsidR="00D41704" w:rsidRPr="00306DF7">
        <w:rPr>
          <w:szCs w:val="22"/>
        </w:rPr>
        <w:t>submission did not seek listing for the antiretroviral treatment-naïve patients.</w:t>
      </w:r>
      <w:r w:rsidR="00FA50E1" w:rsidRPr="00306DF7">
        <w:rPr>
          <w:szCs w:val="22"/>
        </w:rPr>
        <w:t xml:space="preserve"> </w:t>
      </w:r>
    </w:p>
    <w:p w:rsidR="00840FC0" w:rsidRPr="00840FC0" w:rsidRDefault="00840FC0" w:rsidP="00840FC0">
      <w:pPr>
        <w:pStyle w:val="ListParagraph"/>
        <w:rPr>
          <w:szCs w:val="22"/>
        </w:rPr>
      </w:pPr>
    </w:p>
    <w:p w:rsidR="002C2775" w:rsidRPr="00B50DB8" w:rsidRDefault="00840FC0" w:rsidP="0044463D">
      <w:pPr>
        <w:pStyle w:val="ListParagraph"/>
        <w:numPr>
          <w:ilvl w:val="1"/>
          <w:numId w:val="3"/>
        </w:numPr>
        <w:rPr>
          <w:szCs w:val="22"/>
        </w:rPr>
      </w:pPr>
      <w:r>
        <w:rPr>
          <w:szCs w:val="22"/>
        </w:rPr>
        <w:t>Th</w:t>
      </w:r>
      <w:r w:rsidR="00962E52">
        <w:rPr>
          <w:szCs w:val="22"/>
        </w:rPr>
        <w:t>is</w:t>
      </w:r>
      <w:r>
        <w:rPr>
          <w:szCs w:val="22"/>
        </w:rPr>
        <w:t xml:space="preserve"> item had not been</w:t>
      </w:r>
      <w:r w:rsidR="00F33EE1">
        <w:rPr>
          <w:szCs w:val="22"/>
        </w:rPr>
        <w:t xml:space="preserve"> </w:t>
      </w:r>
      <w:r>
        <w:rPr>
          <w:szCs w:val="22"/>
        </w:rPr>
        <w:t>considered by the PBAC previously.</w:t>
      </w:r>
    </w:p>
    <w:p w:rsidR="00E55BB5" w:rsidRDefault="00E55BB5" w:rsidP="004B1CB4"/>
    <w:p w:rsidR="00E16D23" w:rsidRPr="00134306" w:rsidRDefault="00651644" w:rsidP="00E16D23">
      <w:pPr>
        <w:pStyle w:val="Header"/>
        <w:rPr>
          <w:i/>
          <w:szCs w:val="22"/>
        </w:rPr>
      </w:pPr>
      <w:r>
        <w:rPr>
          <w:i/>
          <w:szCs w:val="22"/>
        </w:rPr>
        <w:tab/>
      </w:r>
      <w:r w:rsidR="00E16D23" w:rsidRPr="00134306">
        <w:rPr>
          <w:i/>
          <w:szCs w:val="22"/>
        </w:rPr>
        <w:t>For more detail on PBAC’s view, see section 7 “PBAC outcome”.</w:t>
      </w:r>
    </w:p>
    <w:p w:rsidR="00E16D23" w:rsidRPr="00882085" w:rsidRDefault="00E16D23" w:rsidP="004B1CB4"/>
    <w:p w:rsidR="00B50DB8" w:rsidRPr="00407F2D" w:rsidRDefault="00B50DB8" w:rsidP="00BD6CF3">
      <w:pPr>
        <w:pStyle w:val="PBACHeading1"/>
      </w:pPr>
      <w:bookmarkStart w:id="4" w:name="_Toc430015984"/>
      <w:r w:rsidRPr="00407F2D">
        <w:t>Clinical place for the proposed therapy</w:t>
      </w:r>
      <w:bookmarkEnd w:id="4"/>
    </w:p>
    <w:p w:rsidR="00B60939" w:rsidRPr="00882085" w:rsidRDefault="00B60939" w:rsidP="00B60939">
      <w:pPr>
        <w:rPr>
          <w:szCs w:val="22"/>
        </w:rPr>
      </w:pPr>
    </w:p>
    <w:p w:rsidR="00B60939" w:rsidRPr="00B50DB8" w:rsidRDefault="00682AE0" w:rsidP="0044463D">
      <w:pPr>
        <w:pStyle w:val="ListParagraph"/>
        <w:numPr>
          <w:ilvl w:val="1"/>
          <w:numId w:val="3"/>
        </w:numPr>
        <w:rPr>
          <w:szCs w:val="22"/>
        </w:rPr>
      </w:pPr>
      <w:r>
        <w:t xml:space="preserve">Darunavir/cobicistat FDC was </w:t>
      </w:r>
      <w:r w:rsidR="00E52E01">
        <w:t xml:space="preserve">proposed </w:t>
      </w:r>
      <w:r>
        <w:t>as a second-line t</w:t>
      </w:r>
      <w:r w:rsidR="00F33EE1">
        <w:t>reatment for patients with HIV</w:t>
      </w:r>
      <w:r>
        <w:t xml:space="preserve"> infection who ha</w:t>
      </w:r>
      <w:r w:rsidR="00E52E01">
        <w:t>ve</w:t>
      </w:r>
      <w:r w:rsidRPr="004409C0">
        <w:t xml:space="preserve"> experienced virological </w:t>
      </w:r>
      <w:r>
        <w:t>or clinical failure</w:t>
      </w:r>
      <w:r w:rsidR="00F33EE1">
        <w:t xml:space="preserve"> (treatment</w:t>
      </w:r>
      <w:r w:rsidR="001E416D">
        <w:t xml:space="preserve"> </w:t>
      </w:r>
      <w:r w:rsidR="00F33EE1">
        <w:t>experienced).</w:t>
      </w:r>
      <w:r w:rsidRPr="004409C0">
        <w:t xml:space="preserve"> </w:t>
      </w:r>
      <w:r w:rsidR="00847B6D">
        <w:t>Darunavir is a protease inhibitor</w:t>
      </w:r>
      <w:r w:rsidR="00EC6219">
        <w:t xml:space="preserve"> (PI)</w:t>
      </w:r>
      <w:r w:rsidR="00847B6D">
        <w:t>, while cobicistat is a pharmacokinetic enhancer of protease inhibitors, with no detectable antiretroviral activity.</w:t>
      </w:r>
    </w:p>
    <w:p w:rsidR="00894489" w:rsidRPr="002C2775" w:rsidRDefault="00894489" w:rsidP="00894489">
      <w:pPr>
        <w:rPr>
          <w:szCs w:val="22"/>
        </w:rPr>
      </w:pPr>
    </w:p>
    <w:p w:rsidR="00B60939" w:rsidRPr="00CD5F2D" w:rsidRDefault="00682AE0" w:rsidP="0044463D">
      <w:pPr>
        <w:pStyle w:val="ListParagraph"/>
        <w:numPr>
          <w:ilvl w:val="1"/>
          <w:numId w:val="3"/>
        </w:numPr>
        <w:rPr>
          <w:szCs w:val="22"/>
        </w:rPr>
      </w:pPr>
      <w:r w:rsidRPr="00017332">
        <w:rPr>
          <w:szCs w:val="22"/>
        </w:rPr>
        <w:t xml:space="preserve">The </w:t>
      </w:r>
      <w:r w:rsidR="00FA50E1" w:rsidRPr="00017332">
        <w:rPr>
          <w:szCs w:val="22"/>
        </w:rPr>
        <w:t xml:space="preserve">place in therapy for darunavir/cobicistat FDC was proposed to be the same as its main comparator, </w:t>
      </w:r>
      <w:r w:rsidR="008C6753">
        <w:rPr>
          <w:szCs w:val="22"/>
        </w:rPr>
        <w:t>darunavir and</w:t>
      </w:r>
      <w:r w:rsidR="00FA50E1" w:rsidRPr="00017332">
        <w:rPr>
          <w:szCs w:val="22"/>
        </w:rPr>
        <w:t xml:space="preserve"> ritonavir taken concomitantly. </w:t>
      </w:r>
      <w:r w:rsidR="003851B2" w:rsidRPr="00017332">
        <w:t xml:space="preserve">The ESC </w:t>
      </w:r>
      <w:r w:rsidR="00504CF5" w:rsidRPr="00017332">
        <w:t>noted an</w:t>
      </w:r>
      <w:r w:rsidR="008B612B">
        <w:t xml:space="preserve"> apparent inconsistency between </w:t>
      </w:r>
      <w:r w:rsidR="003851B2" w:rsidRPr="00017332">
        <w:t xml:space="preserve">the proposed clinical place in therapy for darunavir/cobicistat and the main comparator darunavir/ritonavir as therapy for treatment experienced patients only </w:t>
      </w:r>
      <w:r w:rsidR="008B612B">
        <w:t>and</w:t>
      </w:r>
      <w:r w:rsidR="003851B2" w:rsidRPr="00017332">
        <w:t xml:space="preserve"> the most recent US DHHS HIV treatment guideline</w:t>
      </w:r>
      <w:r w:rsidR="000007E7" w:rsidRPr="00017332">
        <w:t>s</w:t>
      </w:r>
      <w:r w:rsidR="003851B2" w:rsidRPr="00017332">
        <w:t xml:space="preserve"> which lists </w:t>
      </w:r>
      <w:r w:rsidR="005D0BA5" w:rsidRPr="00017332">
        <w:t>darunavir</w:t>
      </w:r>
      <w:r w:rsidR="003851B2" w:rsidRPr="00017332">
        <w:t>/r</w:t>
      </w:r>
      <w:r w:rsidR="005D0BA5" w:rsidRPr="00017332">
        <w:t>itonavir</w:t>
      </w:r>
      <w:r w:rsidR="003851B2" w:rsidRPr="00017332">
        <w:t xml:space="preserve"> (with TDF/FTC) as a recommended regimen and </w:t>
      </w:r>
      <w:r w:rsidR="005D0BA5" w:rsidRPr="00017332">
        <w:t>darunavir</w:t>
      </w:r>
      <w:r w:rsidR="003851B2" w:rsidRPr="00017332">
        <w:t>/c</w:t>
      </w:r>
      <w:r w:rsidR="005D0BA5" w:rsidRPr="00017332">
        <w:t>obicistat</w:t>
      </w:r>
      <w:r w:rsidR="003851B2" w:rsidRPr="00017332">
        <w:t xml:space="preserve"> (with TDF/FTC or AB</w:t>
      </w:r>
      <w:r w:rsidR="0035392C" w:rsidRPr="00017332">
        <w:t>C</w:t>
      </w:r>
      <w:r w:rsidR="003851B2" w:rsidRPr="00017332">
        <w:t>/3TC) as an alternative option in first line therapy for treatment naïve patients.</w:t>
      </w:r>
    </w:p>
    <w:p w:rsidR="00E55BB5" w:rsidRDefault="00E55BB5" w:rsidP="00B60939">
      <w:pPr>
        <w:pStyle w:val="Header"/>
        <w:rPr>
          <w:szCs w:val="22"/>
        </w:rPr>
      </w:pPr>
    </w:p>
    <w:p w:rsidR="00134306" w:rsidRPr="00134306" w:rsidRDefault="00651644" w:rsidP="00B60939">
      <w:pPr>
        <w:pStyle w:val="Header"/>
        <w:rPr>
          <w:i/>
          <w:szCs w:val="22"/>
        </w:rPr>
      </w:pPr>
      <w:r>
        <w:rPr>
          <w:i/>
          <w:szCs w:val="22"/>
        </w:rPr>
        <w:tab/>
      </w:r>
      <w:r w:rsidR="00134306" w:rsidRPr="00134306">
        <w:rPr>
          <w:i/>
          <w:szCs w:val="22"/>
        </w:rPr>
        <w:t>For more detail on PBAC’s view, see section 7 “PBAC outcome”.</w:t>
      </w:r>
    </w:p>
    <w:p w:rsidR="00134306" w:rsidRPr="00882085" w:rsidRDefault="00134306" w:rsidP="00B60939">
      <w:pPr>
        <w:pStyle w:val="Header"/>
        <w:rPr>
          <w:szCs w:val="22"/>
        </w:rPr>
      </w:pPr>
    </w:p>
    <w:p w:rsidR="00B60939" w:rsidRDefault="00B50DB8" w:rsidP="00FE50B8">
      <w:pPr>
        <w:pStyle w:val="PBACHeading1"/>
        <w:rPr>
          <w:b w:val="0"/>
        </w:rPr>
      </w:pPr>
      <w:bookmarkStart w:id="5" w:name="_Toc430015985"/>
      <w:r w:rsidRPr="00407F2D">
        <w:t>Comparator</w:t>
      </w:r>
      <w:bookmarkEnd w:id="5"/>
    </w:p>
    <w:p w:rsidR="00E52E01" w:rsidRPr="00DF793C" w:rsidRDefault="00E52E01" w:rsidP="00805CFC">
      <w:pPr>
        <w:pStyle w:val="Header"/>
        <w:tabs>
          <w:tab w:val="clear" w:pos="4513"/>
          <w:tab w:val="clear" w:pos="9026"/>
        </w:tabs>
        <w:ind w:left="720"/>
        <w:rPr>
          <w:b/>
          <w:szCs w:val="22"/>
        </w:rPr>
      </w:pPr>
    </w:p>
    <w:p w:rsidR="008C4513" w:rsidRPr="008C4513" w:rsidRDefault="008C4513" w:rsidP="0044463D">
      <w:pPr>
        <w:pStyle w:val="ListParagraph"/>
        <w:numPr>
          <w:ilvl w:val="1"/>
          <w:numId w:val="3"/>
        </w:numPr>
        <w:rPr>
          <w:szCs w:val="22"/>
        </w:rPr>
      </w:pPr>
      <w:r>
        <w:t>The submission nominated two main comparators:</w:t>
      </w:r>
    </w:p>
    <w:p w:rsidR="002C2775" w:rsidRPr="00613BF9" w:rsidRDefault="00912070" w:rsidP="00613BF9">
      <w:pPr>
        <w:pStyle w:val="ListParagraph"/>
        <w:numPr>
          <w:ilvl w:val="0"/>
          <w:numId w:val="45"/>
        </w:numPr>
        <w:ind w:left="1066" w:hanging="357"/>
        <w:rPr>
          <w:szCs w:val="22"/>
        </w:rPr>
      </w:pPr>
      <w:r>
        <w:t>Darunavir and</w:t>
      </w:r>
      <w:r w:rsidR="002036B8">
        <w:t xml:space="preserve"> ritonavir</w:t>
      </w:r>
      <w:r w:rsidR="00FA50E1">
        <w:t xml:space="preserve"> taken concomitantly</w:t>
      </w:r>
      <w:r w:rsidR="002036B8">
        <w:t xml:space="preserve">. </w:t>
      </w:r>
      <w:r w:rsidR="002036B8" w:rsidRPr="003851B2">
        <w:t>This was</w:t>
      </w:r>
      <w:r w:rsidR="00F067A2" w:rsidRPr="003851B2">
        <w:t xml:space="preserve"> appropriate.</w:t>
      </w:r>
      <w:r w:rsidR="002036B8">
        <w:rPr>
          <w:i/>
        </w:rPr>
        <w:t xml:space="preserve"> </w:t>
      </w:r>
    </w:p>
    <w:p w:rsidR="008C4513" w:rsidRPr="003851B2" w:rsidRDefault="00912070" w:rsidP="00613BF9">
      <w:pPr>
        <w:pStyle w:val="ListParagraph"/>
        <w:numPr>
          <w:ilvl w:val="0"/>
          <w:numId w:val="45"/>
        </w:numPr>
        <w:ind w:left="1066" w:hanging="357"/>
        <w:rPr>
          <w:szCs w:val="22"/>
        </w:rPr>
      </w:pPr>
      <w:r>
        <w:t>Darunavir and</w:t>
      </w:r>
      <w:r w:rsidR="008C4513">
        <w:t xml:space="preserve"> cobicistat taken concomitantly. </w:t>
      </w:r>
      <w:r w:rsidR="008C4513" w:rsidRPr="003851B2">
        <w:t>Cobicistat is not listed on the PBS.</w:t>
      </w:r>
    </w:p>
    <w:p w:rsidR="00134306" w:rsidRPr="00134306" w:rsidRDefault="00651644" w:rsidP="00134306">
      <w:pPr>
        <w:pStyle w:val="Header"/>
        <w:rPr>
          <w:i/>
          <w:szCs w:val="22"/>
        </w:rPr>
      </w:pPr>
      <w:r>
        <w:rPr>
          <w:i/>
          <w:szCs w:val="22"/>
        </w:rPr>
        <w:tab/>
      </w:r>
      <w:r w:rsidR="00134306" w:rsidRPr="00134306">
        <w:rPr>
          <w:i/>
          <w:szCs w:val="22"/>
        </w:rPr>
        <w:t>For more detail on PBAC’s view, see section 7 “PBAC outcome”.</w:t>
      </w:r>
    </w:p>
    <w:p w:rsidR="00FE50B8" w:rsidRPr="00DF5D2B" w:rsidRDefault="00492B02" w:rsidP="00492B02">
      <w:pPr>
        <w:ind w:left="709"/>
        <w:rPr>
          <w:szCs w:val="22"/>
        </w:rPr>
      </w:pPr>
      <w:r>
        <w:rPr>
          <w:szCs w:val="22"/>
        </w:rPr>
        <w:br w:type="page"/>
      </w:r>
    </w:p>
    <w:p w:rsidR="00B60939" w:rsidRDefault="00987940" w:rsidP="00492B02">
      <w:pPr>
        <w:pStyle w:val="PBACHeading1"/>
      </w:pPr>
      <w:bookmarkStart w:id="6" w:name="_Toc430015986"/>
      <w:r>
        <w:lastRenderedPageBreak/>
        <w:t>C</w:t>
      </w:r>
      <w:r w:rsidR="00B50DB8" w:rsidRPr="00407F2D">
        <w:t>onsideration of the evidence</w:t>
      </w:r>
      <w:bookmarkEnd w:id="6"/>
    </w:p>
    <w:p w:rsidR="00492B02" w:rsidRPr="00651644" w:rsidRDefault="00492B02" w:rsidP="00651644"/>
    <w:p w:rsidR="00B03A5E" w:rsidRDefault="00B03A5E" w:rsidP="004B1CB4">
      <w:pPr>
        <w:rPr>
          <w:b/>
          <w:i/>
        </w:rPr>
      </w:pPr>
      <w:r w:rsidRPr="00B03A5E">
        <w:rPr>
          <w:b/>
          <w:i/>
        </w:rPr>
        <w:t>Sponsor hearing</w:t>
      </w:r>
    </w:p>
    <w:p w:rsidR="00987940" w:rsidRPr="00987940" w:rsidRDefault="00987940" w:rsidP="004B1CB4">
      <w:pPr>
        <w:rPr>
          <w:b/>
          <w:i/>
        </w:rPr>
      </w:pPr>
    </w:p>
    <w:p w:rsidR="00B03A5E" w:rsidRDefault="00B03A5E" w:rsidP="00B03A5E">
      <w:pPr>
        <w:pStyle w:val="ListParagraph"/>
        <w:numPr>
          <w:ilvl w:val="1"/>
          <w:numId w:val="3"/>
        </w:numPr>
      </w:pPr>
      <w:r>
        <w:t>There was no hearing for this item.</w:t>
      </w:r>
    </w:p>
    <w:p w:rsidR="00B03A5E" w:rsidRDefault="00B03A5E" w:rsidP="004B1CB4"/>
    <w:p w:rsidR="00B03A5E" w:rsidRPr="00B03A5E" w:rsidRDefault="00B03A5E" w:rsidP="004B1CB4">
      <w:pPr>
        <w:rPr>
          <w:b/>
          <w:i/>
        </w:rPr>
      </w:pPr>
      <w:r w:rsidRPr="00B03A5E">
        <w:rPr>
          <w:b/>
          <w:i/>
        </w:rPr>
        <w:t>Consumer comments</w:t>
      </w:r>
    </w:p>
    <w:p w:rsidR="00B03A5E" w:rsidRDefault="00B03A5E" w:rsidP="004B1CB4"/>
    <w:p w:rsidR="00B03A5E" w:rsidRDefault="00B03A5E" w:rsidP="00B03A5E">
      <w:pPr>
        <w:pStyle w:val="ListParagraph"/>
        <w:numPr>
          <w:ilvl w:val="1"/>
          <w:numId w:val="3"/>
        </w:numPr>
      </w:pPr>
      <w:r>
        <w:t xml:space="preserve">The PBAC noted and welcomed the input from </w:t>
      </w:r>
      <w:r w:rsidR="00B1209C">
        <w:t>organisations</w:t>
      </w:r>
      <w:r>
        <w:t xml:space="preserve"> (2) via the Consumer Comments facility on the PBS website.  The comments described benefits of treatment with darunavir/cobicistat</w:t>
      </w:r>
      <w:r w:rsidR="00B1209C">
        <w:t xml:space="preserve"> including improvement in adherence, some savings on co-payment and possibility of fewer side-effects compared to ritonavir boosted darunavi</w:t>
      </w:r>
      <w:r w:rsidR="006B74F2">
        <w:t>r.</w:t>
      </w:r>
    </w:p>
    <w:p w:rsidR="00B03A5E" w:rsidRDefault="00B03A5E" w:rsidP="004B1CB4"/>
    <w:p w:rsidR="00B60939" w:rsidRPr="002C2775" w:rsidRDefault="00B60939" w:rsidP="002C2775">
      <w:pPr>
        <w:pStyle w:val="Heading2"/>
        <w:rPr>
          <w:i/>
        </w:rPr>
      </w:pPr>
      <w:bookmarkStart w:id="7" w:name="_Toc430015987"/>
      <w:r w:rsidRPr="002C2775">
        <w:rPr>
          <w:i/>
        </w:rPr>
        <w:t>Clinical trials</w:t>
      </w:r>
      <w:bookmarkEnd w:id="7"/>
    </w:p>
    <w:p w:rsidR="00B60939" w:rsidRPr="00882085" w:rsidRDefault="00B60939" w:rsidP="00B60939">
      <w:pPr>
        <w:rPr>
          <w:szCs w:val="22"/>
        </w:rPr>
      </w:pPr>
    </w:p>
    <w:p w:rsidR="00FB55D2" w:rsidRDefault="00843E03" w:rsidP="0044463D">
      <w:pPr>
        <w:pStyle w:val="ListParagraph"/>
        <w:numPr>
          <w:ilvl w:val="1"/>
          <w:numId w:val="3"/>
        </w:numPr>
        <w:tabs>
          <w:tab w:val="left" w:pos="7371"/>
        </w:tabs>
        <w:rPr>
          <w:szCs w:val="22"/>
        </w:rPr>
      </w:pPr>
      <w:r w:rsidRPr="00843E03">
        <w:rPr>
          <w:szCs w:val="22"/>
        </w:rPr>
        <w:t xml:space="preserve">The submission </w:t>
      </w:r>
      <w:r w:rsidR="00FB55D2">
        <w:rPr>
          <w:szCs w:val="22"/>
        </w:rPr>
        <w:t>presented evidence</w:t>
      </w:r>
      <w:r w:rsidRPr="00843E03">
        <w:rPr>
          <w:szCs w:val="22"/>
        </w:rPr>
        <w:t xml:space="preserve"> </w:t>
      </w:r>
      <w:r w:rsidR="00FB55D2">
        <w:rPr>
          <w:szCs w:val="22"/>
        </w:rPr>
        <w:t>from</w:t>
      </w:r>
      <w:r w:rsidRPr="00843E03">
        <w:rPr>
          <w:szCs w:val="22"/>
        </w:rPr>
        <w:t xml:space="preserve"> two </w:t>
      </w:r>
      <w:r w:rsidR="00E52E01">
        <w:rPr>
          <w:szCs w:val="22"/>
        </w:rPr>
        <w:t>pharmacokinetic</w:t>
      </w:r>
      <w:r w:rsidRPr="00843E03">
        <w:rPr>
          <w:szCs w:val="22"/>
        </w:rPr>
        <w:t xml:space="preserve"> </w:t>
      </w:r>
      <w:r w:rsidR="00E52E01">
        <w:rPr>
          <w:szCs w:val="22"/>
        </w:rPr>
        <w:t>studies</w:t>
      </w:r>
      <w:r w:rsidR="00E52E01" w:rsidRPr="00843E03">
        <w:rPr>
          <w:szCs w:val="22"/>
        </w:rPr>
        <w:t xml:space="preserve"> </w:t>
      </w:r>
      <w:r w:rsidR="002018B9">
        <w:rPr>
          <w:szCs w:val="22"/>
        </w:rPr>
        <w:t>in healthy volunteers</w:t>
      </w:r>
      <w:r w:rsidR="003D62A8">
        <w:rPr>
          <w:szCs w:val="22"/>
        </w:rPr>
        <w:t>,</w:t>
      </w:r>
      <w:r w:rsidR="002018B9">
        <w:rPr>
          <w:szCs w:val="22"/>
        </w:rPr>
        <w:t xml:space="preserve"> </w:t>
      </w:r>
      <w:r w:rsidR="00FB55D2">
        <w:rPr>
          <w:szCs w:val="22"/>
        </w:rPr>
        <w:t>where</w:t>
      </w:r>
      <w:r w:rsidR="00135B99">
        <w:rPr>
          <w:szCs w:val="22"/>
        </w:rPr>
        <w:t xml:space="preserve"> darunavir/cobicistat FDC </w:t>
      </w:r>
      <w:r w:rsidR="00FB55D2">
        <w:rPr>
          <w:szCs w:val="22"/>
        </w:rPr>
        <w:t>was compared to</w:t>
      </w:r>
      <w:r w:rsidRPr="00843E03">
        <w:rPr>
          <w:szCs w:val="22"/>
        </w:rPr>
        <w:t xml:space="preserve"> </w:t>
      </w:r>
      <w:r w:rsidR="00912070">
        <w:rPr>
          <w:szCs w:val="22"/>
        </w:rPr>
        <w:t>darunavir and</w:t>
      </w:r>
      <w:r w:rsidRPr="00843E03">
        <w:rPr>
          <w:szCs w:val="22"/>
        </w:rPr>
        <w:t xml:space="preserve"> ritonavir (Study 1001)</w:t>
      </w:r>
      <w:r w:rsidR="003D62A8">
        <w:rPr>
          <w:szCs w:val="22"/>
        </w:rPr>
        <w:t>,</w:t>
      </w:r>
      <w:r w:rsidR="00135B99">
        <w:rPr>
          <w:szCs w:val="22"/>
        </w:rPr>
        <w:t xml:space="preserve"> and </w:t>
      </w:r>
      <w:r w:rsidR="00FB55D2">
        <w:rPr>
          <w:szCs w:val="22"/>
        </w:rPr>
        <w:t>to its components</w:t>
      </w:r>
      <w:r w:rsidR="00E52E01">
        <w:rPr>
          <w:szCs w:val="22"/>
        </w:rPr>
        <w:t xml:space="preserve"> taken concomitantly</w:t>
      </w:r>
      <w:r w:rsidR="00FB55D2">
        <w:rPr>
          <w:szCs w:val="22"/>
        </w:rPr>
        <w:t xml:space="preserve"> (Study 1003).</w:t>
      </w:r>
    </w:p>
    <w:p w:rsidR="00FB55D2" w:rsidRDefault="00FB55D2" w:rsidP="00FB55D2">
      <w:pPr>
        <w:pStyle w:val="ListParagraph"/>
        <w:tabs>
          <w:tab w:val="left" w:pos="7371"/>
        </w:tabs>
        <w:rPr>
          <w:szCs w:val="22"/>
        </w:rPr>
      </w:pPr>
    </w:p>
    <w:p w:rsidR="00862502" w:rsidRDefault="00843E03" w:rsidP="00FC53CE">
      <w:pPr>
        <w:pStyle w:val="ListParagraph"/>
        <w:numPr>
          <w:ilvl w:val="1"/>
          <w:numId w:val="3"/>
        </w:numPr>
        <w:tabs>
          <w:tab w:val="left" w:pos="7371"/>
        </w:tabs>
        <w:rPr>
          <w:szCs w:val="22"/>
        </w:rPr>
      </w:pPr>
      <w:r w:rsidRPr="00843E03">
        <w:rPr>
          <w:szCs w:val="22"/>
        </w:rPr>
        <w:t>The submission also presented</w:t>
      </w:r>
      <w:r w:rsidR="00FB55D2">
        <w:rPr>
          <w:szCs w:val="22"/>
        </w:rPr>
        <w:t xml:space="preserve"> a naïve indirect comparison of</w:t>
      </w:r>
      <w:r w:rsidRPr="00843E03">
        <w:rPr>
          <w:szCs w:val="22"/>
        </w:rPr>
        <w:t xml:space="preserve"> </w:t>
      </w:r>
      <w:r w:rsidR="001E03B9">
        <w:rPr>
          <w:szCs w:val="22"/>
        </w:rPr>
        <w:t>one</w:t>
      </w:r>
      <w:r w:rsidRPr="00843E03">
        <w:rPr>
          <w:szCs w:val="22"/>
        </w:rPr>
        <w:t xml:space="preserve"> </w:t>
      </w:r>
      <w:r w:rsidR="00135B99">
        <w:rPr>
          <w:szCs w:val="22"/>
        </w:rPr>
        <w:t>non</w:t>
      </w:r>
      <w:r w:rsidR="00E52E01">
        <w:rPr>
          <w:szCs w:val="22"/>
        </w:rPr>
        <w:t>-</w:t>
      </w:r>
      <w:r w:rsidR="00135B99">
        <w:rPr>
          <w:szCs w:val="22"/>
        </w:rPr>
        <w:t>randomised study with</w:t>
      </w:r>
      <w:r w:rsidR="00CC34DC">
        <w:rPr>
          <w:szCs w:val="22"/>
        </w:rPr>
        <w:t xml:space="preserve"> </w:t>
      </w:r>
      <w:r w:rsidR="008C6753">
        <w:rPr>
          <w:szCs w:val="22"/>
        </w:rPr>
        <w:t>darunavir and</w:t>
      </w:r>
      <w:r w:rsidR="00FB55D2">
        <w:rPr>
          <w:szCs w:val="22"/>
        </w:rPr>
        <w:t xml:space="preserve"> cobicistat (Study </w:t>
      </w:r>
      <w:r w:rsidR="00D62BFC">
        <w:rPr>
          <w:szCs w:val="22"/>
        </w:rPr>
        <w:t>0130</w:t>
      </w:r>
      <w:r w:rsidR="00FB55D2">
        <w:rPr>
          <w:szCs w:val="22"/>
        </w:rPr>
        <w:t xml:space="preserve">), to </w:t>
      </w:r>
      <w:r w:rsidR="00CC34DC">
        <w:rPr>
          <w:szCs w:val="22"/>
        </w:rPr>
        <w:t xml:space="preserve">single arms of four randomised trials with </w:t>
      </w:r>
      <w:r w:rsidR="008C6753">
        <w:rPr>
          <w:szCs w:val="22"/>
        </w:rPr>
        <w:t>darunavir and</w:t>
      </w:r>
      <w:r w:rsidR="00CC34DC">
        <w:rPr>
          <w:szCs w:val="22"/>
        </w:rPr>
        <w:t xml:space="preserve"> ritonavir </w:t>
      </w:r>
      <w:r w:rsidRPr="00843E03">
        <w:rPr>
          <w:szCs w:val="22"/>
        </w:rPr>
        <w:t>(ART</w:t>
      </w:r>
      <w:r w:rsidR="00CC34DC">
        <w:rPr>
          <w:szCs w:val="22"/>
        </w:rPr>
        <w:t>EMIS; ODIN; FLAMINGO and 2LADY</w:t>
      </w:r>
      <w:r w:rsidR="003D62A8">
        <w:rPr>
          <w:szCs w:val="22"/>
        </w:rPr>
        <w:t>).</w:t>
      </w:r>
    </w:p>
    <w:p w:rsidR="003D62A8" w:rsidRDefault="003D62A8" w:rsidP="00FB55D2">
      <w:pPr>
        <w:pStyle w:val="ListParagraph"/>
        <w:tabs>
          <w:tab w:val="left" w:pos="7371"/>
        </w:tabs>
        <w:rPr>
          <w:szCs w:val="22"/>
        </w:rPr>
      </w:pPr>
    </w:p>
    <w:p w:rsidR="003D62A8" w:rsidRPr="00410C97" w:rsidRDefault="00FB55D2" w:rsidP="00410C97">
      <w:pPr>
        <w:pStyle w:val="ListParagraph"/>
        <w:numPr>
          <w:ilvl w:val="1"/>
          <w:numId w:val="3"/>
        </w:numPr>
        <w:tabs>
          <w:tab w:val="left" w:pos="7371"/>
        </w:tabs>
        <w:rPr>
          <w:szCs w:val="22"/>
        </w:rPr>
      </w:pPr>
      <w:r w:rsidRPr="00306DF7">
        <w:rPr>
          <w:szCs w:val="22"/>
        </w:rPr>
        <w:t xml:space="preserve">The submission used the pharmacokinetics evidence for darunavir/cobicistat FDC as a link to the clinical evidence provided on efficacy and safety on </w:t>
      </w:r>
      <w:r w:rsidR="00912070">
        <w:rPr>
          <w:szCs w:val="22"/>
        </w:rPr>
        <w:t>darunavir and</w:t>
      </w:r>
      <w:r w:rsidRPr="00306DF7">
        <w:rPr>
          <w:szCs w:val="22"/>
        </w:rPr>
        <w:t xml:space="preserve"> cobicistat versus </w:t>
      </w:r>
      <w:r w:rsidR="00912070">
        <w:rPr>
          <w:szCs w:val="22"/>
        </w:rPr>
        <w:t>darunavir and</w:t>
      </w:r>
      <w:r w:rsidRPr="00306DF7">
        <w:rPr>
          <w:szCs w:val="22"/>
        </w:rPr>
        <w:t xml:space="preserve"> ritonavir, the main comparator. </w:t>
      </w:r>
      <w:r w:rsidR="003D62A8" w:rsidRPr="00410C97">
        <w:rPr>
          <w:szCs w:val="22"/>
        </w:rPr>
        <w:t>Table 1 summarises the evidence provided in the submission.</w:t>
      </w:r>
    </w:p>
    <w:p w:rsidR="00410C97" w:rsidRDefault="00410C97" w:rsidP="00CC34DC">
      <w:pPr>
        <w:ind w:firstLine="720"/>
        <w:rPr>
          <w:rStyle w:val="CommentReference"/>
        </w:rPr>
      </w:pPr>
    </w:p>
    <w:p w:rsidR="00CC34DC" w:rsidRDefault="00FD3CBA" w:rsidP="00CC34DC">
      <w:pPr>
        <w:ind w:firstLine="720"/>
        <w:rPr>
          <w:rFonts w:ascii="Arial Narrow" w:hAnsi="Arial Narrow" w:cs="Times New Roman"/>
          <w:b/>
          <w:snapToGrid/>
          <w:sz w:val="20"/>
        </w:rPr>
      </w:pPr>
      <w:r w:rsidRPr="00135B99">
        <w:rPr>
          <w:rStyle w:val="CommentReference"/>
        </w:rPr>
        <w:t>Table 1</w:t>
      </w:r>
      <w:r w:rsidR="00CC34DC" w:rsidRPr="00135B99">
        <w:rPr>
          <w:rStyle w:val="CommentReference"/>
        </w:rPr>
        <w:t>:</w:t>
      </w:r>
      <w:r w:rsidR="00CC34DC" w:rsidRPr="009300BA">
        <w:rPr>
          <w:rStyle w:val="CommentReference"/>
        </w:rPr>
        <w:t xml:space="preserve"> Evidence provided in the submission</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Evidence presented in the submission"/>
      </w:tblPr>
      <w:tblGrid>
        <w:gridCol w:w="992"/>
        <w:gridCol w:w="1134"/>
        <w:gridCol w:w="993"/>
        <w:gridCol w:w="1701"/>
        <w:gridCol w:w="2117"/>
        <w:gridCol w:w="1426"/>
      </w:tblGrid>
      <w:tr w:rsidR="006520C3" w:rsidRPr="006520C3" w:rsidTr="00872B7E">
        <w:trPr>
          <w:trHeight w:val="20"/>
          <w:tblHeader/>
        </w:trPr>
        <w:tc>
          <w:tcPr>
            <w:tcW w:w="992" w:type="dxa"/>
            <w:shd w:val="clear" w:color="auto" w:fill="auto"/>
            <w:vAlign w:val="center"/>
            <w:hideMark/>
          </w:tcPr>
          <w:p w:rsidR="006520C3" w:rsidRPr="006520C3" w:rsidRDefault="006520C3" w:rsidP="006520C3">
            <w:pPr>
              <w:jc w:val="left"/>
              <w:rPr>
                <w:rFonts w:ascii="Arial Narrow" w:hAnsi="Arial Narrow" w:cs="Times New Roman"/>
                <w:b/>
                <w:bCs/>
                <w:snapToGrid/>
                <w:color w:val="000000"/>
                <w:sz w:val="20"/>
                <w:lang w:val="en-GB" w:eastAsia="en-GB"/>
              </w:rPr>
            </w:pPr>
            <w:r w:rsidRPr="006520C3">
              <w:rPr>
                <w:rFonts w:ascii="Arial Narrow" w:hAnsi="Arial Narrow" w:cs="Times New Roman"/>
                <w:b/>
                <w:bCs/>
                <w:snapToGrid/>
                <w:color w:val="000000"/>
                <w:sz w:val="20"/>
                <w:lang w:eastAsia="en-GB"/>
              </w:rPr>
              <w:t>Studies</w:t>
            </w:r>
          </w:p>
        </w:tc>
        <w:tc>
          <w:tcPr>
            <w:tcW w:w="1134" w:type="dxa"/>
            <w:shd w:val="clear" w:color="auto" w:fill="auto"/>
            <w:vAlign w:val="center"/>
            <w:hideMark/>
          </w:tcPr>
          <w:p w:rsidR="006520C3" w:rsidRDefault="006520C3" w:rsidP="006520C3">
            <w:pPr>
              <w:jc w:val="center"/>
              <w:rPr>
                <w:rFonts w:ascii="Arial Narrow" w:hAnsi="Arial Narrow" w:cs="Times New Roman"/>
                <w:b/>
                <w:bCs/>
                <w:snapToGrid/>
                <w:color w:val="000000"/>
                <w:sz w:val="20"/>
                <w:lang w:eastAsia="en-GB"/>
              </w:rPr>
            </w:pPr>
            <w:r w:rsidRPr="006520C3">
              <w:rPr>
                <w:rFonts w:ascii="Arial Narrow" w:hAnsi="Arial Narrow" w:cs="Times New Roman"/>
                <w:b/>
                <w:bCs/>
                <w:snapToGrid/>
                <w:color w:val="000000"/>
                <w:sz w:val="20"/>
                <w:lang w:eastAsia="en-GB"/>
              </w:rPr>
              <w:t xml:space="preserve">Proposed </w:t>
            </w:r>
          </w:p>
          <w:p w:rsidR="006520C3" w:rsidRPr="006520C3" w:rsidRDefault="006520C3" w:rsidP="006520C3">
            <w:pPr>
              <w:jc w:val="center"/>
              <w:rPr>
                <w:rFonts w:ascii="Arial Narrow" w:hAnsi="Arial Narrow" w:cs="Times New Roman"/>
                <w:b/>
                <w:bCs/>
                <w:snapToGrid/>
                <w:color w:val="000000"/>
                <w:sz w:val="20"/>
                <w:lang w:val="en-GB" w:eastAsia="en-GB"/>
              </w:rPr>
            </w:pPr>
            <w:r w:rsidRPr="006520C3">
              <w:rPr>
                <w:rFonts w:ascii="Arial Narrow" w:hAnsi="Arial Narrow" w:cs="Times New Roman"/>
                <w:b/>
                <w:bCs/>
                <w:snapToGrid/>
                <w:color w:val="000000"/>
                <w:sz w:val="20"/>
                <w:lang w:eastAsia="en-GB"/>
              </w:rPr>
              <w:t>drug</w:t>
            </w:r>
          </w:p>
        </w:tc>
        <w:tc>
          <w:tcPr>
            <w:tcW w:w="993" w:type="dxa"/>
            <w:shd w:val="clear" w:color="auto" w:fill="auto"/>
            <w:vAlign w:val="center"/>
            <w:hideMark/>
          </w:tcPr>
          <w:p w:rsidR="006520C3" w:rsidRPr="006520C3" w:rsidRDefault="006520C3" w:rsidP="006520C3">
            <w:pPr>
              <w:jc w:val="center"/>
              <w:rPr>
                <w:rFonts w:ascii="Arial Narrow" w:hAnsi="Arial Narrow" w:cs="Times New Roman"/>
                <w:b/>
                <w:bCs/>
                <w:snapToGrid/>
                <w:color w:val="000000"/>
                <w:sz w:val="20"/>
                <w:lang w:val="en-GB" w:eastAsia="en-GB"/>
              </w:rPr>
            </w:pPr>
            <w:r>
              <w:rPr>
                <w:rFonts w:ascii="Arial Narrow" w:hAnsi="Arial Narrow" w:cs="Times New Roman"/>
                <w:b/>
                <w:bCs/>
                <w:snapToGrid/>
                <w:color w:val="000000"/>
                <w:sz w:val="20"/>
                <w:lang w:eastAsia="en-GB"/>
              </w:rPr>
              <w:t>C</w:t>
            </w:r>
            <w:r w:rsidRPr="006520C3">
              <w:rPr>
                <w:rFonts w:ascii="Arial Narrow" w:hAnsi="Arial Narrow" w:cs="Times New Roman"/>
                <w:b/>
                <w:bCs/>
                <w:snapToGrid/>
                <w:color w:val="000000"/>
                <w:sz w:val="20"/>
                <w:lang w:eastAsia="en-GB"/>
              </w:rPr>
              <w:t>ommon reference</w:t>
            </w:r>
            <w:r w:rsidR="00274D10">
              <w:rPr>
                <w:rFonts w:ascii="Arial Narrow" w:hAnsi="Arial Narrow" w:cs="Times New Roman"/>
                <w:b/>
                <w:bCs/>
                <w:snapToGrid/>
                <w:color w:val="000000"/>
                <w:sz w:val="20"/>
                <w:lang w:eastAsia="en-GB"/>
              </w:rPr>
              <w:t xml:space="preserve"> </w:t>
            </w:r>
            <w:r w:rsidR="00274D10" w:rsidRPr="00805CFC">
              <w:rPr>
                <w:rFonts w:ascii="Arial Narrow" w:hAnsi="Arial Narrow" w:cs="Times New Roman"/>
                <w:b/>
                <w:bCs/>
                <w:snapToGrid/>
                <w:color w:val="000000"/>
                <w:sz w:val="20"/>
                <w:vertAlign w:val="superscript"/>
                <w:lang w:eastAsia="en-GB"/>
              </w:rPr>
              <w:t>a</w:t>
            </w:r>
          </w:p>
        </w:tc>
        <w:tc>
          <w:tcPr>
            <w:tcW w:w="1701" w:type="dxa"/>
            <w:shd w:val="clear" w:color="auto" w:fill="auto"/>
            <w:vAlign w:val="center"/>
            <w:hideMark/>
          </w:tcPr>
          <w:p w:rsidR="006520C3" w:rsidRDefault="006520C3" w:rsidP="006520C3">
            <w:pPr>
              <w:jc w:val="center"/>
              <w:rPr>
                <w:rFonts w:ascii="Arial Narrow" w:hAnsi="Arial Narrow" w:cs="Times New Roman"/>
                <w:b/>
                <w:bCs/>
                <w:snapToGrid/>
                <w:color w:val="000000"/>
                <w:sz w:val="20"/>
                <w:lang w:eastAsia="en-GB"/>
              </w:rPr>
            </w:pPr>
            <w:r w:rsidRPr="006520C3">
              <w:rPr>
                <w:rFonts w:ascii="Arial Narrow" w:hAnsi="Arial Narrow" w:cs="Times New Roman"/>
                <w:b/>
                <w:bCs/>
                <w:snapToGrid/>
                <w:color w:val="000000"/>
                <w:sz w:val="20"/>
                <w:lang w:eastAsia="en-GB"/>
              </w:rPr>
              <w:t xml:space="preserve">Main </w:t>
            </w:r>
          </w:p>
          <w:p w:rsidR="006520C3" w:rsidRPr="006520C3" w:rsidRDefault="006520C3" w:rsidP="006520C3">
            <w:pPr>
              <w:jc w:val="center"/>
              <w:rPr>
                <w:rFonts w:ascii="Arial Narrow" w:hAnsi="Arial Narrow" w:cs="Times New Roman"/>
                <w:b/>
                <w:bCs/>
                <w:snapToGrid/>
                <w:color w:val="000000"/>
                <w:sz w:val="20"/>
                <w:lang w:val="en-GB" w:eastAsia="en-GB"/>
              </w:rPr>
            </w:pPr>
            <w:r w:rsidRPr="006520C3">
              <w:rPr>
                <w:rFonts w:ascii="Arial Narrow" w:hAnsi="Arial Narrow" w:cs="Times New Roman"/>
                <w:b/>
                <w:bCs/>
                <w:snapToGrid/>
                <w:color w:val="000000"/>
                <w:sz w:val="20"/>
                <w:lang w:eastAsia="en-GB"/>
              </w:rPr>
              <w:t>comparator</w:t>
            </w:r>
          </w:p>
        </w:tc>
        <w:tc>
          <w:tcPr>
            <w:tcW w:w="2117" w:type="dxa"/>
            <w:shd w:val="clear" w:color="auto" w:fill="auto"/>
            <w:vAlign w:val="center"/>
            <w:hideMark/>
          </w:tcPr>
          <w:p w:rsidR="006520C3" w:rsidRPr="006520C3" w:rsidRDefault="006520C3" w:rsidP="006520C3">
            <w:pPr>
              <w:jc w:val="center"/>
              <w:rPr>
                <w:rFonts w:ascii="Arial Narrow" w:hAnsi="Arial Narrow" w:cs="Times New Roman"/>
                <w:b/>
                <w:bCs/>
                <w:snapToGrid/>
                <w:color w:val="000000"/>
                <w:sz w:val="20"/>
                <w:lang w:val="en-GB" w:eastAsia="en-GB"/>
              </w:rPr>
            </w:pPr>
            <w:r w:rsidRPr="006520C3">
              <w:rPr>
                <w:rFonts w:ascii="Arial Narrow" w:hAnsi="Arial Narrow" w:cs="Times New Roman"/>
                <w:b/>
                <w:bCs/>
                <w:snapToGrid/>
                <w:color w:val="000000"/>
                <w:sz w:val="20"/>
                <w:lang w:eastAsia="en-GB"/>
              </w:rPr>
              <w:t xml:space="preserve">Other arms </w:t>
            </w:r>
          </w:p>
        </w:tc>
        <w:tc>
          <w:tcPr>
            <w:tcW w:w="1426" w:type="dxa"/>
            <w:shd w:val="clear" w:color="auto" w:fill="auto"/>
            <w:vAlign w:val="center"/>
            <w:hideMark/>
          </w:tcPr>
          <w:p w:rsidR="006520C3" w:rsidRPr="006520C3" w:rsidRDefault="006520C3" w:rsidP="006520C3">
            <w:pPr>
              <w:jc w:val="center"/>
              <w:rPr>
                <w:rFonts w:ascii="Arial Narrow" w:hAnsi="Arial Narrow" w:cs="Times New Roman"/>
                <w:b/>
                <w:bCs/>
                <w:snapToGrid/>
                <w:color w:val="000000"/>
                <w:sz w:val="20"/>
                <w:lang w:val="en-GB" w:eastAsia="en-GB"/>
              </w:rPr>
            </w:pPr>
            <w:r w:rsidRPr="006520C3">
              <w:rPr>
                <w:rFonts w:ascii="Arial Narrow" w:hAnsi="Arial Narrow" w:cs="Times New Roman"/>
                <w:b/>
                <w:bCs/>
                <w:snapToGrid/>
                <w:color w:val="000000"/>
                <w:sz w:val="20"/>
                <w:lang w:eastAsia="en-GB"/>
              </w:rPr>
              <w:t>Population</w:t>
            </w:r>
          </w:p>
        </w:tc>
      </w:tr>
      <w:tr w:rsidR="006520C3" w:rsidRPr="006520C3" w:rsidTr="00770CEF">
        <w:trPr>
          <w:trHeight w:val="20"/>
        </w:trPr>
        <w:tc>
          <w:tcPr>
            <w:tcW w:w="8363" w:type="dxa"/>
            <w:gridSpan w:val="6"/>
            <w:shd w:val="clear" w:color="auto" w:fill="auto"/>
            <w:vAlign w:val="center"/>
            <w:hideMark/>
          </w:tcPr>
          <w:p w:rsidR="006520C3" w:rsidRPr="006520C3" w:rsidRDefault="006520C3" w:rsidP="00F90211">
            <w:pPr>
              <w:jc w:val="left"/>
              <w:rPr>
                <w:rFonts w:ascii="Arial Narrow" w:hAnsi="Arial Narrow" w:cs="Times New Roman"/>
                <w:b/>
                <w:bCs/>
                <w:snapToGrid/>
                <w:color w:val="000000"/>
                <w:sz w:val="20"/>
                <w:lang w:val="en-GB" w:eastAsia="en-GB"/>
              </w:rPr>
            </w:pPr>
            <w:r w:rsidRPr="006520C3">
              <w:rPr>
                <w:rFonts w:ascii="Arial Narrow" w:hAnsi="Arial Narrow" w:cs="Times New Roman"/>
                <w:b/>
                <w:bCs/>
                <w:snapToGrid/>
                <w:color w:val="000000"/>
                <w:sz w:val="20"/>
                <w:lang w:eastAsia="en-GB"/>
              </w:rPr>
              <w:t>Pharmacokinetics evidence</w:t>
            </w:r>
          </w:p>
        </w:tc>
      </w:tr>
      <w:tr w:rsidR="006520C3" w:rsidRPr="006520C3" w:rsidTr="00770CEF">
        <w:trPr>
          <w:trHeight w:val="20"/>
        </w:trPr>
        <w:tc>
          <w:tcPr>
            <w:tcW w:w="992" w:type="dxa"/>
            <w:shd w:val="clear" w:color="auto" w:fill="auto"/>
            <w:vAlign w:val="center"/>
            <w:hideMark/>
          </w:tcPr>
          <w:p w:rsidR="006520C3" w:rsidRPr="006520C3" w:rsidRDefault="006520C3" w:rsidP="006520C3">
            <w:pPr>
              <w:jc w:val="left"/>
              <w:rPr>
                <w:rFonts w:ascii="Arial Narrow" w:hAnsi="Arial Narrow" w:cs="Times New Roman"/>
                <w:snapToGrid/>
                <w:color w:val="000000"/>
                <w:sz w:val="20"/>
                <w:lang w:val="en-GB" w:eastAsia="en-GB"/>
              </w:rPr>
            </w:pPr>
            <w:r w:rsidRPr="006520C3">
              <w:rPr>
                <w:rFonts w:ascii="Arial Narrow" w:hAnsi="Arial Narrow" w:cs="Times New Roman"/>
                <w:snapToGrid/>
                <w:color w:val="000000"/>
                <w:sz w:val="20"/>
                <w:lang w:eastAsia="en-GB"/>
              </w:rPr>
              <w:t>Study 1001</w:t>
            </w:r>
          </w:p>
        </w:tc>
        <w:tc>
          <w:tcPr>
            <w:tcW w:w="1134" w:type="dxa"/>
            <w:shd w:val="clear" w:color="auto" w:fill="auto"/>
            <w:vAlign w:val="center"/>
            <w:hideMark/>
          </w:tcPr>
          <w:p w:rsidR="006520C3" w:rsidRPr="006520C3" w:rsidRDefault="006520C3" w:rsidP="006520C3">
            <w:pPr>
              <w:jc w:val="center"/>
              <w:rPr>
                <w:rFonts w:ascii="Arial Narrow" w:hAnsi="Arial Narrow" w:cs="Times New Roman"/>
                <w:snapToGrid/>
                <w:color w:val="000000"/>
                <w:sz w:val="20"/>
                <w:lang w:val="en-GB" w:eastAsia="en-GB"/>
              </w:rPr>
            </w:pPr>
            <w:r w:rsidRPr="006520C3">
              <w:rPr>
                <w:rFonts w:ascii="Arial Narrow" w:hAnsi="Arial Narrow" w:cs="Times New Roman"/>
                <w:snapToGrid/>
                <w:color w:val="000000"/>
                <w:sz w:val="20"/>
                <w:lang w:eastAsia="en-GB"/>
              </w:rPr>
              <w:t>DRV/c FDC</w:t>
            </w:r>
          </w:p>
        </w:tc>
        <w:tc>
          <w:tcPr>
            <w:tcW w:w="993" w:type="dxa"/>
            <w:shd w:val="clear" w:color="auto" w:fill="auto"/>
            <w:vAlign w:val="center"/>
            <w:hideMark/>
          </w:tcPr>
          <w:p w:rsidR="006520C3" w:rsidRPr="006520C3" w:rsidRDefault="006520C3" w:rsidP="006520C3">
            <w:pPr>
              <w:jc w:val="center"/>
              <w:rPr>
                <w:rFonts w:ascii="Times New Roman" w:hAnsi="Times New Roman" w:cs="Times New Roman"/>
                <w:snapToGrid/>
                <w:color w:val="000000"/>
                <w:sz w:val="20"/>
                <w:lang w:val="en-GB" w:eastAsia="en-GB"/>
              </w:rPr>
            </w:pPr>
            <w:r w:rsidRPr="006520C3">
              <w:rPr>
                <w:rFonts w:ascii="Times New Roman" w:hAnsi="Times New Roman" w:cs="Times New Roman"/>
                <w:snapToGrid/>
                <w:color w:val="000000"/>
                <w:sz w:val="20"/>
                <w:lang w:eastAsia="en-GB"/>
              </w:rPr>
              <w:t>─</w:t>
            </w:r>
          </w:p>
        </w:tc>
        <w:tc>
          <w:tcPr>
            <w:tcW w:w="1701" w:type="dxa"/>
            <w:shd w:val="clear" w:color="auto" w:fill="auto"/>
            <w:vAlign w:val="center"/>
            <w:hideMark/>
          </w:tcPr>
          <w:p w:rsidR="006520C3" w:rsidRPr="006520C3" w:rsidRDefault="006520C3" w:rsidP="006520C3">
            <w:pPr>
              <w:jc w:val="center"/>
              <w:rPr>
                <w:rFonts w:ascii="Arial Narrow" w:hAnsi="Arial Narrow" w:cs="Times New Roman"/>
                <w:snapToGrid/>
                <w:color w:val="000000"/>
                <w:sz w:val="20"/>
                <w:lang w:val="en-GB" w:eastAsia="en-GB"/>
              </w:rPr>
            </w:pPr>
            <w:r w:rsidRPr="006520C3">
              <w:rPr>
                <w:rFonts w:ascii="Arial Narrow" w:hAnsi="Arial Narrow" w:cs="Times New Roman"/>
                <w:snapToGrid/>
                <w:color w:val="000000"/>
                <w:sz w:val="20"/>
                <w:lang w:eastAsia="en-GB"/>
              </w:rPr>
              <w:t>DRV + r</w:t>
            </w:r>
          </w:p>
        </w:tc>
        <w:tc>
          <w:tcPr>
            <w:tcW w:w="2117" w:type="dxa"/>
            <w:shd w:val="clear" w:color="auto" w:fill="auto"/>
            <w:vAlign w:val="center"/>
            <w:hideMark/>
          </w:tcPr>
          <w:p w:rsidR="006520C3" w:rsidRPr="006520C3" w:rsidRDefault="006520C3" w:rsidP="006520C3">
            <w:pPr>
              <w:jc w:val="center"/>
              <w:rPr>
                <w:rFonts w:ascii="Times New Roman" w:hAnsi="Times New Roman" w:cs="Times New Roman"/>
                <w:snapToGrid/>
                <w:color w:val="000000"/>
                <w:sz w:val="20"/>
                <w:lang w:val="en-GB" w:eastAsia="en-GB"/>
              </w:rPr>
            </w:pPr>
            <w:r w:rsidRPr="006520C3">
              <w:rPr>
                <w:rFonts w:ascii="Times New Roman" w:hAnsi="Times New Roman" w:cs="Times New Roman"/>
                <w:snapToGrid/>
                <w:color w:val="000000"/>
                <w:sz w:val="20"/>
                <w:lang w:eastAsia="en-GB"/>
              </w:rPr>
              <w:t>─</w:t>
            </w:r>
          </w:p>
        </w:tc>
        <w:tc>
          <w:tcPr>
            <w:tcW w:w="1426" w:type="dxa"/>
            <w:vMerge w:val="restart"/>
            <w:shd w:val="clear" w:color="auto" w:fill="auto"/>
            <w:vAlign w:val="center"/>
            <w:hideMark/>
          </w:tcPr>
          <w:p w:rsidR="006520C3" w:rsidRPr="006520C3" w:rsidRDefault="006520C3" w:rsidP="006520C3">
            <w:pPr>
              <w:jc w:val="left"/>
              <w:rPr>
                <w:rFonts w:ascii="Arial Narrow" w:hAnsi="Arial Narrow" w:cs="Times New Roman"/>
                <w:snapToGrid/>
                <w:color w:val="000000"/>
                <w:sz w:val="20"/>
                <w:lang w:val="en-GB" w:eastAsia="en-GB"/>
              </w:rPr>
            </w:pPr>
            <w:r w:rsidRPr="006520C3">
              <w:rPr>
                <w:rFonts w:ascii="Arial Narrow" w:hAnsi="Arial Narrow" w:cs="Times New Roman"/>
                <w:snapToGrid/>
                <w:color w:val="000000"/>
                <w:sz w:val="20"/>
                <w:lang w:eastAsia="en-GB"/>
              </w:rPr>
              <w:t>Healthy volunteers</w:t>
            </w:r>
          </w:p>
        </w:tc>
      </w:tr>
      <w:tr w:rsidR="006520C3" w:rsidRPr="006520C3" w:rsidTr="00770CEF">
        <w:trPr>
          <w:trHeight w:val="20"/>
        </w:trPr>
        <w:tc>
          <w:tcPr>
            <w:tcW w:w="992" w:type="dxa"/>
            <w:shd w:val="clear" w:color="auto" w:fill="auto"/>
            <w:vAlign w:val="center"/>
            <w:hideMark/>
          </w:tcPr>
          <w:p w:rsidR="006520C3" w:rsidRPr="006520C3" w:rsidRDefault="006520C3" w:rsidP="006520C3">
            <w:pPr>
              <w:jc w:val="left"/>
              <w:rPr>
                <w:rFonts w:ascii="Arial Narrow" w:hAnsi="Arial Narrow" w:cs="Times New Roman"/>
                <w:snapToGrid/>
                <w:color w:val="000000"/>
                <w:sz w:val="20"/>
                <w:lang w:val="en-GB" w:eastAsia="en-GB"/>
              </w:rPr>
            </w:pPr>
            <w:r w:rsidRPr="006520C3">
              <w:rPr>
                <w:rFonts w:ascii="Arial Narrow" w:hAnsi="Arial Narrow" w:cs="Times New Roman"/>
                <w:snapToGrid/>
                <w:color w:val="000000"/>
                <w:sz w:val="20"/>
                <w:lang w:eastAsia="en-GB"/>
              </w:rPr>
              <w:t>Study 1003</w:t>
            </w:r>
          </w:p>
        </w:tc>
        <w:tc>
          <w:tcPr>
            <w:tcW w:w="1134" w:type="dxa"/>
            <w:shd w:val="clear" w:color="auto" w:fill="auto"/>
            <w:vAlign w:val="center"/>
            <w:hideMark/>
          </w:tcPr>
          <w:p w:rsidR="006520C3" w:rsidRPr="006520C3" w:rsidRDefault="006520C3" w:rsidP="006520C3">
            <w:pPr>
              <w:jc w:val="center"/>
              <w:rPr>
                <w:rFonts w:ascii="Arial Narrow" w:hAnsi="Arial Narrow" w:cs="Times New Roman"/>
                <w:snapToGrid/>
                <w:color w:val="000000"/>
                <w:sz w:val="20"/>
                <w:lang w:val="en-GB" w:eastAsia="en-GB"/>
              </w:rPr>
            </w:pPr>
            <w:r w:rsidRPr="006520C3">
              <w:rPr>
                <w:rFonts w:ascii="Arial Narrow" w:hAnsi="Arial Narrow" w:cs="Times New Roman"/>
                <w:snapToGrid/>
                <w:color w:val="000000"/>
                <w:sz w:val="20"/>
                <w:lang w:eastAsia="en-GB"/>
              </w:rPr>
              <w:t>DRV/c FDC</w:t>
            </w:r>
          </w:p>
        </w:tc>
        <w:tc>
          <w:tcPr>
            <w:tcW w:w="993" w:type="dxa"/>
            <w:shd w:val="clear" w:color="auto" w:fill="auto"/>
            <w:vAlign w:val="center"/>
            <w:hideMark/>
          </w:tcPr>
          <w:p w:rsidR="006520C3" w:rsidRPr="006520C3" w:rsidRDefault="006520C3" w:rsidP="006520C3">
            <w:pPr>
              <w:jc w:val="center"/>
              <w:rPr>
                <w:rFonts w:ascii="Arial Narrow" w:hAnsi="Arial Narrow" w:cs="Times New Roman"/>
                <w:snapToGrid/>
                <w:color w:val="000000"/>
                <w:sz w:val="20"/>
                <w:lang w:val="en-GB" w:eastAsia="en-GB"/>
              </w:rPr>
            </w:pPr>
            <w:r w:rsidRPr="006520C3">
              <w:rPr>
                <w:rFonts w:ascii="Arial Narrow" w:hAnsi="Arial Narrow" w:cs="Times New Roman"/>
                <w:snapToGrid/>
                <w:color w:val="000000"/>
                <w:sz w:val="20"/>
                <w:lang w:eastAsia="en-GB"/>
              </w:rPr>
              <w:t>DRV + c</w:t>
            </w:r>
          </w:p>
        </w:tc>
        <w:tc>
          <w:tcPr>
            <w:tcW w:w="1701" w:type="dxa"/>
            <w:shd w:val="clear" w:color="auto" w:fill="auto"/>
            <w:vAlign w:val="center"/>
            <w:hideMark/>
          </w:tcPr>
          <w:p w:rsidR="006520C3" w:rsidRPr="006520C3" w:rsidRDefault="006520C3" w:rsidP="006520C3">
            <w:pPr>
              <w:jc w:val="center"/>
              <w:rPr>
                <w:rFonts w:ascii="Times New Roman" w:hAnsi="Times New Roman" w:cs="Times New Roman"/>
                <w:snapToGrid/>
                <w:color w:val="000000"/>
                <w:sz w:val="20"/>
                <w:lang w:val="en-GB" w:eastAsia="en-GB"/>
              </w:rPr>
            </w:pPr>
            <w:r w:rsidRPr="006520C3">
              <w:rPr>
                <w:rFonts w:ascii="Times New Roman" w:hAnsi="Times New Roman" w:cs="Times New Roman"/>
                <w:snapToGrid/>
                <w:color w:val="000000"/>
                <w:sz w:val="20"/>
                <w:lang w:eastAsia="en-GB"/>
              </w:rPr>
              <w:t>─</w:t>
            </w:r>
          </w:p>
        </w:tc>
        <w:tc>
          <w:tcPr>
            <w:tcW w:w="2117" w:type="dxa"/>
            <w:shd w:val="clear" w:color="auto" w:fill="auto"/>
            <w:vAlign w:val="center"/>
            <w:hideMark/>
          </w:tcPr>
          <w:p w:rsidR="006520C3" w:rsidRPr="006520C3" w:rsidRDefault="006520C3" w:rsidP="006520C3">
            <w:pPr>
              <w:jc w:val="center"/>
              <w:rPr>
                <w:rFonts w:ascii="Times New Roman" w:hAnsi="Times New Roman" w:cs="Times New Roman"/>
                <w:snapToGrid/>
                <w:color w:val="000000"/>
                <w:sz w:val="20"/>
                <w:lang w:val="en-GB" w:eastAsia="en-GB"/>
              </w:rPr>
            </w:pPr>
            <w:r w:rsidRPr="006520C3">
              <w:rPr>
                <w:rFonts w:ascii="Times New Roman" w:hAnsi="Times New Roman" w:cs="Times New Roman"/>
                <w:snapToGrid/>
                <w:color w:val="000000"/>
                <w:sz w:val="20"/>
                <w:lang w:eastAsia="en-GB"/>
              </w:rPr>
              <w:t>─</w:t>
            </w:r>
          </w:p>
        </w:tc>
        <w:tc>
          <w:tcPr>
            <w:tcW w:w="1426" w:type="dxa"/>
            <w:vMerge/>
            <w:shd w:val="clear" w:color="auto" w:fill="auto"/>
            <w:vAlign w:val="center"/>
            <w:hideMark/>
          </w:tcPr>
          <w:p w:rsidR="006520C3" w:rsidRPr="006520C3" w:rsidRDefault="006520C3" w:rsidP="006520C3">
            <w:pPr>
              <w:jc w:val="left"/>
              <w:rPr>
                <w:rFonts w:ascii="Arial Narrow" w:hAnsi="Arial Narrow" w:cs="Times New Roman"/>
                <w:snapToGrid/>
                <w:color w:val="000000"/>
                <w:sz w:val="20"/>
                <w:lang w:val="en-GB" w:eastAsia="en-GB"/>
              </w:rPr>
            </w:pPr>
          </w:p>
        </w:tc>
      </w:tr>
      <w:tr w:rsidR="006520C3" w:rsidRPr="006520C3" w:rsidTr="00770CEF">
        <w:trPr>
          <w:trHeight w:val="20"/>
        </w:trPr>
        <w:tc>
          <w:tcPr>
            <w:tcW w:w="6937" w:type="dxa"/>
            <w:gridSpan w:val="5"/>
            <w:shd w:val="clear" w:color="auto" w:fill="auto"/>
            <w:vAlign w:val="center"/>
            <w:hideMark/>
          </w:tcPr>
          <w:p w:rsidR="006520C3" w:rsidRPr="006520C3" w:rsidRDefault="006520C3" w:rsidP="00F90211">
            <w:pPr>
              <w:jc w:val="left"/>
              <w:rPr>
                <w:rFonts w:ascii="Arial Narrow" w:hAnsi="Arial Narrow" w:cs="Times New Roman"/>
                <w:b/>
                <w:bCs/>
                <w:snapToGrid/>
                <w:color w:val="000000"/>
                <w:sz w:val="20"/>
                <w:lang w:val="en-GB" w:eastAsia="en-GB"/>
              </w:rPr>
            </w:pPr>
            <w:r w:rsidRPr="006520C3">
              <w:rPr>
                <w:rFonts w:ascii="Arial Narrow" w:hAnsi="Arial Narrow" w:cs="Times New Roman"/>
                <w:b/>
                <w:bCs/>
                <w:snapToGrid/>
                <w:color w:val="000000"/>
                <w:sz w:val="20"/>
                <w:lang w:eastAsia="en-GB"/>
              </w:rPr>
              <w:t>Efficacy and Safety evidence</w:t>
            </w:r>
          </w:p>
        </w:tc>
        <w:tc>
          <w:tcPr>
            <w:tcW w:w="1426" w:type="dxa"/>
            <w:shd w:val="clear" w:color="auto" w:fill="auto"/>
            <w:vAlign w:val="center"/>
            <w:hideMark/>
          </w:tcPr>
          <w:p w:rsidR="006520C3" w:rsidRPr="006520C3" w:rsidRDefault="006520C3" w:rsidP="006520C3">
            <w:pPr>
              <w:jc w:val="left"/>
              <w:rPr>
                <w:rFonts w:ascii="Arial Narrow" w:hAnsi="Arial Narrow" w:cs="Times New Roman"/>
                <w:snapToGrid/>
                <w:color w:val="000000"/>
                <w:sz w:val="20"/>
                <w:lang w:val="en-GB" w:eastAsia="en-GB"/>
              </w:rPr>
            </w:pPr>
            <w:r w:rsidRPr="006520C3">
              <w:rPr>
                <w:rFonts w:ascii="Arial Narrow" w:hAnsi="Arial Narrow" w:cs="Times New Roman"/>
                <w:snapToGrid/>
                <w:color w:val="000000"/>
                <w:sz w:val="20"/>
                <w:lang w:eastAsia="en-GB"/>
              </w:rPr>
              <w:t>HIV patients</w:t>
            </w:r>
          </w:p>
        </w:tc>
      </w:tr>
      <w:tr w:rsidR="006520C3" w:rsidRPr="006520C3" w:rsidTr="00770CEF">
        <w:trPr>
          <w:trHeight w:val="20"/>
        </w:trPr>
        <w:tc>
          <w:tcPr>
            <w:tcW w:w="992" w:type="dxa"/>
            <w:shd w:val="clear" w:color="auto" w:fill="auto"/>
            <w:vAlign w:val="center"/>
            <w:hideMark/>
          </w:tcPr>
          <w:p w:rsidR="006520C3" w:rsidRPr="006520C3" w:rsidRDefault="006520C3" w:rsidP="006520C3">
            <w:pPr>
              <w:jc w:val="left"/>
              <w:rPr>
                <w:rFonts w:ascii="Arial Narrow" w:hAnsi="Arial Narrow" w:cs="Times New Roman"/>
                <w:snapToGrid/>
                <w:color w:val="000000"/>
                <w:sz w:val="20"/>
                <w:lang w:val="en-GB" w:eastAsia="en-GB"/>
              </w:rPr>
            </w:pPr>
            <w:r w:rsidRPr="006520C3">
              <w:rPr>
                <w:rFonts w:ascii="Arial Narrow" w:hAnsi="Arial Narrow" w:cs="Times New Roman"/>
                <w:snapToGrid/>
                <w:color w:val="000000"/>
                <w:sz w:val="20"/>
                <w:lang w:eastAsia="en-GB"/>
              </w:rPr>
              <w:t xml:space="preserve">Study </w:t>
            </w:r>
            <w:r w:rsidR="00D62BFC">
              <w:rPr>
                <w:rFonts w:ascii="Arial Narrow" w:hAnsi="Arial Narrow" w:cs="Times New Roman"/>
                <w:snapToGrid/>
                <w:color w:val="000000"/>
                <w:sz w:val="20"/>
                <w:lang w:eastAsia="en-GB"/>
              </w:rPr>
              <w:t>0130</w:t>
            </w:r>
          </w:p>
        </w:tc>
        <w:tc>
          <w:tcPr>
            <w:tcW w:w="1134" w:type="dxa"/>
            <w:shd w:val="clear" w:color="auto" w:fill="auto"/>
            <w:vAlign w:val="center"/>
            <w:hideMark/>
          </w:tcPr>
          <w:p w:rsidR="006520C3" w:rsidRPr="006520C3" w:rsidRDefault="006520C3" w:rsidP="006520C3">
            <w:pPr>
              <w:jc w:val="center"/>
              <w:rPr>
                <w:rFonts w:ascii="Arial Narrow" w:hAnsi="Arial Narrow" w:cs="Times New Roman"/>
                <w:snapToGrid/>
                <w:color w:val="000000"/>
                <w:sz w:val="20"/>
                <w:lang w:val="en-GB" w:eastAsia="en-GB"/>
              </w:rPr>
            </w:pPr>
            <w:r w:rsidRPr="006520C3">
              <w:rPr>
                <w:rFonts w:ascii="Times New Roman" w:hAnsi="Times New Roman" w:cs="Times New Roman"/>
                <w:snapToGrid/>
                <w:color w:val="000000"/>
                <w:sz w:val="20"/>
                <w:lang w:eastAsia="en-GB"/>
              </w:rPr>
              <w:t>─</w:t>
            </w:r>
          </w:p>
        </w:tc>
        <w:tc>
          <w:tcPr>
            <w:tcW w:w="993" w:type="dxa"/>
            <w:shd w:val="clear" w:color="auto" w:fill="auto"/>
            <w:vAlign w:val="center"/>
            <w:hideMark/>
          </w:tcPr>
          <w:p w:rsidR="006520C3" w:rsidRPr="006520C3" w:rsidRDefault="006520C3" w:rsidP="006520C3">
            <w:pPr>
              <w:jc w:val="center"/>
              <w:rPr>
                <w:rFonts w:ascii="Arial Narrow" w:hAnsi="Arial Narrow" w:cs="Times New Roman"/>
                <w:snapToGrid/>
                <w:color w:val="000000"/>
                <w:sz w:val="20"/>
                <w:lang w:val="en-GB" w:eastAsia="en-GB"/>
              </w:rPr>
            </w:pPr>
            <w:r w:rsidRPr="006520C3">
              <w:rPr>
                <w:rFonts w:ascii="Arial Narrow" w:hAnsi="Arial Narrow" w:cs="Times New Roman"/>
                <w:snapToGrid/>
                <w:color w:val="000000"/>
                <w:sz w:val="20"/>
                <w:lang w:eastAsia="en-GB"/>
              </w:rPr>
              <w:t xml:space="preserve">DRV + c </w:t>
            </w:r>
            <w:r w:rsidR="00274D10">
              <w:rPr>
                <w:rFonts w:ascii="Arial Narrow" w:hAnsi="Arial Narrow" w:cs="Times New Roman"/>
                <w:snapToGrid/>
                <w:color w:val="000000"/>
                <w:sz w:val="20"/>
                <w:vertAlign w:val="superscript"/>
                <w:lang w:eastAsia="en-GB"/>
              </w:rPr>
              <w:t>b</w:t>
            </w:r>
          </w:p>
        </w:tc>
        <w:tc>
          <w:tcPr>
            <w:tcW w:w="1701" w:type="dxa"/>
            <w:shd w:val="clear" w:color="auto" w:fill="auto"/>
            <w:vAlign w:val="center"/>
            <w:hideMark/>
          </w:tcPr>
          <w:p w:rsidR="006520C3" w:rsidRPr="006520C3" w:rsidRDefault="006520C3" w:rsidP="006520C3">
            <w:pPr>
              <w:jc w:val="center"/>
              <w:rPr>
                <w:rFonts w:ascii="Times New Roman" w:hAnsi="Times New Roman" w:cs="Times New Roman"/>
                <w:snapToGrid/>
                <w:color w:val="000000"/>
                <w:sz w:val="20"/>
                <w:lang w:val="en-GB" w:eastAsia="en-GB"/>
              </w:rPr>
            </w:pPr>
            <w:r w:rsidRPr="006520C3">
              <w:rPr>
                <w:rFonts w:ascii="Times New Roman" w:hAnsi="Times New Roman" w:cs="Times New Roman"/>
                <w:snapToGrid/>
                <w:color w:val="000000"/>
                <w:sz w:val="20"/>
                <w:lang w:eastAsia="en-GB"/>
              </w:rPr>
              <w:t>─</w:t>
            </w:r>
          </w:p>
        </w:tc>
        <w:tc>
          <w:tcPr>
            <w:tcW w:w="2117" w:type="dxa"/>
            <w:shd w:val="clear" w:color="auto" w:fill="auto"/>
            <w:vAlign w:val="center"/>
            <w:hideMark/>
          </w:tcPr>
          <w:p w:rsidR="006520C3" w:rsidRPr="006520C3" w:rsidRDefault="006520C3" w:rsidP="006520C3">
            <w:pPr>
              <w:jc w:val="center"/>
              <w:rPr>
                <w:rFonts w:ascii="Times New Roman" w:hAnsi="Times New Roman" w:cs="Times New Roman"/>
                <w:snapToGrid/>
                <w:color w:val="000000"/>
                <w:sz w:val="20"/>
                <w:lang w:val="en-GB" w:eastAsia="en-GB"/>
              </w:rPr>
            </w:pPr>
            <w:r w:rsidRPr="006520C3">
              <w:rPr>
                <w:rFonts w:ascii="Times New Roman" w:hAnsi="Times New Roman" w:cs="Times New Roman"/>
                <w:snapToGrid/>
                <w:color w:val="000000"/>
                <w:sz w:val="20"/>
                <w:lang w:eastAsia="en-GB"/>
              </w:rPr>
              <w:t>─</w:t>
            </w:r>
          </w:p>
        </w:tc>
        <w:tc>
          <w:tcPr>
            <w:tcW w:w="1426" w:type="dxa"/>
            <w:shd w:val="clear" w:color="auto" w:fill="auto"/>
            <w:vAlign w:val="center"/>
            <w:hideMark/>
          </w:tcPr>
          <w:p w:rsidR="006520C3" w:rsidRPr="006520C3" w:rsidRDefault="00770CEF" w:rsidP="006520C3">
            <w:pPr>
              <w:jc w:val="left"/>
              <w:rPr>
                <w:rFonts w:ascii="Arial Narrow" w:hAnsi="Arial Narrow" w:cs="Times New Roman"/>
                <w:snapToGrid/>
                <w:color w:val="000000"/>
                <w:sz w:val="20"/>
                <w:lang w:val="en-GB" w:eastAsia="en-GB"/>
              </w:rPr>
            </w:pPr>
            <w:r>
              <w:rPr>
                <w:rFonts w:ascii="Arial Narrow" w:hAnsi="Arial Narrow" w:cs="Times New Roman"/>
                <w:snapToGrid/>
                <w:color w:val="000000"/>
                <w:sz w:val="20"/>
                <w:lang w:eastAsia="en-GB"/>
              </w:rPr>
              <w:t>N</w:t>
            </w:r>
            <w:r w:rsidR="006520C3" w:rsidRPr="006520C3">
              <w:rPr>
                <w:rFonts w:ascii="Arial Narrow" w:hAnsi="Arial Narrow" w:cs="Times New Roman"/>
                <w:snapToGrid/>
                <w:color w:val="000000"/>
                <w:sz w:val="20"/>
                <w:lang w:eastAsia="en-GB"/>
              </w:rPr>
              <w:t>aïve/experienced</w:t>
            </w:r>
          </w:p>
        </w:tc>
      </w:tr>
      <w:tr w:rsidR="006520C3" w:rsidRPr="006520C3" w:rsidTr="00770CEF">
        <w:trPr>
          <w:trHeight w:val="20"/>
        </w:trPr>
        <w:tc>
          <w:tcPr>
            <w:tcW w:w="992" w:type="dxa"/>
            <w:shd w:val="clear" w:color="auto" w:fill="auto"/>
            <w:vAlign w:val="center"/>
            <w:hideMark/>
          </w:tcPr>
          <w:p w:rsidR="006520C3" w:rsidRPr="006520C3" w:rsidRDefault="006520C3" w:rsidP="006520C3">
            <w:pPr>
              <w:jc w:val="left"/>
              <w:rPr>
                <w:rFonts w:ascii="Arial Narrow" w:hAnsi="Arial Narrow" w:cs="Times New Roman"/>
                <w:snapToGrid/>
                <w:color w:val="000000"/>
                <w:sz w:val="20"/>
                <w:lang w:val="en-GB" w:eastAsia="en-GB"/>
              </w:rPr>
            </w:pPr>
            <w:r w:rsidRPr="006520C3">
              <w:rPr>
                <w:rFonts w:ascii="Arial Narrow" w:hAnsi="Arial Narrow" w:cs="Times New Roman"/>
                <w:snapToGrid/>
                <w:color w:val="000000"/>
                <w:sz w:val="20"/>
                <w:lang w:eastAsia="en-GB"/>
              </w:rPr>
              <w:t>ARTEMIS</w:t>
            </w:r>
          </w:p>
        </w:tc>
        <w:tc>
          <w:tcPr>
            <w:tcW w:w="1134" w:type="dxa"/>
            <w:shd w:val="clear" w:color="auto" w:fill="auto"/>
            <w:vAlign w:val="center"/>
            <w:hideMark/>
          </w:tcPr>
          <w:p w:rsidR="006520C3" w:rsidRPr="006520C3" w:rsidRDefault="006520C3" w:rsidP="006520C3">
            <w:pPr>
              <w:jc w:val="center"/>
              <w:rPr>
                <w:rFonts w:ascii="Times New Roman" w:hAnsi="Times New Roman" w:cs="Times New Roman"/>
                <w:snapToGrid/>
                <w:color w:val="000000"/>
                <w:sz w:val="20"/>
                <w:lang w:val="en-GB" w:eastAsia="en-GB"/>
              </w:rPr>
            </w:pPr>
            <w:r w:rsidRPr="006520C3">
              <w:rPr>
                <w:rFonts w:ascii="Times New Roman" w:hAnsi="Times New Roman" w:cs="Times New Roman"/>
                <w:snapToGrid/>
                <w:color w:val="000000"/>
                <w:sz w:val="20"/>
                <w:lang w:eastAsia="en-GB"/>
              </w:rPr>
              <w:t>─</w:t>
            </w:r>
          </w:p>
        </w:tc>
        <w:tc>
          <w:tcPr>
            <w:tcW w:w="993" w:type="dxa"/>
            <w:shd w:val="clear" w:color="auto" w:fill="auto"/>
            <w:vAlign w:val="center"/>
            <w:hideMark/>
          </w:tcPr>
          <w:p w:rsidR="006520C3" w:rsidRPr="006520C3" w:rsidRDefault="006520C3" w:rsidP="006520C3">
            <w:pPr>
              <w:jc w:val="center"/>
              <w:rPr>
                <w:rFonts w:ascii="Times New Roman" w:hAnsi="Times New Roman" w:cs="Times New Roman"/>
                <w:snapToGrid/>
                <w:color w:val="000000"/>
                <w:sz w:val="20"/>
                <w:lang w:val="en-GB" w:eastAsia="en-GB"/>
              </w:rPr>
            </w:pPr>
            <w:r w:rsidRPr="006520C3">
              <w:rPr>
                <w:rFonts w:ascii="Times New Roman" w:hAnsi="Times New Roman" w:cs="Times New Roman"/>
                <w:snapToGrid/>
                <w:color w:val="000000"/>
                <w:sz w:val="20"/>
                <w:lang w:eastAsia="en-GB"/>
              </w:rPr>
              <w:t>─</w:t>
            </w:r>
          </w:p>
        </w:tc>
        <w:tc>
          <w:tcPr>
            <w:tcW w:w="1701" w:type="dxa"/>
            <w:shd w:val="clear" w:color="auto" w:fill="auto"/>
            <w:vAlign w:val="center"/>
            <w:hideMark/>
          </w:tcPr>
          <w:p w:rsidR="006520C3" w:rsidRPr="006520C3" w:rsidRDefault="006520C3" w:rsidP="00805CFC">
            <w:pPr>
              <w:jc w:val="left"/>
              <w:rPr>
                <w:rFonts w:ascii="Arial Narrow" w:hAnsi="Arial Narrow" w:cs="Times New Roman"/>
                <w:snapToGrid/>
                <w:color w:val="000000"/>
                <w:sz w:val="20"/>
                <w:lang w:val="en-GB" w:eastAsia="en-GB"/>
              </w:rPr>
            </w:pPr>
            <w:r w:rsidRPr="006520C3">
              <w:rPr>
                <w:rFonts w:ascii="Arial Narrow" w:hAnsi="Arial Narrow" w:cs="Times New Roman"/>
                <w:snapToGrid/>
                <w:color w:val="000000"/>
                <w:sz w:val="20"/>
                <w:lang w:eastAsia="en-GB"/>
              </w:rPr>
              <w:t>DRV + r + TDF + FTC</w:t>
            </w:r>
          </w:p>
        </w:tc>
        <w:tc>
          <w:tcPr>
            <w:tcW w:w="2117" w:type="dxa"/>
            <w:shd w:val="clear" w:color="auto" w:fill="auto"/>
            <w:vAlign w:val="center"/>
            <w:hideMark/>
          </w:tcPr>
          <w:p w:rsidR="006520C3" w:rsidRPr="006520C3" w:rsidRDefault="006520C3" w:rsidP="00805CFC">
            <w:pPr>
              <w:jc w:val="left"/>
              <w:rPr>
                <w:rFonts w:ascii="Arial Narrow" w:hAnsi="Arial Narrow" w:cs="Times New Roman"/>
                <w:snapToGrid/>
                <w:color w:val="000000"/>
                <w:sz w:val="20"/>
                <w:lang w:val="en-GB" w:eastAsia="en-GB"/>
              </w:rPr>
            </w:pPr>
            <w:r w:rsidRPr="006520C3">
              <w:rPr>
                <w:rFonts w:ascii="Arial Narrow" w:hAnsi="Arial Narrow" w:cs="Times New Roman"/>
                <w:snapToGrid/>
                <w:color w:val="000000"/>
                <w:sz w:val="20"/>
                <w:lang w:eastAsia="en-GB"/>
              </w:rPr>
              <w:t>LPV/r FDC + TDF + FTC</w:t>
            </w:r>
          </w:p>
        </w:tc>
        <w:tc>
          <w:tcPr>
            <w:tcW w:w="1426" w:type="dxa"/>
            <w:shd w:val="clear" w:color="auto" w:fill="auto"/>
            <w:vAlign w:val="center"/>
            <w:hideMark/>
          </w:tcPr>
          <w:p w:rsidR="006520C3" w:rsidRPr="006520C3" w:rsidRDefault="006520C3" w:rsidP="006520C3">
            <w:pPr>
              <w:jc w:val="left"/>
              <w:rPr>
                <w:rFonts w:ascii="Arial Narrow" w:hAnsi="Arial Narrow" w:cs="Times New Roman"/>
                <w:snapToGrid/>
                <w:color w:val="000000"/>
                <w:sz w:val="20"/>
                <w:lang w:val="en-GB" w:eastAsia="en-GB"/>
              </w:rPr>
            </w:pPr>
            <w:r w:rsidRPr="006520C3">
              <w:rPr>
                <w:rFonts w:ascii="Arial Narrow" w:hAnsi="Arial Narrow" w:cs="Times New Roman"/>
                <w:snapToGrid/>
                <w:color w:val="000000"/>
                <w:sz w:val="20"/>
                <w:lang w:eastAsia="en-GB"/>
              </w:rPr>
              <w:t xml:space="preserve">Tx-naïve </w:t>
            </w:r>
          </w:p>
        </w:tc>
      </w:tr>
      <w:tr w:rsidR="006520C3" w:rsidRPr="006520C3" w:rsidTr="00770CEF">
        <w:trPr>
          <w:trHeight w:val="20"/>
        </w:trPr>
        <w:tc>
          <w:tcPr>
            <w:tcW w:w="992" w:type="dxa"/>
            <w:shd w:val="clear" w:color="auto" w:fill="auto"/>
            <w:vAlign w:val="center"/>
            <w:hideMark/>
          </w:tcPr>
          <w:p w:rsidR="006520C3" w:rsidRPr="006520C3" w:rsidRDefault="006520C3" w:rsidP="006520C3">
            <w:pPr>
              <w:jc w:val="left"/>
              <w:rPr>
                <w:rFonts w:ascii="Arial Narrow" w:hAnsi="Arial Narrow" w:cs="Times New Roman"/>
                <w:snapToGrid/>
                <w:color w:val="000000"/>
                <w:sz w:val="20"/>
                <w:lang w:val="en-GB" w:eastAsia="en-GB"/>
              </w:rPr>
            </w:pPr>
            <w:r w:rsidRPr="006520C3">
              <w:rPr>
                <w:rFonts w:ascii="Arial Narrow" w:hAnsi="Arial Narrow" w:cs="Times New Roman"/>
                <w:snapToGrid/>
                <w:color w:val="000000"/>
                <w:sz w:val="20"/>
                <w:lang w:eastAsia="en-GB"/>
              </w:rPr>
              <w:t>ODIN</w:t>
            </w:r>
          </w:p>
        </w:tc>
        <w:tc>
          <w:tcPr>
            <w:tcW w:w="1134" w:type="dxa"/>
            <w:shd w:val="clear" w:color="auto" w:fill="auto"/>
            <w:vAlign w:val="center"/>
            <w:hideMark/>
          </w:tcPr>
          <w:p w:rsidR="006520C3" w:rsidRPr="006520C3" w:rsidRDefault="006520C3" w:rsidP="006520C3">
            <w:pPr>
              <w:jc w:val="center"/>
              <w:rPr>
                <w:rFonts w:ascii="Times New Roman" w:hAnsi="Times New Roman" w:cs="Times New Roman"/>
                <w:snapToGrid/>
                <w:color w:val="000000"/>
                <w:sz w:val="20"/>
                <w:lang w:val="en-GB" w:eastAsia="en-GB"/>
              </w:rPr>
            </w:pPr>
            <w:r w:rsidRPr="006520C3">
              <w:rPr>
                <w:rFonts w:ascii="Times New Roman" w:hAnsi="Times New Roman" w:cs="Times New Roman"/>
                <w:snapToGrid/>
                <w:color w:val="000000"/>
                <w:sz w:val="20"/>
                <w:lang w:eastAsia="en-GB"/>
              </w:rPr>
              <w:t>─</w:t>
            </w:r>
          </w:p>
        </w:tc>
        <w:tc>
          <w:tcPr>
            <w:tcW w:w="993" w:type="dxa"/>
            <w:shd w:val="clear" w:color="auto" w:fill="auto"/>
            <w:vAlign w:val="center"/>
            <w:hideMark/>
          </w:tcPr>
          <w:p w:rsidR="006520C3" w:rsidRPr="006520C3" w:rsidRDefault="006520C3" w:rsidP="006520C3">
            <w:pPr>
              <w:jc w:val="center"/>
              <w:rPr>
                <w:rFonts w:ascii="Times New Roman" w:hAnsi="Times New Roman" w:cs="Times New Roman"/>
                <w:snapToGrid/>
                <w:color w:val="000000"/>
                <w:sz w:val="20"/>
                <w:lang w:val="en-GB" w:eastAsia="en-GB"/>
              </w:rPr>
            </w:pPr>
            <w:r w:rsidRPr="006520C3">
              <w:rPr>
                <w:rFonts w:ascii="Times New Roman" w:hAnsi="Times New Roman" w:cs="Times New Roman"/>
                <w:snapToGrid/>
                <w:color w:val="000000"/>
                <w:sz w:val="20"/>
                <w:lang w:eastAsia="en-GB"/>
              </w:rPr>
              <w:t>─</w:t>
            </w:r>
          </w:p>
        </w:tc>
        <w:tc>
          <w:tcPr>
            <w:tcW w:w="1701" w:type="dxa"/>
            <w:shd w:val="clear" w:color="auto" w:fill="auto"/>
            <w:vAlign w:val="center"/>
            <w:hideMark/>
          </w:tcPr>
          <w:p w:rsidR="006520C3" w:rsidRPr="00E74A59" w:rsidRDefault="006520C3" w:rsidP="00805CFC">
            <w:pPr>
              <w:jc w:val="left"/>
              <w:rPr>
                <w:rFonts w:ascii="Arial Narrow" w:hAnsi="Arial Narrow" w:cs="Times New Roman"/>
                <w:snapToGrid/>
                <w:color w:val="000000"/>
                <w:sz w:val="20"/>
                <w:vertAlign w:val="superscript"/>
                <w:lang w:val="en-GB" w:eastAsia="en-GB"/>
              </w:rPr>
            </w:pPr>
            <w:r w:rsidRPr="006520C3">
              <w:rPr>
                <w:rFonts w:ascii="Arial Narrow" w:hAnsi="Arial Narrow" w:cs="Times New Roman"/>
                <w:snapToGrid/>
                <w:color w:val="000000"/>
                <w:sz w:val="20"/>
                <w:lang w:eastAsia="en-GB"/>
              </w:rPr>
              <w:t xml:space="preserve">DRV + r + </w:t>
            </w:r>
            <w:r w:rsidR="00227882" w:rsidRPr="00D716D8">
              <w:rPr>
                <w:rFonts w:ascii="Arial Narrow" w:hAnsi="Arial Narrow" w:cs="Times New Roman"/>
                <w:snapToGrid/>
                <w:color w:val="000000"/>
                <w:sz w:val="20"/>
                <w:lang w:eastAsia="en-GB"/>
              </w:rPr>
              <w:t>≥</w:t>
            </w:r>
            <w:r w:rsidR="00227882">
              <w:rPr>
                <w:rFonts w:ascii="Arial Narrow" w:hAnsi="Arial Narrow" w:cs="Times New Roman"/>
                <w:snapToGrid/>
                <w:color w:val="000000"/>
                <w:sz w:val="20"/>
                <w:lang w:eastAsia="en-GB"/>
              </w:rPr>
              <w:t xml:space="preserve"> 2 N</w:t>
            </w:r>
            <w:r w:rsidRPr="006520C3">
              <w:rPr>
                <w:rFonts w:ascii="Arial Narrow" w:hAnsi="Arial Narrow" w:cs="Times New Roman"/>
                <w:snapToGrid/>
                <w:color w:val="000000"/>
                <w:sz w:val="20"/>
                <w:lang w:eastAsia="en-GB"/>
              </w:rPr>
              <w:t>RTIs</w:t>
            </w:r>
            <w:r w:rsidR="00E74A59">
              <w:rPr>
                <w:rFonts w:ascii="Arial Narrow" w:hAnsi="Arial Narrow" w:cs="Times New Roman"/>
                <w:snapToGrid/>
                <w:color w:val="000000"/>
                <w:sz w:val="20"/>
                <w:lang w:eastAsia="en-GB"/>
              </w:rPr>
              <w:t xml:space="preserve"> </w:t>
            </w:r>
            <w:r w:rsidR="00E74A59">
              <w:rPr>
                <w:rFonts w:ascii="Arial Narrow" w:hAnsi="Arial Narrow" w:cs="Times New Roman"/>
                <w:snapToGrid/>
                <w:color w:val="000000"/>
                <w:sz w:val="20"/>
                <w:vertAlign w:val="superscript"/>
                <w:lang w:eastAsia="en-GB"/>
              </w:rPr>
              <w:t>c</w:t>
            </w:r>
          </w:p>
        </w:tc>
        <w:tc>
          <w:tcPr>
            <w:tcW w:w="2117" w:type="dxa"/>
            <w:shd w:val="clear" w:color="auto" w:fill="auto"/>
            <w:vAlign w:val="center"/>
            <w:hideMark/>
          </w:tcPr>
          <w:p w:rsidR="006520C3" w:rsidRPr="006520C3" w:rsidRDefault="006520C3" w:rsidP="00227882">
            <w:pPr>
              <w:jc w:val="left"/>
              <w:rPr>
                <w:rFonts w:ascii="Arial Narrow" w:hAnsi="Arial Narrow" w:cs="Times New Roman"/>
                <w:snapToGrid/>
                <w:color w:val="000000"/>
                <w:sz w:val="20"/>
                <w:lang w:val="en-GB" w:eastAsia="en-GB"/>
              </w:rPr>
            </w:pPr>
            <w:r w:rsidRPr="006520C3">
              <w:rPr>
                <w:rFonts w:ascii="Arial Narrow" w:hAnsi="Arial Narrow" w:cs="Times New Roman"/>
                <w:snapToGrid/>
                <w:color w:val="000000"/>
                <w:sz w:val="20"/>
                <w:lang w:eastAsia="en-GB"/>
              </w:rPr>
              <w:t xml:space="preserve">DRV (600 mg) + r + </w:t>
            </w:r>
            <w:r w:rsidR="00D716D8" w:rsidRPr="00D716D8">
              <w:rPr>
                <w:rFonts w:ascii="Arial Narrow" w:hAnsi="Arial Narrow" w:cs="Times New Roman"/>
                <w:snapToGrid/>
                <w:color w:val="000000"/>
                <w:sz w:val="20"/>
                <w:lang w:eastAsia="en-GB"/>
              </w:rPr>
              <w:t xml:space="preserve"> </w:t>
            </w:r>
            <w:r w:rsidRPr="006520C3">
              <w:rPr>
                <w:rFonts w:ascii="Arial Narrow" w:hAnsi="Arial Narrow" w:cs="Times New Roman"/>
                <w:snapToGrid/>
                <w:color w:val="000000"/>
                <w:sz w:val="20"/>
                <w:lang w:eastAsia="en-GB"/>
              </w:rPr>
              <w:t>NRTIs</w:t>
            </w:r>
          </w:p>
        </w:tc>
        <w:tc>
          <w:tcPr>
            <w:tcW w:w="1426" w:type="dxa"/>
            <w:shd w:val="clear" w:color="auto" w:fill="auto"/>
            <w:vAlign w:val="center"/>
            <w:hideMark/>
          </w:tcPr>
          <w:p w:rsidR="006520C3" w:rsidRPr="006520C3" w:rsidRDefault="00204FA9" w:rsidP="006520C3">
            <w:pPr>
              <w:jc w:val="left"/>
              <w:rPr>
                <w:rFonts w:ascii="Arial Narrow" w:hAnsi="Arial Narrow" w:cs="Times New Roman"/>
                <w:snapToGrid/>
                <w:color w:val="000000"/>
                <w:sz w:val="20"/>
                <w:lang w:val="en-GB" w:eastAsia="en-GB"/>
              </w:rPr>
            </w:pPr>
            <w:r>
              <w:rPr>
                <w:rFonts w:ascii="Arial Narrow" w:hAnsi="Arial Narrow" w:cs="Times New Roman"/>
                <w:snapToGrid/>
                <w:color w:val="000000"/>
                <w:sz w:val="20"/>
                <w:lang w:eastAsia="en-GB"/>
              </w:rPr>
              <w:t>Tx</w:t>
            </w:r>
            <w:r w:rsidR="006520C3" w:rsidRPr="006520C3">
              <w:rPr>
                <w:rFonts w:ascii="Arial Narrow" w:hAnsi="Arial Narrow" w:cs="Times New Roman"/>
                <w:snapToGrid/>
                <w:color w:val="000000"/>
                <w:sz w:val="20"/>
                <w:lang w:eastAsia="en-GB"/>
              </w:rPr>
              <w:t>-experienced</w:t>
            </w:r>
          </w:p>
        </w:tc>
      </w:tr>
      <w:tr w:rsidR="006520C3" w:rsidRPr="006520C3" w:rsidTr="00770CEF">
        <w:trPr>
          <w:trHeight w:val="20"/>
        </w:trPr>
        <w:tc>
          <w:tcPr>
            <w:tcW w:w="992" w:type="dxa"/>
            <w:shd w:val="clear" w:color="auto" w:fill="auto"/>
            <w:vAlign w:val="center"/>
            <w:hideMark/>
          </w:tcPr>
          <w:p w:rsidR="006520C3" w:rsidRPr="006520C3" w:rsidRDefault="006520C3" w:rsidP="006520C3">
            <w:pPr>
              <w:jc w:val="left"/>
              <w:rPr>
                <w:rFonts w:ascii="Arial Narrow" w:hAnsi="Arial Narrow" w:cs="Times New Roman"/>
                <w:snapToGrid/>
                <w:color w:val="000000"/>
                <w:sz w:val="20"/>
                <w:lang w:val="en-GB" w:eastAsia="en-GB"/>
              </w:rPr>
            </w:pPr>
            <w:r w:rsidRPr="006520C3">
              <w:rPr>
                <w:rFonts w:ascii="Arial Narrow" w:hAnsi="Arial Narrow" w:cs="Times New Roman"/>
                <w:snapToGrid/>
                <w:color w:val="000000"/>
                <w:sz w:val="20"/>
                <w:lang w:eastAsia="en-GB"/>
              </w:rPr>
              <w:t>FLAMINGO</w:t>
            </w:r>
          </w:p>
        </w:tc>
        <w:tc>
          <w:tcPr>
            <w:tcW w:w="1134" w:type="dxa"/>
            <w:shd w:val="clear" w:color="auto" w:fill="auto"/>
            <w:vAlign w:val="center"/>
            <w:hideMark/>
          </w:tcPr>
          <w:p w:rsidR="006520C3" w:rsidRPr="006520C3" w:rsidRDefault="006520C3" w:rsidP="006520C3">
            <w:pPr>
              <w:jc w:val="center"/>
              <w:rPr>
                <w:rFonts w:ascii="Times New Roman" w:hAnsi="Times New Roman" w:cs="Times New Roman"/>
                <w:snapToGrid/>
                <w:color w:val="000000"/>
                <w:sz w:val="20"/>
                <w:lang w:val="en-GB" w:eastAsia="en-GB"/>
              </w:rPr>
            </w:pPr>
            <w:r w:rsidRPr="006520C3">
              <w:rPr>
                <w:rFonts w:ascii="Times New Roman" w:hAnsi="Times New Roman" w:cs="Times New Roman"/>
                <w:snapToGrid/>
                <w:color w:val="000000"/>
                <w:sz w:val="20"/>
                <w:lang w:eastAsia="en-GB"/>
              </w:rPr>
              <w:t>─</w:t>
            </w:r>
          </w:p>
        </w:tc>
        <w:tc>
          <w:tcPr>
            <w:tcW w:w="993" w:type="dxa"/>
            <w:shd w:val="clear" w:color="auto" w:fill="auto"/>
            <w:vAlign w:val="center"/>
            <w:hideMark/>
          </w:tcPr>
          <w:p w:rsidR="006520C3" w:rsidRPr="006520C3" w:rsidRDefault="006520C3" w:rsidP="006520C3">
            <w:pPr>
              <w:jc w:val="center"/>
              <w:rPr>
                <w:rFonts w:ascii="Times New Roman" w:hAnsi="Times New Roman" w:cs="Times New Roman"/>
                <w:snapToGrid/>
                <w:color w:val="000000"/>
                <w:sz w:val="20"/>
                <w:lang w:val="en-GB" w:eastAsia="en-GB"/>
              </w:rPr>
            </w:pPr>
            <w:r w:rsidRPr="006520C3">
              <w:rPr>
                <w:rFonts w:ascii="Times New Roman" w:hAnsi="Times New Roman" w:cs="Times New Roman"/>
                <w:snapToGrid/>
                <w:color w:val="000000"/>
                <w:sz w:val="20"/>
                <w:lang w:eastAsia="en-GB"/>
              </w:rPr>
              <w:t>─</w:t>
            </w:r>
          </w:p>
        </w:tc>
        <w:tc>
          <w:tcPr>
            <w:tcW w:w="1701" w:type="dxa"/>
            <w:shd w:val="clear" w:color="auto" w:fill="auto"/>
            <w:vAlign w:val="center"/>
            <w:hideMark/>
          </w:tcPr>
          <w:p w:rsidR="006520C3" w:rsidRPr="00E74A59" w:rsidRDefault="006520C3" w:rsidP="00805CFC">
            <w:pPr>
              <w:jc w:val="left"/>
              <w:rPr>
                <w:rFonts w:ascii="Arial Narrow" w:hAnsi="Arial Narrow" w:cs="Times New Roman"/>
                <w:snapToGrid/>
                <w:color w:val="000000"/>
                <w:sz w:val="20"/>
                <w:vertAlign w:val="superscript"/>
                <w:lang w:val="en-GB" w:eastAsia="en-GB"/>
              </w:rPr>
            </w:pPr>
            <w:r w:rsidRPr="006520C3">
              <w:rPr>
                <w:rFonts w:ascii="Arial Narrow" w:hAnsi="Arial Narrow" w:cs="Times New Roman"/>
                <w:snapToGrid/>
                <w:color w:val="000000"/>
                <w:sz w:val="20"/>
                <w:lang w:eastAsia="en-GB"/>
              </w:rPr>
              <w:t>DRV + r + 2 NRTIs</w:t>
            </w:r>
            <w:r w:rsidR="00E74A59">
              <w:rPr>
                <w:rFonts w:ascii="Arial Narrow" w:hAnsi="Arial Narrow" w:cs="Times New Roman"/>
                <w:snapToGrid/>
                <w:color w:val="000000"/>
                <w:sz w:val="20"/>
                <w:lang w:eastAsia="en-GB"/>
              </w:rPr>
              <w:t xml:space="preserve"> </w:t>
            </w:r>
            <w:r w:rsidR="00E74A59">
              <w:rPr>
                <w:rFonts w:ascii="Arial Narrow" w:hAnsi="Arial Narrow" w:cs="Times New Roman"/>
                <w:snapToGrid/>
                <w:color w:val="000000"/>
                <w:sz w:val="20"/>
                <w:vertAlign w:val="superscript"/>
                <w:lang w:eastAsia="en-GB"/>
              </w:rPr>
              <w:t>d</w:t>
            </w:r>
          </w:p>
        </w:tc>
        <w:tc>
          <w:tcPr>
            <w:tcW w:w="2117" w:type="dxa"/>
            <w:shd w:val="clear" w:color="auto" w:fill="auto"/>
            <w:vAlign w:val="center"/>
            <w:hideMark/>
          </w:tcPr>
          <w:p w:rsidR="006520C3" w:rsidRPr="006520C3" w:rsidRDefault="006520C3" w:rsidP="00805CFC">
            <w:pPr>
              <w:jc w:val="left"/>
              <w:rPr>
                <w:rFonts w:ascii="Arial Narrow" w:hAnsi="Arial Narrow" w:cs="Times New Roman"/>
                <w:snapToGrid/>
                <w:color w:val="000000"/>
                <w:sz w:val="20"/>
                <w:lang w:val="en-GB" w:eastAsia="en-GB"/>
              </w:rPr>
            </w:pPr>
            <w:r w:rsidRPr="006520C3">
              <w:rPr>
                <w:rFonts w:ascii="Arial Narrow" w:hAnsi="Arial Narrow" w:cs="Times New Roman"/>
                <w:snapToGrid/>
                <w:color w:val="000000"/>
                <w:sz w:val="20"/>
                <w:lang w:eastAsia="en-GB"/>
              </w:rPr>
              <w:t>DTG + 2 NRTIs</w:t>
            </w:r>
          </w:p>
        </w:tc>
        <w:tc>
          <w:tcPr>
            <w:tcW w:w="1426" w:type="dxa"/>
            <w:shd w:val="clear" w:color="auto" w:fill="auto"/>
            <w:vAlign w:val="center"/>
            <w:hideMark/>
          </w:tcPr>
          <w:p w:rsidR="006520C3" w:rsidRPr="006520C3" w:rsidRDefault="006520C3" w:rsidP="006520C3">
            <w:pPr>
              <w:jc w:val="left"/>
              <w:rPr>
                <w:rFonts w:ascii="Arial Narrow" w:hAnsi="Arial Narrow" w:cs="Times New Roman"/>
                <w:snapToGrid/>
                <w:color w:val="000000"/>
                <w:sz w:val="20"/>
                <w:lang w:val="en-GB" w:eastAsia="en-GB"/>
              </w:rPr>
            </w:pPr>
            <w:r w:rsidRPr="006520C3">
              <w:rPr>
                <w:rFonts w:ascii="Arial Narrow" w:hAnsi="Arial Narrow" w:cs="Times New Roman"/>
                <w:snapToGrid/>
                <w:color w:val="000000"/>
                <w:sz w:val="20"/>
                <w:lang w:eastAsia="en-GB"/>
              </w:rPr>
              <w:t>Tx-naïve</w:t>
            </w:r>
          </w:p>
        </w:tc>
      </w:tr>
      <w:tr w:rsidR="006520C3" w:rsidRPr="006520C3" w:rsidTr="00770CEF">
        <w:trPr>
          <w:trHeight w:val="20"/>
        </w:trPr>
        <w:tc>
          <w:tcPr>
            <w:tcW w:w="992" w:type="dxa"/>
            <w:shd w:val="clear" w:color="auto" w:fill="auto"/>
            <w:vAlign w:val="center"/>
            <w:hideMark/>
          </w:tcPr>
          <w:p w:rsidR="006520C3" w:rsidRPr="006520C3" w:rsidRDefault="006520C3" w:rsidP="00D0120B">
            <w:pPr>
              <w:keepNext/>
              <w:jc w:val="left"/>
              <w:rPr>
                <w:rFonts w:ascii="Arial Narrow" w:hAnsi="Arial Narrow" w:cs="Times New Roman"/>
                <w:snapToGrid/>
                <w:color w:val="000000"/>
                <w:sz w:val="20"/>
                <w:lang w:val="en-GB" w:eastAsia="en-GB"/>
              </w:rPr>
            </w:pPr>
            <w:r w:rsidRPr="006520C3">
              <w:rPr>
                <w:rFonts w:ascii="Arial Narrow" w:hAnsi="Arial Narrow" w:cs="Times New Roman"/>
                <w:snapToGrid/>
                <w:color w:val="000000"/>
                <w:sz w:val="20"/>
                <w:lang w:eastAsia="en-GB"/>
              </w:rPr>
              <w:t>2LADY</w:t>
            </w:r>
          </w:p>
        </w:tc>
        <w:tc>
          <w:tcPr>
            <w:tcW w:w="1134" w:type="dxa"/>
            <w:shd w:val="clear" w:color="auto" w:fill="auto"/>
            <w:vAlign w:val="center"/>
            <w:hideMark/>
          </w:tcPr>
          <w:p w:rsidR="006520C3" w:rsidRPr="006520C3" w:rsidRDefault="006520C3" w:rsidP="00D0120B">
            <w:pPr>
              <w:keepNext/>
              <w:jc w:val="center"/>
              <w:rPr>
                <w:rFonts w:ascii="Times New Roman" w:hAnsi="Times New Roman" w:cs="Times New Roman"/>
                <w:snapToGrid/>
                <w:color w:val="000000"/>
                <w:sz w:val="20"/>
                <w:lang w:val="en-GB" w:eastAsia="en-GB"/>
              </w:rPr>
            </w:pPr>
            <w:r w:rsidRPr="006520C3">
              <w:rPr>
                <w:rFonts w:ascii="Times New Roman" w:hAnsi="Times New Roman" w:cs="Times New Roman"/>
                <w:snapToGrid/>
                <w:color w:val="000000"/>
                <w:sz w:val="20"/>
                <w:lang w:eastAsia="en-GB"/>
              </w:rPr>
              <w:t>─</w:t>
            </w:r>
          </w:p>
        </w:tc>
        <w:tc>
          <w:tcPr>
            <w:tcW w:w="993" w:type="dxa"/>
            <w:shd w:val="clear" w:color="auto" w:fill="auto"/>
            <w:vAlign w:val="center"/>
            <w:hideMark/>
          </w:tcPr>
          <w:p w:rsidR="006520C3" w:rsidRPr="006520C3" w:rsidRDefault="006520C3" w:rsidP="00D0120B">
            <w:pPr>
              <w:keepNext/>
              <w:jc w:val="center"/>
              <w:rPr>
                <w:rFonts w:ascii="Times New Roman" w:hAnsi="Times New Roman" w:cs="Times New Roman"/>
                <w:snapToGrid/>
                <w:color w:val="000000"/>
                <w:sz w:val="20"/>
                <w:lang w:val="en-GB" w:eastAsia="en-GB"/>
              </w:rPr>
            </w:pPr>
            <w:r w:rsidRPr="006520C3">
              <w:rPr>
                <w:rFonts w:ascii="Times New Roman" w:hAnsi="Times New Roman" w:cs="Times New Roman"/>
                <w:snapToGrid/>
                <w:color w:val="000000"/>
                <w:sz w:val="20"/>
                <w:lang w:eastAsia="en-GB"/>
              </w:rPr>
              <w:t>─</w:t>
            </w:r>
          </w:p>
        </w:tc>
        <w:tc>
          <w:tcPr>
            <w:tcW w:w="1701" w:type="dxa"/>
            <w:shd w:val="clear" w:color="auto" w:fill="auto"/>
            <w:vAlign w:val="center"/>
            <w:hideMark/>
          </w:tcPr>
          <w:p w:rsidR="006520C3" w:rsidRPr="006520C3" w:rsidRDefault="006520C3" w:rsidP="00D0120B">
            <w:pPr>
              <w:keepNext/>
              <w:jc w:val="left"/>
              <w:rPr>
                <w:rFonts w:ascii="Arial Narrow" w:hAnsi="Arial Narrow" w:cs="Times New Roman"/>
                <w:snapToGrid/>
                <w:color w:val="000000"/>
                <w:sz w:val="20"/>
                <w:lang w:val="en-GB" w:eastAsia="en-GB"/>
              </w:rPr>
            </w:pPr>
            <w:r w:rsidRPr="006520C3">
              <w:rPr>
                <w:rFonts w:ascii="Arial Narrow" w:hAnsi="Arial Narrow" w:cs="Times New Roman"/>
                <w:snapToGrid/>
                <w:color w:val="000000"/>
                <w:sz w:val="20"/>
                <w:lang w:eastAsia="en-GB"/>
              </w:rPr>
              <w:t>DRV + r + TDF + FTC</w:t>
            </w:r>
          </w:p>
        </w:tc>
        <w:tc>
          <w:tcPr>
            <w:tcW w:w="2117" w:type="dxa"/>
            <w:shd w:val="clear" w:color="auto" w:fill="auto"/>
            <w:vAlign w:val="center"/>
            <w:hideMark/>
          </w:tcPr>
          <w:p w:rsidR="006520C3" w:rsidRPr="006520C3" w:rsidRDefault="006520C3" w:rsidP="00D0120B">
            <w:pPr>
              <w:keepNext/>
              <w:jc w:val="left"/>
              <w:rPr>
                <w:rFonts w:ascii="Arial Narrow" w:hAnsi="Arial Narrow" w:cs="Times New Roman"/>
                <w:snapToGrid/>
                <w:color w:val="000000"/>
                <w:sz w:val="20"/>
                <w:lang w:val="en-GB" w:eastAsia="en-GB"/>
              </w:rPr>
            </w:pPr>
            <w:r w:rsidRPr="006520C3">
              <w:rPr>
                <w:rFonts w:ascii="Arial Narrow" w:hAnsi="Arial Narrow" w:cs="Times New Roman"/>
                <w:snapToGrid/>
                <w:color w:val="000000"/>
                <w:sz w:val="20"/>
                <w:lang w:eastAsia="en-GB"/>
              </w:rPr>
              <w:t>LPV/r FDC + TDF + FTC</w:t>
            </w:r>
          </w:p>
        </w:tc>
        <w:tc>
          <w:tcPr>
            <w:tcW w:w="1426" w:type="dxa"/>
            <w:shd w:val="clear" w:color="auto" w:fill="auto"/>
            <w:vAlign w:val="center"/>
            <w:hideMark/>
          </w:tcPr>
          <w:p w:rsidR="006520C3" w:rsidRPr="006520C3" w:rsidRDefault="006520C3" w:rsidP="00D0120B">
            <w:pPr>
              <w:keepNext/>
              <w:jc w:val="left"/>
              <w:rPr>
                <w:rFonts w:ascii="Arial Narrow" w:hAnsi="Arial Narrow" w:cs="Times New Roman"/>
                <w:snapToGrid/>
                <w:color w:val="000000"/>
                <w:sz w:val="20"/>
                <w:lang w:val="en-GB" w:eastAsia="en-GB"/>
              </w:rPr>
            </w:pPr>
            <w:r w:rsidRPr="006520C3">
              <w:rPr>
                <w:rFonts w:ascii="Arial Narrow" w:hAnsi="Arial Narrow" w:cs="Times New Roman"/>
                <w:snapToGrid/>
                <w:color w:val="000000"/>
                <w:sz w:val="20"/>
                <w:lang w:eastAsia="en-GB"/>
              </w:rPr>
              <w:t>Tx-experienced</w:t>
            </w:r>
          </w:p>
        </w:tc>
      </w:tr>
    </w:tbl>
    <w:p w:rsidR="00CC34DC" w:rsidRPr="004A6DDD" w:rsidRDefault="00CC34DC" w:rsidP="00D0120B">
      <w:pPr>
        <w:pStyle w:val="TableFooter"/>
        <w:keepNext/>
        <w:ind w:firstLine="720"/>
        <w:rPr>
          <w:sz w:val="20"/>
        </w:rPr>
      </w:pPr>
      <w:r w:rsidRPr="004A6DDD">
        <w:rPr>
          <w:sz w:val="20"/>
        </w:rPr>
        <w:t xml:space="preserve">Source: </w:t>
      </w:r>
      <w:r w:rsidRPr="00E20D18">
        <w:rPr>
          <w:i/>
          <w:sz w:val="20"/>
        </w:rPr>
        <w:t xml:space="preserve">compiled during </w:t>
      </w:r>
      <w:r w:rsidR="00770CEF" w:rsidRPr="00E20D18">
        <w:rPr>
          <w:i/>
          <w:sz w:val="20"/>
        </w:rPr>
        <w:t xml:space="preserve">the </w:t>
      </w:r>
      <w:r w:rsidRPr="00E20D18">
        <w:rPr>
          <w:i/>
          <w:sz w:val="20"/>
        </w:rPr>
        <w:t>evaluation</w:t>
      </w:r>
    </w:p>
    <w:p w:rsidR="00CC34DC" w:rsidRPr="00E20D18" w:rsidRDefault="00CC34DC" w:rsidP="00D0120B">
      <w:pPr>
        <w:pStyle w:val="TableFooter"/>
        <w:keepNext/>
        <w:ind w:left="720"/>
        <w:rPr>
          <w:rFonts w:cstheme="minorBidi"/>
          <w:szCs w:val="18"/>
        </w:rPr>
      </w:pPr>
      <w:r w:rsidRPr="00E20D18">
        <w:rPr>
          <w:szCs w:val="18"/>
        </w:rPr>
        <w:t>FDC = fixed-dose combination; HIV = human immunod</w:t>
      </w:r>
      <w:r w:rsidR="0024291E" w:rsidRPr="00E20D18">
        <w:rPr>
          <w:szCs w:val="18"/>
        </w:rPr>
        <w:t>eficiency virus; NRTI = nucleoside/nucleot</w:t>
      </w:r>
      <w:r w:rsidRPr="00E20D18">
        <w:rPr>
          <w:szCs w:val="18"/>
        </w:rPr>
        <w:t>ide reverse transcriptase inhibitors;</w:t>
      </w:r>
      <w:r w:rsidR="00E74A59" w:rsidRPr="00E20D18">
        <w:rPr>
          <w:szCs w:val="18"/>
        </w:rPr>
        <w:t xml:space="preserve"> ABC = abacavir;</w:t>
      </w:r>
      <w:r w:rsidRPr="00E20D18">
        <w:rPr>
          <w:szCs w:val="18"/>
        </w:rPr>
        <w:t xml:space="preserve"> c = cobicistat; DRV = darunavir;</w:t>
      </w:r>
      <w:r w:rsidR="00F90211" w:rsidRPr="00E20D18">
        <w:rPr>
          <w:szCs w:val="18"/>
        </w:rPr>
        <w:t xml:space="preserve"> DTG = dolutegravir;</w:t>
      </w:r>
      <w:r w:rsidRPr="00E20D18">
        <w:rPr>
          <w:szCs w:val="18"/>
        </w:rPr>
        <w:t xml:space="preserve"> FTC = </w:t>
      </w:r>
      <w:r w:rsidRPr="00E20D18">
        <w:rPr>
          <w:rFonts w:cstheme="minorBidi"/>
          <w:szCs w:val="18"/>
        </w:rPr>
        <w:t>emtricitabine; LPV = lopinavir;</w:t>
      </w:r>
      <w:r w:rsidRPr="00E20D18">
        <w:rPr>
          <w:szCs w:val="18"/>
        </w:rPr>
        <w:t xml:space="preserve"> r</w:t>
      </w:r>
      <w:r w:rsidR="00A76F5B">
        <w:rPr>
          <w:szCs w:val="18"/>
        </w:rPr>
        <w:t> </w:t>
      </w:r>
      <w:r w:rsidRPr="00E20D18">
        <w:rPr>
          <w:szCs w:val="18"/>
        </w:rPr>
        <w:t>=</w:t>
      </w:r>
      <w:r w:rsidR="00A76F5B">
        <w:rPr>
          <w:szCs w:val="18"/>
        </w:rPr>
        <w:t> </w:t>
      </w:r>
      <w:r w:rsidRPr="00E20D18">
        <w:rPr>
          <w:szCs w:val="18"/>
        </w:rPr>
        <w:t xml:space="preserve">ritonavir; TDF = </w:t>
      </w:r>
      <w:r w:rsidRPr="00E20D18">
        <w:rPr>
          <w:rFonts w:cstheme="minorBidi"/>
          <w:szCs w:val="18"/>
        </w:rPr>
        <w:t>tenofovir disoproxil fumarate</w:t>
      </w:r>
      <w:r w:rsidR="00AB061F" w:rsidRPr="00E20D18">
        <w:rPr>
          <w:rFonts w:cstheme="minorBidi"/>
          <w:szCs w:val="18"/>
        </w:rPr>
        <w:t>; Tx = treatment</w:t>
      </w:r>
      <w:r w:rsidR="00E74A59" w:rsidRPr="00E20D18">
        <w:rPr>
          <w:rFonts w:cstheme="minorBidi"/>
          <w:szCs w:val="18"/>
        </w:rPr>
        <w:t>; 3TC = lamivudine</w:t>
      </w:r>
    </w:p>
    <w:p w:rsidR="00274D10" w:rsidRPr="00274D10" w:rsidRDefault="00274D10" w:rsidP="00D0120B">
      <w:pPr>
        <w:pStyle w:val="TableFooter"/>
        <w:keepNext/>
        <w:ind w:firstLine="720"/>
        <w:rPr>
          <w:szCs w:val="18"/>
        </w:rPr>
      </w:pPr>
      <w:r w:rsidRPr="007D5D1B">
        <w:rPr>
          <w:rFonts w:cstheme="minorBidi"/>
          <w:szCs w:val="18"/>
          <w:vertAlign w:val="superscript"/>
        </w:rPr>
        <w:t>a</w:t>
      </w:r>
      <w:r w:rsidRPr="007D5D1B">
        <w:rPr>
          <w:rFonts w:cstheme="minorBidi"/>
          <w:szCs w:val="18"/>
        </w:rPr>
        <w:t xml:space="preserve"> The common reference </w:t>
      </w:r>
      <w:r w:rsidR="00962E52">
        <w:rPr>
          <w:rFonts w:cstheme="minorBidi"/>
          <w:szCs w:val="18"/>
        </w:rPr>
        <w:t>wa</w:t>
      </w:r>
      <w:r w:rsidRPr="007D5D1B">
        <w:rPr>
          <w:rFonts w:cstheme="minorBidi"/>
          <w:szCs w:val="18"/>
        </w:rPr>
        <w:t>s also the supportive comparator</w:t>
      </w:r>
    </w:p>
    <w:p w:rsidR="00CC34DC" w:rsidRPr="00E74A59" w:rsidRDefault="00274D10" w:rsidP="00D0120B">
      <w:pPr>
        <w:pStyle w:val="TableFooter"/>
        <w:keepNext/>
        <w:ind w:left="720"/>
      </w:pPr>
      <w:r w:rsidRPr="00E74A59">
        <w:rPr>
          <w:vertAlign w:val="superscript"/>
        </w:rPr>
        <w:t>b</w:t>
      </w:r>
      <w:r w:rsidR="00AC2188" w:rsidRPr="00E74A59">
        <w:rPr>
          <w:vertAlign w:val="superscript"/>
        </w:rPr>
        <w:t xml:space="preserve"> </w:t>
      </w:r>
      <w:r w:rsidR="00770CEF">
        <w:t>P</w:t>
      </w:r>
      <w:r w:rsidRPr="00E74A59">
        <w:t xml:space="preserve">lus </w:t>
      </w:r>
      <w:r w:rsidR="00AC2188" w:rsidRPr="00E74A59">
        <w:t>2 NRTIs</w:t>
      </w:r>
    </w:p>
    <w:p w:rsidR="00A649E4" w:rsidRPr="00BE0E2C" w:rsidRDefault="00E74A59" w:rsidP="00D0120B">
      <w:pPr>
        <w:pStyle w:val="TableFooter"/>
        <w:keepNext/>
        <w:ind w:firstLine="720"/>
      </w:pPr>
      <w:r w:rsidRPr="00E74A59">
        <w:rPr>
          <w:vertAlign w:val="superscript"/>
        </w:rPr>
        <w:t xml:space="preserve">c </w:t>
      </w:r>
      <w:r w:rsidR="00A649E4">
        <w:t xml:space="preserve">Emtricitabine and tenofovir disoproxil fumarate took up nearly all NRTI usage </w:t>
      </w:r>
    </w:p>
    <w:p w:rsidR="00E74A59" w:rsidRPr="00E74A59" w:rsidRDefault="00E74A59" w:rsidP="00D0120B">
      <w:pPr>
        <w:pStyle w:val="TableFooter"/>
        <w:keepNext/>
        <w:ind w:firstLine="720"/>
      </w:pPr>
      <w:r w:rsidRPr="00E74A59">
        <w:rPr>
          <w:vertAlign w:val="superscript"/>
        </w:rPr>
        <w:t>d</w:t>
      </w:r>
      <w:r>
        <w:rPr>
          <w:vertAlign w:val="superscript"/>
        </w:rPr>
        <w:t xml:space="preserve"> </w:t>
      </w:r>
      <w:r>
        <w:t>66.9% was TDF + FTC and 33.1% was ABC/3TC</w:t>
      </w:r>
    </w:p>
    <w:p w:rsidR="00D966B7" w:rsidRPr="001F401D" w:rsidRDefault="00D966B7" w:rsidP="007A5738">
      <w:pPr>
        <w:spacing w:line="960" w:lineRule="auto"/>
        <w:rPr>
          <w:szCs w:val="22"/>
        </w:rPr>
      </w:pPr>
    </w:p>
    <w:p w:rsidR="00862502" w:rsidRPr="00B50DB8" w:rsidRDefault="00862502" w:rsidP="0044463D">
      <w:pPr>
        <w:pStyle w:val="ListParagraph"/>
        <w:numPr>
          <w:ilvl w:val="1"/>
          <w:numId w:val="3"/>
        </w:numPr>
        <w:rPr>
          <w:szCs w:val="22"/>
        </w:rPr>
      </w:pPr>
      <w:r w:rsidRPr="00B50DB8">
        <w:rPr>
          <w:szCs w:val="22"/>
        </w:rPr>
        <w:lastRenderedPageBreak/>
        <w:t xml:space="preserve">Details of the </w:t>
      </w:r>
      <w:r w:rsidR="001F401D">
        <w:rPr>
          <w:szCs w:val="22"/>
        </w:rPr>
        <w:t>studies</w:t>
      </w:r>
      <w:r w:rsidRPr="00B50DB8">
        <w:rPr>
          <w:szCs w:val="22"/>
        </w:rPr>
        <w:t xml:space="preserve"> presented in the submission a</w:t>
      </w:r>
      <w:r w:rsidR="00843E03">
        <w:rPr>
          <w:szCs w:val="22"/>
        </w:rPr>
        <w:t xml:space="preserve">re provided in </w:t>
      </w:r>
      <w:r w:rsidR="00FD3CBA">
        <w:rPr>
          <w:szCs w:val="22"/>
        </w:rPr>
        <w:t>Table 2</w:t>
      </w:r>
      <w:r w:rsidR="00843E03">
        <w:rPr>
          <w:szCs w:val="22"/>
        </w:rPr>
        <w:t xml:space="preserve"> below.</w:t>
      </w:r>
      <w:r w:rsidRPr="00B50DB8">
        <w:rPr>
          <w:szCs w:val="22"/>
        </w:rPr>
        <w:t xml:space="preserve"> </w:t>
      </w:r>
    </w:p>
    <w:p w:rsidR="00862502" w:rsidRPr="00862502" w:rsidRDefault="00862502" w:rsidP="00862502">
      <w:pPr>
        <w:rPr>
          <w:szCs w:val="22"/>
        </w:rPr>
      </w:pPr>
    </w:p>
    <w:p w:rsidR="008F120A" w:rsidRDefault="008F120A" w:rsidP="00941BF9">
      <w:pPr>
        <w:keepNext/>
        <w:ind w:firstLine="720"/>
        <w:rPr>
          <w:rStyle w:val="CommentReference"/>
        </w:rPr>
      </w:pPr>
      <w:r w:rsidRPr="000812CA">
        <w:rPr>
          <w:rStyle w:val="CommentReference"/>
        </w:rPr>
        <w:t xml:space="preserve">Table </w:t>
      </w:r>
      <w:r w:rsidR="00FD3CBA">
        <w:rPr>
          <w:rStyle w:val="CommentReference"/>
        </w:rPr>
        <w:t>2</w:t>
      </w:r>
      <w:r w:rsidRPr="000812CA">
        <w:rPr>
          <w:rStyle w:val="CommentReference"/>
        </w:rPr>
        <w:t>: Trials and associated reports presented in the submission</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and reports presented in the submission"/>
      </w:tblPr>
      <w:tblGrid>
        <w:gridCol w:w="913"/>
        <w:gridCol w:w="5891"/>
        <w:gridCol w:w="1541"/>
      </w:tblGrid>
      <w:tr w:rsidR="003F415E" w:rsidRPr="004E2ADC" w:rsidTr="00941BF9">
        <w:trPr>
          <w:cantSplit/>
          <w:tblHeader/>
        </w:trPr>
        <w:tc>
          <w:tcPr>
            <w:tcW w:w="0" w:type="auto"/>
          </w:tcPr>
          <w:p w:rsidR="003F415E" w:rsidRPr="004E2ADC" w:rsidRDefault="003F415E" w:rsidP="00941BF9">
            <w:pPr>
              <w:keepNext/>
              <w:rPr>
                <w:rFonts w:ascii="Arial Narrow" w:hAnsi="Arial Narrow"/>
                <w:b/>
                <w:sz w:val="20"/>
              </w:rPr>
            </w:pPr>
            <w:r w:rsidRPr="004E2ADC">
              <w:rPr>
                <w:rFonts w:ascii="Arial Narrow" w:hAnsi="Arial Narrow"/>
                <w:b/>
                <w:sz w:val="20"/>
              </w:rPr>
              <w:t>Trial ID</w:t>
            </w:r>
          </w:p>
        </w:tc>
        <w:tc>
          <w:tcPr>
            <w:tcW w:w="5891" w:type="dxa"/>
          </w:tcPr>
          <w:p w:rsidR="003F415E" w:rsidRPr="004E2ADC" w:rsidRDefault="003F415E" w:rsidP="00941BF9">
            <w:pPr>
              <w:keepNext/>
              <w:jc w:val="center"/>
              <w:rPr>
                <w:rFonts w:ascii="Arial Narrow" w:hAnsi="Arial Narrow"/>
                <w:b/>
                <w:sz w:val="20"/>
              </w:rPr>
            </w:pPr>
            <w:r w:rsidRPr="004E2ADC">
              <w:rPr>
                <w:rFonts w:ascii="Arial Narrow" w:hAnsi="Arial Narrow"/>
                <w:b/>
                <w:sz w:val="20"/>
              </w:rPr>
              <w:t>Protocol title/ Publication title</w:t>
            </w:r>
          </w:p>
        </w:tc>
        <w:tc>
          <w:tcPr>
            <w:tcW w:w="1541" w:type="dxa"/>
          </w:tcPr>
          <w:p w:rsidR="003F415E" w:rsidRPr="004E2ADC" w:rsidRDefault="003F415E" w:rsidP="00941BF9">
            <w:pPr>
              <w:keepNext/>
              <w:jc w:val="left"/>
              <w:rPr>
                <w:rFonts w:ascii="Arial Narrow" w:hAnsi="Arial Narrow"/>
                <w:b/>
                <w:sz w:val="20"/>
              </w:rPr>
            </w:pPr>
            <w:r w:rsidRPr="004E2ADC">
              <w:rPr>
                <w:rFonts w:ascii="Arial Narrow" w:hAnsi="Arial Narrow"/>
                <w:b/>
                <w:sz w:val="20"/>
              </w:rPr>
              <w:t>Publication citation</w:t>
            </w:r>
          </w:p>
        </w:tc>
      </w:tr>
      <w:tr w:rsidR="003F23C5" w:rsidRPr="004E2ADC" w:rsidTr="00941BF9">
        <w:trPr>
          <w:cantSplit/>
        </w:trPr>
        <w:tc>
          <w:tcPr>
            <w:tcW w:w="0" w:type="auto"/>
            <w:gridSpan w:val="3"/>
          </w:tcPr>
          <w:p w:rsidR="003F23C5" w:rsidRPr="0077680C" w:rsidRDefault="00DD629B" w:rsidP="00941BF9">
            <w:pPr>
              <w:pStyle w:val="Tabletext"/>
              <w:keepNext/>
              <w:jc w:val="left"/>
              <w:rPr>
                <w:rFonts w:cs="TimesNewRoman,Bold"/>
                <w:bCs/>
                <w:lang w:eastAsia="en-AU"/>
              </w:rPr>
            </w:pPr>
            <w:r>
              <w:rPr>
                <w:b/>
                <w:lang w:val="en-GB"/>
              </w:rPr>
              <w:t>Pharmacokinetics</w:t>
            </w:r>
            <w:r w:rsidR="006520C3">
              <w:rPr>
                <w:b/>
                <w:lang w:val="en-GB"/>
              </w:rPr>
              <w:t xml:space="preserve"> evidence</w:t>
            </w:r>
          </w:p>
        </w:tc>
      </w:tr>
      <w:tr w:rsidR="006520C3" w:rsidRPr="004E2ADC" w:rsidTr="00941BF9">
        <w:trPr>
          <w:cantSplit/>
        </w:trPr>
        <w:tc>
          <w:tcPr>
            <w:tcW w:w="0" w:type="auto"/>
          </w:tcPr>
          <w:p w:rsidR="006520C3" w:rsidRPr="004E2ADC" w:rsidRDefault="006520C3" w:rsidP="00941BF9">
            <w:pPr>
              <w:keepNext/>
              <w:rPr>
                <w:rFonts w:ascii="Arial Narrow" w:hAnsi="Arial Narrow"/>
                <w:sz w:val="20"/>
              </w:rPr>
            </w:pPr>
            <w:r>
              <w:rPr>
                <w:rFonts w:ascii="Arial Narrow" w:hAnsi="Arial Narrow"/>
                <w:sz w:val="20"/>
              </w:rPr>
              <w:t>Study 1001</w:t>
            </w:r>
          </w:p>
        </w:tc>
        <w:tc>
          <w:tcPr>
            <w:tcW w:w="5891" w:type="dxa"/>
          </w:tcPr>
          <w:p w:rsidR="006520C3" w:rsidRDefault="006520C3" w:rsidP="00941BF9">
            <w:pPr>
              <w:keepNext/>
              <w:rPr>
                <w:rFonts w:ascii="Arial Narrow" w:hAnsi="Arial Narrow"/>
                <w:sz w:val="20"/>
              </w:rPr>
            </w:pPr>
            <w:r w:rsidRPr="00437B1B">
              <w:rPr>
                <w:rFonts w:ascii="Arial Narrow" w:hAnsi="Arial Narrow"/>
                <w:sz w:val="20"/>
              </w:rPr>
              <w:t>A Phase I open-label, randomised, 3-way crossover study in healthy individuals to evaluate under fed and steady-state conditions the pharmacokinetics and relative bioavailability of two fixed dose formulations (G003 and G004) of darunavir/cobicistat 800/150 mg versus darunavir/ritonavir 800/100 mg coadministered as single agents.</w:t>
            </w:r>
          </w:p>
          <w:p w:rsidR="006520C3" w:rsidRDefault="006520C3" w:rsidP="00941BF9">
            <w:pPr>
              <w:keepNext/>
              <w:rPr>
                <w:rFonts w:ascii="Arial Narrow" w:hAnsi="Arial Narrow"/>
                <w:sz w:val="20"/>
              </w:rPr>
            </w:pPr>
          </w:p>
          <w:p w:rsidR="006520C3" w:rsidRPr="00437B1B" w:rsidRDefault="006520C3" w:rsidP="00941BF9">
            <w:pPr>
              <w:keepNext/>
              <w:rPr>
                <w:rFonts w:ascii="Arial Narrow" w:hAnsi="Arial Narrow"/>
                <w:sz w:val="20"/>
              </w:rPr>
            </w:pPr>
            <w:r>
              <w:rPr>
                <w:rFonts w:ascii="Arial Narrow" w:hAnsi="Arial Narrow"/>
                <w:sz w:val="20"/>
              </w:rPr>
              <w:t>Kakuda TN</w:t>
            </w:r>
            <w:r w:rsidRPr="00911D3C">
              <w:rPr>
                <w:rFonts w:ascii="Arial Narrow" w:hAnsi="Arial Narrow"/>
                <w:sz w:val="20"/>
              </w:rPr>
              <w:t>,</w:t>
            </w:r>
            <w:r>
              <w:rPr>
                <w:rFonts w:ascii="Arial Narrow" w:hAnsi="Arial Narrow"/>
                <w:sz w:val="20"/>
              </w:rPr>
              <w:t xml:space="preserve"> Opsomer M, Timmers M, </w:t>
            </w:r>
            <w:r w:rsidRPr="00B31B51">
              <w:rPr>
                <w:rFonts w:ascii="Arial Narrow" w:hAnsi="Arial Narrow"/>
                <w:i/>
                <w:sz w:val="20"/>
              </w:rPr>
              <w:t>et al</w:t>
            </w:r>
            <w:r w:rsidRPr="00911D3C">
              <w:rPr>
                <w:rFonts w:ascii="Arial Narrow" w:hAnsi="Arial Narrow"/>
                <w:sz w:val="20"/>
              </w:rPr>
              <w:t xml:space="preserve"> (2014). Pharmacokinetics of darunavir in fixed-dose combination with cobicistat compared with coadministration of darunavir and ritonavir as single agents in healthy volunteers. </w:t>
            </w:r>
          </w:p>
        </w:tc>
        <w:tc>
          <w:tcPr>
            <w:tcW w:w="1541" w:type="dxa"/>
          </w:tcPr>
          <w:p w:rsidR="006520C3" w:rsidRDefault="004240FC" w:rsidP="00941BF9">
            <w:pPr>
              <w:pStyle w:val="Tabletext"/>
              <w:keepNext/>
              <w:jc w:val="left"/>
              <w:rPr>
                <w:lang w:eastAsia="en-AU"/>
              </w:rPr>
            </w:pPr>
            <w:r>
              <w:rPr>
                <w:lang w:eastAsia="en-AU"/>
              </w:rPr>
              <w:t>CSR</w:t>
            </w:r>
            <w:r w:rsidR="000A7E74">
              <w:rPr>
                <w:lang w:eastAsia="en-AU"/>
              </w:rPr>
              <w:t>, 22 Feb 2012</w:t>
            </w:r>
          </w:p>
          <w:p w:rsidR="006520C3" w:rsidRDefault="006520C3" w:rsidP="00941BF9">
            <w:pPr>
              <w:pStyle w:val="Tabletext"/>
              <w:keepNext/>
              <w:jc w:val="left"/>
              <w:rPr>
                <w:lang w:eastAsia="en-AU"/>
              </w:rPr>
            </w:pPr>
          </w:p>
          <w:p w:rsidR="006520C3" w:rsidRDefault="006520C3" w:rsidP="00941BF9">
            <w:pPr>
              <w:pStyle w:val="Tabletext"/>
              <w:keepNext/>
              <w:jc w:val="left"/>
              <w:rPr>
                <w:lang w:eastAsia="en-AU"/>
              </w:rPr>
            </w:pPr>
          </w:p>
          <w:p w:rsidR="006520C3" w:rsidRDefault="006520C3" w:rsidP="00941BF9">
            <w:pPr>
              <w:pStyle w:val="Tabletext"/>
              <w:keepNext/>
              <w:jc w:val="left"/>
              <w:rPr>
                <w:lang w:eastAsia="en-AU"/>
              </w:rPr>
            </w:pPr>
          </w:p>
          <w:p w:rsidR="004240FC" w:rsidRDefault="004240FC" w:rsidP="00941BF9">
            <w:pPr>
              <w:pStyle w:val="Tabletext"/>
              <w:keepNext/>
              <w:jc w:val="left"/>
              <w:rPr>
                <w:lang w:eastAsia="en-AU"/>
              </w:rPr>
            </w:pPr>
          </w:p>
          <w:p w:rsidR="006520C3" w:rsidRDefault="006520C3" w:rsidP="00941BF9">
            <w:pPr>
              <w:pStyle w:val="Tabletext"/>
              <w:keepNext/>
              <w:jc w:val="left"/>
              <w:rPr>
                <w:lang w:eastAsia="en-AU"/>
              </w:rPr>
            </w:pPr>
          </w:p>
          <w:p w:rsidR="006520C3" w:rsidRPr="00911D3C" w:rsidRDefault="006520C3" w:rsidP="00941BF9">
            <w:pPr>
              <w:pStyle w:val="Tabletext"/>
              <w:keepNext/>
              <w:jc w:val="left"/>
              <w:rPr>
                <w:i/>
                <w:lang w:eastAsia="en-AU"/>
              </w:rPr>
            </w:pPr>
            <w:r w:rsidRPr="00911D3C">
              <w:rPr>
                <w:i/>
              </w:rPr>
              <w:t>J Clin Pharmacol</w:t>
            </w:r>
            <w:r>
              <w:rPr>
                <w:i/>
              </w:rPr>
              <w:t>,</w:t>
            </w:r>
            <w:r>
              <w:t xml:space="preserve"> </w:t>
            </w:r>
            <w:r w:rsidR="004240FC">
              <w:t>54:949-57</w:t>
            </w:r>
            <w:r>
              <w:t>.</w:t>
            </w:r>
          </w:p>
          <w:p w:rsidR="006520C3" w:rsidRPr="004E2ADC" w:rsidRDefault="006520C3" w:rsidP="00941BF9">
            <w:pPr>
              <w:keepNext/>
              <w:jc w:val="left"/>
              <w:rPr>
                <w:rFonts w:ascii="Arial Narrow" w:hAnsi="Arial Narrow"/>
                <w:b/>
                <w:sz w:val="20"/>
              </w:rPr>
            </w:pPr>
          </w:p>
        </w:tc>
      </w:tr>
      <w:tr w:rsidR="003F415E" w:rsidRPr="004E2ADC" w:rsidTr="00941BF9">
        <w:trPr>
          <w:cantSplit/>
        </w:trPr>
        <w:tc>
          <w:tcPr>
            <w:tcW w:w="0" w:type="auto"/>
          </w:tcPr>
          <w:p w:rsidR="003F415E" w:rsidRPr="004E2ADC" w:rsidRDefault="003F415E" w:rsidP="00D41704">
            <w:pPr>
              <w:pStyle w:val="Tabletext"/>
            </w:pPr>
            <w:r w:rsidRPr="00461E18">
              <w:t>Study 1003</w:t>
            </w:r>
          </w:p>
        </w:tc>
        <w:tc>
          <w:tcPr>
            <w:tcW w:w="5891" w:type="dxa"/>
          </w:tcPr>
          <w:p w:rsidR="003F415E" w:rsidRPr="0077680C" w:rsidRDefault="003F415E" w:rsidP="00D41704">
            <w:pPr>
              <w:pStyle w:val="Tabletext"/>
              <w:rPr>
                <w:rFonts w:cs="TimesNewRoman,Bold"/>
                <w:bCs/>
                <w:lang w:eastAsia="en-AU"/>
              </w:rPr>
            </w:pPr>
            <w:r w:rsidRPr="0077680C">
              <w:rPr>
                <w:rFonts w:cs="TimesNewRoman,Bold"/>
                <w:bCs/>
                <w:lang w:eastAsia="en-AU"/>
              </w:rPr>
              <w:t>Single-dose, open-label, 3-panel, randomised, pivotal crossover study to assess the bioequivalence of darunavir 800 mg when administered with cobicistat 150 mg as either a fixed dose combination tablet or as single agents under fed and fasted conditions in healthy individuals</w:t>
            </w:r>
            <w:r>
              <w:rPr>
                <w:rFonts w:cs="TimesNewRoman,Bold"/>
                <w:bCs/>
                <w:lang w:eastAsia="en-AU"/>
              </w:rPr>
              <w:t>.</w:t>
            </w:r>
            <w:r w:rsidRPr="0077680C">
              <w:rPr>
                <w:rFonts w:cs="TimesNewRoman,Bold"/>
                <w:bCs/>
                <w:lang w:eastAsia="en-AU"/>
              </w:rPr>
              <w:t xml:space="preserve"> </w:t>
            </w:r>
          </w:p>
          <w:p w:rsidR="003F415E" w:rsidRDefault="003F415E" w:rsidP="00D41704">
            <w:pPr>
              <w:pStyle w:val="Tabletext"/>
            </w:pPr>
          </w:p>
          <w:p w:rsidR="003F415E" w:rsidRPr="004E2ADC" w:rsidRDefault="003F415E" w:rsidP="004240FC">
            <w:pPr>
              <w:pStyle w:val="Tabletext"/>
              <w:rPr>
                <w:b/>
              </w:rPr>
            </w:pPr>
            <w:r>
              <w:t>Kakuda TN</w:t>
            </w:r>
            <w:r w:rsidRPr="00437B1B">
              <w:t>,</w:t>
            </w:r>
            <w:r>
              <w:t xml:space="preserve"> </w:t>
            </w:r>
            <w:r w:rsidR="00B31B51">
              <w:t>Van De Casteele T, Petrovic</w:t>
            </w:r>
            <w:r w:rsidR="00B31B51" w:rsidRPr="00B31B51">
              <w:t xml:space="preserve"> R,</w:t>
            </w:r>
            <w:r w:rsidR="00B31B51">
              <w:t xml:space="preserve"> </w:t>
            </w:r>
            <w:r w:rsidR="00B31B51">
              <w:rPr>
                <w:i/>
              </w:rPr>
              <w:t>et al</w:t>
            </w:r>
            <w:r w:rsidR="00B31B51" w:rsidRPr="00B31B51">
              <w:t xml:space="preserve"> </w:t>
            </w:r>
            <w:r w:rsidRPr="00437B1B">
              <w:t xml:space="preserve">(2014). Bioequivalence of a darunavir/cobicistat fixed-dose combination tablet versus single agents and food effect in healthy volunteers. </w:t>
            </w:r>
          </w:p>
        </w:tc>
        <w:tc>
          <w:tcPr>
            <w:tcW w:w="1541" w:type="dxa"/>
          </w:tcPr>
          <w:p w:rsidR="003F415E" w:rsidRPr="0077680C" w:rsidRDefault="004240FC" w:rsidP="009D15B8">
            <w:pPr>
              <w:pStyle w:val="Tabletext"/>
              <w:jc w:val="left"/>
              <w:rPr>
                <w:rFonts w:cs="TimesNewRoman,Bold"/>
                <w:bCs/>
                <w:lang w:eastAsia="en-AU"/>
              </w:rPr>
            </w:pPr>
            <w:r>
              <w:rPr>
                <w:rFonts w:cs="TimesNewRoman,Bold"/>
                <w:bCs/>
                <w:lang w:eastAsia="en-AU"/>
              </w:rPr>
              <w:t>CSR</w:t>
            </w:r>
            <w:r w:rsidR="00E61621">
              <w:rPr>
                <w:rFonts w:cs="TimesNewRoman,Bold"/>
                <w:bCs/>
                <w:lang w:eastAsia="en-AU"/>
              </w:rPr>
              <w:t>, 25 Jan 2013</w:t>
            </w:r>
          </w:p>
          <w:p w:rsidR="003F415E" w:rsidRDefault="003F415E" w:rsidP="009D15B8">
            <w:pPr>
              <w:pStyle w:val="Tabletext"/>
              <w:jc w:val="left"/>
              <w:rPr>
                <w:b/>
              </w:rPr>
            </w:pPr>
          </w:p>
          <w:p w:rsidR="003F415E" w:rsidRDefault="003F415E" w:rsidP="009D15B8">
            <w:pPr>
              <w:pStyle w:val="Tabletext"/>
              <w:jc w:val="left"/>
              <w:rPr>
                <w:b/>
              </w:rPr>
            </w:pPr>
          </w:p>
          <w:p w:rsidR="004240FC" w:rsidRDefault="004240FC" w:rsidP="009D15B8">
            <w:pPr>
              <w:pStyle w:val="Tabletext"/>
              <w:jc w:val="left"/>
              <w:rPr>
                <w:b/>
              </w:rPr>
            </w:pPr>
          </w:p>
          <w:p w:rsidR="0024291E" w:rsidRDefault="0024291E" w:rsidP="009D15B8">
            <w:pPr>
              <w:pStyle w:val="Tabletext"/>
              <w:jc w:val="left"/>
              <w:rPr>
                <w:i/>
              </w:rPr>
            </w:pPr>
          </w:p>
          <w:p w:rsidR="003F415E" w:rsidRPr="00437B1B" w:rsidRDefault="003F415E" w:rsidP="004240FC">
            <w:pPr>
              <w:pStyle w:val="Tabletext"/>
              <w:jc w:val="left"/>
            </w:pPr>
            <w:r w:rsidRPr="00437B1B">
              <w:rPr>
                <w:i/>
              </w:rPr>
              <w:t xml:space="preserve">Antivir </w:t>
            </w:r>
            <w:r w:rsidR="004240FC">
              <w:rPr>
                <w:i/>
              </w:rPr>
              <w:t>T</w:t>
            </w:r>
            <w:r w:rsidRPr="00437B1B">
              <w:rPr>
                <w:i/>
              </w:rPr>
              <w:t>her</w:t>
            </w:r>
            <w:r w:rsidRPr="00437B1B">
              <w:t xml:space="preserve">, 19:597-606.  </w:t>
            </w:r>
          </w:p>
        </w:tc>
      </w:tr>
      <w:tr w:rsidR="003F23C5" w:rsidRPr="004E2ADC" w:rsidTr="00941BF9">
        <w:trPr>
          <w:cantSplit/>
        </w:trPr>
        <w:tc>
          <w:tcPr>
            <w:tcW w:w="0" w:type="auto"/>
            <w:gridSpan w:val="3"/>
          </w:tcPr>
          <w:p w:rsidR="003F23C5" w:rsidRPr="00316500" w:rsidRDefault="006520C3" w:rsidP="00EB477E">
            <w:pPr>
              <w:jc w:val="left"/>
              <w:rPr>
                <w:rFonts w:ascii="Arial Narrow" w:hAnsi="Arial Narrow"/>
                <w:b/>
                <w:sz w:val="20"/>
              </w:rPr>
            </w:pPr>
            <w:r>
              <w:rPr>
                <w:rFonts w:ascii="Arial Narrow" w:hAnsi="Arial Narrow"/>
                <w:b/>
                <w:sz w:val="20"/>
              </w:rPr>
              <w:t>Efficacy and safety evidence</w:t>
            </w:r>
          </w:p>
        </w:tc>
      </w:tr>
      <w:tr w:rsidR="003F23C5" w:rsidRPr="004E2ADC" w:rsidTr="00941BF9">
        <w:trPr>
          <w:cantSplit/>
        </w:trPr>
        <w:tc>
          <w:tcPr>
            <w:tcW w:w="0" w:type="auto"/>
            <w:gridSpan w:val="3"/>
          </w:tcPr>
          <w:p w:rsidR="003F23C5" w:rsidRPr="00316500" w:rsidRDefault="003F23C5" w:rsidP="00EB477E">
            <w:pPr>
              <w:spacing w:before="240" w:line="720" w:lineRule="auto"/>
              <w:ind w:left="113"/>
              <w:jc w:val="left"/>
              <w:rPr>
                <w:rFonts w:ascii="Arial Narrow" w:hAnsi="Arial Narrow"/>
                <w:b/>
                <w:sz w:val="20"/>
              </w:rPr>
            </w:pPr>
            <w:r w:rsidRPr="00316500">
              <w:rPr>
                <w:rFonts w:ascii="Arial Narrow" w:hAnsi="Arial Narrow"/>
                <w:b/>
                <w:sz w:val="20"/>
              </w:rPr>
              <w:t>Darunavir + cobicistat</w:t>
            </w:r>
          </w:p>
        </w:tc>
      </w:tr>
      <w:tr w:rsidR="003F415E" w:rsidRPr="004E2ADC" w:rsidTr="00941BF9">
        <w:trPr>
          <w:cantSplit/>
        </w:trPr>
        <w:tc>
          <w:tcPr>
            <w:tcW w:w="0" w:type="auto"/>
          </w:tcPr>
          <w:p w:rsidR="003F415E" w:rsidRPr="004E2ADC" w:rsidRDefault="003F415E" w:rsidP="00D41704">
            <w:pPr>
              <w:rPr>
                <w:rFonts w:ascii="Arial Narrow" w:hAnsi="Arial Narrow"/>
                <w:sz w:val="20"/>
              </w:rPr>
            </w:pPr>
            <w:r>
              <w:rPr>
                <w:rFonts w:ascii="Arial Narrow" w:hAnsi="Arial Narrow"/>
                <w:sz w:val="20"/>
              </w:rPr>
              <w:t>Study 0130</w:t>
            </w:r>
          </w:p>
        </w:tc>
        <w:tc>
          <w:tcPr>
            <w:tcW w:w="5891" w:type="dxa"/>
          </w:tcPr>
          <w:p w:rsidR="003F415E" w:rsidRDefault="003F415E" w:rsidP="00D41704">
            <w:pPr>
              <w:rPr>
                <w:rFonts w:ascii="Arial Narrow" w:hAnsi="Arial Narrow"/>
                <w:sz w:val="20"/>
              </w:rPr>
            </w:pPr>
            <w:r w:rsidRPr="008B0F99">
              <w:rPr>
                <w:rFonts w:ascii="Arial Narrow" w:hAnsi="Arial Narrow"/>
                <w:sz w:val="20"/>
              </w:rPr>
              <w:t>A phase 3b, open-label, single arm study to evaluate the safety and efficacy of cobicistat-boosted darunavir plus two fully active nucleoside reverse transcriptase inhibitors in HIV-1 infected, antiretroviral treatment-naïve and -experienced adults with no darunavir resistance associated mutations.</w:t>
            </w:r>
          </w:p>
          <w:p w:rsidR="003F415E" w:rsidRDefault="003F415E" w:rsidP="00D41704">
            <w:pPr>
              <w:rPr>
                <w:rFonts w:ascii="Arial Narrow" w:hAnsi="Arial Narrow"/>
                <w:sz w:val="20"/>
              </w:rPr>
            </w:pPr>
          </w:p>
          <w:p w:rsidR="003F415E" w:rsidRPr="008B0F99" w:rsidRDefault="00B31B51" w:rsidP="00D41704">
            <w:pPr>
              <w:rPr>
                <w:rFonts w:ascii="Arial Narrow" w:hAnsi="Arial Narrow"/>
                <w:sz w:val="20"/>
              </w:rPr>
            </w:pPr>
            <w:r>
              <w:rPr>
                <w:rFonts w:ascii="Arial Narrow" w:hAnsi="Arial Narrow"/>
                <w:sz w:val="20"/>
              </w:rPr>
              <w:t>Tashima K</w:t>
            </w:r>
            <w:r w:rsidR="003F415E" w:rsidRPr="008B0F99">
              <w:rPr>
                <w:rFonts w:ascii="Arial Narrow" w:hAnsi="Arial Narrow"/>
                <w:sz w:val="20"/>
              </w:rPr>
              <w:t>,</w:t>
            </w:r>
            <w:r>
              <w:rPr>
                <w:rFonts w:ascii="Arial Narrow" w:hAnsi="Arial Narrow"/>
                <w:sz w:val="20"/>
              </w:rPr>
              <w:t xml:space="preserve"> Crofoot G, Tomaka FL, </w:t>
            </w:r>
            <w:r w:rsidRPr="00B31B51">
              <w:rPr>
                <w:rFonts w:ascii="Arial Narrow" w:hAnsi="Arial Narrow"/>
                <w:i/>
                <w:sz w:val="20"/>
              </w:rPr>
              <w:t>et al</w:t>
            </w:r>
            <w:r w:rsidR="003F415E" w:rsidRPr="008B0F99">
              <w:rPr>
                <w:rFonts w:ascii="Arial Narrow" w:hAnsi="Arial Narrow"/>
                <w:sz w:val="20"/>
              </w:rPr>
              <w:t xml:space="preserve"> (2014). Cobicistat-boosted darunavir in HIV-1-infected adults: week 48 results of a phase IIIb, open-label single-arm trial. </w:t>
            </w:r>
          </w:p>
        </w:tc>
        <w:tc>
          <w:tcPr>
            <w:tcW w:w="1541" w:type="dxa"/>
          </w:tcPr>
          <w:p w:rsidR="003F415E" w:rsidRDefault="000A7E74" w:rsidP="009D15B8">
            <w:pPr>
              <w:jc w:val="left"/>
              <w:rPr>
                <w:rFonts w:ascii="Arial Narrow" w:hAnsi="Arial Narrow"/>
                <w:sz w:val="20"/>
              </w:rPr>
            </w:pPr>
            <w:r>
              <w:rPr>
                <w:rFonts w:ascii="Arial Narrow" w:hAnsi="Arial Narrow"/>
                <w:sz w:val="20"/>
              </w:rPr>
              <w:t>CSR</w:t>
            </w:r>
            <w:r w:rsidR="006413E5">
              <w:rPr>
                <w:rFonts w:ascii="Arial Narrow" w:hAnsi="Arial Narrow"/>
                <w:sz w:val="20"/>
              </w:rPr>
              <w:t>, 26 Nov 2012 (W</w:t>
            </w:r>
            <w:r w:rsidR="003F415E" w:rsidRPr="00316500">
              <w:rPr>
                <w:rFonts w:ascii="Arial Narrow" w:hAnsi="Arial Narrow"/>
                <w:sz w:val="20"/>
              </w:rPr>
              <w:t>eek 24)</w:t>
            </w:r>
          </w:p>
          <w:p w:rsidR="003F415E" w:rsidRDefault="003F415E" w:rsidP="009D15B8">
            <w:pPr>
              <w:jc w:val="left"/>
              <w:rPr>
                <w:rFonts w:ascii="Arial Narrow" w:hAnsi="Arial Narrow"/>
                <w:sz w:val="20"/>
              </w:rPr>
            </w:pPr>
          </w:p>
          <w:p w:rsidR="003F415E" w:rsidRDefault="003F415E" w:rsidP="009D15B8">
            <w:pPr>
              <w:jc w:val="left"/>
              <w:rPr>
                <w:rFonts w:ascii="Arial Narrow" w:hAnsi="Arial Narrow"/>
                <w:sz w:val="20"/>
              </w:rPr>
            </w:pPr>
          </w:p>
          <w:p w:rsidR="003F415E" w:rsidRDefault="003F415E" w:rsidP="009D15B8">
            <w:pPr>
              <w:jc w:val="left"/>
              <w:rPr>
                <w:rFonts w:ascii="Arial Narrow" w:hAnsi="Arial Narrow"/>
                <w:sz w:val="20"/>
              </w:rPr>
            </w:pPr>
          </w:p>
          <w:p w:rsidR="003F415E" w:rsidRPr="00316500" w:rsidRDefault="003F415E" w:rsidP="004240FC">
            <w:pPr>
              <w:jc w:val="left"/>
              <w:rPr>
                <w:rFonts w:ascii="Arial Narrow" w:hAnsi="Arial Narrow"/>
                <w:sz w:val="20"/>
              </w:rPr>
            </w:pPr>
            <w:r w:rsidRPr="008B0F99">
              <w:rPr>
                <w:rFonts w:ascii="Arial Narrow" w:hAnsi="Arial Narrow"/>
                <w:i/>
                <w:sz w:val="20"/>
              </w:rPr>
              <w:t>AIDS Res Ther</w:t>
            </w:r>
            <w:r w:rsidRPr="008B0F99">
              <w:rPr>
                <w:rFonts w:ascii="Arial Narrow" w:hAnsi="Arial Narrow"/>
                <w:sz w:val="20"/>
              </w:rPr>
              <w:t>, 11</w:t>
            </w:r>
            <w:r w:rsidR="004240FC">
              <w:rPr>
                <w:rFonts w:ascii="Arial Narrow" w:hAnsi="Arial Narrow"/>
                <w:sz w:val="20"/>
              </w:rPr>
              <w:t>:</w:t>
            </w:r>
            <w:r>
              <w:rPr>
                <w:rFonts w:ascii="Arial Narrow" w:hAnsi="Arial Narrow"/>
                <w:sz w:val="20"/>
              </w:rPr>
              <w:t xml:space="preserve"> 1-27</w:t>
            </w:r>
          </w:p>
        </w:tc>
      </w:tr>
      <w:tr w:rsidR="003F23C5" w:rsidRPr="004E2ADC" w:rsidTr="00941BF9">
        <w:trPr>
          <w:cantSplit/>
        </w:trPr>
        <w:tc>
          <w:tcPr>
            <w:tcW w:w="0" w:type="auto"/>
            <w:gridSpan w:val="3"/>
          </w:tcPr>
          <w:p w:rsidR="003F23C5" w:rsidRPr="00AA3C02" w:rsidRDefault="00ED0E43" w:rsidP="009D15B8">
            <w:pPr>
              <w:ind w:left="113"/>
              <w:jc w:val="left"/>
              <w:rPr>
                <w:rFonts w:ascii="Arial Narrow" w:hAnsi="Arial Narrow"/>
                <w:b/>
                <w:sz w:val="20"/>
              </w:rPr>
            </w:pPr>
            <w:r>
              <w:rPr>
                <w:rFonts w:ascii="Arial Narrow" w:hAnsi="Arial Narrow"/>
                <w:b/>
                <w:sz w:val="20"/>
              </w:rPr>
              <w:t>Darunavir</w:t>
            </w:r>
            <w:r w:rsidR="002A1162">
              <w:rPr>
                <w:rFonts w:ascii="Arial Narrow" w:hAnsi="Arial Narrow"/>
                <w:b/>
                <w:sz w:val="20"/>
              </w:rPr>
              <w:t xml:space="preserve"> </w:t>
            </w:r>
            <w:r w:rsidR="003F23C5" w:rsidRPr="00AA3C02">
              <w:rPr>
                <w:rFonts w:ascii="Arial Narrow" w:hAnsi="Arial Narrow"/>
                <w:b/>
                <w:sz w:val="20"/>
              </w:rPr>
              <w:t xml:space="preserve">+ ritonavir </w:t>
            </w:r>
          </w:p>
        </w:tc>
      </w:tr>
      <w:tr w:rsidR="003F415E" w:rsidRPr="004E2ADC" w:rsidTr="00941BF9">
        <w:trPr>
          <w:cantSplit/>
          <w:trHeight w:val="192"/>
        </w:trPr>
        <w:tc>
          <w:tcPr>
            <w:tcW w:w="0" w:type="auto"/>
          </w:tcPr>
          <w:p w:rsidR="003F415E" w:rsidRPr="004E2ADC" w:rsidRDefault="003F415E" w:rsidP="006520C3">
            <w:pPr>
              <w:rPr>
                <w:rFonts w:ascii="Arial Narrow" w:hAnsi="Arial Narrow"/>
                <w:sz w:val="20"/>
              </w:rPr>
            </w:pPr>
            <w:r w:rsidRPr="00AA3C02">
              <w:rPr>
                <w:rFonts w:ascii="Arial Narrow" w:hAnsi="Arial Narrow"/>
                <w:sz w:val="20"/>
              </w:rPr>
              <w:t xml:space="preserve">ARTEMIS </w:t>
            </w:r>
          </w:p>
        </w:tc>
        <w:tc>
          <w:tcPr>
            <w:tcW w:w="5891" w:type="dxa"/>
          </w:tcPr>
          <w:p w:rsidR="003F415E" w:rsidRDefault="003F415E" w:rsidP="00D41704">
            <w:pPr>
              <w:rPr>
                <w:rFonts w:ascii="Arial Narrow" w:hAnsi="Arial Narrow"/>
                <w:sz w:val="20"/>
              </w:rPr>
            </w:pPr>
            <w:r w:rsidRPr="00AA3C02">
              <w:rPr>
                <w:rFonts w:ascii="Arial Narrow" w:hAnsi="Arial Narrow"/>
                <w:sz w:val="20"/>
              </w:rPr>
              <w:t>A randomised, controlled open-label, active-controlled trial to compare the efficacy, safety and tolerability of darunavir/ritonavir versus lopinavir/ritonavir in treatment-naïve HIV-1 infected patients.</w:t>
            </w:r>
          </w:p>
          <w:p w:rsidR="003F415E" w:rsidRDefault="003F415E" w:rsidP="00D41704">
            <w:pPr>
              <w:rPr>
                <w:rFonts w:ascii="Arial Narrow" w:hAnsi="Arial Narrow"/>
                <w:sz w:val="20"/>
              </w:rPr>
            </w:pPr>
          </w:p>
          <w:p w:rsidR="003F415E" w:rsidRPr="00AA3C02" w:rsidRDefault="008679D0" w:rsidP="008679D0">
            <w:pPr>
              <w:keepNext/>
              <w:autoSpaceDE w:val="0"/>
              <w:autoSpaceDN w:val="0"/>
              <w:adjustRightInd w:val="0"/>
              <w:rPr>
                <w:rFonts w:ascii="Arial Narrow" w:eastAsia="TimesNewRoman" w:hAnsi="Arial Narrow" w:cs="TimesNewRoman"/>
                <w:snapToGrid/>
                <w:sz w:val="20"/>
                <w:lang w:val="en-US"/>
              </w:rPr>
            </w:pPr>
            <w:r>
              <w:rPr>
                <w:rFonts w:ascii="Arial Narrow" w:eastAsia="TimesNewRoman" w:hAnsi="Arial Narrow" w:cs="TimesNewRoman"/>
                <w:snapToGrid/>
                <w:sz w:val="20"/>
                <w:lang w:val="en-US"/>
              </w:rPr>
              <w:t xml:space="preserve">Ortiz R, </w:t>
            </w:r>
            <w:r w:rsidRPr="008679D0">
              <w:rPr>
                <w:rFonts w:ascii="Arial Narrow" w:eastAsia="TimesNewRoman" w:hAnsi="Arial Narrow" w:cs="TimesNewRoman"/>
                <w:snapToGrid/>
                <w:sz w:val="20"/>
                <w:lang w:val="en-US"/>
              </w:rPr>
              <w:t xml:space="preserve">DeJesus E, Khanlou H, </w:t>
            </w:r>
            <w:r w:rsidRPr="008679D0">
              <w:rPr>
                <w:rFonts w:ascii="Arial Narrow" w:eastAsia="TimesNewRoman" w:hAnsi="Arial Narrow" w:cs="TimesNewRoman"/>
                <w:i/>
                <w:snapToGrid/>
                <w:sz w:val="20"/>
                <w:lang w:val="en-US"/>
              </w:rPr>
              <w:t>et al</w:t>
            </w:r>
            <w:r w:rsidR="003F415E" w:rsidRPr="00AA3C02">
              <w:rPr>
                <w:rFonts w:ascii="Arial Narrow" w:eastAsia="TimesNewRoman" w:hAnsi="Arial Narrow" w:cs="TimesNewRoman"/>
                <w:snapToGrid/>
                <w:sz w:val="20"/>
                <w:lang w:val="en-US"/>
              </w:rPr>
              <w:t xml:space="preserve"> (2008). Efficacy and safety of once-daily darunavir/ritonavir versus lopinavir/ritonavir in treatment-naïve HIV-1 infected patients at week 48. </w:t>
            </w:r>
          </w:p>
        </w:tc>
        <w:tc>
          <w:tcPr>
            <w:tcW w:w="1541" w:type="dxa"/>
          </w:tcPr>
          <w:p w:rsidR="003F415E" w:rsidRDefault="004240FC" w:rsidP="009D15B8">
            <w:pPr>
              <w:jc w:val="left"/>
              <w:rPr>
                <w:rFonts w:ascii="Arial Narrow" w:hAnsi="Arial Narrow"/>
                <w:sz w:val="20"/>
              </w:rPr>
            </w:pPr>
            <w:r>
              <w:rPr>
                <w:rFonts w:ascii="Arial Narrow" w:hAnsi="Arial Narrow"/>
                <w:sz w:val="20"/>
              </w:rPr>
              <w:t>CSR</w:t>
            </w:r>
            <w:r w:rsidR="006413E5">
              <w:rPr>
                <w:rFonts w:ascii="Arial Narrow" w:hAnsi="Arial Narrow"/>
                <w:sz w:val="20"/>
              </w:rPr>
              <w:t>, 15 Oct 2007</w:t>
            </w:r>
            <w:r w:rsidR="003F415E" w:rsidRPr="00AA3C02">
              <w:rPr>
                <w:rFonts w:ascii="Arial Narrow" w:hAnsi="Arial Narrow"/>
                <w:sz w:val="20"/>
              </w:rPr>
              <w:t xml:space="preserve"> </w:t>
            </w:r>
            <w:r w:rsidR="006413E5">
              <w:rPr>
                <w:rFonts w:ascii="Arial Narrow" w:hAnsi="Arial Narrow"/>
                <w:sz w:val="20"/>
              </w:rPr>
              <w:t>(</w:t>
            </w:r>
            <w:r w:rsidR="003F415E" w:rsidRPr="00AA3C02">
              <w:rPr>
                <w:rFonts w:ascii="Arial Narrow" w:hAnsi="Arial Narrow"/>
                <w:sz w:val="20"/>
              </w:rPr>
              <w:t>Week 48</w:t>
            </w:r>
            <w:r w:rsidR="006413E5">
              <w:rPr>
                <w:rFonts w:ascii="Arial Narrow" w:hAnsi="Arial Narrow"/>
                <w:sz w:val="20"/>
              </w:rPr>
              <w:t>)</w:t>
            </w:r>
            <w:r w:rsidR="003F415E" w:rsidRPr="00AA3C02">
              <w:rPr>
                <w:rFonts w:ascii="Arial Narrow" w:hAnsi="Arial Narrow"/>
                <w:sz w:val="20"/>
              </w:rPr>
              <w:t xml:space="preserve"> primary analysis</w:t>
            </w:r>
          </w:p>
          <w:p w:rsidR="003F415E" w:rsidRDefault="003F415E" w:rsidP="009D15B8">
            <w:pPr>
              <w:jc w:val="left"/>
              <w:rPr>
                <w:rFonts w:ascii="Arial Narrow" w:hAnsi="Arial Narrow"/>
                <w:sz w:val="20"/>
              </w:rPr>
            </w:pPr>
          </w:p>
          <w:p w:rsidR="004240FC" w:rsidRDefault="004240FC" w:rsidP="009D15B8">
            <w:pPr>
              <w:jc w:val="left"/>
              <w:rPr>
                <w:rFonts w:ascii="Arial Narrow" w:hAnsi="Arial Narrow"/>
                <w:sz w:val="20"/>
              </w:rPr>
            </w:pPr>
          </w:p>
          <w:p w:rsidR="003F415E" w:rsidRPr="00AA3C02" w:rsidRDefault="003F415E" w:rsidP="009D15B8">
            <w:pPr>
              <w:jc w:val="left"/>
              <w:rPr>
                <w:rFonts w:ascii="Arial Narrow" w:hAnsi="Arial Narrow"/>
                <w:sz w:val="20"/>
              </w:rPr>
            </w:pPr>
            <w:r w:rsidRPr="00AA3C02">
              <w:rPr>
                <w:rFonts w:ascii="Arial Narrow" w:eastAsia="TimesNewRoman" w:hAnsi="Arial Narrow" w:cs="TimesNewRoman"/>
                <w:i/>
                <w:snapToGrid/>
                <w:sz w:val="20"/>
                <w:lang w:val="en-US"/>
              </w:rPr>
              <w:t>AIDS,</w:t>
            </w:r>
            <w:r w:rsidRPr="00AA3C02">
              <w:rPr>
                <w:rFonts w:ascii="Arial Narrow" w:eastAsia="TimesNewRoman" w:hAnsi="Arial Narrow" w:cs="TimesNewRoman"/>
                <w:snapToGrid/>
                <w:sz w:val="20"/>
                <w:lang w:val="en-US"/>
              </w:rPr>
              <w:t xml:space="preserve"> 22(12):1389-97.</w:t>
            </w:r>
          </w:p>
        </w:tc>
      </w:tr>
      <w:tr w:rsidR="003F415E" w:rsidRPr="004E2ADC" w:rsidTr="00941BF9">
        <w:trPr>
          <w:cantSplit/>
          <w:trHeight w:val="192"/>
        </w:trPr>
        <w:tc>
          <w:tcPr>
            <w:tcW w:w="0" w:type="auto"/>
          </w:tcPr>
          <w:p w:rsidR="003F415E" w:rsidRPr="00AA3C02" w:rsidRDefault="003F415E" w:rsidP="006520C3">
            <w:pPr>
              <w:rPr>
                <w:rFonts w:ascii="Arial Narrow" w:hAnsi="Arial Narrow"/>
                <w:sz w:val="20"/>
              </w:rPr>
            </w:pPr>
            <w:r w:rsidRPr="00AA3C02">
              <w:rPr>
                <w:rFonts w:ascii="Arial Narrow" w:hAnsi="Arial Narrow"/>
                <w:sz w:val="20"/>
                <w:lang w:eastAsia="en-AU"/>
              </w:rPr>
              <w:t xml:space="preserve">ODIN </w:t>
            </w:r>
          </w:p>
        </w:tc>
        <w:tc>
          <w:tcPr>
            <w:tcW w:w="5891" w:type="dxa"/>
          </w:tcPr>
          <w:p w:rsidR="003F415E" w:rsidRDefault="003F415E" w:rsidP="00D41704">
            <w:pPr>
              <w:keepNext/>
              <w:rPr>
                <w:rFonts w:ascii="Arial Narrow" w:hAnsi="Arial Narrow" w:cs="Times New Roman"/>
                <w:snapToGrid/>
                <w:sz w:val="20"/>
              </w:rPr>
            </w:pPr>
            <w:r w:rsidRPr="00AA3C02">
              <w:rPr>
                <w:rFonts w:ascii="Arial Narrow" w:hAnsi="Arial Narrow" w:cs="Times New Roman"/>
                <w:snapToGrid/>
                <w:sz w:val="20"/>
              </w:rPr>
              <w:t>A randomised, open-label, non-inferiority trial to compare the efficacy, safety and tolerability of darunavir/ritonavir 800/100 mg q.d versus darunavir/ritonavir 600/100 mg bid in early treatment experienced HIV-1 infected patients.</w:t>
            </w:r>
          </w:p>
          <w:p w:rsidR="003F415E" w:rsidRDefault="003F415E" w:rsidP="00D41704">
            <w:pPr>
              <w:keepNext/>
              <w:rPr>
                <w:rFonts w:ascii="Arial Narrow" w:hAnsi="Arial Narrow" w:cs="Times New Roman"/>
                <w:snapToGrid/>
                <w:sz w:val="20"/>
              </w:rPr>
            </w:pPr>
          </w:p>
          <w:p w:rsidR="003F415E" w:rsidRPr="00AA3C02" w:rsidRDefault="008679D0" w:rsidP="00D41704">
            <w:pPr>
              <w:keepNext/>
              <w:rPr>
                <w:rFonts w:ascii="Arial Narrow" w:hAnsi="Arial Narrow" w:cs="Times New Roman"/>
                <w:snapToGrid/>
                <w:sz w:val="20"/>
              </w:rPr>
            </w:pPr>
            <w:r>
              <w:rPr>
                <w:rFonts w:ascii="Arial Narrow" w:hAnsi="Arial Narrow" w:cs="Times New Roman"/>
                <w:snapToGrid/>
                <w:sz w:val="20"/>
              </w:rPr>
              <w:t>Cahn P</w:t>
            </w:r>
            <w:r w:rsidR="003F415E" w:rsidRPr="00AA3C02">
              <w:rPr>
                <w:rFonts w:ascii="Arial Narrow" w:hAnsi="Arial Narrow" w:cs="Times New Roman"/>
                <w:snapToGrid/>
                <w:sz w:val="20"/>
              </w:rPr>
              <w:t>,</w:t>
            </w:r>
            <w:r>
              <w:rPr>
                <w:rFonts w:ascii="Arial Narrow" w:hAnsi="Arial Narrow" w:cs="Times New Roman"/>
                <w:snapToGrid/>
                <w:sz w:val="20"/>
              </w:rPr>
              <w:t xml:space="preserve"> </w:t>
            </w:r>
            <w:r w:rsidRPr="008679D0">
              <w:rPr>
                <w:rFonts w:ascii="Arial Narrow" w:hAnsi="Arial Narrow" w:cs="Times New Roman"/>
                <w:snapToGrid/>
                <w:sz w:val="20"/>
              </w:rPr>
              <w:t xml:space="preserve">Fourie J, Grinsztejn B, </w:t>
            </w:r>
            <w:r w:rsidR="003F415E" w:rsidRPr="008679D0">
              <w:rPr>
                <w:rFonts w:ascii="Arial Narrow" w:hAnsi="Arial Narrow" w:cs="Times New Roman"/>
                <w:i/>
                <w:snapToGrid/>
                <w:sz w:val="20"/>
              </w:rPr>
              <w:t>et al</w:t>
            </w:r>
            <w:r w:rsidR="003F415E" w:rsidRPr="00AA3C02">
              <w:rPr>
                <w:rFonts w:ascii="Arial Narrow" w:hAnsi="Arial Narrow" w:cs="Times New Roman"/>
                <w:snapToGrid/>
                <w:sz w:val="20"/>
              </w:rPr>
              <w:t xml:space="preserve"> (2011). Week 48 analysis of once-daily vs twice-daily darunavir/ritonavir in treatment-experienced HIV-1 infected patients. </w:t>
            </w:r>
          </w:p>
        </w:tc>
        <w:tc>
          <w:tcPr>
            <w:tcW w:w="1541" w:type="dxa"/>
          </w:tcPr>
          <w:p w:rsidR="003F415E" w:rsidRPr="00AA3C02" w:rsidRDefault="004240FC" w:rsidP="009D15B8">
            <w:pPr>
              <w:keepNext/>
              <w:jc w:val="left"/>
              <w:rPr>
                <w:rFonts w:ascii="Arial Narrow" w:hAnsi="Arial Narrow" w:cs="Times New Roman"/>
                <w:snapToGrid/>
                <w:sz w:val="20"/>
              </w:rPr>
            </w:pPr>
            <w:r>
              <w:rPr>
                <w:rFonts w:ascii="Arial Narrow" w:hAnsi="Arial Narrow" w:cs="Times New Roman"/>
                <w:snapToGrid/>
                <w:sz w:val="20"/>
              </w:rPr>
              <w:t>CSR</w:t>
            </w:r>
            <w:r w:rsidR="006413E5">
              <w:rPr>
                <w:rFonts w:ascii="Arial Narrow" w:hAnsi="Arial Narrow" w:cs="Times New Roman"/>
                <w:snapToGrid/>
                <w:sz w:val="20"/>
              </w:rPr>
              <w:t>, 23 Dec 2009</w:t>
            </w:r>
            <w:r>
              <w:rPr>
                <w:rFonts w:ascii="Arial Narrow" w:hAnsi="Arial Narrow" w:cs="Times New Roman"/>
                <w:snapToGrid/>
                <w:sz w:val="20"/>
              </w:rPr>
              <w:t xml:space="preserve"> </w:t>
            </w:r>
            <w:r w:rsidR="003F415E" w:rsidRPr="00AA3C02">
              <w:rPr>
                <w:rFonts w:ascii="Arial Narrow" w:hAnsi="Arial Narrow" w:cs="Times New Roman"/>
                <w:snapToGrid/>
                <w:sz w:val="20"/>
              </w:rPr>
              <w:t xml:space="preserve"> </w:t>
            </w:r>
            <w:r w:rsidR="006413E5">
              <w:rPr>
                <w:rFonts w:ascii="Arial Narrow" w:hAnsi="Arial Narrow" w:cs="Times New Roman"/>
                <w:snapToGrid/>
                <w:sz w:val="20"/>
              </w:rPr>
              <w:t>(</w:t>
            </w:r>
            <w:r w:rsidR="003F415E" w:rsidRPr="00AA3C02">
              <w:rPr>
                <w:rFonts w:ascii="Arial Narrow" w:hAnsi="Arial Narrow" w:cs="Times New Roman"/>
                <w:snapToGrid/>
                <w:sz w:val="20"/>
              </w:rPr>
              <w:t>Week 48</w:t>
            </w:r>
            <w:r w:rsidR="006413E5">
              <w:rPr>
                <w:rFonts w:ascii="Arial Narrow" w:hAnsi="Arial Narrow" w:cs="Times New Roman"/>
                <w:snapToGrid/>
                <w:sz w:val="20"/>
              </w:rPr>
              <w:t>) primary a</w:t>
            </w:r>
            <w:r w:rsidR="003F415E" w:rsidRPr="00AA3C02">
              <w:rPr>
                <w:rFonts w:ascii="Arial Narrow" w:hAnsi="Arial Narrow" w:cs="Times New Roman"/>
                <w:snapToGrid/>
                <w:sz w:val="20"/>
              </w:rPr>
              <w:t>nalysis</w:t>
            </w:r>
          </w:p>
          <w:p w:rsidR="003F415E" w:rsidRDefault="003F415E" w:rsidP="009D15B8">
            <w:pPr>
              <w:jc w:val="left"/>
              <w:rPr>
                <w:rFonts w:ascii="Arial Narrow" w:hAnsi="Arial Narrow"/>
                <w:sz w:val="20"/>
              </w:rPr>
            </w:pPr>
          </w:p>
          <w:p w:rsidR="004240FC" w:rsidRDefault="004240FC" w:rsidP="009D15B8">
            <w:pPr>
              <w:jc w:val="left"/>
              <w:rPr>
                <w:rFonts w:ascii="Arial Narrow" w:hAnsi="Arial Narrow"/>
                <w:sz w:val="20"/>
              </w:rPr>
            </w:pPr>
          </w:p>
          <w:p w:rsidR="003F415E" w:rsidRPr="00AA3C02" w:rsidRDefault="003F415E" w:rsidP="00941BF9">
            <w:pPr>
              <w:keepNext/>
              <w:jc w:val="left"/>
              <w:rPr>
                <w:rFonts w:ascii="Arial Narrow" w:hAnsi="Arial Narrow"/>
                <w:sz w:val="20"/>
              </w:rPr>
            </w:pPr>
            <w:r w:rsidRPr="00AA3C02">
              <w:rPr>
                <w:rFonts w:ascii="Arial Narrow" w:hAnsi="Arial Narrow" w:cs="Times New Roman"/>
                <w:i/>
                <w:snapToGrid/>
                <w:sz w:val="20"/>
              </w:rPr>
              <w:t>AIDS,</w:t>
            </w:r>
            <w:r w:rsidRPr="00AA3C02">
              <w:rPr>
                <w:rFonts w:ascii="Arial Narrow" w:hAnsi="Arial Narrow" w:cs="Times New Roman"/>
                <w:snapToGrid/>
                <w:sz w:val="20"/>
              </w:rPr>
              <w:t xml:space="preserve"> 25:929-39.</w:t>
            </w:r>
          </w:p>
        </w:tc>
      </w:tr>
      <w:tr w:rsidR="003F415E" w:rsidRPr="004E2ADC" w:rsidTr="00941BF9">
        <w:trPr>
          <w:cantSplit/>
          <w:trHeight w:val="192"/>
        </w:trPr>
        <w:tc>
          <w:tcPr>
            <w:tcW w:w="0" w:type="auto"/>
          </w:tcPr>
          <w:p w:rsidR="003F415E" w:rsidRPr="00AA3C02" w:rsidRDefault="003F415E" w:rsidP="00D41704">
            <w:pPr>
              <w:rPr>
                <w:rFonts w:ascii="Arial Narrow" w:hAnsi="Arial Narrow"/>
                <w:sz w:val="20"/>
                <w:lang w:eastAsia="en-AU"/>
              </w:rPr>
            </w:pPr>
            <w:r w:rsidRPr="00AA3C02">
              <w:rPr>
                <w:rFonts w:ascii="Arial Narrow" w:hAnsi="Arial Narrow"/>
                <w:sz w:val="20"/>
              </w:rPr>
              <w:t>FLAMINGO</w:t>
            </w:r>
          </w:p>
        </w:tc>
        <w:tc>
          <w:tcPr>
            <w:tcW w:w="5891" w:type="dxa"/>
          </w:tcPr>
          <w:p w:rsidR="003F415E" w:rsidRPr="00AA3C02" w:rsidRDefault="008679D0" w:rsidP="00D41704">
            <w:pPr>
              <w:keepNext/>
              <w:rPr>
                <w:rFonts w:ascii="Arial Narrow" w:hAnsi="Arial Narrow" w:cs="Times New Roman"/>
                <w:snapToGrid/>
                <w:sz w:val="20"/>
              </w:rPr>
            </w:pPr>
            <w:r>
              <w:rPr>
                <w:rFonts w:ascii="Arial Narrow" w:hAnsi="Arial Narrow"/>
                <w:sz w:val="20"/>
              </w:rPr>
              <w:t>Clotet B</w:t>
            </w:r>
            <w:r w:rsidR="003F415E" w:rsidRPr="00AA3C02">
              <w:rPr>
                <w:rFonts w:ascii="Arial Narrow" w:hAnsi="Arial Narrow"/>
                <w:sz w:val="20"/>
              </w:rPr>
              <w:t>,</w:t>
            </w:r>
            <w:r>
              <w:rPr>
                <w:rFonts w:ascii="Arial Narrow" w:hAnsi="Arial Narrow"/>
                <w:sz w:val="20"/>
              </w:rPr>
              <w:t xml:space="preserve"> </w:t>
            </w:r>
            <w:r w:rsidRPr="008679D0">
              <w:rPr>
                <w:rFonts w:ascii="Arial Narrow" w:hAnsi="Arial Narrow"/>
                <w:sz w:val="20"/>
              </w:rPr>
              <w:t xml:space="preserve">Feinberg J, Lunzen JA, </w:t>
            </w:r>
            <w:r w:rsidR="003F415E" w:rsidRPr="008679D0">
              <w:rPr>
                <w:rFonts w:ascii="Arial Narrow" w:hAnsi="Arial Narrow"/>
                <w:i/>
                <w:sz w:val="20"/>
              </w:rPr>
              <w:t>et al</w:t>
            </w:r>
            <w:r w:rsidR="003F415E" w:rsidRPr="00AA3C02">
              <w:rPr>
                <w:rFonts w:ascii="Arial Narrow" w:hAnsi="Arial Narrow"/>
                <w:sz w:val="20"/>
              </w:rPr>
              <w:t xml:space="preserve"> (2014). Once-daily dolutegravir versus darunavir plus ritonavir in antiretroviral-naïve adults with HIV-1 infection (FLAMINGO): 48 week results from the randomised open-label phase 3b study. </w:t>
            </w:r>
          </w:p>
        </w:tc>
        <w:tc>
          <w:tcPr>
            <w:tcW w:w="1541" w:type="dxa"/>
          </w:tcPr>
          <w:p w:rsidR="003F415E" w:rsidRPr="00AA3C02" w:rsidRDefault="003F415E" w:rsidP="009D15B8">
            <w:pPr>
              <w:keepNext/>
              <w:jc w:val="left"/>
              <w:rPr>
                <w:rFonts w:ascii="Arial Narrow" w:hAnsi="Arial Narrow" w:cs="Times New Roman"/>
                <w:snapToGrid/>
                <w:sz w:val="20"/>
              </w:rPr>
            </w:pPr>
            <w:r w:rsidRPr="00F90211">
              <w:rPr>
                <w:rFonts w:ascii="Arial Narrow" w:hAnsi="Arial Narrow"/>
                <w:i/>
                <w:sz w:val="20"/>
              </w:rPr>
              <w:t>Lancet</w:t>
            </w:r>
            <w:r w:rsidRPr="00F90211">
              <w:rPr>
                <w:rFonts w:ascii="Arial Narrow" w:hAnsi="Arial Narrow"/>
                <w:sz w:val="20"/>
              </w:rPr>
              <w:t>, 383:2222-31</w:t>
            </w:r>
            <w:r w:rsidRPr="001D0D25">
              <w:rPr>
                <w:rFonts w:ascii="Arial Narrow" w:hAnsi="Arial Narrow"/>
              </w:rPr>
              <w:t>.</w:t>
            </w:r>
          </w:p>
        </w:tc>
      </w:tr>
      <w:tr w:rsidR="003F415E" w:rsidRPr="004E2ADC" w:rsidTr="00941BF9">
        <w:trPr>
          <w:cantSplit/>
          <w:trHeight w:val="192"/>
        </w:trPr>
        <w:tc>
          <w:tcPr>
            <w:tcW w:w="0" w:type="auto"/>
          </w:tcPr>
          <w:p w:rsidR="003F415E" w:rsidRPr="00AA3C02" w:rsidRDefault="003F415E" w:rsidP="00D41704">
            <w:pPr>
              <w:rPr>
                <w:rFonts w:ascii="Arial Narrow" w:hAnsi="Arial Narrow"/>
                <w:sz w:val="20"/>
              </w:rPr>
            </w:pPr>
            <w:r w:rsidRPr="00AA3C02">
              <w:rPr>
                <w:rFonts w:ascii="Arial Narrow" w:hAnsi="Arial Narrow"/>
                <w:sz w:val="20"/>
              </w:rPr>
              <w:lastRenderedPageBreak/>
              <w:t>2LADY</w:t>
            </w:r>
          </w:p>
        </w:tc>
        <w:tc>
          <w:tcPr>
            <w:tcW w:w="5891" w:type="dxa"/>
          </w:tcPr>
          <w:p w:rsidR="003F415E" w:rsidRPr="00AA3C02" w:rsidRDefault="008679D0" w:rsidP="00D41704">
            <w:pPr>
              <w:keepNext/>
              <w:rPr>
                <w:rFonts w:ascii="Arial Narrow" w:hAnsi="Arial Narrow"/>
                <w:sz w:val="20"/>
              </w:rPr>
            </w:pPr>
            <w:r>
              <w:rPr>
                <w:rFonts w:ascii="Arial Narrow" w:hAnsi="Arial Narrow"/>
                <w:sz w:val="20"/>
              </w:rPr>
              <w:t>Koulla-Shiro S</w:t>
            </w:r>
            <w:r w:rsidR="003F415E" w:rsidRPr="00AA3C02">
              <w:rPr>
                <w:rFonts w:ascii="Arial Narrow" w:hAnsi="Arial Narrow"/>
                <w:sz w:val="20"/>
              </w:rPr>
              <w:t>,</w:t>
            </w:r>
            <w:r>
              <w:t xml:space="preserve"> </w:t>
            </w:r>
            <w:r w:rsidRPr="008679D0">
              <w:rPr>
                <w:rFonts w:ascii="Arial Narrow" w:hAnsi="Arial Narrow"/>
                <w:sz w:val="20"/>
              </w:rPr>
              <w:t>Ciaffi L, Ndour CT</w:t>
            </w:r>
            <w:r>
              <w:rPr>
                <w:rFonts w:ascii="Arial Narrow" w:hAnsi="Arial Narrow"/>
                <w:sz w:val="20"/>
              </w:rPr>
              <w:t>,</w:t>
            </w:r>
            <w:r w:rsidR="003F415E" w:rsidRPr="00AA3C02">
              <w:rPr>
                <w:rFonts w:ascii="Arial Narrow" w:hAnsi="Arial Narrow"/>
                <w:sz w:val="20"/>
              </w:rPr>
              <w:t xml:space="preserve"> </w:t>
            </w:r>
            <w:r w:rsidR="003F415E" w:rsidRPr="008679D0">
              <w:rPr>
                <w:rFonts w:ascii="Arial Narrow" w:hAnsi="Arial Narrow"/>
                <w:i/>
                <w:sz w:val="20"/>
              </w:rPr>
              <w:t>et al</w:t>
            </w:r>
            <w:r w:rsidR="003F415E" w:rsidRPr="00AA3C02">
              <w:rPr>
                <w:rFonts w:ascii="Arial Narrow" w:hAnsi="Arial Narrow"/>
                <w:sz w:val="20"/>
              </w:rPr>
              <w:t xml:space="preserve"> (2014). Randomised comparison of three second line ART regimens in Africa: the 2LADY study. </w:t>
            </w:r>
          </w:p>
        </w:tc>
        <w:tc>
          <w:tcPr>
            <w:tcW w:w="1541" w:type="dxa"/>
            <w:vAlign w:val="center"/>
          </w:tcPr>
          <w:p w:rsidR="003F415E" w:rsidRPr="001D0D25" w:rsidRDefault="003F415E" w:rsidP="004240FC">
            <w:pPr>
              <w:keepNext/>
              <w:jc w:val="left"/>
              <w:rPr>
                <w:rFonts w:ascii="Arial Narrow" w:hAnsi="Arial Narrow"/>
                <w:i/>
              </w:rPr>
            </w:pPr>
            <w:r w:rsidRPr="00AA3C02">
              <w:rPr>
                <w:rFonts w:ascii="Arial Narrow" w:hAnsi="Arial Narrow"/>
                <w:sz w:val="20"/>
              </w:rPr>
              <w:t>Poster 5411-B Conference on Retroviruses and Opportunistic Infections (CROI)</w:t>
            </w:r>
            <w:r w:rsidR="004240FC">
              <w:rPr>
                <w:rFonts w:ascii="Arial Narrow" w:hAnsi="Arial Narrow"/>
                <w:sz w:val="20"/>
              </w:rPr>
              <w:t>.</w:t>
            </w:r>
            <w:r w:rsidRPr="00AA3C02">
              <w:rPr>
                <w:rFonts w:ascii="Arial Narrow" w:hAnsi="Arial Narrow"/>
                <w:sz w:val="20"/>
              </w:rPr>
              <w:t xml:space="preserve"> </w:t>
            </w:r>
          </w:p>
        </w:tc>
      </w:tr>
    </w:tbl>
    <w:p w:rsidR="003F23C5" w:rsidRDefault="003F23C5" w:rsidP="003F23C5">
      <w:pPr>
        <w:pStyle w:val="TableFooter"/>
      </w:pPr>
      <w:r>
        <w:tab/>
      </w:r>
      <w:r w:rsidRPr="00D13A3E">
        <w:t xml:space="preserve">Source: </w:t>
      </w:r>
      <w:r>
        <w:t>Table B.7, pp8-10 of Section B of the submission</w:t>
      </w:r>
    </w:p>
    <w:p w:rsidR="00862502" w:rsidRPr="00B553DA" w:rsidRDefault="00135B99" w:rsidP="00B553DA">
      <w:pPr>
        <w:pStyle w:val="TableFooter"/>
      </w:pPr>
      <w:r>
        <w:tab/>
        <w:t>ART = antiretroviral therapy;</w:t>
      </w:r>
      <w:r w:rsidR="006413E5">
        <w:t xml:space="preserve"> CSR = clinical study report;</w:t>
      </w:r>
      <w:r>
        <w:t xml:space="preserve"> </w:t>
      </w:r>
      <w:r w:rsidR="009D15B8" w:rsidRPr="009D15B8">
        <w:t>HIV = human immunodeficiency virus</w:t>
      </w:r>
      <w:r w:rsidR="000A7E74">
        <w:t xml:space="preserve"> </w:t>
      </w:r>
    </w:p>
    <w:p w:rsidR="00FE50B8" w:rsidRDefault="00FE50B8" w:rsidP="00FE50B8">
      <w:pPr>
        <w:pStyle w:val="ListParagraph"/>
        <w:rPr>
          <w:szCs w:val="22"/>
        </w:rPr>
      </w:pPr>
    </w:p>
    <w:p w:rsidR="00862502" w:rsidRPr="00B50DB8" w:rsidRDefault="008F120A" w:rsidP="0044463D">
      <w:pPr>
        <w:pStyle w:val="ListParagraph"/>
        <w:numPr>
          <w:ilvl w:val="1"/>
          <w:numId w:val="3"/>
        </w:numPr>
        <w:rPr>
          <w:szCs w:val="22"/>
        </w:rPr>
      </w:pPr>
      <w:r w:rsidRPr="00B50DB8">
        <w:rPr>
          <w:szCs w:val="22"/>
        </w:rPr>
        <w:t>The key features of the</w:t>
      </w:r>
      <w:r w:rsidR="002B7C41">
        <w:rPr>
          <w:szCs w:val="22"/>
        </w:rPr>
        <w:t xml:space="preserve"> pharmacokinetic</w:t>
      </w:r>
      <w:r w:rsidR="00135B99">
        <w:rPr>
          <w:szCs w:val="22"/>
        </w:rPr>
        <w:t>s evidence</w:t>
      </w:r>
      <w:r w:rsidR="002B7C41">
        <w:rPr>
          <w:szCs w:val="22"/>
        </w:rPr>
        <w:t xml:space="preserve"> and</w:t>
      </w:r>
      <w:r w:rsidR="00135B99">
        <w:rPr>
          <w:szCs w:val="22"/>
        </w:rPr>
        <w:t xml:space="preserve"> the</w:t>
      </w:r>
      <w:r w:rsidRPr="00B50DB8">
        <w:rPr>
          <w:szCs w:val="22"/>
        </w:rPr>
        <w:t xml:space="preserve"> </w:t>
      </w:r>
      <w:r w:rsidR="00135B99">
        <w:rPr>
          <w:szCs w:val="22"/>
        </w:rPr>
        <w:t>clinical evidence used for efficacy and safety</w:t>
      </w:r>
      <w:r w:rsidRPr="00B50DB8">
        <w:rPr>
          <w:szCs w:val="22"/>
        </w:rPr>
        <w:t xml:space="preserve"> are summarised in </w:t>
      </w:r>
      <w:r w:rsidR="00262C12">
        <w:rPr>
          <w:szCs w:val="22"/>
        </w:rPr>
        <w:t xml:space="preserve">Table </w:t>
      </w:r>
      <w:r w:rsidR="00FD3CBA">
        <w:rPr>
          <w:szCs w:val="22"/>
        </w:rPr>
        <w:t>3</w:t>
      </w:r>
      <w:r w:rsidR="00135B99">
        <w:rPr>
          <w:szCs w:val="22"/>
        </w:rPr>
        <w:t>.</w:t>
      </w:r>
    </w:p>
    <w:p w:rsidR="007F1017" w:rsidRDefault="007F1017" w:rsidP="007F1017">
      <w:pPr>
        <w:rPr>
          <w:szCs w:val="22"/>
        </w:rPr>
      </w:pPr>
    </w:p>
    <w:p w:rsidR="007F1017" w:rsidRPr="00E2771E" w:rsidRDefault="00FD3CBA" w:rsidP="00404B6A">
      <w:pPr>
        <w:keepNext/>
        <w:ind w:firstLine="720"/>
        <w:rPr>
          <w:rStyle w:val="CommentReference"/>
        </w:rPr>
      </w:pPr>
      <w:r>
        <w:rPr>
          <w:rStyle w:val="CommentReference"/>
        </w:rPr>
        <w:t>Table 3</w:t>
      </w:r>
      <w:r w:rsidR="007F1017" w:rsidRPr="00E2771E">
        <w:rPr>
          <w:rStyle w:val="CommentReference"/>
        </w:rPr>
        <w:t>: Key features of the included evidence</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Key features of the included evidence"/>
      </w:tblPr>
      <w:tblGrid>
        <w:gridCol w:w="992"/>
        <w:gridCol w:w="567"/>
        <w:gridCol w:w="1560"/>
        <w:gridCol w:w="1134"/>
        <w:gridCol w:w="1417"/>
        <w:gridCol w:w="2693"/>
      </w:tblGrid>
      <w:tr w:rsidR="00E3544D" w:rsidRPr="00E2771E" w:rsidTr="00941BF9">
        <w:trPr>
          <w:tblHeader/>
        </w:trPr>
        <w:tc>
          <w:tcPr>
            <w:tcW w:w="992" w:type="dxa"/>
            <w:shd w:val="clear" w:color="auto" w:fill="auto"/>
            <w:vAlign w:val="center"/>
          </w:tcPr>
          <w:p w:rsidR="00E3544D" w:rsidRPr="00E2771E" w:rsidRDefault="00E3544D" w:rsidP="007F1017">
            <w:pPr>
              <w:rPr>
                <w:rFonts w:ascii="Arial Narrow" w:hAnsi="Arial Narrow"/>
                <w:b/>
                <w:sz w:val="20"/>
                <w:lang w:val="en-US"/>
              </w:rPr>
            </w:pPr>
            <w:r w:rsidRPr="00E2771E">
              <w:rPr>
                <w:rFonts w:ascii="Arial Narrow" w:hAnsi="Arial Narrow"/>
                <w:b/>
                <w:sz w:val="20"/>
                <w:lang w:val="en-US"/>
              </w:rPr>
              <w:t>Trial</w:t>
            </w:r>
          </w:p>
        </w:tc>
        <w:tc>
          <w:tcPr>
            <w:tcW w:w="567" w:type="dxa"/>
            <w:shd w:val="clear" w:color="auto" w:fill="auto"/>
            <w:vAlign w:val="center"/>
          </w:tcPr>
          <w:p w:rsidR="00E3544D" w:rsidRPr="00E2771E" w:rsidRDefault="00E3544D" w:rsidP="007F1017">
            <w:pPr>
              <w:jc w:val="center"/>
              <w:rPr>
                <w:rFonts w:ascii="Arial Narrow" w:hAnsi="Arial Narrow"/>
                <w:b/>
                <w:sz w:val="20"/>
                <w:lang w:val="en-US"/>
              </w:rPr>
            </w:pPr>
            <w:r w:rsidRPr="00E2771E">
              <w:rPr>
                <w:rFonts w:ascii="Arial Narrow" w:hAnsi="Arial Narrow"/>
                <w:b/>
                <w:sz w:val="20"/>
                <w:lang w:val="en-US"/>
              </w:rPr>
              <w:t>N</w:t>
            </w:r>
          </w:p>
        </w:tc>
        <w:tc>
          <w:tcPr>
            <w:tcW w:w="1560" w:type="dxa"/>
            <w:shd w:val="clear" w:color="auto" w:fill="auto"/>
            <w:vAlign w:val="center"/>
          </w:tcPr>
          <w:p w:rsidR="00E3544D" w:rsidRPr="00E2771E" w:rsidRDefault="00E3544D" w:rsidP="007F1017">
            <w:pPr>
              <w:jc w:val="center"/>
              <w:rPr>
                <w:rFonts w:ascii="Arial Narrow" w:hAnsi="Arial Narrow"/>
                <w:b/>
                <w:sz w:val="20"/>
                <w:lang w:val="en-US"/>
              </w:rPr>
            </w:pPr>
            <w:r w:rsidRPr="00E2771E">
              <w:rPr>
                <w:rFonts w:ascii="Arial Narrow" w:hAnsi="Arial Narrow"/>
                <w:b/>
                <w:sz w:val="20"/>
                <w:lang w:val="en-US"/>
              </w:rPr>
              <w:t>Design/ duration</w:t>
            </w:r>
          </w:p>
        </w:tc>
        <w:tc>
          <w:tcPr>
            <w:tcW w:w="1134" w:type="dxa"/>
            <w:shd w:val="clear" w:color="auto" w:fill="auto"/>
            <w:vAlign w:val="center"/>
          </w:tcPr>
          <w:p w:rsidR="00E3544D" w:rsidRPr="00E2771E" w:rsidRDefault="00E3544D" w:rsidP="007F1017">
            <w:pPr>
              <w:jc w:val="center"/>
              <w:rPr>
                <w:rFonts w:ascii="Arial Narrow" w:hAnsi="Arial Narrow"/>
                <w:b/>
                <w:sz w:val="20"/>
                <w:lang w:val="en-US"/>
              </w:rPr>
            </w:pPr>
            <w:r w:rsidRPr="00E2771E">
              <w:rPr>
                <w:rFonts w:ascii="Arial Narrow" w:hAnsi="Arial Narrow"/>
                <w:b/>
                <w:sz w:val="20"/>
                <w:lang w:val="en-US"/>
              </w:rPr>
              <w:t>Risk of bias</w:t>
            </w:r>
          </w:p>
        </w:tc>
        <w:tc>
          <w:tcPr>
            <w:tcW w:w="1417" w:type="dxa"/>
            <w:shd w:val="clear" w:color="auto" w:fill="auto"/>
            <w:vAlign w:val="center"/>
          </w:tcPr>
          <w:p w:rsidR="00E3544D" w:rsidRPr="00E2771E" w:rsidRDefault="003F23C5" w:rsidP="007F1017">
            <w:pPr>
              <w:jc w:val="center"/>
              <w:rPr>
                <w:rFonts w:ascii="Arial Narrow" w:hAnsi="Arial Narrow"/>
                <w:b/>
                <w:sz w:val="20"/>
                <w:lang w:val="en-US"/>
              </w:rPr>
            </w:pPr>
            <w:r>
              <w:rPr>
                <w:rFonts w:ascii="Arial Narrow" w:hAnsi="Arial Narrow"/>
                <w:b/>
                <w:sz w:val="20"/>
                <w:lang w:val="en-US"/>
              </w:rPr>
              <w:t>Patient pop</w:t>
            </w:r>
          </w:p>
        </w:tc>
        <w:tc>
          <w:tcPr>
            <w:tcW w:w="2693" w:type="dxa"/>
            <w:shd w:val="clear" w:color="auto" w:fill="auto"/>
            <w:vAlign w:val="center"/>
          </w:tcPr>
          <w:p w:rsidR="00E3544D" w:rsidRPr="00E2771E" w:rsidRDefault="006520C3" w:rsidP="006520C3">
            <w:pPr>
              <w:jc w:val="center"/>
              <w:rPr>
                <w:rFonts w:ascii="Arial Narrow" w:hAnsi="Arial Narrow"/>
                <w:b/>
                <w:sz w:val="20"/>
                <w:lang w:val="en-US"/>
              </w:rPr>
            </w:pPr>
            <w:r>
              <w:rPr>
                <w:rFonts w:ascii="Arial Narrow" w:hAnsi="Arial Narrow"/>
                <w:b/>
                <w:sz w:val="20"/>
                <w:lang w:val="en-US"/>
              </w:rPr>
              <w:t>Key o</w:t>
            </w:r>
            <w:r w:rsidR="001A1F41">
              <w:rPr>
                <w:rFonts w:ascii="Arial Narrow" w:hAnsi="Arial Narrow"/>
                <w:b/>
                <w:sz w:val="20"/>
                <w:lang w:val="en-US"/>
              </w:rPr>
              <w:t>utcomes</w:t>
            </w:r>
          </w:p>
        </w:tc>
      </w:tr>
      <w:tr w:rsidR="007F1017" w:rsidRPr="00E2771E" w:rsidTr="00941BF9">
        <w:tc>
          <w:tcPr>
            <w:tcW w:w="8363" w:type="dxa"/>
            <w:gridSpan w:val="6"/>
            <w:shd w:val="clear" w:color="auto" w:fill="auto"/>
            <w:vAlign w:val="center"/>
          </w:tcPr>
          <w:p w:rsidR="007F1017" w:rsidRPr="00E2771E" w:rsidRDefault="00AC2188" w:rsidP="00AC2188">
            <w:pPr>
              <w:rPr>
                <w:rFonts w:ascii="Arial Narrow" w:hAnsi="Arial Narrow"/>
                <w:b/>
                <w:sz w:val="20"/>
                <w:lang w:val="en-US"/>
              </w:rPr>
            </w:pPr>
            <w:r>
              <w:rPr>
                <w:rFonts w:ascii="Arial Narrow" w:hAnsi="Arial Narrow"/>
                <w:b/>
                <w:sz w:val="20"/>
                <w:lang w:val="en-US"/>
              </w:rPr>
              <w:t>Pharmacokinetics evidence for darunavir/cobicistat FDC</w:t>
            </w:r>
          </w:p>
        </w:tc>
      </w:tr>
      <w:tr w:rsidR="00AC2188" w:rsidRPr="00E2771E" w:rsidTr="00941BF9">
        <w:tc>
          <w:tcPr>
            <w:tcW w:w="992" w:type="dxa"/>
            <w:shd w:val="clear" w:color="auto" w:fill="auto"/>
            <w:vAlign w:val="center"/>
          </w:tcPr>
          <w:p w:rsidR="00AC2188" w:rsidRPr="00E2771E" w:rsidRDefault="00AC2188" w:rsidP="00AC2188">
            <w:pPr>
              <w:rPr>
                <w:rFonts w:ascii="Arial Narrow" w:hAnsi="Arial Narrow"/>
                <w:sz w:val="20"/>
                <w:lang w:val="en-US"/>
              </w:rPr>
            </w:pPr>
            <w:r>
              <w:rPr>
                <w:rFonts w:ascii="Arial Narrow" w:hAnsi="Arial Narrow"/>
                <w:sz w:val="20"/>
                <w:lang w:val="en-US"/>
              </w:rPr>
              <w:t>Study 1001</w:t>
            </w:r>
          </w:p>
        </w:tc>
        <w:tc>
          <w:tcPr>
            <w:tcW w:w="567" w:type="dxa"/>
            <w:shd w:val="clear" w:color="auto" w:fill="auto"/>
            <w:vAlign w:val="center"/>
          </w:tcPr>
          <w:p w:rsidR="00AC2188" w:rsidRPr="00E2771E" w:rsidRDefault="00AC2188" w:rsidP="00AC2188">
            <w:pPr>
              <w:jc w:val="center"/>
              <w:rPr>
                <w:rFonts w:ascii="Arial Narrow" w:hAnsi="Arial Narrow"/>
                <w:sz w:val="20"/>
                <w:lang w:val="en-US"/>
              </w:rPr>
            </w:pPr>
            <w:r>
              <w:rPr>
                <w:rFonts w:ascii="Arial Narrow" w:hAnsi="Arial Narrow"/>
                <w:sz w:val="20"/>
                <w:lang w:val="en-US"/>
              </w:rPr>
              <w:t>36</w:t>
            </w:r>
          </w:p>
        </w:tc>
        <w:tc>
          <w:tcPr>
            <w:tcW w:w="1560" w:type="dxa"/>
            <w:shd w:val="clear" w:color="auto" w:fill="auto"/>
            <w:vAlign w:val="center"/>
          </w:tcPr>
          <w:p w:rsidR="00AC2188" w:rsidRPr="00E2771E" w:rsidRDefault="00AC2188" w:rsidP="00AC2188">
            <w:pPr>
              <w:jc w:val="center"/>
              <w:rPr>
                <w:rFonts w:ascii="Arial Narrow" w:hAnsi="Arial Narrow"/>
                <w:sz w:val="20"/>
                <w:lang w:val="en-US"/>
              </w:rPr>
            </w:pPr>
            <w:r>
              <w:rPr>
                <w:rFonts w:ascii="Arial Narrow" w:hAnsi="Arial Narrow"/>
                <w:sz w:val="20"/>
                <w:lang w:val="en-US"/>
              </w:rPr>
              <w:t xml:space="preserve">R, </w:t>
            </w:r>
            <w:r w:rsidR="00847B6D">
              <w:rPr>
                <w:rFonts w:ascii="Arial Narrow" w:hAnsi="Arial Narrow"/>
                <w:sz w:val="20"/>
                <w:lang w:val="en-US"/>
              </w:rPr>
              <w:t xml:space="preserve">CO, </w:t>
            </w:r>
            <w:r>
              <w:rPr>
                <w:rFonts w:ascii="Arial Narrow" w:hAnsi="Arial Narrow"/>
                <w:sz w:val="20"/>
                <w:lang w:val="en-US"/>
              </w:rPr>
              <w:t>OL, 10 days</w:t>
            </w:r>
          </w:p>
        </w:tc>
        <w:tc>
          <w:tcPr>
            <w:tcW w:w="1134" w:type="dxa"/>
            <w:shd w:val="clear" w:color="auto" w:fill="auto"/>
            <w:vAlign w:val="center"/>
          </w:tcPr>
          <w:p w:rsidR="00AC2188" w:rsidRPr="00E2771E" w:rsidRDefault="00AC2188" w:rsidP="00AC2188">
            <w:pPr>
              <w:jc w:val="center"/>
              <w:rPr>
                <w:rFonts w:ascii="Arial Narrow" w:hAnsi="Arial Narrow"/>
                <w:sz w:val="20"/>
                <w:lang w:val="en-US"/>
              </w:rPr>
            </w:pPr>
            <w:r>
              <w:rPr>
                <w:rFonts w:ascii="Arial Narrow" w:hAnsi="Arial Narrow"/>
                <w:sz w:val="20"/>
                <w:lang w:val="en-US"/>
              </w:rPr>
              <w:t>Low</w:t>
            </w:r>
          </w:p>
        </w:tc>
        <w:tc>
          <w:tcPr>
            <w:tcW w:w="1417" w:type="dxa"/>
            <w:shd w:val="clear" w:color="auto" w:fill="auto"/>
            <w:vAlign w:val="center"/>
          </w:tcPr>
          <w:p w:rsidR="00AC2188" w:rsidRPr="00E2771E" w:rsidRDefault="00AC2188" w:rsidP="00AC2188">
            <w:pPr>
              <w:jc w:val="center"/>
              <w:rPr>
                <w:rFonts w:ascii="Arial Narrow" w:hAnsi="Arial Narrow"/>
                <w:sz w:val="20"/>
                <w:lang w:val="en-US"/>
              </w:rPr>
            </w:pPr>
            <w:r>
              <w:rPr>
                <w:rFonts w:ascii="Arial Narrow" w:hAnsi="Arial Narrow"/>
                <w:sz w:val="20"/>
                <w:lang w:val="en-US"/>
              </w:rPr>
              <w:t xml:space="preserve">HIV </w:t>
            </w:r>
            <w:r w:rsidR="001F401D">
              <w:rPr>
                <w:rFonts w:ascii="Arial Narrow" w:hAnsi="Arial Narrow"/>
                <w:sz w:val="20"/>
                <w:lang w:val="en-US"/>
              </w:rPr>
              <w:t>–</w:t>
            </w:r>
            <w:r>
              <w:rPr>
                <w:rFonts w:ascii="Arial Narrow" w:hAnsi="Arial Narrow"/>
                <w:sz w:val="20"/>
                <w:lang w:val="en-US"/>
              </w:rPr>
              <w:t>ve</w:t>
            </w:r>
            <w:r w:rsidR="00F61713">
              <w:rPr>
                <w:rFonts w:ascii="Arial Narrow" w:hAnsi="Arial Narrow"/>
                <w:sz w:val="20"/>
                <w:lang w:val="en-US"/>
              </w:rPr>
              <w:t>.</w:t>
            </w:r>
          </w:p>
        </w:tc>
        <w:tc>
          <w:tcPr>
            <w:tcW w:w="2693" w:type="dxa"/>
            <w:shd w:val="clear" w:color="auto" w:fill="auto"/>
            <w:vAlign w:val="center"/>
          </w:tcPr>
          <w:p w:rsidR="00AC2188" w:rsidRPr="00E2771E" w:rsidRDefault="00AC2188" w:rsidP="00847B6D">
            <w:pPr>
              <w:jc w:val="center"/>
              <w:rPr>
                <w:rFonts w:ascii="Arial Narrow" w:hAnsi="Arial Narrow"/>
                <w:sz w:val="20"/>
                <w:lang w:val="en-US"/>
              </w:rPr>
            </w:pPr>
            <w:r>
              <w:rPr>
                <w:rFonts w:ascii="Arial Narrow" w:hAnsi="Arial Narrow"/>
                <w:sz w:val="20"/>
                <w:lang w:val="en-US"/>
              </w:rPr>
              <w:t>PK measurements</w:t>
            </w:r>
          </w:p>
        </w:tc>
      </w:tr>
      <w:tr w:rsidR="00AC2188" w:rsidRPr="00E2771E" w:rsidTr="00941BF9">
        <w:tc>
          <w:tcPr>
            <w:tcW w:w="992" w:type="dxa"/>
            <w:shd w:val="clear" w:color="auto" w:fill="auto"/>
            <w:vAlign w:val="center"/>
          </w:tcPr>
          <w:p w:rsidR="00AC2188" w:rsidRPr="00E2771E" w:rsidRDefault="00AC2188" w:rsidP="007F1017">
            <w:pPr>
              <w:rPr>
                <w:rFonts w:ascii="Arial Narrow" w:hAnsi="Arial Narrow"/>
                <w:sz w:val="20"/>
                <w:lang w:val="en-US"/>
              </w:rPr>
            </w:pPr>
            <w:r>
              <w:rPr>
                <w:rFonts w:ascii="Arial Narrow" w:hAnsi="Arial Narrow"/>
                <w:sz w:val="20"/>
                <w:lang w:val="en-US"/>
              </w:rPr>
              <w:t>Study 1003</w:t>
            </w:r>
          </w:p>
        </w:tc>
        <w:tc>
          <w:tcPr>
            <w:tcW w:w="567" w:type="dxa"/>
            <w:shd w:val="clear" w:color="auto" w:fill="auto"/>
            <w:vAlign w:val="center"/>
          </w:tcPr>
          <w:p w:rsidR="00AC2188" w:rsidRPr="00E2771E" w:rsidRDefault="00AC2188" w:rsidP="007F1017">
            <w:pPr>
              <w:jc w:val="center"/>
              <w:rPr>
                <w:rFonts w:ascii="Arial Narrow" w:hAnsi="Arial Narrow"/>
                <w:sz w:val="20"/>
                <w:lang w:val="en-US"/>
              </w:rPr>
            </w:pPr>
            <w:r>
              <w:rPr>
                <w:rFonts w:ascii="Arial Narrow" w:hAnsi="Arial Narrow"/>
                <w:sz w:val="20"/>
                <w:lang w:val="en-US"/>
              </w:rPr>
              <w:t>40</w:t>
            </w:r>
          </w:p>
        </w:tc>
        <w:tc>
          <w:tcPr>
            <w:tcW w:w="1560" w:type="dxa"/>
            <w:shd w:val="clear" w:color="auto" w:fill="auto"/>
            <w:vAlign w:val="center"/>
          </w:tcPr>
          <w:p w:rsidR="00AC2188" w:rsidRPr="00E2771E" w:rsidRDefault="00AC2188" w:rsidP="007F1017">
            <w:pPr>
              <w:jc w:val="center"/>
              <w:rPr>
                <w:rFonts w:ascii="Arial Narrow" w:hAnsi="Arial Narrow"/>
                <w:sz w:val="20"/>
                <w:lang w:val="en-US"/>
              </w:rPr>
            </w:pPr>
            <w:r>
              <w:rPr>
                <w:rFonts w:ascii="Arial Narrow" w:hAnsi="Arial Narrow"/>
                <w:sz w:val="20"/>
                <w:lang w:val="en-US"/>
              </w:rPr>
              <w:t xml:space="preserve">R, </w:t>
            </w:r>
            <w:r w:rsidR="00847B6D">
              <w:rPr>
                <w:rFonts w:ascii="Arial Narrow" w:hAnsi="Arial Narrow"/>
                <w:sz w:val="20"/>
                <w:lang w:val="en-US"/>
              </w:rPr>
              <w:t xml:space="preserve">CO, </w:t>
            </w:r>
            <w:r>
              <w:rPr>
                <w:rFonts w:ascii="Arial Narrow" w:hAnsi="Arial Narrow"/>
                <w:sz w:val="20"/>
                <w:lang w:val="en-US"/>
              </w:rPr>
              <w:t>OL, 5 days</w:t>
            </w:r>
          </w:p>
        </w:tc>
        <w:tc>
          <w:tcPr>
            <w:tcW w:w="1134" w:type="dxa"/>
            <w:shd w:val="clear" w:color="auto" w:fill="auto"/>
            <w:vAlign w:val="center"/>
          </w:tcPr>
          <w:p w:rsidR="00AC2188" w:rsidRPr="00E2771E" w:rsidRDefault="00AC2188" w:rsidP="007F1017">
            <w:pPr>
              <w:jc w:val="center"/>
              <w:rPr>
                <w:rFonts w:ascii="Arial Narrow" w:hAnsi="Arial Narrow"/>
                <w:sz w:val="20"/>
                <w:lang w:val="en-US"/>
              </w:rPr>
            </w:pPr>
            <w:r>
              <w:rPr>
                <w:rFonts w:ascii="Arial Narrow" w:hAnsi="Arial Narrow"/>
                <w:sz w:val="20"/>
                <w:lang w:val="en-US"/>
              </w:rPr>
              <w:t>Low</w:t>
            </w:r>
          </w:p>
        </w:tc>
        <w:tc>
          <w:tcPr>
            <w:tcW w:w="1417" w:type="dxa"/>
            <w:shd w:val="clear" w:color="auto" w:fill="auto"/>
            <w:vAlign w:val="center"/>
          </w:tcPr>
          <w:p w:rsidR="00AC2188" w:rsidRPr="00E2771E" w:rsidRDefault="00AC2188" w:rsidP="007F1017">
            <w:pPr>
              <w:jc w:val="center"/>
              <w:rPr>
                <w:rFonts w:ascii="Arial Narrow" w:hAnsi="Arial Narrow"/>
                <w:sz w:val="20"/>
                <w:lang w:val="en-US"/>
              </w:rPr>
            </w:pPr>
            <w:r>
              <w:rPr>
                <w:rFonts w:ascii="Arial Narrow" w:hAnsi="Arial Narrow"/>
                <w:sz w:val="20"/>
                <w:lang w:val="en-US"/>
              </w:rPr>
              <w:t xml:space="preserve">HIV </w:t>
            </w:r>
            <w:r w:rsidR="001F401D">
              <w:rPr>
                <w:rFonts w:ascii="Arial Narrow" w:hAnsi="Arial Narrow"/>
                <w:sz w:val="20"/>
                <w:lang w:val="en-US"/>
              </w:rPr>
              <w:t>–</w:t>
            </w:r>
            <w:r>
              <w:rPr>
                <w:rFonts w:ascii="Arial Narrow" w:hAnsi="Arial Narrow"/>
                <w:sz w:val="20"/>
                <w:lang w:val="en-US"/>
              </w:rPr>
              <w:t>ve</w:t>
            </w:r>
            <w:r w:rsidR="00F61713">
              <w:rPr>
                <w:rFonts w:ascii="Arial Narrow" w:hAnsi="Arial Narrow"/>
                <w:sz w:val="20"/>
                <w:lang w:val="en-US"/>
              </w:rPr>
              <w:t>.</w:t>
            </w:r>
          </w:p>
        </w:tc>
        <w:tc>
          <w:tcPr>
            <w:tcW w:w="2693" w:type="dxa"/>
            <w:shd w:val="clear" w:color="auto" w:fill="auto"/>
            <w:vAlign w:val="center"/>
          </w:tcPr>
          <w:p w:rsidR="00AC2188" w:rsidRPr="00E2771E" w:rsidRDefault="00AC2188" w:rsidP="00847B6D">
            <w:pPr>
              <w:jc w:val="center"/>
              <w:rPr>
                <w:rFonts w:ascii="Arial Narrow" w:hAnsi="Arial Narrow"/>
                <w:sz w:val="20"/>
                <w:lang w:val="en-US"/>
              </w:rPr>
            </w:pPr>
            <w:r>
              <w:rPr>
                <w:rFonts w:ascii="Arial Narrow" w:hAnsi="Arial Narrow"/>
                <w:sz w:val="20"/>
                <w:lang w:val="en-US"/>
              </w:rPr>
              <w:t>PK measurements</w:t>
            </w:r>
          </w:p>
        </w:tc>
      </w:tr>
      <w:tr w:rsidR="00AC2188" w:rsidRPr="00E2771E" w:rsidTr="00941BF9">
        <w:tc>
          <w:tcPr>
            <w:tcW w:w="8363" w:type="dxa"/>
            <w:gridSpan w:val="6"/>
            <w:shd w:val="clear" w:color="auto" w:fill="auto"/>
            <w:vAlign w:val="center"/>
          </w:tcPr>
          <w:p w:rsidR="00AC2188" w:rsidRPr="002B7C41" w:rsidRDefault="00AC2188" w:rsidP="002B7C41">
            <w:pPr>
              <w:rPr>
                <w:rFonts w:ascii="Arial Narrow" w:hAnsi="Arial Narrow"/>
                <w:b/>
                <w:sz w:val="20"/>
                <w:lang w:val="en-US"/>
              </w:rPr>
            </w:pPr>
            <w:r w:rsidRPr="002B7C41">
              <w:rPr>
                <w:rFonts w:ascii="Arial Narrow" w:hAnsi="Arial Narrow"/>
                <w:b/>
                <w:sz w:val="20"/>
                <w:lang w:val="en-US"/>
              </w:rPr>
              <w:t xml:space="preserve">Efficacy and safety studies for </w:t>
            </w:r>
            <w:r w:rsidR="00912070">
              <w:rPr>
                <w:rFonts w:ascii="Arial Narrow" w:hAnsi="Arial Narrow"/>
                <w:b/>
                <w:sz w:val="20"/>
                <w:lang w:val="en-US"/>
              </w:rPr>
              <w:t>darunavir and</w:t>
            </w:r>
            <w:r w:rsidRPr="002B7C41">
              <w:rPr>
                <w:rFonts w:ascii="Arial Narrow" w:hAnsi="Arial Narrow"/>
                <w:b/>
                <w:sz w:val="20"/>
                <w:lang w:val="en-US"/>
              </w:rPr>
              <w:t xml:space="preserve"> cobicistat comparison with </w:t>
            </w:r>
            <w:r w:rsidR="00912070">
              <w:rPr>
                <w:rFonts w:ascii="Arial Narrow" w:hAnsi="Arial Narrow"/>
                <w:b/>
                <w:sz w:val="20"/>
                <w:lang w:val="en-US"/>
              </w:rPr>
              <w:t>darunavir and</w:t>
            </w:r>
            <w:r w:rsidRPr="002B7C41">
              <w:rPr>
                <w:rFonts w:ascii="Arial Narrow" w:hAnsi="Arial Narrow"/>
                <w:b/>
                <w:sz w:val="20"/>
                <w:lang w:val="en-US"/>
              </w:rPr>
              <w:t xml:space="preserve"> ritonavir</w:t>
            </w:r>
          </w:p>
        </w:tc>
      </w:tr>
      <w:tr w:rsidR="00AC2188" w:rsidRPr="00E2771E" w:rsidTr="00941BF9">
        <w:tc>
          <w:tcPr>
            <w:tcW w:w="992" w:type="dxa"/>
            <w:shd w:val="clear" w:color="auto" w:fill="auto"/>
            <w:vAlign w:val="center"/>
          </w:tcPr>
          <w:p w:rsidR="00AC2188" w:rsidRPr="00E2771E" w:rsidRDefault="00AC2188" w:rsidP="007F1017">
            <w:pPr>
              <w:rPr>
                <w:rFonts w:ascii="Arial Narrow" w:hAnsi="Arial Narrow"/>
                <w:sz w:val="20"/>
                <w:lang w:val="en-US"/>
              </w:rPr>
            </w:pPr>
            <w:r>
              <w:rPr>
                <w:rFonts w:ascii="Arial Narrow" w:hAnsi="Arial Narrow"/>
                <w:sz w:val="20"/>
                <w:lang w:val="en-US"/>
              </w:rPr>
              <w:t>Study 0130</w:t>
            </w:r>
          </w:p>
        </w:tc>
        <w:tc>
          <w:tcPr>
            <w:tcW w:w="567" w:type="dxa"/>
            <w:shd w:val="clear" w:color="auto" w:fill="auto"/>
            <w:vAlign w:val="center"/>
          </w:tcPr>
          <w:p w:rsidR="00AC2188" w:rsidRPr="001A1F41" w:rsidRDefault="00AC2188" w:rsidP="007F1017">
            <w:pPr>
              <w:jc w:val="center"/>
              <w:rPr>
                <w:rFonts w:ascii="Arial Narrow" w:hAnsi="Arial Narrow"/>
                <w:sz w:val="20"/>
                <w:vertAlign w:val="superscript"/>
                <w:lang w:val="en-US"/>
              </w:rPr>
            </w:pPr>
            <w:r>
              <w:rPr>
                <w:rFonts w:ascii="Arial Narrow" w:hAnsi="Arial Narrow"/>
                <w:sz w:val="20"/>
                <w:lang w:val="en-US"/>
              </w:rPr>
              <w:t xml:space="preserve">313 </w:t>
            </w:r>
            <w:r>
              <w:rPr>
                <w:rFonts w:ascii="Arial Narrow" w:hAnsi="Arial Narrow"/>
                <w:sz w:val="20"/>
                <w:vertAlign w:val="superscript"/>
                <w:lang w:val="en-US"/>
              </w:rPr>
              <w:t>a</w:t>
            </w:r>
          </w:p>
        </w:tc>
        <w:tc>
          <w:tcPr>
            <w:tcW w:w="1560" w:type="dxa"/>
            <w:shd w:val="clear" w:color="auto" w:fill="auto"/>
            <w:vAlign w:val="center"/>
          </w:tcPr>
          <w:p w:rsidR="00AC2188" w:rsidRPr="001F401D" w:rsidRDefault="00AC2188" w:rsidP="001A1F41">
            <w:pPr>
              <w:jc w:val="center"/>
              <w:rPr>
                <w:rFonts w:ascii="Arial Narrow" w:hAnsi="Arial Narrow"/>
                <w:sz w:val="20"/>
                <w:vertAlign w:val="superscript"/>
                <w:lang w:val="en-US"/>
              </w:rPr>
            </w:pPr>
            <w:r>
              <w:rPr>
                <w:rFonts w:ascii="Arial Narrow" w:hAnsi="Arial Narrow"/>
                <w:sz w:val="20"/>
                <w:lang w:val="en-US"/>
              </w:rPr>
              <w:t>R, OL, 48 weeks</w:t>
            </w:r>
            <w:r w:rsidR="001F401D">
              <w:rPr>
                <w:rFonts w:ascii="Arial Narrow" w:hAnsi="Arial Narrow"/>
                <w:sz w:val="20"/>
                <w:lang w:val="en-US"/>
              </w:rPr>
              <w:t xml:space="preserve"> </w:t>
            </w:r>
            <w:r w:rsidR="001F401D" w:rsidRPr="006F2813">
              <w:rPr>
                <w:rFonts w:ascii="Arial Narrow" w:hAnsi="Arial Narrow"/>
                <w:i/>
                <w:sz w:val="20"/>
                <w:vertAlign w:val="superscript"/>
                <w:lang w:val="en-US"/>
              </w:rPr>
              <w:t>b</w:t>
            </w:r>
          </w:p>
        </w:tc>
        <w:tc>
          <w:tcPr>
            <w:tcW w:w="1134" w:type="dxa"/>
            <w:shd w:val="clear" w:color="auto" w:fill="auto"/>
            <w:vAlign w:val="center"/>
          </w:tcPr>
          <w:p w:rsidR="00AC2188" w:rsidRPr="00E2771E" w:rsidRDefault="00AC2188" w:rsidP="007F1017">
            <w:pPr>
              <w:jc w:val="center"/>
              <w:rPr>
                <w:rFonts w:ascii="Arial Narrow" w:hAnsi="Arial Narrow"/>
                <w:sz w:val="20"/>
                <w:lang w:val="en-US"/>
              </w:rPr>
            </w:pPr>
            <w:r>
              <w:rPr>
                <w:rFonts w:ascii="Arial Narrow" w:hAnsi="Arial Narrow"/>
                <w:sz w:val="20"/>
                <w:lang w:val="en-US"/>
              </w:rPr>
              <w:t>High</w:t>
            </w:r>
          </w:p>
        </w:tc>
        <w:tc>
          <w:tcPr>
            <w:tcW w:w="1417" w:type="dxa"/>
            <w:shd w:val="clear" w:color="auto" w:fill="auto"/>
            <w:vAlign w:val="center"/>
          </w:tcPr>
          <w:p w:rsidR="00AC2188" w:rsidRPr="00E2771E" w:rsidRDefault="00AC2188" w:rsidP="007F1017">
            <w:pPr>
              <w:jc w:val="center"/>
              <w:rPr>
                <w:rFonts w:ascii="Arial Narrow" w:hAnsi="Arial Narrow"/>
                <w:sz w:val="20"/>
                <w:lang w:val="en-US"/>
              </w:rPr>
            </w:pPr>
            <w:r>
              <w:rPr>
                <w:rFonts w:ascii="Arial Narrow" w:hAnsi="Arial Narrow"/>
                <w:sz w:val="20"/>
                <w:lang w:val="en-US"/>
              </w:rPr>
              <w:t>Tx naïve + exp</w:t>
            </w:r>
          </w:p>
        </w:tc>
        <w:tc>
          <w:tcPr>
            <w:tcW w:w="2693" w:type="dxa"/>
            <w:shd w:val="clear" w:color="auto" w:fill="auto"/>
            <w:vAlign w:val="center"/>
          </w:tcPr>
          <w:p w:rsidR="00AC2188" w:rsidRPr="001F401D" w:rsidRDefault="00AC2188" w:rsidP="006520C3">
            <w:pPr>
              <w:jc w:val="center"/>
              <w:rPr>
                <w:rFonts w:ascii="Arial Narrow" w:hAnsi="Arial Narrow"/>
                <w:sz w:val="20"/>
                <w:vertAlign w:val="superscript"/>
                <w:lang w:val="en-US"/>
              </w:rPr>
            </w:pPr>
            <w:r>
              <w:rPr>
                <w:rFonts w:ascii="Arial Narrow" w:hAnsi="Arial Narrow"/>
                <w:sz w:val="20"/>
                <w:lang w:val="en-US"/>
              </w:rPr>
              <w:t>VR</w:t>
            </w:r>
            <w:r w:rsidR="001F401D">
              <w:rPr>
                <w:rFonts w:ascii="Arial Narrow" w:hAnsi="Arial Narrow"/>
                <w:sz w:val="20"/>
                <w:lang w:val="en-US"/>
              </w:rPr>
              <w:t xml:space="preserve"> </w:t>
            </w:r>
            <w:r>
              <w:rPr>
                <w:rFonts w:ascii="Arial Narrow" w:hAnsi="Arial Narrow"/>
                <w:sz w:val="20"/>
                <w:lang w:val="en-US"/>
              </w:rPr>
              <w:t>,</w:t>
            </w:r>
            <w:r w:rsidR="001F401D">
              <w:rPr>
                <w:rFonts w:ascii="Arial Narrow" w:hAnsi="Arial Narrow"/>
                <w:sz w:val="20"/>
                <w:lang w:val="en-US"/>
              </w:rPr>
              <w:t xml:space="preserve"> VF,</w:t>
            </w:r>
            <w:r w:rsidRPr="001A1F41">
              <w:rPr>
                <w:rFonts w:ascii="Arial Narrow" w:hAnsi="Arial Narrow"/>
                <w:sz w:val="20"/>
                <w:lang w:val="en-US"/>
              </w:rPr>
              <w:t xml:space="preserve"> </w:t>
            </w:r>
            <w:r w:rsidRPr="001A1F41">
              <w:rPr>
                <w:rFonts w:ascii="Arial Narrow" w:hAnsi="Arial Narrow"/>
                <w:sz w:val="20"/>
                <w:lang w:val="en-GB"/>
              </w:rPr>
              <w:t>Δ</w:t>
            </w:r>
            <w:r>
              <w:rPr>
                <w:rFonts w:ascii="Arial Narrow" w:hAnsi="Arial Narrow"/>
                <w:sz w:val="20"/>
                <w:lang w:val="en-GB"/>
              </w:rPr>
              <w:t xml:space="preserve"> CD4 cell count </w:t>
            </w:r>
          </w:p>
        </w:tc>
      </w:tr>
      <w:tr w:rsidR="00AC2188" w:rsidRPr="00E2771E" w:rsidTr="00941BF9">
        <w:tc>
          <w:tcPr>
            <w:tcW w:w="992" w:type="dxa"/>
            <w:shd w:val="clear" w:color="auto" w:fill="auto"/>
            <w:vAlign w:val="center"/>
          </w:tcPr>
          <w:p w:rsidR="00AC2188" w:rsidRPr="00E2771E" w:rsidRDefault="00AC2188" w:rsidP="007F1017">
            <w:pPr>
              <w:rPr>
                <w:rFonts w:ascii="Arial Narrow" w:hAnsi="Arial Narrow"/>
                <w:sz w:val="20"/>
                <w:lang w:val="en-US"/>
              </w:rPr>
            </w:pPr>
            <w:r>
              <w:rPr>
                <w:rFonts w:ascii="Arial Narrow" w:hAnsi="Arial Narrow"/>
                <w:sz w:val="20"/>
                <w:lang w:val="en-US"/>
              </w:rPr>
              <w:t>ARTEMIS</w:t>
            </w:r>
          </w:p>
        </w:tc>
        <w:tc>
          <w:tcPr>
            <w:tcW w:w="567" w:type="dxa"/>
            <w:shd w:val="clear" w:color="auto" w:fill="auto"/>
            <w:vAlign w:val="center"/>
          </w:tcPr>
          <w:p w:rsidR="00AC2188" w:rsidRPr="00E2771E" w:rsidRDefault="00AC2188" w:rsidP="007F1017">
            <w:pPr>
              <w:jc w:val="center"/>
              <w:rPr>
                <w:rFonts w:ascii="Arial Narrow" w:hAnsi="Arial Narrow"/>
                <w:sz w:val="20"/>
                <w:lang w:val="en-US"/>
              </w:rPr>
            </w:pPr>
            <w:r>
              <w:rPr>
                <w:rFonts w:ascii="Arial Narrow" w:hAnsi="Arial Narrow"/>
                <w:sz w:val="20"/>
                <w:lang w:val="en-US"/>
              </w:rPr>
              <w:t>343</w:t>
            </w:r>
          </w:p>
        </w:tc>
        <w:tc>
          <w:tcPr>
            <w:tcW w:w="1560" w:type="dxa"/>
            <w:shd w:val="clear" w:color="auto" w:fill="auto"/>
            <w:vAlign w:val="center"/>
          </w:tcPr>
          <w:p w:rsidR="00AC2188" w:rsidRPr="00E2771E" w:rsidRDefault="00AC2188" w:rsidP="001A1F41">
            <w:pPr>
              <w:jc w:val="center"/>
              <w:rPr>
                <w:rFonts w:ascii="Arial Narrow" w:hAnsi="Arial Narrow"/>
                <w:sz w:val="20"/>
                <w:lang w:val="en-US"/>
              </w:rPr>
            </w:pPr>
            <w:r w:rsidRPr="00E2771E">
              <w:rPr>
                <w:rFonts w:ascii="Arial Narrow" w:hAnsi="Arial Narrow"/>
                <w:sz w:val="20"/>
                <w:lang w:val="en-US"/>
              </w:rPr>
              <w:t>R, OL</w:t>
            </w:r>
            <w:r>
              <w:rPr>
                <w:rFonts w:ascii="Arial Narrow" w:hAnsi="Arial Narrow"/>
                <w:sz w:val="20"/>
                <w:lang w:val="en-US"/>
              </w:rPr>
              <w:t>, 48 weeks</w:t>
            </w:r>
          </w:p>
        </w:tc>
        <w:tc>
          <w:tcPr>
            <w:tcW w:w="1134" w:type="dxa"/>
            <w:shd w:val="clear" w:color="auto" w:fill="auto"/>
            <w:vAlign w:val="center"/>
          </w:tcPr>
          <w:p w:rsidR="00AC2188" w:rsidRPr="00E2771E" w:rsidRDefault="00AC2188" w:rsidP="007F1017">
            <w:pPr>
              <w:jc w:val="center"/>
              <w:rPr>
                <w:rFonts w:ascii="Arial Narrow" w:hAnsi="Arial Narrow"/>
                <w:sz w:val="20"/>
                <w:lang w:val="en-US"/>
              </w:rPr>
            </w:pPr>
            <w:r w:rsidRPr="00E2771E">
              <w:rPr>
                <w:rFonts w:ascii="Arial Narrow" w:hAnsi="Arial Narrow"/>
                <w:sz w:val="20"/>
                <w:lang w:val="en-US"/>
              </w:rPr>
              <w:t>High</w:t>
            </w:r>
          </w:p>
        </w:tc>
        <w:tc>
          <w:tcPr>
            <w:tcW w:w="1417" w:type="dxa"/>
            <w:shd w:val="clear" w:color="auto" w:fill="auto"/>
            <w:vAlign w:val="center"/>
          </w:tcPr>
          <w:p w:rsidR="00AC2188" w:rsidRPr="00E2771E" w:rsidRDefault="00AC2188" w:rsidP="007F1017">
            <w:pPr>
              <w:jc w:val="center"/>
              <w:rPr>
                <w:rFonts w:ascii="Arial Narrow" w:hAnsi="Arial Narrow"/>
                <w:sz w:val="20"/>
                <w:lang w:val="en-US"/>
              </w:rPr>
            </w:pPr>
            <w:r>
              <w:rPr>
                <w:rFonts w:ascii="Arial Narrow" w:hAnsi="Arial Narrow"/>
                <w:sz w:val="20"/>
                <w:lang w:val="en-US"/>
              </w:rPr>
              <w:t>Tx naïve</w:t>
            </w:r>
          </w:p>
        </w:tc>
        <w:tc>
          <w:tcPr>
            <w:tcW w:w="2693" w:type="dxa"/>
            <w:shd w:val="clear" w:color="auto" w:fill="auto"/>
          </w:tcPr>
          <w:p w:rsidR="00AC2188" w:rsidRDefault="00AC2188" w:rsidP="006520C3">
            <w:pPr>
              <w:jc w:val="center"/>
            </w:pPr>
            <w:r w:rsidRPr="00D67593">
              <w:rPr>
                <w:rFonts w:ascii="Arial Narrow" w:hAnsi="Arial Narrow"/>
                <w:sz w:val="20"/>
                <w:lang w:val="en-US"/>
              </w:rPr>
              <w:t>VR</w:t>
            </w:r>
            <w:r w:rsidR="001F401D">
              <w:rPr>
                <w:rFonts w:ascii="Arial Narrow" w:hAnsi="Arial Narrow"/>
                <w:sz w:val="20"/>
                <w:lang w:val="en-US"/>
              </w:rPr>
              <w:t xml:space="preserve"> </w:t>
            </w:r>
            <w:r w:rsidR="001F401D">
              <w:rPr>
                <w:rFonts w:ascii="Arial Narrow" w:hAnsi="Arial Narrow"/>
                <w:sz w:val="20"/>
                <w:vertAlign w:val="superscript"/>
                <w:lang w:val="en-US"/>
              </w:rPr>
              <w:t>c</w:t>
            </w:r>
            <w:r w:rsidRPr="00D67593">
              <w:rPr>
                <w:rFonts w:ascii="Arial Narrow" w:hAnsi="Arial Narrow"/>
                <w:sz w:val="20"/>
                <w:lang w:val="en-US"/>
              </w:rPr>
              <w:t>,</w:t>
            </w:r>
            <w:r w:rsidR="001F401D">
              <w:rPr>
                <w:rFonts w:ascii="Arial Narrow" w:hAnsi="Arial Narrow"/>
                <w:sz w:val="20"/>
                <w:lang w:val="en-US"/>
              </w:rPr>
              <w:t xml:space="preserve"> VF,</w:t>
            </w:r>
            <w:r w:rsidRPr="00D67593">
              <w:rPr>
                <w:rFonts w:ascii="Arial Narrow" w:hAnsi="Arial Narrow"/>
                <w:sz w:val="20"/>
                <w:lang w:val="en-US"/>
              </w:rPr>
              <w:t xml:space="preserve"> </w:t>
            </w:r>
            <w:r w:rsidRPr="00D67593">
              <w:rPr>
                <w:rFonts w:ascii="Arial Narrow" w:hAnsi="Arial Narrow"/>
                <w:sz w:val="20"/>
                <w:lang w:val="en-GB"/>
              </w:rPr>
              <w:t xml:space="preserve">Δ CD4 cell count </w:t>
            </w:r>
          </w:p>
        </w:tc>
      </w:tr>
      <w:tr w:rsidR="00AC2188" w:rsidRPr="00E2771E" w:rsidTr="00941BF9">
        <w:tc>
          <w:tcPr>
            <w:tcW w:w="992" w:type="dxa"/>
            <w:shd w:val="clear" w:color="auto" w:fill="auto"/>
            <w:vAlign w:val="center"/>
          </w:tcPr>
          <w:p w:rsidR="00AC2188" w:rsidRPr="00E2771E" w:rsidRDefault="00AC2188" w:rsidP="007F1017">
            <w:pPr>
              <w:rPr>
                <w:rFonts w:ascii="Arial Narrow" w:hAnsi="Arial Narrow"/>
                <w:sz w:val="20"/>
                <w:lang w:val="en-US"/>
              </w:rPr>
            </w:pPr>
            <w:r>
              <w:rPr>
                <w:rFonts w:ascii="Arial Narrow" w:hAnsi="Arial Narrow"/>
                <w:sz w:val="20"/>
                <w:lang w:val="en-US"/>
              </w:rPr>
              <w:t>ODIN</w:t>
            </w:r>
          </w:p>
        </w:tc>
        <w:tc>
          <w:tcPr>
            <w:tcW w:w="567" w:type="dxa"/>
            <w:shd w:val="clear" w:color="auto" w:fill="auto"/>
            <w:vAlign w:val="center"/>
          </w:tcPr>
          <w:p w:rsidR="00AC2188" w:rsidRPr="00E2771E" w:rsidRDefault="00AC2188" w:rsidP="007F1017">
            <w:pPr>
              <w:jc w:val="center"/>
              <w:rPr>
                <w:rFonts w:ascii="Arial Narrow" w:hAnsi="Arial Narrow"/>
                <w:sz w:val="20"/>
                <w:lang w:val="en-US"/>
              </w:rPr>
            </w:pPr>
            <w:r>
              <w:rPr>
                <w:rFonts w:ascii="Arial Narrow" w:hAnsi="Arial Narrow"/>
                <w:sz w:val="20"/>
                <w:lang w:val="en-US"/>
              </w:rPr>
              <w:t>294</w:t>
            </w:r>
          </w:p>
        </w:tc>
        <w:tc>
          <w:tcPr>
            <w:tcW w:w="1560" w:type="dxa"/>
            <w:shd w:val="clear" w:color="auto" w:fill="auto"/>
            <w:vAlign w:val="center"/>
          </w:tcPr>
          <w:p w:rsidR="00AC2188" w:rsidRPr="00E2771E" w:rsidRDefault="00AC2188" w:rsidP="003F23C5">
            <w:pPr>
              <w:jc w:val="center"/>
              <w:rPr>
                <w:rFonts w:ascii="Arial Narrow" w:hAnsi="Arial Narrow"/>
                <w:sz w:val="20"/>
                <w:lang w:val="en-US"/>
              </w:rPr>
            </w:pPr>
            <w:r>
              <w:rPr>
                <w:rFonts w:ascii="Arial Narrow" w:hAnsi="Arial Narrow"/>
                <w:sz w:val="20"/>
                <w:lang w:val="en-US"/>
              </w:rPr>
              <w:t>R, OL, 48 weeks</w:t>
            </w:r>
          </w:p>
        </w:tc>
        <w:tc>
          <w:tcPr>
            <w:tcW w:w="1134" w:type="dxa"/>
            <w:shd w:val="clear" w:color="auto" w:fill="auto"/>
            <w:vAlign w:val="center"/>
          </w:tcPr>
          <w:p w:rsidR="00AC2188" w:rsidRPr="00E2771E" w:rsidRDefault="00AC2188" w:rsidP="007F1017">
            <w:pPr>
              <w:jc w:val="center"/>
              <w:rPr>
                <w:rFonts w:ascii="Arial Narrow" w:hAnsi="Arial Narrow"/>
                <w:sz w:val="20"/>
                <w:lang w:val="en-US"/>
              </w:rPr>
            </w:pPr>
            <w:r>
              <w:rPr>
                <w:rFonts w:ascii="Arial Narrow" w:hAnsi="Arial Narrow"/>
                <w:sz w:val="20"/>
                <w:lang w:val="en-US"/>
              </w:rPr>
              <w:t>High</w:t>
            </w:r>
          </w:p>
        </w:tc>
        <w:tc>
          <w:tcPr>
            <w:tcW w:w="1417" w:type="dxa"/>
            <w:shd w:val="clear" w:color="auto" w:fill="auto"/>
            <w:vAlign w:val="center"/>
          </w:tcPr>
          <w:p w:rsidR="00AC2188" w:rsidRPr="00E2771E" w:rsidRDefault="00AC2188" w:rsidP="009D15B8">
            <w:pPr>
              <w:jc w:val="center"/>
              <w:rPr>
                <w:rFonts w:ascii="Arial Narrow" w:hAnsi="Arial Narrow"/>
                <w:sz w:val="20"/>
                <w:lang w:val="en-US"/>
              </w:rPr>
            </w:pPr>
            <w:r>
              <w:rPr>
                <w:rFonts w:ascii="Arial Narrow" w:hAnsi="Arial Narrow"/>
                <w:sz w:val="20"/>
                <w:lang w:val="en-US"/>
              </w:rPr>
              <w:t xml:space="preserve">Tx </w:t>
            </w:r>
            <w:r w:rsidR="009D15B8">
              <w:rPr>
                <w:rFonts w:ascii="Arial Narrow" w:hAnsi="Arial Narrow"/>
                <w:sz w:val="20"/>
                <w:lang w:val="en-US"/>
              </w:rPr>
              <w:t>e</w:t>
            </w:r>
            <w:r>
              <w:rPr>
                <w:rFonts w:ascii="Arial Narrow" w:hAnsi="Arial Narrow"/>
                <w:sz w:val="20"/>
                <w:lang w:val="en-US"/>
              </w:rPr>
              <w:t>xp</w:t>
            </w:r>
          </w:p>
        </w:tc>
        <w:tc>
          <w:tcPr>
            <w:tcW w:w="2693" w:type="dxa"/>
            <w:shd w:val="clear" w:color="auto" w:fill="auto"/>
          </w:tcPr>
          <w:p w:rsidR="00AC2188" w:rsidRDefault="00AC2188" w:rsidP="006520C3">
            <w:pPr>
              <w:jc w:val="center"/>
            </w:pPr>
            <w:r w:rsidRPr="00D67593">
              <w:rPr>
                <w:rFonts w:ascii="Arial Narrow" w:hAnsi="Arial Narrow"/>
                <w:sz w:val="20"/>
                <w:lang w:val="en-US"/>
              </w:rPr>
              <w:t>VR</w:t>
            </w:r>
            <w:r w:rsidR="001F401D">
              <w:rPr>
                <w:rFonts w:ascii="Arial Narrow" w:hAnsi="Arial Narrow"/>
                <w:sz w:val="20"/>
                <w:lang w:val="en-US"/>
              </w:rPr>
              <w:t xml:space="preserve"> </w:t>
            </w:r>
            <w:r w:rsidR="001F401D">
              <w:rPr>
                <w:rFonts w:ascii="Arial Narrow" w:hAnsi="Arial Narrow"/>
                <w:sz w:val="20"/>
                <w:vertAlign w:val="superscript"/>
                <w:lang w:val="en-US"/>
              </w:rPr>
              <w:t>c</w:t>
            </w:r>
            <w:r w:rsidRPr="00D67593">
              <w:rPr>
                <w:rFonts w:ascii="Arial Narrow" w:hAnsi="Arial Narrow"/>
                <w:sz w:val="20"/>
                <w:lang w:val="en-US"/>
              </w:rPr>
              <w:t>,</w:t>
            </w:r>
            <w:r w:rsidR="001F401D">
              <w:rPr>
                <w:rFonts w:ascii="Arial Narrow" w:hAnsi="Arial Narrow"/>
                <w:sz w:val="20"/>
                <w:lang w:val="en-US"/>
              </w:rPr>
              <w:t xml:space="preserve"> VF,</w:t>
            </w:r>
            <w:r w:rsidRPr="00D67593">
              <w:rPr>
                <w:rFonts w:ascii="Arial Narrow" w:hAnsi="Arial Narrow"/>
                <w:sz w:val="20"/>
                <w:lang w:val="en-US"/>
              </w:rPr>
              <w:t xml:space="preserve"> </w:t>
            </w:r>
            <w:r w:rsidRPr="00D67593">
              <w:rPr>
                <w:rFonts w:ascii="Arial Narrow" w:hAnsi="Arial Narrow"/>
                <w:sz w:val="20"/>
                <w:lang w:val="en-GB"/>
              </w:rPr>
              <w:t xml:space="preserve">Δ CD4 cell count </w:t>
            </w:r>
          </w:p>
        </w:tc>
      </w:tr>
      <w:tr w:rsidR="00AC2188" w:rsidRPr="00E2771E" w:rsidTr="00941BF9">
        <w:tc>
          <w:tcPr>
            <w:tcW w:w="992" w:type="dxa"/>
            <w:shd w:val="clear" w:color="auto" w:fill="auto"/>
            <w:vAlign w:val="center"/>
          </w:tcPr>
          <w:p w:rsidR="00AC2188" w:rsidRPr="00E2771E" w:rsidRDefault="00AC2188" w:rsidP="007F1017">
            <w:pPr>
              <w:rPr>
                <w:rFonts w:ascii="Arial Narrow" w:hAnsi="Arial Narrow"/>
                <w:sz w:val="20"/>
                <w:lang w:val="en-US"/>
              </w:rPr>
            </w:pPr>
            <w:r>
              <w:rPr>
                <w:rFonts w:ascii="Arial Narrow" w:hAnsi="Arial Narrow"/>
                <w:sz w:val="20"/>
                <w:lang w:val="en-US"/>
              </w:rPr>
              <w:t>FLAMINGO</w:t>
            </w:r>
          </w:p>
        </w:tc>
        <w:tc>
          <w:tcPr>
            <w:tcW w:w="567" w:type="dxa"/>
            <w:shd w:val="clear" w:color="auto" w:fill="auto"/>
            <w:vAlign w:val="center"/>
          </w:tcPr>
          <w:p w:rsidR="00AC2188" w:rsidRPr="00E2771E" w:rsidRDefault="00AC2188" w:rsidP="007F1017">
            <w:pPr>
              <w:jc w:val="center"/>
              <w:rPr>
                <w:rFonts w:ascii="Arial Narrow" w:hAnsi="Arial Narrow"/>
                <w:sz w:val="20"/>
                <w:lang w:val="en-US"/>
              </w:rPr>
            </w:pPr>
            <w:r>
              <w:rPr>
                <w:rFonts w:ascii="Arial Narrow" w:hAnsi="Arial Narrow"/>
                <w:sz w:val="20"/>
                <w:lang w:val="en-US"/>
              </w:rPr>
              <w:t>242</w:t>
            </w:r>
          </w:p>
        </w:tc>
        <w:tc>
          <w:tcPr>
            <w:tcW w:w="1560" w:type="dxa"/>
            <w:shd w:val="clear" w:color="auto" w:fill="auto"/>
            <w:vAlign w:val="center"/>
          </w:tcPr>
          <w:p w:rsidR="00AC2188" w:rsidRPr="00E2771E" w:rsidRDefault="00AC2188" w:rsidP="001A1F41">
            <w:pPr>
              <w:jc w:val="center"/>
              <w:rPr>
                <w:rFonts w:ascii="Arial Narrow" w:hAnsi="Arial Narrow"/>
                <w:sz w:val="20"/>
                <w:lang w:val="en-US"/>
              </w:rPr>
            </w:pPr>
            <w:r>
              <w:rPr>
                <w:rFonts w:ascii="Arial Narrow" w:hAnsi="Arial Narrow"/>
                <w:sz w:val="20"/>
                <w:lang w:val="en-US"/>
              </w:rPr>
              <w:t>R, OL, 48 weeks</w:t>
            </w:r>
          </w:p>
        </w:tc>
        <w:tc>
          <w:tcPr>
            <w:tcW w:w="1134" w:type="dxa"/>
            <w:shd w:val="clear" w:color="auto" w:fill="auto"/>
            <w:vAlign w:val="center"/>
          </w:tcPr>
          <w:p w:rsidR="00AC2188" w:rsidRPr="00E2771E" w:rsidRDefault="00AC2188" w:rsidP="007F1017">
            <w:pPr>
              <w:jc w:val="center"/>
              <w:rPr>
                <w:rFonts w:ascii="Arial Narrow" w:hAnsi="Arial Narrow"/>
                <w:sz w:val="20"/>
                <w:lang w:val="en-US"/>
              </w:rPr>
            </w:pPr>
            <w:r>
              <w:rPr>
                <w:rFonts w:ascii="Arial Narrow" w:hAnsi="Arial Narrow"/>
                <w:sz w:val="20"/>
                <w:lang w:val="en-US"/>
              </w:rPr>
              <w:t>High</w:t>
            </w:r>
          </w:p>
        </w:tc>
        <w:tc>
          <w:tcPr>
            <w:tcW w:w="1417" w:type="dxa"/>
            <w:shd w:val="clear" w:color="auto" w:fill="auto"/>
            <w:vAlign w:val="center"/>
          </w:tcPr>
          <w:p w:rsidR="00AC2188" w:rsidRPr="00E2771E" w:rsidRDefault="00AC2188" w:rsidP="007F1017">
            <w:pPr>
              <w:jc w:val="center"/>
              <w:rPr>
                <w:rFonts w:ascii="Arial Narrow" w:hAnsi="Arial Narrow"/>
                <w:sz w:val="20"/>
                <w:lang w:val="en-US"/>
              </w:rPr>
            </w:pPr>
            <w:r>
              <w:rPr>
                <w:rFonts w:ascii="Arial Narrow" w:hAnsi="Arial Narrow"/>
                <w:sz w:val="20"/>
                <w:lang w:val="en-US"/>
              </w:rPr>
              <w:t>Tx naïve</w:t>
            </w:r>
          </w:p>
        </w:tc>
        <w:tc>
          <w:tcPr>
            <w:tcW w:w="2693" w:type="dxa"/>
            <w:shd w:val="clear" w:color="auto" w:fill="auto"/>
          </w:tcPr>
          <w:p w:rsidR="00AC2188" w:rsidRDefault="00AC2188" w:rsidP="006520C3">
            <w:pPr>
              <w:jc w:val="center"/>
            </w:pPr>
            <w:r w:rsidRPr="00D67593">
              <w:rPr>
                <w:rFonts w:ascii="Arial Narrow" w:hAnsi="Arial Narrow"/>
                <w:sz w:val="20"/>
                <w:lang w:val="en-US"/>
              </w:rPr>
              <w:t>VR</w:t>
            </w:r>
            <w:r w:rsidR="001F401D">
              <w:rPr>
                <w:rFonts w:ascii="Arial Narrow" w:hAnsi="Arial Narrow"/>
                <w:sz w:val="20"/>
                <w:lang w:val="en-US"/>
              </w:rPr>
              <w:t xml:space="preserve"> </w:t>
            </w:r>
            <w:r w:rsidR="001F401D">
              <w:rPr>
                <w:rFonts w:ascii="Arial Narrow" w:hAnsi="Arial Narrow"/>
                <w:sz w:val="20"/>
                <w:vertAlign w:val="superscript"/>
                <w:lang w:val="en-US"/>
              </w:rPr>
              <w:t>c</w:t>
            </w:r>
            <w:r w:rsidRPr="00D67593">
              <w:rPr>
                <w:rFonts w:ascii="Arial Narrow" w:hAnsi="Arial Narrow"/>
                <w:sz w:val="20"/>
                <w:lang w:val="en-US"/>
              </w:rPr>
              <w:t>,</w:t>
            </w:r>
            <w:r w:rsidR="001F401D">
              <w:rPr>
                <w:rFonts w:ascii="Arial Narrow" w:hAnsi="Arial Narrow"/>
                <w:sz w:val="20"/>
                <w:lang w:val="en-US"/>
              </w:rPr>
              <w:t xml:space="preserve"> VF,</w:t>
            </w:r>
            <w:r w:rsidRPr="00D67593">
              <w:rPr>
                <w:rFonts w:ascii="Arial Narrow" w:hAnsi="Arial Narrow"/>
                <w:sz w:val="20"/>
                <w:lang w:val="en-US"/>
              </w:rPr>
              <w:t xml:space="preserve"> </w:t>
            </w:r>
            <w:r w:rsidRPr="00D67593">
              <w:rPr>
                <w:rFonts w:ascii="Arial Narrow" w:hAnsi="Arial Narrow"/>
                <w:sz w:val="20"/>
                <w:lang w:val="en-GB"/>
              </w:rPr>
              <w:t xml:space="preserve">Δ CD4 cell count </w:t>
            </w:r>
          </w:p>
        </w:tc>
      </w:tr>
      <w:tr w:rsidR="00AC2188" w:rsidRPr="00E2771E" w:rsidTr="00941BF9">
        <w:tc>
          <w:tcPr>
            <w:tcW w:w="992" w:type="dxa"/>
            <w:shd w:val="clear" w:color="auto" w:fill="auto"/>
            <w:vAlign w:val="center"/>
          </w:tcPr>
          <w:p w:rsidR="00AC2188" w:rsidRPr="00E2771E" w:rsidRDefault="00AC2188" w:rsidP="007F1017">
            <w:pPr>
              <w:rPr>
                <w:rFonts w:ascii="Arial Narrow" w:hAnsi="Arial Narrow"/>
                <w:sz w:val="20"/>
                <w:lang w:val="en-US"/>
              </w:rPr>
            </w:pPr>
            <w:r>
              <w:rPr>
                <w:rFonts w:ascii="Arial Narrow" w:hAnsi="Arial Narrow"/>
                <w:sz w:val="20"/>
                <w:lang w:val="en-US"/>
              </w:rPr>
              <w:t>2LADY</w:t>
            </w:r>
          </w:p>
        </w:tc>
        <w:tc>
          <w:tcPr>
            <w:tcW w:w="567" w:type="dxa"/>
            <w:shd w:val="clear" w:color="auto" w:fill="auto"/>
            <w:vAlign w:val="center"/>
          </w:tcPr>
          <w:p w:rsidR="00AC2188" w:rsidRPr="00E2771E" w:rsidRDefault="00AC2188" w:rsidP="007F1017">
            <w:pPr>
              <w:jc w:val="center"/>
              <w:rPr>
                <w:rFonts w:ascii="Arial Narrow" w:hAnsi="Arial Narrow"/>
                <w:sz w:val="20"/>
                <w:lang w:val="en-US"/>
              </w:rPr>
            </w:pPr>
            <w:r>
              <w:rPr>
                <w:rFonts w:ascii="Arial Narrow" w:hAnsi="Arial Narrow"/>
                <w:sz w:val="20"/>
                <w:lang w:val="en-US"/>
              </w:rPr>
              <w:t>154</w:t>
            </w:r>
          </w:p>
        </w:tc>
        <w:tc>
          <w:tcPr>
            <w:tcW w:w="1560" w:type="dxa"/>
            <w:shd w:val="clear" w:color="auto" w:fill="auto"/>
            <w:vAlign w:val="center"/>
          </w:tcPr>
          <w:p w:rsidR="00AC2188" w:rsidRPr="00E2771E" w:rsidRDefault="00AC2188" w:rsidP="007F1017">
            <w:pPr>
              <w:jc w:val="center"/>
              <w:rPr>
                <w:rFonts w:ascii="Arial Narrow" w:hAnsi="Arial Narrow"/>
                <w:sz w:val="20"/>
                <w:lang w:val="en-US"/>
              </w:rPr>
            </w:pPr>
            <w:r>
              <w:rPr>
                <w:rFonts w:ascii="Arial Narrow" w:hAnsi="Arial Narrow"/>
                <w:sz w:val="20"/>
                <w:lang w:val="en-US"/>
              </w:rPr>
              <w:t>R, OL, 48 weeks</w:t>
            </w:r>
          </w:p>
        </w:tc>
        <w:tc>
          <w:tcPr>
            <w:tcW w:w="1134" w:type="dxa"/>
            <w:shd w:val="clear" w:color="auto" w:fill="auto"/>
            <w:vAlign w:val="center"/>
          </w:tcPr>
          <w:p w:rsidR="00AC2188" w:rsidRPr="00E2771E" w:rsidRDefault="00AC2188" w:rsidP="007F1017">
            <w:pPr>
              <w:jc w:val="center"/>
              <w:rPr>
                <w:rFonts w:ascii="Arial Narrow" w:hAnsi="Arial Narrow"/>
                <w:sz w:val="20"/>
                <w:lang w:val="en-US"/>
              </w:rPr>
            </w:pPr>
            <w:r>
              <w:rPr>
                <w:rFonts w:ascii="Arial Narrow" w:hAnsi="Arial Narrow"/>
                <w:sz w:val="20"/>
                <w:lang w:val="en-US"/>
              </w:rPr>
              <w:t>High</w:t>
            </w:r>
          </w:p>
        </w:tc>
        <w:tc>
          <w:tcPr>
            <w:tcW w:w="1417" w:type="dxa"/>
            <w:shd w:val="clear" w:color="auto" w:fill="auto"/>
            <w:vAlign w:val="center"/>
          </w:tcPr>
          <w:p w:rsidR="00AC2188" w:rsidRPr="00E2771E" w:rsidRDefault="00AC2188" w:rsidP="007F1017">
            <w:pPr>
              <w:jc w:val="center"/>
              <w:rPr>
                <w:rFonts w:ascii="Arial Narrow" w:hAnsi="Arial Narrow"/>
                <w:sz w:val="20"/>
                <w:lang w:val="en-US"/>
              </w:rPr>
            </w:pPr>
            <w:r>
              <w:rPr>
                <w:rFonts w:ascii="Arial Narrow" w:hAnsi="Arial Narrow"/>
                <w:sz w:val="20"/>
                <w:lang w:val="en-US"/>
              </w:rPr>
              <w:t>Tx</w:t>
            </w:r>
            <w:r w:rsidR="00F61713">
              <w:rPr>
                <w:rFonts w:ascii="Arial Narrow" w:hAnsi="Arial Narrow"/>
                <w:sz w:val="20"/>
                <w:lang w:val="en-US"/>
              </w:rPr>
              <w:t xml:space="preserve"> </w:t>
            </w:r>
            <w:r w:rsidR="009D15B8">
              <w:rPr>
                <w:rFonts w:ascii="Arial Narrow" w:hAnsi="Arial Narrow"/>
                <w:sz w:val="20"/>
                <w:lang w:val="en-US"/>
              </w:rPr>
              <w:t>e</w:t>
            </w:r>
            <w:r w:rsidR="00F61713">
              <w:rPr>
                <w:rFonts w:ascii="Arial Narrow" w:hAnsi="Arial Narrow"/>
                <w:sz w:val="20"/>
                <w:lang w:val="en-US"/>
              </w:rPr>
              <w:t>xp</w:t>
            </w:r>
          </w:p>
        </w:tc>
        <w:tc>
          <w:tcPr>
            <w:tcW w:w="2693" w:type="dxa"/>
            <w:shd w:val="clear" w:color="auto" w:fill="auto"/>
          </w:tcPr>
          <w:p w:rsidR="00AC2188" w:rsidRDefault="00AC2188" w:rsidP="006520C3">
            <w:pPr>
              <w:jc w:val="center"/>
            </w:pPr>
            <w:r w:rsidRPr="00D67593">
              <w:rPr>
                <w:rFonts w:ascii="Arial Narrow" w:hAnsi="Arial Narrow"/>
                <w:sz w:val="20"/>
                <w:lang w:val="en-US"/>
              </w:rPr>
              <w:t>VR</w:t>
            </w:r>
            <w:r w:rsidR="001F401D">
              <w:rPr>
                <w:rFonts w:ascii="Arial Narrow" w:hAnsi="Arial Narrow"/>
                <w:sz w:val="20"/>
                <w:lang w:val="en-US"/>
              </w:rPr>
              <w:t xml:space="preserve"> </w:t>
            </w:r>
            <w:r w:rsidR="001F401D">
              <w:rPr>
                <w:rFonts w:ascii="Arial Narrow" w:hAnsi="Arial Narrow"/>
                <w:sz w:val="20"/>
                <w:vertAlign w:val="superscript"/>
                <w:lang w:val="en-US"/>
              </w:rPr>
              <w:t>c</w:t>
            </w:r>
            <w:r w:rsidRPr="00D67593">
              <w:rPr>
                <w:rFonts w:ascii="Arial Narrow" w:hAnsi="Arial Narrow"/>
                <w:sz w:val="20"/>
                <w:lang w:val="en-US"/>
              </w:rPr>
              <w:t>,</w:t>
            </w:r>
            <w:r w:rsidR="001F401D">
              <w:rPr>
                <w:rFonts w:ascii="Arial Narrow" w:hAnsi="Arial Narrow"/>
                <w:sz w:val="20"/>
                <w:lang w:val="en-US"/>
              </w:rPr>
              <w:t xml:space="preserve"> VF,</w:t>
            </w:r>
            <w:r w:rsidRPr="00D67593">
              <w:rPr>
                <w:rFonts w:ascii="Arial Narrow" w:hAnsi="Arial Narrow"/>
                <w:sz w:val="20"/>
                <w:lang w:val="en-US"/>
              </w:rPr>
              <w:t xml:space="preserve"> </w:t>
            </w:r>
            <w:r w:rsidRPr="00D67593">
              <w:rPr>
                <w:rFonts w:ascii="Arial Narrow" w:hAnsi="Arial Narrow"/>
                <w:sz w:val="20"/>
                <w:lang w:val="en-GB"/>
              </w:rPr>
              <w:t xml:space="preserve">Δ CD4 cell count </w:t>
            </w:r>
          </w:p>
        </w:tc>
      </w:tr>
    </w:tbl>
    <w:p w:rsidR="00D56014" w:rsidRDefault="00D56014" w:rsidP="00D56014">
      <w:pPr>
        <w:pStyle w:val="TableFooter"/>
        <w:ind w:firstLine="720"/>
      </w:pPr>
      <w:r w:rsidRPr="0072416F">
        <w:t xml:space="preserve">Source: </w:t>
      </w:r>
      <w:r w:rsidRPr="00E20D18">
        <w:rPr>
          <w:i/>
        </w:rPr>
        <w:t>compiled during the evaluation</w:t>
      </w:r>
    </w:p>
    <w:p w:rsidR="007F1017" w:rsidRPr="0072416F" w:rsidRDefault="009E5103" w:rsidP="00D56014">
      <w:pPr>
        <w:pStyle w:val="TableFooter"/>
        <w:ind w:left="720"/>
      </w:pPr>
      <w:r w:rsidRPr="00C05054">
        <w:t>CD4 = cluster of differentiation 4</w:t>
      </w:r>
      <w:r>
        <w:t xml:space="preserve">; </w:t>
      </w:r>
      <w:r w:rsidR="00847B6D">
        <w:t xml:space="preserve">CO = crossover; </w:t>
      </w:r>
      <w:r>
        <w:t>HIV = human immunodeficienc</w:t>
      </w:r>
      <w:r w:rsidR="00D56014">
        <w:t xml:space="preserve">y virus; PK = pharmacokinetics; </w:t>
      </w:r>
      <w:r>
        <w:t>OL</w:t>
      </w:r>
      <w:r w:rsidR="009D15B8">
        <w:t xml:space="preserve"> </w:t>
      </w:r>
      <w:r>
        <w:t>=</w:t>
      </w:r>
      <w:r w:rsidR="009D15B8">
        <w:t xml:space="preserve"> </w:t>
      </w:r>
      <w:r>
        <w:t>open</w:t>
      </w:r>
      <w:r w:rsidR="00D64509">
        <w:t>-</w:t>
      </w:r>
      <w:r>
        <w:t>label; R</w:t>
      </w:r>
      <w:r w:rsidR="009D15B8">
        <w:t xml:space="preserve"> </w:t>
      </w:r>
      <w:r>
        <w:t>=</w:t>
      </w:r>
      <w:r w:rsidR="009D15B8">
        <w:t xml:space="preserve"> </w:t>
      </w:r>
      <w:r>
        <w:t xml:space="preserve">randomised; </w:t>
      </w:r>
      <w:r w:rsidR="00F90211">
        <w:t xml:space="preserve">VF = virologic failure; </w:t>
      </w:r>
      <w:r>
        <w:t>VR = viro</w:t>
      </w:r>
      <w:r w:rsidR="00D56014">
        <w:t>logic response; exp</w:t>
      </w:r>
      <w:r w:rsidR="00882401">
        <w:t xml:space="preserve"> = experienced;</w:t>
      </w:r>
      <w:r w:rsidR="00A3665E">
        <w:t xml:space="preserve"> </w:t>
      </w:r>
      <w:r>
        <w:t>Tx = treatment</w:t>
      </w:r>
      <w:r w:rsidR="00D56014">
        <w:t>; -ve</w:t>
      </w:r>
      <w:r w:rsidR="001F401D">
        <w:t>.</w:t>
      </w:r>
      <w:r w:rsidR="00D56014">
        <w:t xml:space="preserve"> = negative</w:t>
      </w:r>
      <w:r w:rsidR="00F90211">
        <w:t xml:space="preserve">; </w:t>
      </w:r>
      <w:r w:rsidR="00A76F5B">
        <w:t>Δ </w:t>
      </w:r>
      <w:r w:rsidR="00F90211" w:rsidRPr="00F90211">
        <w:t>=</w:t>
      </w:r>
      <w:r w:rsidR="00A76F5B">
        <w:t> </w:t>
      </w:r>
      <w:r w:rsidR="00F90211" w:rsidRPr="00F90211">
        <w:t>change</w:t>
      </w:r>
      <w:r w:rsidR="00773555">
        <w:t>; pop = population; FDC = fixed-dose combination</w:t>
      </w:r>
    </w:p>
    <w:p w:rsidR="001A1F41" w:rsidRDefault="001A1F41" w:rsidP="00E22A0D">
      <w:pPr>
        <w:pStyle w:val="TableFooter"/>
        <w:ind w:firstLine="720"/>
      </w:pPr>
      <w:r>
        <w:rPr>
          <w:vertAlign w:val="superscript"/>
        </w:rPr>
        <w:t xml:space="preserve">a </w:t>
      </w:r>
      <w:r w:rsidR="009D15B8">
        <w:t>O</w:t>
      </w:r>
      <w:r>
        <w:t>f 313 total patients, 18 were treatment experienced</w:t>
      </w:r>
    </w:p>
    <w:p w:rsidR="001F401D" w:rsidRPr="006F2813" w:rsidRDefault="001F401D" w:rsidP="00E22A0D">
      <w:pPr>
        <w:pStyle w:val="TableFooter"/>
        <w:ind w:firstLine="720"/>
        <w:rPr>
          <w:i/>
        </w:rPr>
      </w:pPr>
      <w:r w:rsidRPr="006F2813">
        <w:rPr>
          <w:i/>
          <w:vertAlign w:val="superscript"/>
        </w:rPr>
        <w:t xml:space="preserve">b </w:t>
      </w:r>
      <w:r w:rsidR="006F2813" w:rsidRPr="006F2813">
        <w:rPr>
          <w:i/>
        </w:rPr>
        <w:t>The primary outcome, treatment emergent grade 3 or 4 adverse events was performed over 24 weeks</w:t>
      </w:r>
    </w:p>
    <w:p w:rsidR="001F401D" w:rsidRPr="001F401D" w:rsidRDefault="001F401D" w:rsidP="00E22A0D">
      <w:pPr>
        <w:pStyle w:val="TableFooter"/>
        <w:ind w:firstLine="720"/>
      </w:pPr>
      <w:r>
        <w:rPr>
          <w:vertAlign w:val="superscript"/>
        </w:rPr>
        <w:t xml:space="preserve">c </w:t>
      </w:r>
      <w:r>
        <w:t>Primary outcome</w:t>
      </w:r>
    </w:p>
    <w:p w:rsidR="00B60939" w:rsidRPr="00882085" w:rsidRDefault="00B60939" w:rsidP="00B60939">
      <w:pPr>
        <w:rPr>
          <w:szCs w:val="22"/>
        </w:rPr>
      </w:pPr>
    </w:p>
    <w:p w:rsidR="00B60939" w:rsidRPr="002C2775" w:rsidRDefault="00B60939" w:rsidP="002C2775">
      <w:pPr>
        <w:pStyle w:val="Heading2"/>
        <w:rPr>
          <w:i/>
        </w:rPr>
      </w:pPr>
      <w:bookmarkStart w:id="8" w:name="_Toc430015988"/>
      <w:r w:rsidRPr="002C2775">
        <w:rPr>
          <w:i/>
        </w:rPr>
        <w:t>Comparative effectiveness</w:t>
      </w:r>
      <w:bookmarkEnd w:id="8"/>
    </w:p>
    <w:p w:rsidR="00B60939" w:rsidRPr="00882085" w:rsidRDefault="00B60939" w:rsidP="00B60939">
      <w:pPr>
        <w:rPr>
          <w:szCs w:val="22"/>
        </w:rPr>
      </w:pPr>
    </w:p>
    <w:p w:rsidR="000A7E74" w:rsidRDefault="006F2813" w:rsidP="0044463D">
      <w:pPr>
        <w:pStyle w:val="ListParagraph"/>
        <w:numPr>
          <w:ilvl w:val="1"/>
          <w:numId w:val="3"/>
        </w:numPr>
        <w:rPr>
          <w:szCs w:val="22"/>
        </w:rPr>
      </w:pPr>
      <w:r>
        <w:rPr>
          <w:szCs w:val="22"/>
        </w:rPr>
        <w:t>Study 100</w:t>
      </w:r>
      <w:r w:rsidR="00847B6D">
        <w:rPr>
          <w:szCs w:val="22"/>
        </w:rPr>
        <w:t>1</w:t>
      </w:r>
      <w:r>
        <w:rPr>
          <w:szCs w:val="22"/>
        </w:rPr>
        <w:t xml:space="preserve"> compared the pharmacokinetic profile of darunavir/cobicistat FDC with </w:t>
      </w:r>
      <w:r w:rsidR="00912070">
        <w:rPr>
          <w:szCs w:val="22"/>
        </w:rPr>
        <w:t>darunavir and</w:t>
      </w:r>
      <w:r>
        <w:rPr>
          <w:szCs w:val="22"/>
        </w:rPr>
        <w:t xml:space="preserve"> ritonavir. The two formulations </w:t>
      </w:r>
      <w:r w:rsidR="00847B6D">
        <w:rPr>
          <w:szCs w:val="22"/>
        </w:rPr>
        <w:t xml:space="preserve">resulted in a similar </w:t>
      </w:r>
      <w:r>
        <w:rPr>
          <w:szCs w:val="22"/>
        </w:rPr>
        <w:t>bioavailab</w:t>
      </w:r>
      <w:r w:rsidR="00847B6D">
        <w:rPr>
          <w:szCs w:val="22"/>
        </w:rPr>
        <w:t>ility of darunavir (the active component),</w:t>
      </w:r>
      <w:r>
        <w:rPr>
          <w:szCs w:val="22"/>
        </w:rPr>
        <w:t xml:space="preserve"> because the 90% confidence interval</w:t>
      </w:r>
      <w:r w:rsidR="00221595">
        <w:rPr>
          <w:szCs w:val="22"/>
        </w:rPr>
        <w:t xml:space="preserve"> (CI)</w:t>
      </w:r>
      <w:r>
        <w:rPr>
          <w:szCs w:val="22"/>
        </w:rPr>
        <w:t xml:space="preserve"> for the least square</w:t>
      </w:r>
      <w:r w:rsidR="00221595">
        <w:rPr>
          <w:szCs w:val="22"/>
        </w:rPr>
        <w:t>s</w:t>
      </w:r>
      <w:r>
        <w:rPr>
          <w:szCs w:val="22"/>
        </w:rPr>
        <w:t xml:space="preserve"> mean</w:t>
      </w:r>
      <w:r w:rsidR="00221595">
        <w:rPr>
          <w:szCs w:val="22"/>
        </w:rPr>
        <w:t>s</w:t>
      </w:r>
      <w:r>
        <w:rPr>
          <w:szCs w:val="22"/>
        </w:rPr>
        <w:t xml:space="preserve"> ratio for the key pharmacokinetics parameters fell within the pre-defined criterion of 80% to 125%</w:t>
      </w:r>
      <w:r w:rsidR="0056267F">
        <w:rPr>
          <w:szCs w:val="22"/>
        </w:rPr>
        <w:t xml:space="preserve">. Using the same critical values, bioequivalence was also established </w:t>
      </w:r>
      <w:r w:rsidR="00847B6D">
        <w:rPr>
          <w:szCs w:val="22"/>
        </w:rPr>
        <w:t xml:space="preserve">for darunavir/cobicistat FDC and </w:t>
      </w:r>
      <w:r w:rsidR="00912070">
        <w:rPr>
          <w:szCs w:val="22"/>
        </w:rPr>
        <w:t>darunavir and</w:t>
      </w:r>
      <w:r w:rsidR="00847B6D">
        <w:rPr>
          <w:szCs w:val="22"/>
        </w:rPr>
        <w:t xml:space="preserve"> cobicistat taken concomitantly </w:t>
      </w:r>
      <w:r w:rsidR="0056267F">
        <w:rPr>
          <w:szCs w:val="22"/>
        </w:rPr>
        <w:t>(Study 100</w:t>
      </w:r>
      <w:r w:rsidR="00847B6D">
        <w:rPr>
          <w:szCs w:val="22"/>
        </w:rPr>
        <w:t>3</w:t>
      </w:r>
      <w:r w:rsidR="000A7E74">
        <w:rPr>
          <w:szCs w:val="22"/>
        </w:rPr>
        <w:t>).</w:t>
      </w:r>
    </w:p>
    <w:p w:rsidR="00DF793C" w:rsidRPr="00412F06" w:rsidRDefault="00DF793C" w:rsidP="00412F06">
      <w:pPr>
        <w:rPr>
          <w:szCs w:val="22"/>
        </w:rPr>
      </w:pPr>
    </w:p>
    <w:p w:rsidR="00D5789E" w:rsidRPr="00D5789E" w:rsidRDefault="0056267F" w:rsidP="002A1162">
      <w:pPr>
        <w:pStyle w:val="ListParagraph"/>
        <w:keepNext/>
        <w:keepLines/>
        <w:numPr>
          <w:ilvl w:val="1"/>
          <w:numId w:val="3"/>
        </w:numPr>
        <w:rPr>
          <w:szCs w:val="22"/>
        </w:rPr>
      </w:pPr>
      <w:r>
        <w:rPr>
          <w:szCs w:val="22"/>
        </w:rPr>
        <w:t>The clinically relevant outcome for benefits</w:t>
      </w:r>
      <w:r w:rsidR="00F121DD">
        <w:rPr>
          <w:szCs w:val="22"/>
        </w:rPr>
        <w:t xml:space="preserve"> was the proportion of patients </w:t>
      </w:r>
      <w:r>
        <w:rPr>
          <w:szCs w:val="22"/>
        </w:rPr>
        <w:t xml:space="preserve">with </w:t>
      </w:r>
      <w:r w:rsidR="000B3B5C">
        <w:rPr>
          <w:szCs w:val="22"/>
        </w:rPr>
        <w:t>virologic response (HIV RNA &lt; 50 copies/mL)</w:t>
      </w:r>
      <w:r w:rsidR="00D5789E">
        <w:rPr>
          <w:szCs w:val="22"/>
        </w:rPr>
        <w:t xml:space="preserve"> at </w:t>
      </w:r>
      <w:r w:rsidR="002A1162">
        <w:rPr>
          <w:szCs w:val="22"/>
        </w:rPr>
        <w:t>W</w:t>
      </w:r>
      <w:r w:rsidR="00D5789E">
        <w:rPr>
          <w:szCs w:val="22"/>
        </w:rPr>
        <w:t>eek 48</w:t>
      </w:r>
      <w:r>
        <w:rPr>
          <w:szCs w:val="22"/>
        </w:rPr>
        <w:t>.</w:t>
      </w:r>
      <w:r w:rsidR="000B3B5C">
        <w:rPr>
          <w:szCs w:val="22"/>
        </w:rPr>
        <w:t xml:space="preserve"> </w:t>
      </w:r>
      <w:r w:rsidR="000B3B5C" w:rsidRPr="00306DF7">
        <w:rPr>
          <w:szCs w:val="22"/>
        </w:rPr>
        <w:t xml:space="preserve">Except for Study </w:t>
      </w:r>
      <w:r w:rsidR="00D62BFC" w:rsidRPr="00306DF7">
        <w:rPr>
          <w:szCs w:val="22"/>
        </w:rPr>
        <w:t>0130</w:t>
      </w:r>
      <w:r w:rsidR="000B3B5C" w:rsidRPr="00306DF7">
        <w:rPr>
          <w:szCs w:val="22"/>
        </w:rPr>
        <w:t>, this outcome was measured as the primary outcome.</w:t>
      </w:r>
      <w:r w:rsidR="000B3B5C" w:rsidRPr="00D5789E">
        <w:rPr>
          <w:i/>
          <w:szCs w:val="22"/>
        </w:rPr>
        <w:t xml:space="preserve"> </w:t>
      </w:r>
      <w:r w:rsidR="00C51D68">
        <w:t>The submission stated that virologic response is a surrogate outcome for final HIV outcomes.</w:t>
      </w:r>
    </w:p>
    <w:p w:rsidR="00D5789E" w:rsidRDefault="00D5789E" w:rsidP="00D5789E">
      <w:pPr>
        <w:pStyle w:val="ListParagraph"/>
        <w:rPr>
          <w:i/>
          <w:szCs w:val="22"/>
        </w:rPr>
      </w:pPr>
    </w:p>
    <w:p w:rsidR="00A85A7C" w:rsidRPr="00D5789E" w:rsidRDefault="00A85A7C" w:rsidP="00A85A7C">
      <w:pPr>
        <w:pStyle w:val="ListParagraph"/>
        <w:keepNext/>
        <w:keepLines/>
        <w:numPr>
          <w:ilvl w:val="1"/>
          <w:numId w:val="3"/>
        </w:numPr>
        <w:rPr>
          <w:szCs w:val="22"/>
        </w:rPr>
      </w:pPr>
      <w:r w:rsidRPr="00D5789E">
        <w:rPr>
          <w:szCs w:val="22"/>
        </w:rPr>
        <w:lastRenderedPageBreak/>
        <w:t xml:space="preserve">Virologic response at </w:t>
      </w:r>
      <w:r>
        <w:rPr>
          <w:szCs w:val="22"/>
        </w:rPr>
        <w:t>W</w:t>
      </w:r>
      <w:r w:rsidRPr="00D5789E">
        <w:rPr>
          <w:szCs w:val="22"/>
        </w:rPr>
        <w:t xml:space="preserve">eek 48 was assessed using two statistical methods, the FDA snapshot analysis (Study </w:t>
      </w:r>
      <w:r>
        <w:rPr>
          <w:szCs w:val="22"/>
        </w:rPr>
        <w:t>0130</w:t>
      </w:r>
      <w:r w:rsidRPr="00D5789E">
        <w:rPr>
          <w:szCs w:val="22"/>
        </w:rPr>
        <w:t>, FLAMINGO and 2LADY) and the FDA time to loss of virologic response algorithm (ARTEMIS and ODIN)</w:t>
      </w:r>
      <w:r>
        <w:rPr>
          <w:szCs w:val="22"/>
        </w:rPr>
        <w:t xml:space="preserve">. The submission noted that based on the FDA snapshot analysis, </w:t>
      </w:r>
      <w:r>
        <w:t>the PBAC has previously recommended</w:t>
      </w:r>
      <w:r w:rsidRPr="00B1581C">
        <w:rPr>
          <w:rFonts w:ascii="Arial Narrow" w:hAnsi="Arial Narrow" w:cstheme="minorBidi"/>
          <w:sz w:val="20"/>
        </w:rPr>
        <w:t xml:space="preserve"> </w:t>
      </w:r>
      <w:r w:rsidRPr="00F90211">
        <w:t>elvitegravir/cobicistat/emtricitabine/tenofovir disoproxil fumarate</w:t>
      </w:r>
      <w:r>
        <w:t xml:space="preserve"> FDC</w:t>
      </w:r>
      <w:r w:rsidRPr="00FE4DAB">
        <w:rPr>
          <w:i/>
        </w:rPr>
        <w:t xml:space="preserve"> </w:t>
      </w:r>
      <w:r>
        <w:t>(March 2013, Public Summary).</w:t>
      </w:r>
    </w:p>
    <w:p w:rsidR="00C51D68" w:rsidRDefault="00C51D68" w:rsidP="00D5789E">
      <w:pPr>
        <w:pStyle w:val="ListParagraph"/>
      </w:pPr>
    </w:p>
    <w:p w:rsidR="00A85A7C" w:rsidRPr="00306DF7" w:rsidRDefault="00A85A7C" w:rsidP="00A85A7C">
      <w:pPr>
        <w:pStyle w:val="ListParagraph"/>
        <w:keepNext/>
        <w:keepLines/>
        <w:numPr>
          <w:ilvl w:val="1"/>
          <w:numId w:val="3"/>
        </w:numPr>
        <w:rPr>
          <w:szCs w:val="22"/>
        </w:rPr>
      </w:pPr>
      <w:r>
        <w:t xml:space="preserve">The submission presented a qualitative comparison of the virologic response point estimates (Table 4) and 95% CIs. </w:t>
      </w:r>
      <w:r w:rsidRPr="00306DF7">
        <w:rPr>
          <w:szCs w:val="22"/>
        </w:rPr>
        <w:t xml:space="preserve">Due to the lack of a common comparator, the submission appropriately did not attempt to provide a quantitative assessment of the comparative benefits for darunavir/cobicistat FDC and </w:t>
      </w:r>
      <w:r w:rsidR="00912070">
        <w:rPr>
          <w:szCs w:val="22"/>
        </w:rPr>
        <w:t>darunavir and</w:t>
      </w:r>
      <w:r w:rsidRPr="00306DF7">
        <w:rPr>
          <w:szCs w:val="22"/>
        </w:rPr>
        <w:t xml:space="preserve"> ritonavir taken concomitantly</w:t>
      </w:r>
      <w:r w:rsidRPr="00306DF7">
        <w:t>.</w:t>
      </w:r>
    </w:p>
    <w:p w:rsidR="0044463D" w:rsidRDefault="0044463D" w:rsidP="0009435A">
      <w:pPr>
        <w:pStyle w:val="ListParagraph"/>
        <w:rPr>
          <w:szCs w:val="22"/>
        </w:rPr>
      </w:pPr>
    </w:p>
    <w:p w:rsidR="007730DC" w:rsidRPr="007730DC" w:rsidRDefault="007F1017" w:rsidP="007730DC">
      <w:pPr>
        <w:keepNext/>
        <w:ind w:firstLine="720"/>
        <w:rPr>
          <w:rFonts w:ascii="Arial Narrow" w:hAnsi="Arial Narrow"/>
          <w:b/>
          <w:sz w:val="20"/>
          <w:szCs w:val="16"/>
        </w:rPr>
      </w:pPr>
      <w:r w:rsidRPr="001F7361">
        <w:rPr>
          <w:rStyle w:val="CommentReference"/>
        </w:rPr>
        <w:t xml:space="preserve">Table </w:t>
      </w:r>
      <w:r w:rsidR="00FD3CBA">
        <w:rPr>
          <w:rStyle w:val="CommentReference"/>
        </w:rPr>
        <w:t>4</w:t>
      </w:r>
      <w:r>
        <w:rPr>
          <w:rStyle w:val="CommentReference"/>
        </w:rPr>
        <w:t>:</w:t>
      </w:r>
      <w:r w:rsidR="000C3D1E">
        <w:rPr>
          <w:rStyle w:val="CommentReference"/>
        </w:rPr>
        <w:t xml:space="preserve"> </w:t>
      </w:r>
      <w:r w:rsidR="000C3D1E" w:rsidRPr="000C3D1E">
        <w:rPr>
          <w:rFonts w:ascii="Arial Narrow" w:hAnsi="Arial Narrow"/>
          <w:b/>
          <w:sz w:val="20"/>
          <w:szCs w:val="16"/>
        </w:rPr>
        <w:t xml:space="preserve">Results of virologic response (viral load &lt; 50 copies/mL) at week 48 (mITT population) </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Results of virologic response"/>
      </w:tblPr>
      <w:tblGrid>
        <w:gridCol w:w="1044"/>
        <w:gridCol w:w="1648"/>
        <w:gridCol w:w="1782"/>
        <w:gridCol w:w="1783"/>
        <w:gridCol w:w="2106"/>
      </w:tblGrid>
      <w:tr w:rsidR="007730DC" w:rsidRPr="004E2ADC" w:rsidTr="007730DC">
        <w:trPr>
          <w:tblHeader/>
        </w:trPr>
        <w:tc>
          <w:tcPr>
            <w:tcW w:w="0" w:type="auto"/>
            <w:vMerge w:val="restart"/>
            <w:tcBorders>
              <w:top w:val="single" w:sz="4" w:space="0" w:color="auto"/>
              <w:left w:val="single" w:sz="4" w:space="0" w:color="auto"/>
              <w:bottom w:val="single" w:sz="4" w:space="0" w:color="auto"/>
              <w:right w:val="single" w:sz="4" w:space="0" w:color="auto"/>
            </w:tcBorders>
            <w:tcMar>
              <w:right w:w="28" w:type="dxa"/>
            </w:tcMar>
            <w:vAlign w:val="center"/>
          </w:tcPr>
          <w:p w:rsidR="007730DC" w:rsidRPr="004E2ADC" w:rsidRDefault="007730DC" w:rsidP="00187EB6">
            <w:pPr>
              <w:pStyle w:val="TableHeading"/>
              <w:spacing w:before="0" w:after="0"/>
              <w:rPr>
                <w:rFonts w:cs="Arial"/>
              </w:rPr>
            </w:pPr>
            <w:r w:rsidRPr="004E2ADC">
              <w:rPr>
                <w:rFonts w:cs="Arial"/>
              </w:rPr>
              <w:t>Trial ID</w:t>
            </w:r>
          </w:p>
        </w:tc>
        <w:tc>
          <w:tcPr>
            <w:tcW w:w="3001" w:type="dxa"/>
            <w:gridSpan w:val="2"/>
            <w:tcBorders>
              <w:top w:val="single" w:sz="4" w:space="0" w:color="auto"/>
              <w:left w:val="nil"/>
              <w:bottom w:val="single" w:sz="4" w:space="0" w:color="auto"/>
              <w:right w:val="double" w:sz="4" w:space="0" w:color="auto"/>
            </w:tcBorders>
            <w:vAlign w:val="center"/>
          </w:tcPr>
          <w:p w:rsidR="007730DC" w:rsidRPr="004E2ADC" w:rsidRDefault="007730DC" w:rsidP="00187EB6">
            <w:pPr>
              <w:pStyle w:val="TableHeading"/>
              <w:spacing w:before="0" w:after="0"/>
              <w:jc w:val="center"/>
              <w:rPr>
                <w:rFonts w:cs="Arial"/>
              </w:rPr>
            </w:pPr>
            <w:r>
              <w:rPr>
                <w:rFonts w:cs="Arial"/>
              </w:rPr>
              <w:t>FDA snapshot</w:t>
            </w:r>
          </w:p>
        </w:tc>
        <w:tc>
          <w:tcPr>
            <w:tcW w:w="3402" w:type="dxa"/>
            <w:gridSpan w:val="2"/>
            <w:tcBorders>
              <w:top w:val="single" w:sz="4" w:space="0" w:color="auto"/>
              <w:left w:val="nil"/>
              <w:bottom w:val="single" w:sz="4" w:space="0" w:color="auto"/>
              <w:right w:val="single" w:sz="4" w:space="0" w:color="auto"/>
            </w:tcBorders>
            <w:vAlign w:val="center"/>
          </w:tcPr>
          <w:p w:rsidR="007730DC" w:rsidRPr="004E2ADC" w:rsidRDefault="007730DC" w:rsidP="00187EB6">
            <w:pPr>
              <w:pStyle w:val="TableHeading"/>
              <w:spacing w:before="0" w:after="0"/>
              <w:jc w:val="center"/>
              <w:rPr>
                <w:rFonts w:cs="Arial"/>
              </w:rPr>
            </w:pPr>
            <w:r>
              <w:rPr>
                <w:rFonts w:cs="Arial"/>
              </w:rPr>
              <w:t>FDA TLOVR algorithm</w:t>
            </w:r>
          </w:p>
        </w:tc>
      </w:tr>
      <w:tr w:rsidR="007730DC" w:rsidRPr="004E2ADC" w:rsidTr="007730DC">
        <w:trPr>
          <w:tblHeader/>
        </w:trPr>
        <w:tc>
          <w:tcPr>
            <w:tcW w:w="0" w:type="auto"/>
            <w:vMerge/>
            <w:tcBorders>
              <w:top w:val="single" w:sz="4" w:space="0" w:color="auto"/>
              <w:left w:val="single" w:sz="4" w:space="0" w:color="auto"/>
              <w:bottom w:val="single" w:sz="4" w:space="0" w:color="auto"/>
              <w:right w:val="single" w:sz="4" w:space="0" w:color="auto"/>
            </w:tcBorders>
            <w:tcMar>
              <w:right w:w="28" w:type="dxa"/>
            </w:tcMar>
            <w:vAlign w:val="center"/>
          </w:tcPr>
          <w:p w:rsidR="007730DC" w:rsidRPr="004E2ADC" w:rsidRDefault="007730DC" w:rsidP="00187EB6">
            <w:pPr>
              <w:pStyle w:val="TableText0"/>
              <w:spacing w:before="0" w:after="0"/>
              <w:rPr>
                <w:rFonts w:cs="Arial"/>
              </w:rPr>
            </w:pPr>
          </w:p>
        </w:tc>
        <w:tc>
          <w:tcPr>
            <w:tcW w:w="1442" w:type="dxa"/>
            <w:tcBorders>
              <w:top w:val="single" w:sz="4" w:space="0" w:color="auto"/>
              <w:left w:val="single" w:sz="4" w:space="0" w:color="auto"/>
              <w:bottom w:val="single" w:sz="4" w:space="0" w:color="auto"/>
              <w:right w:val="single" w:sz="4" w:space="0" w:color="auto"/>
            </w:tcBorders>
            <w:vAlign w:val="center"/>
          </w:tcPr>
          <w:p w:rsidR="007730DC" w:rsidRPr="00BE0E2C" w:rsidRDefault="007730DC" w:rsidP="00F63595">
            <w:pPr>
              <w:pStyle w:val="TableHeading"/>
              <w:spacing w:before="0" w:after="0"/>
              <w:jc w:val="center"/>
              <w:rPr>
                <w:rFonts w:cs="Arial"/>
                <w:vertAlign w:val="superscript"/>
              </w:rPr>
            </w:pPr>
            <w:r>
              <w:rPr>
                <w:rFonts w:cs="Arial"/>
              </w:rPr>
              <w:t>DRV + c</w:t>
            </w:r>
            <w:r w:rsidRPr="004E2ADC">
              <w:rPr>
                <w:rFonts w:cs="Arial"/>
              </w:rPr>
              <w:br/>
            </w:r>
            <w:r w:rsidR="00F63595" w:rsidRPr="00F63595">
              <w:rPr>
                <w:rFonts w:cs="Arial"/>
                <w:iCs/>
              </w:rPr>
              <w:t>+ 2 NRTIs</w:t>
            </w:r>
            <w:r w:rsidR="00BE0E2C">
              <w:rPr>
                <w:rFonts w:cs="Arial"/>
                <w:iCs/>
              </w:rPr>
              <w:t xml:space="preserve"> </w:t>
            </w:r>
            <w:r w:rsidR="00BE0E2C">
              <w:rPr>
                <w:rFonts w:cs="Arial"/>
                <w:iCs/>
                <w:vertAlign w:val="superscript"/>
              </w:rPr>
              <w:t>a</w:t>
            </w:r>
          </w:p>
        </w:tc>
        <w:tc>
          <w:tcPr>
            <w:tcW w:w="1559" w:type="dxa"/>
            <w:tcBorders>
              <w:top w:val="single" w:sz="4" w:space="0" w:color="auto"/>
              <w:left w:val="single" w:sz="4" w:space="0" w:color="auto"/>
              <w:bottom w:val="single" w:sz="4" w:space="0" w:color="auto"/>
              <w:right w:val="double" w:sz="4" w:space="0" w:color="auto"/>
            </w:tcBorders>
            <w:vAlign w:val="center"/>
          </w:tcPr>
          <w:p w:rsidR="007730DC" w:rsidRPr="00BE0E2C" w:rsidRDefault="007730DC" w:rsidP="00F63595">
            <w:pPr>
              <w:pStyle w:val="TableHeading"/>
              <w:spacing w:before="0" w:after="0"/>
              <w:jc w:val="center"/>
              <w:rPr>
                <w:rFonts w:cs="Arial"/>
                <w:vertAlign w:val="superscript"/>
              </w:rPr>
            </w:pPr>
            <w:r>
              <w:rPr>
                <w:rFonts w:cs="Arial"/>
              </w:rPr>
              <w:t>DRV + r</w:t>
            </w:r>
            <w:r w:rsidRPr="004E2ADC">
              <w:rPr>
                <w:rFonts w:cs="Arial"/>
              </w:rPr>
              <w:br/>
            </w:r>
            <w:r w:rsidR="00F63595" w:rsidRPr="00F63595">
              <w:rPr>
                <w:rFonts w:cs="Arial"/>
                <w:iCs/>
              </w:rPr>
              <w:t>+ 2 NRTIs</w:t>
            </w:r>
            <w:r w:rsidR="00BE0E2C">
              <w:rPr>
                <w:rFonts w:cs="Arial"/>
                <w:iCs/>
              </w:rPr>
              <w:t xml:space="preserve"> </w:t>
            </w:r>
            <w:r w:rsidR="00BE0E2C">
              <w:rPr>
                <w:rFonts w:cs="Arial"/>
                <w:iCs/>
                <w:vertAlign w:val="superscript"/>
              </w:rPr>
              <w:t>a</w:t>
            </w:r>
          </w:p>
        </w:tc>
        <w:tc>
          <w:tcPr>
            <w:tcW w:w="1560" w:type="dxa"/>
            <w:tcBorders>
              <w:top w:val="single" w:sz="4" w:space="0" w:color="auto"/>
              <w:left w:val="double" w:sz="4" w:space="0" w:color="auto"/>
              <w:bottom w:val="single" w:sz="4" w:space="0" w:color="auto"/>
              <w:right w:val="single" w:sz="4" w:space="0" w:color="auto"/>
            </w:tcBorders>
            <w:vAlign w:val="center"/>
          </w:tcPr>
          <w:p w:rsidR="007730DC" w:rsidRPr="00BE0E2C" w:rsidRDefault="007730DC" w:rsidP="00F63595">
            <w:pPr>
              <w:pStyle w:val="TableHeading"/>
              <w:spacing w:before="0" w:after="0"/>
              <w:jc w:val="center"/>
              <w:rPr>
                <w:rFonts w:cs="Arial"/>
                <w:vertAlign w:val="superscript"/>
              </w:rPr>
            </w:pPr>
            <w:r>
              <w:rPr>
                <w:rFonts w:cs="Arial"/>
              </w:rPr>
              <w:t>DRV + c</w:t>
            </w:r>
            <w:r w:rsidRPr="004E2ADC">
              <w:rPr>
                <w:rFonts w:cs="Arial"/>
              </w:rPr>
              <w:br/>
            </w:r>
            <w:r w:rsidR="00F63595" w:rsidRPr="00F63595">
              <w:rPr>
                <w:rFonts w:cs="Arial"/>
                <w:iCs/>
              </w:rPr>
              <w:t>+ 2 NRTIs</w:t>
            </w:r>
            <w:r w:rsidR="00BE0E2C">
              <w:rPr>
                <w:rFonts w:cs="Arial"/>
                <w:iCs/>
              </w:rPr>
              <w:t xml:space="preserve"> </w:t>
            </w:r>
            <w:r w:rsidR="00BE0E2C">
              <w:rPr>
                <w:rFonts w:cs="Arial"/>
                <w:iCs/>
                <w:vertAlign w:val="superscript"/>
              </w:rPr>
              <w:t>a</w:t>
            </w:r>
          </w:p>
        </w:tc>
        <w:tc>
          <w:tcPr>
            <w:tcW w:w="1842" w:type="dxa"/>
            <w:tcBorders>
              <w:top w:val="single" w:sz="4" w:space="0" w:color="auto"/>
              <w:left w:val="single" w:sz="4" w:space="0" w:color="auto"/>
              <w:bottom w:val="single" w:sz="4" w:space="0" w:color="auto"/>
              <w:right w:val="single" w:sz="4" w:space="0" w:color="auto"/>
            </w:tcBorders>
            <w:vAlign w:val="center"/>
          </w:tcPr>
          <w:p w:rsidR="007730DC" w:rsidRPr="00BE0E2C" w:rsidRDefault="007730DC" w:rsidP="00F63595">
            <w:pPr>
              <w:pStyle w:val="TableHeading"/>
              <w:spacing w:before="0" w:after="0"/>
              <w:jc w:val="center"/>
              <w:rPr>
                <w:rFonts w:cs="Arial"/>
                <w:vertAlign w:val="superscript"/>
              </w:rPr>
            </w:pPr>
            <w:r>
              <w:rPr>
                <w:rFonts w:cs="Arial"/>
              </w:rPr>
              <w:t>DRV + r</w:t>
            </w:r>
            <w:r w:rsidRPr="004E2ADC">
              <w:rPr>
                <w:rFonts w:cs="Arial"/>
              </w:rPr>
              <w:br/>
            </w:r>
            <w:r w:rsidR="00F63595" w:rsidRPr="00F63595">
              <w:rPr>
                <w:rFonts w:cs="Arial"/>
                <w:iCs/>
              </w:rPr>
              <w:t>+ 2 NRTIs</w:t>
            </w:r>
            <w:r w:rsidR="00BE0E2C">
              <w:rPr>
                <w:rFonts w:cs="Arial"/>
                <w:iCs/>
              </w:rPr>
              <w:t xml:space="preserve"> </w:t>
            </w:r>
            <w:r w:rsidR="00BE0E2C">
              <w:rPr>
                <w:rFonts w:cs="Arial"/>
                <w:iCs/>
                <w:vertAlign w:val="superscript"/>
              </w:rPr>
              <w:t>a</w:t>
            </w:r>
          </w:p>
        </w:tc>
      </w:tr>
      <w:tr w:rsidR="007730DC" w:rsidRPr="004E2ADC" w:rsidTr="007730DC">
        <w:tc>
          <w:tcPr>
            <w:tcW w:w="8363" w:type="dxa"/>
            <w:gridSpan w:val="5"/>
            <w:tcBorders>
              <w:top w:val="single" w:sz="4" w:space="0" w:color="auto"/>
              <w:left w:val="single" w:sz="4" w:space="0" w:color="auto"/>
              <w:bottom w:val="single" w:sz="4" w:space="0" w:color="auto"/>
              <w:right w:val="single" w:sz="4" w:space="0" w:color="auto"/>
            </w:tcBorders>
            <w:tcMar>
              <w:right w:w="28" w:type="dxa"/>
            </w:tcMar>
            <w:vAlign w:val="center"/>
          </w:tcPr>
          <w:p w:rsidR="007730DC" w:rsidRPr="004771D9" w:rsidRDefault="007730DC" w:rsidP="00187EB6">
            <w:pPr>
              <w:pStyle w:val="TableText0"/>
              <w:spacing w:before="0" w:after="0"/>
              <w:rPr>
                <w:rFonts w:cs="Arial"/>
                <w:b/>
              </w:rPr>
            </w:pPr>
            <w:r w:rsidRPr="004771D9">
              <w:rPr>
                <w:rFonts w:cs="Arial"/>
                <w:b/>
              </w:rPr>
              <w:t>All patients</w:t>
            </w:r>
            <w:r w:rsidR="00F63595">
              <w:rPr>
                <w:rFonts w:cs="Arial"/>
                <w:b/>
              </w:rPr>
              <w:t>; n/N (%)</w:t>
            </w:r>
          </w:p>
        </w:tc>
      </w:tr>
      <w:tr w:rsidR="007730DC" w:rsidRPr="004E2ADC" w:rsidTr="007730DC">
        <w:tc>
          <w:tcPr>
            <w:tcW w:w="0" w:type="auto"/>
            <w:tcBorders>
              <w:top w:val="single" w:sz="4" w:space="0" w:color="auto"/>
              <w:left w:val="single" w:sz="4" w:space="0" w:color="auto"/>
              <w:bottom w:val="single" w:sz="4" w:space="0" w:color="auto"/>
              <w:right w:val="single" w:sz="4" w:space="0" w:color="auto"/>
            </w:tcBorders>
            <w:tcMar>
              <w:right w:w="28" w:type="dxa"/>
            </w:tcMar>
            <w:vAlign w:val="center"/>
          </w:tcPr>
          <w:p w:rsidR="007730DC" w:rsidRPr="004E2ADC" w:rsidRDefault="007730DC" w:rsidP="00187EB6">
            <w:pPr>
              <w:pStyle w:val="TableText0"/>
              <w:spacing w:before="0" w:after="0"/>
              <w:rPr>
                <w:rFonts w:cs="Arial"/>
              </w:rPr>
            </w:pPr>
            <w:r>
              <w:rPr>
                <w:rFonts w:cs="Arial"/>
              </w:rPr>
              <w:t xml:space="preserve">Study </w:t>
            </w:r>
            <w:r w:rsidR="00D62BFC">
              <w:rPr>
                <w:rFonts w:cs="Arial"/>
              </w:rPr>
              <w:t>0130</w:t>
            </w:r>
          </w:p>
        </w:tc>
        <w:tc>
          <w:tcPr>
            <w:tcW w:w="1442" w:type="dxa"/>
            <w:tcBorders>
              <w:top w:val="single" w:sz="4" w:space="0" w:color="auto"/>
              <w:left w:val="single" w:sz="4" w:space="0" w:color="auto"/>
              <w:bottom w:val="single" w:sz="4" w:space="0" w:color="auto"/>
              <w:right w:val="single" w:sz="4" w:space="0" w:color="auto"/>
            </w:tcBorders>
            <w:vAlign w:val="center"/>
          </w:tcPr>
          <w:p w:rsidR="007730DC" w:rsidRPr="004E2ADC" w:rsidRDefault="007730DC" w:rsidP="00187EB6">
            <w:pPr>
              <w:pStyle w:val="TableText0"/>
              <w:spacing w:before="0" w:after="0"/>
              <w:jc w:val="center"/>
              <w:rPr>
                <w:rFonts w:cs="Arial"/>
              </w:rPr>
            </w:pPr>
            <w:r>
              <w:rPr>
                <w:rFonts w:cs="Arial"/>
              </w:rPr>
              <w:t>253/313 (80.8%)</w:t>
            </w:r>
          </w:p>
        </w:tc>
        <w:tc>
          <w:tcPr>
            <w:tcW w:w="1559" w:type="dxa"/>
            <w:tcBorders>
              <w:top w:val="single" w:sz="4" w:space="0" w:color="auto"/>
              <w:left w:val="single" w:sz="4" w:space="0" w:color="auto"/>
              <w:bottom w:val="single" w:sz="4" w:space="0" w:color="auto"/>
              <w:right w:val="double" w:sz="4" w:space="0" w:color="auto"/>
            </w:tcBorders>
            <w:vAlign w:val="center"/>
          </w:tcPr>
          <w:p w:rsidR="007730DC" w:rsidRPr="004E2ADC" w:rsidRDefault="007730DC" w:rsidP="00187EB6">
            <w:pPr>
              <w:pStyle w:val="TableText0"/>
              <w:spacing w:before="0" w:after="0"/>
              <w:jc w:val="center"/>
              <w:rPr>
                <w:rFonts w:cs="Arial"/>
              </w:rPr>
            </w:pPr>
            <w:r>
              <w:rPr>
                <w:rFonts w:ascii="Times New Roman" w:hAnsi="Times New Roman" w:cs="Times New Roman"/>
              </w:rPr>
              <w:t>─</w:t>
            </w:r>
          </w:p>
        </w:tc>
        <w:tc>
          <w:tcPr>
            <w:tcW w:w="1560" w:type="dxa"/>
            <w:tcBorders>
              <w:top w:val="single" w:sz="4" w:space="0" w:color="auto"/>
              <w:left w:val="double" w:sz="4" w:space="0" w:color="auto"/>
              <w:bottom w:val="single" w:sz="4" w:space="0" w:color="auto"/>
              <w:right w:val="single" w:sz="4" w:space="0" w:color="auto"/>
            </w:tcBorders>
            <w:vAlign w:val="center"/>
          </w:tcPr>
          <w:p w:rsidR="007730DC" w:rsidRPr="00182F18" w:rsidRDefault="00182F18" w:rsidP="00187EB6">
            <w:pPr>
              <w:pStyle w:val="TableText0"/>
              <w:spacing w:before="0" w:after="0"/>
              <w:jc w:val="center"/>
              <w:rPr>
                <w:rFonts w:cs="Arial"/>
                <w:highlight w:val="black"/>
              </w:rPr>
            </w:pPr>
            <w:r>
              <w:rPr>
                <w:rFonts w:cs="Arial"/>
                <w:noProof/>
                <w:color w:val="000000"/>
                <w:highlight w:val="black"/>
              </w:rPr>
              <w:t>''''''''''''''''''''' '''''''''''''''''</w:t>
            </w:r>
          </w:p>
        </w:tc>
        <w:tc>
          <w:tcPr>
            <w:tcW w:w="1842" w:type="dxa"/>
            <w:tcBorders>
              <w:top w:val="single" w:sz="4" w:space="0" w:color="auto"/>
              <w:left w:val="single" w:sz="4" w:space="0" w:color="auto"/>
              <w:bottom w:val="single" w:sz="4" w:space="0" w:color="auto"/>
              <w:right w:val="single" w:sz="4" w:space="0" w:color="auto"/>
            </w:tcBorders>
            <w:vAlign w:val="center"/>
          </w:tcPr>
          <w:p w:rsidR="007730DC" w:rsidRPr="004E2ADC" w:rsidRDefault="007730DC" w:rsidP="00187EB6">
            <w:pPr>
              <w:pStyle w:val="TableText0"/>
              <w:spacing w:before="0" w:after="0"/>
              <w:jc w:val="center"/>
              <w:rPr>
                <w:rFonts w:cs="Arial"/>
              </w:rPr>
            </w:pPr>
            <w:r>
              <w:rPr>
                <w:rFonts w:ascii="Times New Roman" w:hAnsi="Times New Roman" w:cs="Times New Roman"/>
              </w:rPr>
              <w:t>─</w:t>
            </w:r>
          </w:p>
        </w:tc>
      </w:tr>
      <w:tr w:rsidR="007730DC" w:rsidRPr="004E2ADC" w:rsidTr="007730DC">
        <w:tc>
          <w:tcPr>
            <w:tcW w:w="0" w:type="auto"/>
            <w:tcBorders>
              <w:top w:val="single" w:sz="4" w:space="0" w:color="auto"/>
              <w:left w:val="single" w:sz="4" w:space="0" w:color="auto"/>
              <w:bottom w:val="single" w:sz="4" w:space="0" w:color="auto"/>
              <w:right w:val="single" w:sz="4" w:space="0" w:color="auto"/>
            </w:tcBorders>
            <w:tcMar>
              <w:right w:w="28" w:type="dxa"/>
            </w:tcMar>
            <w:vAlign w:val="center"/>
          </w:tcPr>
          <w:p w:rsidR="007730DC" w:rsidRPr="001027AE" w:rsidRDefault="007730DC" w:rsidP="00847B6D">
            <w:pPr>
              <w:pStyle w:val="TableText0"/>
              <w:spacing w:before="0" w:after="0"/>
              <w:rPr>
                <w:rFonts w:cs="Arial"/>
                <w:vertAlign w:val="superscript"/>
              </w:rPr>
            </w:pPr>
            <w:r>
              <w:rPr>
                <w:rFonts w:cs="Arial"/>
              </w:rPr>
              <w:t xml:space="preserve">Pooled </w:t>
            </w:r>
          </w:p>
        </w:tc>
        <w:tc>
          <w:tcPr>
            <w:tcW w:w="1442" w:type="dxa"/>
            <w:tcBorders>
              <w:top w:val="single" w:sz="4" w:space="0" w:color="auto"/>
              <w:left w:val="single" w:sz="4" w:space="0" w:color="auto"/>
              <w:bottom w:val="single" w:sz="4" w:space="0" w:color="auto"/>
              <w:right w:val="single" w:sz="4" w:space="0" w:color="auto"/>
            </w:tcBorders>
            <w:vAlign w:val="center"/>
          </w:tcPr>
          <w:p w:rsidR="007730DC" w:rsidRPr="004E2ADC" w:rsidRDefault="007730DC" w:rsidP="00187EB6">
            <w:pPr>
              <w:pStyle w:val="TableText0"/>
              <w:spacing w:before="0" w:after="0"/>
              <w:jc w:val="center"/>
              <w:rPr>
                <w:rFonts w:cs="Arial"/>
              </w:rPr>
            </w:pPr>
            <w:r>
              <w:rPr>
                <w:rFonts w:ascii="Times New Roman" w:hAnsi="Times New Roman" w:cs="Times New Roman"/>
              </w:rPr>
              <w:t>─</w:t>
            </w:r>
          </w:p>
        </w:tc>
        <w:tc>
          <w:tcPr>
            <w:tcW w:w="1559" w:type="dxa"/>
            <w:tcBorders>
              <w:top w:val="single" w:sz="4" w:space="0" w:color="auto"/>
              <w:left w:val="single" w:sz="4" w:space="0" w:color="auto"/>
              <w:bottom w:val="single" w:sz="4" w:space="0" w:color="auto"/>
              <w:right w:val="double" w:sz="4" w:space="0" w:color="auto"/>
            </w:tcBorders>
            <w:vAlign w:val="center"/>
          </w:tcPr>
          <w:p w:rsidR="007730DC" w:rsidRPr="004E2ADC" w:rsidRDefault="00182F18" w:rsidP="00187EB6">
            <w:pPr>
              <w:pStyle w:val="TableText0"/>
              <w:spacing w:before="0" w:after="0"/>
              <w:jc w:val="center"/>
              <w:rPr>
                <w:rFonts w:cs="Arial"/>
              </w:rPr>
            </w:pPr>
            <w:r>
              <w:rPr>
                <w:rFonts w:cs="Arial"/>
                <w:noProof/>
                <w:color w:val="000000"/>
                <w:highlight w:val="black"/>
              </w:rPr>
              <w:t>''''''''''''''''''''' ''''''''''''''''''</w:t>
            </w:r>
            <w:r w:rsidR="00847B6D">
              <w:rPr>
                <w:rFonts w:cs="Arial"/>
              </w:rPr>
              <w:t xml:space="preserve"> </w:t>
            </w:r>
            <w:r w:rsidR="00B02BCF">
              <w:rPr>
                <w:rFonts w:cs="Arial"/>
                <w:vertAlign w:val="superscript"/>
              </w:rPr>
              <w:t>b</w:t>
            </w:r>
          </w:p>
        </w:tc>
        <w:tc>
          <w:tcPr>
            <w:tcW w:w="1560" w:type="dxa"/>
            <w:tcBorders>
              <w:top w:val="single" w:sz="4" w:space="0" w:color="auto"/>
              <w:left w:val="double" w:sz="4" w:space="0" w:color="auto"/>
              <w:bottom w:val="single" w:sz="4" w:space="0" w:color="auto"/>
              <w:right w:val="single" w:sz="4" w:space="0" w:color="auto"/>
            </w:tcBorders>
            <w:vAlign w:val="center"/>
          </w:tcPr>
          <w:p w:rsidR="007730DC" w:rsidRPr="004E2ADC" w:rsidRDefault="007730DC" w:rsidP="00187EB6">
            <w:pPr>
              <w:pStyle w:val="TableText0"/>
              <w:spacing w:before="0" w:after="0"/>
              <w:jc w:val="center"/>
              <w:rPr>
                <w:rFonts w:cs="Arial"/>
              </w:rPr>
            </w:pPr>
            <w:r>
              <w:rPr>
                <w:rFonts w:ascii="Times New Roman"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vAlign w:val="center"/>
          </w:tcPr>
          <w:p w:rsidR="007730DC" w:rsidRPr="00644DD6" w:rsidRDefault="00182F18" w:rsidP="00187EB6">
            <w:pPr>
              <w:pStyle w:val="TableText0"/>
              <w:spacing w:before="0" w:after="0"/>
              <w:jc w:val="center"/>
              <w:rPr>
                <w:rFonts w:cs="Arial"/>
                <w:i/>
              </w:rPr>
            </w:pPr>
            <w:r>
              <w:rPr>
                <w:rFonts w:cs="Times New Roman"/>
                <w:noProof/>
                <w:color w:val="000000"/>
                <w:highlight w:val="black"/>
              </w:rPr>
              <w:t>'''''''''''</w:t>
            </w:r>
            <w:r>
              <w:rPr>
                <w:rFonts w:cs="Times New Roman"/>
                <w:i/>
                <w:noProof/>
                <w:color w:val="000000"/>
                <w:highlight w:val="black"/>
              </w:rPr>
              <w:t>'''''''''</w:t>
            </w:r>
            <w:r>
              <w:rPr>
                <w:rFonts w:cs="Times New Roman"/>
                <w:noProof/>
                <w:color w:val="000000"/>
                <w:highlight w:val="black"/>
              </w:rPr>
              <w:t xml:space="preserve"> '''''''''''''''''''</w:t>
            </w:r>
            <w:r w:rsidR="00847B6D">
              <w:rPr>
                <w:rFonts w:cs="Times New Roman"/>
              </w:rPr>
              <w:t xml:space="preserve"> </w:t>
            </w:r>
            <w:r w:rsidR="00B02BCF">
              <w:rPr>
                <w:rFonts w:cs="Times New Roman"/>
                <w:vertAlign w:val="superscript"/>
              </w:rPr>
              <w:t>c</w:t>
            </w:r>
          </w:p>
        </w:tc>
      </w:tr>
      <w:tr w:rsidR="007730DC" w:rsidRPr="004E2ADC" w:rsidTr="007730DC">
        <w:tc>
          <w:tcPr>
            <w:tcW w:w="8363" w:type="dxa"/>
            <w:gridSpan w:val="5"/>
            <w:tcBorders>
              <w:top w:val="single" w:sz="4" w:space="0" w:color="auto"/>
              <w:left w:val="single" w:sz="4" w:space="0" w:color="auto"/>
              <w:bottom w:val="single" w:sz="4" w:space="0" w:color="auto"/>
              <w:right w:val="single" w:sz="4" w:space="0" w:color="auto"/>
            </w:tcBorders>
            <w:tcMar>
              <w:right w:w="28" w:type="dxa"/>
            </w:tcMar>
            <w:vAlign w:val="center"/>
          </w:tcPr>
          <w:p w:rsidR="007730DC" w:rsidRPr="004771D9" w:rsidRDefault="007730DC" w:rsidP="00187EB6">
            <w:pPr>
              <w:pStyle w:val="TableText0"/>
              <w:spacing w:before="0" w:after="0"/>
              <w:rPr>
                <w:rFonts w:cs="Arial"/>
                <w:b/>
              </w:rPr>
            </w:pPr>
            <w:r w:rsidRPr="004771D9">
              <w:rPr>
                <w:rFonts w:cs="Arial"/>
                <w:b/>
              </w:rPr>
              <w:t>Treatment</w:t>
            </w:r>
            <w:r w:rsidR="001E416D">
              <w:rPr>
                <w:rFonts w:cs="Arial"/>
                <w:b/>
              </w:rPr>
              <w:t xml:space="preserve"> </w:t>
            </w:r>
            <w:r w:rsidRPr="004771D9">
              <w:rPr>
                <w:rFonts w:cs="Arial"/>
                <w:b/>
              </w:rPr>
              <w:t>experienced</w:t>
            </w:r>
            <w:r w:rsidR="00F63595">
              <w:rPr>
                <w:rFonts w:cs="Arial"/>
                <w:b/>
              </w:rPr>
              <w:t>; n/N (%)</w:t>
            </w:r>
          </w:p>
        </w:tc>
      </w:tr>
      <w:tr w:rsidR="007730DC" w:rsidRPr="004E2ADC" w:rsidTr="007730DC">
        <w:tc>
          <w:tcPr>
            <w:tcW w:w="0" w:type="auto"/>
            <w:tcBorders>
              <w:top w:val="single" w:sz="4" w:space="0" w:color="auto"/>
              <w:left w:val="single" w:sz="4" w:space="0" w:color="auto"/>
              <w:bottom w:val="single" w:sz="4" w:space="0" w:color="auto"/>
              <w:right w:val="single" w:sz="4" w:space="0" w:color="auto"/>
            </w:tcBorders>
            <w:tcMar>
              <w:right w:w="28" w:type="dxa"/>
            </w:tcMar>
            <w:vAlign w:val="center"/>
          </w:tcPr>
          <w:p w:rsidR="007730DC" w:rsidRPr="004E2ADC" w:rsidRDefault="007730DC" w:rsidP="00187EB6">
            <w:pPr>
              <w:pStyle w:val="TableText0"/>
              <w:spacing w:before="0" w:after="0"/>
              <w:rPr>
                <w:rFonts w:cs="Arial"/>
              </w:rPr>
            </w:pPr>
            <w:r>
              <w:rPr>
                <w:rFonts w:cs="Arial"/>
              </w:rPr>
              <w:t xml:space="preserve">Study </w:t>
            </w:r>
            <w:r w:rsidR="00D62BFC">
              <w:rPr>
                <w:rFonts w:cs="Arial"/>
              </w:rPr>
              <w:t>0130</w:t>
            </w:r>
          </w:p>
        </w:tc>
        <w:tc>
          <w:tcPr>
            <w:tcW w:w="1442" w:type="dxa"/>
            <w:tcBorders>
              <w:top w:val="single" w:sz="4" w:space="0" w:color="auto"/>
              <w:left w:val="single" w:sz="4" w:space="0" w:color="auto"/>
              <w:bottom w:val="single" w:sz="4" w:space="0" w:color="auto"/>
              <w:right w:val="single" w:sz="4" w:space="0" w:color="auto"/>
            </w:tcBorders>
            <w:vAlign w:val="center"/>
          </w:tcPr>
          <w:p w:rsidR="007730DC" w:rsidRPr="00182F18" w:rsidRDefault="00182F18" w:rsidP="00187EB6">
            <w:pPr>
              <w:pStyle w:val="TableText0"/>
              <w:spacing w:before="0" w:after="0"/>
              <w:jc w:val="center"/>
              <w:rPr>
                <w:rFonts w:cs="Arial"/>
                <w:highlight w:val="black"/>
              </w:rPr>
            </w:pPr>
            <w:r>
              <w:rPr>
                <w:rFonts w:cs="Arial"/>
                <w:noProof/>
                <w:color w:val="000000"/>
                <w:highlight w:val="black"/>
              </w:rPr>
              <w:t>'''''''''' ''''''''''''''</w:t>
            </w:r>
          </w:p>
        </w:tc>
        <w:tc>
          <w:tcPr>
            <w:tcW w:w="1559" w:type="dxa"/>
            <w:tcBorders>
              <w:top w:val="single" w:sz="4" w:space="0" w:color="auto"/>
              <w:left w:val="single" w:sz="4" w:space="0" w:color="auto"/>
              <w:bottom w:val="single" w:sz="4" w:space="0" w:color="auto"/>
              <w:right w:val="double" w:sz="4" w:space="0" w:color="auto"/>
            </w:tcBorders>
            <w:vAlign w:val="center"/>
          </w:tcPr>
          <w:p w:rsidR="007730DC" w:rsidRPr="004E2ADC" w:rsidRDefault="007730DC" w:rsidP="00187EB6">
            <w:pPr>
              <w:pStyle w:val="TableText0"/>
              <w:spacing w:before="0" w:after="0"/>
              <w:jc w:val="center"/>
              <w:rPr>
                <w:rFonts w:cs="Arial"/>
              </w:rPr>
            </w:pPr>
            <w:r>
              <w:rPr>
                <w:rFonts w:ascii="Times New Roman" w:hAnsi="Times New Roman" w:cs="Times New Roman"/>
              </w:rPr>
              <w:t>─</w:t>
            </w:r>
          </w:p>
        </w:tc>
        <w:tc>
          <w:tcPr>
            <w:tcW w:w="1560" w:type="dxa"/>
            <w:tcBorders>
              <w:top w:val="single" w:sz="4" w:space="0" w:color="auto"/>
              <w:left w:val="double" w:sz="4" w:space="0" w:color="auto"/>
              <w:bottom w:val="single" w:sz="4" w:space="0" w:color="auto"/>
              <w:right w:val="single" w:sz="4" w:space="0" w:color="auto"/>
            </w:tcBorders>
            <w:vAlign w:val="center"/>
          </w:tcPr>
          <w:p w:rsidR="007730DC" w:rsidRPr="00425160" w:rsidRDefault="007730DC" w:rsidP="00187EB6">
            <w:pPr>
              <w:pStyle w:val="Tabletext"/>
              <w:jc w:val="center"/>
            </w:pPr>
            <w:r w:rsidRPr="00425160">
              <w:t>8/18 (44.4%)</w:t>
            </w:r>
          </w:p>
        </w:tc>
        <w:tc>
          <w:tcPr>
            <w:tcW w:w="1842" w:type="dxa"/>
            <w:tcBorders>
              <w:top w:val="single" w:sz="4" w:space="0" w:color="auto"/>
              <w:left w:val="single" w:sz="4" w:space="0" w:color="auto"/>
              <w:bottom w:val="single" w:sz="4" w:space="0" w:color="auto"/>
              <w:right w:val="single" w:sz="4" w:space="0" w:color="auto"/>
            </w:tcBorders>
            <w:vAlign w:val="center"/>
          </w:tcPr>
          <w:p w:rsidR="007730DC" w:rsidRPr="004E2ADC" w:rsidRDefault="007730DC" w:rsidP="00187EB6">
            <w:pPr>
              <w:pStyle w:val="TableText0"/>
              <w:spacing w:before="0" w:after="0"/>
              <w:jc w:val="center"/>
              <w:rPr>
                <w:rFonts w:cs="Arial"/>
              </w:rPr>
            </w:pPr>
            <w:r>
              <w:rPr>
                <w:rFonts w:ascii="Times New Roman" w:hAnsi="Times New Roman" w:cs="Times New Roman"/>
              </w:rPr>
              <w:t>─</w:t>
            </w:r>
          </w:p>
        </w:tc>
      </w:tr>
      <w:tr w:rsidR="007730DC" w:rsidRPr="004E2ADC" w:rsidTr="007730DC">
        <w:tc>
          <w:tcPr>
            <w:tcW w:w="0" w:type="auto"/>
            <w:tcBorders>
              <w:top w:val="single" w:sz="4" w:space="0" w:color="auto"/>
              <w:left w:val="single" w:sz="4" w:space="0" w:color="auto"/>
              <w:bottom w:val="single" w:sz="4" w:space="0" w:color="auto"/>
              <w:right w:val="single" w:sz="4" w:space="0" w:color="auto"/>
            </w:tcBorders>
            <w:tcMar>
              <w:right w:w="28" w:type="dxa"/>
            </w:tcMar>
            <w:vAlign w:val="center"/>
          </w:tcPr>
          <w:p w:rsidR="007730DC" w:rsidRPr="004E2ADC" w:rsidRDefault="007730DC" w:rsidP="00187EB6">
            <w:pPr>
              <w:pStyle w:val="TableText0"/>
              <w:spacing w:before="0" w:after="0"/>
              <w:rPr>
                <w:rFonts w:cs="Arial"/>
              </w:rPr>
            </w:pPr>
            <w:r>
              <w:rPr>
                <w:rFonts w:cs="Arial"/>
              </w:rPr>
              <w:t>ODIN</w:t>
            </w:r>
          </w:p>
        </w:tc>
        <w:tc>
          <w:tcPr>
            <w:tcW w:w="1442" w:type="dxa"/>
            <w:tcBorders>
              <w:top w:val="single" w:sz="4" w:space="0" w:color="auto"/>
              <w:left w:val="single" w:sz="4" w:space="0" w:color="auto"/>
              <w:bottom w:val="single" w:sz="4" w:space="0" w:color="auto"/>
              <w:right w:val="single" w:sz="4" w:space="0" w:color="auto"/>
            </w:tcBorders>
            <w:vAlign w:val="center"/>
          </w:tcPr>
          <w:p w:rsidR="007730DC" w:rsidRPr="004E2ADC" w:rsidRDefault="007730DC" w:rsidP="00187EB6">
            <w:pPr>
              <w:pStyle w:val="TableText0"/>
              <w:spacing w:before="0" w:after="0"/>
              <w:jc w:val="center"/>
              <w:rPr>
                <w:rFonts w:cs="Arial"/>
              </w:rPr>
            </w:pPr>
            <w:r>
              <w:rPr>
                <w:rFonts w:ascii="Times New Roman" w:hAnsi="Times New Roman" w:cs="Times New Roman"/>
              </w:rPr>
              <w:t>─</w:t>
            </w:r>
          </w:p>
        </w:tc>
        <w:tc>
          <w:tcPr>
            <w:tcW w:w="1559" w:type="dxa"/>
            <w:tcBorders>
              <w:top w:val="single" w:sz="4" w:space="0" w:color="auto"/>
              <w:left w:val="single" w:sz="4" w:space="0" w:color="auto"/>
              <w:bottom w:val="single" w:sz="4" w:space="0" w:color="auto"/>
              <w:right w:val="double" w:sz="4" w:space="0" w:color="auto"/>
            </w:tcBorders>
            <w:vAlign w:val="center"/>
          </w:tcPr>
          <w:p w:rsidR="007730DC" w:rsidRPr="00182F18" w:rsidRDefault="00182F18" w:rsidP="00187EB6">
            <w:pPr>
              <w:pStyle w:val="TableText0"/>
              <w:spacing w:before="0" w:after="0"/>
              <w:jc w:val="center"/>
              <w:rPr>
                <w:rFonts w:cs="Arial"/>
                <w:highlight w:val="black"/>
              </w:rPr>
            </w:pPr>
            <w:r>
              <w:rPr>
                <w:rFonts w:cs="Arial"/>
                <w:noProof/>
                <w:color w:val="000000"/>
                <w:highlight w:val="black"/>
              </w:rPr>
              <w:t>'''''''''''''''''' ''''''''''''''''''''</w:t>
            </w:r>
          </w:p>
        </w:tc>
        <w:tc>
          <w:tcPr>
            <w:tcW w:w="1560" w:type="dxa"/>
            <w:tcBorders>
              <w:top w:val="single" w:sz="4" w:space="0" w:color="auto"/>
              <w:left w:val="double" w:sz="4" w:space="0" w:color="auto"/>
              <w:bottom w:val="single" w:sz="4" w:space="0" w:color="auto"/>
              <w:right w:val="single" w:sz="4" w:space="0" w:color="auto"/>
            </w:tcBorders>
            <w:vAlign w:val="center"/>
          </w:tcPr>
          <w:p w:rsidR="007730DC" w:rsidRPr="004E2ADC" w:rsidRDefault="007730DC" w:rsidP="00187EB6">
            <w:pPr>
              <w:pStyle w:val="TableText0"/>
              <w:spacing w:before="0" w:after="0"/>
              <w:jc w:val="center"/>
              <w:rPr>
                <w:rFonts w:cs="Arial"/>
              </w:rPr>
            </w:pPr>
            <w:r>
              <w:rPr>
                <w:rFonts w:ascii="Times New Roman"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vAlign w:val="center"/>
          </w:tcPr>
          <w:p w:rsidR="007730DC" w:rsidRPr="004E2ADC" w:rsidRDefault="007730DC" w:rsidP="00187EB6">
            <w:pPr>
              <w:pStyle w:val="TableText0"/>
              <w:spacing w:before="0" w:after="0"/>
              <w:jc w:val="center"/>
              <w:rPr>
                <w:rFonts w:cs="Arial"/>
              </w:rPr>
            </w:pPr>
            <w:r>
              <w:rPr>
                <w:rFonts w:cs="Arial"/>
              </w:rPr>
              <w:t>212/294 (72.1%)</w:t>
            </w:r>
          </w:p>
        </w:tc>
      </w:tr>
      <w:tr w:rsidR="007730DC" w:rsidRPr="004E2ADC" w:rsidTr="007730DC">
        <w:tc>
          <w:tcPr>
            <w:tcW w:w="0" w:type="auto"/>
            <w:tcBorders>
              <w:top w:val="single" w:sz="4" w:space="0" w:color="auto"/>
              <w:left w:val="single" w:sz="4" w:space="0" w:color="auto"/>
              <w:bottom w:val="single" w:sz="4" w:space="0" w:color="auto"/>
              <w:right w:val="single" w:sz="4" w:space="0" w:color="auto"/>
            </w:tcBorders>
            <w:tcMar>
              <w:right w:w="28" w:type="dxa"/>
            </w:tcMar>
            <w:vAlign w:val="center"/>
          </w:tcPr>
          <w:p w:rsidR="007730DC" w:rsidRPr="004E2ADC" w:rsidRDefault="007730DC" w:rsidP="00187EB6">
            <w:pPr>
              <w:pStyle w:val="TableText0"/>
              <w:spacing w:before="0" w:after="0"/>
              <w:rPr>
                <w:rFonts w:cs="Arial"/>
              </w:rPr>
            </w:pPr>
            <w:r>
              <w:rPr>
                <w:rFonts w:cs="Arial"/>
              </w:rPr>
              <w:t>2LADY</w:t>
            </w:r>
          </w:p>
        </w:tc>
        <w:tc>
          <w:tcPr>
            <w:tcW w:w="1442" w:type="dxa"/>
            <w:tcBorders>
              <w:top w:val="single" w:sz="4" w:space="0" w:color="auto"/>
              <w:left w:val="single" w:sz="4" w:space="0" w:color="auto"/>
              <w:bottom w:val="single" w:sz="4" w:space="0" w:color="auto"/>
              <w:right w:val="single" w:sz="4" w:space="0" w:color="auto"/>
            </w:tcBorders>
            <w:vAlign w:val="center"/>
          </w:tcPr>
          <w:p w:rsidR="007730DC" w:rsidRPr="004E2ADC" w:rsidRDefault="007730DC" w:rsidP="00187EB6">
            <w:pPr>
              <w:pStyle w:val="TableText0"/>
              <w:spacing w:before="0" w:after="0"/>
              <w:jc w:val="center"/>
              <w:rPr>
                <w:rFonts w:cs="Arial"/>
              </w:rPr>
            </w:pPr>
            <w:r>
              <w:rPr>
                <w:rFonts w:ascii="Times New Roman" w:hAnsi="Times New Roman" w:cs="Times New Roman"/>
              </w:rPr>
              <w:t>─</w:t>
            </w:r>
          </w:p>
        </w:tc>
        <w:tc>
          <w:tcPr>
            <w:tcW w:w="1559" w:type="dxa"/>
            <w:tcBorders>
              <w:top w:val="single" w:sz="4" w:space="0" w:color="auto"/>
              <w:left w:val="single" w:sz="4" w:space="0" w:color="auto"/>
              <w:bottom w:val="single" w:sz="4" w:space="0" w:color="auto"/>
              <w:right w:val="double" w:sz="4" w:space="0" w:color="auto"/>
            </w:tcBorders>
            <w:vAlign w:val="center"/>
          </w:tcPr>
          <w:p w:rsidR="007730DC" w:rsidRPr="004E2ADC" w:rsidRDefault="007730DC" w:rsidP="00187EB6">
            <w:pPr>
              <w:pStyle w:val="TableText0"/>
              <w:spacing w:before="0" w:after="0"/>
              <w:jc w:val="center"/>
              <w:rPr>
                <w:rFonts w:cs="Arial"/>
              </w:rPr>
            </w:pPr>
            <w:r>
              <w:rPr>
                <w:rFonts w:cs="Arial"/>
              </w:rPr>
              <w:t>97/154 (63.0%)</w:t>
            </w:r>
          </w:p>
        </w:tc>
        <w:tc>
          <w:tcPr>
            <w:tcW w:w="1560" w:type="dxa"/>
            <w:tcBorders>
              <w:top w:val="single" w:sz="4" w:space="0" w:color="auto"/>
              <w:left w:val="double" w:sz="4" w:space="0" w:color="auto"/>
              <w:bottom w:val="single" w:sz="4" w:space="0" w:color="auto"/>
              <w:right w:val="single" w:sz="4" w:space="0" w:color="auto"/>
            </w:tcBorders>
            <w:vAlign w:val="center"/>
          </w:tcPr>
          <w:p w:rsidR="007730DC" w:rsidRPr="004E2ADC" w:rsidRDefault="007730DC" w:rsidP="00187EB6">
            <w:pPr>
              <w:pStyle w:val="TableText0"/>
              <w:spacing w:before="0" w:after="0"/>
              <w:jc w:val="center"/>
              <w:rPr>
                <w:rFonts w:cs="Arial"/>
              </w:rPr>
            </w:pPr>
            <w:r>
              <w:rPr>
                <w:rFonts w:ascii="Times New Roman"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vAlign w:val="center"/>
          </w:tcPr>
          <w:p w:rsidR="007730DC" w:rsidRPr="004E2ADC" w:rsidRDefault="007730DC" w:rsidP="00187EB6">
            <w:pPr>
              <w:pStyle w:val="TableText0"/>
              <w:spacing w:before="0" w:after="0"/>
              <w:jc w:val="center"/>
              <w:rPr>
                <w:rFonts w:cs="Arial"/>
              </w:rPr>
            </w:pPr>
            <w:r>
              <w:rPr>
                <w:rFonts w:ascii="Times New Roman" w:hAnsi="Times New Roman" w:cs="Times New Roman"/>
              </w:rPr>
              <w:t>─</w:t>
            </w:r>
          </w:p>
        </w:tc>
      </w:tr>
      <w:tr w:rsidR="007730DC" w:rsidRPr="004E2ADC" w:rsidTr="007730DC">
        <w:tc>
          <w:tcPr>
            <w:tcW w:w="0" w:type="auto"/>
            <w:tcBorders>
              <w:top w:val="single" w:sz="4" w:space="0" w:color="auto"/>
              <w:left w:val="single" w:sz="4" w:space="0" w:color="auto"/>
              <w:bottom w:val="single" w:sz="4" w:space="0" w:color="auto"/>
              <w:right w:val="single" w:sz="4" w:space="0" w:color="auto"/>
            </w:tcBorders>
            <w:tcMar>
              <w:right w:w="28" w:type="dxa"/>
            </w:tcMar>
            <w:vAlign w:val="center"/>
          </w:tcPr>
          <w:p w:rsidR="007730DC" w:rsidRPr="004771D9" w:rsidRDefault="007730DC" w:rsidP="00187EB6">
            <w:pPr>
              <w:pStyle w:val="TableText0"/>
              <w:spacing w:before="0" w:after="0"/>
              <w:rPr>
                <w:rFonts w:cs="Arial"/>
                <w:i/>
              </w:rPr>
            </w:pPr>
            <w:r>
              <w:rPr>
                <w:rFonts w:cs="Arial"/>
                <w:i/>
              </w:rPr>
              <w:t>Pooled</w:t>
            </w:r>
          </w:p>
        </w:tc>
        <w:tc>
          <w:tcPr>
            <w:tcW w:w="1442" w:type="dxa"/>
            <w:tcBorders>
              <w:top w:val="single" w:sz="4" w:space="0" w:color="auto"/>
              <w:left w:val="single" w:sz="4" w:space="0" w:color="auto"/>
              <w:bottom w:val="single" w:sz="4" w:space="0" w:color="auto"/>
              <w:right w:val="single" w:sz="4" w:space="0" w:color="auto"/>
            </w:tcBorders>
            <w:vAlign w:val="center"/>
          </w:tcPr>
          <w:p w:rsidR="007730DC" w:rsidRDefault="007730DC" w:rsidP="00187EB6">
            <w:pPr>
              <w:pStyle w:val="TableText0"/>
              <w:spacing w:before="0" w:after="0"/>
              <w:jc w:val="center"/>
              <w:rPr>
                <w:rFonts w:ascii="Times New Roman" w:hAnsi="Times New Roman" w:cs="Times New Roman"/>
              </w:rPr>
            </w:pPr>
            <w:r>
              <w:rPr>
                <w:rFonts w:ascii="Times New Roman" w:hAnsi="Times New Roman" w:cs="Times New Roman"/>
              </w:rPr>
              <w:t>─</w:t>
            </w:r>
          </w:p>
        </w:tc>
        <w:tc>
          <w:tcPr>
            <w:tcW w:w="1559" w:type="dxa"/>
            <w:tcBorders>
              <w:top w:val="single" w:sz="4" w:space="0" w:color="auto"/>
              <w:left w:val="single" w:sz="4" w:space="0" w:color="auto"/>
              <w:bottom w:val="single" w:sz="4" w:space="0" w:color="auto"/>
              <w:right w:val="double" w:sz="4" w:space="0" w:color="auto"/>
            </w:tcBorders>
            <w:vAlign w:val="center"/>
          </w:tcPr>
          <w:p w:rsidR="007730DC" w:rsidRPr="00182F18" w:rsidRDefault="00182F18" w:rsidP="00187EB6">
            <w:pPr>
              <w:pStyle w:val="TableText0"/>
              <w:spacing w:before="0" w:after="0"/>
              <w:jc w:val="center"/>
              <w:rPr>
                <w:rFonts w:cs="Arial"/>
                <w:i/>
                <w:highlight w:val="black"/>
                <w:vertAlign w:val="superscript"/>
              </w:rPr>
            </w:pPr>
            <w:r>
              <w:rPr>
                <w:rFonts w:cs="Arial"/>
                <w:i/>
                <w:noProof/>
                <w:color w:val="000000"/>
                <w:highlight w:val="black"/>
              </w:rPr>
              <w:t>''''''''''''''''''' ''''''''''''''''''</w:t>
            </w:r>
          </w:p>
        </w:tc>
        <w:tc>
          <w:tcPr>
            <w:tcW w:w="1560" w:type="dxa"/>
            <w:tcBorders>
              <w:top w:val="single" w:sz="4" w:space="0" w:color="auto"/>
              <w:left w:val="double" w:sz="4" w:space="0" w:color="auto"/>
              <w:bottom w:val="single" w:sz="4" w:space="0" w:color="auto"/>
              <w:right w:val="single" w:sz="4" w:space="0" w:color="auto"/>
            </w:tcBorders>
            <w:vAlign w:val="center"/>
          </w:tcPr>
          <w:p w:rsidR="007730DC" w:rsidRDefault="007730DC" w:rsidP="00187EB6">
            <w:pPr>
              <w:pStyle w:val="TableText0"/>
              <w:spacing w:before="0" w:after="0"/>
              <w:jc w:val="center"/>
              <w:rPr>
                <w:rFonts w:ascii="Times New Roman" w:hAnsi="Times New Roman" w:cs="Times New Roman"/>
              </w:rPr>
            </w:pPr>
            <w:r>
              <w:rPr>
                <w:rFonts w:ascii="Times New Roman"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vAlign w:val="center"/>
          </w:tcPr>
          <w:p w:rsidR="007730DC" w:rsidRPr="00040BB7" w:rsidRDefault="007730DC" w:rsidP="00187EB6">
            <w:pPr>
              <w:pStyle w:val="TableText0"/>
              <w:spacing w:before="0" w:after="0"/>
              <w:jc w:val="center"/>
              <w:rPr>
                <w:rFonts w:ascii="Times New Roman" w:hAnsi="Times New Roman" w:cs="Times New Roman"/>
                <w:i/>
              </w:rPr>
            </w:pPr>
            <w:r>
              <w:rPr>
                <w:rFonts w:ascii="Times New Roman" w:hAnsi="Times New Roman" w:cs="Times New Roman"/>
                <w:i/>
              </w:rPr>
              <w:t>─</w:t>
            </w:r>
          </w:p>
        </w:tc>
      </w:tr>
      <w:tr w:rsidR="007730DC" w:rsidRPr="004E2ADC" w:rsidTr="007730DC">
        <w:tc>
          <w:tcPr>
            <w:tcW w:w="8363" w:type="dxa"/>
            <w:gridSpan w:val="5"/>
            <w:tcBorders>
              <w:top w:val="single" w:sz="4" w:space="0" w:color="auto"/>
              <w:left w:val="single" w:sz="4" w:space="0" w:color="auto"/>
              <w:bottom w:val="single" w:sz="4" w:space="0" w:color="auto"/>
              <w:right w:val="single" w:sz="4" w:space="0" w:color="auto"/>
            </w:tcBorders>
            <w:tcMar>
              <w:right w:w="28" w:type="dxa"/>
            </w:tcMar>
            <w:vAlign w:val="center"/>
          </w:tcPr>
          <w:p w:rsidR="007730DC" w:rsidRPr="004771D9" w:rsidRDefault="007730DC" w:rsidP="00187EB6">
            <w:pPr>
              <w:pStyle w:val="TableText0"/>
              <w:spacing w:before="0" w:after="0"/>
              <w:rPr>
                <w:rFonts w:cs="Arial"/>
                <w:b/>
              </w:rPr>
            </w:pPr>
            <w:r w:rsidRPr="004771D9">
              <w:rPr>
                <w:rFonts w:cs="Arial"/>
                <w:b/>
              </w:rPr>
              <w:t>Treatment</w:t>
            </w:r>
            <w:r w:rsidR="001E416D">
              <w:rPr>
                <w:rFonts w:cs="Arial"/>
                <w:b/>
              </w:rPr>
              <w:t xml:space="preserve"> </w:t>
            </w:r>
            <w:r>
              <w:rPr>
                <w:rFonts w:cs="Arial"/>
                <w:b/>
              </w:rPr>
              <w:t>naïve</w:t>
            </w:r>
            <w:r w:rsidR="00F63595">
              <w:rPr>
                <w:rFonts w:cs="Arial"/>
                <w:b/>
              </w:rPr>
              <w:t>; n/N (%)</w:t>
            </w:r>
          </w:p>
        </w:tc>
      </w:tr>
      <w:tr w:rsidR="007730DC" w:rsidRPr="004E2ADC" w:rsidTr="007730DC">
        <w:tc>
          <w:tcPr>
            <w:tcW w:w="0" w:type="auto"/>
            <w:tcBorders>
              <w:top w:val="single" w:sz="4" w:space="0" w:color="auto"/>
              <w:left w:val="single" w:sz="4" w:space="0" w:color="auto"/>
              <w:bottom w:val="single" w:sz="4" w:space="0" w:color="auto"/>
              <w:right w:val="single" w:sz="4" w:space="0" w:color="auto"/>
            </w:tcBorders>
            <w:tcMar>
              <w:right w:w="28" w:type="dxa"/>
            </w:tcMar>
            <w:vAlign w:val="center"/>
          </w:tcPr>
          <w:p w:rsidR="007730DC" w:rsidRPr="004E2ADC" w:rsidRDefault="007730DC" w:rsidP="00187EB6">
            <w:pPr>
              <w:pStyle w:val="TableText0"/>
              <w:spacing w:before="0" w:after="0"/>
              <w:rPr>
                <w:rFonts w:cs="Arial"/>
              </w:rPr>
            </w:pPr>
            <w:r>
              <w:rPr>
                <w:rFonts w:cs="Arial"/>
              </w:rPr>
              <w:t xml:space="preserve">Study </w:t>
            </w:r>
            <w:r w:rsidR="00D62BFC">
              <w:rPr>
                <w:rFonts w:cs="Arial"/>
              </w:rPr>
              <w:t>0130</w:t>
            </w:r>
          </w:p>
        </w:tc>
        <w:tc>
          <w:tcPr>
            <w:tcW w:w="1442" w:type="dxa"/>
            <w:tcBorders>
              <w:top w:val="single" w:sz="4" w:space="0" w:color="auto"/>
              <w:left w:val="single" w:sz="4" w:space="0" w:color="auto"/>
              <w:bottom w:val="single" w:sz="4" w:space="0" w:color="auto"/>
              <w:right w:val="single" w:sz="4" w:space="0" w:color="auto"/>
            </w:tcBorders>
            <w:vAlign w:val="center"/>
          </w:tcPr>
          <w:p w:rsidR="007730DC" w:rsidRPr="004E2ADC" w:rsidRDefault="007730DC" w:rsidP="00187EB6">
            <w:pPr>
              <w:pStyle w:val="TableText0"/>
              <w:spacing w:before="0" w:after="0"/>
              <w:jc w:val="center"/>
              <w:rPr>
                <w:rFonts w:cs="Arial"/>
              </w:rPr>
            </w:pPr>
            <w:r>
              <w:rPr>
                <w:rFonts w:cs="Arial"/>
              </w:rPr>
              <w:t>244/295 (82.7%)</w:t>
            </w:r>
          </w:p>
        </w:tc>
        <w:tc>
          <w:tcPr>
            <w:tcW w:w="1559" w:type="dxa"/>
            <w:tcBorders>
              <w:top w:val="single" w:sz="4" w:space="0" w:color="auto"/>
              <w:left w:val="single" w:sz="4" w:space="0" w:color="auto"/>
              <w:bottom w:val="single" w:sz="4" w:space="0" w:color="auto"/>
              <w:right w:val="double" w:sz="4" w:space="0" w:color="auto"/>
            </w:tcBorders>
            <w:vAlign w:val="center"/>
          </w:tcPr>
          <w:p w:rsidR="007730DC" w:rsidRPr="004E2ADC" w:rsidRDefault="007730DC" w:rsidP="00187EB6">
            <w:pPr>
              <w:pStyle w:val="TableText0"/>
              <w:spacing w:before="0" w:after="0"/>
              <w:jc w:val="center"/>
              <w:rPr>
                <w:rFonts w:cs="Arial"/>
              </w:rPr>
            </w:pPr>
            <w:r>
              <w:rPr>
                <w:rFonts w:ascii="Times New Roman" w:hAnsi="Times New Roman" w:cs="Times New Roman"/>
              </w:rPr>
              <w:t>─</w:t>
            </w:r>
          </w:p>
        </w:tc>
        <w:tc>
          <w:tcPr>
            <w:tcW w:w="1560" w:type="dxa"/>
            <w:tcBorders>
              <w:top w:val="single" w:sz="4" w:space="0" w:color="auto"/>
              <w:left w:val="double" w:sz="4" w:space="0" w:color="auto"/>
              <w:bottom w:val="single" w:sz="4" w:space="0" w:color="auto"/>
              <w:right w:val="single" w:sz="4" w:space="0" w:color="auto"/>
            </w:tcBorders>
            <w:vAlign w:val="center"/>
          </w:tcPr>
          <w:p w:rsidR="007730DC" w:rsidRPr="004E2ADC" w:rsidRDefault="007730DC" w:rsidP="00187EB6">
            <w:pPr>
              <w:pStyle w:val="TableText0"/>
              <w:spacing w:before="0" w:after="0"/>
              <w:jc w:val="center"/>
              <w:rPr>
                <w:rFonts w:cs="Arial"/>
              </w:rPr>
            </w:pPr>
            <w:r>
              <w:rPr>
                <w:rFonts w:cs="Arial"/>
              </w:rPr>
              <w:t>245/295 (83.1%)</w:t>
            </w:r>
          </w:p>
        </w:tc>
        <w:tc>
          <w:tcPr>
            <w:tcW w:w="1842" w:type="dxa"/>
            <w:tcBorders>
              <w:top w:val="single" w:sz="4" w:space="0" w:color="auto"/>
              <w:left w:val="single" w:sz="4" w:space="0" w:color="auto"/>
              <w:bottom w:val="single" w:sz="4" w:space="0" w:color="auto"/>
              <w:right w:val="single" w:sz="4" w:space="0" w:color="auto"/>
            </w:tcBorders>
            <w:vAlign w:val="center"/>
          </w:tcPr>
          <w:p w:rsidR="007730DC" w:rsidRPr="004E2ADC" w:rsidRDefault="007730DC" w:rsidP="00187EB6">
            <w:pPr>
              <w:pStyle w:val="TableText0"/>
              <w:spacing w:before="0" w:after="0"/>
              <w:jc w:val="center"/>
              <w:rPr>
                <w:rFonts w:cs="Arial"/>
              </w:rPr>
            </w:pPr>
            <w:r>
              <w:rPr>
                <w:rFonts w:ascii="Times New Roman" w:hAnsi="Times New Roman" w:cs="Times New Roman"/>
              </w:rPr>
              <w:t>─</w:t>
            </w:r>
          </w:p>
        </w:tc>
      </w:tr>
      <w:tr w:rsidR="007730DC" w:rsidRPr="004E2ADC" w:rsidTr="007730DC">
        <w:tc>
          <w:tcPr>
            <w:tcW w:w="0" w:type="auto"/>
            <w:tcBorders>
              <w:top w:val="single" w:sz="4" w:space="0" w:color="auto"/>
              <w:left w:val="single" w:sz="4" w:space="0" w:color="auto"/>
              <w:bottom w:val="single" w:sz="4" w:space="0" w:color="auto"/>
              <w:right w:val="single" w:sz="4" w:space="0" w:color="auto"/>
            </w:tcBorders>
            <w:tcMar>
              <w:right w:w="28" w:type="dxa"/>
            </w:tcMar>
            <w:vAlign w:val="center"/>
          </w:tcPr>
          <w:p w:rsidR="007730DC" w:rsidRPr="004E2ADC" w:rsidRDefault="007730DC" w:rsidP="00187EB6">
            <w:pPr>
              <w:pStyle w:val="TableText0"/>
              <w:spacing w:before="0" w:after="0"/>
              <w:rPr>
                <w:rFonts w:cs="Arial"/>
              </w:rPr>
            </w:pPr>
            <w:r>
              <w:rPr>
                <w:rFonts w:cs="Arial"/>
              </w:rPr>
              <w:t>ARTEMIS</w:t>
            </w:r>
          </w:p>
        </w:tc>
        <w:tc>
          <w:tcPr>
            <w:tcW w:w="1442" w:type="dxa"/>
            <w:tcBorders>
              <w:top w:val="single" w:sz="4" w:space="0" w:color="auto"/>
              <w:left w:val="single" w:sz="4" w:space="0" w:color="auto"/>
              <w:bottom w:val="single" w:sz="4" w:space="0" w:color="auto"/>
              <w:right w:val="single" w:sz="4" w:space="0" w:color="auto"/>
            </w:tcBorders>
            <w:vAlign w:val="center"/>
          </w:tcPr>
          <w:p w:rsidR="007730DC" w:rsidRPr="004E2ADC" w:rsidRDefault="007730DC" w:rsidP="00187EB6">
            <w:pPr>
              <w:pStyle w:val="TableText0"/>
              <w:spacing w:before="0" w:after="0"/>
              <w:jc w:val="center"/>
              <w:rPr>
                <w:rFonts w:cs="Arial"/>
              </w:rPr>
            </w:pPr>
            <w:r>
              <w:rPr>
                <w:rFonts w:ascii="Times New Roman" w:hAnsi="Times New Roman" w:cs="Times New Roman"/>
              </w:rPr>
              <w:t>─</w:t>
            </w:r>
          </w:p>
        </w:tc>
        <w:tc>
          <w:tcPr>
            <w:tcW w:w="1559" w:type="dxa"/>
            <w:tcBorders>
              <w:top w:val="single" w:sz="4" w:space="0" w:color="auto"/>
              <w:left w:val="single" w:sz="4" w:space="0" w:color="auto"/>
              <w:bottom w:val="single" w:sz="4" w:space="0" w:color="auto"/>
              <w:right w:val="double" w:sz="4" w:space="0" w:color="auto"/>
            </w:tcBorders>
            <w:vAlign w:val="center"/>
          </w:tcPr>
          <w:p w:rsidR="007730DC" w:rsidRPr="00182F18" w:rsidRDefault="00182F18" w:rsidP="00187EB6">
            <w:pPr>
              <w:pStyle w:val="TableText0"/>
              <w:spacing w:before="0" w:after="0"/>
              <w:jc w:val="center"/>
              <w:rPr>
                <w:rFonts w:cs="Arial"/>
                <w:highlight w:val="black"/>
              </w:rPr>
            </w:pPr>
            <w:r>
              <w:rPr>
                <w:rFonts w:cs="Arial"/>
                <w:noProof/>
                <w:color w:val="000000"/>
                <w:highlight w:val="black"/>
              </w:rPr>
              <w:t>'''''''''''''''''''''' '''''''''''''''''</w:t>
            </w:r>
          </w:p>
        </w:tc>
        <w:tc>
          <w:tcPr>
            <w:tcW w:w="1560" w:type="dxa"/>
            <w:tcBorders>
              <w:top w:val="single" w:sz="4" w:space="0" w:color="auto"/>
              <w:left w:val="double" w:sz="4" w:space="0" w:color="auto"/>
              <w:bottom w:val="single" w:sz="4" w:space="0" w:color="auto"/>
              <w:right w:val="single" w:sz="4" w:space="0" w:color="auto"/>
            </w:tcBorders>
            <w:vAlign w:val="center"/>
          </w:tcPr>
          <w:p w:rsidR="007730DC" w:rsidRPr="004E2ADC" w:rsidRDefault="007730DC" w:rsidP="00187EB6">
            <w:pPr>
              <w:pStyle w:val="TableText0"/>
              <w:spacing w:before="0" w:after="0"/>
              <w:jc w:val="center"/>
              <w:rPr>
                <w:rFonts w:cs="Arial"/>
              </w:rPr>
            </w:pPr>
            <w:r>
              <w:rPr>
                <w:rFonts w:ascii="Times New Roman"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vAlign w:val="center"/>
          </w:tcPr>
          <w:p w:rsidR="007730DC" w:rsidRPr="004E2ADC" w:rsidRDefault="007730DC" w:rsidP="00187EB6">
            <w:pPr>
              <w:pStyle w:val="TableText0"/>
              <w:spacing w:before="0" w:after="0"/>
              <w:jc w:val="center"/>
              <w:rPr>
                <w:rFonts w:cs="Arial"/>
              </w:rPr>
            </w:pPr>
            <w:r>
              <w:rPr>
                <w:rFonts w:cs="Arial"/>
              </w:rPr>
              <w:t>287/343 (83.7%)</w:t>
            </w:r>
          </w:p>
        </w:tc>
      </w:tr>
      <w:tr w:rsidR="007730DC" w:rsidRPr="004E2ADC" w:rsidTr="007730DC">
        <w:tc>
          <w:tcPr>
            <w:tcW w:w="0" w:type="auto"/>
            <w:tcBorders>
              <w:top w:val="single" w:sz="4" w:space="0" w:color="auto"/>
              <w:left w:val="single" w:sz="4" w:space="0" w:color="auto"/>
              <w:bottom w:val="single" w:sz="4" w:space="0" w:color="auto"/>
              <w:right w:val="single" w:sz="4" w:space="0" w:color="auto"/>
            </w:tcBorders>
            <w:tcMar>
              <w:right w:w="28" w:type="dxa"/>
            </w:tcMar>
            <w:vAlign w:val="center"/>
          </w:tcPr>
          <w:p w:rsidR="007730DC" w:rsidRPr="004E2ADC" w:rsidRDefault="007730DC" w:rsidP="00187EB6">
            <w:pPr>
              <w:pStyle w:val="TableText0"/>
              <w:spacing w:before="0" w:after="0"/>
              <w:rPr>
                <w:rFonts w:cs="Arial"/>
              </w:rPr>
            </w:pPr>
            <w:r>
              <w:rPr>
                <w:rFonts w:cs="Arial"/>
              </w:rPr>
              <w:t>FLAMINGO</w:t>
            </w:r>
          </w:p>
        </w:tc>
        <w:tc>
          <w:tcPr>
            <w:tcW w:w="1442" w:type="dxa"/>
            <w:tcBorders>
              <w:top w:val="single" w:sz="4" w:space="0" w:color="auto"/>
              <w:left w:val="single" w:sz="4" w:space="0" w:color="auto"/>
              <w:bottom w:val="single" w:sz="4" w:space="0" w:color="auto"/>
              <w:right w:val="single" w:sz="4" w:space="0" w:color="auto"/>
            </w:tcBorders>
            <w:vAlign w:val="center"/>
          </w:tcPr>
          <w:p w:rsidR="007730DC" w:rsidRPr="004E2ADC" w:rsidRDefault="007730DC" w:rsidP="00187EB6">
            <w:pPr>
              <w:pStyle w:val="TableText0"/>
              <w:spacing w:before="0" w:after="0"/>
              <w:jc w:val="center"/>
              <w:rPr>
                <w:rFonts w:cs="Arial"/>
              </w:rPr>
            </w:pPr>
            <w:r>
              <w:rPr>
                <w:rFonts w:ascii="Times New Roman" w:hAnsi="Times New Roman" w:cs="Times New Roman"/>
              </w:rPr>
              <w:t>─</w:t>
            </w:r>
          </w:p>
        </w:tc>
        <w:tc>
          <w:tcPr>
            <w:tcW w:w="1559" w:type="dxa"/>
            <w:tcBorders>
              <w:top w:val="single" w:sz="4" w:space="0" w:color="auto"/>
              <w:left w:val="single" w:sz="4" w:space="0" w:color="auto"/>
              <w:bottom w:val="single" w:sz="4" w:space="0" w:color="auto"/>
              <w:right w:val="double" w:sz="4" w:space="0" w:color="auto"/>
            </w:tcBorders>
            <w:vAlign w:val="center"/>
          </w:tcPr>
          <w:p w:rsidR="007730DC" w:rsidRPr="005979D9" w:rsidRDefault="007730DC" w:rsidP="00187EB6">
            <w:pPr>
              <w:pStyle w:val="TableText0"/>
              <w:spacing w:before="0" w:after="0"/>
              <w:jc w:val="center"/>
              <w:rPr>
                <w:rFonts w:cs="Arial"/>
              </w:rPr>
            </w:pPr>
            <w:r w:rsidRPr="005979D9">
              <w:rPr>
                <w:rFonts w:cs="Times New Roman"/>
              </w:rPr>
              <w:t>200/242 (82.6%)</w:t>
            </w:r>
          </w:p>
        </w:tc>
        <w:tc>
          <w:tcPr>
            <w:tcW w:w="1560" w:type="dxa"/>
            <w:tcBorders>
              <w:top w:val="single" w:sz="4" w:space="0" w:color="auto"/>
              <w:left w:val="double" w:sz="4" w:space="0" w:color="auto"/>
              <w:bottom w:val="single" w:sz="4" w:space="0" w:color="auto"/>
              <w:right w:val="single" w:sz="4" w:space="0" w:color="auto"/>
            </w:tcBorders>
            <w:vAlign w:val="center"/>
          </w:tcPr>
          <w:p w:rsidR="007730DC" w:rsidRPr="004E2ADC" w:rsidRDefault="007730DC" w:rsidP="00187EB6">
            <w:pPr>
              <w:pStyle w:val="TableText0"/>
              <w:spacing w:before="0" w:after="0"/>
              <w:jc w:val="center"/>
              <w:rPr>
                <w:rFonts w:cs="Arial"/>
              </w:rPr>
            </w:pPr>
            <w:r>
              <w:rPr>
                <w:rFonts w:ascii="Times New Roman"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vAlign w:val="center"/>
          </w:tcPr>
          <w:p w:rsidR="007730DC" w:rsidRPr="004E2ADC" w:rsidRDefault="007730DC" w:rsidP="00187EB6">
            <w:pPr>
              <w:pStyle w:val="TableText0"/>
              <w:spacing w:before="0" w:after="0"/>
              <w:jc w:val="center"/>
              <w:rPr>
                <w:rFonts w:cs="Arial"/>
              </w:rPr>
            </w:pPr>
            <w:r>
              <w:rPr>
                <w:rFonts w:ascii="Times New Roman" w:hAnsi="Times New Roman" w:cs="Times New Roman"/>
              </w:rPr>
              <w:t>─</w:t>
            </w:r>
          </w:p>
        </w:tc>
      </w:tr>
      <w:tr w:rsidR="007730DC" w:rsidRPr="004E2ADC" w:rsidTr="007730DC">
        <w:tc>
          <w:tcPr>
            <w:tcW w:w="0" w:type="auto"/>
            <w:tcBorders>
              <w:top w:val="single" w:sz="4" w:space="0" w:color="auto"/>
              <w:left w:val="single" w:sz="4" w:space="0" w:color="auto"/>
              <w:bottom w:val="single" w:sz="4" w:space="0" w:color="auto"/>
              <w:right w:val="single" w:sz="4" w:space="0" w:color="auto"/>
            </w:tcBorders>
            <w:tcMar>
              <w:right w:w="28" w:type="dxa"/>
            </w:tcMar>
            <w:vAlign w:val="center"/>
          </w:tcPr>
          <w:p w:rsidR="007730DC" w:rsidRPr="004771D9" w:rsidRDefault="007730DC" w:rsidP="00187EB6">
            <w:pPr>
              <w:pStyle w:val="TableText0"/>
              <w:spacing w:before="0" w:after="0"/>
              <w:rPr>
                <w:rFonts w:cs="Arial"/>
                <w:i/>
              </w:rPr>
            </w:pPr>
            <w:r>
              <w:rPr>
                <w:rFonts w:cs="Arial"/>
                <w:i/>
              </w:rPr>
              <w:t>Pooled</w:t>
            </w:r>
          </w:p>
        </w:tc>
        <w:tc>
          <w:tcPr>
            <w:tcW w:w="1442" w:type="dxa"/>
            <w:tcBorders>
              <w:top w:val="single" w:sz="4" w:space="0" w:color="auto"/>
              <w:left w:val="single" w:sz="4" w:space="0" w:color="auto"/>
              <w:bottom w:val="single" w:sz="4" w:space="0" w:color="auto"/>
              <w:right w:val="single" w:sz="4" w:space="0" w:color="auto"/>
            </w:tcBorders>
            <w:vAlign w:val="center"/>
          </w:tcPr>
          <w:p w:rsidR="007730DC" w:rsidRPr="004E2ADC" w:rsidRDefault="007730DC" w:rsidP="00187EB6">
            <w:pPr>
              <w:pStyle w:val="TableText0"/>
              <w:spacing w:before="0" w:after="0"/>
              <w:jc w:val="center"/>
              <w:rPr>
                <w:rFonts w:cs="Arial"/>
              </w:rPr>
            </w:pPr>
            <w:r>
              <w:rPr>
                <w:rFonts w:ascii="Times New Roman" w:hAnsi="Times New Roman" w:cs="Times New Roman"/>
              </w:rPr>
              <w:t>─</w:t>
            </w:r>
          </w:p>
        </w:tc>
        <w:tc>
          <w:tcPr>
            <w:tcW w:w="1559" w:type="dxa"/>
            <w:tcBorders>
              <w:top w:val="single" w:sz="4" w:space="0" w:color="auto"/>
              <w:left w:val="single" w:sz="4" w:space="0" w:color="auto"/>
              <w:bottom w:val="single" w:sz="4" w:space="0" w:color="auto"/>
              <w:right w:val="double" w:sz="4" w:space="0" w:color="auto"/>
            </w:tcBorders>
            <w:vAlign w:val="center"/>
          </w:tcPr>
          <w:p w:rsidR="007730DC" w:rsidRPr="00182F18" w:rsidRDefault="00182F18" w:rsidP="00187EB6">
            <w:pPr>
              <w:pStyle w:val="TableText0"/>
              <w:spacing w:before="0" w:after="0"/>
              <w:jc w:val="center"/>
              <w:rPr>
                <w:rFonts w:cs="Arial"/>
                <w:i/>
                <w:highlight w:val="black"/>
              </w:rPr>
            </w:pPr>
            <w:r>
              <w:rPr>
                <w:rFonts w:cs="Arial"/>
                <w:i/>
                <w:noProof/>
                <w:color w:val="000000"/>
                <w:highlight w:val="black"/>
              </w:rPr>
              <w:t>'''''''''''''''''''' '''''''''''''''''</w:t>
            </w:r>
          </w:p>
        </w:tc>
        <w:tc>
          <w:tcPr>
            <w:tcW w:w="1560" w:type="dxa"/>
            <w:tcBorders>
              <w:top w:val="single" w:sz="4" w:space="0" w:color="auto"/>
              <w:left w:val="double" w:sz="4" w:space="0" w:color="auto"/>
              <w:bottom w:val="single" w:sz="4" w:space="0" w:color="auto"/>
              <w:right w:val="single" w:sz="4" w:space="0" w:color="auto"/>
            </w:tcBorders>
            <w:vAlign w:val="center"/>
          </w:tcPr>
          <w:p w:rsidR="007730DC" w:rsidRPr="004E2ADC" w:rsidRDefault="007730DC" w:rsidP="00187EB6">
            <w:pPr>
              <w:pStyle w:val="TableText0"/>
              <w:spacing w:before="0" w:after="0"/>
              <w:jc w:val="center"/>
              <w:rPr>
                <w:rFonts w:cs="Arial"/>
              </w:rPr>
            </w:pPr>
            <w:r>
              <w:rPr>
                <w:rFonts w:ascii="Times New Roman"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vAlign w:val="center"/>
          </w:tcPr>
          <w:p w:rsidR="007730DC" w:rsidRPr="004E2ADC" w:rsidRDefault="007730DC" w:rsidP="00187EB6">
            <w:pPr>
              <w:pStyle w:val="TableText0"/>
              <w:spacing w:before="0" w:after="0"/>
              <w:jc w:val="center"/>
              <w:rPr>
                <w:rFonts w:cs="Arial"/>
              </w:rPr>
            </w:pPr>
            <w:r>
              <w:rPr>
                <w:rFonts w:ascii="Times New Roman" w:hAnsi="Times New Roman" w:cs="Times New Roman"/>
              </w:rPr>
              <w:t>─</w:t>
            </w:r>
          </w:p>
        </w:tc>
      </w:tr>
    </w:tbl>
    <w:p w:rsidR="000C3D1E" w:rsidRPr="00D13A3E" w:rsidRDefault="007730DC" w:rsidP="007730DC">
      <w:pPr>
        <w:pStyle w:val="TableFooter"/>
        <w:ind w:firstLine="720"/>
      </w:pPr>
      <w:r>
        <w:t>Sour</w:t>
      </w:r>
      <w:r w:rsidR="000C3D1E" w:rsidRPr="00D13A3E">
        <w:t xml:space="preserve">ce: </w:t>
      </w:r>
      <w:r w:rsidR="000C3D1E">
        <w:t>Table B.25, p54 of Section B of the submission</w:t>
      </w:r>
    </w:p>
    <w:p w:rsidR="000C3D1E" w:rsidRDefault="00CC5250" w:rsidP="000C3D1E">
      <w:pPr>
        <w:pStyle w:val="TableFooter"/>
        <w:ind w:left="720"/>
        <w:rPr>
          <w:b/>
        </w:rPr>
      </w:pPr>
      <w:r>
        <w:t>FDA = Food and Drug Administration;</w:t>
      </w:r>
      <w:r w:rsidR="00F65908">
        <w:t xml:space="preserve"> </w:t>
      </w:r>
      <w:r w:rsidR="00773555">
        <w:t>m</w:t>
      </w:r>
      <w:r w:rsidR="000C3D1E">
        <w:t xml:space="preserve">ITT = </w:t>
      </w:r>
      <w:r w:rsidR="00227882">
        <w:t xml:space="preserve">modified </w:t>
      </w:r>
      <w:r w:rsidR="000C3D1E">
        <w:t xml:space="preserve">intention-to-treat; </w:t>
      </w:r>
      <w:r w:rsidR="00BE0E2C">
        <w:t>NRTI = nucleoside/nucleotide reverse transcriptase inhibitors;</w:t>
      </w:r>
      <w:r w:rsidR="000C3D1E">
        <w:t xml:space="preserve"> </w:t>
      </w:r>
      <w:r w:rsidR="000C3D1E" w:rsidRPr="00C05054">
        <w:t>TLOVR = time to loss of virologic response</w:t>
      </w:r>
      <w:r w:rsidR="000C3D1E">
        <w:t>;</w:t>
      </w:r>
      <w:r w:rsidR="000C3D1E" w:rsidRPr="001F5DB7">
        <w:t xml:space="preserve"> </w:t>
      </w:r>
      <w:r w:rsidR="000C3D1E">
        <w:t>c = cobicistat; D</w:t>
      </w:r>
      <w:r w:rsidR="00227882">
        <w:t>RV = darunavir; r = ritonavir</w:t>
      </w:r>
    </w:p>
    <w:p w:rsidR="00BE0E2C" w:rsidRPr="00BE0E2C" w:rsidRDefault="00BE0E2C" w:rsidP="00BE0E2C">
      <w:pPr>
        <w:pStyle w:val="TableFooter"/>
        <w:ind w:firstLine="720"/>
      </w:pPr>
      <w:r>
        <w:rPr>
          <w:vertAlign w:val="superscript"/>
        </w:rPr>
        <w:t xml:space="preserve">a </w:t>
      </w:r>
      <w:r>
        <w:t xml:space="preserve">Emtricitabine and tenofovir disoproxil fumarate took up nearly all NRTI usage </w:t>
      </w:r>
    </w:p>
    <w:p w:rsidR="000C3D1E" w:rsidRDefault="00BE0E2C" w:rsidP="000C3D1E">
      <w:pPr>
        <w:pStyle w:val="TableFooter"/>
        <w:ind w:firstLine="720"/>
      </w:pPr>
      <w:r>
        <w:rPr>
          <w:vertAlign w:val="superscript"/>
        </w:rPr>
        <w:t>b</w:t>
      </w:r>
      <w:r w:rsidR="000C3D1E">
        <w:t xml:space="preserve"> Pooled </w:t>
      </w:r>
      <w:r w:rsidR="00847B6D">
        <w:t>trials</w:t>
      </w:r>
      <w:r w:rsidR="000C3D1E">
        <w:t>: ARTEMIS, FLAMINGO, ODIN and 2LADY</w:t>
      </w:r>
    </w:p>
    <w:p w:rsidR="00847B6D" w:rsidRPr="00847B6D" w:rsidRDefault="00BE0E2C" w:rsidP="000C3D1E">
      <w:pPr>
        <w:pStyle w:val="TableFooter"/>
        <w:ind w:firstLine="720"/>
      </w:pPr>
      <w:r>
        <w:rPr>
          <w:vertAlign w:val="superscript"/>
        </w:rPr>
        <w:t>c</w:t>
      </w:r>
      <w:r w:rsidR="00847B6D" w:rsidRPr="00805CFC">
        <w:rPr>
          <w:vertAlign w:val="superscript"/>
        </w:rPr>
        <w:t xml:space="preserve"> </w:t>
      </w:r>
      <w:r w:rsidR="00847B6D">
        <w:t>Pooled trials: ARTEMIS, ODIN</w:t>
      </w:r>
    </w:p>
    <w:p w:rsidR="00A44E9E" w:rsidRDefault="00A44E9E" w:rsidP="00A44E9E">
      <w:pPr>
        <w:pStyle w:val="TableFooter"/>
        <w:ind w:firstLine="720"/>
        <w:rPr>
          <w:i/>
        </w:rPr>
      </w:pPr>
    </w:p>
    <w:p w:rsidR="004D05F8" w:rsidRPr="00306DF7" w:rsidRDefault="004D05F8" w:rsidP="00805CFC">
      <w:pPr>
        <w:pStyle w:val="ListParagraph"/>
        <w:numPr>
          <w:ilvl w:val="1"/>
          <w:numId w:val="3"/>
        </w:numPr>
        <w:rPr>
          <w:szCs w:val="22"/>
        </w:rPr>
      </w:pPr>
      <w:r w:rsidRPr="00A261C3">
        <w:rPr>
          <w:szCs w:val="22"/>
        </w:rPr>
        <w:t xml:space="preserve">Based on the FDA snapshot </w:t>
      </w:r>
      <w:r w:rsidRPr="00A261C3">
        <w:t xml:space="preserve">analysis, the submission stated that virologic response for </w:t>
      </w:r>
      <w:r w:rsidR="00912070">
        <w:t>darunavir and</w:t>
      </w:r>
      <w:r w:rsidRPr="00A261C3">
        <w:t xml:space="preserve"> cobicistat</w:t>
      </w:r>
      <w:r w:rsidR="002C16D3">
        <w:t xml:space="preserve"> taken concomitantly was similar to </w:t>
      </w:r>
      <w:r w:rsidR="00912070">
        <w:t>darunavir and</w:t>
      </w:r>
      <w:r w:rsidR="002C16D3">
        <w:t xml:space="preserve"> ritonavir taken concomitantly for the pooled analysis and the treatment-naïve population. </w:t>
      </w:r>
      <w:r w:rsidR="00A261C3" w:rsidRPr="00306DF7">
        <w:rPr>
          <w:szCs w:val="22"/>
        </w:rPr>
        <w:t>The</w:t>
      </w:r>
      <w:r w:rsidR="00415694" w:rsidRPr="00306DF7">
        <w:rPr>
          <w:szCs w:val="22"/>
        </w:rPr>
        <w:t xml:space="preserve"> submission’s</w:t>
      </w:r>
      <w:r w:rsidR="00A261C3" w:rsidRPr="00306DF7">
        <w:rPr>
          <w:szCs w:val="22"/>
        </w:rPr>
        <w:t xml:space="preserve"> pooled analysis</w:t>
      </w:r>
      <w:r w:rsidR="008254E8" w:rsidRPr="00306DF7">
        <w:rPr>
          <w:szCs w:val="22"/>
        </w:rPr>
        <w:t xml:space="preserve"> of all patients </w:t>
      </w:r>
      <w:r w:rsidR="00A261C3" w:rsidRPr="00306DF7">
        <w:rPr>
          <w:szCs w:val="22"/>
        </w:rPr>
        <w:t xml:space="preserve">was </w:t>
      </w:r>
      <w:r w:rsidR="008B612B">
        <w:rPr>
          <w:szCs w:val="22"/>
        </w:rPr>
        <w:t xml:space="preserve">potentially </w:t>
      </w:r>
      <w:r w:rsidR="008254E8" w:rsidRPr="00306DF7">
        <w:rPr>
          <w:szCs w:val="22"/>
        </w:rPr>
        <w:t>biased</w:t>
      </w:r>
      <w:r w:rsidR="00A261C3" w:rsidRPr="00306DF7">
        <w:rPr>
          <w:szCs w:val="22"/>
        </w:rPr>
        <w:t xml:space="preserve"> due to the </w:t>
      </w:r>
      <w:r w:rsidR="00415694" w:rsidRPr="00306DF7">
        <w:rPr>
          <w:szCs w:val="22"/>
        </w:rPr>
        <w:t>heterogeneity</w:t>
      </w:r>
      <w:r w:rsidR="00A261C3" w:rsidRPr="00306DF7">
        <w:rPr>
          <w:szCs w:val="22"/>
        </w:rPr>
        <w:t xml:space="preserve"> in treatment</w:t>
      </w:r>
      <w:r w:rsidR="00A85A7C" w:rsidRPr="00306DF7">
        <w:rPr>
          <w:szCs w:val="22"/>
        </w:rPr>
        <w:t xml:space="preserve"> </w:t>
      </w:r>
      <w:r w:rsidR="00A261C3" w:rsidRPr="00306DF7">
        <w:rPr>
          <w:szCs w:val="22"/>
        </w:rPr>
        <w:t xml:space="preserve">experience across the two groups. </w:t>
      </w:r>
      <w:r w:rsidR="008254E8" w:rsidRPr="00306DF7">
        <w:rPr>
          <w:szCs w:val="22"/>
        </w:rPr>
        <w:t>To provide a more appropriate comparison</w:t>
      </w:r>
      <w:r w:rsidR="00A261C3" w:rsidRPr="00306DF7">
        <w:rPr>
          <w:szCs w:val="22"/>
        </w:rPr>
        <w:t xml:space="preserve">, </w:t>
      </w:r>
      <w:r w:rsidR="008254E8" w:rsidRPr="00306DF7">
        <w:rPr>
          <w:szCs w:val="22"/>
        </w:rPr>
        <w:t>separate pooled analyses were</w:t>
      </w:r>
      <w:r w:rsidR="00A261C3" w:rsidRPr="00306DF7">
        <w:rPr>
          <w:szCs w:val="22"/>
        </w:rPr>
        <w:t xml:space="preserve"> performed</w:t>
      </w:r>
      <w:r w:rsidR="008254E8" w:rsidRPr="00306DF7">
        <w:rPr>
          <w:szCs w:val="22"/>
        </w:rPr>
        <w:t xml:space="preserve"> for both treatment</w:t>
      </w:r>
      <w:r w:rsidR="001E416D" w:rsidRPr="00306DF7">
        <w:rPr>
          <w:szCs w:val="22"/>
        </w:rPr>
        <w:t xml:space="preserve"> </w:t>
      </w:r>
      <w:r w:rsidR="009A2DBE" w:rsidRPr="00306DF7">
        <w:rPr>
          <w:szCs w:val="22"/>
        </w:rPr>
        <w:t>naïve and treatment</w:t>
      </w:r>
      <w:r w:rsidR="001E416D" w:rsidRPr="00306DF7">
        <w:rPr>
          <w:szCs w:val="22"/>
        </w:rPr>
        <w:t xml:space="preserve"> </w:t>
      </w:r>
      <w:r w:rsidR="009A2DBE" w:rsidRPr="00306DF7">
        <w:rPr>
          <w:szCs w:val="22"/>
        </w:rPr>
        <w:t xml:space="preserve">experienced. </w:t>
      </w:r>
      <w:r w:rsidR="008254E8" w:rsidRPr="00306DF7">
        <w:rPr>
          <w:szCs w:val="22"/>
        </w:rPr>
        <w:t>This showed that virologic response was likely to depend on treatment</w:t>
      </w:r>
      <w:r w:rsidR="00A3665E" w:rsidRPr="00306DF7">
        <w:rPr>
          <w:szCs w:val="22"/>
        </w:rPr>
        <w:t xml:space="preserve"> </w:t>
      </w:r>
      <w:r w:rsidR="008254E8" w:rsidRPr="00306DF7">
        <w:rPr>
          <w:szCs w:val="22"/>
        </w:rPr>
        <w:t>experience.</w:t>
      </w:r>
    </w:p>
    <w:p w:rsidR="002C16D3" w:rsidRPr="00805CFC" w:rsidRDefault="002C16D3" w:rsidP="00805CFC">
      <w:pPr>
        <w:pStyle w:val="ListParagraph"/>
        <w:rPr>
          <w:szCs w:val="22"/>
        </w:rPr>
      </w:pPr>
    </w:p>
    <w:p w:rsidR="002C16D3" w:rsidRPr="00306DF7" w:rsidRDefault="002C16D3" w:rsidP="00805CFC">
      <w:pPr>
        <w:pStyle w:val="ListParagraph"/>
        <w:numPr>
          <w:ilvl w:val="1"/>
          <w:numId w:val="3"/>
        </w:numPr>
        <w:rPr>
          <w:szCs w:val="22"/>
        </w:rPr>
      </w:pPr>
      <w:r w:rsidRPr="00805CFC">
        <w:rPr>
          <w:szCs w:val="22"/>
        </w:rPr>
        <w:t>The</w:t>
      </w:r>
      <w:r>
        <w:rPr>
          <w:szCs w:val="22"/>
        </w:rPr>
        <w:t xml:space="preserve"> submission noted that for treatment</w:t>
      </w:r>
      <w:r w:rsidR="009A2DBE">
        <w:rPr>
          <w:szCs w:val="22"/>
        </w:rPr>
        <w:t>-</w:t>
      </w:r>
      <w:r>
        <w:rPr>
          <w:szCs w:val="22"/>
        </w:rPr>
        <w:t>experienced patients</w:t>
      </w:r>
      <w:r w:rsidR="009A2DBE">
        <w:rPr>
          <w:szCs w:val="22"/>
        </w:rPr>
        <w:t>,</w:t>
      </w:r>
      <w:r>
        <w:rPr>
          <w:szCs w:val="22"/>
        </w:rPr>
        <w:t xml:space="preserve"> the virologic response was lower compared to the virologic response in treatment</w:t>
      </w:r>
      <w:r w:rsidR="009A2DBE">
        <w:rPr>
          <w:szCs w:val="22"/>
        </w:rPr>
        <w:t>-</w:t>
      </w:r>
      <w:r>
        <w:rPr>
          <w:szCs w:val="22"/>
        </w:rPr>
        <w:t xml:space="preserve">naïve patients. Further, the response for </w:t>
      </w:r>
      <w:r w:rsidR="00912070">
        <w:rPr>
          <w:szCs w:val="22"/>
        </w:rPr>
        <w:t>darunavir and</w:t>
      </w:r>
      <w:r>
        <w:rPr>
          <w:szCs w:val="22"/>
        </w:rPr>
        <w:t xml:space="preserve"> cobicistat </w:t>
      </w:r>
      <w:r w:rsidR="008B612B">
        <w:rPr>
          <w:szCs w:val="22"/>
        </w:rPr>
        <w:t xml:space="preserve">in treatment experienced patients </w:t>
      </w:r>
      <w:r>
        <w:rPr>
          <w:szCs w:val="22"/>
        </w:rPr>
        <w:t xml:space="preserve">was </w:t>
      </w:r>
      <w:r w:rsidR="008B612B">
        <w:rPr>
          <w:szCs w:val="22"/>
        </w:rPr>
        <w:t xml:space="preserve">numerically </w:t>
      </w:r>
      <w:r>
        <w:rPr>
          <w:szCs w:val="22"/>
        </w:rPr>
        <w:t xml:space="preserve">lower than for </w:t>
      </w:r>
      <w:r w:rsidR="00912070">
        <w:rPr>
          <w:szCs w:val="22"/>
        </w:rPr>
        <w:t>darunavir and</w:t>
      </w:r>
      <w:r>
        <w:rPr>
          <w:szCs w:val="22"/>
        </w:rPr>
        <w:t xml:space="preserve"> ritonavir. According to the submission, this difference was due to worse prognostic factors, as well due to small sample size. </w:t>
      </w:r>
      <w:r w:rsidRPr="00306DF7">
        <w:rPr>
          <w:szCs w:val="22"/>
        </w:rPr>
        <w:t xml:space="preserve">This analysis was difficult to interpret, as only 18 treatment-experienced patients were included in Study </w:t>
      </w:r>
      <w:r w:rsidR="00D62BFC" w:rsidRPr="00306DF7">
        <w:rPr>
          <w:szCs w:val="22"/>
        </w:rPr>
        <w:t>0130</w:t>
      </w:r>
      <w:r w:rsidRPr="00306DF7">
        <w:rPr>
          <w:szCs w:val="22"/>
        </w:rPr>
        <w:t xml:space="preserve">. </w:t>
      </w:r>
    </w:p>
    <w:p w:rsidR="002C16D3" w:rsidRPr="00306DF7" w:rsidRDefault="002C16D3" w:rsidP="008254E8">
      <w:pPr>
        <w:ind w:left="720"/>
      </w:pPr>
    </w:p>
    <w:p w:rsidR="002C16D3" w:rsidRPr="00306DF7" w:rsidRDefault="002C16D3" w:rsidP="002C16D3">
      <w:pPr>
        <w:pStyle w:val="ListParagraph"/>
        <w:numPr>
          <w:ilvl w:val="1"/>
          <w:numId w:val="3"/>
        </w:numPr>
        <w:rPr>
          <w:szCs w:val="22"/>
        </w:rPr>
      </w:pPr>
      <w:r w:rsidRPr="00A261C3">
        <w:t>Due to</w:t>
      </w:r>
      <w:r w:rsidR="009A2DBE">
        <w:t xml:space="preserve"> </w:t>
      </w:r>
      <w:r w:rsidRPr="00A261C3">
        <w:t>likely small sample bias and heterogeneity of key patient characteristics in the</w:t>
      </w:r>
      <w:r>
        <w:t xml:space="preserve"> PBS relevant</w:t>
      </w:r>
      <w:r w:rsidR="009A2DBE">
        <w:t>,</w:t>
      </w:r>
      <w:r w:rsidRPr="00A261C3">
        <w:t xml:space="preserve"> </w:t>
      </w:r>
      <w:r>
        <w:t>treatment-experienced population</w:t>
      </w:r>
      <w:r w:rsidRPr="00A261C3">
        <w:t xml:space="preserve">, the submission </w:t>
      </w:r>
      <w:r>
        <w:t>used the evidence</w:t>
      </w:r>
      <w:r w:rsidRPr="00A261C3">
        <w:t xml:space="preserve"> from a mixed population of treatment</w:t>
      </w:r>
      <w:r w:rsidR="009A2DBE">
        <w:t>-</w:t>
      </w:r>
      <w:r w:rsidRPr="00A261C3">
        <w:t>naïve and treatment-experienced patients</w:t>
      </w:r>
      <w:r>
        <w:t xml:space="preserve">. </w:t>
      </w:r>
      <w:r w:rsidRPr="00306DF7">
        <w:t>This might not be appropriate. The efficacy data was difficult to interpret due the heterogeneity between the studies and the naïve indirect comparison.</w:t>
      </w:r>
    </w:p>
    <w:p w:rsidR="00B60939" w:rsidRPr="00306DF7" w:rsidRDefault="001E7133" w:rsidP="009A2DBE">
      <w:pPr>
        <w:ind w:left="720"/>
      </w:pPr>
      <w:r w:rsidRPr="00306DF7">
        <w:t xml:space="preserve"> </w:t>
      </w:r>
    </w:p>
    <w:p w:rsidR="00B60939" w:rsidRPr="002C2775" w:rsidRDefault="00B60939" w:rsidP="002C2775">
      <w:pPr>
        <w:pStyle w:val="Heading2"/>
        <w:rPr>
          <w:i/>
        </w:rPr>
      </w:pPr>
      <w:bookmarkStart w:id="9" w:name="_Toc430015989"/>
      <w:r w:rsidRPr="002C2775">
        <w:rPr>
          <w:i/>
        </w:rPr>
        <w:t>Comparative harms</w:t>
      </w:r>
      <w:bookmarkEnd w:id="9"/>
    </w:p>
    <w:p w:rsidR="00B60939" w:rsidRPr="00882085" w:rsidRDefault="00B60939" w:rsidP="00B60939">
      <w:pPr>
        <w:ind w:left="720" w:hanging="720"/>
        <w:rPr>
          <w:szCs w:val="22"/>
        </w:rPr>
      </w:pPr>
    </w:p>
    <w:p w:rsidR="00B60939" w:rsidRPr="00AB72C0" w:rsidRDefault="002A2538" w:rsidP="0044463D">
      <w:pPr>
        <w:pStyle w:val="ListParagraph"/>
        <w:numPr>
          <w:ilvl w:val="1"/>
          <w:numId w:val="3"/>
        </w:numPr>
        <w:rPr>
          <w:szCs w:val="22"/>
        </w:rPr>
      </w:pPr>
      <w:r>
        <w:t xml:space="preserve">Results of the key safety outcomes </w:t>
      </w:r>
      <w:r w:rsidR="00FD3CBA">
        <w:t>are presented in Table 5</w:t>
      </w:r>
      <w:r w:rsidR="005573BB">
        <w:t>.</w:t>
      </w:r>
    </w:p>
    <w:p w:rsidR="008F2690" w:rsidRPr="004A6DDD" w:rsidRDefault="008F2690" w:rsidP="00F8110A"/>
    <w:p w:rsidR="008F2690" w:rsidRPr="00F8110A" w:rsidRDefault="008F2690" w:rsidP="00941BF9">
      <w:pPr>
        <w:keepNext/>
        <w:keepLines/>
        <w:ind w:firstLine="720"/>
        <w:rPr>
          <w:rFonts w:ascii="Arial Narrow" w:hAnsi="Arial Narrow"/>
          <w:b/>
          <w:sz w:val="20"/>
        </w:rPr>
      </w:pPr>
      <w:r w:rsidRPr="00F8110A">
        <w:rPr>
          <w:rFonts w:ascii="Arial Narrow" w:hAnsi="Arial Narrow"/>
          <w:b/>
          <w:sz w:val="20"/>
        </w:rPr>
        <w:t>Table</w:t>
      </w:r>
      <w:r w:rsidR="00FD3CBA" w:rsidRPr="00F8110A">
        <w:rPr>
          <w:rFonts w:ascii="Arial Narrow" w:hAnsi="Arial Narrow"/>
          <w:b/>
          <w:sz w:val="20"/>
        </w:rPr>
        <w:t xml:space="preserve"> 5</w:t>
      </w:r>
      <w:r w:rsidRPr="00F8110A">
        <w:rPr>
          <w:rFonts w:ascii="Arial Narrow" w:hAnsi="Arial Narrow"/>
          <w:b/>
          <w:sz w:val="20"/>
        </w:rPr>
        <w:t xml:space="preserve">: Summary of key adverse events </w:t>
      </w:r>
      <w:r w:rsidR="00DF7D71" w:rsidRPr="00F8110A">
        <w:rPr>
          <w:rFonts w:ascii="Arial Narrow" w:hAnsi="Arial Narrow"/>
          <w:b/>
          <w:sz w:val="20"/>
        </w:rPr>
        <w:t>of the</w:t>
      </w:r>
      <w:r w:rsidRPr="00F8110A">
        <w:rPr>
          <w:rFonts w:ascii="Arial Narrow" w:hAnsi="Arial Narrow"/>
          <w:b/>
          <w:sz w:val="20"/>
        </w:rPr>
        <w:t xml:space="preserve"> </w:t>
      </w:r>
      <w:r w:rsidR="00A3739F" w:rsidRPr="00F8110A">
        <w:rPr>
          <w:rFonts w:ascii="Arial Narrow" w:hAnsi="Arial Narrow"/>
          <w:b/>
          <w:sz w:val="20"/>
        </w:rPr>
        <w:t>safety</w:t>
      </w:r>
      <w:r w:rsidRPr="00F8110A">
        <w:rPr>
          <w:rFonts w:ascii="Arial Narrow" w:hAnsi="Arial Narrow"/>
          <w:b/>
          <w:sz w:val="20"/>
        </w:rPr>
        <w:t xml:space="preserve"> studies</w:t>
      </w:r>
      <w:r w:rsidR="00A3739F" w:rsidRPr="00F8110A">
        <w:rPr>
          <w:rFonts w:ascii="Arial Narrow" w:hAnsi="Arial Narrow"/>
          <w:b/>
          <w:sz w:val="20"/>
        </w:rPr>
        <w:t xml:space="preserve"> over 48 weeks (mITT </w:t>
      </w:r>
      <w:r w:rsidR="00DF7D71" w:rsidRPr="00F8110A">
        <w:rPr>
          <w:rFonts w:ascii="Arial Narrow" w:hAnsi="Arial Narrow"/>
          <w:b/>
          <w:sz w:val="20"/>
        </w:rPr>
        <w:t>analysis set</w:t>
      </w:r>
      <w:r w:rsidRPr="00F8110A">
        <w:rPr>
          <w:rFonts w:ascii="Arial Narrow" w:hAnsi="Arial Narrow"/>
          <w:b/>
          <w:sz w:val="20"/>
        </w:rPr>
        <w:t xml:space="preserve">) </w:t>
      </w:r>
    </w:p>
    <w:tbl>
      <w:tblPr>
        <w:tblStyle w:val="TableGrid"/>
        <w:tblW w:w="4558" w:type="pct"/>
        <w:tblInd w:w="817" w:type="dxa"/>
        <w:tblLook w:val="04A0" w:firstRow="1" w:lastRow="0" w:firstColumn="1" w:lastColumn="0" w:noHBand="0" w:noVBand="1"/>
        <w:tblCaption w:val="Summary of key adverse events"/>
      </w:tblPr>
      <w:tblGrid>
        <w:gridCol w:w="1938"/>
        <w:gridCol w:w="1855"/>
        <w:gridCol w:w="1183"/>
        <w:gridCol w:w="1183"/>
        <w:gridCol w:w="1183"/>
        <w:gridCol w:w="1084"/>
      </w:tblGrid>
      <w:tr w:rsidR="0007346F" w:rsidRPr="003B695B" w:rsidTr="00182F18">
        <w:trPr>
          <w:trHeight w:val="212"/>
          <w:tblHeader/>
        </w:trPr>
        <w:tc>
          <w:tcPr>
            <w:tcW w:w="1150" w:type="pct"/>
            <w:vMerge w:val="restart"/>
          </w:tcPr>
          <w:p w:rsidR="0007346F" w:rsidRPr="003B695B" w:rsidRDefault="0007346F" w:rsidP="00941BF9">
            <w:pPr>
              <w:pStyle w:val="BodyText"/>
              <w:keepNext/>
              <w:keepLines/>
              <w:jc w:val="left"/>
              <w:rPr>
                <w:rFonts w:ascii="Arial Narrow" w:hAnsi="Arial Narrow"/>
                <w:b/>
                <w:sz w:val="20"/>
              </w:rPr>
            </w:pPr>
            <w:r w:rsidRPr="003B695B">
              <w:rPr>
                <w:rFonts w:ascii="Arial Narrow" w:hAnsi="Arial Narrow"/>
                <w:b/>
                <w:sz w:val="20"/>
              </w:rPr>
              <w:t>Number of p</w:t>
            </w:r>
            <w:r>
              <w:rPr>
                <w:rFonts w:ascii="Arial Narrow" w:hAnsi="Arial Narrow"/>
                <w:b/>
                <w:sz w:val="20"/>
              </w:rPr>
              <w:t>atients</w:t>
            </w:r>
            <w:r w:rsidRPr="003B695B">
              <w:rPr>
                <w:rFonts w:ascii="Arial Narrow" w:hAnsi="Arial Narrow"/>
                <w:b/>
                <w:sz w:val="20"/>
              </w:rPr>
              <w:t xml:space="preserve"> with: n (%)</w:t>
            </w:r>
          </w:p>
        </w:tc>
        <w:tc>
          <w:tcPr>
            <w:tcW w:w="1101" w:type="pct"/>
            <w:vMerge w:val="restart"/>
            <w:vAlign w:val="center"/>
          </w:tcPr>
          <w:p w:rsidR="0007346F" w:rsidRPr="0007346F" w:rsidRDefault="0007346F" w:rsidP="00941BF9">
            <w:pPr>
              <w:pStyle w:val="BodyText"/>
              <w:keepNext/>
              <w:keepLines/>
              <w:jc w:val="center"/>
              <w:rPr>
                <w:rFonts w:ascii="Arial Narrow" w:hAnsi="Arial Narrow"/>
                <w:b/>
                <w:sz w:val="20"/>
                <w:vertAlign w:val="superscript"/>
              </w:rPr>
            </w:pPr>
            <w:r>
              <w:rPr>
                <w:rFonts w:ascii="Arial Narrow" w:hAnsi="Arial Narrow"/>
                <w:b/>
                <w:sz w:val="20"/>
              </w:rPr>
              <w:t>DRV</w:t>
            </w:r>
            <w:r w:rsidRPr="003B695B">
              <w:rPr>
                <w:rFonts w:ascii="Arial Narrow" w:hAnsi="Arial Narrow"/>
                <w:b/>
                <w:sz w:val="20"/>
              </w:rPr>
              <w:t xml:space="preserve"> + </w:t>
            </w:r>
            <w:r>
              <w:rPr>
                <w:rFonts w:ascii="Arial Narrow" w:hAnsi="Arial Narrow"/>
                <w:b/>
                <w:sz w:val="20"/>
              </w:rPr>
              <w:t xml:space="preserve">c + 2 NRTIs </w:t>
            </w:r>
            <w:r>
              <w:rPr>
                <w:rFonts w:ascii="Arial Narrow" w:hAnsi="Arial Narrow"/>
                <w:b/>
                <w:sz w:val="20"/>
                <w:vertAlign w:val="superscript"/>
              </w:rPr>
              <w:t>a</w:t>
            </w:r>
          </w:p>
        </w:tc>
        <w:tc>
          <w:tcPr>
            <w:tcW w:w="2749" w:type="pct"/>
            <w:gridSpan w:val="4"/>
            <w:vAlign w:val="center"/>
          </w:tcPr>
          <w:p w:rsidR="0007346F" w:rsidRPr="0007346F" w:rsidRDefault="0007346F" w:rsidP="00941BF9">
            <w:pPr>
              <w:pStyle w:val="BodyText"/>
              <w:keepNext/>
              <w:keepLines/>
              <w:jc w:val="center"/>
              <w:rPr>
                <w:rFonts w:ascii="Arial Narrow" w:hAnsi="Arial Narrow"/>
                <w:b/>
                <w:sz w:val="20"/>
                <w:vertAlign w:val="superscript"/>
              </w:rPr>
            </w:pPr>
            <w:r>
              <w:rPr>
                <w:rFonts w:ascii="Arial Narrow" w:hAnsi="Arial Narrow"/>
                <w:b/>
                <w:sz w:val="20"/>
              </w:rPr>
              <w:t xml:space="preserve">DRV + r + 2 NRTIs </w:t>
            </w:r>
            <w:r>
              <w:rPr>
                <w:rFonts w:ascii="Arial Narrow" w:hAnsi="Arial Narrow"/>
                <w:b/>
                <w:sz w:val="20"/>
                <w:vertAlign w:val="superscript"/>
              </w:rPr>
              <w:t>a</w:t>
            </w:r>
          </w:p>
        </w:tc>
      </w:tr>
      <w:tr w:rsidR="0007346F" w:rsidRPr="003B695B" w:rsidTr="00182F18">
        <w:trPr>
          <w:trHeight w:val="119"/>
          <w:tblHeader/>
        </w:trPr>
        <w:tc>
          <w:tcPr>
            <w:tcW w:w="1150" w:type="pct"/>
            <w:vMerge/>
          </w:tcPr>
          <w:p w:rsidR="0007346F" w:rsidRPr="003B695B" w:rsidRDefault="0007346F" w:rsidP="00A3739F">
            <w:pPr>
              <w:pStyle w:val="BodyText"/>
              <w:keepNext/>
              <w:rPr>
                <w:rFonts w:ascii="Arial Narrow" w:hAnsi="Arial Narrow"/>
                <w:sz w:val="20"/>
              </w:rPr>
            </w:pPr>
          </w:p>
        </w:tc>
        <w:tc>
          <w:tcPr>
            <w:tcW w:w="1101" w:type="pct"/>
            <w:vMerge/>
            <w:vAlign w:val="center"/>
          </w:tcPr>
          <w:p w:rsidR="0007346F" w:rsidRPr="003B695B" w:rsidRDefault="0007346F" w:rsidP="00A3739F">
            <w:pPr>
              <w:pStyle w:val="BodyText"/>
              <w:keepNext/>
              <w:jc w:val="center"/>
              <w:rPr>
                <w:rFonts w:ascii="Arial Narrow" w:hAnsi="Arial Narrow"/>
                <w:b/>
                <w:sz w:val="20"/>
              </w:rPr>
            </w:pPr>
          </w:p>
        </w:tc>
        <w:tc>
          <w:tcPr>
            <w:tcW w:w="1404" w:type="pct"/>
            <w:gridSpan w:val="2"/>
          </w:tcPr>
          <w:p w:rsidR="0007346F" w:rsidRPr="003B695B" w:rsidRDefault="0007346F" w:rsidP="00A3739F">
            <w:pPr>
              <w:pStyle w:val="BodyText"/>
              <w:keepNext/>
              <w:jc w:val="center"/>
              <w:rPr>
                <w:rFonts w:ascii="Arial Narrow" w:hAnsi="Arial Narrow"/>
                <w:b/>
                <w:sz w:val="20"/>
              </w:rPr>
            </w:pPr>
            <w:r w:rsidRPr="003B695B">
              <w:rPr>
                <w:rFonts w:ascii="Arial Narrow" w:hAnsi="Arial Narrow"/>
                <w:b/>
                <w:sz w:val="20"/>
              </w:rPr>
              <w:t>Treatment naive</w:t>
            </w:r>
          </w:p>
        </w:tc>
        <w:tc>
          <w:tcPr>
            <w:tcW w:w="1345" w:type="pct"/>
            <w:gridSpan w:val="2"/>
          </w:tcPr>
          <w:p w:rsidR="0007346F" w:rsidRPr="003B695B" w:rsidRDefault="0007346F" w:rsidP="00A3739F">
            <w:pPr>
              <w:pStyle w:val="BodyText"/>
              <w:keepNext/>
              <w:jc w:val="center"/>
              <w:rPr>
                <w:rFonts w:ascii="Arial Narrow" w:hAnsi="Arial Narrow"/>
                <w:b/>
                <w:sz w:val="20"/>
              </w:rPr>
            </w:pPr>
            <w:r w:rsidRPr="003B695B">
              <w:rPr>
                <w:rFonts w:ascii="Arial Narrow" w:hAnsi="Arial Narrow"/>
                <w:b/>
                <w:sz w:val="20"/>
              </w:rPr>
              <w:t>Treatment experienced</w:t>
            </w:r>
          </w:p>
        </w:tc>
      </w:tr>
      <w:tr w:rsidR="0007346F" w:rsidRPr="003B695B" w:rsidTr="00182F18">
        <w:trPr>
          <w:trHeight w:val="119"/>
          <w:tblHeader/>
        </w:trPr>
        <w:tc>
          <w:tcPr>
            <w:tcW w:w="1150" w:type="pct"/>
            <w:vMerge/>
          </w:tcPr>
          <w:p w:rsidR="0007346F" w:rsidRPr="003B695B" w:rsidRDefault="0007346F" w:rsidP="00A3739F">
            <w:pPr>
              <w:pStyle w:val="BodyText"/>
              <w:keepNext/>
              <w:rPr>
                <w:rFonts w:ascii="Arial Narrow" w:hAnsi="Arial Narrow"/>
                <w:sz w:val="20"/>
              </w:rPr>
            </w:pPr>
          </w:p>
        </w:tc>
        <w:tc>
          <w:tcPr>
            <w:tcW w:w="1101" w:type="pct"/>
            <w:vAlign w:val="center"/>
          </w:tcPr>
          <w:p w:rsidR="0007346F" w:rsidRPr="003B695B" w:rsidRDefault="0007346F" w:rsidP="00A3739F">
            <w:pPr>
              <w:pStyle w:val="BodyText"/>
              <w:keepNext/>
              <w:jc w:val="center"/>
              <w:rPr>
                <w:rFonts w:ascii="Arial Narrow" w:hAnsi="Arial Narrow"/>
                <w:b/>
                <w:sz w:val="20"/>
              </w:rPr>
            </w:pPr>
            <w:r w:rsidRPr="003B695B">
              <w:rPr>
                <w:rFonts w:ascii="Arial Narrow" w:hAnsi="Arial Narrow"/>
                <w:b/>
                <w:sz w:val="20"/>
              </w:rPr>
              <w:t>Study 0130</w:t>
            </w:r>
            <w:r>
              <w:rPr>
                <w:rFonts w:ascii="Arial Narrow" w:hAnsi="Arial Narrow"/>
                <w:b/>
                <w:sz w:val="20"/>
              </w:rPr>
              <w:t>-All</w:t>
            </w:r>
          </w:p>
        </w:tc>
        <w:tc>
          <w:tcPr>
            <w:tcW w:w="702" w:type="pct"/>
            <w:vAlign w:val="center"/>
          </w:tcPr>
          <w:p w:rsidR="0007346F" w:rsidRPr="003B695B" w:rsidRDefault="0007346F" w:rsidP="00A3739F">
            <w:pPr>
              <w:pStyle w:val="BodyText"/>
              <w:keepNext/>
              <w:jc w:val="center"/>
              <w:rPr>
                <w:rFonts w:ascii="Arial Narrow" w:hAnsi="Arial Narrow"/>
                <w:b/>
                <w:sz w:val="20"/>
              </w:rPr>
            </w:pPr>
            <w:r w:rsidRPr="003B695B">
              <w:rPr>
                <w:rFonts w:ascii="Arial Narrow" w:hAnsi="Arial Narrow"/>
                <w:b/>
                <w:sz w:val="20"/>
              </w:rPr>
              <w:t>ARTEMIS</w:t>
            </w:r>
          </w:p>
        </w:tc>
        <w:tc>
          <w:tcPr>
            <w:tcW w:w="702" w:type="pct"/>
            <w:vAlign w:val="center"/>
          </w:tcPr>
          <w:p w:rsidR="0007346F" w:rsidRPr="003B695B" w:rsidRDefault="0007346F" w:rsidP="00A3739F">
            <w:pPr>
              <w:pStyle w:val="BodyText"/>
              <w:keepNext/>
              <w:jc w:val="center"/>
              <w:rPr>
                <w:rFonts w:ascii="Arial Narrow" w:hAnsi="Arial Narrow"/>
                <w:b/>
                <w:sz w:val="20"/>
              </w:rPr>
            </w:pPr>
            <w:r w:rsidRPr="003B695B">
              <w:rPr>
                <w:rFonts w:ascii="Arial Narrow" w:hAnsi="Arial Narrow"/>
                <w:b/>
                <w:sz w:val="20"/>
              </w:rPr>
              <w:t>FLAMINGO</w:t>
            </w:r>
          </w:p>
        </w:tc>
        <w:tc>
          <w:tcPr>
            <w:tcW w:w="702" w:type="pct"/>
            <w:vAlign w:val="center"/>
          </w:tcPr>
          <w:p w:rsidR="0007346F" w:rsidRPr="003B695B" w:rsidRDefault="0007346F" w:rsidP="00A3739F">
            <w:pPr>
              <w:pStyle w:val="BodyText"/>
              <w:keepNext/>
              <w:jc w:val="center"/>
              <w:rPr>
                <w:rFonts w:ascii="Arial Narrow" w:hAnsi="Arial Narrow"/>
                <w:b/>
                <w:sz w:val="20"/>
              </w:rPr>
            </w:pPr>
            <w:r w:rsidRPr="003B695B">
              <w:rPr>
                <w:rFonts w:ascii="Arial Narrow" w:hAnsi="Arial Narrow"/>
                <w:b/>
                <w:sz w:val="20"/>
              </w:rPr>
              <w:t>ODIN</w:t>
            </w:r>
          </w:p>
        </w:tc>
        <w:tc>
          <w:tcPr>
            <w:tcW w:w="643" w:type="pct"/>
            <w:vAlign w:val="center"/>
          </w:tcPr>
          <w:p w:rsidR="0007346F" w:rsidRPr="003B695B" w:rsidRDefault="0007346F" w:rsidP="00A3739F">
            <w:pPr>
              <w:pStyle w:val="BodyText"/>
              <w:keepNext/>
              <w:jc w:val="center"/>
              <w:rPr>
                <w:rFonts w:ascii="Arial Narrow" w:hAnsi="Arial Narrow"/>
                <w:b/>
                <w:sz w:val="20"/>
              </w:rPr>
            </w:pPr>
            <w:r w:rsidRPr="003B695B">
              <w:rPr>
                <w:rFonts w:ascii="Arial Narrow" w:hAnsi="Arial Narrow"/>
                <w:b/>
                <w:sz w:val="20"/>
              </w:rPr>
              <w:t>2LADY</w:t>
            </w:r>
          </w:p>
        </w:tc>
      </w:tr>
      <w:tr w:rsidR="0007346F" w:rsidRPr="003B695B" w:rsidTr="00182F18">
        <w:trPr>
          <w:trHeight w:val="197"/>
          <w:tblHeader/>
        </w:trPr>
        <w:tc>
          <w:tcPr>
            <w:tcW w:w="1150" w:type="pct"/>
            <w:vMerge/>
          </w:tcPr>
          <w:p w:rsidR="0007346F" w:rsidRPr="003B695B" w:rsidRDefault="0007346F" w:rsidP="00A3739F">
            <w:pPr>
              <w:pStyle w:val="BodyText"/>
              <w:keepNext/>
              <w:rPr>
                <w:rFonts w:ascii="Arial Narrow" w:hAnsi="Arial Narrow"/>
                <w:sz w:val="20"/>
              </w:rPr>
            </w:pPr>
          </w:p>
        </w:tc>
        <w:tc>
          <w:tcPr>
            <w:tcW w:w="1101" w:type="pct"/>
            <w:vAlign w:val="center"/>
          </w:tcPr>
          <w:p w:rsidR="0007346F" w:rsidRPr="003B695B" w:rsidRDefault="0007346F" w:rsidP="00A3739F">
            <w:pPr>
              <w:pStyle w:val="BodyText"/>
              <w:keepNext/>
              <w:jc w:val="center"/>
              <w:rPr>
                <w:rFonts w:ascii="Arial Narrow" w:hAnsi="Arial Narrow"/>
                <w:b/>
                <w:sz w:val="20"/>
              </w:rPr>
            </w:pPr>
            <w:r>
              <w:rPr>
                <w:rFonts w:ascii="Arial Narrow" w:hAnsi="Arial Narrow"/>
                <w:b/>
                <w:sz w:val="20"/>
              </w:rPr>
              <w:t>(n</w:t>
            </w:r>
            <w:r w:rsidRPr="003B695B">
              <w:rPr>
                <w:rFonts w:ascii="Arial Narrow" w:hAnsi="Arial Narrow"/>
                <w:b/>
                <w:sz w:val="20"/>
              </w:rPr>
              <w:t>=313)</w:t>
            </w:r>
          </w:p>
        </w:tc>
        <w:tc>
          <w:tcPr>
            <w:tcW w:w="702" w:type="pct"/>
            <w:vAlign w:val="center"/>
          </w:tcPr>
          <w:p w:rsidR="0007346F" w:rsidRPr="003B695B" w:rsidRDefault="0007346F" w:rsidP="00A3739F">
            <w:pPr>
              <w:pStyle w:val="BodyText"/>
              <w:keepNext/>
              <w:jc w:val="center"/>
              <w:rPr>
                <w:rFonts w:ascii="Arial Narrow" w:hAnsi="Arial Narrow"/>
                <w:b/>
                <w:sz w:val="20"/>
              </w:rPr>
            </w:pPr>
            <w:r>
              <w:rPr>
                <w:rFonts w:ascii="Arial Narrow" w:hAnsi="Arial Narrow"/>
                <w:b/>
                <w:sz w:val="20"/>
              </w:rPr>
              <w:t>(n</w:t>
            </w:r>
            <w:r w:rsidRPr="003B695B">
              <w:rPr>
                <w:rFonts w:ascii="Arial Narrow" w:hAnsi="Arial Narrow"/>
                <w:b/>
                <w:sz w:val="20"/>
              </w:rPr>
              <w:t xml:space="preserve">=343) </w:t>
            </w:r>
          </w:p>
        </w:tc>
        <w:tc>
          <w:tcPr>
            <w:tcW w:w="702" w:type="pct"/>
            <w:vAlign w:val="center"/>
          </w:tcPr>
          <w:p w:rsidR="0007346F" w:rsidRPr="003B695B" w:rsidRDefault="0007346F" w:rsidP="00A3739F">
            <w:pPr>
              <w:pStyle w:val="BodyText"/>
              <w:keepNext/>
              <w:jc w:val="center"/>
              <w:rPr>
                <w:rFonts w:ascii="Arial Narrow" w:hAnsi="Arial Narrow"/>
                <w:b/>
                <w:sz w:val="20"/>
              </w:rPr>
            </w:pPr>
            <w:r>
              <w:rPr>
                <w:rFonts w:ascii="Arial Narrow" w:hAnsi="Arial Narrow"/>
                <w:b/>
                <w:sz w:val="20"/>
              </w:rPr>
              <w:t>(n</w:t>
            </w:r>
            <w:r w:rsidRPr="003B695B">
              <w:rPr>
                <w:rFonts w:ascii="Arial Narrow" w:hAnsi="Arial Narrow"/>
                <w:b/>
                <w:sz w:val="20"/>
              </w:rPr>
              <w:t>=242)</w:t>
            </w:r>
          </w:p>
        </w:tc>
        <w:tc>
          <w:tcPr>
            <w:tcW w:w="702" w:type="pct"/>
            <w:vAlign w:val="center"/>
          </w:tcPr>
          <w:p w:rsidR="0007346F" w:rsidRPr="003B695B" w:rsidRDefault="0007346F" w:rsidP="00A3739F">
            <w:pPr>
              <w:pStyle w:val="BodyText"/>
              <w:keepNext/>
              <w:jc w:val="center"/>
              <w:rPr>
                <w:rFonts w:ascii="Arial Narrow" w:hAnsi="Arial Narrow"/>
                <w:b/>
                <w:sz w:val="20"/>
              </w:rPr>
            </w:pPr>
            <w:r>
              <w:rPr>
                <w:rFonts w:ascii="Arial Narrow" w:hAnsi="Arial Narrow"/>
                <w:b/>
                <w:sz w:val="20"/>
              </w:rPr>
              <w:t>(n</w:t>
            </w:r>
            <w:r w:rsidRPr="003B695B">
              <w:rPr>
                <w:rFonts w:ascii="Arial Narrow" w:hAnsi="Arial Narrow"/>
                <w:b/>
                <w:sz w:val="20"/>
              </w:rPr>
              <w:t>=294)</w:t>
            </w:r>
          </w:p>
        </w:tc>
        <w:tc>
          <w:tcPr>
            <w:tcW w:w="643" w:type="pct"/>
            <w:vAlign w:val="center"/>
          </w:tcPr>
          <w:p w:rsidR="0007346F" w:rsidRPr="003B695B" w:rsidRDefault="0007346F" w:rsidP="00A3739F">
            <w:pPr>
              <w:pStyle w:val="BodyText"/>
              <w:keepNext/>
              <w:jc w:val="center"/>
              <w:rPr>
                <w:rFonts w:ascii="Arial Narrow" w:hAnsi="Arial Narrow"/>
                <w:b/>
                <w:sz w:val="20"/>
              </w:rPr>
            </w:pPr>
            <w:r>
              <w:rPr>
                <w:rFonts w:ascii="Arial Narrow" w:hAnsi="Arial Narrow"/>
                <w:b/>
                <w:sz w:val="20"/>
              </w:rPr>
              <w:t>(n</w:t>
            </w:r>
            <w:r w:rsidRPr="003B695B">
              <w:rPr>
                <w:rFonts w:ascii="Arial Narrow" w:hAnsi="Arial Narrow"/>
                <w:b/>
                <w:sz w:val="20"/>
              </w:rPr>
              <w:t>=154)</w:t>
            </w:r>
          </w:p>
        </w:tc>
      </w:tr>
      <w:tr w:rsidR="0007346F" w:rsidRPr="003B695B" w:rsidTr="0007346F">
        <w:tc>
          <w:tcPr>
            <w:tcW w:w="1150" w:type="pct"/>
            <w:vAlign w:val="center"/>
          </w:tcPr>
          <w:p w:rsidR="0007346F" w:rsidRPr="003B695B" w:rsidRDefault="0007346F" w:rsidP="00A3739F">
            <w:pPr>
              <w:pStyle w:val="BodyText"/>
              <w:keepNext/>
              <w:rPr>
                <w:rFonts w:ascii="Arial Narrow" w:hAnsi="Arial Narrow"/>
                <w:sz w:val="20"/>
              </w:rPr>
            </w:pPr>
            <w:r w:rsidRPr="003B695B">
              <w:rPr>
                <w:rFonts w:ascii="Arial Narrow" w:hAnsi="Arial Narrow"/>
                <w:sz w:val="20"/>
              </w:rPr>
              <w:t>Any AE</w:t>
            </w:r>
          </w:p>
        </w:tc>
        <w:tc>
          <w:tcPr>
            <w:tcW w:w="1101" w:type="pct"/>
            <w:vAlign w:val="center"/>
          </w:tcPr>
          <w:p w:rsidR="0007346F" w:rsidRPr="003B695B" w:rsidRDefault="0007346F" w:rsidP="00A3739F">
            <w:pPr>
              <w:pStyle w:val="BodyText"/>
              <w:keepNext/>
              <w:jc w:val="center"/>
              <w:rPr>
                <w:rFonts w:ascii="Arial Narrow" w:hAnsi="Arial Narrow"/>
                <w:sz w:val="20"/>
              </w:rPr>
            </w:pPr>
            <w:r w:rsidRPr="003B695B">
              <w:rPr>
                <w:rFonts w:ascii="Arial Narrow" w:hAnsi="Arial Narrow"/>
                <w:sz w:val="20"/>
              </w:rPr>
              <w:t>286 (91.4</w:t>
            </w:r>
            <w:r>
              <w:rPr>
                <w:rFonts w:ascii="Arial Narrow" w:hAnsi="Arial Narrow"/>
                <w:sz w:val="20"/>
              </w:rPr>
              <w:t>%</w:t>
            </w:r>
            <w:r w:rsidRPr="003B695B">
              <w:rPr>
                <w:rFonts w:ascii="Arial Narrow" w:hAnsi="Arial Narrow"/>
                <w:sz w:val="20"/>
              </w:rPr>
              <w:t>)</w:t>
            </w:r>
          </w:p>
        </w:tc>
        <w:tc>
          <w:tcPr>
            <w:tcW w:w="702" w:type="pct"/>
            <w:vAlign w:val="center"/>
          </w:tcPr>
          <w:p w:rsidR="0007346F" w:rsidRPr="003B695B" w:rsidRDefault="0007346F" w:rsidP="00A3739F">
            <w:pPr>
              <w:pStyle w:val="BodyText"/>
              <w:keepNext/>
              <w:jc w:val="center"/>
              <w:rPr>
                <w:rFonts w:ascii="Arial Narrow" w:hAnsi="Arial Narrow"/>
                <w:sz w:val="20"/>
              </w:rPr>
            </w:pPr>
            <w:r w:rsidRPr="003B695B">
              <w:rPr>
                <w:rFonts w:ascii="Arial Narrow" w:hAnsi="Arial Narrow"/>
                <w:sz w:val="20"/>
              </w:rPr>
              <w:t>309 (90.1</w:t>
            </w:r>
            <w:r>
              <w:rPr>
                <w:rFonts w:ascii="Arial Narrow" w:hAnsi="Arial Narrow"/>
                <w:sz w:val="20"/>
              </w:rPr>
              <w:t>%</w:t>
            </w:r>
            <w:r w:rsidRPr="003B695B">
              <w:rPr>
                <w:rFonts w:ascii="Arial Narrow" w:hAnsi="Arial Narrow"/>
                <w:sz w:val="20"/>
              </w:rPr>
              <w:t>)</w:t>
            </w:r>
          </w:p>
        </w:tc>
        <w:tc>
          <w:tcPr>
            <w:tcW w:w="702" w:type="pct"/>
            <w:vAlign w:val="center"/>
          </w:tcPr>
          <w:p w:rsidR="0007346F" w:rsidRPr="003B695B" w:rsidRDefault="0007346F" w:rsidP="00A3739F">
            <w:pPr>
              <w:pStyle w:val="BodyText"/>
              <w:keepNext/>
              <w:jc w:val="center"/>
              <w:rPr>
                <w:rFonts w:ascii="Arial Narrow" w:hAnsi="Arial Narrow"/>
                <w:sz w:val="20"/>
              </w:rPr>
            </w:pPr>
            <w:r w:rsidRPr="003B695B">
              <w:rPr>
                <w:rFonts w:ascii="Arial Narrow" w:hAnsi="Arial Narrow"/>
                <w:sz w:val="20"/>
              </w:rPr>
              <w:t>205 (84.7</w:t>
            </w:r>
            <w:r>
              <w:rPr>
                <w:rFonts w:ascii="Arial Narrow" w:hAnsi="Arial Narrow"/>
                <w:sz w:val="20"/>
              </w:rPr>
              <w:t>%</w:t>
            </w:r>
            <w:r w:rsidRPr="003B695B">
              <w:rPr>
                <w:rFonts w:ascii="Arial Narrow" w:hAnsi="Arial Narrow"/>
                <w:sz w:val="20"/>
              </w:rPr>
              <w:t>)</w:t>
            </w:r>
          </w:p>
        </w:tc>
        <w:tc>
          <w:tcPr>
            <w:tcW w:w="702" w:type="pct"/>
            <w:vAlign w:val="center"/>
          </w:tcPr>
          <w:p w:rsidR="0007346F" w:rsidRPr="003B695B" w:rsidRDefault="0007346F" w:rsidP="00A3739F">
            <w:pPr>
              <w:pStyle w:val="BodyText"/>
              <w:keepNext/>
              <w:jc w:val="center"/>
              <w:rPr>
                <w:rFonts w:ascii="Arial Narrow" w:hAnsi="Arial Narrow"/>
                <w:sz w:val="20"/>
              </w:rPr>
            </w:pPr>
            <w:r w:rsidRPr="003B695B">
              <w:rPr>
                <w:rFonts w:ascii="Arial Narrow" w:hAnsi="Arial Narrow"/>
                <w:sz w:val="20"/>
              </w:rPr>
              <w:t>224 (76.2</w:t>
            </w:r>
            <w:r>
              <w:rPr>
                <w:rFonts w:ascii="Arial Narrow" w:hAnsi="Arial Narrow"/>
                <w:sz w:val="20"/>
              </w:rPr>
              <w:t>%</w:t>
            </w:r>
            <w:r w:rsidRPr="003B695B">
              <w:rPr>
                <w:rFonts w:ascii="Arial Narrow" w:hAnsi="Arial Narrow"/>
                <w:sz w:val="20"/>
              </w:rPr>
              <w:t>)</w:t>
            </w:r>
          </w:p>
        </w:tc>
        <w:tc>
          <w:tcPr>
            <w:tcW w:w="643" w:type="pct"/>
            <w:vAlign w:val="center"/>
          </w:tcPr>
          <w:p w:rsidR="0007346F" w:rsidRPr="003B695B" w:rsidRDefault="0007346F" w:rsidP="002340B8">
            <w:pPr>
              <w:pStyle w:val="BodyText"/>
              <w:keepNext/>
              <w:jc w:val="center"/>
              <w:rPr>
                <w:rFonts w:ascii="Arial Narrow" w:hAnsi="Arial Narrow"/>
                <w:sz w:val="20"/>
              </w:rPr>
            </w:pPr>
            <w:r>
              <w:rPr>
                <w:rFonts w:ascii="Arial Narrow" w:hAnsi="Arial Narrow"/>
                <w:sz w:val="20"/>
              </w:rPr>
              <w:t>NR</w:t>
            </w:r>
          </w:p>
        </w:tc>
      </w:tr>
      <w:tr w:rsidR="0007346F" w:rsidRPr="003B695B" w:rsidTr="0007346F">
        <w:tc>
          <w:tcPr>
            <w:tcW w:w="1150" w:type="pct"/>
            <w:vAlign w:val="center"/>
          </w:tcPr>
          <w:p w:rsidR="0007346F" w:rsidRPr="003B695B" w:rsidRDefault="0007346F" w:rsidP="00A3739F">
            <w:pPr>
              <w:pStyle w:val="BodyText"/>
              <w:keepNext/>
              <w:rPr>
                <w:rFonts w:ascii="Arial Narrow" w:hAnsi="Arial Narrow"/>
                <w:sz w:val="20"/>
                <w:vertAlign w:val="superscript"/>
              </w:rPr>
            </w:pPr>
            <w:r>
              <w:rPr>
                <w:rFonts w:ascii="Arial Narrow" w:hAnsi="Arial Narrow"/>
                <w:sz w:val="20"/>
              </w:rPr>
              <w:t>Treatment r</w:t>
            </w:r>
            <w:r w:rsidRPr="003B695B">
              <w:rPr>
                <w:rFonts w:ascii="Arial Narrow" w:hAnsi="Arial Narrow"/>
                <w:sz w:val="20"/>
              </w:rPr>
              <w:t>elated AE</w:t>
            </w:r>
            <w:r w:rsidR="00A3739F">
              <w:rPr>
                <w:rFonts w:ascii="Arial Narrow" w:hAnsi="Arial Narrow"/>
                <w:sz w:val="20"/>
              </w:rPr>
              <w:t xml:space="preserve"> </w:t>
            </w:r>
            <w:r w:rsidR="00A3739F">
              <w:rPr>
                <w:rFonts w:ascii="Arial Narrow" w:hAnsi="Arial Narrow"/>
                <w:sz w:val="20"/>
                <w:vertAlign w:val="superscript"/>
              </w:rPr>
              <w:t>b</w:t>
            </w:r>
            <w:r>
              <w:rPr>
                <w:rFonts w:ascii="Arial Narrow" w:hAnsi="Arial Narrow"/>
                <w:sz w:val="20"/>
              </w:rPr>
              <w:t xml:space="preserve"> </w:t>
            </w:r>
          </w:p>
        </w:tc>
        <w:tc>
          <w:tcPr>
            <w:tcW w:w="1101" w:type="pct"/>
            <w:vAlign w:val="center"/>
          </w:tcPr>
          <w:p w:rsidR="0007346F" w:rsidRPr="003B695B" w:rsidRDefault="0007346F" w:rsidP="00A3739F">
            <w:pPr>
              <w:pStyle w:val="BodyText"/>
              <w:keepNext/>
              <w:jc w:val="center"/>
              <w:rPr>
                <w:rFonts w:ascii="Arial Narrow" w:hAnsi="Arial Narrow"/>
                <w:sz w:val="20"/>
              </w:rPr>
            </w:pPr>
            <w:r w:rsidRPr="003B695B">
              <w:rPr>
                <w:rFonts w:ascii="Arial Narrow" w:hAnsi="Arial Narrow"/>
                <w:sz w:val="20"/>
              </w:rPr>
              <w:t>128 (40.9</w:t>
            </w:r>
            <w:r>
              <w:rPr>
                <w:rFonts w:ascii="Arial Narrow" w:hAnsi="Arial Narrow"/>
                <w:sz w:val="20"/>
              </w:rPr>
              <w:t>%</w:t>
            </w:r>
            <w:r w:rsidRPr="003B695B">
              <w:rPr>
                <w:rFonts w:ascii="Arial Narrow" w:hAnsi="Arial Narrow"/>
                <w:sz w:val="20"/>
              </w:rPr>
              <w:t>)</w:t>
            </w:r>
          </w:p>
        </w:tc>
        <w:tc>
          <w:tcPr>
            <w:tcW w:w="702" w:type="pct"/>
            <w:vAlign w:val="center"/>
          </w:tcPr>
          <w:p w:rsidR="0007346F" w:rsidRPr="003B695B" w:rsidRDefault="0007346F" w:rsidP="00A3739F">
            <w:pPr>
              <w:pStyle w:val="BodyText"/>
              <w:keepNext/>
              <w:jc w:val="center"/>
              <w:rPr>
                <w:rFonts w:ascii="Arial Narrow" w:hAnsi="Arial Narrow"/>
                <w:sz w:val="20"/>
              </w:rPr>
            </w:pPr>
            <w:r w:rsidRPr="003B695B">
              <w:rPr>
                <w:rFonts w:ascii="Arial Narrow" w:hAnsi="Arial Narrow"/>
                <w:sz w:val="20"/>
              </w:rPr>
              <w:t>172 (50.1</w:t>
            </w:r>
            <w:r>
              <w:rPr>
                <w:rFonts w:ascii="Arial Narrow" w:hAnsi="Arial Narrow"/>
                <w:sz w:val="20"/>
              </w:rPr>
              <w:t>%</w:t>
            </w:r>
            <w:r w:rsidRPr="003B695B">
              <w:rPr>
                <w:rFonts w:ascii="Arial Narrow" w:hAnsi="Arial Narrow"/>
                <w:sz w:val="20"/>
              </w:rPr>
              <w:t>)</w:t>
            </w:r>
          </w:p>
        </w:tc>
        <w:tc>
          <w:tcPr>
            <w:tcW w:w="702" w:type="pct"/>
            <w:vAlign w:val="center"/>
          </w:tcPr>
          <w:p w:rsidR="0007346F" w:rsidRPr="003B695B" w:rsidRDefault="0007346F" w:rsidP="002340B8">
            <w:pPr>
              <w:pStyle w:val="BodyText"/>
              <w:keepNext/>
              <w:jc w:val="center"/>
              <w:rPr>
                <w:rFonts w:ascii="Arial Narrow" w:hAnsi="Arial Narrow"/>
                <w:sz w:val="20"/>
              </w:rPr>
            </w:pPr>
            <w:r>
              <w:rPr>
                <w:rFonts w:ascii="Arial Narrow" w:hAnsi="Arial Narrow"/>
                <w:sz w:val="20"/>
              </w:rPr>
              <w:t>NR</w:t>
            </w:r>
          </w:p>
        </w:tc>
        <w:tc>
          <w:tcPr>
            <w:tcW w:w="702" w:type="pct"/>
            <w:vAlign w:val="center"/>
          </w:tcPr>
          <w:p w:rsidR="0007346F" w:rsidRPr="003B695B" w:rsidRDefault="0007346F" w:rsidP="00A3739F">
            <w:pPr>
              <w:pStyle w:val="BodyText"/>
              <w:keepNext/>
              <w:jc w:val="center"/>
              <w:rPr>
                <w:rFonts w:ascii="Arial Narrow" w:hAnsi="Arial Narrow"/>
                <w:sz w:val="20"/>
              </w:rPr>
            </w:pPr>
            <w:r w:rsidRPr="003B695B">
              <w:rPr>
                <w:rFonts w:ascii="Arial Narrow" w:hAnsi="Arial Narrow"/>
                <w:sz w:val="20"/>
              </w:rPr>
              <w:t>90 (30.6</w:t>
            </w:r>
            <w:r>
              <w:rPr>
                <w:rFonts w:ascii="Arial Narrow" w:hAnsi="Arial Narrow"/>
                <w:sz w:val="20"/>
              </w:rPr>
              <w:t>%</w:t>
            </w:r>
            <w:r w:rsidRPr="003B695B">
              <w:rPr>
                <w:rFonts w:ascii="Arial Narrow" w:hAnsi="Arial Narrow"/>
                <w:sz w:val="20"/>
              </w:rPr>
              <w:t>)</w:t>
            </w:r>
          </w:p>
        </w:tc>
        <w:tc>
          <w:tcPr>
            <w:tcW w:w="643" w:type="pct"/>
            <w:vAlign w:val="center"/>
          </w:tcPr>
          <w:p w:rsidR="0007346F" w:rsidRPr="003B695B" w:rsidRDefault="0007346F" w:rsidP="002340B8">
            <w:pPr>
              <w:pStyle w:val="BodyText"/>
              <w:keepNext/>
              <w:jc w:val="center"/>
              <w:rPr>
                <w:rFonts w:ascii="Arial Narrow" w:hAnsi="Arial Narrow"/>
                <w:sz w:val="20"/>
              </w:rPr>
            </w:pPr>
            <w:r>
              <w:rPr>
                <w:rFonts w:ascii="Arial Narrow" w:hAnsi="Arial Narrow"/>
                <w:sz w:val="20"/>
              </w:rPr>
              <w:t>NR</w:t>
            </w:r>
          </w:p>
        </w:tc>
      </w:tr>
      <w:tr w:rsidR="0007346F" w:rsidRPr="003B695B" w:rsidTr="0007346F">
        <w:tc>
          <w:tcPr>
            <w:tcW w:w="1150" w:type="pct"/>
            <w:vAlign w:val="center"/>
          </w:tcPr>
          <w:p w:rsidR="0007346F" w:rsidRPr="003B695B" w:rsidRDefault="0007346F" w:rsidP="00A3739F">
            <w:pPr>
              <w:pStyle w:val="BodyText"/>
              <w:keepNext/>
              <w:rPr>
                <w:rFonts w:ascii="Arial Narrow" w:hAnsi="Arial Narrow"/>
                <w:sz w:val="20"/>
              </w:rPr>
            </w:pPr>
            <w:r w:rsidRPr="003B695B">
              <w:rPr>
                <w:rFonts w:ascii="Arial Narrow" w:hAnsi="Arial Narrow"/>
                <w:sz w:val="20"/>
              </w:rPr>
              <w:t xml:space="preserve">Grade 3-4 </w:t>
            </w:r>
          </w:p>
        </w:tc>
        <w:tc>
          <w:tcPr>
            <w:tcW w:w="1101" w:type="pct"/>
            <w:vAlign w:val="center"/>
          </w:tcPr>
          <w:p w:rsidR="0007346F" w:rsidRPr="003B695B" w:rsidRDefault="0007346F" w:rsidP="00A3739F">
            <w:pPr>
              <w:pStyle w:val="BodyText"/>
              <w:keepNext/>
              <w:jc w:val="center"/>
              <w:rPr>
                <w:rFonts w:ascii="Arial Narrow" w:hAnsi="Arial Narrow"/>
                <w:sz w:val="20"/>
              </w:rPr>
            </w:pPr>
            <w:r w:rsidRPr="003B695B">
              <w:rPr>
                <w:rFonts w:ascii="Arial Narrow" w:hAnsi="Arial Narrow"/>
                <w:sz w:val="20"/>
              </w:rPr>
              <w:t>24 (7.7</w:t>
            </w:r>
            <w:r>
              <w:rPr>
                <w:rFonts w:ascii="Arial Narrow" w:hAnsi="Arial Narrow"/>
                <w:sz w:val="20"/>
              </w:rPr>
              <w:t>%</w:t>
            </w:r>
            <w:r w:rsidRPr="003B695B">
              <w:rPr>
                <w:rFonts w:ascii="Arial Narrow" w:hAnsi="Arial Narrow"/>
                <w:sz w:val="20"/>
              </w:rPr>
              <w:t>)</w:t>
            </w:r>
          </w:p>
        </w:tc>
        <w:tc>
          <w:tcPr>
            <w:tcW w:w="702" w:type="pct"/>
            <w:vAlign w:val="center"/>
          </w:tcPr>
          <w:p w:rsidR="0007346F" w:rsidRPr="003B695B" w:rsidRDefault="0007346F" w:rsidP="00A3739F">
            <w:pPr>
              <w:pStyle w:val="BodyText"/>
              <w:keepNext/>
              <w:jc w:val="center"/>
              <w:rPr>
                <w:rFonts w:ascii="Arial Narrow" w:hAnsi="Arial Narrow"/>
                <w:sz w:val="20"/>
              </w:rPr>
            </w:pPr>
            <w:r w:rsidRPr="003B695B">
              <w:rPr>
                <w:rFonts w:ascii="Arial Narrow" w:hAnsi="Arial Narrow"/>
                <w:sz w:val="20"/>
              </w:rPr>
              <w:t>64 (18.7</w:t>
            </w:r>
            <w:r>
              <w:rPr>
                <w:rFonts w:ascii="Arial Narrow" w:hAnsi="Arial Narrow"/>
                <w:sz w:val="20"/>
              </w:rPr>
              <w:t>%</w:t>
            </w:r>
            <w:r w:rsidRPr="003B695B">
              <w:rPr>
                <w:rFonts w:ascii="Arial Narrow" w:hAnsi="Arial Narrow"/>
                <w:sz w:val="20"/>
              </w:rPr>
              <w:t>)</w:t>
            </w:r>
          </w:p>
        </w:tc>
        <w:tc>
          <w:tcPr>
            <w:tcW w:w="702" w:type="pct"/>
            <w:vAlign w:val="center"/>
          </w:tcPr>
          <w:p w:rsidR="0007346F" w:rsidRPr="003B695B" w:rsidRDefault="0007346F" w:rsidP="002340B8">
            <w:pPr>
              <w:pStyle w:val="BodyText"/>
              <w:keepNext/>
              <w:jc w:val="center"/>
              <w:rPr>
                <w:rFonts w:ascii="Arial Narrow" w:hAnsi="Arial Narrow"/>
                <w:sz w:val="20"/>
              </w:rPr>
            </w:pPr>
            <w:r>
              <w:rPr>
                <w:rFonts w:ascii="Arial Narrow" w:hAnsi="Arial Narrow"/>
                <w:sz w:val="20"/>
              </w:rPr>
              <w:t>NR</w:t>
            </w:r>
          </w:p>
        </w:tc>
        <w:tc>
          <w:tcPr>
            <w:tcW w:w="702" w:type="pct"/>
            <w:vAlign w:val="center"/>
          </w:tcPr>
          <w:p w:rsidR="0007346F" w:rsidRPr="003B695B" w:rsidRDefault="0007346F" w:rsidP="00A3739F">
            <w:pPr>
              <w:pStyle w:val="BodyText"/>
              <w:keepNext/>
              <w:jc w:val="center"/>
              <w:rPr>
                <w:rFonts w:ascii="Arial Narrow" w:hAnsi="Arial Narrow"/>
                <w:sz w:val="20"/>
              </w:rPr>
            </w:pPr>
            <w:r w:rsidRPr="003B695B">
              <w:rPr>
                <w:rFonts w:ascii="Arial Narrow" w:hAnsi="Arial Narrow"/>
                <w:sz w:val="20"/>
              </w:rPr>
              <w:t>23 (7.8</w:t>
            </w:r>
            <w:r>
              <w:rPr>
                <w:rFonts w:ascii="Arial Narrow" w:hAnsi="Arial Narrow"/>
                <w:sz w:val="20"/>
              </w:rPr>
              <w:t>%</w:t>
            </w:r>
            <w:r w:rsidRPr="003B695B">
              <w:rPr>
                <w:rFonts w:ascii="Arial Narrow" w:hAnsi="Arial Narrow"/>
                <w:sz w:val="20"/>
              </w:rPr>
              <w:t>)</w:t>
            </w:r>
          </w:p>
        </w:tc>
        <w:tc>
          <w:tcPr>
            <w:tcW w:w="643" w:type="pct"/>
            <w:vAlign w:val="center"/>
          </w:tcPr>
          <w:p w:rsidR="0007346F" w:rsidRPr="003B695B" w:rsidRDefault="0007346F" w:rsidP="002340B8">
            <w:pPr>
              <w:pStyle w:val="BodyText"/>
              <w:keepNext/>
              <w:jc w:val="center"/>
              <w:rPr>
                <w:rFonts w:ascii="Arial Narrow" w:hAnsi="Arial Narrow"/>
                <w:sz w:val="20"/>
              </w:rPr>
            </w:pPr>
            <w:r>
              <w:rPr>
                <w:rFonts w:ascii="Arial Narrow" w:hAnsi="Arial Narrow"/>
                <w:sz w:val="20"/>
              </w:rPr>
              <w:t>NR</w:t>
            </w:r>
          </w:p>
        </w:tc>
      </w:tr>
      <w:tr w:rsidR="0007346F" w:rsidRPr="003B695B" w:rsidTr="0007346F">
        <w:tc>
          <w:tcPr>
            <w:tcW w:w="1150" w:type="pct"/>
            <w:vAlign w:val="center"/>
          </w:tcPr>
          <w:p w:rsidR="0007346F" w:rsidRPr="003B695B" w:rsidRDefault="0007346F" w:rsidP="00A3739F">
            <w:pPr>
              <w:pStyle w:val="BodyText"/>
              <w:keepNext/>
              <w:rPr>
                <w:rFonts w:ascii="Arial Narrow" w:hAnsi="Arial Narrow"/>
                <w:sz w:val="20"/>
              </w:rPr>
            </w:pPr>
            <w:r w:rsidRPr="003B695B">
              <w:rPr>
                <w:rFonts w:ascii="Arial Narrow" w:hAnsi="Arial Narrow"/>
                <w:sz w:val="20"/>
              </w:rPr>
              <w:t>SAE</w:t>
            </w:r>
            <w:r w:rsidR="00A05258">
              <w:rPr>
                <w:rFonts w:ascii="Arial Narrow" w:hAnsi="Arial Narrow"/>
                <w:sz w:val="20"/>
              </w:rPr>
              <w:t xml:space="preserve"> (any)</w:t>
            </w:r>
          </w:p>
        </w:tc>
        <w:tc>
          <w:tcPr>
            <w:tcW w:w="1101" w:type="pct"/>
            <w:vAlign w:val="center"/>
          </w:tcPr>
          <w:p w:rsidR="0007346F" w:rsidRPr="003B695B" w:rsidRDefault="0007346F" w:rsidP="00A3739F">
            <w:pPr>
              <w:pStyle w:val="BodyText"/>
              <w:keepNext/>
              <w:jc w:val="center"/>
              <w:rPr>
                <w:rFonts w:ascii="Arial Narrow" w:hAnsi="Arial Narrow"/>
                <w:sz w:val="20"/>
              </w:rPr>
            </w:pPr>
            <w:r w:rsidRPr="003B695B">
              <w:rPr>
                <w:rFonts w:ascii="Arial Narrow" w:hAnsi="Arial Narrow"/>
                <w:sz w:val="20"/>
              </w:rPr>
              <w:t>26 (8.3</w:t>
            </w:r>
            <w:r>
              <w:rPr>
                <w:rFonts w:ascii="Arial Narrow" w:hAnsi="Arial Narrow"/>
                <w:sz w:val="20"/>
              </w:rPr>
              <w:t>%</w:t>
            </w:r>
            <w:r w:rsidRPr="003B695B">
              <w:rPr>
                <w:rFonts w:ascii="Arial Narrow" w:hAnsi="Arial Narrow"/>
                <w:sz w:val="20"/>
              </w:rPr>
              <w:t>)</w:t>
            </w:r>
          </w:p>
        </w:tc>
        <w:tc>
          <w:tcPr>
            <w:tcW w:w="702" w:type="pct"/>
            <w:vAlign w:val="center"/>
          </w:tcPr>
          <w:p w:rsidR="0007346F" w:rsidRPr="003B695B" w:rsidRDefault="0007346F" w:rsidP="00A3739F">
            <w:pPr>
              <w:pStyle w:val="BodyText"/>
              <w:keepNext/>
              <w:jc w:val="center"/>
              <w:rPr>
                <w:rFonts w:ascii="Arial Narrow" w:hAnsi="Arial Narrow"/>
                <w:sz w:val="20"/>
              </w:rPr>
            </w:pPr>
            <w:r w:rsidRPr="003B695B">
              <w:rPr>
                <w:rFonts w:ascii="Arial Narrow" w:hAnsi="Arial Narrow"/>
                <w:sz w:val="20"/>
              </w:rPr>
              <w:t>25 (7.3</w:t>
            </w:r>
            <w:r>
              <w:rPr>
                <w:rFonts w:ascii="Arial Narrow" w:hAnsi="Arial Narrow"/>
                <w:sz w:val="20"/>
              </w:rPr>
              <w:t>%</w:t>
            </w:r>
            <w:r w:rsidRPr="003B695B">
              <w:rPr>
                <w:rFonts w:ascii="Arial Narrow" w:hAnsi="Arial Narrow"/>
                <w:sz w:val="20"/>
              </w:rPr>
              <w:t>)</w:t>
            </w:r>
          </w:p>
        </w:tc>
        <w:tc>
          <w:tcPr>
            <w:tcW w:w="702" w:type="pct"/>
            <w:vAlign w:val="center"/>
          </w:tcPr>
          <w:p w:rsidR="0007346F" w:rsidRPr="003B695B" w:rsidRDefault="0007346F" w:rsidP="00A3739F">
            <w:pPr>
              <w:pStyle w:val="BodyText"/>
              <w:keepNext/>
              <w:jc w:val="center"/>
              <w:rPr>
                <w:rFonts w:ascii="Arial Narrow" w:hAnsi="Arial Narrow"/>
                <w:sz w:val="20"/>
              </w:rPr>
            </w:pPr>
            <w:r w:rsidRPr="003B695B">
              <w:rPr>
                <w:rFonts w:ascii="Arial Narrow" w:hAnsi="Arial Narrow"/>
                <w:sz w:val="20"/>
              </w:rPr>
              <w:t>13 (5.4</w:t>
            </w:r>
            <w:r>
              <w:rPr>
                <w:rFonts w:ascii="Arial Narrow" w:hAnsi="Arial Narrow"/>
                <w:sz w:val="20"/>
              </w:rPr>
              <w:t>%</w:t>
            </w:r>
            <w:r w:rsidRPr="003B695B">
              <w:rPr>
                <w:rFonts w:ascii="Arial Narrow" w:hAnsi="Arial Narrow"/>
                <w:sz w:val="20"/>
              </w:rPr>
              <w:t>)</w:t>
            </w:r>
          </w:p>
        </w:tc>
        <w:tc>
          <w:tcPr>
            <w:tcW w:w="702" w:type="pct"/>
            <w:vAlign w:val="center"/>
          </w:tcPr>
          <w:p w:rsidR="0007346F" w:rsidRPr="003B695B" w:rsidRDefault="0007346F" w:rsidP="00A3739F">
            <w:pPr>
              <w:pStyle w:val="BodyText"/>
              <w:keepNext/>
              <w:jc w:val="center"/>
              <w:rPr>
                <w:rFonts w:ascii="Arial Narrow" w:hAnsi="Arial Narrow"/>
                <w:sz w:val="20"/>
              </w:rPr>
            </w:pPr>
            <w:r w:rsidRPr="003B695B">
              <w:rPr>
                <w:rFonts w:ascii="Arial Narrow" w:hAnsi="Arial Narrow"/>
                <w:sz w:val="20"/>
              </w:rPr>
              <w:t>16 (5.4</w:t>
            </w:r>
            <w:r>
              <w:rPr>
                <w:rFonts w:ascii="Arial Narrow" w:hAnsi="Arial Narrow"/>
                <w:sz w:val="20"/>
              </w:rPr>
              <w:t>%</w:t>
            </w:r>
            <w:r w:rsidRPr="003B695B">
              <w:rPr>
                <w:rFonts w:ascii="Arial Narrow" w:hAnsi="Arial Narrow"/>
                <w:sz w:val="20"/>
              </w:rPr>
              <w:t>)</w:t>
            </w:r>
          </w:p>
        </w:tc>
        <w:tc>
          <w:tcPr>
            <w:tcW w:w="643" w:type="pct"/>
            <w:vAlign w:val="center"/>
          </w:tcPr>
          <w:p w:rsidR="0007346F" w:rsidRPr="003B695B" w:rsidRDefault="0007346F" w:rsidP="00A3739F">
            <w:pPr>
              <w:pStyle w:val="BodyText"/>
              <w:keepNext/>
              <w:jc w:val="center"/>
              <w:rPr>
                <w:rFonts w:ascii="Arial Narrow" w:hAnsi="Arial Narrow"/>
                <w:sz w:val="20"/>
              </w:rPr>
            </w:pPr>
            <w:r w:rsidRPr="003B695B">
              <w:rPr>
                <w:rFonts w:ascii="Arial Narrow" w:hAnsi="Arial Narrow"/>
                <w:sz w:val="20"/>
              </w:rPr>
              <w:t>19 (12.3</w:t>
            </w:r>
            <w:r>
              <w:rPr>
                <w:rFonts w:ascii="Arial Narrow" w:hAnsi="Arial Narrow"/>
                <w:sz w:val="20"/>
              </w:rPr>
              <w:t>%</w:t>
            </w:r>
            <w:r w:rsidRPr="003B695B">
              <w:rPr>
                <w:rFonts w:ascii="Arial Narrow" w:hAnsi="Arial Narrow"/>
                <w:sz w:val="20"/>
              </w:rPr>
              <w:t>)</w:t>
            </w:r>
          </w:p>
        </w:tc>
      </w:tr>
      <w:tr w:rsidR="0007346F" w:rsidRPr="003B695B" w:rsidTr="0007346F">
        <w:tc>
          <w:tcPr>
            <w:tcW w:w="1150" w:type="pct"/>
            <w:vAlign w:val="center"/>
          </w:tcPr>
          <w:p w:rsidR="0007346F" w:rsidRPr="003B695B" w:rsidRDefault="0007346F" w:rsidP="00A3739F">
            <w:pPr>
              <w:pStyle w:val="BodyText"/>
              <w:keepNext/>
              <w:rPr>
                <w:rFonts w:ascii="Arial Narrow" w:hAnsi="Arial Narrow"/>
                <w:sz w:val="20"/>
              </w:rPr>
            </w:pPr>
            <w:r w:rsidRPr="003B695B">
              <w:rPr>
                <w:rFonts w:ascii="Arial Narrow" w:hAnsi="Arial Narrow"/>
                <w:sz w:val="20"/>
              </w:rPr>
              <w:t>Death</w:t>
            </w:r>
            <w:r w:rsidR="00192379">
              <w:rPr>
                <w:rFonts w:ascii="Arial Narrow" w:hAnsi="Arial Narrow"/>
                <w:sz w:val="20"/>
              </w:rPr>
              <w:t xml:space="preserve"> (TE)</w:t>
            </w:r>
          </w:p>
        </w:tc>
        <w:tc>
          <w:tcPr>
            <w:tcW w:w="1101" w:type="pct"/>
            <w:vAlign w:val="center"/>
          </w:tcPr>
          <w:p w:rsidR="0007346F" w:rsidRPr="003B695B" w:rsidRDefault="0007346F" w:rsidP="00A3739F">
            <w:pPr>
              <w:pStyle w:val="BodyText"/>
              <w:keepNext/>
              <w:jc w:val="center"/>
              <w:rPr>
                <w:rFonts w:ascii="Arial Narrow" w:hAnsi="Arial Narrow"/>
                <w:sz w:val="20"/>
              </w:rPr>
            </w:pPr>
            <w:r>
              <w:rPr>
                <w:rFonts w:ascii="Arial Narrow" w:hAnsi="Arial Narrow"/>
                <w:sz w:val="20"/>
              </w:rPr>
              <w:t xml:space="preserve">0 </w:t>
            </w:r>
          </w:p>
        </w:tc>
        <w:tc>
          <w:tcPr>
            <w:tcW w:w="702" w:type="pct"/>
            <w:vAlign w:val="center"/>
          </w:tcPr>
          <w:p w:rsidR="0007346F" w:rsidRPr="003B695B" w:rsidRDefault="0007346F" w:rsidP="00A3739F">
            <w:pPr>
              <w:pStyle w:val="BodyText"/>
              <w:keepNext/>
              <w:jc w:val="center"/>
              <w:rPr>
                <w:rFonts w:ascii="Arial Narrow" w:hAnsi="Arial Narrow"/>
                <w:sz w:val="20"/>
              </w:rPr>
            </w:pPr>
            <w:r w:rsidRPr="003B695B">
              <w:rPr>
                <w:rFonts w:ascii="Arial Narrow" w:hAnsi="Arial Narrow"/>
                <w:sz w:val="20"/>
              </w:rPr>
              <w:t>1 (0.3</w:t>
            </w:r>
            <w:r>
              <w:rPr>
                <w:rFonts w:ascii="Arial Narrow" w:hAnsi="Arial Narrow"/>
                <w:sz w:val="20"/>
              </w:rPr>
              <w:t>%</w:t>
            </w:r>
            <w:r w:rsidRPr="003B695B">
              <w:rPr>
                <w:rFonts w:ascii="Arial Narrow" w:hAnsi="Arial Narrow"/>
                <w:sz w:val="20"/>
              </w:rPr>
              <w:t>)</w:t>
            </w:r>
          </w:p>
        </w:tc>
        <w:tc>
          <w:tcPr>
            <w:tcW w:w="702" w:type="pct"/>
            <w:vAlign w:val="center"/>
          </w:tcPr>
          <w:p w:rsidR="0007346F" w:rsidRPr="003B695B" w:rsidRDefault="0007346F" w:rsidP="00A3739F">
            <w:pPr>
              <w:pStyle w:val="BodyText"/>
              <w:keepNext/>
              <w:jc w:val="center"/>
              <w:rPr>
                <w:rFonts w:ascii="Arial Narrow" w:hAnsi="Arial Narrow"/>
                <w:sz w:val="20"/>
              </w:rPr>
            </w:pPr>
            <w:r>
              <w:rPr>
                <w:rFonts w:ascii="Arial Narrow" w:hAnsi="Arial Narrow"/>
                <w:sz w:val="20"/>
              </w:rPr>
              <w:t xml:space="preserve">0 </w:t>
            </w:r>
          </w:p>
        </w:tc>
        <w:tc>
          <w:tcPr>
            <w:tcW w:w="702" w:type="pct"/>
            <w:vAlign w:val="center"/>
          </w:tcPr>
          <w:p w:rsidR="0007346F" w:rsidRPr="003B695B" w:rsidRDefault="0007346F" w:rsidP="00A3739F">
            <w:pPr>
              <w:pStyle w:val="BodyText"/>
              <w:keepNext/>
              <w:jc w:val="center"/>
              <w:rPr>
                <w:rFonts w:ascii="Arial Narrow" w:hAnsi="Arial Narrow"/>
                <w:sz w:val="20"/>
              </w:rPr>
            </w:pPr>
            <w:r w:rsidRPr="003B695B">
              <w:rPr>
                <w:rFonts w:ascii="Arial Narrow" w:hAnsi="Arial Narrow"/>
                <w:sz w:val="20"/>
              </w:rPr>
              <w:t>2 (0.7</w:t>
            </w:r>
            <w:r>
              <w:rPr>
                <w:rFonts w:ascii="Arial Narrow" w:hAnsi="Arial Narrow"/>
                <w:sz w:val="20"/>
              </w:rPr>
              <w:t>%</w:t>
            </w:r>
            <w:r w:rsidRPr="003B695B">
              <w:rPr>
                <w:rFonts w:ascii="Arial Narrow" w:hAnsi="Arial Narrow"/>
                <w:sz w:val="20"/>
              </w:rPr>
              <w:t>)</w:t>
            </w:r>
          </w:p>
        </w:tc>
        <w:tc>
          <w:tcPr>
            <w:tcW w:w="643" w:type="pct"/>
            <w:vAlign w:val="center"/>
          </w:tcPr>
          <w:p w:rsidR="0007346F" w:rsidRPr="003B695B" w:rsidRDefault="0007346F" w:rsidP="00A3739F">
            <w:pPr>
              <w:pStyle w:val="BodyText"/>
              <w:keepNext/>
              <w:jc w:val="center"/>
              <w:rPr>
                <w:rFonts w:ascii="Arial Narrow" w:hAnsi="Arial Narrow"/>
                <w:sz w:val="20"/>
              </w:rPr>
            </w:pPr>
            <w:r w:rsidRPr="003B695B">
              <w:rPr>
                <w:rFonts w:ascii="Arial Narrow" w:hAnsi="Arial Narrow"/>
                <w:sz w:val="20"/>
              </w:rPr>
              <w:t>3 (1.9</w:t>
            </w:r>
            <w:r>
              <w:rPr>
                <w:rFonts w:ascii="Arial Narrow" w:hAnsi="Arial Narrow"/>
                <w:sz w:val="20"/>
              </w:rPr>
              <w:t>%</w:t>
            </w:r>
            <w:r w:rsidRPr="003B695B">
              <w:rPr>
                <w:rFonts w:ascii="Arial Narrow" w:hAnsi="Arial Narrow"/>
                <w:sz w:val="20"/>
              </w:rPr>
              <w:t>)</w:t>
            </w:r>
          </w:p>
        </w:tc>
      </w:tr>
      <w:tr w:rsidR="0007346F" w:rsidRPr="003B695B" w:rsidTr="0007346F">
        <w:tc>
          <w:tcPr>
            <w:tcW w:w="1150" w:type="pct"/>
            <w:vAlign w:val="center"/>
          </w:tcPr>
          <w:p w:rsidR="0007346F" w:rsidRPr="003B695B" w:rsidRDefault="0007346F" w:rsidP="00A3739F">
            <w:pPr>
              <w:pStyle w:val="BodyText"/>
              <w:keepNext/>
              <w:rPr>
                <w:rFonts w:ascii="Arial Narrow" w:hAnsi="Arial Narrow"/>
                <w:sz w:val="20"/>
              </w:rPr>
            </w:pPr>
            <w:r>
              <w:rPr>
                <w:rFonts w:ascii="Arial Narrow" w:hAnsi="Arial Narrow"/>
                <w:sz w:val="20"/>
              </w:rPr>
              <w:t xml:space="preserve">AE; </w:t>
            </w:r>
            <w:r w:rsidRPr="003B695B">
              <w:rPr>
                <w:rFonts w:ascii="Arial Narrow" w:hAnsi="Arial Narrow"/>
                <w:sz w:val="20"/>
              </w:rPr>
              <w:t>d</w:t>
            </w:r>
            <w:r>
              <w:rPr>
                <w:rFonts w:ascii="Arial Narrow" w:hAnsi="Arial Narrow"/>
                <w:sz w:val="20"/>
              </w:rPr>
              <w:t>iscontinued</w:t>
            </w:r>
          </w:p>
        </w:tc>
        <w:tc>
          <w:tcPr>
            <w:tcW w:w="1101" w:type="pct"/>
            <w:vAlign w:val="center"/>
          </w:tcPr>
          <w:p w:rsidR="0007346F" w:rsidRPr="003B695B" w:rsidRDefault="0007346F" w:rsidP="00A3739F">
            <w:pPr>
              <w:pStyle w:val="BodyText"/>
              <w:keepNext/>
              <w:jc w:val="center"/>
              <w:rPr>
                <w:rFonts w:ascii="Arial Narrow" w:hAnsi="Arial Narrow"/>
                <w:sz w:val="20"/>
              </w:rPr>
            </w:pPr>
            <w:r w:rsidRPr="003B695B">
              <w:rPr>
                <w:rFonts w:ascii="Arial Narrow" w:hAnsi="Arial Narrow"/>
                <w:sz w:val="20"/>
              </w:rPr>
              <w:t>16 (5.1</w:t>
            </w:r>
            <w:r>
              <w:rPr>
                <w:rFonts w:ascii="Arial Narrow" w:hAnsi="Arial Narrow"/>
                <w:sz w:val="20"/>
              </w:rPr>
              <w:t>%</w:t>
            </w:r>
            <w:r w:rsidRPr="003B695B">
              <w:rPr>
                <w:rFonts w:ascii="Arial Narrow" w:hAnsi="Arial Narrow"/>
                <w:sz w:val="20"/>
              </w:rPr>
              <w:t>)</w:t>
            </w:r>
          </w:p>
        </w:tc>
        <w:tc>
          <w:tcPr>
            <w:tcW w:w="702" w:type="pct"/>
            <w:vAlign w:val="center"/>
          </w:tcPr>
          <w:p w:rsidR="0007346F" w:rsidRPr="003B695B" w:rsidRDefault="0007346F" w:rsidP="00A3739F">
            <w:pPr>
              <w:pStyle w:val="BodyText"/>
              <w:keepNext/>
              <w:jc w:val="center"/>
              <w:rPr>
                <w:rFonts w:ascii="Arial Narrow" w:hAnsi="Arial Narrow"/>
                <w:sz w:val="20"/>
              </w:rPr>
            </w:pPr>
            <w:r w:rsidRPr="003B695B">
              <w:rPr>
                <w:rFonts w:ascii="Arial Narrow" w:hAnsi="Arial Narrow"/>
                <w:sz w:val="20"/>
              </w:rPr>
              <w:t>17 (5.0</w:t>
            </w:r>
            <w:r>
              <w:rPr>
                <w:rFonts w:ascii="Arial Narrow" w:hAnsi="Arial Narrow"/>
                <w:sz w:val="20"/>
              </w:rPr>
              <w:t>%</w:t>
            </w:r>
            <w:r w:rsidRPr="003B695B">
              <w:rPr>
                <w:rFonts w:ascii="Arial Narrow" w:hAnsi="Arial Narrow"/>
                <w:sz w:val="20"/>
              </w:rPr>
              <w:t>)</w:t>
            </w:r>
          </w:p>
        </w:tc>
        <w:tc>
          <w:tcPr>
            <w:tcW w:w="702" w:type="pct"/>
            <w:vAlign w:val="center"/>
          </w:tcPr>
          <w:p w:rsidR="0007346F" w:rsidRPr="003B695B" w:rsidRDefault="0007346F" w:rsidP="00A3739F">
            <w:pPr>
              <w:pStyle w:val="BodyText"/>
              <w:keepNext/>
              <w:jc w:val="center"/>
              <w:rPr>
                <w:rFonts w:ascii="Arial Narrow" w:hAnsi="Arial Narrow"/>
                <w:sz w:val="20"/>
                <w:vertAlign w:val="superscript"/>
              </w:rPr>
            </w:pPr>
            <w:r w:rsidRPr="003B695B">
              <w:rPr>
                <w:rFonts w:ascii="Arial Narrow" w:hAnsi="Arial Narrow"/>
                <w:sz w:val="20"/>
              </w:rPr>
              <w:t>10 (4</w:t>
            </w:r>
            <w:r>
              <w:rPr>
                <w:rFonts w:ascii="Arial Narrow" w:hAnsi="Arial Narrow"/>
                <w:sz w:val="20"/>
              </w:rPr>
              <w:t>%</w:t>
            </w:r>
            <w:r w:rsidRPr="003B695B">
              <w:rPr>
                <w:rFonts w:ascii="Arial Narrow" w:hAnsi="Arial Narrow"/>
                <w:sz w:val="20"/>
              </w:rPr>
              <w:t>)</w:t>
            </w:r>
          </w:p>
        </w:tc>
        <w:tc>
          <w:tcPr>
            <w:tcW w:w="702" w:type="pct"/>
            <w:vAlign w:val="center"/>
          </w:tcPr>
          <w:p w:rsidR="0007346F" w:rsidRPr="003B695B" w:rsidRDefault="0007346F" w:rsidP="00A3739F">
            <w:pPr>
              <w:pStyle w:val="BodyText"/>
              <w:keepNext/>
              <w:jc w:val="center"/>
              <w:rPr>
                <w:rFonts w:ascii="Arial Narrow" w:hAnsi="Arial Narrow"/>
                <w:sz w:val="20"/>
              </w:rPr>
            </w:pPr>
            <w:r w:rsidRPr="003B695B">
              <w:rPr>
                <w:rFonts w:ascii="Arial Narrow" w:hAnsi="Arial Narrow"/>
                <w:sz w:val="20"/>
              </w:rPr>
              <w:t>10 (3.4</w:t>
            </w:r>
            <w:r>
              <w:rPr>
                <w:rFonts w:ascii="Arial Narrow" w:hAnsi="Arial Narrow"/>
                <w:sz w:val="20"/>
              </w:rPr>
              <w:t>%</w:t>
            </w:r>
            <w:r w:rsidRPr="003B695B">
              <w:rPr>
                <w:rFonts w:ascii="Arial Narrow" w:hAnsi="Arial Narrow"/>
                <w:sz w:val="20"/>
              </w:rPr>
              <w:t>)</w:t>
            </w:r>
          </w:p>
        </w:tc>
        <w:tc>
          <w:tcPr>
            <w:tcW w:w="643" w:type="pct"/>
            <w:vAlign w:val="center"/>
          </w:tcPr>
          <w:p w:rsidR="0007346F" w:rsidRPr="003B695B" w:rsidRDefault="0007346F" w:rsidP="002340B8">
            <w:pPr>
              <w:pStyle w:val="BodyText"/>
              <w:keepNext/>
              <w:jc w:val="center"/>
              <w:rPr>
                <w:rFonts w:ascii="Arial Narrow" w:hAnsi="Arial Narrow"/>
                <w:sz w:val="20"/>
              </w:rPr>
            </w:pPr>
            <w:r>
              <w:rPr>
                <w:rFonts w:ascii="Arial Narrow" w:hAnsi="Arial Narrow"/>
                <w:sz w:val="20"/>
              </w:rPr>
              <w:t>NR</w:t>
            </w:r>
          </w:p>
        </w:tc>
      </w:tr>
      <w:tr w:rsidR="0007346F" w:rsidRPr="003B695B" w:rsidTr="0007346F">
        <w:tc>
          <w:tcPr>
            <w:tcW w:w="1150" w:type="pct"/>
            <w:vAlign w:val="center"/>
          </w:tcPr>
          <w:p w:rsidR="0007346F" w:rsidRPr="00C50423" w:rsidRDefault="0007346F" w:rsidP="00A3739F">
            <w:pPr>
              <w:pStyle w:val="BodyText"/>
              <w:keepNext/>
              <w:rPr>
                <w:rFonts w:ascii="Arial Narrow" w:hAnsi="Arial Narrow"/>
                <w:sz w:val="20"/>
                <w:vertAlign w:val="superscript"/>
              </w:rPr>
            </w:pPr>
            <w:r w:rsidRPr="003B695B">
              <w:rPr>
                <w:rFonts w:ascii="Arial Narrow" w:hAnsi="Arial Narrow"/>
                <w:sz w:val="20"/>
              </w:rPr>
              <w:t>AIDS</w:t>
            </w:r>
            <w:r>
              <w:rPr>
                <w:rFonts w:ascii="Arial Narrow" w:hAnsi="Arial Narrow"/>
                <w:sz w:val="20"/>
              </w:rPr>
              <w:t xml:space="preserve"> defining illness </w:t>
            </w:r>
          </w:p>
        </w:tc>
        <w:tc>
          <w:tcPr>
            <w:tcW w:w="1101" w:type="pct"/>
            <w:vAlign w:val="center"/>
          </w:tcPr>
          <w:p w:rsidR="0007346F" w:rsidRPr="003B695B" w:rsidRDefault="0007346F" w:rsidP="00A3739F">
            <w:pPr>
              <w:pStyle w:val="BodyText"/>
              <w:keepNext/>
              <w:jc w:val="center"/>
              <w:rPr>
                <w:rFonts w:ascii="Arial Narrow" w:hAnsi="Arial Narrow"/>
                <w:sz w:val="20"/>
              </w:rPr>
            </w:pPr>
            <w:r>
              <w:rPr>
                <w:rFonts w:ascii="Arial Narrow" w:hAnsi="Arial Narrow"/>
                <w:sz w:val="20"/>
              </w:rPr>
              <w:t>NR</w:t>
            </w:r>
          </w:p>
        </w:tc>
        <w:tc>
          <w:tcPr>
            <w:tcW w:w="702" w:type="pct"/>
            <w:vAlign w:val="center"/>
          </w:tcPr>
          <w:p w:rsidR="0007346F" w:rsidRPr="003B695B" w:rsidRDefault="00A05258" w:rsidP="00A3739F">
            <w:pPr>
              <w:pStyle w:val="BodyText"/>
              <w:keepNext/>
              <w:jc w:val="center"/>
              <w:rPr>
                <w:rFonts w:ascii="Arial Narrow" w:hAnsi="Arial Narrow"/>
                <w:sz w:val="20"/>
              </w:rPr>
            </w:pPr>
            <w:r>
              <w:rPr>
                <w:rFonts w:ascii="Arial Narrow" w:hAnsi="Arial Narrow"/>
                <w:sz w:val="20"/>
              </w:rPr>
              <w:t>10 (2.9%)</w:t>
            </w:r>
          </w:p>
        </w:tc>
        <w:tc>
          <w:tcPr>
            <w:tcW w:w="702" w:type="pct"/>
            <w:vAlign w:val="center"/>
          </w:tcPr>
          <w:p w:rsidR="0007346F" w:rsidRPr="003B695B" w:rsidRDefault="0007346F" w:rsidP="002340B8">
            <w:pPr>
              <w:pStyle w:val="BodyText"/>
              <w:keepNext/>
              <w:jc w:val="center"/>
              <w:rPr>
                <w:rFonts w:ascii="Arial Narrow" w:hAnsi="Arial Narrow"/>
                <w:sz w:val="20"/>
              </w:rPr>
            </w:pPr>
            <w:r>
              <w:rPr>
                <w:rFonts w:ascii="Arial Narrow" w:hAnsi="Arial Narrow"/>
                <w:sz w:val="20"/>
              </w:rPr>
              <w:t>NR</w:t>
            </w:r>
          </w:p>
        </w:tc>
        <w:tc>
          <w:tcPr>
            <w:tcW w:w="702" w:type="pct"/>
            <w:vAlign w:val="center"/>
          </w:tcPr>
          <w:p w:rsidR="0007346F" w:rsidRPr="003B695B" w:rsidRDefault="0007346F" w:rsidP="002340B8">
            <w:pPr>
              <w:pStyle w:val="BodyText"/>
              <w:keepNext/>
              <w:jc w:val="center"/>
              <w:rPr>
                <w:rFonts w:ascii="Arial Narrow" w:hAnsi="Arial Narrow"/>
                <w:sz w:val="20"/>
              </w:rPr>
            </w:pPr>
            <w:r>
              <w:rPr>
                <w:rFonts w:ascii="Arial Narrow" w:hAnsi="Arial Narrow"/>
                <w:sz w:val="20"/>
              </w:rPr>
              <w:t>NR</w:t>
            </w:r>
          </w:p>
        </w:tc>
        <w:tc>
          <w:tcPr>
            <w:tcW w:w="643" w:type="pct"/>
            <w:vAlign w:val="center"/>
          </w:tcPr>
          <w:p w:rsidR="0007346F" w:rsidRPr="003B695B" w:rsidRDefault="0007346F" w:rsidP="00A3739F">
            <w:pPr>
              <w:pStyle w:val="BodyText"/>
              <w:keepNext/>
              <w:jc w:val="center"/>
              <w:rPr>
                <w:rFonts w:ascii="Arial Narrow" w:hAnsi="Arial Narrow"/>
                <w:sz w:val="20"/>
              </w:rPr>
            </w:pPr>
            <w:r w:rsidRPr="003B695B">
              <w:rPr>
                <w:rFonts w:ascii="Arial Narrow" w:hAnsi="Arial Narrow"/>
                <w:sz w:val="20"/>
              </w:rPr>
              <w:t>30 (19.5</w:t>
            </w:r>
            <w:r>
              <w:rPr>
                <w:rFonts w:ascii="Arial Narrow" w:hAnsi="Arial Narrow"/>
                <w:sz w:val="20"/>
              </w:rPr>
              <w:t>%</w:t>
            </w:r>
            <w:r w:rsidRPr="003B695B">
              <w:rPr>
                <w:rFonts w:ascii="Arial Narrow" w:hAnsi="Arial Narrow"/>
                <w:sz w:val="20"/>
              </w:rPr>
              <w:t>)</w:t>
            </w:r>
          </w:p>
        </w:tc>
      </w:tr>
    </w:tbl>
    <w:p w:rsidR="008F2690" w:rsidRDefault="008F2690" w:rsidP="008F2690">
      <w:pPr>
        <w:pStyle w:val="TableFooter"/>
        <w:ind w:firstLine="720"/>
      </w:pPr>
      <w:r w:rsidRPr="00D13A3E">
        <w:t xml:space="preserve">Source: </w:t>
      </w:r>
      <w:r>
        <w:t>Table B.27, p58 of Section B of the submission</w:t>
      </w:r>
    </w:p>
    <w:p w:rsidR="008F2690" w:rsidRDefault="008F2690" w:rsidP="008F2690">
      <w:pPr>
        <w:pStyle w:val="TableFooter"/>
        <w:ind w:left="720"/>
      </w:pPr>
      <w:r>
        <w:t>AE = adverse event; AID</w:t>
      </w:r>
      <w:r w:rsidR="002340B8">
        <w:t>S</w:t>
      </w:r>
      <w:r>
        <w:t xml:space="preserve"> = acquired </w:t>
      </w:r>
      <w:r w:rsidR="002340B8">
        <w:t>immune deficiency syndrome</w:t>
      </w:r>
      <w:r>
        <w:t>;</w:t>
      </w:r>
      <w:r w:rsidR="00A3739F">
        <w:t xml:space="preserve"> mITT = modified intention-to-treat; </w:t>
      </w:r>
      <w:r w:rsidR="002340B8">
        <w:t>NR</w:t>
      </w:r>
      <w:r>
        <w:t xml:space="preserve"> = not reported;</w:t>
      </w:r>
      <w:r w:rsidR="003E7C73">
        <w:t xml:space="preserve"> NRTI = nucleoside/nucleotide reverse transcriptase inhibitors;</w:t>
      </w:r>
      <w:r>
        <w:t xml:space="preserve"> SAE = serious adverse event;</w:t>
      </w:r>
      <w:r w:rsidR="00192379">
        <w:t xml:space="preserve"> TE = treatment emergent;</w:t>
      </w:r>
      <w:r>
        <w:t xml:space="preserve"> c</w:t>
      </w:r>
      <w:r w:rsidR="00A76F5B">
        <w:t> </w:t>
      </w:r>
      <w:r>
        <w:t>=</w:t>
      </w:r>
      <w:r w:rsidR="00A76F5B">
        <w:t> </w:t>
      </w:r>
      <w:r>
        <w:t>cobicistat; DRV = darunavir; r = ritonavir</w:t>
      </w:r>
    </w:p>
    <w:p w:rsidR="0007346F" w:rsidRPr="00BE0E2C" w:rsidRDefault="0007346F" w:rsidP="0007346F">
      <w:pPr>
        <w:pStyle w:val="TableFooter"/>
        <w:ind w:firstLine="720"/>
      </w:pPr>
      <w:r>
        <w:rPr>
          <w:vertAlign w:val="superscript"/>
        </w:rPr>
        <w:t xml:space="preserve">a </w:t>
      </w:r>
      <w:r>
        <w:t xml:space="preserve">Emtricitabine and tenofovir disoproxil fumarate took up nearly all NRTI usage </w:t>
      </w:r>
    </w:p>
    <w:p w:rsidR="00A3739F" w:rsidRPr="00A3739F" w:rsidRDefault="00A3739F" w:rsidP="00A3739F">
      <w:pPr>
        <w:pStyle w:val="TableFooter"/>
      </w:pPr>
      <w:r>
        <w:tab/>
      </w:r>
      <w:r>
        <w:rPr>
          <w:vertAlign w:val="superscript"/>
        </w:rPr>
        <w:t xml:space="preserve">b </w:t>
      </w:r>
      <w:r>
        <w:t>Related = possibly, probably or very likely related to study drug</w:t>
      </w:r>
    </w:p>
    <w:p w:rsidR="00A3739F" w:rsidRDefault="00A3739F" w:rsidP="0007346F">
      <w:pPr>
        <w:pStyle w:val="TableFooter"/>
      </w:pPr>
    </w:p>
    <w:p w:rsidR="00DF7D71" w:rsidRPr="008F2690" w:rsidRDefault="00DF7D71" w:rsidP="0044463D">
      <w:pPr>
        <w:pStyle w:val="ListParagraph"/>
        <w:numPr>
          <w:ilvl w:val="1"/>
          <w:numId w:val="3"/>
        </w:numPr>
        <w:rPr>
          <w:szCs w:val="22"/>
        </w:rPr>
      </w:pPr>
      <w:r>
        <w:rPr>
          <w:szCs w:val="22"/>
        </w:rPr>
        <w:t xml:space="preserve">Overall, the submission stated that </w:t>
      </w:r>
      <w:r w:rsidR="00912070">
        <w:rPr>
          <w:szCs w:val="22"/>
        </w:rPr>
        <w:t>darunavir and</w:t>
      </w:r>
      <w:r>
        <w:rPr>
          <w:szCs w:val="22"/>
        </w:rPr>
        <w:t xml:space="preserve"> cobicistat </w:t>
      </w:r>
      <w:r w:rsidR="002C16D3">
        <w:rPr>
          <w:szCs w:val="22"/>
        </w:rPr>
        <w:t xml:space="preserve">taken concomitantly </w:t>
      </w:r>
      <w:r>
        <w:rPr>
          <w:szCs w:val="22"/>
        </w:rPr>
        <w:t xml:space="preserve">and </w:t>
      </w:r>
      <w:r w:rsidR="00912070">
        <w:rPr>
          <w:szCs w:val="22"/>
        </w:rPr>
        <w:t>darunavir and</w:t>
      </w:r>
      <w:r>
        <w:rPr>
          <w:szCs w:val="22"/>
        </w:rPr>
        <w:t xml:space="preserve"> ritonavi</w:t>
      </w:r>
      <w:r w:rsidR="00F93501">
        <w:rPr>
          <w:szCs w:val="22"/>
        </w:rPr>
        <w:t xml:space="preserve">r </w:t>
      </w:r>
      <w:r w:rsidR="002C16D3">
        <w:rPr>
          <w:szCs w:val="22"/>
        </w:rPr>
        <w:t xml:space="preserve">taken concomitantly </w:t>
      </w:r>
      <w:r w:rsidR="00F93501">
        <w:rPr>
          <w:szCs w:val="22"/>
        </w:rPr>
        <w:t xml:space="preserve">were similarly well tolerated, with the number of adverse events well balanced. </w:t>
      </w:r>
      <w:r w:rsidR="00F93501" w:rsidRPr="00306DF7">
        <w:t>The safety data was difficult to interpret, due</w:t>
      </w:r>
      <w:r w:rsidR="008B612B">
        <w:t xml:space="preserve"> to</w:t>
      </w:r>
      <w:r w:rsidR="00F93501" w:rsidRPr="00306DF7">
        <w:t xml:space="preserve"> the lack of comparability between the studies and the naïve indirect comparison.</w:t>
      </w:r>
      <w:r w:rsidR="003A2223">
        <w:rPr>
          <w:i/>
        </w:rPr>
        <w:t xml:space="preserve"> </w:t>
      </w:r>
    </w:p>
    <w:p w:rsidR="00B60939" w:rsidRDefault="00B60939" w:rsidP="007F1017">
      <w:pPr>
        <w:pStyle w:val="ListParagraph"/>
        <w:ind w:left="0"/>
        <w:rPr>
          <w:szCs w:val="22"/>
        </w:rPr>
      </w:pPr>
    </w:p>
    <w:p w:rsidR="00B60939" w:rsidRPr="002C2775" w:rsidRDefault="00B60939" w:rsidP="002C2775">
      <w:pPr>
        <w:pStyle w:val="Heading2"/>
        <w:rPr>
          <w:i/>
        </w:rPr>
      </w:pPr>
      <w:bookmarkStart w:id="10" w:name="_Toc430015990"/>
      <w:r w:rsidRPr="002C2775">
        <w:rPr>
          <w:i/>
        </w:rPr>
        <w:t>Clinical claim</w:t>
      </w:r>
      <w:bookmarkEnd w:id="10"/>
    </w:p>
    <w:p w:rsidR="00B60939" w:rsidRPr="00882085" w:rsidRDefault="00B60939" w:rsidP="00B60939">
      <w:pPr>
        <w:ind w:left="720" w:hanging="720"/>
        <w:rPr>
          <w:szCs w:val="22"/>
        </w:rPr>
      </w:pPr>
    </w:p>
    <w:p w:rsidR="008C4513" w:rsidRPr="00805CFC" w:rsidRDefault="005D67A4" w:rsidP="00805CFC">
      <w:pPr>
        <w:pStyle w:val="ListParagraph"/>
        <w:rPr>
          <w:i/>
          <w:szCs w:val="22"/>
          <w:u w:val="single"/>
        </w:rPr>
      </w:pPr>
      <w:r>
        <w:rPr>
          <w:szCs w:val="22"/>
          <w:u w:val="single"/>
        </w:rPr>
        <w:t>Comparator</w:t>
      </w:r>
      <w:r w:rsidR="008C4513">
        <w:rPr>
          <w:szCs w:val="22"/>
          <w:u w:val="single"/>
        </w:rPr>
        <w:t>:</w:t>
      </w:r>
      <w:r w:rsidR="008C4513" w:rsidRPr="00805CFC">
        <w:rPr>
          <w:szCs w:val="22"/>
          <w:u w:val="single"/>
        </w:rPr>
        <w:t xml:space="preserve"> </w:t>
      </w:r>
      <w:r w:rsidR="00912070">
        <w:rPr>
          <w:szCs w:val="22"/>
          <w:u w:val="single"/>
        </w:rPr>
        <w:t>darunavir and</w:t>
      </w:r>
      <w:r w:rsidR="008C4513" w:rsidRPr="00805CFC">
        <w:rPr>
          <w:szCs w:val="22"/>
          <w:u w:val="single"/>
        </w:rPr>
        <w:t xml:space="preserve"> cobicistat taken concomitantly</w:t>
      </w:r>
    </w:p>
    <w:p w:rsidR="0039460B" w:rsidRPr="00306DF7" w:rsidRDefault="00C3695E" w:rsidP="0044463D">
      <w:pPr>
        <w:pStyle w:val="ListParagraph"/>
        <w:numPr>
          <w:ilvl w:val="1"/>
          <w:numId w:val="3"/>
        </w:numPr>
        <w:rPr>
          <w:szCs w:val="22"/>
        </w:rPr>
      </w:pPr>
      <w:r w:rsidRPr="003A2223">
        <w:rPr>
          <w:szCs w:val="22"/>
        </w:rPr>
        <w:t xml:space="preserve">For the pharmacokinetic evidence, </w:t>
      </w:r>
      <w:r w:rsidR="008C4513">
        <w:rPr>
          <w:szCs w:val="22"/>
        </w:rPr>
        <w:t xml:space="preserve">darunavir/cobicistat FDC was bioequivalent to </w:t>
      </w:r>
      <w:r w:rsidR="00912070">
        <w:rPr>
          <w:szCs w:val="22"/>
        </w:rPr>
        <w:t>darunavir and</w:t>
      </w:r>
      <w:r w:rsidR="008C4513">
        <w:rPr>
          <w:szCs w:val="22"/>
        </w:rPr>
        <w:t xml:space="preserve"> cobicistat taken concomitantly, and therefore supports </w:t>
      </w:r>
      <w:r w:rsidRPr="003A2223">
        <w:rPr>
          <w:szCs w:val="22"/>
        </w:rPr>
        <w:t xml:space="preserve">non-inferiority of efficacy and safety of darunavir/cobicistat FDC </w:t>
      </w:r>
      <w:r w:rsidR="008C4513">
        <w:rPr>
          <w:szCs w:val="22"/>
        </w:rPr>
        <w:t>and its individual</w:t>
      </w:r>
      <w:r w:rsidR="00882401">
        <w:rPr>
          <w:szCs w:val="22"/>
        </w:rPr>
        <w:t xml:space="preserve"> components</w:t>
      </w:r>
      <w:r w:rsidRPr="00306DF7">
        <w:rPr>
          <w:szCs w:val="22"/>
        </w:rPr>
        <w:t>. This claim</w:t>
      </w:r>
      <w:r w:rsidR="003A2223" w:rsidRPr="00306DF7">
        <w:rPr>
          <w:szCs w:val="22"/>
        </w:rPr>
        <w:t xml:space="preserve"> appeared reasonable. </w:t>
      </w:r>
    </w:p>
    <w:p w:rsidR="008C4513" w:rsidRDefault="008C4513" w:rsidP="00805CFC">
      <w:pPr>
        <w:pStyle w:val="ListParagraph"/>
        <w:rPr>
          <w:i/>
          <w:szCs w:val="22"/>
        </w:rPr>
      </w:pPr>
    </w:p>
    <w:p w:rsidR="008C4513" w:rsidRPr="00805CFC" w:rsidRDefault="008C4513" w:rsidP="00805CFC">
      <w:pPr>
        <w:pStyle w:val="ListParagraph"/>
        <w:rPr>
          <w:szCs w:val="22"/>
          <w:u w:val="single"/>
        </w:rPr>
      </w:pPr>
      <w:r w:rsidRPr="00805CFC">
        <w:rPr>
          <w:szCs w:val="22"/>
          <w:u w:val="single"/>
        </w:rPr>
        <w:t xml:space="preserve">Comparator: </w:t>
      </w:r>
      <w:r w:rsidR="00912070">
        <w:rPr>
          <w:szCs w:val="22"/>
          <w:u w:val="single"/>
        </w:rPr>
        <w:t>darunavir and</w:t>
      </w:r>
      <w:r w:rsidRPr="00805CFC">
        <w:rPr>
          <w:szCs w:val="22"/>
          <w:u w:val="single"/>
        </w:rPr>
        <w:t xml:space="preserve"> ritonavir taken concomitantly</w:t>
      </w:r>
    </w:p>
    <w:p w:rsidR="008C4513" w:rsidRPr="00306DF7" w:rsidRDefault="008C4513" w:rsidP="008C4513">
      <w:pPr>
        <w:pStyle w:val="ListParagraph"/>
        <w:numPr>
          <w:ilvl w:val="1"/>
          <w:numId w:val="3"/>
        </w:numPr>
        <w:rPr>
          <w:szCs w:val="22"/>
        </w:rPr>
      </w:pPr>
      <w:r w:rsidRPr="003A2223">
        <w:rPr>
          <w:szCs w:val="22"/>
        </w:rPr>
        <w:t xml:space="preserve">For the pharmacokinetic evidence, </w:t>
      </w:r>
      <w:r>
        <w:rPr>
          <w:szCs w:val="22"/>
        </w:rPr>
        <w:t xml:space="preserve">darunavir/cobicistat FDC resulted in similar bioavailability of darunavir (active component) compared with </w:t>
      </w:r>
      <w:r w:rsidR="00912070">
        <w:rPr>
          <w:szCs w:val="22"/>
        </w:rPr>
        <w:t>darunavir and</w:t>
      </w:r>
      <w:r>
        <w:rPr>
          <w:szCs w:val="22"/>
        </w:rPr>
        <w:t xml:space="preserve"> ritonavir taken concomitantly</w:t>
      </w:r>
      <w:r w:rsidR="005D67A4">
        <w:rPr>
          <w:szCs w:val="22"/>
        </w:rPr>
        <w:t>.</w:t>
      </w:r>
      <w:r>
        <w:rPr>
          <w:i/>
          <w:szCs w:val="22"/>
        </w:rPr>
        <w:t xml:space="preserve"> </w:t>
      </w:r>
      <w:r w:rsidR="00813C42" w:rsidRPr="00306DF7">
        <w:rPr>
          <w:szCs w:val="22"/>
        </w:rPr>
        <w:t>This claim appeared reasonable.</w:t>
      </w:r>
    </w:p>
    <w:p w:rsidR="005D67A4" w:rsidRDefault="005D67A4" w:rsidP="00805CFC">
      <w:pPr>
        <w:pStyle w:val="ListParagraph"/>
        <w:rPr>
          <w:i/>
          <w:szCs w:val="22"/>
        </w:rPr>
      </w:pPr>
    </w:p>
    <w:p w:rsidR="008C4513" w:rsidRPr="00306DF7" w:rsidRDefault="005D67A4" w:rsidP="0044463D">
      <w:pPr>
        <w:pStyle w:val="ListParagraph"/>
        <w:numPr>
          <w:ilvl w:val="1"/>
          <w:numId w:val="3"/>
        </w:numPr>
        <w:rPr>
          <w:szCs w:val="22"/>
        </w:rPr>
      </w:pPr>
      <w:r>
        <w:t xml:space="preserve">For the clinical evidence of efficacy and safety, the submission concluded non-inferiority of </w:t>
      </w:r>
      <w:r w:rsidR="00912070">
        <w:t>darunavir and</w:t>
      </w:r>
      <w:r>
        <w:t xml:space="preserve"> cobicistat taken concomitantly to </w:t>
      </w:r>
      <w:r w:rsidR="00912070">
        <w:t>darunavir and</w:t>
      </w:r>
      <w:r>
        <w:t xml:space="preserve"> ritonavir</w:t>
      </w:r>
      <w:r w:rsidR="00813C42">
        <w:t xml:space="preserve"> taken concomitantly</w:t>
      </w:r>
      <w:r>
        <w:t xml:space="preserve">. </w:t>
      </w:r>
      <w:r w:rsidRPr="00306DF7">
        <w:t>For this claim, there were certain issues for the PBAC consideration</w:t>
      </w:r>
      <w:r w:rsidR="009A2DBE" w:rsidRPr="00306DF7">
        <w:t>:</w:t>
      </w:r>
    </w:p>
    <w:p w:rsidR="00C3695E" w:rsidRPr="00306DF7" w:rsidRDefault="00C3695E" w:rsidP="00613BF9">
      <w:pPr>
        <w:pStyle w:val="ListParagraph"/>
        <w:numPr>
          <w:ilvl w:val="0"/>
          <w:numId w:val="46"/>
        </w:numPr>
        <w:ind w:left="1066" w:hanging="357"/>
      </w:pPr>
      <w:r w:rsidRPr="00306DF7">
        <w:lastRenderedPageBreak/>
        <w:t>The clinical evidence</w:t>
      </w:r>
      <w:r w:rsidR="005D67A4" w:rsidRPr="00306DF7">
        <w:t xml:space="preserve"> for efficacy and safety</w:t>
      </w:r>
      <w:r w:rsidRPr="00306DF7">
        <w:t xml:space="preserve"> consisted of a naïve indirect comparison of a non</w:t>
      </w:r>
      <w:r w:rsidR="005D67A4" w:rsidRPr="00306DF7">
        <w:t>-</w:t>
      </w:r>
      <w:r w:rsidRPr="00306DF7">
        <w:t xml:space="preserve">randomised study (Study </w:t>
      </w:r>
      <w:r w:rsidR="00D62BFC" w:rsidRPr="00306DF7">
        <w:t>0130</w:t>
      </w:r>
      <w:r w:rsidRPr="00306DF7">
        <w:t xml:space="preserve">) with </w:t>
      </w:r>
      <w:r w:rsidR="00912070">
        <w:t>darunavir and</w:t>
      </w:r>
      <w:r w:rsidRPr="00306DF7">
        <w:t xml:space="preserve"> cobicistat</w:t>
      </w:r>
      <w:r w:rsidR="005D67A4" w:rsidRPr="00306DF7">
        <w:t xml:space="preserve"> taken concomitantly</w:t>
      </w:r>
      <w:r w:rsidRPr="00306DF7">
        <w:t xml:space="preserve">, to </w:t>
      </w:r>
      <w:r w:rsidR="005D67A4" w:rsidRPr="00306DF7">
        <w:t xml:space="preserve">single arms of </w:t>
      </w:r>
      <w:r w:rsidRPr="00306DF7">
        <w:t xml:space="preserve">four randomised trials that used </w:t>
      </w:r>
      <w:r w:rsidR="00912070">
        <w:t>darunavir and</w:t>
      </w:r>
      <w:r w:rsidRPr="00306DF7">
        <w:t xml:space="preserve"> ritonavir</w:t>
      </w:r>
      <w:r w:rsidR="005D67A4" w:rsidRPr="00306DF7">
        <w:t>. T</w:t>
      </w:r>
      <w:r w:rsidRPr="00306DF7">
        <w:t>here was significant heterogeneity across study design and patient characteristics which limited this qualitative comparison;</w:t>
      </w:r>
    </w:p>
    <w:p w:rsidR="00C3695E" w:rsidRPr="00306DF7" w:rsidRDefault="00C3695E" w:rsidP="00613BF9">
      <w:pPr>
        <w:pStyle w:val="ListParagraph"/>
        <w:numPr>
          <w:ilvl w:val="0"/>
          <w:numId w:val="46"/>
        </w:numPr>
        <w:ind w:left="1066" w:hanging="357"/>
      </w:pPr>
      <w:r w:rsidRPr="00306DF7">
        <w:t xml:space="preserve">This clinical evidence used predominantly treatment-naïve patients, which was not relevant to the proposed PBS restriction </w:t>
      </w:r>
      <w:r w:rsidR="005D67A4" w:rsidRPr="00306DF7">
        <w:t>for</w:t>
      </w:r>
      <w:r w:rsidR="002A1162" w:rsidRPr="00306DF7">
        <w:t xml:space="preserve"> </w:t>
      </w:r>
      <w:r w:rsidR="005D67A4" w:rsidRPr="00306DF7">
        <w:t>treatment</w:t>
      </w:r>
      <w:r w:rsidR="002A1162" w:rsidRPr="00306DF7">
        <w:t>-</w:t>
      </w:r>
      <w:r w:rsidR="005D67A4" w:rsidRPr="00306DF7">
        <w:t xml:space="preserve">experienced patients. Notably, only 18/313 (5.8%) of the patients in Study </w:t>
      </w:r>
      <w:r w:rsidR="00D62BFC" w:rsidRPr="00306DF7">
        <w:t>0130</w:t>
      </w:r>
      <w:r w:rsidR="005D67A4" w:rsidRPr="00306DF7">
        <w:t xml:space="preserve"> were treatment</w:t>
      </w:r>
      <w:r w:rsidR="001E416D" w:rsidRPr="00306DF7">
        <w:t xml:space="preserve"> </w:t>
      </w:r>
      <w:r w:rsidR="005D67A4" w:rsidRPr="00306DF7">
        <w:t>experienced, limi</w:t>
      </w:r>
      <w:r w:rsidR="009A2DBE" w:rsidRPr="00306DF7">
        <w:t>ting the applicability of this s</w:t>
      </w:r>
      <w:r w:rsidR="005D67A4" w:rsidRPr="00306DF7">
        <w:t>tudy to the proposed PBS restriction</w:t>
      </w:r>
      <w:r w:rsidRPr="00306DF7">
        <w:t>;</w:t>
      </w:r>
      <w:r w:rsidR="00A3739F" w:rsidRPr="00306DF7">
        <w:t xml:space="preserve"> and</w:t>
      </w:r>
    </w:p>
    <w:p w:rsidR="003A3E30" w:rsidRDefault="005D67A4" w:rsidP="003A3E30">
      <w:pPr>
        <w:pStyle w:val="ListParagraph"/>
        <w:numPr>
          <w:ilvl w:val="0"/>
          <w:numId w:val="46"/>
        </w:numPr>
        <w:ind w:left="1066" w:hanging="357"/>
      </w:pPr>
      <w:r w:rsidRPr="00805CFC">
        <w:t>The submission considered that the data from treatment-naïve patients could be extrapolated to treatment</w:t>
      </w:r>
      <w:r w:rsidR="0026164B">
        <w:t>-</w:t>
      </w:r>
      <w:r w:rsidRPr="00805CFC">
        <w:t>experienced patients</w:t>
      </w:r>
      <w:r w:rsidRPr="00613BF9">
        <w:rPr>
          <w:i/>
        </w:rPr>
        <w:t xml:space="preserve">. </w:t>
      </w:r>
      <w:r>
        <w:t>The submission cited the PBAC decision that considered the comparative effectiveness and safety in treatment-naïve patients may be reasonably extrapolated to a treatment-experienced population (</w:t>
      </w:r>
      <w:r w:rsidR="009A2DBE" w:rsidRPr="00F90211">
        <w:t>elvitegravir/cobicistat/emtricitabine/tenofovir disoproxil fumarate</w:t>
      </w:r>
      <w:r w:rsidR="009A2DBE">
        <w:t xml:space="preserve"> FDC</w:t>
      </w:r>
      <w:r>
        <w:t>, March 2013 Public Summary D</w:t>
      </w:r>
      <w:r w:rsidR="00882401">
        <w:t>ocument</w:t>
      </w:r>
      <w:r>
        <w:t xml:space="preserve">). </w:t>
      </w:r>
      <w:r w:rsidRPr="00017332">
        <w:t xml:space="preserve">However, the PBS listed restriction for </w:t>
      </w:r>
      <w:r w:rsidR="009A2DBE" w:rsidRPr="00017332">
        <w:t xml:space="preserve">elvitegravir/cobicistat/emtricitabine/tenofovir disoproxil fumarate </w:t>
      </w:r>
      <w:r w:rsidRPr="00017332">
        <w:t xml:space="preserve">FDC is </w:t>
      </w:r>
      <w:r w:rsidR="00A85A7C" w:rsidRPr="00017332">
        <w:t>for both treatment naïve and treatment-experienced patients, while the requested listing for darunavir/ritonavir FDC is for treatment-experienced patients only</w:t>
      </w:r>
      <w:r w:rsidRPr="00017332">
        <w:t>.</w:t>
      </w:r>
      <w:r w:rsidR="00604D73" w:rsidRPr="00017332">
        <w:t xml:space="preserve"> The ESC considered that notwithstanding the limited clinical data for treatment experienced patients and the limitations of the naïve indirect comparison, the similar efficacy of </w:t>
      </w:r>
      <w:r w:rsidR="00B13D8B" w:rsidRPr="00017332">
        <w:t>darunavir</w:t>
      </w:r>
      <w:r w:rsidR="00604D73" w:rsidRPr="00017332">
        <w:t>/c</w:t>
      </w:r>
      <w:r w:rsidR="00B13D8B" w:rsidRPr="00017332">
        <w:t>obicistat</w:t>
      </w:r>
      <w:r w:rsidR="00604D73" w:rsidRPr="00017332">
        <w:t xml:space="preserve"> to </w:t>
      </w:r>
      <w:r w:rsidR="00B13D8B" w:rsidRPr="00017332">
        <w:t>darunavir</w:t>
      </w:r>
      <w:r w:rsidR="00604D73" w:rsidRPr="00017332">
        <w:t>/r</w:t>
      </w:r>
      <w:r w:rsidR="00B13D8B" w:rsidRPr="00017332">
        <w:t>itonavir</w:t>
      </w:r>
      <w:r w:rsidR="00604D73" w:rsidRPr="00017332">
        <w:t xml:space="preserve"> in treatment naïve patients together with the demonstrated similar bioavailability of </w:t>
      </w:r>
      <w:r w:rsidR="00B13D8B" w:rsidRPr="00017332">
        <w:t xml:space="preserve">darunavir </w:t>
      </w:r>
      <w:r w:rsidR="00604D73" w:rsidRPr="00017332">
        <w:t>gave confidence that the efficacy in treatment experienced patients would be similar.</w:t>
      </w:r>
    </w:p>
    <w:p w:rsidR="003A3E30" w:rsidRDefault="003A3E30" w:rsidP="003A3E30"/>
    <w:p w:rsidR="003A3E30" w:rsidRPr="00F0699A" w:rsidRDefault="00994DF6" w:rsidP="003A3E30">
      <w:pPr>
        <w:pStyle w:val="ListParagraph"/>
        <w:numPr>
          <w:ilvl w:val="1"/>
          <w:numId w:val="3"/>
        </w:numPr>
      </w:pPr>
      <w:r w:rsidRPr="00F0699A">
        <w:t>Based from</w:t>
      </w:r>
      <w:r w:rsidR="00327A82" w:rsidRPr="00F0699A">
        <w:t xml:space="preserve"> the pharmacokinetic evidence presented</w:t>
      </w:r>
      <w:r w:rsidRPr="00F0699A">
        <w:t xml:space="preserve"> above</w:t>
      </w:r>
      <w:r w:rsidR="00327A82" w:rsidRPr="00F0699A">
        <w:t>, t</w:t>
      </w:r>
      <w:r w:rsidR="003A3E30" w:rsidRPr="00F0699A">
        <w:t xml:space="preserve">he PBAC considered that the claim of non-inferior comparative effectiveness </w:t>
      </w:r>
      <w:r w:rsidRPr="00F0699A">
        <w:t xml:space="preserve">and safety against </w:t>
      </w:r>
      <w:r w:rsidR="00912070" w:rsidRPr="00F0699A">
        <w:t>darunavir and</w:t>
      </w:r>
      <w:r w:rsidRPr="00F0699A">
        <w:t xml:space="preserve"> cobicistat taken concomitantly </w:t>
      </w:r>
      <w:r w:rsidR="003A3E30" w:rsidRPr="00F0699A">
        <w:t>was reasonable</w:t>
      </w:r>
      <w:r w:rsidR="00327A82" w:rsidRPr="00F0699A">
        <w:t>.</w:t>
      </w:r>
    </w:p>
    <w:p w:rsidR="003A3E30" w:rsidRPr="00F0699A" w:rsidRDefault="003A3E30" w:rsidP="003A3E30"/>
    <w:p w:rsidR="003A3E30" w:rsidRPr="00F0699A" w:rsidRDefault="00994DF6" w:rsidP="003A3E30">
      <w:pPr>
        <w:pStyle w:val="ListParagraph"/>
        <w:numPr>
          <w:ilvl w:val="1"/>
          <w:numId w:val="3"/>
        </w:numPr>
      </w:pPr>
      <w:r w:rsidRPr="00F0699A">
        <w:t>Based from the pharmacokinetic evidence presented above, t</w:t>
      </w:r>
      <w:r w:rsidR="003A3E30" w:rsidRPr="00F0699A">
        <w:t xml:space="preserve">he PBAC considered that the claim of non-inferior comparative </w:t>
      </w:r>
      <w:r w:rsidR="00B917B5" w:rsidRPr="00F0699A">
        <w:t xml:space="preserve">effectiveness and </w:t>
      </w:r>
      <w:r w:rsidR="003A3E30" w:rsidRPr="00F0699A">
        <w:t>safety</w:t>
      </w:r>
      <w:r w:rsidR="00B917B5" w:rsidRPr="00F0699A">
        <w:t xml:space="preserve"> against </w:t>
      </w:r>
      <w:r w:rsidR="00912070" w:rsidRPr="00F0699A">
        <w:t>darunavir and</w:t>
      </w:r>
      <w:r w:rsidR="00B917B5" w:rsidRPr="00F0699A">
        <w:t xml:space="preserve"> ritonavir taken concomitantly</w:t>
      </w:r>
      <w:r w:rsidR="003A3E30" w:rsidRPr="00F0699A">
        <w:t xml:space="preserve"> was reasonable</w:t>
      </w:r>
      <w:r w:rsidR="00B917B5" w:rsidRPr="00F0699A">
        <w:t>.</w:t>
      </w:r>
    </w:p>
    <w:p w:rsidR="0022514E" w:rsidRPr="0022514E" w:rsidRDefault="0022514E" w:rsidP="0022514E">
      <w:pPr>
        <w:rPr>
          <w:i/>
          <w:szCs w:val="22"/>
        </w:rPr>
      </w:pPr>
    </w:p>
    <w:p w:rsidR="00B60939" w:rsidRPr="002C2775" w:rsidRDefault="00B60939" w:rsidP="002C2775">
      <w:pPr>
        <w:pStyle w:val="Heading2"/>
        <w:rPr>
          <w:i/>
        </w:rPr>
      </w:pPr>
      <w:bookmarkStart w:id="11" w:name="_Toc430015991"/>
      <w:r w:rsidRPr="002C2775">
        <w:rPr>
          <w:i/>
        </w:rPr>
        <w:t>Economic analysis</w:t>
      </w:r>
      <w:bookmarkEnd w:id="11"/>
      <w:r w:rsidR="00491B3A" w:rsidRPr="002C2775">
        <w:rPr>
          <w:i/>
        </w:rPr>
        <w:t xml:space="preserve"> </w:t>
      </w:r>
    </w:p>
    <w:p w:rsidR="00B60939" w:rsidRPr="00882085" w:rsidRDefault="00B60939" w:rsidP="00B60939">
      <w:pPr>
        <w:ind w:left="720" w:hanging="720"/>
        <w:rPr>
          <w:szCs w:val="22"/>
        </w:rPr>
      </w:pPr>
    </w:p>
    <w:p w:rsidR="00B60939" w:rsidRPr="00306DF7" w:rsidRDefault="0018227C" w:rsidP="0044463D">
      <w:pPr>
        <w:pStyle w:val="ListParagraph"/>
        <w:numPr>
          <w:ilvl w:val="1"/>
          <w:numId w:val="3"/>
        </w:numPr>
        <w:rPr>
          <w:szCs w:val="22"/>
        </w:rPr>
      </w:pPr>
      <w:r>
        <w:t xml:space="preserve">The submission presented a cost-minimisation analysis of darunavir/cobicistat FDC versus </w:t>
      </w:r>
      <w:r w:rsidR="00912070">
        <w:t>darunavir and</w:t>
      </w:r>
      <w:r>
        <w:t xml:space="preserve"> ritonavir</w:t>
      </w:r>
      <w:r w:rsidR="002277E9">
        <w:t xml:space="preserve"> taken concomitantly</w:t>
      </w:r>
      <w:r>
        <w:t xml:space="preserve">. </w:t>
      </w:r>
      <w:r w:rsidRPr="0018227C">
        <w:t xml:space="preserve">This was in line with the clinical evidence of non-inferior efficacy and safety for treatment-naïve patients presented. </w:t>
      </w:r>
      <w:r w:rsidR="003A2223" w:rsidRPr="00306DF7">
        <w:t xml:space="preserve">However, </w:t>
      </w:r>
      <w:r w:rsidR="00DA1260" w:rsidRPr="00306DF7">
        <w:t>t</w:t>
      </w:r>
      <w:r w:rsidR="003A2223" w:rsidRPr="00306DF7">
        <w:t>he</w:t>
      </w:r>
      <w:r w:rsidR="00DA1260" w:rsidRPr="00306DF7">
        <w:t xml:space="preserve"> submission did not resolve the</w:t>
      </w:r>
      <w:r w:rsidR="003A2223" w:rsidRPr="00306DF7">
        <w:t xml:space="preserve"> main applicability issue of extending clinical evidence from treatment-naïve to treatment-experienced </w:t>
      </w:r>
      <w:r w:rsidR="00DA1260" w:rsidRPr="00306DF7">
        <w:t>patients.</w:t>
      </w:r>
    </w:p>
    <w:p w:rsidR="00A86E8B" w:rsidRPr="00A86E8B" w:rsidRDefault="00A86E8B" w:rsidP="00A86E8B">
      <w:pPr>
        <w:rPr>
          <w:szCs w:val="22"/>
        </w:rPr>
      </w:pPr>
    </w:p>
    <w:p w:rsidR="00A86E8B" w:rsidRDefault="00DA1260" w:rsidP="0044463D">
      <w:pPr>
        <w:pStyle w:val="ListParagraph"/>
        <w:numPr>
          <w:ilvl w:val="1"/>
          <w:numId w:val="3"/>
        </w:numPr>
        <w:rPr>
          <w:szCs w:val="22"/>
        </w:rPr>
      </w:pPr>
      <w:r>
        <w:rPr>
          <w:szCs w:val="22"/>
        </w:rPr>
        <w:t>The equi</w:t>
      </w:r>
      <w:r w:rsidR="002A1162">
        <w:rPr>
          <w:szCs w:val="22"/>
        </w:rPr>
        <w:t>-</w:t>
      </w:r>
      <w:r>
        <w:rPr>
          <w:szCs w:val="22"/>
        </w:rPr>
        <w:t>effective doses were estimated as:</w:t>
      </w:r>
    </w:p>
    <w:p w:rsidR="00DA1260" w:rsidRDefault="00DA1260" w:rsidP="00613BF9">
      <w:pPr>
        <w:pStyle w:val="ListParagraph"/>
        <w:numPr>
          <w:ilvl w:val="0"/>
          <w:numId w:val="44"/>
        </w:numPr>
        <w:ind w:left="1066" w:hanging="357"/>
      </w:pPr>
      <w:r w:rsidRPr="00DA1260">
        <w:t>darunavir 800 mg (with cobicistat 150 mg in the FDC) once daily is equivalent to darunavir 800 mg (with ritonavir 100 mg taken concomitantly) once daily; and</w:t>
      </w:r>
    </w:p>
    <w:p w:rsidR="00DA1260" w:rsidRDefault="00DA1260" w:rsidP="00613BF9">
      <w:pPr>
        <w:pStyle w:val="ListParagraph"/>
        <w:numPr>
          <w:ilvl w:val="0"/>
          <w:numId w:val="44"/>
        </w:numPr>
        <w:ind w:left="1066" w:hanging="357"/>
      </w:pPr>
      <w:r>
        <w:t>c</w:t>
      </w:r>
      <w:r w:rsidRPr="00DA1260">
        <w:t>obicistat 150 mg (in the FDC) once daily is equivalent to ritonavir 100 mg (with darunavir 800 mg) once daily.</w:t>
      </w:r>
    </w:p>
    <w:p w:rsidR="00463604" w:rsidRDefault="00463604" w:rsidP="00463604">
      <w:pPr>
        <w:ind w:left="709"/>
        <w:rPr>
          <w:i/>
        </w:rPr>
      </w:pPr>
    </w:p>
    <w:p w:rsidR="00463604" w:rsidRPr="004B79EB" w:rsidRDefault="00463604" w:rsidP="00FC53CE">
      <w:pPr>
        <w:pStyle w:val="ListParagraph"/>
        <w:numPr>
          <w:ilvl w:val="1"/>
          <w:numId w:val="3"/>
        </w:numPr>
      </w:pPr>
      <w:r w:rsidRPr="004B79EB">
        <w:t xml:space="preserve">The equi-effective doses were based on the bioavailability study which compared the pharmacokinetics of darunavir/cobicistat FDC to </w:t>
      </w:r>
      <w:r w:rsidR="00912070">
        <w:t>darunavir and</w:t>
      </w:r>
      <w:r w:rsidRPr="004B79EB">
        <w:t xml:space="preserve"> ritonavir taken concomitantly.</w:t>
      </w:r>
    </w:p>
    <w:p w:rsidR="00020F82" w:rsidRPr="00020F82" w:rsidRDefault="00020F82" w:rsidP="00DA1260">
      <w:pPr>
        <w:rPr>
          <w:i/>
          <w:szCs w:val="22"/>
        </w:rPr>
      </w:pPr>
    </w:p>
    <w:p w:rsidR="00A86E8B" w:rsidRPr="001B25EE" w:rsidRDefault="00A83942" w:rsidP="0044463D">
      <w:pPr>
        <w:pStyle w:val="ListParagraph"/>
        <w:numPr>
          <w:ilvl w:val="1"/>
          <w:numId w:val="3"/>
        </w:numPr>
        <w:rPr>
          <w:szCs w:val="22"/>
        </w:rPr>
      </w:pPr>
      <w:r>
        <w:t>The cost-minimisation analysis</w:t>
      </w:r>
      <w:r w:rsidR="00FD3CBA">
        <w:t xml:space="preserve"> (Table 6</w:t>
      </w:r>
      <w:r>
        <w:t xml:space="preserve">) was based on the assumption that all costs would be related to the cost of HIV drugs only. </w:t>
      </w:r>
      <w:r w:rsidRPr="00604D73">
        <w:t xml:space="preserve">This was </w:t>
      </w:r>
      <w:r w:rsidR="00DA1260" w:rsidRPr="00604D73">
        <w:t>reasonable.</w:t>
      </w:r>
    </w:p>
    <w:p w:rsidR="001B25EE" w:rsidRDefault="001B25EE" w:rsidP="001B25EE">
      <w:pPr>
        <w:pStyle w:val="ListParagraph"/>
        <w:rPr>
          <w:i/>
        </w:rPr>
      </w:pPr>
    </w:p>
    <w:p w:rsidR="001B25EE" w:rsidRPr="001B25EE" w:rsidRDefault="001B25EE" w:rsidP="001B25EE">
      <w:pPr>
        <w:keepNext/>
        <w:ind w:firstLine="720"/>
        <w:rPr>
          <w:rFonts w:ascii="Arial Narrow" w:hAnsi="Arial Narrow"/>
          <w:b/>
          <w:sz w:val="20"/>
          <w:szCs w:val="16"/>
        </w:rPr>
      </w:pPr>
      <w:r>
        <w:rPr>
          <w:rStyle w:val="CommentReference"/>
        </w:rPr>
        <w:t xml:space="preserve">Table </w:t>
      </w:r>
      <w:r w:rsidR="00286CE0">
        <w:rPr>
          <w:rStyle w:val="CommentReference"/>
        </w:rPr>
        <w:t>6</w:t>
      </w:r>
      <w:r>
        <w:rPr>
          <w:rStyle w:val="CommentReference"/>
        </w:rPr>
        <w:t>: Cost-minimisation analysis for darunavir/cobicistat FDC (priced for 60 days of treatment)</w:t>
      </w:r>
    </w:p>
    <w:tbl>
      <w:tblPr>
        <w:tblStyle w:val="TableGrid"/>
        <w:tblW w:w="8363" w:type="dxa"/>
        <w:tblInd w:w="737" w:type="dxa"/>
        <w:tblCellMar>
          <w:left w:w="28" w:type="dxa"/>
          <w:right w:w="28" w:type="dxa"/>
        </w:tblCellMar>
        <w:tblLook w:val="04A0" w:firstRow="1" w:lastRow="0" w:firstColumn="1" w:lastColumn="0" w:noHBand="0" w:noVBand="1"/>
        <w:tblCaption w:val="Cost minimisation analysis for darunavir/cobicistat FDC"/>
      </w:tblPr>
      <w:tblGrid>
        <w:gridCol w:w="203"/>
        <w:gridCol w:w="3879"/>
        <w:gridCol w:w="843"/>
        <w:gridCol w:w="1561"/>
        <w:gridCol w:w="939"/>
        <w:gridCol w:w="938"/>
      </w:tblGrid>
      <w:tr w:rsidR="00DA1260" w:rsidRPr="00032189" w:rsidTr="00182F18">
        <w:trPr>
          <w:tblHeader/>
        </w:trPr>
        <w:tc>
          <w:tcPr>
            <w:tcW w:w="0" w:type="auto"/>
          </w:tcPr>
          <w:p w:rsidR="00DA1260" w:rsidRPr="00032189" w:rsidRDefault="00DA1260" w:rsidP="00535EB5">
            <w:pPr>
              <w:keepNext/>
              <w:keepLines/>
              <w:ind w:left="-70"/>
              <w:jc w:val="center"/>
              <w:rPr>
                <w:rFonts w:ascii="Arial Narrow" w:hAnsi="Arial Narrow"/>
                <w:b/>
                <w:sz w:val="20"/>
              </w:rPr>
            </w:pPr>
            <w:r>
              <w:rPr>
                <w:rFonts w:ascii="Arial Narrow" w:hAnsi="Arial Narrow"/>
                <w:b/>
                <w:sz w:val="20"/>
              </w:rPr>
              <w:t>-</w:t>
            </w:r>
          </w:p>
        </w:tc>
        <w:tc>
          <w:tcPr>
            <w:tcW w:w="0" w:type="auto"/>
            <w:gridSpan w:val="2"/>
            <w:vAlign w:val="center"/>
          </w:tcPr>
          <w:p w:rsidR="00DA1260" w:rsidRPr="00032189" w:rsidRDefault="00DA1260" w:rsidP="00535EB5">
            <w:pPr>
              <w:keepNext/>
              <w:keepLines/>
              <w:ind w:left="-70"/>
              <w:jc w:val="left"/>
              <w:rPr>
                <w:rFonts w:ascii="Arial Narrow" w:hAnsi="Arial Narrow"/>
                <w:b/>
                <w:sz w:val="20"/>
              </w:rPr>
            </w:pPr>
            <w:r>
              <w:rPr>
                <w:rFonts w:ascii="Arial Narrow" w:hAnsi="Arial Narrow"/>
                <w:b/>
                <w:sz w:val="20"/>
              </w:rPr>
              <w:t>IItem</w:t>
            </w:r>
          </w:p>
        </w:tc>
        <w:tc>
          <w:tcPr>
            <w:tcW w:w="1415" w:type="dxa"/>
          </w:tcPr>
          <w:p w:rsidR="00DA1260" w:rsidRDefault="00DA1260" w:rsidP="00535EB5">
            <w:pPr>
              <w:keepNext/>
              <w:keepLines/>
              <w:ind w:left="-70"/>
              <w:jc w:val="center"/>
              <w:rPr>
                <w:rFonts w:ascii="Arial Narrow" w:hAnsi="Arial Narrow"/>
                <w:b/>
                <w:sz w:val="20"/>
              </w:rPr>
            </w:pPr>
            <w:r>
              <w:rPr>
                <w:rFonts w:ascii="Arial Narrow" w:hAnsi="Arial Narrow"/>
                <w:b/>
                <w:sz w:val="20"/>
              </w:rPr>
              <w:t>Method</w:t>
            </w:r>
          </w:p>
        </w:tc>
        <w:tc>
          <w:tcPr>
            <w:tcW w:w="851" w:type="dxa"/>
            <w:vAlign w:val="center"/>
          </w:tcPr>
          <w:p w:rsidR="00DA1260" w:rsidRDefault="00DA1260" w:rsidP="00535EB5">
            <w:pPr>
              <w:keepNext/>
              <w:keepLines/>
              <w:ind w:left="-70"/>
              <w:jc w:val="center"/>
              <w:rPr>
                <w:rFonts w:ascii="Arial Narrow" w:hAnsi="Arial Narrow"/>
                <w:b/>
                <w:sz w:val="20"/>
              </w:rPr>
            </w:pPr>
            <w:r>
              <w:rPr>
                <w:rFonts w:ascii="Arial Narrow" w:hAnsi="Arial Narrow"/>
                <w:b/>
                <w:sz w:val="20"/>
              </w:rPr>
              <w:t xml:space="preserve">DRV </w:t>
            </w:r>
          </w:p>
          <w:p w:rsidR="00DA1260" w:rsidRPr="00032189" w:rsidRDefault="00DA1260" w:rsidP="00535EB5">
            <w:pPr>
              <w:keepNext/>
              <w:keepLines/>
              <w:ind w:left="-70"/>
              <w:jc w:val="center"/>
              <w:rPr>
                <w:rFonts w:ascii="Arial Narrow" w:hAnsi="Arial Narrow"/>
                <w:b/>
                <w:sz w:val="20"/>
              </w:rPr>
            </w:pPr>
            <w:r>
              <w:rPr>
                <w:rFonts w:ascii="Arial Narrow" w:hAnsi="Arial Narrow"/>
                <w:b/>
                <w:sz w:val="20"/>
              </w:rPr>
              <w:t>800 mg</w:t>
            </w:r>
          </w:p>
        </w:tc>
        <w:tc>
          <w:tcPr>
            <w:tcW w:w="850" w:type="dxa"/>
            <w:vAlign w:val="center"/>
          </w:tcPr>
          <w:p w:rsidR="00DA1260" w:rsidRDefault="00DA1260" w:rsidP="00535EB5">
            <w:pPr>
              <w:keepNext/>
              <w:keepLines/>
              <w:ind w:left="-70"/>
              <w:jc w:val="center"/>
              <w:rPr>
                <w:rFonts w:ascii="Arial Narrow" w:hAnsi="Arial Narrow"/>
                <w:b/>
                <w:sz w:val="20"/>
              </w:rPr>
            </w:pPr>
            <w:r>
              <w:rPr>
                <w:rFonts w:ascii="Arial Narrow" w:hAnsi="Arial Narrow"/>
                <w:b/>
                <w:sz w:val="20"/>
              </w:rPr>
              <w:t>r</w:t>
            </w:r>
          </w:p>
          <w:p w:rsidR="00DA1260" w:rsidRPr="00032189" w:rsidRDefault="00DA1260" w:rsidP="00535EB5">
            <w:pPr>
              <w:keepNext/>
              <w:keepLines/>
              <w:ind w:left="-70"/>
              <w:jc w:val="center"/>
              <w:rPr>
                <w:rFonts w:ascii="Arial Narrow" w:hAnsi="Arial Narrow"/>
                <w:b/>
                <w:sz w:val="20"/>
              </w:rPr>
            </w:pPr>
            <w:r>
              <w:rPr>
                <w:rFonts w:ascii="Arial Narrow" w:hAnsi="Arial Narrow"/>
                <w:b/>
                <w:sz w:val="20"/>
              </w:rPr>
              <w:t>100 mg</w:t>
            </w:r>
          </w:p>
        </w:tc>
      </w:tr>
      <w:tr w:rsidR="00DA1260" w:rsidRPr="0004296E" w:rsidTr="001B25EE">
        <w:tc>
          <w:tcPr>
            <w:tcW w:w="0" w:type="auto"/>
          </w:tcPr>
          <w:p w:rsidR="00DA1260" w:rsidRPr="0004296E" w:rsidRDefault="00DA1260" w:rsidP="00535EB5">
            <w:pPr>
              <w:pStyle w:val="TableText0"/>
              <w:keepLines/>
              <w:spacing w:before="0" w:after="0"/>
              <w:rPr>
                <w:rFonts w:cs="Arial"/>
              </w:rPr>
            </w:pPr>
            <w:r>
              <w:rPr>
                <w:rFonts w:cs="Arial"/>
              </w:rPr>
              <w:t>-</w:t>
            </w:r>
          </w:p>
        </w:tc>
        <w:tc>
          <w:tcPr>
            <w:tcW w:w="0" w:type="auto"/>
            <w:gridSpan w:val="2"/>
          </w:tcPr>
          <w:p w:rsidR="00DA1260" w:rsidRPr="0004296E" w:rsidRDefault="00DA1260" w:rsidP="00535EB5">
            <w:pPr>
              <w:pStyle w:val="TableText0"/>
              <w:keepLines/>
              <w:spacing w:before="0" w:after="0"/>
              <w:rPr>
                <w:rFonts w:cs="Arial"/>
              </w:rPr>
            </w:pPr>
            <w:r w:rsidRPr="0004296E">
              <w:rPr>
                <w:rFonts w:cs="Arial"/>
              </w:rPr>
              <w:t>PBS item</w:t>
            </w:r>
            <w:r>
              <w:rPr>
                <w:rFonts w:cs="Arial"/>
              </w:rPr>
              <w:t xml:space="preserve"> code</w:t>
            </w:r>
          </w:p>
        </w:tc>
        <w:tc>
          <w:tcPr>
            <w:tcW w:w="1415" w:type="dxa"/>
          </w:tcPr>
          <w:p w:rsidR="00DA1260" w:rsidRPr="00C401EA" w:rsidRDefault="00DA1260" w:rsidP="00535EB5">
            <w:pPr>
              <w:pStyle w:val="TableText0"/>
              <w:keepLines/>
              <w:spacing w:before="0" w:after="0"/>
              <w:jc w:val="center"/>
              <w:rPr>
                <w:rFonts w:cs="Arial"/>
              </w:rPr>
            </w:pPr>
            <w:r>
              <w:rPr>
                <w:rFonts w:ascii="Times New Roman" w:hAnsi="Times New Roman" w:cs="Times New Roman"/>
              </w:rPr>
              <w:t>─</w:t>
            </w:r>
          </w:p>
        </w:tc>
        <w:tc>
          <w:tcPr>
            <w:tcW w:w="851" w:type="dxa"/>
            <w:vAlign w:val="center"/>
          </w:tcPr>
          <w:p w:rsidR="00DA1260" w:rsidRPr="0004296E" w:rsidRDefault="00DA1260" w:rsidP="00535EB5">
            <w:pPr>
              <w:pStyle w:val="TableText0"/>
              <w:keepLines/>
              <w:spacing w:before="0" w:after="0"/>
              <w:jc w:val="center"/>
              <w:rPr>
                <w:rFonts w:cs="Arial"/>
              </w:rPr>
            </w:pPr>
            <w:r w:rsidRPr="00C401EA">
              <w:rPr>
                <w:rFonts w:cs="Arial"/>
              </w:rPr>
              <w:t>103</w:t>
            </w:r>
            <w:r>
              <w:rPr>
                <w:rFonts w:cs="Arial"/>
              </w:rPr>
              <w:t>67P</w:t>
            </w:r>
          </w:p>
        </w:tc>
        <w:tc>
          <w:tcPr>
            <w:tcW w:w="850" w:type="dxa"/>
            <w:vAlign w:val="center"/>
          </w:tcPr>
          <w:p w:rsidR="00DA1260" w:rsidRPr="0004296E" w:rsidRDefault="00DA1260" w:rsidP="00535EB5">
            <w:pPr>
              <w:pStyle w:val="TableText0"/>
              <w:keepLines/>
              <w:spacing w:before="0" w:after="0"/>
              <w:jc w:val="center"/>
              <w:rPr>
                <w:rFonts w:cs="Arial"/>
              </w:rPr>
            </w:pPr>
            <w:r>
              <w:rPr>
                <w:rFonts w:cs="Arial"/>
              </w:rPr>
              <w:t>10273Q</w:t>
            </w:r>
          </w:p>
        </w:tc>
      </w:tr>
      <w:tr w:rsidR="00DA1260" w:rsidRPr="0004296E" w:rsidTr="001B25EE">
        <w:tc>
          <w:tcPr>
            <w:tcW w:w="0" w:type="auto"/>
          </w:tcPr>
          <w:p w:rsidR="00DA1260" w:rsidRPr="0004296E" w:rsidRDefault="00DA1260" w:rsidP="00535EB5">
            <w:pPr>
              <w:pStyle w:val="TableText0"/>
              <w:keepLines/>
              <w:spacing w:before="0" w:after="0"/>
              <w:rPr>
                <w:rFonts w:cs="Arial"/>
              </w:rPr>
            </w:pPr>
            <w:r>
              <w:rPr>
                <w:rFonts w:cs="Arial"/>
              </w:rPr>
              <w:t>A</w:t>
            </w:r>
          </w:p>
        </w:tc>
        <w:tc>
          <w:tcPr>
            <w:tcW w:w="0" w:type="auto"/>
            <w:gridSpan w:val="2"/>
          </w:tcPr>
          <w:p w:rsidR="00DA1260" w:rsidRPr="0004296E" w:rsidRDefault="00DA1260" w:rsidP="00535EB5">
            <w:pPr>
              <w:pStyle w:val="TableText0"/>
              <w:keepLines/>
              <w:spacing w:before="0" w:after="0"/>
              <w:rPr>
                <w:rFonts w:cs="Arial"/>
              </w:rPr>
            </w:pPr>
            <w:r>
              <w:rPr>
                <w:rFonts w:cs="Arial"/>
              </w:rPr>
              <w:t>Approved ex-manufacturer price (AEMP)</w:t>
            </w:r>
          </w:p>
        </w:tc>
        <w:tc>
          <w:tcPr>
            <w:tcW w:w="1415" w:type="dxa"/>
            <w:vAlign w:val="center"/>
          </w:tcPr>
          <w:p w:rsidR="00DA1260" w:rsidRPr="00C401EA" w:rsidRDefault="00DA1260" w:rsidP="00535EB5">
            <w:pPr>
              <w:pStyle w:val="TableText0"/>
              <w:keepLines/>
              <w:spacing w:before="0" w:after="0"/>
              <w:jc w:val="center"/>
              <w:rPr>
                <w:rFonts w:cs="Arial"/>
              </w:rPr>
            </w:pPr>
            <w:r>
              <w:rPr>
                <w:rFonts w:cs="Arial"/>
              </w:rPr>
              <w:t>PBS Schedule</w:t>
            </w:r>
          </w:p>
        </w:tc>
        <w:tc>
          <w:tcPr>
            <w:tcW w:w="851" w:type="dxa"/>
            <w:vAlign w:val="center"/>
          </w:tcPr>
          <w:p w:rsidR="00DA1260" w:rsidRPr="0004296E" w:rsidRDefault="00DA1260" w:rsidP="00535EB5">
            <w:pPr>
              <w:pStyle w:val="TableText0"/>
              <w:keepLines/>
              <w:spacing w:before="0" w:after="0"/>
              <w:jc w:val="right"/>
              <w:rPr>
                <w:rFonts w:cs="Arial"/>
              </w:rPr>
            </w:pPr>
            <w:r w:rsidRPr="00C401EA">
              <w:rPr>
                <w:rFonts w:cs="Arial"/>
              </w:rPr>
              <w:t>$</w:t>
            </w:r>
            <w:r w:rsidRPr="0065142F">
              <w:rPr>
                <w:rFonts w:cs="Arial"/>
              </w:rPr>
              <w:t>699.14</w:t>
            </w:r>
          </w:p>
        </w:tc>
        <w:tc>
          <w:tcPr>
            <w:tcW w:w="850" w:type="dxa"/>
            <w:vAlign w:val="center"/>
          </w:tcPr>
          <w:p w:rsidR="00DA1260" w:rsidRPr="0004296E" w:rsidRDefault="00DA1260" w:rsidP="00535EB5">
            <w:pPr>
              <w:pStyle w:val="TableText0"/>
              <w:keepLines/>
              <w:spacing w:before="0" w:after="0"/>
              <w:jc w:val="right"/>
              <w:rPr>
                <w:rFonts w:cs="Arial"/>
              </w:rPr>
            </w:pPr>
            <w:r w:rsidRPr="00C401EA">
              <w:rPr>
                <w:rFonts w:cs="Arial"/>
              </w:rPr>
              <w:t>$</w:t>
            </w:r>
            <w:r w:rsidR="00182F18">
              <w:rPr>
                <w:rFonts w:cs="Arial"/>
                <w:noProof/>
                <w:color w:val="000000"/>
                <w:highlight w:val="black"/>
              </w:rPr>
              <w:t>'''''''''''''</w:t>
            </w:r>
          </w:p>
        </w:tc>
      </w:tr>
      <w:tr w:rsidR="00DA1260" w:rsidRPr="0004296E" w:rsidTr="001B25EE">
        <w:tc>
          <w:tcPr>
            <w:tcW w:w="0" w:type="auto"/>
          </w:tcPr>
          <w:p w:rsidR="00DA1260" w:rsidRDefault="00DA1260" w:rsidP="00535EB5">
            <w:pPr>
              <w:pStyle w:val="TableText0"/>
              <w:keepLines/>
              <w:spacing w:before="0" w:after="0"/>
              <w:rPr>
                <w:rFonts w:cs="Arial"/>
              </w:rPr>
            </w:pPr>
            <w:r>
              <w:rPr>
                <w:rFonts w:cs="Arial"/>
              </w:rPr>
              <w:t>B</w:t>
            </w:r>
          </w:p>
        </w:tc>
        <w:tc>
          <w:tcPr>
            <w:tcW w:w="0" w:type="auto"/>
            <w:gridSpan w:val="2"/>
          </w:tcPr>
          <w:p w:rsidR="00DA1260" w:rsidRDefault="00DA1260" w:rsidP="00535EB5">
            <w:pPr>
              <w:pStyle w:val="TableText0"/>
              <w:keepLines/>
              <w:spacing w:before="0" w:after="0"/>
              <w:rPr>
                <w:rFonts w:cs="Arial"/>
              </w:rPr>
            </w:pPr>
            <w:r>
              <w:rPr>
                <w:rFonts w:cs="Arial"/>
              </w:rPr>
              <w:t>Pack size</w:t>
            </w:r>
          </w:p>
        </w:tc>
        <w:tc>
          <w:tcPr>
            <w:tcW w:w="1415" w:type="dxa"/>
            <w:vAlign w:val="center"/>
          </w:tcPr>
          <w:p w:rsidR="00DA1260" w:rsidRDefault="00DA1260" w:rsidP="00535EB5">
            <w:pPr>
              <w:pStyle w:val="TableText0"/>
              <w:keepLines/>
              <w:spacing w:before="0" w:after="0"/>
              <w:jc w:val="center"/>
              <w:rPr>
                <w:rFonts w:cs="Arial"/>
              </w:rPr>
            </w:pPr>
            <w:r>
              <w:rPr>
                <w:rFonts w:cs="Arial"/>
              </w:rPr>
              <w:t>PBS Schedule</w:t>
            </w:r>
          </w:p>
        </w:tc>
        <w:tc>
          <w:tcPr>
            <w:tcW w:w="851" w:type="dxa"/>
            <w:vAlign w:val="center"/>
          </w:tcPr>
          <w:p w:rsidR="00DA1260" w:rsidRDefault="00DA1260" w:rsidP="00535EB5">
            <w:pPr>
              <w:pStyle w:val="TableText0"/>
              <w:keepLines/>
              <w:spacing w:before="0" w:after="0"/>
              <w:jc w:val="center"/>
              <w:rPr>
                <w:rFonts w:cs="Arial"/>
              </w:rPr>
            </w:pPr>
            <w:r>
              <w:rPr>
                <w:rFonts w:cs="Arial"/>
              </w:rPr>
              <w:t>30</w:t>
            </w:r>
          </w:p>
        </w:tc>
        <w:tc>
          <w:tcPr>
            <w:tcW w:w="850" w:type="dxa"/>
            <w:vAlign w:val="center"/>
          </w:tcPr>
          <w:p w:rsidR="00DA1260" w:rsidRDefault="00DA1260" w:rsidP="00535EB5">
            <w:pPr>
              <w:pStyle w:val="TableText0"/>
              <w:keepLines/>
              <w:spacing w:before="0" w:after="0"/>
              <w:jc w:val="center"/>
              <w:rPr>
                <w:rFonts w:cs="Arial"/>
              </w:rPr>
            </w:pPr>
            <w:r>
              <w:rPr>
                <w:rFonts w:cs="Arial"/>
              </w:rPr>
              <w:t>30</w:t>
            </w:r>
          </w:p>
        </w:tc>
      </w:tr>
      <w:tr w:rsidR="00DA1260" w:rsidRPr="0004296E" w:rsidTr="001B25EE">
        <w:tc>
          <w:tcPr>
            <w:tcW w:w="0" w:type="auto"/>
          </w:tcPr>
          <w:p w:rsidR="00DA1260" w:rsidRDefault="00DA1260" w:rsidP="00535EB5">
            <w:pPr>
              <w:pStyle w:val="TableText0"/>
              <w:keepLines/>
              <w:spacing w:before="0" w:after="0"/>
              <w:rPr>
                <w:rFonts w:cs="Arial"/>
              </w:rPr>
            </w:pPr>
            <w:r>
              <w:rPr>
                <w:rFonts w:cs="Arial"/>
              </w:rPr>
              <w:t>C</w:t>
            </w:r>
          </w:p>
        </w:tc>
        <w:tc>
          <w:tcPr>
            <w:tcW w:w="0" w:type="auto"/>
            <w:gridSpan w:val="2"/>
          </w:tcPr>
          <w:p w:rsidR="00DA1260" w:rsidRPr="0004296E" w:rsidRDefault="00DA1260" w:rsidP="00535EB5">
            <w:pPr>
              <w:pStyle w:val="TableText0"/>
              <w:keepLines/>
              <w:spacing w:before="0" w:after="0"/>
              <w:rPr>
                <w:rFonts w:cs="Arial"/>
              </w:rPr>
            </w:pPr>
            <w:r>
              <w:rPr>
                <w:rFonts w:cs="Arial"/>
              </w:rPr>
              <w:t>AEMP price per day</w:t>
            </w:r>
          </w:p>
        </w:tc>
        <w:tc>
          <w:tcPr>
            <w:tcW w:w="1415" w:type="dxa"/>
            <w:vAlign w:val="center"/>
          </w:tcPr>
          <w:p w:rsidR="00DA1260" w:rsidRPr="00084CEB" w:rsidRDefault="00DA1260" w:rsidP="00535EB5">
            <w:pPr>
              <w:pStyle w:val="TableText0"/>
              <w:keepLines/>
              <w:spacing w:before="0" w:after="0"/>
              <w:jc w:val="center"/>
              <w:rPr>
                <w:rFonts w:cs="Arial"/>
              </w:rPr>
            </w:pPr>
            <w:r>
              <w:rPr>
                <w:rFonts w:cs="Arial"/>
              </w:rPr>
              <w:t>A/B</w:t>
            </w:r>
          </w:p>
        </w:tc>
        <w:tc>
          <w:tcPr>
            <w:tcW w:w="851" w:type="dxa"/>
            <w:vAlign w:val="center"/>
          </w:tcPr>
          <w:p w:rsidR="00DA1260" w:rsidRPr="0004296E" w:rsidRDefault="00DA1260" w:rsidP="00535EB5">
            <w:pPr>
              <w:pStyle w:val="TableText0"/>
              <w:keepLines/>
              <w:spacing w:before="0" w:after="0"/>
              <w:jc w:val="right"/>
              <w:rPr>
                <w:rFonts w:cs="Arial"/>
              </w:rPr>
            </w:pPr>
            <w:r>
              <w:rPr>
                <w:rFonts w:cs="Arial"/>
              </w:rPr>
              <w:t>$</w:t>
            </w:r>
            <w:r w:rsidRPr="0065142F">
              <w:rPr>
                <w:rFonts w:cs="Arial"/>
              </w:rPr>
              <w:t>23.20</w:t>
            </w:r>
          </w:p>
        </w:tc>
        <w:tc>
          <w:tcPr>
            <w:tcW w:w="850" w:type="dxa"/>
            <w:vAlign w:val="center"/>
          </w:tcPr>
          <w:p w:rsidR="00DA1260" w:rsidRPr="0004296E" w:rsidRDefault="00DA1260" w:rsidP="00535EB5">
            <w:pPr>
              <w:pStyle w:val="TableText0"/>
              <w:keepLines/>
              <w:spacing w:before="0" w:after="0"/>
              <w:jc w:val="right"/>
              <w:rPr>
                <w:rFonts w:cs="Arial"/>
              </w:rPr>
            </w:pPr>
            <w:r>
              <w:rPr>
                <w:rFonts w:cs="Arial"/>
              </w:rPr>
              <w:t>$</w:t>
            </w:r>
            <w:r w:rsidR="00182F18">
              <w:rPr>
                <w:rFonts w:cs="Arial"/>
                <w:noProof/>
                <w:color w:val="000000"/>
                <w:highlight w:val="black"/>
              </w:rPr>
              <w:t>''''''''''''</w:t>
            </w:r>
          </w:p>
        </w:tc>
      </w:tr>
      <w:tr w:rsidR="00DA1260" w:rsidRPr="0004296E" w:rsidTr="001B25EE">
        <w:tc>
          <w:tcPr>
            <w:tcW w:w="8363" w:type="dxa"/>
            <w:gridSpan w:val="6"/>
          </w:tcPr>
          <w:p w:rsidR="00DA1260" w:rsidRPr="004A4CE2" w:rsidRDefault="00DA1260" w:rsidP="00535EB5">
            <w:pPr>
              <w:pStyle w:val="TableText0"/>
              <w:keepLines/>
              <w:spacing w:before="0" w:after="0"/>
              <w:jc w:val="left"/>
              <w:rPr>
                <w:rFonts w:cs="Arial"/>
                <w:b/>
              </w:rPr>
            </w:pPr>
            <w:r w:rsidRPr="004A4CE2">
              <w:rPr>
                <w:rFonts w:cs="Arial"/>
                <w:b/>
              </w:rPr>
              <w:t>Darunavir/cobicistat FDC</w:t>
            </w:r>
          </w:p>
        </w:tc>
      </w:tr>
      <w:tr w:rsidR="00DA1260" w:rsidRPr="0004296E" w:rsidTr="001B25EE">
        <w:tc>
          <w:tcPr>
            <w:tcW w:w="0" w:type="auto"/>
          </w:tcPr>
          <w:p w:rsidR="00DA1260" w:rsidRDefault="00DA1260" w:rsidP="00535EB5">
            <w:pPr>
              <w:pStyle w:val="TableText0"/>
              <w:keepLines/>
              <w:spacing w:before="0" w:after="0"/>
              <w:rPr>
                <w:rFonts w:cs="Arial"/>
              </w:rPr>
            </w:pPr>
            <w:r>
              <w:rPr>
                <w:rFonts w:cs="Arial"/>
              </w:rPr>
              <w:t>D</w:t>
            </w:r>
          </w:p>
        </w:tc>
        <w:tc>
          <w:tcPr>
            <w:tcW w:w="0" w:type="auto"/>
            <w:gridSpan w:val="2"/>
          </w:tcPr>
          <w:p w:rsidR="00DA1260" w:rsidRPr="0004296E" w:rsidRDefault="00DA1260" w:rsidP="00535EB5">
            <w:pPr>
              <w:pStyle w:val="TableText0"/>
              <w:keepLines/>
              <w:spacing w:before="0" w:after="0"/>
              <w:rPr>
                <w:rFonts w:cs="Arial"/>
              </w:rPr>
            </w:pPr>
            <w:r>
              <w:rPr>
                <w:rFonts w:cs="Arial"/>
              </w:rPr>
              <w:t>AEMP price per day</w:t>
            </w:r>
          </w:p>
        </w:tc>
        <w:tc>
          <w:tcPr>
            <w:tcW w:w="1415" w:type="dxa"/>
            <w:tcBorders>
              <w:bottom w:val="single" w:sz="4" w:space="0" w:color="auto"/>
            </w:tcBorders>
            <w:vAlign w:val="center"/>
          </w:tcPr>
          <w:p w:rsidR="00DA1260" w:rsidRPr="00084CEB" w:rsidRDefault="00DA1260" w:rsidP="00535EB5">
            <w:pPr>
              <w:pStyle w:val="TableText0"/>
              <w:keepLines/>
              <w:spacing w:before="0" w:after="0"/>
              <w:jc w:val="center"/>
              <w:rPr>
                <w:rFonts w:cs="Arial"/>
              </w:rPr>
            </w:pPr>
            <w:r>
              <w:rPr>
                <w:rFonts w:cs="Arial"/>
              </w:rPr>
              <w:t>Sum C (DRV + r)</w:t>
            </w:r>
          </w:p>
        </w:tc>
        <w:tc>
          <w:tcPr>
            <w:tcW w:w="1701" w:type="dxa"/>
            <w:gridSpan w:val="2"/>
            <w:vAlign w:val="center"/>
          </w:tcPr>
          <w:p w:rsidR="00DA1260" w:rsidRPr="0004296E" w:rsidRDefault="00DA1260" w:rsidP="00535EB5">
            <w:pPr>
              <w:pStyle w:val="TableText0"/>
              <w:keepLines/>
              <w:spacing w:before="0" w:after="0"/>
              <w:jc w:val="right"/>
              <w:rPr>
                <w:rFonts w:cs="Arial"/>
              </w:rPr>
            </w:pPr>
            <w:r w:rsidRPr="00084CEB">
              <w:rPr>
                <w:rFonts w:cs="Arial"/>
              </w:rPr>
              <w:t>$</w:t>
            </w:r>
            <w:r w:rsidR="00182F18">
              <w:rPr>
                <w:rFonts w:cs="Arial"/>
                <w:noProof/>
                <w:color w:val="000000"/>
                <w:highlight w:val="black"/>
              </w:rPr>
              <w:t>'''''''''''''</w:t>
            </w:r>
          </w:p>
        </w:tc>
      </w:tr>
      <w:tr w:rsidR="00DA1260" w:rsidRPr="0004296E" w:rsidTr="001B25EE">
        <w:tc>
          <w:tcPr>
            <w:tcW w:w="0" w:type="auto"/>
          </w:tcPr>
          <w:p w:rsidR="00DA1260" w:rsidRDefault="00DA1260" w:rsidP="00535EB5">
            <w:pPr>
              <w:pStyle w:val="TableText0"/>
              <w:keepLines/>
              <w:spacing w:before="0" w:after="0"/>
              <w:rPr>
                <w:rFonts w:cs="Arial"/>
              </w:rPr>
            </w:pPr>
            <w:r>
              <w:rPr>
                <w:rFonts w:cs="Arial"/>
              </w:rPr>
              <w:t>E</w:t>
            </w:r>
          </w:p>
        </w:tc>
        <w:tc>
          <w:tcPr>
            <w:tcW w:w="0" w:type="auto"/>
            <w:gridSpan w:val="2"/>
          </w:tcPr>
          <w:p w:rsidR="00DA1260" w:rsidRDefault="00DA1260" w:rsidP="00535EB5">
            <w:pPr>
              <w:pStyle w:val="TableText0"/>
              <w:keepLines/>
              <w:spacing w:before="0" w:after="0"/>
              <w:rPr>
                <w:rFonts w:cs="Arial"/>
              </w:rPr>
            </w:pPr>
            <w:r>
              <w:rPr>
                <w:rFonts w:cs="Arial"/>
              </w:rPr>
              <w:t>AEMP</w:t>
            </w:r>
          </w:p>
        </w:tc>
        <w:tc>
          <w:tcPr>
            <w:tcW w:w="1415" w:type="dxa"/>
            <w:tcBorders>
              <w:bottom w:val="single" w:sz="4" w:space="0" w:color="auto"/>
            </w:tcBorders>
            <w:vAlign w:val="center"/>
          </w:tcPr>
          <w:p w:rsidR="00DA1260" w:rsidRPr="00941BF9" w:rsidRDefault="00A85A7C" w:rsidP="00535EB5">
            <w:pPr>
              <w:pStyle w:val="TableText0"/>
              <w:keepLines/>
              <w:spacing w:before="0" w:after="0"/>
              <w:jc w:val="center"/>
              <w:rPr>
                <w:rFonts w:cs="Times New Roman"/>
              </w:rPr>
            </w:pPr>
            <w:r w:rsidRPr="00941BF9">
              <w:rPr>
                <w:rFonts w:cs="Times New Roman"/>
              </w:rPr>
              <w:t>D * 30</w:t>
            </w:r>
          </w:p>
        </w:tc>
        <w:tc>
          <w:tcPr>
            <w:tcW w:w="1701" w:type="dxa"/>
            <w:gridSpan w:val="2"/>
            <w:vAlign w:val="center"/>
          </w:tcPr>
          <w:p w:rsidR="00DA1260" w:rsidRDefault="00DA1260" w:rsidP="00535EB5">
            <w:pPr>
              <w:pStyle w:val="TableText0"/>
              <w:keepLines/>
              <w:spacing w:before="0" w:after="0"/>
              <w:jc w:val="right"/>
              <w:rPr>
                <w:rFonts w:cs="Arial"/>
              </w:rPr>
            </w:pPr>
            <w:r>
              <w:rPr>
                <w:rFonts w:cs="Arial"/>
              </w:rPr>
              <w:t>$</w:t>
            </w:r>
            <w:r w:rsidR="00182F18">
              <w:rPr>
                <w:rFonts w:cs="Arial"/>
                <w:noProof/>
                <w:color w:val="000000"/>
                <w:highlight w:val="black"/>
              </w:rPr>
              <w:t>''''''''''''''''</w:t>
            </w:r>
          </w:p>
        </w:tc>
      </w:tr>
      <w:tr w:rsidR="00DA1260" w:rsidRPr="0004296E" w:rsidTr="001B25EE">
        <w:tc>
          <w:tcPr>
            <w:tcW w:w="0" w:type="auto"/>
          </w:tcPr>
          <w:p w:rsidR="00DA1260" w:rsidRDefault="00DA1260" w:rsidP="00535EB5">
            <w:pPr>
              <w:pStyle w:val="TableText0"/>
              <w:keepLines/>
              <w:spacing w:before="0" w:after="0"/>
              <w:rPr>
                <w:rFonts w:cs="Arial"/>
              </w:rPr>
            </w:pPr>
            <w:r>
              <w:rPr>
                <w:rFonts w:cs="Arial"/>
              </w:rPr>
              <w:t>F</w:t>
            </w:r>
          </w:p>
        </w:tc>
        <w:tc>
          <w:tcPr>
            <w:tcW w:w="0" w:type="auto"/>
            <w:gridSpan w:val="2"/>
          </w:tcPr>
          <w:p w:rsidR="00DA1260" w:rsidRDefault="00DA1260" w:rsidP="00535EB5">
            <w:pPr>
              <w:pStyle w:val="TableText0"/>
              <w:keepLines/>
              <w:spacing w:before="0" w:after="0"/>
              <w:rPr>
                <w:rFonts w:cs="Arial"/>
              </w:rPr>
            </w:pPr>
            <w:r>
              <w:rPr>
                <w:rFonts w:cs="Arial"/>
              </w:rPr>
              <w:t xml:space="preserve">Maximum quantity; packs </w:t>
            </w:r>
          </w:p>
        </w:tc>
        <w:tc>
          <w:tcPr>
            <w:tcW w:w="1415" w:type="dxa"/>
            <w:tcBorders>
              <w:bottom w:val="single" w:sz="4" w:space="0" w:color="auto"/>
            </w:tcBorders>
            <w:vAlign w:val="center"/>
          </w:tcPr>
          <w:p w:rsidR="00DA1260" w:rsidRDefault="00DA1260" w:rsidP="00535EB5">
            <w:pPr>
              <w:pStyle w:val="TableText0"/>
              <w:keepLines/>
              <w:spacing w:before="0" w:after="0"/>
              <w:jc w:val="center"/>
              <w:rPr>
                <w:rFonts w:cs="Arial"/>
              </w:rPr>
            </w:pPr>
            <w:r>
              <w:rPr>
                <w:rFonts w:ascii="Times New Roman" w:hAnsi="Times New Roman" w:cs="Times New Roman"/>
              </w:rPr>
              <w:t>─</w:t>
            </w:r>
          </w:p>
        </w:tc>
        <w:tc>
          <w:tcPr>
            <w:tcW w:w="1701" w:type="dxa"/>
            <w:gridSpan w:val="2"/>
            <w:vAlign w:val="center"/>
          </w:tcPr>
          <w:p w:rsidR="00DA1260" w:rsidRPr="00084CEB" w:rsidRDefault="00DA1260" w:rsidP="00535EB5">
            <w:pPr>
              <w:pStyle w:val="TableText0"/>
              <w:keepLines/>
              <w:spacing w:before="0" w:after="0"/>
              <w:jc w:val="center"/>
              <w:rPr>
                <w:rFonts w:cs="Arial"/>
              </w:rPr>
            </w:pPr>
            <w:r>
              <w:rPr>
                <w:rFonts w:cs="Arial"/>
              </w:rPr>
              <w:t xml:space="preserve">2 </w:t>
            </w:r>
          </w:p>
        </w:tc>
      </w:tr>
      <w:tr w:rsidR="00DA1260" w:rsidRPr="0004296E" w:rsidTr="001B25EE">
        <w:tc>
          <w:tcPr>
            <w:tcW w:w="0" w:type="auto"/>
          </w:tcPr>
          <w:p w:rsidR="00DA1260" w:rsidRDefault="00DA1260" w:rsidP="00535EB5">
            <w:pPr>
              <w:pStyle w:val="TableText0"/>
              <w:keepLines/>
              <w:spacing w:before="0" w:after="0"/>
              <w:rPr>
                <w:rFonts w:cs="Arial"/>
              </w:rPr>
            </w:pPr>
            <w:r>
              <w:rPr>
                <w:rFonts w:cs="Arial"/>
              </w:rPr>
              <w:t>G</w:t>
            </w:r>
          </w:p>
        </w:tc>
        <w:tc>
          <w:tcPr>
            <w:tcW w:w="0" w:type="auto"/>
            <w:gridSpan w:val="2"/>
            <w:tcBorders>
              <w:right w:val="single" w:sz="4" w:space="0" w:color="auto"/>
            </w:tcBorders>
          </w:tcPr>
          <w:p w:rsidR="00DA1260" w:rsidRPr="00CF0F43" w:rsidRDefault="00DA1260" w:rsidP="00535EB5">
            <w:pPr>
              <w:pStyle w:val="TableText0"/>
              <w:keepLines/>
              <w:spacing w:before="0" w:after="0"/>
              <w:rPr>
                <w:rFonts w:cs="Arial"/>
              </w:rPr>
            </w:pPr>
            <w:r>
              <w:rPr>
                <w:rFonts w:cs="Arial"/>
              </w:rPr>
              <w:t>HSD m</w:t>
            </w:r>
            <w:r w:rsidRPr="0004296E">
              <w:rPr>
                <w:rFonts w:cs="Arial"/>
              </w:rPr>
              <w:t>ark-up</w:t>
            </w:r>
            <w:r>
              <w:rPr>
                <w:rFonts w:cs="Arial"/>
              </w:rPr>
              <w:t xml:space="preserve"> (P</w:t>
            </w:r>
            <w:r w:rsidRPr="008B0D77">
              <w:rPr>
                <w:rFonts w:cs="Arial"/>
              </w:rPr>
              <w:t>rivate</w:t>
            </w:r>
            <w:r>
              <w:rPr>
                <w:rFonts w:cs="Arial"/>
              </w:rPr>
              <w:t>)</w:t>
            </w:r>
            <w:r w:rsidRPr="008B0D77">
              <w:rPr>
                <w:rFonts w:cs="Arial"/>
              </w:rPr>
              <w:t xml:space="preserve"> </w:t>
            </w:r>
          </w:p>
        </w:tc>
        <w:tc>
          <w:tcPr>
            <w:tcW w:w="1415" w:type="dxa"/>
            <w:vMerge w:val="restart"/>
            <w:tcBorders>
              <w:top w:val="single" w:sz="4" w:space="0" w:color="auto"/>
              <w:left w:val="single" w:sz="4" w:space="0" w:color="auto"/>
              <w:right w:val="single" w:sz="4" w:space="0" w:color="auto"/>
            </w:tcBorders>
            <w:vAlign w:val="center"/>
          </w:tcPr>
          <w:p w:rsidR="00DA1260" w:rsidRPr="0004296E" w:rsidRDefault="00DA1260" w:rsidP="00535EB5">
            <w:pPr>
              <w:pStyle w:val="TableText0"/>
              <w:keepLines/>
              <w:spacing w:before="0" w:after="0"/>
              <w:jc w:val="center"/>
              <w:rPr>
                <w:rFonts w:cs="Arial"/>
              </w:rPr>
            </w:pPr>
            <w:r w:rsidRPr="003F3D84">
              <w:rPr>
                <w:rFonts w:cs="Arial"/>
              </w:rPr>
              <w:t>PBS Schedule</w:t>
            </w:r>
          </w:p>
        </w:tc>
        <w:tc>
          <w:tcPr>
            <w:tcW w:w="1701" w:type="dxa"/>
            <w:gridSpan w:val="2"/>
            <w:tcBorders>
              <w:left w:val="single" w:sz="4" w:space="0" w:color="auto"/>
            </w:tcBorders>
            <w:vAlign w:val="center"/>
          </w:tcPr>
          <w:p w:rsidR="00DA1260" w:rsidRPr="00746B24" w:rsidRDefault="00DA1260" w:rsidP="00535EB5">
            <w:pPr>
              <w:pStyle w:val="TableText0"/>
              <w:keepLines/>
              <w:spacing w:before="0" w:after="0"/>
              <w:jc w:val="right"/>
              <w:rPr>
                <w:rFonts w:cs="Arial"/>
                <w:vertAlign w:val="superscript"/>
              </w:rPr>
            </w:pPr>
            <w:r>
              <w:rPr>
                <w:rFonts w:cs="Arial"/>
              </w:rPr>
              <w:t xml:space="preserve">$40 </w:t>
            </w:r>
            <w:r>
              <w:rPr>
                <w:rFonts w:cs="Arial"/>
                <w:vertAlign w:val="superscript"/>
              </w:rPr>
              <w:t>a</w:t>
            </w:r>
          </w:p>
        </w:tc>
      </w:tr>
      <w:tr w:rsidR="00DA1260" w:rsidRPr="0004296E" w:rsidTr="001B25EE">
        <w:tc>
          <w:tcPr>
            <w:tcW w:w="0" w:type="auto"/>
          </w:tcPr>
          <w:p w:rsidR="00DA1260" w:rsidRDefault="00DA1260" w:rsidP="00535EB5">
            <w:pPr>
              <w:pStyle w:val="TableText0"/>
              <w:keepLines/>
              <w:spacing w:before="0" w:after="0"/>
              <w:rPr>
                <w:rFonts w:cs="Arial"/>
              </w:rPr>
            </w:pPr>
            <w:r>
              <w:rPr>
                <w:rFonts w:cs="Arial"/>
              </w:rPr>
              <w:t>H</w:t>
            </w:r>
          </w:p>
        </w:tc>
        <w:tc>
          <w:tcPr>
            <w:tcW w:w="0" w:type="auto"/>
            <w:gridSpan w:val="2"/>
            <w:tcBorders>
              <w:right w:val="single" w:sz="4" w:space="0" w:color="auto"/>
            </w:tcBorders>
          </w:tcPr>
          <w:p w:rsidR="00DA1260" w:rsidRPr="0004296E" w:rsidRDefault="00DA1260" w:rsidP="00535EB5">
            <w:pPr>
              <w:pStyle w:val="TableText0"/>
              <w:keepLines/>
              <w:spacing w:before="0" w:after="0"/>
              <w:rPr>
                <w:rFonts w:cs="Arial"/>
              </w:rPr>
            </w:pPr>
            <w:r w:rsidRPr="0004296E">
              <w:rPr>
                <w:rFonts w:cs="Arial"/>
              </w:rPr>
              <w:t>Dispensing fee</w:t>
            </w:r>
          </w:p>
        </w:tc>
        <w:tc>
          <w:tcPr>
            <w:tcW w:w="1415" w:type="dxa"/>
            <w:vMerge/>
            <w:tcBorders>
              <w:left w:val="single" w:sz="4" w:space="0" w:color="auto"/>
              <w:bottom w:val="single" w:sz="4" w:space="0" w:color="auto"/>
              <w:right w:val="single" w:sz="4" w:space="0" w:color="auto"/>
            </w:tcBorders>
            <w:vAlign w:val="center"/>
          </w:tcPr>
          <w:p w:rsidR="00DA1260" w:rsidRPr="0004296E" w:rsidRDefault="00DA1260" w:rsidP="00535EB5">
            <w:pPr>
              <w:pStyle w:val="TableText0"/>
              <w:keepLines/>
              <w:spacing w:before="0" w:after="0"/>
              <w:jc w:val="center"/>
              <w:rPr>
                <w:rFonts w:cs="Arial"/>
              </w:rPr>
            </w:pPr>
          </w:p>
        </w:tc>
        <w:tc>
          <w:tcPr>
            <w:tcW w:w="1701" w:type="dxa"/>
            <w:gridSpan w:val="2"/>
            <w:tcBorders>
              <w:left w:val="single" w:sz="4" w:space="0" w:color="auto"/>
            </w:tcBorders>
            <w:vAlign w:val="center"/>
          </w:tcPr>
          <w:p w:rsidR="00DA1260" w:rsidRPr="00746B24" w:rsidRDefault="00DA1260" w:rsidP="00535EB5">
            <w:pPr>
              <w:pStyle w:val="TableText0"/>
              <w:keepLines/>
              <w:spacing w:before="0" w:after="0"/>
              <w:jc w:val="right"/>
              <w:rPr>
                <w:rFonts w:cs="Arial"/>
                <w:vertAlign w:val="superscript"/>
              </w:rPr>
            </w:pPr>
            <w:r w:rsidRPr="00746B24">
              <w:rPr>
                <w:rFonts w:cs="Arial"/>
              </w:rPr>
              <w:t>$6.93</w:t>
            </w:r>
            <w:r>
              <w:rPr>
                <w:rFonts w:cs="Arial"/>
              </w:rPr>
              <w:t xml:space="preserve"> </w:t>
            </w:r>
            <w:r>
              <w:rPr>
                <w:rFonts w:cs="Arial"/>
                <w:vertAlign w:val="superscript"/>
              </w:rPr>
              <w:t>b</w:t>
            </w:r>
          </w:p>
        </w:tc>
      </w:tr>
      <w:tr w:rsidR="00DA1260" w:rsidRPr="0004296E" w:rsidTr="001B25EE">
        <w:tc>
          <w:tcPr>
            <w:tcW w:w="0" w:type="auto"/>
          </w:tcPr>
          <w:p w:rsidR="00DA1260" w:rsidRDefault="00DA1260" w:rsidP="00535EB5">
            <w:pPr>
              <w:pStyle w:val="TableText0"/>
              <w:keepLines/>
              <w:spacing w:before="0" w:after="0"/>
              <w:rPr>
                <w:rFonts w:cs="Arial"/>
              </w:rPr>
            </w:pPr>
            <w:r>
              <w:rPr>
                <w:rFonts w:cs="Arial"/>
              </w:rPr>
              <w:t>I</w:t>
            </w:r>
          </w:p>
        </w:tc>
        <w:tc>
          <w:tcPr>
            <w:tcW w:w="0" w:type="auto"/>
          </w:tcPr>
          <w:p w:rsidR="00DA1260" w:rsidRPr="00A71808" w:rsidRDefault="00DA1260" w:rsidP="00535EB5">
            <w:pPr>
              <w:pStyle w:val="TableText0"/>
              <w:keepLines/>
              <w:spacing w:before="0" w:after="0"/>
              <w:ind w:left="113"/>
              <w:rPr>
                <w:rFonts w:cs="Arial"/>
              </w:rPr>
            </w:pPr>
            <w:r w:rsidRPr="00A71808">
              <w:rPr>
                <w:rFonts w:cs="Arial"/>
              </w:rPr>
              <w:t>Public</w:t>
            </w:r>
            <w:r>
              <w:rPr>
                <w:rFonts w:cs="Arial"/>
              </w:rPr>
              <w:t xml:space="preserve"> hospital for DPMQ</w:t>
            </w:r>
          </w:p>
        </w:tc>
        <w:tc>
          <w:tcPr>
            <w:tcW w:w="0" w:type="auto"/>
          </w:tcPr>
          <w:p w:rsidR="00DA1260" w:rsidRPr="00A71808" w:rsidRDefault="00DA1260" w:rsidP="00535EB5">
            <w:pPr>
              <w:pStyle w:val="TableText0"/>
              <w:keepLines/>
              <w:spacing w:before="0" w:after="0"/>
              <w:ind w:left="142"/>
              <w:rPr>
                <w:rFonts w:cs="Arial"/>
              </w:rPr>
            </w:pPr>
            <w:r>
              <w:rPr>
                <w:rFonts w:cs="Arial"/>
              </w:rPr>
              <w:t>Per unit</w:t>
            </w:r>
          </w:p>
        </w:tc>
        <w:tc>
          <w:tcPr>
            <w:tcW w:w="1415" w:type="dxa"/>
            <w:vAlign w:val="center"/>
          </w:tcPr>
          <w:p w:rsidR="00DA1260" w:rsidRPr="00A71808" w:rsidRDefault="00DA1260" w:rsidP="00535EB5">
            <w:pPr>
              <w:pStyle w:val="TableText0"/>
              <w:keepLines/>
              <w:spacing w:before="0" w:after="0"/>
              <w:jc w:val="center"/>
              <w:rPr>
                <w:rFonts w:cs="Arial"/>
              </w:rPr>
            </w:pPr>
            <w:r>
              <w:rPr>
                <w:rFonts w:cs="Arial"/>
              </w:rPr>
              <w:t xml:space="preserve">E * F </w:t>
            </w:r>
          </w:p>
        </w:tc>
        <w:tc>
          <w:tcPr>
            <w:tcW w:w="1701" w:type="dxa"/>
            <w:gridSpan w:val="2"/>
            <w:vAlign w:val="center"/>
          </w:tcPr>
          <w:p w:rsidR="00DA1260" w:rsidRPr="009D0534" w:rsidRDefault="00DA1260" w:rsidP="00535EB5">
            <w:pPr>
              <w:pStyle w:val="TableText0"/>
              <w:keepLines/>
              <w:spacing w:before="0" w:after="0"/>
              <w:jc w:val="right"/>
              <w:rPr>
                <w:rFonts w:cs="Arial"/>
              </w:rPr>
            </w:pPr>
            <w:r>
              <w:rPr>
                <w:rFonts w:cs="Arial"/>
              </w:rPr>
              <w:t>$</w:t>
            </w:r>
            <w:r w:rsidR="00182F18">
              <w:rPr>
                <w:rFonts w:cs="Arial"/>
                <w:noProof/>
                <w:color w:val="000000"/>
                <w:highlight w:val="black"/>
              </w:rPr>
              <w:t>'''''''''''''''''''''''</w:t>
            </w:r>
          </w:p>
        </w:tc>
      </w:tr>
      <w:tr w:rsidR="00DA1260" w:rsidRPr="0004296E" w:rsidTr="001B25EE">
        <w:tc>
          <w:tcPr>
            <w:tcW w:w="0" w:type="auto"/>
          </w:tcPr>
          <w:p w:rsidR="00DA1260" w:rsidRPr="0004296E" w:rsidRDefault="00DA1260" w:rsidP="00535EB5">
            <w:pPr>
              <w:pStyle w:val="TableText0"/>
              <w:keepLines/>
              <w:spacing w:before="0" w:after="0"/>
              <w:rPr>
                <w:rFonts w:cs="Arial"/>
              </w:rPr>
            </w:pPr>
            <w:r>
              <w:rPr>
                <w:rFonts w:cs="Arial"/>
              </w:rPr>
              <w:t>J</w:t>
            </w:r>
          </w:p>
        </w:tc>
        <w:tc>
          <w:tcPr>
            <w:tcW w:w="0" w:type="auto"/>
          </w:tcPr>
          <w:p w:rsidR="00DA1260" w:rsidRPr="00A71808" w:rsidRDefault="00DA1260" w:rsidP="00535EB5">
            <w:pPr>
              <w:pStyle w:val="TableText0"/>
              <w:keepLines/>
              <w:spacing w:before="0" w:after="0"/>
              <w:ind w:left="113"/>
              <w:rPr>
                <w:rFonts w:cs="Arial"/>
              </w:rPr>
            </w:pPr>
            <w:r w:rsidRPr="00A71808">
              <w:rPr>
                <w:rFonts w:cs="Arial"/>
              </w:rPr>
              <w:t>Private</w:t>
            </w:r>
            <w:r>
              <w:rPr>
                <w:rFonts w:cs="Arial"/>
              </w:rPr>
              <w:t xml:space="preserve"> hospital/</w:t>
            </w:r>
            <w:r w:rsidR="00960D82">
              <w:rPr>
                <w:rFonts w:cs="Arial"/>
              </w:rPr>
              <w:t>Community Access</w:t>
            </w:r>
            <w:r>
              <w:rPr>
                <w:rFonts w:cs="Arial"/>
              </w:rPr>
              <w:t xml:space="preserve"> for DPMQ</w:t>
            </w:r>
          </w:p>
        </w:tc>
        <w:tc>
          <w:tcPr>
            <w:tcW w:w="0" w:type="auto"/>
          </w:tcPr>
          <w:p w:rsidR="00DA1260" w:rsidRPr="00A71808" w:rsidRDefault="00DA1260" w:rsidP="00535EB5">
            <w:pPr>
              <w:pStyle w:val="TableText0"/>
              <w:keepLines/>
              <w:spacing w:before="0" w:after="0"/>
              <w:ind w:left="142"/>
              <w:rPr>
                <w:rFonts w:cs="Arial"/>
              </w:rPr>
            </w:pPr>
            <w:r>
              <w:rPr>
                <w:rFonts w:cs="Arial"/>
              </w:rPr>
              <w:t>Per unit</w:t>
            </w:r>
          </w:p>
        </w:tc>
        <w:tc>
          <w:tcPr>
            <w:tcW w:w="1415" w:type="dxa"/>
            <w:vAlign w:val="center"/>
          </w:tcPr>
          <w:p w:rsidR="00DA1260" w:rsidRPr="00A71808" w:rsidRDefault="00DA1260" w:rsidP="00535EB5">
            <w:pPr>
              <w:pStyle w:val="TableText0"/>
              <w:keepLines/>
              <w:spacing w:before="0" w:after="0"/>
              <w:jc w:val="center"/>
              <w:rPr>
                <w:rFonts w:cs="Arial"/>
              </w:rPr>
            </w:pPr>
            <w:r>
              <w:rPr>
                <w:rFonts w:cs="Arial"/>
              </w:rPr>
              <w:t>I + (G + H)</w:t>
            </w:r>
          </w:p>
        </w:tc>
        <w:tc>
          <w:tcPr>
            <w:tcW w:w="1701" w:type="dxa"/>
            <w:gridSpan w:val="2"/>
            <w:vAlign w:val="center"/>
          </w:tcPr>
          <w:p w:rsidR="00DA1260" w:rsidRPr="00FE181D" w:rsidRDefault="00DA1260" w:rsidP="00535EB5">
            <w:pPr>
              <w:pStyle w:val="TableText0"/>
              <w:keepLines/>
              <w:spacing w:before="0" w:after="0"/>
              <w:jc w:val="right"/>
              <w:rPr>
                <w:rFonts w:cs="Arial"/>
              </w:rPr>
            </w:pPr>
            <w:r>
              <w:rPr>
                <w:rFonts w:cs="Arial"/>
              </w:rPr>
              <w:t>$</w:t>
            </w:r>
            <w:r w:rsidR="00182F18">
              <w:rPr>
                <w:rFonts w:cs="Arial"/>
                <w:noProof/>
                <w:color w:val="000000"/>
                <w:highlight w:val="black"/>
              </w:rPr>
              <w:t>''''''''''''''''''''</w:t>
            </w:r>
          </w:p>
        </w:tc>
      </w:tr>
    </w:tbl>
    <w:p w:rsidR="001B25EE" w:rsidRDefault="001B25EE" w:rsidP="001B25EE">
      <w:pPr>
        <w:pStyle w:val="TableFooter"/>
        <w:ind w:firstLine="720"/>
      </w:pPr>
      <w:r>
        <w:t>Source: Table D.1, p3 of Section D of the submission</w:t>
      </w:r>
    </w:p>
    <w:p w:rsidR="001B25EE" w:rsidRDefault="001B25EE" w:rsidP="001B25EE">
      <w:pPr>
        <w:pStyle w:val="TableFooter"/>
        <w:ind w:left="720"/>
      </w:pPr>
      <w:r>
        <w:t>DPMQ = dispensed price for maximum quantity; FDC = fixed-dose combination; HSD = highly specialised drug; PBS</w:t>
      </w:r>
      <w:r w:rsidR="00A76F5B">
        <w:t> </w:t>
      </w:r>
      <w:r>
        <w:t>=</w:t>
      </w:r>
      <w:r w:rsidR="00A76F5B">
        <w:t> </w:t>
      </w:r>
      <w:r>
        <w:t>Pharmaceutical Benefits Scheme; DRV = darunavir; r = ritonavir</w:t>
      </w:r>
    </w:p>
    <w:p w:rsidR="001B25EE" w:rsidRPr="00746B24" w:rsidRDefault="001B25EE" w:rsidP="001B25EE">
      <w:pPr>
        <w:pStyle w:val="TableFooter"/>
        <w:ind w:firstLine="720"/>
      </w:pPr>
      <w:r>
        <w:rPr>
          <w:vertAlign w:val="superscript"/>
        </w:rPr>
        <w:t xml:space="preserve">a </w:t>
      </w:r>
      <w:r>
        <w:t>For drugs with AEMP &gt; $1,000.00</w:t>
      </w:r>
    </w:p>
    <w:p w:rsidR="001B25EE" w:rsidRPr="00FE181D" w:rsidRDefault="001B25EE" w:rsidP="001B25EE">
      <w:pPr>
        <w:pStyle w:val="TableFooter"/>
        <w:ind w:firstLine="720"/>
      </w:pPr>
      <w:r>
        <w:rPr>
          <w:vertAlign w:val="superscript"/>
        </w:rPr>
        <w:t xml:space="preserve">b </w:t>
      </w:r>
      <w:r>
        <w:t xml:space="preserve">As of 1 July 2015, the ready-prepared dispensing fee is $6.93 </w:t>
      </w:r>
    </w:p>
    <w:p w:rsidR="00C25D9C" w:rsidRDefault="00C25D9C" w:rsidP="00C25D9C">
      <w:pPr>
        <w:rPr>
          <w:szCs w:val="22"/>
        </w:rPr>
      </w:pPr>
    </w:p>
    <w:p w:rsidR="00C25D9C" w:rsidRPr="002C2775" w:rsidRDefault="00DA1260" w:rsidP="00941BF9">
      <w:pPr>
        <w:pStyle w:val="Heading2"/>
        <w:keepNext/>
        <w:rPr>
          <w:i/>
          <w:szCs w:val="22"/>
        </w:rPr>
      </w:pPr>
      <w:bookmarkStart w:id="12" w:name="_Toc430015992"/>
      <w:r>
        <w:rPr>
          <w:i/>
        </w:rPr>
        <w:t>Drug cost/patient/year: $</w:t>
      </w:r>
      <w:r w:rsidR="00182F18">
        <w:rPr>
          <w:i/>
          <w:noProof/>
          <w:color w:val="000000"/>
          <w:highlight w:val="black"/>
        </w:rPr>
        <w:t>'''''''''''</w:t>
      </w:r>
      <w:r w:rsidR="00C25D9C" w:rsidRPr="002C2775">
        <w:rPr>
          <w:i/>
        </w:rPr>
        <w:t>.</w:t>
      </w:r>
      <w:bookmarkEnd w:id="12"/>
    </w:p>
    <w:p w:rsidR="00C25D9C" w:rsidRPr="00C25D9C" w:rsidRDefault="00C25D9C" w:rsidP="00941BF9">
      <w:pPr>
        <w:keepNext/>
        <w:rPr>
          <w:szCs w:val="22"/>
        </w:rPr>
      </w:pPr>
    </w:p>
    <w:p w:rsidR="00A83942" w:rsidRPr="00A83942" w:rsidRDefault="00A83942" w:rsidP="00941BF9">
      <w:pPr>
        <w:pStyle w:val="ListParagraph"/>
        <w:keepNext/>
        <w:numPr>
          <w:ilvl w:val="1"/>
          <w:numId w:val="3"/>
        </w:numPr>
        <w:rPr>
          <w:szCs w:val="22"/>
        </w:rPr>
      </w:pPr>
      <w:r>
        <w:rPr>
          <w:szCs w:val="22"/>
        </w:rPr>
        <w:t>Darunavir/cobicistat FDC is a</w:t>
      </w:r>
      <w:r w:rsidR="00DA1260">
        <w:rPr>
          <w:szCs w:val="22"/>
        </w:rPr>
        <w:t>n</w:t>
      </w:r>
      <w:r>
        <w:rPr>
          <w:szCs w:val="22"/>
        </w:rPr>
        <w:t xml:space="preserve"> ongoing treatment.</w:t>
      </w:r>
      <w:r w:rsidR="00FD3CBA">
        <w:rPr>
          <w:szCs w:val="22"/>
        </w:rPr>
        <w:t xml:space="preserve"> The annual dr</w:t>
      </w:r>
      <w:r w:rsidR="00D7404E">
        <w:rPr>
          <w:szCs w:val="22"/>
        </w:rPr>
        <w:t xml:space="preserve">ug cost was calculated for the </w:t>
      </w:r>
      <w:r w:rsidR="00960D82">
        <w:rPr>
          <w:szCs w:val="22"/>
        </w:rPr>
        <w:t>Community Access</w:t>
      </w:r>
      <w:r w:rsidR="00FD3CBA">
        <w:rPr>
          <w:szCs w:val="22"/>
        </w:rPr>
        <w:t xml:space="preserve"> dispensed price for</w:t>
      </w:r>
      <w:r w:rsidR="00DA1260">
        <w:rPr>
          <w:szCs w:val="22"/>
        </w:rPr>
        <w:t xml:space="preserve"> the</w:t>
      </w:r>
      <w:r w:rsidR="00FD3CBA">
        <w:rPr>
          <w:szCs w:val="22"/>
        </w:rPr>
        <w:t xml:space="preserve"> maximum quantity (</w:t>
      </w:r>
      <w:r w:rsidR="001B25EE">
        <w:rPr>
          <w:szCs w:val="22"/>
        </w:rPr>
        <w:t>$</w:t>
      </w:r>
      <w:r w:rsidR="00182F18">
        <w:rPr>
          <w:noProof/>
          <w:color w:val="000000"/>
          <w:szCs w:val="22"/>
          <w:highlight w:val="black"/>
        </w:rPr>
        <w:t>''''''''''''''''''''''</w:t>
      </w:r>
      <w:r w:rsidR="00FD3CBA">
        <w:rPr>
          <w:szCs w:val="22"/>
        </w:rPr>
        <w:t>)</w:t>
      </w:r>
      <w:r w:rsidR="00DA1260">
        <w:rPr>
          <w:szCs w:val="22"/>
        </w:rPr>
        <w:t xml:space="preserve"> </w:t>
      </w:r>
      <w:r w:rsidR="001B25EE" w:rsidRPr="004B79EB">
        <w:rPr>
          <w:szCs w:val="22"/>
        </w:rPr>
        <w:t>assuming</w:t>
      </w:r>
      <w:r w:rsidR="00DA1260" w:rsidRPr="004B79EB">
        <w:rPr>
          <w:szCs w:val="22"/>
        </w:rPr>
        <w:t xml:space="preserve"> </w:t>
      </w:r>
      <w:r w:rsidR="00484CEB" w:rsidRPr="004B79EB">
        <w:rPr>
          <w:szCs w:val="22"/>
        </w:rPr>
        <w:t>6.1 prescriptions (i.e. 12.2 packs)</w:t>
      </w:r>
      <w:r w:rsidR="00DA1260" w:rsidRPr="004B79EB">
        <w:rPr>
          <w:szCs w:val="22"/>
        </w:rPr>
        <w:t xml:space="preserve"> per year</w:t>
      </w:r>
      <w:r w:rsidR="00FD3CBA" w:rsidRPr="004B79EB">
        <w:rPr>
          <w:szCs w:val="22"/>
        </w:rPr>
        <w:t>.</w:t>
      </w:r>
      <w:r w:rsidR="00FD3CBA">
        <w:rPr>
          <w:szCs w:val="22"/>
        </w:rPr>
        <w:t xml:space="preserve"> The annual cost for the comparator was </w:t>
      </w:r>
      <w:r w:rsidR="002277E9">
        <w:rPr>
          <w:szCs w:val="22"/>
        </w:rPr>
        <w:t>also $</w:t>
      </w:r>
      <w:r w:rsidR="00182F18">
        <w:rPr>
          <w:noProof/>
          <w:color w:val="000000"/>
          <w:szCs w:val="22"/>
          <w:highlight w:val="black"/>
        </w:rPr>
        <w:t>'''''''''''''</w:t>
      </w:r>
      <w:r w:rsidR="00FD3CBA">
        <w:rPr>
          <w:szCs w:val="22"/>
        </w:rPr>
        <w:t xml:space="preserve"> based on the</w:t>
      </w:r>
      <w:r w:rsidR="00493AE3">
        <w:rPr>
          <w:szCs w:val="22"/>
        </w:rPr>
        <w:t xml:space="preserve"> </w:t>
      </w:r>
      <w:r w:rsidR="00FD3CBA">
        <w:rPr>
          <w:szCs w:val="22"/>
        </w:rPr>
        <w:t>dispensed price for maximum q</w:t>
      </w:r>
      <w:r w:rsidR="00653690">
        <w:rPr>
          <w:szCs w:val="22"/>
        </w:rPr>
        <w:t>uantity of darunavir ($</w:t>
      </w:r>
      <w:r w:rsidR="00182F18">
        <w:rPr>
          <w:noProof/>
          <w:color w:val="000000"/>
          <w:szCs w:val="22"/>
          <w:highlight w:val="black"/>
        </w:rPr>
        <w:t>'''''''''''''''''''</w:t>
      </w:r>
      <w:r w:rsidR="002277E9">
        <w:rPr>
          <w:szCs w:val="22"/>
        </w:rPr>
        <w:t>) and ritonavir ($</w:t>
      </w:r>
      <w:r w:rsidR="00182F18">
        <w:rPr>
          <w:noProof/>
          <w:color w:val="000000"/>
          <w:szCs w:val="22"/>
          <w:highlight w:val="black"/>
        </w:rPr>
        <w:t>''''''''''''''''''''''</w:t>
      </w:r>
      <w:r w:rsidR="00FD3CBA">
        <w:rPr>
          <w:szCs w:val="22"/>
        </w:rPr>
        <w:t>)</w:t>
      </w:r>
      <w:r w:rsidR="00F908B2">
        <w:rPr>
          <w:szCs w:val="22"/>
        </w:rPr>
        <w:t>,</w:t>
      </w:r>
      <w:r w:rsidR="001B25EE">
        <w:rPr>
          <w:szCs w:val="22"/>
        </w:rPr>
        <w:t xml:space="preserve"> and assuming the same use. </w:t>
      </w:r>
    </w:p>
    <w:p w:rsidR="00AD1713" w:rsidRPr="001E2B1E" w:rsidRDefault="00AD1713" w:rsidP="001456B0">
      <w:pPr>
        <w:rPr>
          <w:szCs w:val="22"/>
        </w:rPr>
      </w:pPr>
    </w:p>
    <w:p w:rsidR="00B60939" w:rsidRPr="002C2775" w:rsidRDefault="00B60939" w:rsidP="002C2775">
      <w:pPr>
        <w:pStyle w:val="Heading2"/>
        <w:rPr>
          <w:i/>
        </w:rPr>
      </w:pPr>
      <w:bookmarkStart w:id="13" w:name="_Toc430015993"/>
      <w:r w:rsidRPr="002C2775">
        <w:rPr>
          <w:i/>
        </w:rPr>
        <w:t>Estimated PBS usage &amp; financial implications</w:t>
      </w:r>
      <w:bookmarkEnd w:id="13"/>
    </w:p>
    <w:p w:rsidR="00B60939" w:rsidRPr="00882085" w:rsidRDefault="00B60939" w:rsidP="00B60939">
      <w:pPr>
        <w:ind w:left="720" w:hanging="720"/>
        <w:rPr>
          <w:b/>
          <w:i/>
          <w:szCs w:val="22"/>
        </w:rPr>
      </w:pPr>
    </w:p>
    <w:p w:rsidR="00C25D9C" w:rsidRPr="0026164B" w:rsidRDefault="00C25D9C" w:rsidP="0044463D">
      <w:pPr>
        <w:pStyle w:val="ListParagraph"/>
        <w:numPr>
          <w:ilvl w:val="1"/>
          <w:numId w:val="3"/>
        </w:numPr>
        <w:rPr>
          <w:szCs w:val="22"/>
        </w:rPr>
      </w:pPr>
      <w:r>
        <w:t>This su</w:t>
      </w:r>
      <w:r w:rsidR="00EB228D">
        <w:t>bmission was</w:t>
      </w:r>
      <w:r w:rsidR="00FD3CBA">
        <w:t xml:space="preserve"> not</w:t>
      </w:r>
      <w:r w:rsidR="003D0C04">
        <w:t xml:space="preserve"> </w:t>
      </w:r>
      <w:r>
        <w:t>considered by DUSC</w:t>
      </w:r>
      <w:r w:rsidRPr="00B50DB8">
        <w:rPr>
          <w:color w:val="0070C0"/>
        </w:rPr>
        <w:t>.</w:t>
      </w:r>
      <w:r w:rsidR="00FD3CBA">
        <w:rPr>
          <w:color w:val="0070C0"/>
        </w:rPr>
        <w:t xml:space="preserve"> </w:t>
      </w:r>
      <w:r w:rsidR="00FD3CBA" w:rsidRPr="00FD3CBA">
        <w:t>The submission used a market share approach</w:t>
      </w:r>
      <w:r w:rsidR="00FD3CBA">
        <w:t xml:space="preserve"> to estimate the utilisation and cost of darunavir/cobicistat FDC over a five year time horizon (Table 7</w:t>
      </w:r>
      <w:r w:rsidR="001B25EE">
        <w:t xml:space="preserve">). For the base case, the submission assumed that darunavir/cobicistat FDC would only replace </w:t>
      </w:r>
      <w:r w:rsidR="00912070">
        <w:t>darunavir and</w:t>
      </w:r>
      <w:r w:rsidR="001B25EE">
        <w:t xml:space="preserve"> ritonavir taken concomitantly.</w:t>
      </w:r>
    </w:p>
    <w:p w:rsidR="001B25EE" w:rsidRDefault="001B25EE" w:rsidP="00AD1713">
      <w:pPr>
        <w:jc w:val="left"/>
        <w:rPr>
          <w:szCs w:val="22"/>
        </w:rPr>
      </w:pPr>
    </w:p>
    <w:p w:rsidR="00C25D9C" w:rsidRDefault="00C25D9C" w:rsidP="005D044D">
      <w:pPr>
        <w:ind w:firstLine="709"/>
        <w:rPr>
          <w:rStyle w:val="CommentReference"/>
        </w:rPr>
      </w:pPr>
      <w:r w:rsidRPr="001222FC">
        <w:rPr>
          <w:rStyle w:val="CommentReference"/>
        </w:rPr>
        <w:t xml:space="preserve">Table </w:t>
      </w:r>
      <w:r w:rsidR="00FD3CBA">
        <w:rPr>
          <w:rStyle w:val="CommentReference"/>
        </w:rPr>
        <w:t>7</w:t>
      </w:r>
      <w:r w:rsidRPr="001222FC">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Utilisation estimates and financial implications"/>
      </w:tblPr>
      <w:tblGrid>
        <w:gridCol w:w="2269"/>
        <w:gridCol w:w="1134"/>
        <w:gridCol w:w="1134"/>
        <w:gridCol w:w="1275"/>
        <w:gridCol w:w="1275"/>
        <w:gridCol w:w="1260"/>
      </w:tblGrid>
      <w:tr w:rsidR="00C25D9C" w:rsidRPr="004E2ADC" w:rsidTr="005D044D">
        <w:trPr>
          <w:tblHeader/>
        </w:trPr>
        <w:tc>
          <w:tcPr>
            <w:tcW w:w="1359" w:type="pct"/>
            <w:shd w:val="clear" w:color="auto" w:fill="auto"/>
            <w:vAlign w:val="center"/>
          </w:tcPr>
          <w:p w:rsidR="00C25D9C" w:rsidRPr="004E2ADC" w:rsidRDefault="00C25D9C" w:rsidP="00B8649C">
            <w:pPr>
              <w:tabs>
                <w:tab w:val="left" w:pos="142"/>
              </w:tabs>
              <w:rPr>
                <w:rFonts w:ascii="Arial Narrow" w:hAnsi="Arial Narrow"/>
                <w:b/>
                <w:sz w:val="20"/>
              </w:rPr>
            </w:pPr>
          </w:p>
        </w:tc>
        <w:tc>
          <w:tcPr>
            <w:tcW w:w="679" w:type="pct"/>
            <w:shd w:val="clear" w:color="auto" w:fill="auto"/>
            <w:vAlign w:val="center"/>
          </w:tcPr>
          <w:p w:rsidR="00C25D9C" w:rsidRPr="004E2ADC" w:rsidRDefault="00C25D9C" w:rsidP="00B8649C">
            <w:pPr>
              <w:jc w:val="center"/>
              <w:rPr>
                <w:rFonts w:ascii="Arial Narrow" w:hAnsi="Arial Narrow"/>
                <w:b/>
                <w:sz w:val="20"/>
              </w:rPr>
            </w:pPr>
            <w:r w:rsidRPr="004E2ADC">
              <w:rPr>
                <w:rFonts w:ascii="Arial Narrow" w:hAnsi="Arial Narrow"/>
                <w:b/>
                <w:sz w:val="20"/>
              </w:rPr>
              <w:t>Year 1</w:t>
            </w:r>
          </w:p>
        </w:tc>
        <w:tc>
          <w:tcPr>
            <w:tcW w:w="679" w:type="pct"/>
            <w:shd w:val="clear" w:color="auto" w:fill="auto"/>
            <w:vAlign w:val="center"/>
          </w:tcPr>
          <w:p w:rsidR="00C25D9C" w:rsidRPr="004E2ADC" w:rsidRDefault="00C25D9C" w:rsidP="00B8649C">
            <w:pPr>
              <w:jc w:val="center"/>
              <w:rPr>
                <w:rFonts w:ascii="Arial Narrow" w:hAnsi="Arial Narrow"/>
                <w:b/>
                <w:sz w:val="20"/>
              </w:rPr>
            </w:pPr>
            <w:r w:rsidRPr="004E2ADC">
              <w:rPr>
                <w:rFonts w:ascii="Arial Narrow" w:hAnsi="Arial Narrow"/>
                <w:b/>
                <w:sz w:val="20"/>
              </w:rPr>
              <w:t>Year 2</w:t>
            </w:r>
          </w:p>
        </w:tc>
        <w:tc>
          <w:tcPr>
            <w:tcW w:w="764" w:type="pct"/>
            <w:shd w:val="clear" w:color="auto" w:fill="auto"/>
            <w:vAlign w:val="center"/>
          </w:tcPr>
          <w:p w:rsidR="00C25D9C" w:rsidRPr="004E2ADC" w:rsidRDefault="00C25D9C" w:rsidP="00B8649C">
            <w:pPr>
              <w:jc w:val="center"/>
              <w:rPr>
                <w:rFonts w:ascii="Arial Narrow" w:hAnsi="Arial Narrow"/>
                <w:b/>
                <w:sz w:val="20"/>
              </w:rPr>
            </w:pPr>
            <w:r w:rsidRPr="004E2ADC">
              <w:rPr>
                <w:rFonts w:ascii="Arial Narrow" w:hAnsi="Arial Narrow"/>
                <w:b/>
                <w:sz w:val="20"/>
              </w:rPr>
              <w:t>Year 3</w:t>
            </w:r>
          </w:p>
        </w:tc>
        <w:tc>
          <w:tcPr>
            <w:tcW w:w="764" w:type="pct"/>
            <w:shd w:val="clear" w:color="auto" w:fill="auto"/>
            <w:vAlign w:val="center"/>
          </w:tcPr>
          <w:p w:rsidR="00C25D9C" w:rsidRPr="004E2ADC" w:rsidRDefault="00C25D9C" w:rsidP="00B8649C">
            <w:pPr>
              <w:jc w:val="center"/>
              <w:rPr>
                <w:rFonts w:ascii="Arial Narrow" w:hAnsi="Arial Narrow"/>
                <w:b/>
                <w:sz w:val="20"/>
              </w:rPr>
            </w:pPr>
            <w:r w:rsidRPr="004E2ADC">
              <w:rPr>
                <w:rFonts w:ascii="Arial Narrow" w:hAnsi="Arial Narrow"/>
                <w:b/>
                <w:sz w:val="20"/>
              </w:rPr>
              <w:t>Year 4</w:t>
            </w:r>
          </w:p>
        </w:tc>
        <w:tc>
          <w:tcPr>
            <w:tcW w:w="755" w:type="pct"/>
            <w:shd w:val="clear" w:color="auto" w:fill="auto"/>
            <w:vAlign w:val="center"/>
          </w:tcPr>
          <w:p w:rsidR="00C25D9C" w:rsidRPr="004E2ADC" w:rsidRDefault="00C25D9C" w:rsidP="00B8649C">
            <w:pPr>
              <w:jc w:val="center"/>
              <w:rPr>
                <w:rFonts w:ascii="Arial Narrow" w:hAnsi="Arial Narrow"/>
                <w:b/>
                <w:sz w:val="20"/>
              </w:rPr>
            </w:pPr>
            <w:r w:rsidRPr="004E2ADC">
              <w:rPr>
                <w:rFonts w:ascii="Arial Narrow" w:hAnsi="Arial Narrow"/>
                <w:b/>
                <w:sz w:val="20"/>
              </w:rPr>
              <w:t>Year 5</w:t>
            </w:r>
          </w:p>
        </w:tc>
      </w:tr>
      <w:tr w:rsidR="00C25D9C" w:rsidRPr="004E2ADC" w:rsidTr="005D044D">
        <w:tc>
          <w:tcPr>
            <w:tcW w:w="5000" w:type="pct"/>
            <w:gridSpan w:val="6"/>
            <w:shd w:val="clear" w:color="auto" w:fill="auto"/>
            <w:vAlign w:val="center"/>
          </w:tcPr>
          <w:p w:rsidR="00C25D9C" w:rsidRPr="004E2ADC" w:rsidRDefault="00C25D9C" w:rsidP="00B8649C">
            <w:pPr>
              <w:rPr>
                <w:rFonts w:ascii="Arial Narrow" w:hAnsi="Arial Narrow"/>
                <w:b/>
                <w:bCs/>
                <w:color w:val="000000"/>
                <w:sz w:val="20"/>
              </w:rPr>
            </w:pPr>
            <w:r w:rsidRPr="004E2ADC">
              <w:rPr>
                <w:rFonts w:ascii="Arial Narrow" w:hAnsi="Arial Narrow"/>
                <w:b/>
                <w:bCs/>
                <w:color w:val="000000"/>
                <w:sz w:val="20"/>
              </w:rPr>
              <w:t>Estimated extent of use</w:t>
            </w:r>
          </w:p>
        </w:tc>
      </w:tr>
      <w:tr w:rsidR="00A85A7C" w:rsidRPr="004E2ADC" w:rsidTr="005D044D">
        <w:tc>
          <w:tcPr>
            <w:tcW w:w="1359" w:type="pct"/>
            <w:shd w:val="clear" w:color="auto" w:fill="auto"/>
            <w:vAlign w:val="center"/>
          </w:tcPr>
          <w:p w:rsidR="00A85A7C" w:rsidRPr="004E2ADC" w:rsidRDefault="00A85A7C" w:rsidP="00B8649C">
            <w:pPr>
              <w:tabs>
                <w:tab w:val="left" w:pos="142"/>
              </w:tabs>
              <w:rPr>
                <w:rFonts w:ascii="Arial Narrow" w:hAnsi="Arial Narrow"/>
                <w:sz w:val="20"/>
              </w:rPr>
            </w:pPr>
            <w:r>
              <w:rPr>
                <w:rFonts w:ascii="Arial Narrow" w:hAnsi="Arial Narrow"/>
                <w:sz w:val="20"/>
              </w:rPr>
              <w:t>Total DRV 800 mg scripts</w:t>
            </w:r>
          </w:p>
        </w:tc>
        <w:tc>
          <w:tcPr>
            <w:tcW w:w="679" w:type="pct"/>
            <w:shd w:val="clear" w:color="auto" w:fill="auto"/>
            <w:vAlign w:val="center"/>
          </w:tcPr>
          <w:p w:rsidR="00A85A7C" w:rsidRPr="00182F18" w:rsidRDefault="00182F18" w:rsidP="00A3739F">
            <w:pPr>
              <w:keepNext/>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A85A7C" w:rsidRPr="00182F18" w:rsidRDefault="00182F18" w:rsidP="00A3739F">
            <w:pPr>
              <w:keepNext/>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A85A7C" w:rsidRPr="00182F18" w:rsidRDefault="00182F18" w:rsidP="00A3739F">
            <w:pPr>
              <w:keepNext/>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A85A7C" w:rsidRPr="00182F18" w:rsidRDefault="00182F18" w:rsidP="00A3739F">
            <w:pPr>
              <w:keepNext/>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vAlign w:val="center"/>
          </w:tcPr>
          <w:p w:rsidR="00A85A7C" w:rsidRPr="00182F18" w:rsidRDefault="00182F18" w:rsidP="00A3739F">
            <w:pPr>
              <w:keepNext/>
              <w:jc w:val="center"/>
              <w:rPr>
                <w:rFonts w:ascii="Arial Narrow" w:hAnsi="Arial Narrow"/>
                <w:sz w:val="20"/>
                <w:highlight w:val="black"/>
              </w:rPr>
            </w:pPr>
            <w:r>
              <w:rPr>
                <w:rFonts w:ascii="Arial Narrow" w:hAnsi="Arial Narrow"/>
                <w:noProof/>
                <w:color w:val="000000"/>
                <w:sz w:val="20"/>
                <w:highlight w:val="black"/>
              </w:rPr>
              <w:t>'''''''''''''</w:t>
            </w:r>
          </w:p>
        </w:tc>
      </w:tr>
      <w:tr w:rsidR="00F15798" w:rsidRPr="004E2ADC" w:rsidTr="005D044D">
        <w:tc>
          <w:tcPr>
            <w:tcW w:w="1359" w:type="pct"/>
            <w:shd w:val="clear" w:color="auto" w:fill="auto"/>
            <w:vAlign w:val="center"/>
          </w:tcPr>
          <w:p w:rsidR="00F15798" w:rsidRPr="004E2ADC" w:rsidRDefault="00F15798" w:rsidP="00B8649C">
            <w:pPr>
              <w:tabs>
                <w:tab w:val="left" w:pos="142"/>
              </w:tabs>
              <w:rPr>
                <w:rFonts w:ascii="Arial Narrow" w:hAnsi="Arial Narrow"/>
                <w:sz w:val="20"/>
              </w:rPr>
            </w:pPr>
            <w:r w:rsidRPr="004E2ADC">
              <w:rPr>
                <w:rFonts w:ascii="Arial Narrow" w:hAnsi="Arial Narrow"/>
                <w:sz w:val="20"/>
              </w:rPr>
              <w:t>Market share</w:t>
            </w:r>
          </w:p>
        </w:tc>
        <w:tc>
          <w:tcPr>
            <w:tcW w:w="679" w:type="pct"/>
            <w:shd w:val="clear" w:color="auto" w:fill="auto"/>
            <w:vAlign w:val="center"/>
          </w:tcPr>
          <w:p w:rsidR="00F15798" w:rsidRPr="00182F18" w:rsidRDefault="00182F18" w:rsidP="00B8649C">
            <w:pPr>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F15798" w:rsidRPr="00182F18" w:rsidRDefault="00182F18" w:rsidP="00B8649C">
            <w:pPr>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F15798" w:rsidRPr="00182F18" w:rsidRDefault="00182F18" w:rsidP="00B8649C">
            <w:pPr>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F15798" w:rsidRPr="00182F18" w:rsidRDefault="00182F18" w:rsidP="00B8649C">
            <w:pPr>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5" w:type="pct"/>
            <w:shd w:val="clear" w:color="auto" w:fill="auto"/>
            <w:vAlign w:val="center"/>
          </w:tcPr>
          <w:p w:rsidR="00F15798" w:rsidRPr="00182F18" w:rsidRDefault="00182F18" w:rsidP="00B8649C">
            <w:pPr>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F15798" w:rsidRPr="004E2ADC" w:rsidTr="005D044D">
        <w:tc>
          <w:tcPr>
            <w:tcW w:w="1359" w:type="pct"/>
            <w:shd w:val="clear" w:color="auto" w:fill="auto"/>
            <w:vAlign w:val="center"/>
          </w:tcPr>
          <w:p w:rsidR="00F15798" w:rsidRPr="004E2ADC" w:rsidRDefault="00F15798" w:rsidP="00B8649C">
            <w:pPr>
              <w:tabs>
                <w:tab w:val="left" w:pos="142"/>
              </w:tabs>
              <w:rPr>
                <w:rFonts w:ascii="Arial Narrow" w:hAnsi="Arial Narrow"/>
                <w:sz w:val="20"/>
              </w:rPr>
            </w:pPr>
            <w:r w:rsidRPr="004E2ADC">
              <w:rPr>
                <w:rFonts w:ascii="Arial Narrow" w:hAnsi="Arial Narrow"/>
                <w:sz w:val="20"/>
              </w:rPr>
              <w:t>Scripts</w:t>
            </w:r>
            <w:r>
              <w:rPr>
                <w:rFonts w:ascii="Arial Narrow" w:hAnsi="Arial Narrow"/>
                <w:sz w:val="20"/>
              </w:rPr>
              <w:t xml:space="preserve"> </w:t>
            </w:r>
            <w:r w:rsidRPr="004E2ADC">
              <w:rPr>
                <w:rFonts w:ascii="Arial Narrow" w:hAnsi="Arial Narrow"/>
                <w:sz w:val="20"/>
                <w:vertAlign w:val="superscript"/>
              </w:rPr>
              <w:t>a</w:t>
            </w:r>
          </w:p>
        </w:tc>
        <w:tc>
          <w:tcPr>
            <w:tcW w:w="679" w:type="pct"/>
            <w:shd w:val="clear" w:color="auto" w:fill="auto"/>
            <w:vAlign w:val="center"/>
          </w:tcPr>
          <w:p w:rsidR="00F15798" w:rsidRPr="00182F18" w:rsidRDefault="00182F18" w:rsidP="00A3739F">
            <w:pPr>
              <w:keepNext/>
              <w:jc w:val="center"/>
              <w:rPr>
                <w:rFonts w:ascii="Arial Narrow" w:hAnsi="Arial Narrow"/>
                <w:sz w:val="20"/>
                <w:highlight w:val="black"/>
              </w:rPr>
            </w:pPr>
            <w:r>
              <w:rPr>
                <w:rFonts w:ascii="Arial Narrow" w:hAnsi="Arial Narrow"/>
                <w:noProof/>
                <w:color w:val="000000"/>
                <w:sz w:val="20"/>
                <w:highlight w:val="black"/>
              </w:rPr>
              <w:t>'''''''''</w:t>
            </w:r>
            <w:r w:rsidR="00F15798" w:rsidRPr="00182F18">
              <w:rPr>
                <w:rFonts w:ascii="Arial Narrow" w:hAnsi="Arial Narrow"/>
                <w:sz w:val="20"/>
                <w:highlight w:val="black"/>
              </w:rPr>
              <w:t xml:space="preserve"> </w:t>
            </w:r>
          </w:p>
        </w:tc>
        <w:tc>
          <w:tcPr>
            <w:tcW w:w="679" w:type="pct"/>
            <w:shd w:val="clear" w:color="auto" w:fill="auto"/>
            <w:vAlign w:val="center"/>
          </w:tcPr>
          <w:p w:rsidR="00F15798" w:rsidRPr="00182F18" w:rsidRDefault="00182F18" w:rsidP="00A3739F">
            <w:pPr>
              <w:keepNext/>
              <w:jc w:val="center"/>
              <w:rPr>
                <w:rFonts w:ascii="Arial Narrow" w:hAnsi="Arial Narrow"/>
                <w:sz w:val="20"/>
                <w:highlight w:val="black"/>
              </w:rPr>
            </w:pPr>
            <w:r>
              <w:rPr>
                <w:rFonts w:ascii="Arial Narrow" w:hAnsi="Arial Narrow"/>
                <w:noProof/>
                <w:color w:val="000000"/>
                <w:sz w:val="20"/>
                <w:highlight w:val="black"/>
              </w:rPr>
              <w:t xml:space="preserve">'''''''''''' </w:t>
            </w:r>
          </w:p>
        </w:tc>
        <w:tc>
          <w:tcPr>
            <w:tcW w:w="764" w:type="pct"/>
            <w:shd w:val="clear" w:color="auto" w:fill="auto"/>
            <w:vAlign w:val="center"/>
          </w:tcPr>
          <w:p w:rsidR="00F15798" w:rsidRPr="00182F18" w:rsidRDefault="00182F18" w:rsidP="00A3739F">
            <w:pPr>
              <w:keepNext/>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F15798" w:rsidRPr="00182F18" w:rsidRDefault="00182F18" w:rsidP="00A3739F">
            <w:pPr>
              <w:keepNext/>
              <w:jc w:val="center"/>
              <w:rPr>
                <w:rFonts w:ascii="Arial Narrow" w:hAnsi="Arial Narrow"/>
                <w:sz w:val="20"/>
                <w:highlight w:val="black"/>
              </w:rPr>
            </w:pPr>
            <w:r>
              <w:rPr>
                <w:rFonts w:ascii="Arial Narrow" w:hAnsi="Arial Narrow"/>
                <w:noProof/>
                <w:color w:val="000000"/>
                <w:sz w:val="20"/>
                <w:highlight w:val="black"/>
              </w:rPr>
              <w:t xml:space="preserve">'''''''''''''' </w:t>
            </w:r>
          </w:p>
        </w:tc>
        <w:tc>
          <w:tcPr>
            <w:tcW w:w="755" w:type="pct"/>
            <w:shd w:val="clear" w:color="auto" w:fill="auto"/>
            <w:vAlign w:val="center"/>
          </w:tcPr>
          <w:p w:rsidR="00F15798" w:rsidRPr="00182F18" w:rsidRDefault="00182F18" w:rsidP="00A3739F">
            <w:pPr>
              <w:keepNext/>
              <w:jc w:val="center"/>
              <w:rPr>
                <w:rFonts w:ascii="Arial Narrow" w:hAnsi="Arial Narrow"/>
                <w:sz w:val="20"/>
                <w:highlight w:val="black"/>
              </w:rPr>
            </w:pPr>
            <w:r>
              <w:rPr>
                <w:rFonts w:ascii="Arial Narrow" w:hAnsi="Arial Narrow"/>
                <w:noProof/>
                <w:color w:val="000000"/>
                <w:sz w:val="20"/>
                <w:highlight w:val="black"/>
              </w:rPr>
              <w:t xml:space="preserve">'''''''''''' </w:t>
            </w:r>
          </w:p>
        </w:tc>
      </w:tr>
      <w:tr w:rsidR="00F15798" w:rsidRPr="004E2ADC" w:rsidTr="005D044D">
        <w:tc>
          <w:tcPr>
            <w:tcW w:w="5000" w:type="pct"/>
            <w:gridSpan w:val="6"/>
            <w:shd w:val="clear" w:color="auto" w:fill="auto"/>
            <w:vAlign w:val="center"/>
          </w:tcPr>
          <w:p w:rsidR="00F15798" w:rsidRPr="004E2ADC" w:rsidRDefault="00F15798" w:rsidP="00B8649C">
            <w:pPr>
              <w:rPr>
                <w:rFonts w:ascii="Arial Narrow" w:hAnsi="Arial Narrow"/>
                <w:b/>
                <w:bCs/>
                <w:color w:val="000000"/>
                <w:sz w:val="20"/>
              </w:rPr>
            </w:pPr>
            <w:r w:rsidRPr="004E2ADC">
              <w:rPr>
                <w:rFonts w:ascii="Arial Narrow" w:hAnsi="Arial Narrow"/>
                <w:b/>
                <w:bCs/>
                <w:color w:val="000000"/>
                <w:sz w:val="20"/>
              </w:rPr>
              <w:t>Estimated net cost to PBS/RPBS/MBS</w:t>
            </w:r>
          </w:p>
        </w:tc>
      </w:tr>
      <w:tr w:rsidR="00F15798" w:rsidRPr="004E2ADC" w:rsidTr="00AC2188">
        <w:tc>
          <w:tcPr>
            <w:tcW w:w="1359" w:type="pct"/>
            <w:shd w:val="clear" w:color="auto" w:fill="auto"/>
            <w:vAlign w:val="center"/>
          </w:tcPr>
          <w:p w:rsidR="00F15798" w:rsidRPr="004E2ADC" w:rsidRDefault="00F15798" w:rsidP="00B8649C">
            <w:pPr>
              <w:tabs>
                <w:tab w:val="left" w:pos="142"/>
              </w:tabs>
              <w:rPr>
                <w:rFonts w:ascii="Arial Narrow" w:hAnsi="Arial Narrow"/>
                <w:sz w:val="20"/>
              </w:rPr>
            </w:pPr>
            <w:r w:rsidRPr="004E2ADC">
              <w:rPr>
                <w:rFonts w:ascii="Arial Narrow" w:hAnsi="Arial Narrow"/>
                <w:sz w:val="19"/>
                <w:szCs w:val="19"/>
              </w:rPr>
              <w:t>Net cost to PBS</w:t>
            </w:r>
            <w:r>
              <w:rPr>
                <w:rFonts w:ascii="Arial Narrow" w:hAnsi="Arial Narrow"/>
                <w:sz w:val="19"/>
                <w:szCs w:val="19"/>
              </w:rPr>
              <w:t>/RPBS</w:t>
            </w:r>
          </w:p>
        </w:tc>
        <w:tc>
          <w:tcPr>
            <w:tcW w:w="679" w:type="pct"/>
            <w:shd w:val="clear" w:color="auto" w:fill="auto"/>
            <w:vAlign w:val="bottom"/>
          </w:tcPr>
          <w:p w:rsidR="00F15798" w:rsidRPr="005B69D9" w:rsidRDefault="00F15798" w:rsidP="00AC2188">
            <w:pPr>
              <w:jc w:val="right"/>
              <w:rPr>
                <w:rFonts w:ascii="Arial Narrow" w:hAnsi="Arial Narrow"/>
                <w:sz w:val="20"/>
              </w:rPr>
            </w:pPr>
            <w:r w:rsidRPr="005B69D9">
              <w:rPr>
                <w:rFonts w:ascii="Arial Narrow" w:hAnsi="Arial Narrow"/>
                <w:sz w:val="20"/>
              </w:rPr>
              <w:t>$</w:t>
            </w:r>
            <w:r w:rsidR="00182F18">
              <w:rPr>
                <w:rFonts w:ascii="Arial Narrow" w:hAnsi="Arial Narrow"/>
                <w:noProof/>
                <w:color w:val="000000"/>
                <w:sz w:val="20"/>
                <w:highlight w:val="black"/>
              </w:rPr>
              <w:t>''''''''''''''''''''''''</w:t>
            </w:r>
          </w:p>
        </w:tc>
        <w:tc>
          <w:tcPr>
            <w:tcW w:w="679" w:type="pct"/>
            <w:shd w:val="clear" w:color="auto" w:fill="auto"/>
            <w:vAlign w:val="bottom"/>
          </w:tcPr>
          <w:p w:rsidR="00F15798" w:rsidRPr="005B69D9" w:rsidRDefault="00F15798" w:rsidP="00AC2188">
            <w:pPr>
              <w:jc w:val="right"/>
              <w:rPr>
                <w:rFonts w:ascii="Arial Narrow" w:hAnsi="Arial Narrow"/>
                <w:sz w:val="20"/>
              </w:rPr>
            </w:pPr>
            <w:r w:rsidRPr="005B69D9">
              <w:rPr>
                <w:rFonts w:ascii="Arial Narrow" w:hAnsi="Arial Narrow"/>
                <w:sz w:val="20"/>
              </w:rPr>
              <w:t>$</w:t>
            </w:r>
            <w:r w:rsidR="00182F18">
              <w:rPr>
                <w:rFonts w:ascii="Arial Narrow" w:hAnsi="Arial Narrow"/>
                <w:noProof/>
                <w:color w:val="000000"/>
                <w:sz w:val="20"/>
                <w:highlight w:val="black"/>
              </w:rPr>
              <w:t>''''''''''''''''''''''</w:t>
            </w:r>
          </w:p>
        </w:tc>
        <w:tc>
          <w:tcPr>
            <w:tcW w:w="764" w:type="pct"/>
            <w:shd w:val="clear" w:color="auto" w:fill="auto"/>
            <w:vAlign w:val="bottom"/>
          </w:tcPr>
          <w:p w:rsidR="00F15798" w:rsidRPr="005B69D9" w:rsidRDefault="00F15798" w:rsidP="00AC2188">
            <w:pPr>
              <w:jc w:val="right"/>
              <w:rPr>
                <w:rFonts w:ascii="Arial Narrow" w:hAnsi="Arial Narrow"/>
                <w:sz w:val="20"/>
              </w:rPr>
            </w:pPr>
            <w:r w:rsidRPr="005B69D9">
              <w:rPr>
                <w:rFonts w:ascii="Arial Narrow" w:hAnsi="Arial Narrow"/>
                <w:sz w:val="20"/>
              </w:rPr>
              <w:t>$</w:t>
            </w:r>
            <w:r w:rsidR="00182F18">
              <w:rPr>
                <w:rFonts w:ascii="Arial Narrow" w:hAnsi="Arial Narrow"/>
                <w:noProof/>
                <w:color w:val="000000"/>
                <w:sz w:val="20"/>
                <w:highlight w:val="black"/>
              </w:rPr>
              <w:t>'''''''''''''''''''''''''</w:t>
            </w:r>
          </w:p>
        </w:tc>
        <w:tc>
          <w:tcPr>
            <w:tcW w:w="764" w:type="pct"/>
            <w:shd w:val="clear" w:color="auto" w:fill="auto"/>
            <w:vAlign w:val="bottom"/>
          </w:tcPr>
          <w:p w:rsidR="00F15798" w:rsidRPr="005B69D9" w:rsidRDefault="00F15798" w:rsidP="00AC2188">
            <w:pPr>
              <w:jc w:val="right"/>
              <w:rPr>
                <w:rFonts w:ascii="Arial Narrow" w:hAnsi="Arial Narrow"/>
                <w:sz w:val="20"/>
              </w:rPr>
            </w:pPr>
            <w:r w:rsidRPr="005B69D9">
              <w:rPr>
                <w:rFonts w:ascii="Arial Narrow" w:hAnsi="Arial Narrow"/>
                <w:sz w:val="20"/>
              </w:rPr>
              <w:t>$</w:t>
            </w:r>
            <w:r w:rsidR="00182F18">
              <w:rPr>
                <w:rFonts w:ascii="Arial Narrow" w:hAnsi="Arial Narrow"/>
                <w:noProof/>
                <w:color w:val="000000"/>
                <w:sz w:val="20"/>
                <w:highlight w:val="black"/>
              </w:rPr>
              <w:t>'''''''''''''''''''''''</w:t>
            </w:r>
          </w:p>
        </w:tc>
        <w:tc>
          <w:tcPr>
            <w:tcW w:w="755" w:type="pct"/>
            <w:shd w:val="clear" w:color="auto" w:fill="auto"/>
            <w:vAlign w:val="bottom"/>
          </w:tcPr>
          <w:p w:rsidR="00F15798" w:rsidRPr="005B69D9" w:rsidRDefault="00F15798" w:rsidP="00AC2188">
            <w:pPr>
              <w:jc w:val="right"/>
              <w:rPr>
                <w:rFonts w:ascii="Arial Narrow" w:hAnsi="Arial Narrow"/>
                <w:sz w:val="20"/>
              </w:rPr>
            </w:pPr>
            <w:r w:rsidRPr="005B69D9">
              <w:rPr>
                <w:rFonts w:ascii="Arial Narrow" w:hAnsi="Arial Narrow"/>
                <w:sz w:val="20"/>
              </w:rPr>
              <w:t>$</w:t>
            </w:r>
            <w:r w:rsidR="00182F18">
              <w:rPr>
                <w:rFonts w:ascii="Arial Narrow" w:hAnsi="Arial Narrow"/>
                <w:noProof/>
                <w:color w:val="000000"/>
                <w:sz w:val="20"/>
                <w:highlight w:val="black"/>
              </w:rPr>
              <w:t>''''''''''''''''''''''</w:t>
            </w:r>
          </w:p>
        </w:tc>
      </w:tr>
      <w:tr w:rsidR="00F15798" w:rsidRPr="004E2ADC" w:rsidTr="00AC2188">
        <w:tc>
          <w:tcPr>
            <w:tcW w:w="1359" w:type="pct"/>
            <w:shd w:val="clear" w:color="auto" w:fill="auto"/>
            <w:vAlign w:val="center"/>
          </w:tcPr>
          <w:p w:rsidR="00F15798" w:rsidRPr="004E2ADC" w:rsidRDefault="00F15798" w:rsidP="00B8649C">
            <w:pPr>
              <w:tabs>
                <w:tab w:val="left" w:pos="142"/>
              </w:tabs>
              <w:rPr>
                <w:rFonts w:ascii="Arial Narrow" w:hAnsi="Arial Narrow"/>
                <w:sz w:val="19"/>
                <w:szCs w:val="19"/>
              </w:rPr>
            </w:pPr>
            <w:r>
              <w:rPr>
                <w:rFonts w:ascii="Arial Narrow" w:hAnsi="Arial Narrow"/>
                <w:sz w:val="19"/>
                <w:szCs w:val="19"/>
              </w:rPr>
              <w:t>Cost reduction in other drugs</w:t>
            </w:r>
          </w:p>
        </w:tc>
        <w:tc>
          <w:tcPr>
            <w:tcW w:w="679" w:type="pct"/>
            <w:shd w:val="clear" w:color="auto" w:fill="auto"/>
            <w:vAlign w:val="bottom"/>
          </w:tcPr>
          <w:p w:rsidR="00F15798" w:rsidRPr="005B69D9" w:rsidRDefault="00F15798" w:rsidP="00AC2188">
            <w:pPr>
              <w:jc w:val="right"/>
              <w:rPr>
                <w:rFonts w:ascii="Arial Narrow" w:hAnsi="Arial Narrow"/>
                <w:sz w:val="20"/>
              </w:rPr>
            </w:pPr>
            <w:r w:rsidRPr="005B69D9">
              <w:rPr>
                <w:rFonts w:ascii="Arial Narrow" w:hAnsi="Arial Narrow"/>
                <w:sz w:val="20"/>
              </w:rPr>
              <w:t>-$</w:t>
            </w:r>
            <w:r w:rsidR="00182F18">
              <w:rPr>
                <w:rFonts w:ascii="Arial Narrow" w:hAnsi="Arial Narrow"/>
                <w:noProof/>
                <w:color w:val="000000"/>
                <w:sz w:val="20"/>
                <w:highlight w:val="black"/>
              </w:rPr>
              <w:t>''''''''''''''''''''''''</w:t>
            </w:r>
          </w:p>
        </w:tc>
        <w:tc>
          <w:tcPr>
            <w:tcW w:w="679" w:type="pct"/>
            <w:shd w:val="clear" w:color="auto" w:fill="auto"/>
            <w:vAlign w:val="bottom"/>
          </w:tcPr>
          <w:p w:rsidR="00F15798" w:rsidRPr="005B69D9" w:rsidRDefault="00F15798" w:rsidP="00AC2188">
            <w:pPr>
              <w:jc w:val="right"/>
              <w:rPr>
                <w:rFonts w:ascii="Arial Narrow" w:hAnsi="Arial Narrow"/>
                <w:sz w:val="20"/>
              </w:rPr>
            </w:pPr>
            <w:r w:rsidRPr="005B69D9">
              <w:rPr>
                <w:rFonts w:ascii="Arial Narrow" w:hAnsi="Arial Narrow"/>
                <w:sz w:val="20"/>
              </w:rPr>
              <w:t>-$</w:t>
            </w:r>
            <w:r w:rsidR="00182F18">
              <w:rPr>
                <w:rFonts w:ascii="Arial Narrow" w:hAnsi="Arial Narrow"/>
                <w:noProof/>
                <w:color w:val="000000"/>
                <w:sz w:val="20"/>
                <w:highlight w:val="black"/>
              </w:rPr>
              <w:t>'''''''''''''''''''''''''</w:t>
            </w:r>
          </w:p>
        </w:tc>
        <w:tc>
          <w:tcPr>
            <w:tcW w:w="764" w:type="pct"/>
            <w:shd w:val="clear" w:color="auto" w:fill="auto"/>
            <w:vAlign w:val="bottom"/>
          </w:tcPr>
          <w:p w:rsidR="00F15798" w:rsidRPr="005B69D9" w:rsidRDefault="00F15798" w:rsidP="00AC2188">
            <w:pPr>
              <w:jc w:val="right"/>
              <w:rPr>
                <w:rFonts w:ascii="Arial Narrow" w:hAnsi="Arial Narrow"/>
                <w:sz w:val="20"/>
              </w:rPr>
            </w:pPr>
            <w:r w:rsidRPr="005B69D9">
              <w:rPr>
                <w:rFonts w:ascii="Arial Narrow" w:hAnsi="Arial Narrow"/>
                <w:sz w:val="20"/>
              </w:rPr>
              <w:t>-$</w:t>
            </w:r>
            <w:r w:rsidR="00182F18">
              <w:rPr>
                <w:rFonts w:ascii="Arial Narrow" w:hAnsi="Arial Narrow"/>
                <w:noProof/>
                <w:color w:val="000000"/>
                <w:sz w:val="20"/>
                <w:highlight w:val="black"/>
              </w:rPr>
              <w:t>''''''''''''''''''''''''</w:t>
            </w:r>
          </w:p>
        </w:tc>
        <w:tc>
          <w:tcPr>
            <w:tcW w:w="764" w:type="pct"/>
            <w:shd w:val="clear" w:color="auto" w:fill="auto"/>
            <w:vAlign w:val="bottom"/>
          </w:tcPr>
          <w:p w:rsidR="00F15798" w:rsidRPr="005B69D9" w:rsidRDefault="00F15798" w:rsidP="00AC2188">
            <w:pPr>
              <w:jc w:val="right"/>
              <w:rPr>
                <w:rFonts w:ascii="Arial Narrow" w:hAnsi="Arial Narrow"/>
                <w:sz w:val="20"/>
              </w:rPr>
            </w:pPr>
            <w:r w:rsidRPr="005B69D9">
              <w:rPr>
                <w:rFonts w:ascii="Arial Narrow" w:hAnsi="Arial Narrow"/>
                <w:sz w:val="20"/>
              </w:rPr>
              <w:t>-$</w:t>
            </w:r>
            <w:r w:rsidR="00182F18">
              <w:rPr>
                <w:rFonts w:ascii="Arial Narrow" w:hAnsi="Arial Narrow"/>
                <w:noProof/>
                <w:color w:val="000000"/>
                <w:sz w:val="20"/>
                <w:highlight w:val="black"/>
              </w:rPr>
              <w:t>''''''''''''''''''''''</w:t>
            </w:r>
          </w:p>
        </w:tc>
        <w:tc>
          <w:tcPr>
            <w:tcW w:w="755" w:type="pct"/>
            <w:shd w:val="clear" w:color="auto" w:fill="auto"/>
            <w:vAlign w:val="bottom"/>
          </w:tcPr>
          <w:p w:rsidR="00F15798" w:rsidRPr="005B69D9" w:rsidRDefault="00F15798" w:rsidP="00AC2188">
            <w:pPr>
              <w:jc w:val="right"/>
              <w:rPr>
                <w:rFonts w:ascii="Arial Narrow" w:hAnsi="Arial Narrow"/>
                <w:sz w:val="20"/>
              </w:rPr>
            </w:pPr>
            <w:r w:rsidRPr="005B69D9">
              <w:rPr>
                <w:rFonts w:ascii="Arial Narrow" w:hAnsi="Arial Narrow"/>
                <w:sz w:val="20"/>
              </w:rPr>
              <w:t>-$</w:t>
            </w:r>
            <w:r w:rsidR="00182F18">
              <w:rPr>
                <w:rFonts w:ascii="Arial Narrow" w:hAnsi="Arial Narrow"/>
                <w:noProof/>
                <w:color w:val="000000"/>
                <w:sz w:val="20"/>
                <w:highlight w:val="black"/>
              </w:rPr>
              <w:t>''''''''''''''''''''''''''</w:t>
            </w:r>
          </w:p>
        </w:tc>
      </w:tr>
      <w:tr w:rsidR="00F15798" w:rsidRPr="004E2ADC" w:rsidTr="00AC2188">
        <w:tc>
          <w:tcPr>
            <w:tcW w:w="1359" w:type="pct"/>
            <w:shd w:val="clear" w:color="auto" w:fill="auto"/>
            <w:vAlign w:val="center"/>
          </w:tcPr>
          <w:p w:rsidR="00F15798" w:rsidRPr="004E2ADC" w:rsidRDefault="00F15798" w:rsidP="00B8649C">
            <w:pPr>
              <w:tabs>
                <w:tab w:val="left" w:pos="142"/>
              </w:tabs>
              <w:rPr>
                <w:rFonts w:ascii="Arial Narrow" w:hAnsi="Arial Narrow"/>
                <w:sz w:val="20"/>
              </w:rPr>
            </w:pPr>
            <w:r w:rsidRPr="004E2ADC">
              <w:rPr>
                <w:rFonts w:ascii="Arial Narrow" w:hAnsi="Arial Narrow"/>
                <w:sz w:val="19"/>
                <w:szCs w:val="19"/>
              </w:rPr>
              <w:t>Net cost to MBS</w:t>
            </w:r>
          </w:p>
        </w:tc>
        <w:tc>
          <w:tcPr>
            <w:tcW w:w="679" w:type="pct"/>
            <w:shd w:val="clear" w:color="auto" w:fill="auto"/>
            <w:vAlign w:val="center"/>
          </w:tcPr>
          <w:p w:rsidR="00F15798" w:rsidRPr="004E2ADC" w:rsidRDefault="00F15798" w:rsidP="00045A00">
            <w:pPr>
              <w:jc w:val="right"/>
              <w:rPr>
                <w:rFonts w:ascii="Arial Narrow" w:hAnsi="Arial Narrow"/>
                <w:bCs/>
                <w:color w:val="000000"/>
                <w:sz w:val="20"/>
              </w:rPr>
            </w:pPr>
            <w:r w:rsidRPr="004E2ADC">
              <w:rPr>
                <w:rFonts w:ascii="Arial Narrow" w:hAnsi="Arial Narrow"/>
                <w:bCs/>
                <w:sz w:val="19"/>
                <w:szCs w:val="19"/>
              </w:rPr>
              <w:t>$</w:t>
            </w:r>
            <w:r>
              <w:rPr>
                <w:rFonts w:ascii="Arial Narrow" w:hAnsi="Arial Narrow"/>
                <w:bCs/>
                <w:sz w:val="19"/>
                <w:szCs w:val="19"/>
              </w:rPr>
              <w:t>0</w:t>
            </w:r>
          </w:p>
        </w:tc>
        <w:tc>
          <w:tcPr>
            <w:tcW w:w="679" w:type="pct"/>
            <w:shd w:val="clear" w:color="auto" w:fill="auto"/>
          </w:tcPr>
          <w:p w:rsidR="00F15798" w:rsidRDefault="00F15798" w:rsidP="00045A00">
            <w:pPr>
              <w:jc w:val="right"/>
            </w:pPr>
            <w:r w:rsidRPr="00917341">
              <w:rPr>
                <w:rFonts w:ascii="Arial Narrow" w:hAnsi="Arial Narrow"/>
                <w:bCs/>
                <w:sz w:val="19"/>
                <w:szCs w:val="19"/>
              </w:rPr>
              <w:t>$0</w:t>
            </w:r>
          </w:p>
        </w:tc>
        <w:tc>
          <w:tcPr>
            <w:tcW w:w="764" w:type="pct"/>
            <w:shd w:val="clear" w:color="auto" w:fill="auto"/>
          </w:tcPr>
          <w:p w:rsidR="00F15798" w:rsidRDefault="00F15798" w:rsidP="00045A00">
            <w:pPr>
              <w:jc w:val="right"/>
            </w:pPr>
            <w:r w:rsidRPr="00917341">
              <w:rPr>
                <w:rFonts w:ascii="Arial Narrow" w:hAnsi="Arial Narrow"/>
                <w:bCs/>
                <w:sz w:val="19"/>
                <w:szCs w:val="19"/>
              </w:rPr>
              <w:t>$0</w:t>
            </w:r>
          </w:p>
        </w:tc>
        <w:tc>
          <w:tcPr>
            <w:tcW w:w="764" w:type="pct"/>
            <w:shd w:val="clear" w:color="auto" w:fill="auto"/>
          </w:tcPr>
          <w:p w:rsidR="00F15798" w:rsidRDefault="00F15798" w:rsidP="00045A00">
            <w:pPr>
              <w:jc w:val="right"/>
            </w:pPr>
            <w:r w:rsidRPr="00917341">
              <w:rPr>
                <w:rFonts w:ascii="Arial Narrow" w:hAnsi="Arial Narrow"/>
                <w:bCs/>
                <w:sz w:val="19"/>
                <w:szCs w:val="19"/>
              </w:rPr>
              <w:t>$0</w:t>
            </w:r>
          </w:p>
        </w:tc>
        <w:tc>
          <w:tcPr>
            <w:tcW w:w="755" w:type="pct"/>
            <w:shd w:val="clear" w:color="auto" w:fill="auto"/>
          </w:tcPr>
          <w:p w:rsidR="00F15798" w:rsidRDefault="00F15798" w:rsidP="00045A00">
            <w:pPr>
              <w:jc w:val="right"/>
            </w:pPr>
            <w:r w:rsidRPr="00917341">
              <w:rPr>
                <w:rFonts w:ascii="Arial Narrow" w:hAnsi="Arial Narrow"/>
                <w:bCs/>
                <w:sz w:val="19"/>
                <w:szCs w:val="19"/>
              </w:rPr>
              <w:t>$0</w:t>
            </w:r>
          </w:p>
        </w:tc>
      </w:tr>
      <w:tr w:rsidR="00F15798" w:rsidRPr="004E2ADC" w:rsidTr="005D044D">
        <w:tc>
          <w:tcPr>
            <w:tcW w:w="5000" w:type="pct"/>
            <w:gridSpan w:val="6"/>
            <w:shd w:val="clear" w:color="auto" w:fill="auto"/>
            <w:vAlign w:val="center"/>
          </w:tcPr>
          <w:p w:rsidR="00F15798" w:rsidRPr="004E2ADC" w:rsidRDefault="00F15798" w:rsidP="00B8649C">
            <w:pPr>
              <w:rPr>
                <w:rFonts w:ascii="Arial Narrow" w:hAnsi="Arial Narrow"/>
                <w:b/>
                <w:color w:val="000000"/>
                <w:sz w:val="20"/>
              </w:rPr>
            </w:pPr>
            <w:r w:rsidRPr="004E2ADC">
              <w:rPr>
                <w:rFonts w:ascii="Arial Narrow" w:hAnsi="Arial Narrow"/>
                <w:b/>
                <w:color w:val="000000"/>
                <w:sz w:val="20"/>
              </w:rPr>
              <w:t>Estimated total net cost</w:t>
            </w:r>
          </w:p>
        </w:tc>
      </w:tr>
      <w:tr w:rsidR="00F15798" w:rsidRPr="004E2ADC" w:rsidTr="00AC2188">
        <w:tc>
          <w:tcPr>
            <w:tcW w:w="1359" w:type="pct"/>
            <w:shd w:val="clear" w:color="auto" w:fill="auto"/>
            <w:vAlign w:val="center"/>
          </w:tcPr>
          <w:p w:rsidR="00F15798" w:rsidRPr="00145540" w:rsidRDefault="00F15798" w:rsidP="00B8649C">
            <w:pPr>
              <w:tabs>
                <w:tab w:val="left" w:pos="142"/>
              </w:tabs>
              <w:rPr>
                <w:rFonts w:ascii="Arial Narrow" w:hAnsi="Arial Narrow"/>
                <w:b/>
                <w:sz w:val="20"/>
              </w:rPr>
            </w:pPr>
            <w:r w:rsidRPr="00145540">
              <w:rPr>
                <w:rFonts w:ascii="Arial Narrow" w:hAnsi="Arial Narrow"/>
                <w:b/>
                <w:bCs/>
                <w:color w:val="000000"/>
                <w:sz w:val="20"/>
              </w:rPr>
              <w:lastRenderedPageBreak/>
              <w:t xml:space="preserve">Net cost </w:t>
            </w:r>
            <w:r>
              <w:rPr>
                <w:rFonts w:ascii="Arial Narrow" w:hAnsi="Arial Narrow"/>
                <w:b/>
                <w:bCs/>
                <w:color w:val="000000"/>
                <w:sz w:val="20"/>
              </w:rPr>
              <w:t xml:space="preserve">to </w:t>
            </w:r>
            <w:r w:rsidRPr="00145540">
              <w:rPr>
                <w:rFonts w:ascii="Arial Narrow" w:hAnsi="Arial Narrow"/>
                <w:b/>
                <w:bCs/>
                <w:color w:val="000000"/>
                <w:sz w:val="20"/>
              </w:rPr>
              <w:t>PBS/RPBS/MBS</w:t>
            </w:r>
          </w:p>
        </w:tc>
        <w:tc>
          <w:tcPr>
            <w:tcW w:w="679" w:type="pct"/>
            <w:shd w:val="clear" w:color="auto" w:fill="auto"/>
            <w:vAlign w:val="bottom"/>
          </w:tcPr>
          <w:p w:rsidR="00F15798" w:rsidRPr="002D500E" w:rsidRDefault="00F15798" w:rsidP="00AC2188">
            <w:pPr>
              <w:jc w:val="right"/>
              <w:rPr>
                <w:rFonts w:ascii="Arial Narrow" w:hAnsi="Arial Narrow"/>
                <w:b/>
                <w:sz w:val="20"/>
              </w:rPr>
            </w:pPr>
            <w:r w:rsidRPr="002D500E">
              <w:rPr>
                <w:rFonts w:ascii="Arial Narrow" w:hAnsi="Arial Narrow"/>
                <w:b/>
                <w:sz w:val="20"/>
              </w:rPr>
              <w:t>$</w:t>
            </w:r>
            <w:r w:rsidR="00182F18">
              <w:rPr>
                <w:rFonts w:ascii="Arial Narrow" w:hAnsi="Arial Narrow"/>
                <w:b/>
                <w:noProof/>
                <w:color w:val="000000"/>
                <w:sz w:val="20"/>
                <w:highlight w:val="black"/>
              </w:rPr>
              <w:t>'''''''''''''</w:t>
            </w:r>
          </w:p>
        </w:tc>
        <w:tc>
          <w:tcPr>
            <w:tcW w:w="679" w:type="pct"/>
            <w:shd w:val="clear" w:color="auto" w:fill="auto"/>
            <w:vAlign w:val="bottom"/>
          </w:tcPr>
          <w:p w:rsidR="00F15798" w:rsidRPr="002D500E" w:rsidRDefault="00F15798" w:rsidP="00AC2188">
            <w:pPr>
              <w:jc w:val="right"/>
              <w:rPr>
                <w:rFonts w:ascii="Arial Narrow" w:hAnsi="Arial Narrow"/>
                <w:b/>
                <w:sz w:val="20"/>
              </w:rPr>
            </w:pPr>
            <w:r w:rsidRPr="002D500E">
              <w:rPr>
                <w:rFonts w:ascii="Arial Narrow" w:hAnsi="Arial Narrow"/>
                <w:b/>
                <w:sz w:val="20"/>
              </w:rPr>
              <w:t>$</w:t>
            </w:r>
            <w:r w:rsidR="00182F18">
              <w:rPr>
                <w:rFonts w:ascii="Arial Narrow" w:hAnsi="Arial Narrow"/>
                <w:b/>
                <w:noProof/>
                <w:color w:val="000000"/>
                <w:sz w:val="20"/>
                <w:highlight w:val="black"/>
              </w:rPr>
              <w:t>'''''''''''''</w:t>
            </w:r>
          </w:p>
        </w:tc>
        <w:tc>
          <w:tcPr>
            <w:tcW w:w="764" w:type="pct"/>
            <w:shd w:val="clear" w:color="auto" w:fill="auto"/>
            <w:vAlign w:val="bottom"/>
          </w:tcPr>
          <w:p w:rsidR="00F15798" w:rsidRPr="002D500E" w:rsidRDefault="00F15798" w:rsidP="00AC2188">
            <w:pPr>
              <w:jc w:val="right"/>
              <w:rPr>
                <w:rFonts w:ascii="Arial Narrow" w:hAnsi="Arial Narrow"/>
                <w:b/>
                <w:sz w:val="20"/>
              </w:rPr>
            </w:pPr>
            <w:r w:rsidRPr="002D500E">
              <w:rPr>
                <w:rFonts w:ascii="Arial Narrow" w:hAnsi="Arial Narrow"/>
                <w:b/>
                <w:sz w:val="20"/>
              </w:rPr>
              <w:t>$</w:t>
            </w:r>
            <w:r w:rsidR="00182F18">
              <w:rPr>
                <w:rFonts w:ascii="Arial Narrow" w:hAnsi="Arial Narrow"/>
                <w:b/>
                <w:noProof/>
                <w:color w:val="000000"/>
                <w:sz w:val="20"/>
                <w:highlight w:val="black"/>
              </w:rPr>
              <w:t>''''''''''''''''</w:t>
            </w:r>
          </w:p>
        </w:tc>
        <w:tc>
          <w:tcPr>
            <w:tcW w:w="764" w:type="pct"/>
            <w:shd w:val="clear" w:color="auto" w:fill="auto"/>
            <w:vAlign w:val="bottom"/>
          </w:tcPr>
          <w:p w:rsidR="00F15798" w:rsidRPr="002D500E" w:rsidRDefault="00F15798" w:rsidP="00AC2188">
            <w:pPr>
              <w:jc w:val="right"/>
              <w:rPr>
                <w:rFonts w:ascii="Arial Narrow" w:hAnsi="Arial Narrow"/>
                <w:b/>
                <w:sz w:val="20"/>
              </w:rPr>
            </w:pPr>
            <w:r w:rsidRPr="002D500E">
              <w:rPr>
                <w:rFonts w:ascii="Arial Narrow" w:hAnsi="Arial Narrow"/>
                <w:b/>
                <w:sz w:val="20"/>
              </w:rPr>
              <w:t>$</w:t>
            </w:r>
            <w:r w:rsidR="00182F18">
              <w:rPr>
                <w:rFonts w:ascii="Arial Narrow" w:hAnsi="Arial Narrow"/>
                <w:b/>
                <w:noProof/>
                <w:color w:val="000000"/>
                <w:sz w:val="20"/>
                <w:highlight w:val="black"/>
              </w:rPr>
              <w:t>''''''''''''''''</w:t>
            </w:r>
          </w:p>
        </w:tc>
        <w:tc>
          <w:tcPr>
            <w:tcW w:w="755" w:type="pct"/>
            <w:shd w:val="clear" w:color="auto" w:fill="auto"/>
            <w:vAlign w:val="bottom"/>
          </w:tcPr>
          <w:p w:rsidR="00F15798" w:rsidRPr="002D500E" w:rsidRDefault="00F15798" w:rsidP="00AC2188">
            <w:pPr>
              <w:jc w:val="right"/>
              <w:rPr>
                <w:rFonts w:ascii="Arial Narrow" w:hAnsi="Arial Narrow"/>
                <w:b/>
                <w:sz w:val="20"/>
              </w:rPr>
            </w:pPr>
            <w:r w:rsidRPr="002D500E">
              <w:rPr>
                <w:rFonts w:ascii="Arial Narrow" w:hAnsi="Arial Narrow"/>
                <w:b/>
                <w:sz w:val="20"/>
              </w:rPr>
              <w:t>$</w:t>
            </w:r>
            <w:r w:rsidR="00182F18">
              <w:rPr>
                <w:rFonts w:ascii="Arial Narrow" w:hAnsi="Arial Narrow"/>
                <w:b/>
                <w:noProof/>
                <w:color w:val="000000"/>
                <w:sz w:val="20"/>
                <w:highlight w:val="black"/>
              </w:rPr>
              <w:t>''''''''''''''''''</w:t>
            </w:r>
          </w:p>
        </w:tc>
      </w:tr>
    </w:tbl>
    <w:p w:rsidR="00C25D9C" w:rsidRDefault="00C25D9C" w:rsidP="005D044D">
      <w:pPr>
        <w:pStyle w:val="TableFooter"/>
        <w:ind w:firstLine="720"/>
        <w:rPr>
          <w:szCs w:val="18"/>
        </w:rPr>
      </w:pPr>
      <w:r w:rsidRPr="001222FC">
        <w:rPr>
          <w:sz w:val="16"/>
          <w:szCs w:val="18"/>
        </w:rPr>
        <w:t xml:space="preserve">Source: </w:t>
      </w:r>
      <w:r w:rsidR="00045A00">
        <w:rPr>
          <w:szCs w:val="18"/>
        </w:rPr>
        <w:t xml:space="preserve">Section E </w:t>
      </w:r>
      <w:r w:rsidR="007162D5">
        <w:rPr>
          <w:szCs w:val="18"/>
        </w:rPr>
        <w:t>E</w:t>
      </w:r>
      <w:r w:rsidR="00045A00">
        <w:rPr>
          <w:szCs w:val="18"/>
        </w:rPr>
        <w:t>xcel spreadsheet  to the submission</w:t>
      </w:r>
    </w:p>
    <w:p w:rsidR="004B79EB" w:rsidRDefault="00A85A7C" w:rsidP="007162D5">
      <w:pPr>
        <w:pStyle w:val="TableFooter"/>
        <w:ind w:left="720"/>
      </w:pPr>
      <w:r>
        <w:t xml:space="preserve">DRV = darunavir; </w:t>
      </w:r>
      <w:r w:rsidR="007162D5">
        <w:t xml:space="preserve">MBS = Medicare Benefits Schedule; PBS = Pharmaceutical Benefits Scheme; RPBS = Repatriation </w:t>
      </w:r>
    </w:p>
    <w:p w:rsidR="007162D5" w:rsidRPr="001222FC" w:rsidRDefault="007162D5" w:rsidP="007162D5">
      <w:pPr>
        <w:pStyle w:val="TableFooter"/>
        <w:ind w:left="720"/>
        <w:rPr>
          <w:sz w:val="16"/>
          <w:szCs w:val="18"/>
        </w:rPr>
      </w:pPr>
      <w:r>
        <w:t>Pharmaceutical Benefits Scheme</w:t>
      </w:r>
    </w:p>
    <w:p w:rsidR="00045A00" w:rsidRDefault="00045A00" w:rsidP="00045A00">
      <w:pPr>
        <w:pStyle w:val="TableFooter"/>
        <w:ind w:firstLine="720"/>
      </w:pPr>
      <w:r w:rsidRPr="00F15798">
        <w:rPr>
          <w:vertAlign w:val="superscript"/>
        </w:rPr>
        <w:t>a</w:t>
      </w:r>
      <w:r w:rsidRPr="00F15798">
        <w:t xml:space="preserve"> Assuming </w:t>
      </w:r>
      <w:r w:rsidR="00286CE0" w:rsidRPr="00F15798">
        <w:t xml:space="preserve"> 6.1 scripts</w:t>
      </w:r>
      <w:r w:rsidRPr="00F15798">
        <w:t xml:space="preserve"> per year as estimated by the submission</w:t>
      </w:r>
    </w:p>
    <w:p w:rsidR="00C25D9C" w:rsidRPr="00C25D9C" w:rsidRDefault="00C25D9C" w:rsidP="00C25D9C">
      <w:pPr>
        <w:rPr>
          <w:szCs w:val="22"/>
        </w:rPr>
      </w:pPr>
    </w:p>
    <w:p w:rsidR="00396328" w:rsidRPr="00987940" w:rsidRDefault="00396328" w:rsidP="0044463D">
      <w:pPr>
        <w:pStyle w:val="ListParagraph"/>
        <w:numPr>
          <w:ilvl w:val="1"/>
          <w:numId w:val="3"/>
        </w:numPr>
      </w:pPr>
      <w:r w:rsidRPr="00987940">
        <w:t xml:space="preserve">At year 5, the estimated number of scripts was </w:t>
      </w:r>
      <w:r w:rsidR="00182F18">
        <w:rPr>
          <w:noProof/>
          <w:color w:val="000000"/>
          <w:highlight w:val="black"/>
        </w:rPr>
        <w:t>'''''''''''''''</w:t>
      </w:r>
      <w:r w:rsidRPr="00987940">
        <w:t xml:space="preserve"> and the net cost to the PBS would be $</w:t>
      </w:r>
      <w:r w:rsidR="00182F18">
        <w:rPr>
          <w:noProof/>
          <w:color w:val="000000"/>
          <w:highlight w:val="black"/>
        </w:rPr>
        <w:t>''''''''''''''''''''</w:t>
      </w:r>
      <w:r w:rsidR="00652825">
        <w:t xml:space="preserve"> </w:t>
      </w:r>
      <w:r w:rsidR="00652825" w:rsidRPr="00652825">
        <w:rPr>
          <w:i/>
        </w:rPr>
        <w:t>less than $10 million</w:t>
      </w:r>
      <w:r w:rsidR="00652825">
        <w:t>.</w:t>
      </w:r>
      <w:r w:rsidRPr="00987940">
        <w:t xml:space="preserve">  At year 1, the estimated number of scripts was </w:t>
      </w:r>
      <w:r w:rsidR="00182F18">
        <w:rPr>
          <w:noProof/>
          <w:color w:val="000000"/>
          <w:highlight w:val="black"/>
        </w:rPr>
        <w:t>'''''''''</w:t>
      </w:r>
      <w:r w:rsidRPr="00987940">
        <w:t xml:space="preserve"> and the net cost to the PBS would be $</w:t>
      </w:r>
      <w:r w:rsidR="00182F18">
        <w:rPr>
          <w:noProof/>
          <w:color w:val="000000"/>
          <w:highlight w:val="black"/>
        </w:rPr>
        <w:t>'''''''''''''''''</w:t>
      </w:r>
      <w:r w:rsidR="00652825">
        <w:t xml:space="preserve"> </w:t>
      </w:r>
      <w:r w:rsidR="00652825" w:rsidRPr="00C7557D">
        <w:t>less than $10 million</w:t>
      </w:r>
      <w:r w:rsidR="00652825">
        <w:t>.</w:t>
      </w:r>
    </w:p>
    <w:p w:rsidR="00396328" w:rsidRPr="00396328" w:rsidRDefault="00396328" w:rsidP="00396328">
      <w:pPr>
        <w:pStyle w:val="ListParagraph"/>
        <w:rPr>
          <w:highlight w:val="yellow"/>
        </w:rPr>
      </w:pPr>
      <w:r w:rsidRPr="00396328">
        <w:rPr>
          <w:highlight w:val="yellow"/>
        </w:rPr>
        <w:t xml:space="preserve"> </w:t>
      </w:r>
    </w:p>
    <w:p w:rsidR="0031103D" w:rsidRDefault="0031103D" w:rsidP="0044463D">
      <w:pPr>
        <w:pStyle w:val="ListParagraph"/>
        <w:numPr>
          <w:ilvl w:val="1"/>
          <w:numId w:val="3"/>
        </w:numPr>
      </w:pPr>
      <w:r>
        <w:t xml:space="preserve">Overall the </w:t>
      </w:r>
      <w:r w:rsidRPr="00BE7FC8">
        <w:t xml:space="preserve">submission concluded that there was minimal financial impact of the PBS listing of darunavir/cobicistat FDC to the Commonwealth Government Health Budget. </w:t>
      </w:r>
      <w:r w:rsidR="00286CE0">
        <w:t>The small increase would be due to a reduction in co-payments</w:t>
      </w:r>
      <w:r w:rsidR="00F15798">
        <w:t xml:space="preserve"> for ritonavir</w:t>
      </w:r>
      <w:r w:rsidR="00286CE0">
        <w:t xml:space="preserve">, i.e. darunavir/cobicistat FDC would attract one co-payment, compared to two co-payments when </w:t>
      </w:r>
      <w:r w:rsidR="00912070">
        <w:t>darunavir and</w:t>
      </w:r>
      <w:r w:rsidR="00286CE0">
        <w:t xml:space="preserve"> ritonavir is taken concomitantly. </w:t>
      </w:r>
      <w:r w:rsidRPr="004B79EB">
        <w:t>This appeared reasonabl</w:t>
      </w:r>
      <w:r w:rsidR="008865C9">
        <w:t xml:space="preserve">e. </w:t>
      </w:r>
    </w:p>
    <w:p w:rsidR="008865C9" w:rsidRDefault="008865C9" w:rsidP="008865C9">
      <w:pPr>
        <w:pStyle w:val="ListParagraph"/>
      </w:pPr>
    </w:p>
    <w:p w:rsidR="008865C9" w:rsidRPr="00410C97" w:rsidRDefault="008865C9" w:rsidP="0044463D">
      <w:pPr>
        <w:pStyle w:val="ListParagraph"/>
        <w:numPr>
          <w:ilvl w:val="1"/>
          <w:numId w:val="3"/>
        </w:numPr>
      </w:pPr>
      <w:r w:rsidRPr="00410C97">
        <w:t>The ESC noted that</w:t>
      </w:r>
      <w:r w:rsidR="00EC6219" w:rsidRPr="00410C97">
        <w:t xml:space="preserve"> in the context of the most recent US Department of Health and Human Services HIV treatment guidelines </w:t>
      </w:r>
      <w:r w:rsidRPr="00410C97">
        <w:t>there was a risk of leakage to fi</w:t>
      </w:r>
      <w:r w:rsidR="00025B90" w:rsidRPr="00410C97">
        <w:t>rst-line treatment</w:t>
      </w:r>
      <w:r w:rsidR="00EC6219" w:rsidRPr="00410C97">
        <w:t xml:space="preserve"> in naïve patients</w:t>
      </w:r>
      <w:r w:rsidR="00025B90" w:rsidRPr="00410C97">
        <w:t>, this would</w:t>
      </w:r>
      <w:r w:rsidR="00EC6219" w:rsidRPr="00410C97">
        <w:t xml:space="preserve"> mostly</w:t>
      </w:r>
      <w:r w:rsidR="00025B90" w:rsidRPr="00410C97">
        <w:t xml:space="preserve"> involve ritonavir</w:t>
      </w:r>
      <w:r w:rsidR="009B192F" w:rsidRPr="00410C97">
        <w:t xml:space="preserve"> (or cobicistat)</w:t>
      </w:r>
      <w:r w:rsidR="00025B90" w:rsidRPr="00410C97">
        <w:t xml:space="preserve"> boosted atazanavir being replaced by </w:t>
      </w:r>
      <w:r w:rsidR="003B5039" w:rsidRPr="00410C97">
        <w:t>darunavir/cobicistat</w:t>
      </w:r>
      <w:r w:rsidR="00025B90" w:rsidRPr="00410C97">
        <w:t xml:space="preserve"> or </w:t>
      </w:r>
      <w:r w:rsidR="003B5039" w:rsidRPr="00410C97">
        <w:t>darunavir/</w:t>
      </w:r>
      <w:r w:rsidR="00025B90" w:rsidRPr="00410C97">
        <w:t>r</w:t>
      </w:r>
      <w:r w:rsidR="003B5039" w:rsidRPr="00410C97">
        <w:t>itonavir</w:t>
      </w:r>
      <w:r w:rsidR="00EC6219" w:rsidRPr="00410C97">
        <w:t xml:space="preserve"> in those for whom PI-based therapy is preferred</w:t>
      </w:r>
      <w:r w:rsidR="00025B90" w:rsidRPr="00410C97">
        <w:t xml:space="preserve">. </w:t>
      </w:r>
      <w:r w:rsidR="00E31379" w:rsidRPr="00410C97">
        <w:t xml:space="preserve">Replacement of atazanavir (with cobicistat or ritonavir) would have a financial impact as atazanavir is cheaper than darunavir. </w:t>
      </w:r>
    </w:p>
    <w:p w:rsidR="001B25EE" w:rsidRPr="0031103D" w:rsidRDefault="001B25EE" w:rsidP="0031103D">
      <w:pPr>
        <w:rPr>
          <w:szCs w:val="22"/>
        </w:rPr>
      </w:pPr>
    </w:p>
    <w:p w:rsidR="00576972" w:rsidRPr="002C2775" w:rsidRDefault="00576972" w:rsidP="002C2775">
      <w:pPr>
        <w:pStyle w:val="Heading2"/>
        <w:rPr>
          <w:i/>
        </w:rPr>
      </w:pPr>
      <w:bookmarkStart w:id="14" w:name="_Toc430015994"/>
      <w:r w:rsidRPr="002C2775">
        <w:rPr>
          <w:i/>
        </w:rPr>
        <w:t>Quality Use of Medicines</w:t>
      </w:r>
      <w:bookmarkEnd w:id="14"/>
    </w:p>
    <w:p w:rsidR="00576972" w:rsidRPr="00576972" w:rsidRDefault="00576972" w:rsidP="00576972">
      <w:pPr>
        <w:rPr>
          <w:szCs w:val="22"/>
        </w:rPr>
      </w:pPr>
    </w:p>
    <w:p w:rsidR="00576972" w:rsidRDefault="00045A00" w:rsidP="0044463D">
      <w:pPr>
        <w:pStyle w:val="ListParagraph"/>
        <w:numPr>
          <w:ilvl w:val="1"/>
          <w:numId w:val="3"/>
        </w:numPr>
        <w:rPr>
          <w:szCs w:val="22"/>
        </w:rPr>
      </w:pPr>
      <w:r w:rsidRPr="00045A00">
        <w:rPr>
          <w:szCs w:val="22"/>
        </w:rPr>
        <w:t>The submission outlined the importance of the patients, nurses, prescribers and dispensers in assuring the appropriate use of darunavir/cobicistat FDC. The submission stated that these groups would be provided with education, resources and support from the sponsor in the appropriate use of darunavir/cobicistat FDC.</w:t>
      </w:r>
    </w:p>
    <w:p w:rsidR="00987940" w:rsidRPr="00651644" w:rsidRDefault="00987940" w:rsidP="00987940">
      <w:pPr>
        <w:rPr>
          <w:szCs w:val="22"/>
        </w:rPr>
      </w:pPr>
    </w:p>
    <w:p w:rsidR="004B79EB" w:rsidRPr="00987940" w:rsidRDefault="00651644" w:rsidP="00987940">
      <w:pPr>
        <w:pStyle w:val="Header"/>
        <w:rPr>
          <w:i/>
          <w:szCs w:val="22"/>
        </w:rPr>
      </w:pPr>
      <w:r>
        <w:rPr>
          <w:i/>
          <w:szCs w:val="22"/>
        </w:rPr>
        <w:tab/>
      </w:r>
      <w:r w:rsidR="00134306" w:rsidRPr="00134306">
        <w:rPr>
          <w:i/>
          <w:szCs w:val="22"/>
        </w:rPr>
        <w:t>For more detail on PBAC’s view, see section 7 “PBAC outcome”.</w:t>
      </w:r>
    </w:p>
    <w:p w:rsidR="000A0076" w:rsidRDefault="000A0076">
      <w:pPr>
        <w:jc w:val="left"/>
        <w:rPr>
          <w:szCs w:val="22"/>
        </w:rPr>
      </w:pPr>
      <w:r>
        <w:rPr>
          <w:szCs w:val="22"/>
        </w:rPr>
        <w:br w:type="page"/>
      </w:r>
    </w:p>
    <w:p w:rsidR="00AD1713" w:rsidRDefault="00410C97" w:rsidP="00410C97">
      <w:pPr>
        <w:pStyle w:val="PBACHeading1"/>
      </w:pPr>
      <w:r>
        <w:lastRenderedPageBreak/>
        <w:t>PBAC Outcome</w:t>
      </w:r>
    </w:p>
    <w:p w:rsidR="00410C97" w:rsidRDefault="00410C97" w:rsidP="00576972">
      <w:pPr>
        <w:rPr>
          <w:szCs w:val="22"/>
        </w:rPr>
      </w:pPr>
    </w:p>
    <w:p w:rsidR="00953798" w:rsidRDefault="00410C97" w:rsidP="000159FE">
      <w:pPr>
        <w:pStyle w:val="ListParagraph"/>
        <w:numPr>
          <w:ilvl w:val="1"/>
          <w:numId w:val="3"/>
        </w:numPr>
      </w:pPr>
      <w:r w:rsidRPr="00953798">
        <w:rPr>
          <w:szCs w:val="22"/>
        </w:rPr>
        <w:t xml:space="preserve">The PBAC rejected the request to list darunavir/cobicistat fixed-dose combination (FDC) tablets for the treatment </w:t>
      </w:r>
      <w:r w:rsidRPr="004B3DDB">
        <w:t>of</w:t>
      </w:r>
      <w:r>
        <w:t xml:space="preserve"> human immunodeficiency virus (HIV)</w:t>
      </w:r>
      <w:r w:rsidR="00C304C9">
        <w:t xml:space="preserve"> on the basis that the submission</w:t>
      </w:r>
      <w:r w:rsidR="00256E6F">
        <w:t xml:space="preserve"> </w:t>
      </w:r>
      <w:r w:rsidR="000159FE">
        <w:t>incorrect</w:t>
      </w:r>
      <w:r w:rsidR="00C304C9">
        <w:t>ly proposed</w:t>
      </w:r>
      <w:r w:rsidR="000159FE">
        <w:t xml:space="preserve"> </w:t>
      </w:r>
      <w:r w:rsidR="006D7293">
        <w:t xml:space="preserve">treatment </w:t>
      </w:r>
      <w:r w:rsidR="0053763B">
        <w:t>in</w:t>
      </w:r>
      <w:r w:rsidR="006D7293">
        <w:t xml:space="preserve"> treatment-experienced patients </w:t>
      </w:r>
      <w:r w:rsidR="00953798">
        <w:t>while the</w:t>
      </w:r>
      <w:r w:rsidR="006D7293">
        <w:t xml:space="preserve"> </w:t>
      </w:r>
      <w:r w:rsidR="00244537">
        <w:t>evidence</w:t>
      </w:r>
      <w:r w:rsidR="00953798">
        <w:t xml:space="preserve"> presented</w:t>
      </w:r>
      <w:r w:rsidR="00244537">
        <w:t xml:space="preserve"> for clinical efficacy and safety</w:t>
      </w:r>
      <w:r w:rsidR="00953798">
        <w:t xml:space="preserve"> </w:t>
      </w:r>
      <w:r w:rsidR="003B57EA">
        <w:t xml:space="preserve">also </w:t>
      </w:r>
      <w:r w:rsidR="00953798">
        <w:t>supported use in treatment naïve patients.  The PBAC</w:t>
      </w:r>
      <w:r w:rsidR="00E16D23">
        <w:t xml:space="preserve"> </w:t>
      </w:r>
      <w:r w:rsidR="00953798">
        <w:t xml:space="preserve">noted that the submission’s proposed </w:t>
      </w:r>
      <w:r w:rsidR="00BB6E76">
        <w:t>listing</w:t>
      </w:r>
      <w:r w:rsidR="00953798">
        <w:t xml:space="preserve"> was not consistent with </w:t>
      </w:r>
      <w:r w:rsidR="006D7293">
        <w:t>the</w:t>
      </w:r>
      <w:r w:rsidR="00953798">
        <w:t xml:space="preserve"> current Australian Commentary to the US Department of Health and Human Services Guidelines for the use of Antiretroviral Agents in HIV-1-</w:t>
      </w:r>
      <w:r w:rsidR="00BB6E76">
        <w:t>Infected Adults and Adolescents</w:t>
      </w:r>
      <w:r w:rsidR="00396328">
        <w:t xml:space="preserve"> (August 2015)</w:t>
      </w:r>
      <w:r w:rsidR="00BB6E76">
        <w:t>,</w:t>
      </w:r>
      <w:r w:rsidR="00953798">
        <w:t xml:space="preserve"> </w:t>
      </w:r>
      <w:r w:rsidR="00BB6E76">
        <w:t xml:space="preserve">which lists </w:t>
      </w:r>
      <w:r w:rsidR="00BB6E76" w:rsidRPr="00017332">
        <w:t>darunavir/ritonavir</w:t>
      </w:r>
      <w:r w:rsidR="00BB6E76">
        <w:t xml:space="preserve"> (with tenofovir disoproxil fumarate/emtricitabine</w:t>
      </w:r>
      <w:r w:rsidR="00BB6E76" w:rsidRPr="00017332">
        <w:t xml:space="preserve">) as a recommended regimen and darunavir/cobicistat (with </w:t>
      </w:r>
      <w:r w:rsidR="00BB6E76">
        <w:t>tenofovir disoproxil fumarate/emtricitabine</w:t>
      </w:r>
      <w:r w:rsidR="00BB6E76" w:rsidRPr="00017332">
        <w:t xml:space="preserve"> or </w:t>
      </w:r>
      <w:r w:rsidR="00BB6E76">
        <w:t>abacavir/lamivudine</w:t>
      </w:r>
      <w:r w:rsidR="00BB6E76" w:rsidRPr="00017332">
        <w:t>) as an alternative option in first line therapy for treatment naïve patients</w:t>
      </w:r>
      <w:r w:rsidR="00651644">
        <w:t>.</w:t>
      </w:r>
    </w:p>
    <w:p w:rsidR="00BB6E76" w:rsidRDefault="00BB6E76" w:rsidP="00BB6E76"/>
    <w:p w:rsidR="00345E27" w:rsidRDefault="0053763B" w:rsidP="000159FE">
      <w:pPr>
        <w:pStyle w:val="ListParagraph"/>
        <w:numPr>
          <w:ilvl w:val="1"/>
          <w:numId w:val="3"/>
        </w:numPr>
      </w:pPr>
      <w:r>
        <w:t>The PBAC noted the submission requested a listing under the Section 100 (Hi</w:t>
      </w:r>
      <w:r w:rsidR="00345E27">
        <w:t>ghly Specialised Drugs Program) for Private and Public Hospitals.  The PBAC considered that the new HSD Community Access arrangements (commenced 1 July 2015) would be the appropriate listing arrangement for darunavir/cobicistat.</w:t>
      </w:r>
    </w:p>
    <w:p w:rsidR="00345E27" w:rsidRDefault="00345E27" w:rsidP="00BB6E76"/>
    <w:p w:rsidR="00182A09" w:rsidRDefault="004C39CD" w:rsidP="000159FE">
      <w:pPr>
        <w:pStyle w:val="ListParagraph"/>
        <w:numPr>
          <w:ilvl w:val="1"/>
          <w:numId w:val="3"/>
        </w:numPr>
      </w:pPr>
      <w:r>
        <w:t>The PBAC</w:t>
      </w:r>
      <w:r w:rsidR="00862F67">
        <w:t xml:space="preserve"> accepted</w:t>
      </w:r>
      <w:r>
        <w:t xml:space="preserve"> </w:t>
      </w:r>
      <w:r w:rsidR="00182A09">
        <w:t xml:space="preserve">the two nominated comparators, </w:t>
      </w:r>
      <w:r>
        <w:t>darunavir and ritonavir</w:t>
      </w:r>
      <w:r w:rsidR="001223DA">
        <w:t>,</w:t>
      </w:r>
      <w:r>
        <w:t xml:space="preserve"> taken concomit</w:t>
      </w:r>
      <w:r w:rsidR="005C430D">
        <w:t xml:space="preserve">antly </w:t>
      </w:r>
      <w:r w:rsidR="001223DA">
        <w:t>and darunavir and cobicistat</w:t>
      </w:r>
      <w:r w:rsidR="00182A09">
        <w:t>,</w:t>
      </w:r>
      <w:r w:rsidR="001223DA">
        <w:t xml:space="preserve"> taken concomitantly.</w:t>
      </w:r>
    </w:p>
    <w:p w:rsidR="00182A09" w:rsidRDefault="00182A09" w:rsidP="00182A09">
      <w:pPr>
        <w:pStyle w:val="ListParagraph"/>
      </w:pPr>
    </w:p>
    <w:p w:rsidR="00AA6266" w:rsidRDefault="002A408D" w:rsidP="000159FE">
      <w:pPr>
        <w:pStyle w:val="ListParagraph"/>
        <w:numPr>
          <w:ilvl w:val="1"/>
          <w:numId w:val="3"/>
        </w:numPr>
      </w:pPr>
      <w:r>
        <w:t xml:space="preserve">The </w:t>
      </w:r>
      <w:r w:rsidR="00C304C9">
        <w:t xml:space="preserve">PBAC noted the </w:t>
      </w:r>
      <w:r w:rsidR="003F2AF2">
        <w:t xml:space="preserve">pharmacokinetic studies </w:t>
      </w:r>
      <w:r w:rsidR="00C304C9">
        <w:t>presented in the submission</w:t>
      </w:r>
      <w:r w:rsidR="00B25BF0">
        <w:t xml:space="preserve"> </w:t>
      </w:r>
      <w:r w:rsidR="003F2AF2">
        <w:t>reported similar bioavailability of</w:t>
      </w:r>
      <w:r w:rsidR="008B26C1">
        <w:t xml:space="preserve"> darunavir/cobicistat FDC and </w:t>
      </w:r>
      <w:r w:rsidR="00912070">
        <w:t>darunavir and</w:t>
      </w:r>
      <w:r w:rsidR="008B26C1">
        <w:t xml:space="preserve"> ritonavir (Study 1001) and darunavir/</w:t>
      </w:r>
      <w:r w:rsidR="003F2AF2">
        <w:t>cobicistat</w:t>
      </w:r>
      <w:r w:rsidR="008B26C1">
        <w:t xml:space="preserve"> FDC</w:t>
      </w:r>
      <w:r w:rsidR="003F2AF2">
        <w:t xml:space="preserve"> and </w:t>
      </w:r>
      <w:r w:rsidR="00912070">
        <w:t>darunavir and</w:t>
      </w:r>
      <w:r w:rsidR="008B26C1">
        <w:t xml:space="preserve"> cobicistat taken concomitantly (Study 1003).</w:t>
      </w:r>
    </w:p>
    <w:p w:rsidR="00AA6266" w:rsidRDefault="00AA6266" w:rsidP="00AA6266">
      <w:pPr>
        <w:pStyle w:val="ListParagraph"/>
      </w:pPr>
    </w:p>
    <w:p w:rsidR="00D52B3B" w:rsidRPr="00BB6E76" w:rsidRDefault="008B26C1" w:rsidP="00D52B3B">
      <w:pPr>
        <w:pStyle w:val="ListParagraph"/>
        <w:numPr>
          <w:ilvl w:val="1"/>
          <w:numId w:val="3"/>
        </w:numPr>
        <w:rPr>
          <w:szCs w:val="22"/>
        </w:rPr>
      </w:pPr>
      <w:r>
        <w:t xml:space="preserve">The PBAC also noted the </w:t>
      </w:r>
      <w:r w:rsidR="00AA6266">
        <w:t xml:space="preserve">results of </w:t>
      </w:r>
      <w:r w:rsidR="003B0A41">
        <w:t>a naïve indirect comparison of a non-randomised study (</w:t>
      </w:r>
      <w:r w:rsidR="00F11FF3">
        <w:t>S</w:t>
      </w:r>
      <w:r w:rsidR="00AA6266">
        <w:t>tudy 0130</w:t>
      </w:r>
      <w:r w:rsidR="003B0A41">
        <w:t xml:space="preserve">) with </w:t>
      </w:r>
      <w:r w:rsidR="00912070">
        <w:t>darunavir and</w:t>
      </w:r>
      <w:r w:rsidR="003B0A41">
        <w:t xml:space="preserve"> cobicistat taken concomitantly, to single arms of four randomised trials (FLAMINGO, 2LADY, ARTEMIS and ODIN) </w:t>
      </w:r>
      <w:r w:rsidR="00965156">
        <w:t xml:space="preserve">that included </w:t>
      </w:r>
      <w:r w:rsidR="00912070">
        <w:t>darunavir and</w:t>
      </w:r>
      <w:r w:rsidR="00965156">
        <w:t xml:space="preserve"> ritonavir.  The PBAC agreed with the evaluation that there was significant heterogeneity across study design and patient characteristics which limited the qualitative comparison.</w:t>
      </w:r>
      <w:r w:rsidR="00BB6E76">
        <w:t xml:space="preserve"> </w:t>
      </w:r>
    </w:p>
    <w:p w:rsidR="00250F92" w:rsidRPr="00381CEB" w:rsidRDefault="00250F92" w:rsidP="00381CEB">
      <w:pPr>
        <w:rPr>
          <w:szCs w:val="22"/>
        </w:rPr>
      </w:pPr>
    </w:p>
    <w:p w:rsidR="00381CEB" w:rsidRDefault="00912070" w:rsidP="00D52B3B">
      <w:pPr>
        <w:pStyle w:val="ListParagraph"/>
        <w:numPr>
          <w:ilvl w:val="1"/>
          <w:numId w:val="3"/>
        </w:numPr>
        <w:rPr>
          <w:szCs w:val="22"/>
        </w:rPr>
      </w:pPr>
      <w:r>
        <w:rPr>
          <w:szCs w:val="22"/>
        </w:rPr>
        <w:t xml:space="preserve">The </w:t>
      </w:r>
      <w:r w:rsidR="00E15FC1">
        <w:rPr>
          <w:szCs w:val="22"/>
        </w:rPr>
        <w:t xml:space="preserve">PBAC </w:t>
      </w:r>
      <w:r>
        <w:rPr>
          <w:szCs w:val="22"/>
        </w:rPr>
        <w:t xml:space="preserve">acknowledged that the TGA has accepted the bioequivalence of darunavir/cobicistat FDC to darunavir and </w:t>
      </w:r>
      <w:r w:rsidR="008C6753">
        <w:rPr>
          <w:szCs w:val="22"/>
        </w:rPr>
        <w:t>ritonavir</w:t>
      </w:r>
      <w:r>
        <w:rPr>
          <w:szCs w:val="22"/>
        </w:rPr>
        <w:t xml:space="preserve"> taken</w:t>
      </w:r>
      <w:r w:rsidR="008C6753">
        <w:rPr>
          <w:szCs w:val="22"/>
        </w:rPr>
        <w:t xml:space="preserve"> concomitantly (Study 1001) and also to darunavir and cobicistat taken concomitantly (Study 1003).</w:t>
      </w:r>
      <w:r w:rsidR="00381CEB">
        <w:rPr>
          <w:szCs w:val="22"/>
        </w:rPr>
        <w:t xml:space="preserve">  Based on the evidence presented, the PBAC agreed there appears to be no difference in benefits and harms between darunavir/cobicistat FDC and darunavir plus cobicistat or ritonavir.</w:t>
      </w:r>
    </w:p>
    <w:p w:rsidR="00381CEB" w:rsidRPr="00381CEB" w:rsidRDefault="00381CEB" w:rsidP="00381CEB">
      <w:pPr>
        <w:pStyle w:val="ListParagraph"/>
        <w:rPr>
          <w:szCs w:val="22"/>
        </w:rPr>
      </w:pPr>
    </w:p>
    <w:p w:rsidR="00250F92" w:rsidRDefault="00D3200C" w:rsidP="00D52B3B">
      <w:pPr>
        <w:pStyle w:val="ListParagraph"/>
        <w:numPr>
          <w:ilvl w:val="1"/>
          <w:numId w:val="3"/>
        </w:numPr>
        <w:rPr>
          <w:szCs w:val="22"/>
        </w:rPr>
      </w:pPr>
      <w:r>
        <w:rPr>
          <w:szCs w:val="22"/>
        </w:rPr>
        <w:t xml:space="preserve">The PBAC </w:t>
      </w:r>
      <w:r w:rsidR="00DE2A71">
        <w:rPr>
          <w:szCs w:val="22"/>
        </w:rPr>
        <w:t>agreed</w:t>
      </w:r>
      <w:r w:rsidR="00FF2117">
        <w:rPr>
          <w:szCs w:val="22"/>
        </w:rPr>
        <w:t xml:space="preserve"> </w:t>
      </w:r>
      <w:r w:rsidR="00DE2A71">
        <w:rPr>
          <w:szCs w:val="22"/>
        </w:rPr>
        <w:t>with</w:t>
      </w:r>
      <w:r w:rsidR="00E759D0">
        <w:rPr>
          <w:szCs w:val="22"/>
        </w:rPr>
        <w:t xml:space="preserve"> ESC</w:t>
      </w:r>
      <w:r w:rsidR="00FF2117">
        <w:rPr>
          <w:szCs w:val="22"/>
        </w:rPr>
        <w:t xml:space="preserve"> </w:t>
      </w:r>
      <w:r w:rsidR="00E759D0">
        <w:rPr>
          <w:szCs w:val="22"/>
        </w:rPr>
        <w:t>that darunavir/cobicistat could be used in place of</w:t>
      </w:r>
      <w:r w:rsidR="00FF2117">
        <w:rPr>
          <w:szCs w:val="22"/>
        </w:rPr>
        <w:t xml:space="preserve"> other</w:t>
      </w:r>
      <w:r w:rsidR="00E759D0">
        <w:rPr>
          <w:szCs w:val="22"/>
        </w:rPr>
        <w:t xml:space="preserve"> protease inhibit</w:t>
      </w:r>
      <w:r w:rsidR="00FF2117">
        <w:rPr>
          <w:szCs w:val="22"/>
        </w:rPr>
        <w:t>ors (PI) such as lopinavir/ritonavir FDC and atazanavir plus ritonavir (or cobicistat) taken concomitantly in those whom PI-based therapy is preferred</w:t>
      </w:r>
      <w:r w:rsidR="00E45701">
        <w:rPr>
          <w:szCs w:val="22"/>
        </w:rPr>
        <w:t xml:space="preserve"> and that this could potentially increase the estimated net cost</w:t>
      </w:r>
      <w:r w:rsidR="00FF2117">
        <w:rPr>
          <w:szCs w:val="22"/>
        </w:rPr>
        <w:t xml:space="preserve">.  </w:t>
      </w:r>
      <w:r w:rsidR="00E45701">
        <w:rPr>
          <w:szCs w:val="22"/>
        </w:rPr>
        <w:t xml:space="preserve">The sponsor’s Pre-PBAC Response maintained that </w:t>
      </w:r>
      <w:r w:rsidR="00FA4C04">
        <w:rPr>
          <w:szCs w:val="22"/>
        </w:rPr>
        <w:t>it is</w:t>
      </w:r>
      <w:r w:rsidR="00E45701">
        <w:rPr>
          <w:szCs w:val="22"/>
        </w:rPr>
        <w:t xml:space="preserve"> unlikely to happen, as use in treatment naïve patients is minimal in </w:t>
      </w:r>
      <w:r w:rsidR="00FA4C04">
        <w:rPr>
          <w:szCs w:val="22"/>
        </w:rPr>
        <w:t xml:space="preserve">Australian </w:t>
      </w:r>
      <w:r w:rsidR="00E45701">
        <w:rPr>
          <w:szCs w:val="22"/>
        </w:rPr>
        <w:t>clinical practice and that the</w:t>
      </w:r>
      <w:r w:rsidR="00FA4C04">
        <w:rPr>
          <w:szCs w:val="22"/>
        </w:rPr>
        <w:t>re is a clinical preference to use darunavir in patients who have previously failed an antiretroviral therapy regimen or patients who prefer a single tablet regimen.</w:t>
      </w:r>
    </w:p>
    <w:p w:rsidR="004D3BAD" w:rsidRPr="004D3BAD" w:rsidRDefault="00E45701" w:rsidP="004D3BAD">
      <w:pPr>
        <w:pStyle w:val="ListParagraph"/>
        <w:rPr>
          <w:szCs w:val="22"/>
        </w:rPr>
      </w:pPr>
      <w:r>
        <w:rPr>
          <w:szCs w:val="22"/>
        </w:rPr>
        <w:t xml:space="preserve"> </w:t>
      </w:r>
    </w:p>
    <w:p w:rsidR="004D3BAD" w:rsidRDefault="004D3BAD" w:rsidP="00D52B3B">
      <w:pPr>
        <w:pStyle w:val="ListParagraph"/>
        <w:numPr>
          <w:ilvl w:val="1"/>
          <w:numId w:val="3"/>
        </w:numPr>
        <w:rPr>
          <w:szCs w:val="22"/>
        </w:rPr>
      </w:pPr>
      <w:r>
        <w:rPr>
          <w:szCs w:val="22"/>
        </w:rPr>
        <w:lastRenderedPageBreak/>
        <w:t>The PBAC considered that a minor resubmission would be required to request further consideration of recommending listing of darunavir/cobicistat in the treatment</w:t>
      </w:r>
      <w:r w:rsidR="007B279C">
        <w:rPr>
          <w:szCs w:val="22"/>
        </w:rPr>
        <w:t xml:space="preserve"> of HIV-1 infection</w:t>
      </w:r>
      <w:r>
        <w:rPr>
          <w:szCs w:val="22"/>
        </w:rPr>
        <w:t xml:space="preserve">.  The PBAC further considered that the resubmission should </w:t>
      </w:r>
      <w:r w:rsidR="008B612B">
        <w:rPr>
          <w:szCs w:val="22"/>
        </w:rPr>
        <w:t xml:space="preserve">nominate a listing for </w:t>
      </w:r>
      <w:r>
        <w:rPr>
          <w:szCs w:val="22"/>
        </w:rPr>
        <w:t xml:space="preserve">darunavir/cobicistat </w:t>
      </w:r>
      <w:r w:rsidR="008B612B">
        <w:rPr>
          <w:szCs w:val="22"/>
        </w:rPr>
        <w:t xml:space="preserve">which reflects the status of darunavir as the preferred protease inhibitor for use in treatment naïve patients in the most recent US Department of Health and </w:t>
      </w:r>
      <w:r w:rsidR="008B612B" w:rsidRPr="003F274C">
        <w:rPr>
          <w:szCs w:val="22"/>
        </w:rPr>
        <w:t>Human Services Guidelines for the use of Antiretroviral Agents in HIV-1-Infected Adults and Adolescents (August 2015)</w:t>
      </w:r>
      <w:r w:rsidR="008B612B">
        <w:rPr>
          <w:szCs w:val="22"/>
        </w:rPr>
        <w:t>, providing a comparison between darunavir/cobicistat FDC</w:t>
      </w:r>
      <w:r>
        <w:rPr>
          <w:szCs w:val="22"/>
        </w:rPr>
        <w:t xml:space="preserve"> and </w:t>
      </w:r>
      <w:r w:rsidR="008B612B">
        <w:rPr>
          <w:szCs w:val="22"/>
        </w:rPr>
        <w:t xml:space="preserve">alternative FDCs </w:t>
      </w:r>
      <w:r>
        <w:rPr>
          <w:szCs w:val="22"/>
        </w:rPr>
        <w:t xml:space="preserve">in the first line setting </w:t>
      </w:r>
    </w:p>
    <w:p w:rsidR="00D3200C" w:rsidRPr="00D3200C" w:rsidRDefault="00D3200C" w:rsidP="00D3200C">
      <w:pPr>
        <w:pStyle w:val="ListParagraph"/>
        <w:rPr>
          <w:szCs w:val="22"/>
        </w:rPr>
      </w:pPr>
    </w:p>
    <w:p w:rsidR="00D3200C" w:rsidRPr="00D52B3B" w:rsidRDefault="00D3200C" w:rsidP="00D52B3B">
      <w:pPr>
        <w:pStyle w:val="ListParagraph"/>
        <w:numPr>
          <w:ilvl w:val="1"/>
          <w:numId w:val="3"/>
        </w:numPr>
        <w:rPr>
          <w:szCs w:val="22"/>
        </w:rPr>
      </w:pPr>
      <w:r>
        <w:rPr>
          <w:szCs w:val="22"/>
        </w:rPr>
        <w:t>The PBAC noted that this submission is eligible for an Independent Review.</w:t>
      </w:r>
    </w:p>
    <w:p w:rsidR="00D16616" w:rsidRDefault="00D16616" w:rsidP="00D16616">
      <w:pPr>
        <w:pStyle w:val="ListParagraph"/>
        <w:ind w:right="51"/>
        <w:rPr>
          <w:highlight w:val="yellow"/>
        </w:rPr>
      </w:pPr>
    </w:p>
    <w:p w:rsidR="00BF00B5" w:rsidRPr="00BF00B5" w:rsidRDefault="00BF00B5" w:rsidP="00576972">
      <w:pPr>
        <w:rPr>
          <w:b/>
          <w:szCs w:val="22"/>
        </w:rPr>
      </w:pPr>
      <w:r w:rsidRPr="00BF00B5">
        <w:rPr>
          <w:b/>
          <w:szCs w:val="22"/>
        </w:rPr>
        <w:t>Outcome:</w:t>
      </w:r>
    </w:p>
    <w:p w:rsidR="00854BA1" w:rsidRDefault="00BF00B5" w:rsidP="000B1C13">
      <w:pPr>
        <w:rPr>
          <w:szCs w:val="22"/>
        </w:rPr>
      </w:pPr>
      <w:r>
        <w:rPr>
          <w:szCs w:val="22"/>
        </w:rPr>
        <w:t>Rejected</w:t>
      </w:r>
    </w:p>
    <w:p w:rsidR="00854BA1" w:rsidRDefault="00854BA1" w:rsidP="000B1C13">
      <w:pPr>
        <w:rPr>
          <w:szCs w:val="22"/>
        </w:rPr>
      </w:pPr>
    </w:p>
    <w:p w:rsidR="00854BA1" w:rsidRDefault="00854BA1" w:rsidP="00651644">
      <w:pPr>
        <w:pStyle w:val="PBACHeading1"/>
        <w:rPr>
          <w:rFonts w:eastAsia="SimSun"/>
        </w:rPr>
      </w:pPr>
      <w:r>
        <w:rPr>
          <w:rFonts w:eastAsia="SimSun"/>
        </w:rPr>
        <w:t>Context for Decision</w:t>
      </w:r>
    </w:p>
    <w:p w:rsidR="00854BA1" w:rsidRDefault="00854BA1" w:rsidP="00854BA1">
      <w:pPr>
        <w:ind w:left="720"/>
        <w:contextualSpacing/>
        <w:rPr>
          <w:b/>
        </w:rPr>
      </w:pPr>
    </w:p>
    <w:p w:rsidR="00854BA1" w:rsidRDefault="00854BA1" w:rsidP="00854BA1">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54BA1" w:rsidRPr="00651644" w:rsidRDefault="00854BA1" w:rsidP="00651644"/>
    <w:p w:rsidR="00854BA1" w:rsidRDefault="00854BA1" w:rsidP="00651644">
      <w:pPr>
        <w:pStyle w:val="PBACHeading1"/>
        <w:rPr>
          <w:rFonts w:eastAsia="SimSun"/>
        </w:rPr>
      </w:pPr>
      <w:r>
        <w:rPr>
          <w:rFonts w:eastAsia="SimSun"/>
        </w:rPr>
        <w:t>Sponsor’s Comment</w:t>
      </w:r>
    </w:p>
    <w:p w:rsidR="00854BA1" w:rsidRDefault="00854BA1" w:rsidP="00854BA1">
      <w:pPr>
        <w:tabs>
          <w:tab w:val="left" w:pos="2940"/>
        </w:tabs>
        <w:rPr>
          <w:szCs w:val="22"/>
        </w:rPr>
      </w:pPr>
      <w:bookmarkStart w:id="15" w:name="_GoBack"/>
      <w:bookmarkEnd w:id="15"/>
    </w:p>
    <w:p w:rsidR="00DF3317" w:rsidRPr="00651644" w:rsidRDefault="00F11FF3" w:rsidP="00651644">
      <w:pPr>
        <w:ind w:left="720"/>
        <w:rPr>
          <w:rStyle w:val="CommentReference"/>
          <w:rFonts w:ascii="Arial" w:hAnsi="Arial"/>
          <w:b w:val="0"/>
          <w:sz w:val="22"/>
          <w:szCs w:val="22"/>
        </w:rPr>
      </w:pPr>
      <w:r>
        <w:rPr>
          <w:szCs w:val="22"/>
        </w:rPr>
        <w:t xml:space="preserve"> </w:t>
      </w:r>
      <w:r w:rsidR="00024B08">
        <w:rPr>
          <w:szCs w:val="22"/>
        </w:rPr>
        <w:t>The sponsor had no comment.</w:t>
      </w:r>
    </w:p>
    <w:sectPr w:rsidR="00DF3317" w:rsidRPr="00651644" w:rsidSect="005136B8">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F18" w:rsidRDefault="00182F18" w:rsidP="00124A51">
      <w:r>
        <w:separator/>
      </w:r>
    </w:p>
    <w:p w:rsidR="00182F18" w:rsidRDefault="00182F18"/>
  </w:endnote>
  <w:endnote w:type="continuationSeparator" w:id="0">
    <w:p w:rsidR="00182F18" w:rsidRDefault="00182F18" w:rsidP="00124A51">
      <w:r>
        <w:continuationSeparator/>
      </w:r>
    </w:p>
    <w:p w:rsidR="00182F18" w:rsidRDefault="00182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Bold">
    <w:altName w:val="MS Mincho"/>
    <w:panose1 w:val="00000000000000000000"/>
    <w:charset w:val="00"/>
    <w:family w:val="auto"/>
    <w:notTrueType/>
    <w:pitch w:val="default"/>
    <w:sig w:usb0="00000001" w:usb1="08070000" w:usb2="00000010" w:usb3="00000000" w:csb0="00020001" w:csb1="00000000"/>
  </w:font>
  <w:font w:name="TimesNewRoman">
    <w:altName w:val="MS Mincho"/>
    <w:panose1 w:val="00000000000000000000"/>
    <w:charset w:val="00"/>
    <w:family w:val="roman"/>
    <w:notTrueType/>
    <w:pitch w:val="default"/>
    <w:sig w:usb0="00000001"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F18" w:rsidRDefault="00182F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145684"/>
      <w:docPartObj>
        <w:docPartGallery w:val="Page Numbers (Bottom of Page)"/>
        <w:docPartUnique/>
      </w:docPartObj>
    </w:sdtPr>
    <w:sdtEndPr>
      <w:rPr>
        <w:noProof/>
      </w:rPr>
    </w:sdtEndPr>
    <w:sdtContent>
      <w:p w:rsidR="008D159B" w:rsidRDefault="008D159B">
        <w:pPr>
          <w:pStyle w:val="Footer"/>
          <w:jc w:val="center"/>
        </w:pPr>
        <w:r>
          <w:fldChar w:fldCharType="begin"/>
        </w:r>
        <w:r>
          <w:instrText xml:space="preserve"> PAGE   \* MERGEFORMAT </w:instrText>
        </w:r>
        <w:r>
          <w:fldChar w:fldCharType="separate"/>
        </w:r>
        <w:r w:rsidR="00651644">
          <w:rPr>
            <w:noProof/>
          </w:rPr>
          <w:t>11</w:t>
        </w:r>
        <w:r>
          <w:rPr>
            <w:noProof/>
          </w:rPr>
          <w:fldChar w:fldCharType="end"/>
        </w:r>
      </w:p>
    </w:sdtContent>
  </w:sdt>
  <w:p w:rsidR="008D159B" w:rsidRDefault="008D15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F18" w:rsidRDefault="00182F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F18" w:rsidRDefault="00182F18" w:rsidP="00124A51">
      <w:r>
        <w:separator/>
      </w:r>
    </w:p>
    <w:p w:rsidR="00182F18" w:rsidRDefault="00182F18"/>
  </w:footnote>
  <w:footnote w:type="continuationSeparator" w:id="0">
    <w:p w:rsidR="00182F18" w:rsidRDefault="00182F18" w:rsidP="00124A51">
      <w:r>
        <w:continuationSeparator/>
      </w:r>
    </w:p>
    <w:p w:rsidR="00182F18" w:rsidRDefault="00182F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F18" w:rsidRDefault="00182F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59B" w:rsidRPr="00DF217D" w:rsidRDefault="008D159B" w:rsidP="00854BA1">
    <w:pPr>
      <w:pStyle w:val="Header"/>
      <w:ind w:left="360"/>
      <w:jc w:val="center"/>
      <w:rPr>
        <w:i/>
        <w:color w:val="808080"/>
      </w:rPr>
    </w:pPr>
    <w:r w:rsidRPr="00E810C7">
      <w:rPr>
        <w:i/>
        <w:color w:val="808080"/>
        <w:szCs w:val="22"/>
      </w:rPr>
      <w:t>Public Summary Document –</w:t>
    </w:r>
    <w:r w:rsidRPr="00DF217D">
      <w:rPr>
        <w:i/>
        <w:color w:val="808080"/>
      </w:rPr>
      <w:t xml:space="preserve"> </w:t>
    </w:r>
    <w:r>
      <w:rPr>
        <w:i/>
        <w:color w:val="808080"/>
      </w:rPr>
      <w:t xml:space="preserve">November 2015 </w:t>
    </w:r>
    <w:r w:rsidRPr="00DF217D">
      <w:rPr>
        <w:i/>
        <w:color w:val="808080"/>
      </w:rPr>
      <w:t>PBAC</w:t>
    </w:r>
    <w:r>
      <w:rPr>
        <w:i/>
        <w:color w:val="808080"/>
      </w:rPr>
      <w:t xml:space="preserve"> </w:t>
    </w:r>
    <w:r w:rsidRPr="00DF217D">
      <w:rPr>
        <w:i/>
        <w:color w:val="808080"/>
      </w:rPr>
      <w:t>Meeting</w:t>
    </w:r>
  </w:p>
  <w:p w:rsidR="008D159B" w:rsidRDefault="008D15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F18" w:rsidRDefault="00182F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45FC7"/>
    <w:multiLevelType w:val="hybridMultilevel"/>
    <w:tmpl w:val="28A8F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0E1CAC"/>
    <w:multiLevelType w:val="hybridMultilevel"/>
    <w:tmpl w:val="635AE1F6"/>
    <w:lvl w:ilvl="0" w:tplc="FCF4AD2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862E71"/>
    <w:multiLevelType w:val="hybridMultilevel"/>
    <w:tmpl w:val="CE7C05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A1A14C1"/>
    <w:multiLevelType w:val="hybridMultilevel"/>
    <w:tmpl w:val="CB26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0A4B23"/>
    <w:multiLevelType w:val="hybridMultilevel"/>
    <w:tmpl w:val="96500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E474578"/>
    <w:multiLevelType w:val="multilevel"/>
    <w:tmpl w:val="901603CE"/>
    <w:lvl w:ilvl="0">
      <w:start w:val="1"/>
      <w:numFmt w:val="decimal"/>
      <w:pStyle w:val="FigureA"/>
      <w:lvlText w:val="Figure A.%1"/>
      <w:lvlJc w:val="left"/>
      <w:pPr>
        <w:ind w:left="360" w:hanging="360"/>
      </w:pPr>
      <w:rPr>
        <w:rFonts w:ascii="Arial Bold" w:hAnsi="Arial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E5737C6"/>
    <w:multiLevelType w:val="hybridMultilevel"/>
    <w:tmpl w:val="E8583C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EEF7FD0"/>
    <w:multiLevelType w:val="hybridMultilevel"/>
    <w:tmpl w:val="BE0087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FDF593A"/>
    <w:multiLevelType w:val="hybridMultilevel"/>
    <w:tmpl w:val="648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890447"/>
    <w:multiLevelType w:val="hybridMultilevel"/>
    <w:tmpl w:val="ACFCE4FA"/>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0">
    <w:nsid w:val="279370C7"/>
    <w:multiLevelType w:val="hybridMultilevel"/>
    <w:tmpl w:val="409293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8015F95"/>
    <w:multiLevelType w:val="hybridMultilevel"/>
    <w:tmpl w:val="5BDC9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C9A3D57"/>
    <w:multiLevelType w:val="hybridMultilevel"/>
    <w:tmpl w:val="EEB89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E2042EE"/>
    <w:multiLevelType w:val="hybridMultilevel"/>
    <w:tmpl w:val="C5282E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39F0E28"/>
    <w:multiLevelType w:val="hybridMultilevel"/>
    <w:tmpl w:val="8B00F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4572590"/>
    <w:multiLevelType w:val="hybridMultilevel"/>
    <w:tmpl w:val="84F894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7E74D1C"/>
    <w:multiLevelType w:val="hybridMultilevel"/>
    <w:tmpl w:val="74D0B5A0"/>
    <w:lvl w:ilvl="0" w:tplc="DCF06DD8">
      <w:start w:val="2"/>
      <w:numFmt w:val="bullet"/>
      <w:lvlText w:val="-"/>
      <w:lvlJc w:val="left"/>
      <w:pPr>
        <w:ind w:left="360" w:hanging="360"/>
      </w:pPr>
      <w:rPr>
        <w:rFonts w:ascii="Arial Narrow" w:eastAsia="Times New Roman" w:hAnsi="Arial Narrow" w:cs="Arial Narro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8">
    <w:nsid w:val="41A355AC"/>
    <w:multiLevelType w:val="hybridMultilevel"/>
    <w:tmpl w:val="F370C0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44662E9B"/>
    <w:multiLevelType w:val="hybridMultilevel"/>
    <w:tmpl w:val="19F8B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4E702B7"/>
    <w:multiLevelType w:val="hybridMultilevel"/>
    <w:tmpl w:val="8E2460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73B68D1"/>
    <w:multiLevelType w:val="hybridMultilevel"/>
    <w:tmpl w:val="BEF2C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92A18D2"/>
    <w:multiLevelType w:val="hybridMultilevel"/>
    <w:tmpl w:val="B888D9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9977925"/>
    <w:multiLevelType w:val="hybridMultilevel"/>
    <w:tmpl w:val="C2560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5">
    <w:nsid w:val="4A4D24FE"/>
    <w:multiLevelType w:val="hybridMultilevel"/>
    <w:tmpl w:val="CA04B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F5B2D28"/>
    <w:multiLevelType w:val="hybridMultilevel"/>
    <w:tmpl w:val="1646F54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nsid w:val="501201CC"/>
    <w:multiLevelType w:val="hybridMultilevel"/>
    <w:tmpl w:val="31F60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8AE5F0A"/>
    <w:multiLevelType w:val="hybridMultilevel"/>
    <w:tmpl w:val="B6EE5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DBB216F"/>
    <w:multiLevelType w:val="hybridMultilevel"/>
    <w:tmpl w:val="C1AC7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F5C17B0"/>
    <w:multiLevelType w:val="hybridMultilevel"/>
    <w:tmpl w:val="CF881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FF74B3D"/>
    <w:multiLevelType w:val="hybridMultilevel"/>
    <w:tmpl w:val="451CD858"/>
    <w:lvl w:ilvl="0" w:tplc="FCF4AD2E">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0A8547E"/>
    <w:multiLevelType w:val="hybridMultilevel"/>
    <w:tmpl w:val="41A61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FB71B5"/>
    <w:multiLevelType w:val="hybridMultilevel"/>
    <w:tmpl w:val="07FED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37C62F5"/>
    <w:multiLevelType w:val="hybridMultilevel"/>
    <w:tmpl w:val="26641956"/>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5">
    <w:nsid w:val="67DE019D"/>
    <w:multiLevelType w:val="hybridMultilevel"/>
    <w:tmpl w:val="76C27BA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6">
    <w:nsid w:val="6BD93789"/>
    <w:multiLevelType w:val="hybridMultilevel"/>
    <w:tmpl w:val="7D2ED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C971B40"/>
    <w:multiLevelType w:val="hybridMultilevel"/>
    <w:tmpl w:val="0F3A93A6"/>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38">
    <w:nsid w:val="6DAF0E8A"/>
    <w:multiLevelType w:val="hybridMultilevel"/>
    <w:tmpl w:val="CABC223A"/>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39">
    <w:nsid w:val="6F6A77E1"/>
    <w:multiLevelType w:val="hybridMultilevel"/>
    <w:tmpl w:val="BD0E73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F8F08DA"/>
    <w:multiLevelType w:val="hybridMultilevel"/>
    <w:tmpl w:val="87EE1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FD16C3E"/>
    <w:multiLevelType w:val="hybridMultilevel"/>
    <w:tmpl w:val="90FCB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FD924CA"/>
    <w:multiLevelType w:val="hybridMultilevel"/>
    <w:tmpl w:val="1DF839C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nsid w:val="73C236F3"/>
    <w:multiLevelType w:val="hybridMultilevel"/>
    <w:tmpl w:val="ABF099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58B39D5"/>
    <w:multiLevelType w:val="hybridMultilevel"/>
    <w:tmpl w:val="C6240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8034A9A"/>
    <w:multiLevelType w:val="hybridMultilevel"/>
    <w:tmpl w:val="8D5A391A"/>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46">
    <w:nsid w:val="784D033C"/>
    <w:multiLevelType w:val="multilevel"/>
    <w:tmpl w:val="4C46A85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C3A08FF"/>
    <w:multiLevelType w:val="hybridMultilevel"/>
    <w:tmpl w:val="A8D6C3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ECF26B9"/>
    <w:multiLevelType w:val="hybridMultilevel"/>
    <w:tmpl w:val="DE1A3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46"/>
  </w:num>
  <w:num w:numId="4">
    <w:abstractNumId w:val="38"/>
  </w:num>
  <w:num w:numId="5">
    <w:abstractNumId w:val="5"/>
  </w:num>
  <w:num w:numId="6">
    <w:abstractNumId w:val="11"/>
  </w:num>
  <w:num w:numId="7">
    <w:abstractNumId w:val="28"/>
  </w:num>
  <w:num w:numId="8">
    <w:abstractNumId w:val="40"/>
  </w:num>
  <w:num w:numId="9">
    <w:abstractNumId w:val="2"/>
  </w:num>
  <w:num w:numId="10">
    <w:abstractNumId w:val="46"/>
  </w:num>
  <w:num w:numId="11">
    <w:abstractNumId w:val="14"/>
  </w:num>
  <w:num w:numId="12">
    <w:abstractNumId w:val="7"/>
  </w:num>
  <w:num w:numId="13">
    <w:abstractNumId w:val="19"/>
  </w:num>
  <w:num w:numId="14">
    <w:abstractNumId w:val="21"/>
  </w:num>
  <w:num w:numId="15">
    <w:abstractNumId w:val="41"/>
  </w:num>
  <w:num w:numId="16">
    <w:abstractNumId w:val="10"/>
  </w:num>
  <w:num w:numId="17">
    <w:abstractNumId w:val="23"/>
  </w:num>
  <w:num w:numId="18">
    <w:abstractNumId w:val="44"/>
  </w:num>
  <w:num w:numId="19">
    <w:abstractNumId w:val="37"/>
  </w:num>
  <w:num w:numId="20">
    <w:abstractNumId w:val="0"/>
  </w:num>
  <w:num w:numId="21">
    <w:abstractNumId w:val="25"/>
  </w:num>
  <w:num w:numId="22">
    <w:abstractNumId w:val="9"/>
  </w:num>
  <w:num w:numId="23">
    <w:abstractNumId w:val="35"/>
  </w:num>
  <w:num w:numId="24">
    <w:abstractNumId w:val="22"/>
  </w:num>
  <w:num w:numId="25">
    <w:abstractNumId w:val="48"/>
  </w:num>
  <w:num w:numId="26">
    <w:abstractNumId w:val="3"/>
  </w:num>
  <w:num w:numId="27">
    <w:abstractNumId w:val="30"/>
  </w:num>
  <w:num w:numId="28">
    <w:abstractNumId w:val="33"/>
  </w:num>
  <w:num w:numId="29">
    <w:abstractNumId w:val="12"/>
  </w:num>
  <w:num w:numId="30">
    <w:abstractNumId w:val="4"/>
  </w:num>
  <w:num w:numId="31">
    <w:abstractNumId w:val="6"/>
  </w:num>
  <w:num w:numId="32">
    <w:abstractNumId w:val="13"/>
  </w:num>
  <w:num w:numId="33">
    <w:abstractNumId w:val="32"/>
  </w:num>
  <w:num w:numId="34">
    <w:abstractNumId w:val="26"/>
  </w:num>
  <w:num w:numId="35">
    <w:abstractNumId w:val="20"/>
  </w:num>
  <w:num w:numId="36">
    <w:abstractNumId w:val="43"/>
  </w:num>
  <w:num w:numId="37">
    <w:abstractNumId w:val="27"/>
  </w:num>
  <w:num w:numId="38">
    <w:abstractNumId w:val="29"/>
  </w:num>
  <w:num w:numId="39">
    <w:abstractNumId w:val="45"/>
  </w:num>
  <w:num w:numId="40">
    <w:abstractNumId w:val="36"/>
  </w:num>
  <w:num w:numId="41">
    <w:abstractNumId w:val="42"/>
  </w:num>
  <w:num w:numId="42">
    <w:abstractNumId w:val="34"/>
  </w:num>
  <w:num w:numId="43">
    <w:abstractNumId w:val="47"/>
  </w:num>
  <w:num w:numId="44">
    <w:abstractNumId w:val="15"/>
  </w:num>
  <w:num w:numId="45">
    <w:abstractNumId w:val="8"/>
  </w:num>
  <w:num w:numId="46">
    <w:abstractNumId w:val="18"/>
  </w:num>
  <w:num w:numId="47">
    <w:abstractNumId w:val="1"/>
  </w:num>
  <w:num w:numId="48">
    <w:abstractNumId w:val="39"/>
  </w:num>
  <w:num w:numId="49">
    <w:abstractNumId w:val="16"/>
  </w:num>
  <w:num w:numId="50">
    <w:abstractNumId w:val="31"/>
  </w:num>
  <w:num w:numId="51">
    <w:abstractNumId w:val="46"/>
  </w:num>
  <w:num w:numId="52">
    <w:abstractNumId w:val="4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55241"/>
    <w:rsid w:val="00000790"/>
    <w:rsid w:val="000007E7"/>
    <w:rsid w:val="00000805"/>
    <w:rsid w:val="0000110B"/>
    <w:rsid w:val="00001135"/>
    <w:rsid w:val="00003499"/>
    <w:rsid w:val="000106B1"/>
    <w:rsid w:val="000114A5"/>
    <w:rsid w:val="000114CC"/>
    <w:rsid w:val="0001289E"/>
    <w:rsid w:val="00013247"/>
    <w:rsid w:val="00013A61"/>
    <w:rsid w:val="00015661"/>
    <w:rsid w:val="00015886"/>
    <w:rsid w:val="000159FE"/>
    <w:rsid w:val="00015A05"/>
    <w:rsid w:val="00016206"/>
    <w:rsid w:val="000162EF"/>
    <w:rsid w:val="00017332"/>
    <w:rsid w:val="00017B25"/>
    <w:rsid w:val="0002055C"/>
    <w:rsid w:val="00020F82"/>
    <w:rsid w:val="00021B40"/>
    <w:rsid w:val="0002225F"/>
    <w:rsid w:val="00022432"/>
    <w:rsid w:val="00023763"/>
    <w:rsid w:val="00024B08"/>
    <w:rsid w:val="00024CB6"/>
    <w:rsid w:val="00024EA3"/>
    <w:rsid w:val="00025B90"/>
    <w:rsid w:val="00027384"/>
    <w:rsid w:val="00030965"/>
    <w:rsid w:val="00031EEC"/>
    <w:rsid w:val="0003367B"/>
    <w:rsid w:val="00036FF9"/>
    <w:rsid w:val="00040895"/>
    <w:rsid w:val="00040932"/>
    <w:rsid w:val="00040BB7"/>
    <w:rsid w:val="000421C2"/>
    <w:rsid w:val="000422DB"/>
    <w:rsid w:val="00043C37"/>
    <w:rsid w:val="00044BD6"/>
    <w:rsid w:val="00045386"/>
    <w:rsid w:val="00045A00"/>
    <w:rsid w:val="00052086"/>
    <w:rsid w:val="00054148"/>
    <w:rsid w:val="000546D7"/>
    <w:rsid w:val="000547BB"/>
    <w:rsid w:val="00055E81"/>
    <w:rsid w:val="000575F9"/>
    <w:rsid w:val="000603C5"/>
    <w:rsid w:val="000614DC"/>
    <w:rsid w:val="00061BF5"/>
    <w:rsid w:val="00064A9E"/>
    <w:rsid w:val="00064B04"/>
    <w:rsid w:val="00065802"/>
    <w:rsid w:val="000662DB"/>
    <w:rsid w:val="0007028F"/>
    <w:rsid w:val="00071248"/>
    <w:rsid w:val="000720B9"/>
    <w:rsid w:val="0007346F"/>
    <w:rsid w:val="00074DD1"/>
    <w:rsid w:val="00075E47"/>
    <w:rsid w:val="0007749E"/>
    <w:rsid w:val="0008030C"/>
    <w:rsid w:val="000812CA"/>
    <w:rsid w:val="00082C00"/>
    <w:rsid w:val="00083053"/>
    <w:rsid w:val="000831DF"/>
    <w:rsid w:val="00090A20"/>
    <w:rsid w:val="00090C7E"/>
    <w:rsid w:val="00092128"/>
    <w:rsid w:val="0009265C"/>
    <w:rsid w:val="0009435A"/>
    <w:rsid w:val="00094B86"/>
    <w:rsid w:val="00095A0B"/>
    <w:rsid w:val="000975BE"/>
    <w:rsid w:val="00097A1F"/>
    <w:rsid w:val="000A0076"/>
    <w:rsid w:val="000A2DA7"/>
    <w:rsid w:val="000A44D0"/>
    <w:rsid w:val="000A7321"/>
    <w:rsid w:val="000A7E74"/>
    <w:rsid w:val="000B1619"/>
    <w:rsid w:val="000B17BE"/>
    <w:rsid w:val="000B1C13"/>
    <w:rsid w:val="000B3B5C"/>
    <w:rsid w:val="000B44D9"/>
    <w:rsid w:val="000B55FD"/>
    <w:rsid w:val="000B5CD7"/>
    <w:rsid w:val="000C06A8"/>
    <w:rsid w:val="000C1C89"/>
    <w:rsid w:val="000C3D1E"/>
    <w:rsid w:val="000C68A9"/>
    <w:rsid w:val="000C6C9F"/>
    <w:rsid w:val="000C6F91"/>
    <w:rsid w:val="000C7DB5"/>
    <w:rsid w:val="000C7E68"/>
    <w:rsid w:val="000D12B2"/>
    <w:rsid w:val="000D1BFC"/>
    <w:rsid w:val="000D27CE"/>
    <w:rsid w:val="000D2BD0"/>
    <w:rsid w:val="000D4CCA"/>
    <w:rsid w:val="000D591C"/>
    <w:rsid w:val="000D75E1"/>
    <w:rsid w:val="000E2E4F"/>
    <w:rsid w:val="000E7CB8"/>
    <w:rsid w:val="000F05AA"/>
    <w:rsid w:val="000F0A1E"/>
    <w:rsid w:val="000F39CA"/>
    <w:rsid w:val="000F4042"/>
    <w:rsid w:val="000F4BB8"/>
    <w:rsid w:val="000F66FB"/>
    <w:rsid w:val="000F6C73"/>
    <w:rsid w:val="000F7127"/>
    <w:rsid w:val="000F71B1"/>
    <w:rsid w:val="000F720B"/>
    <w:rsid w:val="000F7ADC"/>
    <w:rsid w:val="000F7C5A"/>
    <w:rsid w:val="00100F8A"/>
    <w:rsid w:val="00101021"/>
    <w:rsid w:val="0010179D"/>
    <w:rsid w:val="001027AE"/>
    <w:rsid w:val="00103522"/>
    <w:rsid w:val="0010422F"/>
    <w:rsid w:val="001064A5"/>
    <w:rsid w:val="00106BE8"/>
    <w:rsid w:val="00106C29"/>
    <w:rsid w:val="0011032E"/>
    <w:rsid w:val="00110D00"/>
    <w:rsid w:val="0011348B"/>
    <w:rsid w:val="00115113"/>
    <w:rsid w:val="00116E68"/>
    <w:rsid w:val="00117A22"/>
    <w:rsid w:val="00117A2B"/>
    <w:rsid w:val="00120CE7"/>
    <w:rsid w:val="00121710"/>
    <w:rsid w:val="00121799"/>
    <w:rsid w:val="001222FC"/>
    <w:rsid w:val="001223DA"/>
    <w:rsid w:val="0012353F"/>
    <w:rsid w:val="00124A51"/>
    <w:rsid w:val="00124FA5"/>
    <w:rsid w:val="00126621"/>
    <w:rsid w:val="001269DC"/>
    <w:rsid w:val="001270BC"/>
    <w:rsid w:val="001271E1"/>
    <w:rsid w:val="001301E9"/>
    <w:rsid w:val="0013031E"/>
    <w:rsid w:val="00131E15"/>
    <w:rsid w:val="0013340E"/>
    <w:rsid w:val="001336C2"/>
    <w:rsid w:val="00133B07"/>
    <w:rsid w:val="00133BA7"/>
    <w:rsid w:val="00134306"/>
    <w:rsid w:val="00135B99"/>
    <w:rsid w:val="00135F69"/>
    <w:rsid w:val="0013711F"/>
    <w:rsid w:val="00137645"/>
    <w:rsid w:val="00137A7C"/>
    <w:rsid w:val="00137E1A"/>
    <w:rsid w:val="0014015A"/>
    <w:rsid w:val="00140E99"/>
    <w:rsid w:val="00143724"/>
    <w:rsid w:val="00145540"/>
    <w:rsid w:val="001456B0"/>
    <w:rsid w:val="00146E1E"/>
    <w:rsid w:val="001518A3"/>
    <w:rsid w:val="00151C57"/>
    <w:rsid w:val="00152048"/>
    <w:rsid w:val="00152689"/>
    <w:rsid w:val="00153A30"/>
    <w:rsid w:val="00153E35"/>
    <w:rsid w:val="00155586"/>
    <w:rsid w:val="00156F84"/>
    <w:rsid w:val="00157130"/>
    <w:rsid w:val="0015790D"/>
    <w:rsid w:val="00162839"/>
    <w:rsid w:val="00162913"/>
    <w:rsid w:val="00163EFF"/>
    <w:rsid w:val="0016413B"/>
    <w:rsid w:val="00165239"/>
    <w:rsid w:val="001661FB"/>
    <w:rsid w:val="0016748E"/>
    <w:rsid w:val="00170297"/>
    <w:rsid w:val="00170A99"/>
    <w:rsid w:val="00174A75"/>
    <w:rsid w:val="00175333"/>
    <w:rsid w:val="001762B2"/>
    <w:rsid w:val="001763ED"/>
    <w:rsid w:val="00177499"/>
    <w:rsid w:val="00181400"/>
    <w:rsid w:val="0018227C"/>
    <w:rsid w:val="00182A09"/>
    <w:rsid w:val="00182F18"/>
    <w:rsid w:val="00184473"/>
    <w:rsid w:val="00184500"/>
    <w:rsid w:val="00184E31"/>
    <w:rsid w:val="001858DB"/>
    <w:rsid w:val="00186818"/>
    <w:rsid w:val="00186D0E"/>
    <w:rsid w:val="0018752F"/>
    <w:rsid w:val="00187964"/>
    <w:rsid w:val="00187EB6"/>
    <w:rsid w:val="0019033D"/>
    <w:rsid w:val="00191462"/>
    <w:rsid w:val="00191FF1"/>
    <w:rsid w:val="00192379"/>
    <w:rsid w:val="00192DAA"/>
    <w:rsid w:val="00193719"/>
    <w:rsid w:val="00193FEA"/>
    <w:rsid w:val="00194FA3"/>
    <w:rsid w:val="00195222"/>
    <w:rsid w:val="00196000"/>
    <w:rsid w:val="001975D8"/>
    <w:rsid w:val="0019786A"/>
    <w:rsid w:val="001A0503"/>
    <w:rsid w:val="001A1899"/>
    <w:rsid w:val="001A1F41"/>
    <w:rsid w:val="001A28BC"/>
    <w:rsid w:val="001A2CED"/>
    <w:rsid w:val="001A2D25"/>
    <w:rsid w:val="001A3293"/>
    <w:rsid w:val="001B023E"/>
    <w:rsid w:val="001B0986"/>
    <w:rsid w:val="001B1565"/>
    <w:rsid w:val="001B25EE"/>
    <w:rsid w:val="001B3443"/>
    <w:rsid w:val="001B384F"/>
    <w:rsid w:val="001B4DD1"/>
    <w:rsid w:val="001B656E"/>
    <w:rsid w:val="001B678C"/>
    <w:rsid w:val="001B7F31"/>
    <w:rsid w:val="001C25A7"/>
    <w:rsid w:val="001C3FBA"/>
    <w:rsid w:val="001C451B"/>
    <w:rsid w:val="001C6E66"/>
    <w:rsid w:val="001D1181"/>
    <w:rsid w:val="001D1E5F"/>
    <w:rsid w:val="001D3137"/>
    <w:rsid w:val="001D6FB4"/>
    <w:rsid w:val="001E03B9"/>
    <w:rsid w:val="001E1834"/>
    <w:rsid w:val="001E238E"/>
    <w:rsid w:val="001E2B1E"/>
    <w:rsid w:val="001E416D"/>
    <w:rsid w:val="001E45F2"/>
    <w:rsid w:val="001E4A0C"/>
    <w:rsid w:val="001E52EB"/>
    <w:rsid w:val="001E53CD"/>
    <w:rsid w:val="001E63CE"/>
    <w:rsid w:val="001E6954"/>
    <w:rsid w:val="001E6EAA"/>
    <w:rsid w:val="001E7133"/>
    <w:rsid w:val="001E740C"/>
    <w:rsid w:val="001F1235"/>
    <w:rsid w:val="001F1CB3"/>
    <w:rsid w:val="001F401D"/>
    <w:rsid w:val="001F5DB7"/>
    <w:rsid w:val="001F7361"/>
    <w:rsid w:val="00201211"/>
    <w:rsid w:val="002018B9"/>
    <w:rsid w:val="00201A8B"/>
    <w:rsid w:val="002036B8"/>
    <w:rsid w:val="0020385F"/>
    <w:rsid w:val="00204FA9"/>
    <w:rsid w:val="00207021"/>
    <w:rsid w:val="00207D00"/>
    <w:rsid w:val="002105C1"/>
    <w:rsid w:val="002108E4"/>
    <w:rsid w:val="0021232E"/>
    <w:rsid w:val="002126A0"/>
    <w:rsid w:val="00213B9C"/>
    <w:rsid w:val="00214318"/>
    <w:rsid w:val="002149FE"/>
    <w:rsid w:val="002179FA"/>
    <w:rsid w:val="00221595"/>
    <w:rsid w:val="00222C13"/>
    <w:rsid w:val="00223B49"/>
    <w:rsid w:val="00224DD4"/>
    <w:rsid w:val="0022514E"/>
    <w:rsid w:val="002277E9"/>
    <w:rsid w:val="00227882"/>
    <w:rsid w:val="002309CC"/>
    <w:rsid w:val="00231F98"/>
    <w:rsid w:val="0023294F"/>
    <w:rsid w:val="002340B8"/>
    <w:rsid w:val="00234DC2"/>
    <w:rsid w:val="00234E84"/>
    <w:rsid w:val="002359FF"/>
    <w:rsid w:val="0024291E"/>
    <w:rsid w:val="00242A6F"/>
    <w:rsid w:val="002431DF"/>
    <w:rsid w:val="00244537"/>
    <w:rsid w:val="00244EF8"/>
    <w:rsid w:val="00246505"/>
    <w:rsid w:val="0024766D"/>
    <w:rsid w:val="00250F92"/>
    <w:rsid w:val="00250F98"/>
    <w:rsid w:val="00252612"/>
    <w:rsid w:val="00254DCF"/>
    <w:rsid w:val="0025534B"/>
    <w:rsid w:val="00255BB7"/>
    <w:rsid w:val="00255D87"/>
    <w:rsid w:val="00256CD0"/>
    <w:rsid w:val="00256E6F"/>
    <w:rsid w:val="00257C49"/>
    <w:rsid w:val="0026017C"/>
    <w:rsid w:val="0026051B"/>
    <w:rsid w:val="0026164B"/>
    <w:rsid w:val="00262A87"/>
    <w:rsid w:val="00262C12"/>
    <w:rsid w:val="00262CBB"/>
    <w:rsid w:val="0026429E"/>
    <w:rsid w:val="002661CF"/>
    <w:rsid w:val="00271E81"/>
    <w:rsid w:val="002731C6"/>
    <w:rsid w:val="00274A2F"/>
    <w:rsid w:val="00274D10"/>
    <w:rsid w:val="002752DA"/>
    <w:rsid w:val="00275500"/>
    <w:rsid w:val="00275C5A"/>
    <w:rsid w:val="00280DDB"/>
    <w:rsid w:val="00281014"/>
    <w:rsid w:val="00285C62"/>
    <w:rsid w:val="00285FAE"/>
    <w:rsid w:val="00286CE0"/>
    <w:rsid w:val="00287EC8"/>
    <w:rsid w:val="002926E7"/>
    <w:rsid w:val="00294FDD"/>
    <w:rsid w:val="002959E4"/>
    <w:rsid w:val="00295BAA"/>
    <w:rsid w:val="002A02D0"/>
    <w:rsid w:val="002A03E2"/>
    <w:rsid w:val="002A1162"/>
    <w:rsid w:val="002A14AB"/>
    <w:rsid w:val="002A2538"/>
    <w:rsid w:val="002A3A98"/>
    <w:rsid w:val="002A408D"/>
    <w:rsid w:val="002A58D6"/>
    <w:rsid w:val="002A6611"/>
    <w:rsid w:val="002B1C1F"/>
    <w:rsid w:val="002B411E"/>
    <w:rsid w:val="002B432F"/>
    <w:rsid w:val="002B6CCE"/>
    <w:rsid w:val="002B7C41"/>
    <w:rsid w:val="002C16D3"/>
    <w:rsid w:val="002C16D6"/>
    <w:rsid w:val="002C2775"/>
    <w:rsid w:val="002C27C1"/>
    <w:rsid w:val="002C2C10"/>
    <w:rsid w:val="002C31A5"/>
    <w:rsid w:val="002C34A7"/>
    <w:rsid w:val="002C5089"/>
    <w:rsid w:val="002D3676"/>
    <w:rsid w:val="002D3EE7"/>
    <w:rsid w:val="002D4930"/>
    <w:rsid w:val="002D4A43"/>
    <w:rsid w:val="002D500E"/>
    <w:rsid w:val="002D576D"/>
    <w:rsid w:val="002D5C77"/>
    <w:rsid w:val="002D6250"/>
    <w:rsid w:val="002E10F7"/>
    <w:rsid w:val="002E2B21"/>
    <w:rsid w:val="002E4FA7"/>
    <w:rsid w:val="002E5EB1"/>
    <w:rsid w:val="002F0117"/>
    <w:rsid w:val="002F0753"/>
    <w:rsid w:val="002F151B"/>
    <w:rsid w:val="002F1A98"/>
    <w:rsid w:val="002F3B08"/>
    <w:rsid w:val="002F4819"/>
    <w:rsid w:val="002F6093"/>
    <w:rsid w:val="002F6A96"/>
    <w:rsid w:val="002F6AD0"/>
    <w:rsid w:val="00301017"/>
    <w:rsid w:val="00301C34"/>
    <w:rsid w:val="003036C6"/>
    <w:rsid w:val="0030416D"/>
    <w:rsid w:val="00304797"/>
    <w:rsid w:val="00304918"/>
    <w:rsid w:val="00305C8B"/>
    <w:rsid w:val="00306DF7"/>
    <w:rsid w:val="00306E68"/>
    <w:rsid w:val="0030716D"/>
    <w:rsid w:val="0030786C"/>
    <w:rsid w:val="0031031A"/>
    <w:rsid w:val="00310981"/>
    <w:rsid w:val="00310D40"/>
    <w:rsid w:val="0031103D"/>
    <w:rsid w:val="003113F1"/>
    <w:rsid w:val="00313FD0"/>
    <w:rsid w:val="003148E7"/>
    <w:rsid w:val="00315498"/>
    <w:rsid w:val="00316500"/>
    <w:rsid w:val="003169C5"/>
    <w:rsid w:val="003179EA"/>
    <w:rsid w:val="00320059"/>
    <w:rsid w:val="003204AF"/>
    <w:rsid w:val="00322F6F"/>
    <w:rsid w:val="0032302C"/>
    <w:rsid w:val="003256F5"/>
    <w:rsid w:val="00327A82"/>
    <w:rsid w:val="00331518"/>
    <w:rsid w:val="00331B90"/>
    <w:rsid w:val="00331F38"/>
    <w:rsid w:val="00332F16"/>
    <w:rsid w:val="00333A3A"/>
    <w:rsid w:val="00333B9C"/>
    <w:rsid w:val="00333CC3"/>
    <w:rsid w:val="00334F21"/>
    <w:rsid w:val="00335F12"/>
    <w:rsid w:val="003361A8"/>
    <w:rsid w:val="003366C9"/>
    <w:rsid w:val="003371B0"/>
    <w:rsid w:val="0033762E"/>
    <w:rsid w:val="00337E67"/>
    <w:rsid w:val="00341704"/>
    <w:rsid w:val="0034257A"/>
    <w:rsid w:val="00343FA6"/>
    <w:rsid w:val="003446BC"/>
    <w:rsid w:val="00345B9C"/>
    <w:rsid w:val="00345E27"/>
    <w:rsid w:val="00347913"/>
    <w:rsid w:val="00350894"/>
    <w:rsid w:val="00351FBE"/>
    <w:rsid w:val="00352802"/>
    <w:rsid w:val="0035392C"/>
    <w:rsid w:val="0035620E"/>
    <w:rsid w:val="00356F46"/>
    <w:rsid w:val="00357F1F"/>
    <w:rsid w:val="00360567"/>
    <w:rsid w:val="00364500"/>
    <w:rsid w:val="003656FE"/>
    <w:rsid w:val="00366267"/>
    <w:rsid w:val="003702FE"/>
    <w:rsid w:val="00371180"/>
    <w:rsid w:val="003723E3"/>
    <w:rsid w:val="0037452D"/>
    <w:rsid w:val="00374F11"/>
    <w:rsid w:val="00375FD0"/>
    <w:rsid w:val="00377D5F"/>
    <w:rsid w:val="00377EEE"/>
    <w:rsid w:val="0038034E"/>
    <w:rsid w:val="00381CEB"/>
    <w:rsid w:val="00382AF3"/>
    <w:rsid w:val="0038365C"/>
    <w:rsid w:val="00384827"/>
    <w:rsid w:val="003851B2"/>
    <w:rsid w:val="00390C27"/>
    <w:rsid w:val="00390FA5"/>
    <w:rsid w:val="0039322E"/>
    <w:rsid w:val="00394457"/>
    <w:rsid w:val="0039460B"/>
    <w:rsid w:val="0039521E"/>
    <w:rsid w:val="00396328"/>
    <w:rsid w:val="00396FD0"/>
    <w:rsid w:val="00397EC7"/>
    <w:rsid w:val="003A0551"/>
    <w:rsid w:val="003A05A4"/>
    <w:rsid w:val="003A117A"/>
    <w:rsid w:val="003A1A7A"/>
    <w:rsid w:val="003A1CC3"/>
    <w:rsid w:val="003A2223"/>
    <w:rsid w:val="003A2429"/>
    <w:rsid w:val="003A3E30"/>
    <w:rsid w:val="003B051B"/>
    <w:rsid w:val="003B0A41"/>
    <w:rsid w:val="003B0C2B"/>
    <w:rsid w:val="003B1F40"/>
    <w:rsid w:val="003B300B"/>
    <w:rsid w:val="003B5039"/>
    <w:rsid w:val="003B5390"/>
    <w:rsid w:val="003B57EA"/>
    <w:rsid w:val="003B5A62"/>
    <w:rsid w:val="003B5C0A"/>
    <w:rsid w:val="003B695B"/>
    <w:rsid w:val="003B71CC"/>
    <w:rsid w:val="003B7E10"/>
    <w:rsid w:val="003C0FEB"/>
    <w:rsid w:val="003C1127"/>
    <w:rsid w:val="003C2513"/>
    <w:rsid w:val="003C4148"/>
    <w:rsid w:val="003C4C3A"/>
    <w:rsid w:val="003C5B1F"/>
    <w:rsid w:val="003D0326"/>
    <w:rsid w:val="003D0613"/>
    <w:rsid w:val="003D0655"/>
    <w:rsid w:val="003D0C04"/>
    <w:rsid w:val="003D1828"/>
    <w:rsid w:val="003D2422"/>
    <w:rsid w:val="003D61C0"/>
    <w:rsid w:val="003D62A8"/>
    <w:rsid w:val="003D73DB"/>
    <w:rsid w:val="003D76E3"/>
    <w:rsid w:val="003D7D5C"/>
    <w:rsid w:val="003E251B"/>
    <w:rsid w:val="003E3CC3"/>
    <w:rsid w:val="003E4D58"/>
    <w:rsid w:val="003E4DF8"/>
    <w:rsid w:val="003E7180"/>
    <w:rsid w:val="003E72E8"/>
    <w:rsid w:val="003E7C73"/>
    <w:rsid w:val="003F239B"/>
    <w:rsid w:val="003F23C5"/>
    <w:rsid w:val="003F2AF2"/>
    <w:rsid w:val="003F393F"/>
    <w:rsid w:val="003F4156"/>
    <w:rsid w:val="003F415E"/>
    <w:rsid w:val="003F7B95"/>
    <w:rsid w:val="004002C8"/>
    <w:rsid w:val="0040121E"/>
    <w:rsid w:val="00401DBE"/>
    <w:rsid w:val="004047C3"/>
    <w:rsid w:val="00404B6A"/>
    <w:rsid w:val="00410708"/>
    <w:rsid w:val="0041088E"/>
    <w:rsid w:val="00410C97"/>
    <w:rsid w:val="00410EC7"/>
    <w:rsid w:val="00412DAC"/>
    <w:rsid w:val="00412EC1"/>
    <w:rsid w:val="00412F06"/>
    <w:rsid w:val="00413052"/>
    <w:rsid w:val="00414476"/>
    <w:rsid w:val="0041459C"/>
    <w:rsid w:val="00415694"/>
    <w:rsid w:val="0041727C"/>
    <w:rsid w:val="00417BB0"/>
    <w:rsid w:val="00420B9F"/>
    <w:rsid w:val="00422F10"/>
    <w:rsid w:val="004240FC"/>
    <w:rsid w:val="00425160"/>
    <w:rsid w:val="00427F08"/>
    <w:rsid w:val="00430149"/>
    <w:rsid w:val="004319F8"/>
    <w:rsid w:val="00431F71"/>
    <w:rsid w:val="00433044"/>
    <w:rsid w:val="0043450D"/>
    <w:rsid w:val="00436CC8"/>
    <w:rsid w:val="00437A00"/>
    <w:rsid w:val="00437B1B"/>
    <w:rsid w:val="0044030C"/>
    <w:rsid w:val="004409C0"/>
    <w:rsid w:val="00441793"/>
    <w:rsid w:val="00442D1B"/>
    <w:rsid w:val="004443A7"/>
    <w:rsid w:val="0044463D"/>
    <w:rsid w:val="004464EB"/>
    <w:rsid w:val="004476C8"/>
    <w:rsid w:val="00447937"/>
    <w:rsid w:val="0045059A"/>
    <w:rsid w:val="00453D91"/>
    <w:rsid w:val="0045491F"/>
    <w:rsid w:val="00454CA8"/>
    <w:rsid w:val="00454E5D"/>
    <w:rsid w:val="00455CB5"/>
    <w:rsid w:val="00455D45"/>
    <w:rsid w:val="004563C4"/>
    <w:rsid w:val="00457F07"/>
    <w:rsid w:val="00460C8C"/>
    <w:rsid w:val="00461BB2"/>
    <w:rsid w:val="00461E18"/>
    <w:rsid w:val="00462440"/>
    <w:rsid w:val="00463604"/>
    <w:rsid w:val="00463B9D"/>
    <w:rsid w:val="00464595"/>
    <w:rsid w:val="004646F4"/>
    <w:rsid w:val="00465BC0"/>
    <w:rsid w:val="004663D8"/>
    <w:rsid w:val="00466D41"/>
    <w:rsid w:val="00466F59"/>
    <w:rsid w:val="00471B41"/>
    <w:rsid w:val="004726A9"/>
    <w:rsid w:val="00473ED6"/>
    <w:rsid w:val="00474337"/>
    <w:rsid w:val="00474FDA"/>
    <w:rsid w:val="00476EBC"/>
    <w:rsid w:val="004771D9"/>
    <w:rsid w:val="00477556"/>
    <w:rsid w:val="00480BCE"/>
    <w:rsid w:val="004836BC"/>
    <w:rsid w:val="00484CEB"/>
    <w:rsid w:val="00486316"/>
    <w:rsid w:val="00486339"/>
    <w:rsid w:val="004865B0"/>
    <w:rsid w:val="004867E2"/>
    <w:rsid w:val="004868DB"/>
    <w:rsid w:val="00487CF4"/>
    <w:rsid w:val="0049001D"/>
    <w:rsid w:val="00490A97"/>
    <w:rsid w:val="00491B3A"/>
    <w:rsid w:val="00492B02"/>
    <w:rsid w:val="00492CFD"/>
    <w:rsid w:val="00493AE3"/>
    <w:rsid w:val="00494576"/>
    <w:rsid w:val="004962D2"/>
    <w:rsid w:val="00496D0B"/>
    <w:rsid w:val="004A0436"/>
    <w:rsid w:val="004A0DA1"/>
    <w:rsid w:val="004A202B"/>
    <w:rsid w:val="004A248F"/>
    <w:rsid w:val="004A2669"/>
    <w:rsid w:val="004A333D"/>
    <w:rsid w:val="004A4CE2"/>
    <w:rsid w:val="004A6597"/>
    <w:rsid w:val="004A6DDD"/>
    <w:rsid w:val="004A752F"/>
    <w:rsid w:val="004B1CB4"/>
    <w:rsid w:val="004B256C"/>
    <w:rsid w:val="004B2F18"/>
    <w:rsid w:val="004B32B2"/>
    <w:rsid w:val="004B3DDB"/>
    <w:rsid w:val="004B44FD"/>
    <w:rsid w:val="004B5CFC"/>
    <w:rsid w:val="004B5F8B"/>
    <w:rsid w:val="004B79EB"/>
    <w:rsid w:val="004B7AD3"/>
    <w:rsid w:val="004C0454"/>
    <w:rsid w:val="004C0528"/>
    <w:rsid w:val="004C39CD"/>
    <w:rsid w:val="004C3CCF"/>
    <w:rsid w:val="004C4AED"/>
    <w:rsid w:val="004C7E41"/>
    <w:rsid w:val="004D05F8"/>
    <w:rsid w:val="004D2227"/>
    <w:rsid w:val="004D234F"/>
    <w:rsid w:val="004D38D8"/>
    <w:rsid w:val="004D3BAD"/>
    <w:rsid w:val="004D5FBF"/>
    <w:rsid w:val="004D77E6"/>
    <w:rsid w:val="004D7EED"/>
    <w:rsid w:val="004D7F29"/>
    <w:rsid w:val="004E0EB8"/>
    <w:rsid w:val="004E2ADC"/>
    <w:rsid w:val="004E43B2"/>
    <w:rsid w:val="004E58A8"/>
    <w:rsid w:val="004E6D59"/>
    <w:rsid w:val="004E6FDB"/>
    <w:rsid w:val="004F1349"/>
    <w:rsid w:val="004F1D02"/>
    <w:rsid w:val="004F2679"/>
    <w:rsid w:val="004F286C"/>
    <w:rsid w:val="004F2C9C"/>
    <w:rsid w:val="004F4A8E"/>
    <w:rsid w:val="004F5D5D"/>
    <w:rsid w:val="004F7865"/>
    <w:rsid w:val="004F7FBF"/>
    <w:rsid w:val="00501D3E"/>
    <w:rsid w:val="005023DF"/>
    <w:rsid w:val="0050351C"/>
    <w:rsid w:val="00503589"/>
    <w:rsid w:val="005040E3"/>
    <w:rsid w:val="00504CF5"/>
    <w:rsid w:val="00505087"/>
    <w:rsid w:val="00505D09"/>
    <w:rsid w:val="00506020"/>
    <w:rsid w:val="00506928"/>
    <w:rsid w:val="00507F21"/>
    <w:rsid w:val="00510D7D"/>
    <w:rsid w:val="005136B8"/>
    <w:rsid w:val="005152B5"/>
    <w:rsid w:val="00516AD1"/>
    <w:rsid w:val="00516F94"/>
    <w:rsid w:val="00521319"/>
    <w:rsid w:val="00521A05"/>
    <w:rsid w:val="00521CA3"/>
    <w:rsid w:val="00521CFA"/>
    <w:rsid w:val="005222DA"/>
    <w:rsid w:val="00522F36"/>
    <w:rsid w:val="00523C28"/>
    <w:rsid w:val="00524B84"/>
    <w:rsid w:val="00525667"/>
    <w:rsid w:val="00527DDB"/>
    <w:rsid w:val="00530856"/>
    <w:rsid w:val="00531734"/>
    <w:rsid w:val="00531BDC"/>
    <w:rsid w:val="0053241D"/>
    <w:rsid w:val="0053278E"/>
    <w:rsid w:val="005335A6"/>
    <w:rsid w:val="00533EF5"/>
    <w:rsid w:val="005347D5"/>
    <w:rsid w:val="00535970"/>
    <w:rsid w:val="00535EB5"/>
    <w:rsid w:val="00536AE4"/>
    <w:rsid w:val="005371A0"/>
    <w:rsid w:val="00537551"/>
    <w:rsid w:val="0053763B"/>
    <w:rsid w:val="00541CFB"/>
    <w:rsid w:val="0055092B"/>
    <w:rsid w:val="00550AB1"/>
    <w:rsid w:val="00551154"/>
    <w:rsid w:val="0055291C"/>
    <w:rsid w:val="00552BD3"/>
    <w:rsid w:val="0055495F"/>
    <w:rsid w:val="00555109"/>
    <w:rsid w:val="00555174"/>
    <w:rsid w:val="00555B79"/>
    <w:rsid w:val="00555CBE"/>
    <w:rsid w:val="005573BB"/>
    <w:rsid w:val="0056267F"/>
    <w:rsid w:val="00563CAB"/>
    <w:rsid w:val="00565BC5"/>
    <w:rsid w:val="0056696F"/>
    <w:rsid w:val="00570AAE"/>
    <w:rsid w:val="00571249"/>
    <w:rsid w:val="005715E0"/>
    <w:rsid w:val="005722FF"/>
    <w:rsid w:val="00575C80"/>
    <w:rsid w:val="00575D30"/>
    <w:rsid w:val="00575D8D"/>
    <w:rsid w:val="00576972"/>
    <w:rsid w:val="005769E4"/>
    <w:rsid w:val="00576A2B"/>
    <w:rsid w:val="00576B1F"/>
    <w:rsid w:val="00577512"/>
    <w:rsid w:val="00580158"/>
    <w:rsid w:val="00583699"/>
    <w:rsid w:val="00584C94"/>
    <w:rsid w:val="00587DA7"/>
    <w:rsid w:val="00591339"/>
    <w:rsid w:val="00594D52"/>
    <w:rsid w:val="005950AE"/>
    <w:rsid w:val="00596C6A"/>
    <w:rsid w:val="005979D9"/>
    <w:rsid w:val="005A1F11"/>
    <w:rsid w:val="005A36E7"/>
    <w:rsid w:val="005A4BBC"/>
    <w:rsid w:val="005A5891"/>
    <w:rsid w:val="005A6AE1"/>
    <w:rsid w:val="005B05A3"/>
    <w:rsid w:val="005B0FBC"/>
    <w:rsid w:val="005B205F"/>
    <w:rsid w:val="005B284B"/>
    <w:rsid w:val="005B2A86"/>
    <w:rsid w:val="005B532F"/>
    <w:rsid w:val="005B5857"/>
    <w:rsid w:val="005B69D9"/>
    <w:rsid w:val="005C1B83"/>
    <w:rsid w:val="005C346B"/>
    <w:rsid w:val="005C430D"/>
    <w:rsid w:val="005C5656"/>
    <w:rsid w:val="005C6617"/>
    <w:rsid w:val="005C7148"/>
    <w:rsid w:val="005C7562"/>
    <w:rsid w:val="005C78FF"/>
    <w:rsid w:val="005D036C"/>
    <w:rsid w:val="005D044D"/>
    <w:rsid w:val="005D0BA5"/>
    <w:rsid w:val="005D18AD"/>
    <w:rsid w:val="005D343D"/>
    <w:rsid w:val="005D3F23"/>
    <w:rsid w:val="005D67A4"/>
    <w:rsid w:val="005D7F0E"/>
    <w:rsid w:val="005E148A"/>
    <w:rsid w:val="005E4859"/>
    <w:rsid w:val="005E624C"/>
    <w:rsid w:val="005E64E3"/>
    <w:rsid w:val="005E6802"/>
    <w:rsid w:val="005E73C0"/>
    <w:rsid w:val="005E73E3"/>
    <w:rsid w:val="005E7B63"/>
    <w:rsid w:val="005F2706"/>
    <w:rsid w:val="005F2C1E"/>
    <w:rsid w:val="005F341D"/>
    <w:rsid w:val="005F6A8F"/>
    <w:rsid w:val="0060109C"/>
    <w:rsid w:val="006044B0"/>
    <w:rsid w:val="00604D73"/>
    <w:rsid w:val="006056C0"/>
    <w:rsid w:val="00606106"/>
    <w:rsid w:val="00607669"/>
    <w:rsid w:val="00607D1E"/>
    <w:rsid w:val="00610BA9"/>
    <w:rsid w:val="00612F97"/>
    <w:rsid w:val="00613BF9"/>
    <w:rsid w:val="00616701"/>
    <w:rsid w:val="00616802"/>
    <w:rsid w:val="00617117"/>
    <w:rsid w:val="00617614"/>
    <w:rsid w:val="00617E12"/>
    <w:rsid w:val="00620575"/>
    <w:rsid w:val="006207C7"/>
    <w:rsid w:val="00621477"/>
    <w:rsid w:val="00622F17"/>
    <w:rsid w:val="0062795B"/>
    <w:rsid w:val="00627D02"/>
    <w:rsid w:val="00631D6B"/>
    <w:rsid w:val="00632D57"/>
    <w:rsid w:val="00634257"/>
    <w:rsid w:val="00634686"/>
    <w:rsid w:val="0063479F"/>
    <w:rsid w:val="0063544A"/>
    <w:rsid w:val="006364A1"/>
    <w:rsid w:val="00637BFD"/>
    <w:rsid w:val="00640F43"/>
    <w:rsid w:val="006413E5"/>
    <w:rsid w:val="00641AD2"/>
    <w:rsid w:val="00641D82"/>
    <w:rsid w:val="006431FD"/>
    <w:rsid w:val="00643B23"/>
    <w:rsid w:val="00644DD6"/>
    <w:rsid w:val="00646FB3"/>
    <w:rsid w:val="006471CC"/>
    <w:rsid w:val="00647F16"/>
    <w:rsid w:val="0065079F"/>
    <w:rsid w:val="00650AC6"/>
    <w:rsid w:val="0065142F"/>
    <w:rsid w:val="00651644"/>
    <w:rsid w:val="00651B8A"/>
    <w:rsid w:val="006520C3"/>
    <w:rsid w:val="00652825"/>
    <w:rsid w:val="00652883"/>
    <w:rsid w:val="00653457"/>
    <w:rsid w:val="00653690"/>
    <w:rsid w:val="0065396B"/>
    <w:rsid w:val="00654831"/>
    <w:rsid w:val="00657E7D"/>
    <w:rsid w:val="006614B9"/>
    <w:rsid w:val="00661626"/>
    <w:rsid w:val="006620C4"/>
    <w:rsid w:val="00662A43"/>
    <w:rsid w:val="00663BE9"/>
    <w:rsid w:val="00663D3D"/>
    <w:rsid w:val="00663E6F"/>
    <w:rsid w:val="00664C3F"/>
    <w:rsid w:val="00674E42"/>
    <w:rsid w:val="00682112"/>
    <w:rsid w:val="00682257"/>
    <w:rsid w:val="00682715"/>
    <w:rsid w:val="0068298C"/>
    <w:rsid w:val="00682AE0"/>
    <w:rsid w:val="006835E9"/>
    <w:rsid w:val="00683FEA"/>
    <w:rsid w:val="006872BA"/>
    <w:rsid w:val="006876DE"/>
    <w:rsid w:val="0069000D"/>
    <w:rsid w:val="006917D7"/>
    <w:rsid w:val="00692F30"/>
    <w:rsid w:val="00693E15"/>
    <w:rsid w:val="00694260"/>
    <w:rsid w:val="00694F44"/>
    <w:rsid w:val="00695F9A"/>
    <w:rsid w:val="00696766"/>
    <w:rsid w:val="006A01AB"/>
    <w:rsid w:val="006A0A99"/>
    <w:rsid w:val="006A19E8"/>
    <w:rsid w:val="006A1C90"/>
    <w:rsid w:val="006A23DA"/>
    <w:rsid w:val="006A2D9E"/>
    <w:rsid w:val="006A40EE"/>
    <w:rsid w:val="006A5412"/>
    <w:rsid w:val="006A569A"/>
    <w:rsid w:val="006A6748"/>
    <w:rsid w:val="006A73F7"/>
    <w:rsid w:val="006A784F"/>
    <w:rsid w:val="006A7CCB"/>
    <w:rsid w:val="006B0E55"/>
    <w:rsid w:val="006B242D"/>
    <w:rsid w:val="006B2E48"/>
    <w:rsid w:val="006B301C"/>
    <w:rsid w:val="006B3085"/>
    <w:rsid w:val="006B3935"/>
    <w:rsid w:val="006B3AC6"/>
    <w:rsid w:val="006B5425"/>
    <w:rsid w:val="006B74F2"/>
    <w:rsid w:val="006C1370"/>
    <w:rsid w:val="006C26AC"/>
    <w:rsid w:val="006C2A8E"/>
    <w:rsid w:val="006C3A49"/>
    <w:rsid w:val="006C500F"/>
    <w:rsid w:val="006D0A51"/>
    <w:rsid w:val="006D29E4"/>
    <w:rsid w:val="006D2D1A"/>
    <w:rsid w:val="006D3C7D"/>
    <w:rsid w:val="006D5C26"/>
    <w:rsid w:val="006D5D5F"/>
    <w:rsid w:val="006D611B"/>
    <w:rsid w:val="006D647C"/>
    <w:rsid w:val="006D7293"/>
    <w:rsid w:val="006E2219"/>
    <w:rsid w:val="006E50E6"/>
    <w:rsid w:val="006E5297"/>
    <w:rsid w:val="006E56A1"/>
    <w:rsid w:val="006E66AB"/>
    <w:rsid w:val="006F1C43"/>
    <w:rsid w:val="006F2704"/>
    <w:rsid w:val="006F2813"/>
    <w:rsid w:val="006F4682"/>
    <w:rsid w:val="006F46BF"/>
    <w:rsid w:val="006F5AFC"/>
    <w:rsid w:val="006F60CE"/>
    <w:rsid w:val="006F63A5"/>
    <w:rsid w:val="006F6A58"/>
    <w:rsid w:val="0070276E"/>
    <w:rsid w:val="00702F8F"/>
    <w:rsid w:val="0070387E"/>
    <w:rsid w:val="007065C2"/>
    <w:rsid w:val="00711407"/>
    <w:rsid w:val="007119AC"/>
    <w:rsid w:val="00711A36"/>
    <w:rsid w:val="00713DD6"/>
    <w:rsid w:val="00714A2C"/>
    <w:rsid w:val="0071549B"/>
    <w:rsid w:val="007162D5"/>
    <w:rsid w:val="007172AD"/>
    <w:rsid w:val="00722408"/>
    <w:rsid w:val="00722617"/>
    <w:rsid w:val="007226D7"/>
    <w:rsid w:val="0072297A"/>
    <w:rsid w:val="00722F38"/>
    <w:rsid w:val="00723409"/>
    <w:rsid w:val="00723DC2"/>
    <w:rsid w:val="007240C3"/>
    <w:rsid w:val="0072416F"/>
    <w:rsid w:val="007248A7"/>
    <w:rsid w:val="00727124"/>
    <w:rsid w:val="00727212"/>
    <w:rsid w:val="00730838"/>
    <w:rsid w:val="00730DD8"/>
    <w:rsid w:val="007323EA"/>
    <w:rsid w:val="00734F84"/>
    <w:rsid w:val="0073521B"/>
    <w:rsid w:val="00735328"/>
    <w:rsid w:val="0073637D"/>
    <w:rsid w:val="0073685B"/>
    <w:rsid w:val="0073728F"/>
    <w:rsid w:val="00737B7B"/>
    <w:rsid w:val="007419AD"/>
    <w:rsid w:val="0074351C"/>
    <w:rsid w:val="00743870"/>
    <w:rsid w:val="00743CC9"/>
    <w:rsid w:val="00744047"/>
    <w:rsid w:val="0074574A"/>
    <w:rsid w:val="00746737"/>
    <w:rsid w:val="00746B24"/>
    <w:rsid w:val="00747BB5"/>
    <w:rsid w:val="00752589"/>
    <w:rsid w:val="00752A78"/>
    <w:rsid w:val="007544A3"/>
    <w:rsid w:val="00754B88"/>
    <w:rsid w:val="007552EA"/>
    <w:rsid w:val="00756190"/>
    <w:rsid w:val="00757049"/>
    <w:rsid w:val="00761777"/>
    <w:rsid w:val="0076180C"/>
    <w:rsid w:val="0076240F"/>
    <w:rsid w:val="00763A29"/>
    <w:rsid w:val="007673AD"/>
    <w:rsid w:val="00770CEF"/>
    <w:rsid w:val="007730DC"/>
    <w:rsid w:val="00773555"/>
    <w:rsid w:val="00774027"/>
    <w:rsid w:val="00774AD1"/>
    <w:rsid w:val="00774B91"/>
    <w:rsid w:val="00776DE7"/>
    <w:rsid w:val="00780BAF"/>
    <w:rsid w:val="007810B1"/>
    <w:rsid w:val="007813A5"/>
    <w:rsid w:val="007813EA"/>
    <w:rsid w:val="0078151E"/>
    <w:rsid w:val="0078191C"/>
    <w:rsid w:val="00782051"/>
    <w:rsid w:val="00782CCE"/>
    <w:rsid w:val="00783237"/>
    <w:rsid w:val="0078371A"/>
    <w:rsid w:val="00786095"/>
    <w:rsid w:val="00787B2D"/>
    <w:rsid w:val="0079166C"/>
    <w:rsid w:val="00795930"/>
    <w:rsid w:val="007961A1"/>
    <w:rsid w:val="007962A8"/>
    <w:rsid w:val="007965CC"/>
    <w:rsid w:val="007A0A12"/>
    <w:rsid w:val="007A2124"/>
    <w:rsid w:val="007A2933"/>
    <w:rsid w:val="007A2F1E"/>
    <w:rsid w:val="007A5738"/>
    <w:rsid w:val="007B04DF"/>
    <w:rsid w:val="007B0B21"/>
    <w:rsid w:val="007B0C0E"/>
    <w:rsid w:val="007B251D"/>
    <w:rsid w:val="007B279C"/>
    <w:rsid w:val="007B2B61"/>
    <w:rsid w:val="007B3D2A"/>
    <w:rsid w:val="007B77D1"/>
    <w:rsid w:val="007B7C77"/>
    <w:rsid w:val="007B7FF4"/>
    <w:rsid w:val="007C0C39"/>
    <w:rsid w:val="007C1242"/>
    <w:rsid w:val="007C2832"/>
    <w:rsid w:val="007C361D"/>
    <w:rsid w:val="007C396A"/>
    <w:rsid w:val="007C3EDB"/>
    <w:rsid w:val="007C53E3"/>
    <w:rsid w:val="007C7178"/>
    <w:rsid w:val="007C7C44"/>
    <w:rsid w:val="007C7F84"/>
    <w:rsid w:val="007D0B38"/>
    <w:rsid w:val="007D24AB"/>
    <w:rsid w:val="007D5E4C"/>
    <w:rsid w:val="007D6AE0"/>
    <w:rsid w:val="007D6B13"/>
    <w:rsid w:val="007D6D18"/>
    <w:rsid w:val="007D6F73"/>
    <w:rsid w:val="007D7A82"/>
    <w:rsid w:val="007E05F3"/>
    <w:rsid w:val="007E1FC3"/>
    <w:rsid w:val="007E3E20"/>
    <w:rsid w:val="007E4447"/>
    <w:rsid w:val="007E6089"/>
    <w:rsid w:val="007E71AB"/>
    <w:rsid w:val="007E7370"/>
    <w:rsid w:val="007F0037"/>
    <w:rsid w:val="007F05FB"/>
    <w:rsid w:val="007F1017"/>
    <w:rsid w:val="007F15C5"/>
    <w:rsid w:val="007F2558"/>
    <w:rsid w:val="007F2A16"/>
    <w:rsid w:val="007F343C"/>
    <w:rsid w:val="007F4A3F"/>
    <w:rsid w:val="007F615C"/>
    <w:rsid w:val="00801BDA"/>
    <w:rsid w:val="00804CFB"/>
    <w:rsid w:val="00805142"/>
    <w:rsid w:val="00805CFC"/>
    <w:rsid w:val="008075B2"/>
    <w:rsid w:val="00807A8B"/>
    <w:rsid w:val="008116E2"/>
    <w:rsid w:val="00811CFA"/>
    <w:rsid w:val="00812149"/>
    <w:rsid w:val="00813C42"/>
    <w:rsid w:val="0081635A"/>
    <w:rsid w:val="008166EF"/>
    <w:rsid w:val="008173DF"/>
    <w:rsid w:val="00817C1A"/>
    <w:rsid w:val="00820AA5"/>
    <w:rsid w:val="008214DF"/>
    <w:rsid w:val="0082231F"/>
    <w:rsid w:val="00822564"/>
    <w:rsid w:val="008244B3"/>
    <w:rsid w:val="00824B02"/>
    <w:rsid w:val="008254E8"/>
    <w:rsid w:val="008264EB"/>
    <w:rsid w:val="008270FA"/>
    <w:rsid w:val="0083091D"/>
    <w:rsid w:val="00831692"/>
    <w:rsid w:val="008336F3"/>
    <w:rsid w:val="008339EC"/>
    <w:rsid w:val="00833B05"/>
    <w:rsid w:val="00833CCE"/>
    <w:rsid w:val="00836781"/>
    <w:rsid w:val="0083695F"/>
    <w:rsid w:val="00837546"/>
    <w:rsid w:val="00840227"/>
    <w:rsid w:val="008404B4"/>
    <w:rsid w:val="00840CA2"/>
    <w:rsid w:val="00840FC0"/>
    <w:rsid w:val="0084126B"/>
    <w:rsid w:val="0084130B"/>
    <w:rsid w:val="00843E03"/>
    <w:rsid w:val="00844912"/>
    <w:rsid w:val="0084632F"/>
    <w:rsid w:val="00847AEE"/>
    <w:rsid w:val="00847B6D"/>
    <w:rsid w:val="00850E66"/>
    <w:rsid w:val="008511DA"/>
    <w:rsid w:val="00851BD3"/>
    <w:rsid w:val="00854BA1"/>
    <w:rsid w:val="00854F1E"/>
    <w:rsid w:val="00855074"/>
    <w:rsid w:val="00855E28"/>
    <w:rsid w:val="00856E9A"/>
    <w:rsid w:val="00857822"/>
    <w:rsid w:val="008607A8"/>
    <w:rsid w:val="00860A1B"/>
    <w:rsid w:val="00862441"/>
    <w:rsid w:val="00862502"/>
    <w:rsid w:val="00862F67"/>
    <w:rsid w:val="00863869"/>
    <w:rsid w:val="008679D0"/>
    <w:rsid w:val="00870973"/>
    <w:rsid w:val="0087206A"/>
    <w:rsid w:val="00872B7E"/>
    <w:rsid w:val="00877C1C"/>
    <w:rsid w:val="008808BD"/>
    <w:rsid w:val="00882401"/>
    <w:rsid w:val="00882874"/>
    <w:rsid w:val="00883787"/>
    <w:rsid w:val="00885E9E"/>
    <w:rsid w:val="008865C9"/>
    <w:rsid w:val="00886C9D"/>
    <w:rsid w:val="00886D6B"/>
    <w:rsid w:val="00887D92"/>
    <w:rsid w:val="00891B34"/>
    <w:rsid w:val="00892713"/>
    <w:rsid w:val="00892B99"/>
    <w:rsid w:val="00893BDD"/>
    <w:rsid w:val="00894489"/>
    <w:rsid w:val="008963A5"/>
    <w:rsid w:val="0089685A"/>
    <w:rsid w:val="00897D0D"/>
    <w:rsid w:val="008A390A"/>
    <w:rsid w:val="008A3C3E"/>
    <w:rsid w:val="008A5495"/>
    <w:rsid w:val="008A6A19"/>
    <w:rsid w:val="008A6B70"/>
    <w:rsid w:val="008A79DE"/>
    <w:rsid w:val="008B0F99"/>
    <w:rsid w:val="008B2002"/>
    <w:rsid w:val="008B25A7"/>
    <w:rsid w:val="008B26C1"/>
    <w:rsid w:val="008B3163"/>
    <w:rsid w:val="008B3285"/>
    <w:rsid w:val="008B36AE"/>
    <w:rsid w:val="008B3D98"/>
    <w:rsid w:val="008B3F65"/>
    <w:rsid w:val="008B59E7"/>
    <w:rsid w:val="008B5B02"/>
    <w:rsid w:val="008B612B"/>
    <w:rsid w:val="008B7D7E"/>
    <w:rsid w:val="008C24E8"/>
    <w:rsid w:val="008C30E3"/>
    <w:rsid w:val="008C4513"/>
    <w:rsid w:val="008C4A04"/>
    <w:rsid w:val="008C505E"/>
    <w:rsid w:val="008C6753"/>
    <w:rsid w:val="008C6C79"/>
    <w:rsid w:val="008C70A8"/>
    <w:rsid w:val="008C7ECB"/>
    <w:rsid w:val="008D0199"/>
    <w:rsid w:val="008D159B"/>
    <w:rsid w:val="008D17DF"/>
    <w:rsid w:val="008D2314"/>
    <w:rsid w:val="008D73FD"/>
    <w:rsid w:val="008E1B9E"/>
    <w:rsid w:val="008E60FC"/>
    <w:rsid w:val="008F059F"/>
    <w:rsid w:val="008F120A"/>
    <w:rsid w:val="008F2690"/>
    <w:rsid w:val="008F351E"/>
    <w:rsid w:val="008F48EB"/>
    <w:rsid w:val="008F4F0B"/>
    <w:rsid w:val="008F5903"/>
    <w:rsid w:val="00901AC3"/>
    <w:rsid w:val="00901C8D"/>
    <w:rsid w:val="009020BB"/>
    <w:rsid w:val="00902344"/>
    <w:rsid w:val="0090339C"/>
    <w:rsid w:val="00903EA8"/>
    <w:rsid w:val="00903F57"/>
    <w:rsid w:val="009062A5"/>
    <w:rsid w:val="00911272"/>
    <w:rsid w:val="0091144A"/>
    <w:rsid w:val="00911D3C"/>
    <w:rsid w:val="00912070"/>
    <w:rsid w:val="00913690"/>
    <w:rsid w:val="00914D31"/>
    <w:rsid w:val="00917C40"/>
    <w:rsid w:val="00921C37"/>
    <w:rsid w:val="00922453"/>
    <w:rsid w:val="00923DA3"/>
    <w:rsid w:val="00924561"/>
    <w:rsid w:val="00924A24"/>
    <w:rsid w:val="00926F09"/>
    <w:rsid w:val="00926FBF"/>
    <w:rsid w:val="0092771C"/>
    <w:rsid w:val="009300BA"/>
    <w:rsid w:val="0093350E"/>
    <w:rsid w:val="0093386C"/>
    <w:rsid w:val="00936521"/>
    <w:rsid w:val="009373C2"/>
    <w:rsid w:val="009412D4"/>
    <w:rsid w:val="00941BF9"/>
    <w:rsid w:val="009437AD"/>
    <w:rsid w:val="00945971"/>
    <w:rsid w:val="00947275"/>
    <w:rsid w:val="00950B19"/>
    <w:rsid w:val="0095237D"/>
    <w:rsid w:val="00953798"/>
    <w:rsid w:val="00955241"/>
    <w:rsid w:val="0096050D"/>
    <w:rsid w:val="00960C8F"/>
    <w:rsid w:val="00960D82"/>
    <w:rsid w:val="009614C9"/>
    <w:rsid w:val="00962CB9"/>
    <w:rsid w:val="00962E52"/>
    <w:rsid w:val="00964312"/>
    <w:rsid w:val="00964734"/>
    <w:rsid w:val="00965156"/>
    <w:rsid w:val="00972021"/>
    <w:rsid w:val="009727F7"/>
    <w:rsid w:val="00976D3C"/>
    <w:rsid w:val="009772C7"/>
    <w:rsid w:val="0097747C"/>
    <w:rsid w:val="009820C8"/>
    <w:rsid w:val="009820CC"/>
    <w:rsid w:val="00983E57"/>
    <w:rsid w:val="00985AD3"/>
    <w:rsid w:val="00986A55"/>
    <w:rsid w:val="009871DD"/>
    <w:rsid w:val="00987940"/>
    <w:rsid w:val="00987CBD"/>
    <w:rsid w:val="0099055A"/>
    <w:rsid w:val="0099105D"/>
    <w:rsid w:val="009914E5"/>
    <w:rsid w:val="00992040"/>
    <w:rsid w:val="00992FD4"/>
    <w:rsid w:val="00993289"/>
    <w:rsid w:val="00994407"/>
    <w:rsid w:val="00994955"/>
    <w:rsid w:val="00994DF6"/>
    <w:rsid w:val="009958D8"/>
    <w:rsid w:val="00995E74"/>
    <w:rsid w:val="00996B1A"/>
    <w:rsid w:val="00996C49"/>
    <w:rsid w:val="009970F9"/>
    <w:rsid w:val="0099720D"/>
    <w:rsid w:val="009A165A"/>
    <w:rsid w:val="009A2DBE"/>
    <w:rsid w:val="009A4885"/>
    <w:rsid w:val="009A4F3F"/>
    <w:rsid w:val="009A62E9"/>
    <w:rsid w:val="009A63CB"/>
    <w:rsid w:val="009A739C"/>
    <w:rsid w:val="009B09C6"/>
    <w:rsid w:val="009B0E06"/>
    <w:rsid w:val="009B1327"/>
    <w:rsid w:val="009B192F"/>
    <w:rsid w:val="009B342E"/>
    <w:rsid w:val="009B3E26"/>
    <w:rsid w:val="009B4AAC"/>
    <w:rsid w:val="009B79D3"/>
    <w:rsid w:val="009C1DC7"/>
    <w:rsid w:val="009C46FD"/>
    <w:rsid w:val="009C514B"/>
    <w:rsid w:val="009C5F0A"/>
    <w:rsid w:val="009C695A"/>
    <w:rsid w:val="009C6E84"/>
    <w:rsid w:val="009C72F9"/>
    <w:rsid w:val="009D15B8"/>
    <w:rsid w:val="009D23E2"/>
    <w:rsid w:val="009D2C2D"/>
    <w:rsid w:val="009D3F17"/>
    <w:rsid w:val="009D3FE2"/>
    <w:rsid w:val="009D5B91"/>
    <w:rsid w:val="009D69EB"/>
    <w:rsid w:val="009E07B5"/>
    <w:rsid w:val="009E1471"/>
    <w:rsid w:val="009E20C9"/>
    <w:rsid w:val="009E2FD4"/>
    <w:rsid w:val="009E42CA"/>
    <w:rsid w:val="009E4C07"/>
    <w:rsid w:val="009E5103"/>
    <w:rsid w:val="009F0D09"/>
    <w:rsid w:val="009F1260"/>
    <w:rsid w:val="009F2117"/>
    <w:rsid w:val="009F32FC"/>
    <w:rsid w:val="009F5CBF"/>
    <w:rsid w:val="009F619B"/>
    <w:rsid w:val="009F6812"/>
    <w:rsid w:val="009F7C02"/>
    <w:rsid w:val="00A00A11"/>
    <w:rsid w:val="00A02716"/>
    <w:rsid w:val="00A03151"/>
    <w:rsid w:val="00A03D43"/>
    <w:rsid w:val="00A04380"/>
    <w:rsid w:val="00A05258"/>
    <w:rsid w:val="00A058AD"/>
    <w:rsid w:val="00A123E3"/>
    <w:rsid w:val="00A12831"/>
    <w:rsid w:val="00A13948"/>
    <w:rsid w:val="00A15CCD"/>
    <w:rsid w:val="00A15DF9"/>
    <w:rsid w:val="00A15F34"/>
    <w:rsid w:val="00A23701"/>
    <w:rsid w:val="00A25FF5"/>
    <w:rsid w:val="00A261C3"/>
    <w:rsid w:val="00A27AEC"/>
    <w:rsid w:val="00A317F8"/>
    <w:rsid w:val="00A32529"/>
    <w:rsid w:val="00A34AF7"/>
    <w:rsid w:val="00A35611"/>
    <w:rsid w:val="00A35D16"/>
    <w:rsid w:val="00A3665E"/>
    <w:rsid w:val="00A3739F"/>
    <w:rsid w:val="00A413A8"/>
    <w:rsid w:val="00A41A46"/>
    <w:rsid w:val="00A424AA"/>
    <w:rsid w:val="00A42665"/>
    <w:rsid w:val="00A43C59"/>
    <w:rsid w:val="00A44E9E"/>
    <w:rsid w:val="00A457FA"/>
    <w:rsid w:val="00A464D5"/>
    <w:rsid w:val="00A467FD"/>
    <w:rsid w:val="00A46A65"/>
    <w:rsid w:val="00A472F9"/>
    <w:rsid w:val="00A50ECD"/>
    <w:rsid w:val="00A5259B"/>
    <w:rsid w:val="00A52729"/>
    <w:rsid w:val="00A52CA8"/>
    <w:rsid w:val="00A52DF6"/>
    <w:rsid w:val="00A53675"/>
    <w:rsid w:val="00A53DEC"/>
    <w:rsid w:val="00A54AD0"/>
    <w:rsid w:val="00A555BB"/>
    <w:rsid w:val="00A555CD"/>
    <w:rsid w:val="00A55F8B"/>
    <w:rsid w:val="00A56B6A"/>
    <w:rsid w:val="00A57067"/>
    <w:rsid w:val="00A578DC"/>
    <w:rsid w:val="00A579A4"/>
    <w:rsid w:val="00A604DF"/>
    <w:rsid w:val="00A60E20"/>
    <w:rsid w:val="00A6393E"/>
    <w:rsid w:val="00A6436C"/>
    <w:rsid w:val="00A649E4"/>
    <w:rsid w:val="00A6701A"/>
    <w:rsid w:val="00A6725B"/>
    <w:rsid w:val="00A76F5B"/>
    <w:rsid w:val="00A806D6"/>
    <w:rsid w:val="00A82335"/>
    <w:rsid w:val="00A83754"/>
    <w:rsid w:val="00A83942"/>
    <w:rsid w:val="00A85A7C"/>
    <w:rsid w:val="00A86E8B"/>
    <w:rsid w:val="00A90018"/>
    <w:rsid w:val="00A90E5C"/>
    <w:rsid w:val="00A91631"/>
    <w:rsid w:val="00A91B36"/>
    <w:rsid w:val="00A93072"/>
    <w:rsid w:val="00A937D4"/>
    <w:rsid w:val="00A94319"/>
    <w:rsid w:val="00A9461C"/>
    <w:rsid w:val="00A959D8"/>
    <w:rsid w:val="00AA3C02"/>
    <w:rsid w:val="00AA46DE"/>
    <w:rsid w:val="00AA4AB4"/>
    <w:rsid w:val="00AA6266"/>
    <w:rsid w:val="00AB042A"/>
    <w:rsid w:val="00AB061F"/>
    <w:rsid w:val="00AB217C"/>
    <w:rsid w:val="00AB2C6F"/>
    <w:rsid w:val="00AB2D34"/>
    <w:rsid w:val="00AB3289"/>
    <w:rsid w:val="00AB331A"/>
    <w:rsid w:val="00AB3430"/>
    <w:rsid w:val="00AB72C0"/>
    <w:rsid w:val="00AB7CFA"/>
    <w:rsid w:val="00AC0088"/>
    <w:rsid w:val="00AC0931"/>
    <w:rsid w:val="00AC2188"/>
    <w:rsid w:val="00AC243A"/>
    <w:rsid w:val="00AC3AD1"/>
    <w:rsid w:val="00AD1713"/>
    <w:rsid w:val="00AD4AB4"/>
    <w:rsid w:val="00AD5586"/>
    <w:rsid w:val="00AD5D71"/>
    <w:rsid w:val="00AE1225"/>
    <w:rsid w:val="00AE219B"/>
    <w:rsid w:val="00AE2F57"/>
    <w:rsid w:val="00AE3DAF"/>
    <w:rsid w:val="00AE65CF"/>
    <w:rsid w:val="00AE7B16"/>
    <w:rsid w:val="00AF017F"/>
    <w:rsid w:val="00AF0409"/>
    <w:rsid w:val="00AF53BE"/>
    <w:rsid w:val="00AF74DC"/>
    <w:rsid w:val="00AF7EC0"/>
    <w:rsid w:val="00B01A71"/>
    <w:rsid w:val="00B02BCF"/>
    <w:rsid w:val="00B03A5E"/>
    <w:rsid w:val="00B06507"/>
    <w:rsid w:val="00B07095"/>
    <w:rsid w:val="00B07CDA"/>
    <w:rsid w:val="00B108CB"/>
    <w:rsid w:val="00B1209C"/>
    <w:rsid w:val="00B12314"/>
    <w:rsid w:val="00B1387C"/>
    <w:rsid w:val="00B13D8B"/>
    <w:rsid w:val="00B1581C"/>
    <w:rsid w:val="00B2020B"/>
    <w:rsid w:val="00B234F2"/>
    <w:rsid w:val="00B23865"/>
    <w:rsid w:val="00B246A1"/>
    <w:rsid w:val="00B25638"/>
    <w:rsid w:val="00B25BF0"/>
    <w:rsid w:val="00B31275"/>
    <w:rsid w:val="00B31B51"/>
    <w:rsid w:val="00B31DCB"/>
    <w:rsid w:val="00B35BB1"/>
    <w:rsid w:val="00B404A3"/>
    <w:rsid w:val="00B413D0"/>
    <w:rsid w:val="00B420A0"/>
    <w:rsid w:val="00B42851"/>
    <w:rsid w:val="00B44138"/>
    <w:rsid w:val="00B47D16"/>
    <w:rsid w:val="00B50110"/>
    <w:rsid w:val="00B50DB8"/>
    <w:rsid w:val="00B537E1"/>
    <w:rsid w:val="00B53905"/>
    <w:rsid w:val="00B54747"/>
    <w:rsid w:val="00B54B5B"/>
    <w:rsid w:val="00B54C7B"/>
    <w:rsid w:val="00B553DA"/>
    <w:rsid w:val="00B5562E"/>
    <w:rsid w:val="00B5613B"/>
    <w:rsid w:val="00B57000"/>
    <w:rsid w:val="00B60939"/>
    <w:rsid w:val="00B60AFD"/>
    <w:rsid w:val="00B60CEE"/>
    <w:rsid w:val="00B613A4"/>
    <w:rsid w:val="00B61693"/>
    <w:rsid w:val="00B62715"/>
    <w:rsid w:val="00B6511B"/>
    <w:rsid w:val="00B66564"/>
    <w:rsid w:val="00B675B4"/>
    <w:rsid w:val="00B67861"/>
    <w:rsid w:val="00B74CAB"/>
    <w:rsid w:val="00B75D4D"/>
    <w:rsid w:val="00B762F5"/>
    <w:rsid w:val="00B766F0"/>
    <w:rsid w:val="00B76AC9"/>
    <w:rsid w:val="00B80AAC"/>
    <w:rsid w:val="00B818A4"/>
    <w:rsid w:val="00B829EB"/>
    <w:rsid w:val="00B83A1F"/>
    <w:rsid w:val="00B8445A"/>
    <w:rsid w:val="00B85D5D"/>
    <w:rsid w:val="00B863D3"/>
    <w:rsid w:val="00B8649C"/>
    <w:rsid w:val="00B9090B"/>
    <w:rsid w:val="00B90DA9"/>
    <w:rsid w:val="00B917B5"/>
    <w:rsid w:val="00B91958"/>
    <w:rsid w:val="00B91DBD"/>
    <w:rsid w:val="00B92D0B"/>
    <w:rsid w:val="00B94945"/>
    <w:rsid w:val="00B96718"/>
    <w:rsid w:val="00BA0A87"/>
    <w:rsid w:val="00BA134C"/>
    <w:rsid w:val="00BA2623"/>
    <w:rsid w:val="00BA32A9"/>
    <w:rsid w:val="00BA4551"/>
    <w:rsid w:val="00BA5A04"/>
    <w:rsid w:val="00BB2721"/>
    <w:rsid w:val="00BB3B56"/>
    <w:rsid w:val="00BB5B8C"/>
    <w:rsid w:val="00BB6E76"/>
    <w:rsid w:val="00BB7056"/>
    <w:rsid w:val="00BB7405"/>
    <w:rsid w:val="00BB765D"/>
    <w:rsid w:val="00BC0C49"/>
    <w:rsid w:val="00BC1014"/>
    <w:rsid w:val="00BC20B4"/>
    <w:rsid w:val="00BC392A"/>
    <w:rsid w:val="00BC3B3F"/>
    <w:rsid w:val="00BC4034"/>
    <w:rsid w:val="00BC438A"/>
    <w:rsid w:val="00BC639E"/>
    <w:rsid w:val="00BD2328"/>
    <w:rsid w:val="00BD268C"/>
    <w:rsid w:val="00BD2E58"/>
    <w:rsid w:val="00BD3947"/>
    <w:rsid w:val="00BD400D"/>
    <w:rsid w:val="00BD46F4"/>
    <w:rsid w:val="00BD596E"/>
    <w:rsid w:val="00BD6CF3"/>
    <w:rsid w:val="00BE0936"/>
    <w:rsid w:val="00BE0E2C"/>
    <w:rsid w:val="00BE2180"/>
    <w:rsid w:val="00BE3177"/>
    <w:rsid w:val="00BE3FA3"/>
    <w:rsid w:val="00BE4275"/>
    <w:rsid w:val="00BE5AE6"/>
    <w:rsid w:val="00BE6F31"/>
    <w:rsid w:val="00BE7FC8"/>
    <w:rsid w:val="00BF00B5"/>
    <w:rsid w:val="00BF0DD7"/>
    <w:rsid w:val="00BF15E3"/>
    <w:rsid w:val="00BF17B6"/>
    <w:rsid w:val="00BF217B"/>
    <w:rsid w:val="00BF2433"/>
    <w:rsid w:val="00BF61C9"/>
    <w:rsid w:val="00BF6BC3"/>
    <w:rsid w:val="00BF757C"/>
    <w:rsid w:val="00BF7D74"/>
    <w:rsid w:val="00C0019A"/>
    <w:rsid w:val="00C00316"/>
    <w:rsid w:val="00C00D34"/>
    <w:rsid w:val="00C01252"/>
    <w:rsid w:val="00C017A4"/>
    <w:rsid w:val="00C044B0"/>
    <w:rsid w:val="00C05054"/>
    <w:rsid w:val="00C05B66"/>
    <w:rsid w:val="00C066D7"/>
    <w:rsid w:val="00C067E2"/>
    <w:rsid w:val="00C06DBE"/>
    <w:rsid w:val="00C101F7"/>
    <w:rsid w:val="00C12BBB"/>
    <w:rsid w:val="00C167B7"/>
    <w:rsid w:val="00C1741C"/>
    <w:rsid w:val="00C20DA5"/>
    <w:rsid w:val="00C213C0"/>
    <w:rsid w:val="00C21E74"/>
    <w:rsid w:val="00C24A75"/>
    <w:rsid w:val="00C25086"/>
    <w:rsid w:val="00C25418"/>
    <w:rsid w:val="00C25D9C"/>
    <w:rsid w:val="00C27E6B"/>
    <w:rsid w:val="00C304C9"/>
    <w:rsid w:val="00C31649"/>
    <w:rsid w:val="00C319F0"/>
    <w:rsid w:val="00C3200C"/>
    <w:rsid w:val="00C32A51"/>
    <w:rsid w:val="00C3374B"/>
    <w:rsid w:val="00C3695E"/>
    <w:rsid w:val="00C370F5"/>
    <w:rsid w:val="00C3767A"/>
    <w:rsid w:val="00C40385"/>
    <w:rsid w:val="00C4627B"/>
    <w:rsid w:val="00C50423"/>
    <w:rsid w:val="00C51657"/>
    <w:rsid w:val="00C51D68"/>
    <w:rsid w:val="00C54D2E"/>
    <w:rsid w:val="00C55A1A"/>
    <w:rsid w:val="00C55E3F"/>
    <w:rsid w:val="00C60EDE"/>
    <w:rsid w:val="00C61282"/>
    <w:rsid w:val="00C61B78"/>
    <w:rsid w:val="00C63317"/>
    <w:rsid w:val="00C65576"/>
    <w:rsid w:val="00C66165"/>
    <w:rsid w:val="00C67BC9"/>
    <w:rsid w:val="00C71071"/>
    <w:rsid w:val="00C750C8"/>
    <w:rsid w:val="00C7557D"/>
    <w:rsid w:val="00C75BF8"/>
    <w:rsid w:val="00C761E3"/>
    <w:rsid w:val="00C809B8"/>
    <w:rsid w:val="00C8213F"/>
    <w:rsid w:val="00C841D7"/>
    <w:rsid w:val="00C85004"/>
    <w:rsid w:val="00C855D6"/>
    <w:rsid w:val="00C85B6D"/>
    <w:rsid w:val="00C8797A"/>
    <w:rsid w:val="00C87E0A"/>
    <w:rsid w:val="00C87E5D"/>
    <w:rsid w:val="00C9020C"/>
    <w:rsid w:val="00C90F43"/>
    <w:rsid w:val="00C938CF"/>
    <w:rsid w:val="00C94D9D"/>
    <w:rsid w:val="00C953A7"/>
    <w:rsid w:val="00C96135"/>
    <w:rsid w:val="00C96243"/>
    <w:rsid w:val="00C9627E"/>
    <w:rsid w:val="00C9638E"/>
    <w:rsid w:val="00CA0A73"/>
    <w:rsid w:val="00CA0B9B"/>
    <w:rsid w:val="00CA130B"/>
    <w:rsid w:val="00CA1E7D"/>
    <w:rsid w:val="00CA3409"/>
    <w:rsid w:val="00CA5245"/>
    <w:rsid w:val="00CA7B09"/>
    <w:rsid w:val="00CA7C53"/>
    <w:rsid w:val="00CB066F"/>
    <w:rsid w:val="00CB0A53"/>
    <w:rsid w:val="00CB3075"/>
    <w:rsid w:val="00CB36B9"/>
    <w:rsid w:val="00CB430C"/>
    <w:rsid w:val="00CB45AA"/>
    <w:rsid w:val="00CB484A"/>
    <w:rsid w:val="00CB56B4"/>
    <w:rsid w:val="00CB5B1A"/>
    <w:rsid w:val="00CC02C2"/>
    <w:rsid w:val="00CC134C"/>
    <w:rsid w:val="00CC34DC"/>
    <w:rsid w:val="00CC40BF"/>
    <w:rsid w:val="00CC4C35"/>
    <w:rsid w:val="00CC5250"/>
    <w:rsid w:val="00CC58FA"/>
    <w:rsid w:val="00CC65D9"/>
    <w:rsid w:val="00CC69D6"/>
    <w:rsid w:val="00CD0718"/>
    <w:rsid w:val="00CD58EE"/>
    <w:rsid w:val="00CD5F2D"/>
    <w:rsid w:val="00CD64A9"/>
    <w:rsid w:val="00CD6ADC"/>
    <w:rsid w:val="00CE0B1D"/>
    <w:rsid w:val="00CE1E58"/>
    <w:rsid w:val="00CE3B93"/>
    <w:rsid w:val="00CE4141"/>
    <w:rsid w:val="00CE4EEE"/>
    <w:rsid w:val="00CE5060"/>
    <w:rsid w:val="00CE5710"/>
    <w:rsid w:val="00CE6274"/>
    <w:rsid w:val="00CE627D"/>
    <w:rsid w:val="00CF2349"/>
    <w:rsid w:val="00CF3178"/>
    <w:rsid w:val="00CF33D7"/>
    <w:rsid w:val="00CF3648"/>
    <w:rsid w:val="00CF456B"/>
    <w:rsid w:val="00CF5A22"/>
    <w:rsid w:val="00D00285"/>
    <w:rsid w:val="00D0120B"/>
    <w:rsid w:val="00D0262E"/>
    <w:rsid w:val="00D02C87"/>
    <w:rsid w:val="00D03427"/>
    <w:rsid w:val="00D045E0"/>
    <w:rsid w:val="00D04DA4"/>
    <w:rsid w:val="00D05519"/>
    <w:rsid w:val="00D0698F"/>
    <w:rsid w:val="00D07D58"/>
    <w:rsid w:val="00D110BD"/>
    <w:rsid w:val="00D1160C"/>
    <w:rsid w:val="00D157B4"/>
    <w:rsid w:val="00D16616"/>
    <w:rsid w:val="00D175AC"/>
    <w:rsid w:val="00D1769E"/>
    <w:rsid w:val="00D17D6C"/>
    <w:rsid w:val="00D206B2"/>
    <w:rsid w:val="00D2082B"/>
    <w:rsid w:val="00D20A99"/>
    <w:rsid w:val="00D2184D"/>
    <w:rsid w:val="00D2272A"/>
    <w:rsid w:val="00D22E2E"/>
    <w:rsid w:val="00D23B5F"/>
    <w:rsid w:val="00D25044"/>
    <w:rsid w:val="00D25885"/>
    <w:rsid w:val="00D25C9E"/>
    <w:rsid w:val="00D25D6A"/>
    <w:rsid w:val="00D26FCE"/>
    <w:rsid w:val="00D27ACA"/>
    <w:rsid w:val="00D31322"/>
    <w:rsid w:val="00D3200C"/>
    <w:rsid w:val="00D326CB"/>
    <w:rsid w:val="00D340B4"/>
    <w:rsid w:val="00D34CBB"/>
    <w:rsid w:val="00D357FF"/>
    <w:rsid w:val="00D40061"/>
    <w:rsid w:val="00D41704"/>
    <w:rsid w:val="00D45403"/>
    <w:rsid w:val="00D477EB"/>
    <w:rsid w:val="00D47DAA"/>
    <w:rsid w:val="00D50617"/>
    <w:rsid w:val="00D52327"/>
    <w:rsid w:val="00D52B3B"/>
    <w:rsid w:val="00D52D95"/>
    <w:rsid w:val="00D533C6"/>
    <w:rsid w:val="00D53D33"/>
    <w:rsid w:val="00D55196"/>
    <w:rsid w:val="00D56014"/>
    <w:rsid w:val="00D5789E"/>
    <w:rsid w:val="00D6001C"/>
    <w:rsid w:val="00D6082F"/>
    <w:rsid w:val="00D60B11"/>
    <w:rsid w:val="00D6150F"/>
    <w:rsid w:val="00D62AAC"/>
    <w:rsid w:val="00D62BFC"/>
    <w:rsid w:val="00D64509"/>
    <w:rsid w:val="00D64F60"/>
    <w:rsid w:val="00D6672C"/>
    <w:rsid w:val="00D67FAE"/>
    <w:rsid w:val="00D70272"/>
    <w:rsid w:val="00D7085C"/>
    <w:rsid w:val="00D71518"/>
    <w:rsid w:val="00D716D8"/>
    <w:rsid w:val="00D72403"/>
    <w:rsid w:val="00D7404E"/>
    <w:rsid w:val="00D74EAB"/>
    <w:rsid w:val="00D76A44"/>
    <w:rsid w:val="00D76E51"/>
    <w:rsid w:val="00D773CE"/>
    <w:rsid w:val="00D7763C"/>
    <w:rsid w:val="00D814A3"/>
    <w:rsid w:val="00D82D15"/>
    <w:rsid w:val="00D840A1"/>
    <w:rsid w:val="00D84DD1"/>
    <w:rsid w:val="00D8590B"/>
    <w:rsid w:val="00D86F75"/>
    <w:rsid w:val="00D90766"/>
    <w:rsid w:val="00D91169"/>
    <w:rsid w:val="00D91B26"/>
    <w:rsid w:val="00D91EA1"/>
    <w:rsid w:val="00D9293C"/>
    <w:rsid w:val="00D93753"/>
    <w:rsid w:val="00D93B3E"/>
    <w:rsid w:val="00D95B51"/>
    <w:rsid w:val="00D95F55"/>
    <w:rsid w:val="00D966B7"/>
    <w:rsid w:val="00DA0426"/>
    <w:rsid w:val="00DA1260"/>
    <w:rsid w:val="00DA1C92"/>
    <w:rsid w:val="00DA2DE8"/>
    <w:rsid w:val="00DA30F1"/>
    <w:rsid w:val="00DA7238"/>
    <w:rsid w:val="00DA7314"/>
    <w:rsid w:val="00DA77A5"/>
    <w:rsid w:val="00DB5C1C"/>
    <w:rsid w:val="00DB5F8E"/>
    <w:rsid w:val="00DB74E3"/>
    <w:rsid w:val="00DC251D"/>
    <w:rsid w:val="00DC29EC"/>
    <w:rsid w:val="00DC44C5"/>
    <w:rsid w:val="00DC54B7"/>
    <w:rsid w:val="00DC5501"/>
    <w:rsid w:val="00DC5D30"/>
    <w:rsid w:val="00DC683F"/>
    <w:rsid w:val="00DD21E4"/>
    <w:rsid w:val="00DD2B51"/>
    <w:rsid w:val="00DD3DD0"/>
    <w:rsid w:val="00DD3F28"/>
    <w:rsid w:val="00DD4537"/>
    <w:rsid w:val="00DD4E15"/>
    <w:rsid w:val="00DD5434"/>
    <w:rsid w:val="00DD629B"/>
    <w:rsid w:val="00DD6458"/>
    <w:rsid w:val="00DD699E"/>
    <w:rsid w:val="00DE2A71"/>
    <w:rsid w:val="00DE2F8D"/>
    <w:rsid w:val="00DE4F24"/>
    <w:rsid w:val="00DE4FCB"/>
    <w:rsid w:val="00DE7159"/>
    <w:rsid w:val="00DF021B"/>
    <w:rsid w:val="00DF3317"/>
    <w:rsid w:val="00DF4286"/>
    <w:rsid w:val="00DF4FA2"/>
    <w:rsid w:val="00DF5D2B"/>
    <w:rsid w:val="00DF7878"/>
    <w:rsid w:val="00DF793C"/>
    <w:rsid w:val="00DF7D71"/>
    <w:rsid w:val="00E00338"/>
    <w:rsid w:val="00E02FAD"/>
    <w:rsid w:val="00E06E7E"/>
    <w:rsid w:val="00E06ED5"/>
    <w:rsid w:val="00E10149"/>
    <w:rsid w:val="00E12233"/>
    <w:rsid w:val="00E12A7C"/>
    <w:rsid w:val="00E13876"/>
    <w:rsid w:val="00E144A2"/>
    <w:rsid w:val="00E14C67"/>
    <w:rsid w:val="00E15FC1"/>
    <w:rsid w:val="00E16372"/>
    <w:rsid w:val="00E1668D"/>
    <w:rsid w:val="00E16D23"/>
    <w:rsid w:val="00E2047C"/>
    <w:rsid w:val="00E20D18"/>
    <w:rsid w:val="00E20ED6"/>
    <w:rsid w:val="00E21358"/>
    <w:rsid w:val="00E214FD"/>
    <w:rsid w:val="00E2220B"/>
    <w:rsid w:val="00E2249B"/>
    <w:rsid w:val="00E22A0D"/>
    <w:rsid w:val="00E22C44"/>
    <w:rsid w:val="00E2459E"/>
    <w:rsid w:val="00E24F65"/>
    <w:rsid w:val="00E251F8"/>
    <w:rsid w:val="00E2558B"/>
    <w:rsid w:val="00E25824"/>
    <w:rsid w:val="00E25C7C"/>
    <w:rsid w:val="00E2771E"/>
    <w:rsid w:val="00E3082C"/>
    <w:rsid w:val="00E31379"/>
    <w:rsid w:val="00E31DC6"/>
    <w:rsid w:val="00E327F2"/>
    <w:rsid w:val="00E32920"/>
    <w:rsid w:val="00E34E61"/>
    <w:rsid w:val="00E3544D"/>
    <w:rsid w:val="00E36639"/>
    <w:rsid w:val="00E37569"/>
    <w:rsid w:val="00E41E30"/>
    <w:rsid w:val="00E427E5"/>
    <w:rsid w:val="00E43BAC"/>
    <w:rsid w:val="00E43D70"/>
    <w:rsid w:val="00E45701"/>
    <w:rsid w:val="00E46953"/>
    <w:rsid w:val="00E47B2C"/>
    <w:rsid w:val="00E500A1"/>
    <w:rsid w:val="00E51560"/>
    <w:rsid w:val="00E52280"/>
    <w:rsid w:val="00E52E01"/>
    <w:rsid w:val="00E55424"/>
    <w:rsid w:val="00E55BB5"/>
    <w:rsid w:val="00E57EB3"/>
    <w:rsid w:val="00E6044C"/>
    <w:rsid w:val="00E613A4"/>
    <w:rsid w:val="00E61621"/>
    <w:rsid w:val="00E62855"/>
    <w:rsid w:val="00E62923"/>
    <w:rsid w:val="00E62A55"/>
    <w:rsid w:val="00E63E7A"/>
    <w:rsid w:val="00E63E82"/>
    <w:rsid w:val="00E65DAF"/>
    <w:rsid w:val="00E65E79"/>
    <w:rsid w:val="00E66BAE"/>
    <w:rsid w:val="00E67416"/>
    <w:rsid w:val="00E70637"/>
    <w:rsid w:val="00E70F29"/>
    <w:rsid w:val="00E714B8"/>
    <w:rsid w:val="00E718B6"/>
    <w:rsid w:val="00E73581"/>
    <w:rsid w:val="00E73D96"/>
    <w:rsid w:val="00E74A59"/>
    <w:rsid w:val="00E759D0"/>
    <w:rsid w:val="00E7656A"/>
    <w:rsid w:val="00E77432"/>
    <w:rsid w:val="00E809DA"/>
    <w:rsid w:val="00E8241D"/>
    <w:rsid w:val="00E83BDF"/>
    <w:rsid w:val="00E86307"/>
    <w:rsid w:val="00E92237"/>
    <w:rsid w:val="00E92A70"/>
    <w:rsid w:val="00E93BBF"/>
    <w:rsid w:val="00E94954"/>
    <w:rsid w:val="00E94F5B"/>
    <w:rsid w:val="00E962EC"/>
    <w:rsid w:val="00EA27B9"/>
    <w:rsid w:val="00EA3864"/>
    <w:rsid w:val="00EB0E9A"/>
    <w:rsid w:val="00EB15B6"/>
    <w:rsid w:val="00EB228D"/>
    <w:rsid w:val="00EB27BD"/>
    <w:rsid w:val="00EB2DB3"/>
    <w:rsid w:val="00EB4572"/>
    <w:rsid w:val="00EB4635"/>
    <w:rsid w:val="00EB477E"/>
    <w:rsid w:val="00EB4916"/>
    <w:rsid w:val="00EB6913"/>
    <w:rsid w:val="00EB6AE7"/>
    <w:rsid w:val="00EB7B8F"/>
    <w:rsid w:val="00EB7D7C"/>
    <w:rsid w:val="00EC00C9"/>
    <w:rsid w:val="00EC1E54"/>
    <w:rsid w:val="00EC1EE0"/>
    <w:rsid w:val="00EC6219"/>
    <w:rsid w:val="00EC7089"/>
    <w:rsid w:val="00EC72C2"/>
    <w:rsid w:val="00ED038A"/>
    <w:rsid w:val="00ED0E43"/>
    <w:rsid w:val="00ED129E"/>
    <w:rsid w:val="00ED283F"/>
    <w:rsid w:val="00ED2B86"/>
    <w:rsid w:val="00ED3B51"/>
    <w:rsid w:val="00ED3C7B"/>
    <w:rsid w:val="00ED5DD9"/>
    <w:rsid w:val="00ED5F28"/>
    <w:rsid w:val="00EE07D3"/>
    <w:rsid w:val="00EE2F6A"/>
    <w:rsid w:val="00EE473B"/>
    <w:rsid w:val="00EE5BB9"/>
    <w:rsid w:val="00EE5C5C"/>
    <w:rsid w:val="00EE7DCD"/>
    <w:rsid w:val="00EE7F08"/>
    <w:rsid w:val="00EE7F86"/>
    <w:rsid w:val="00EF2BC6"/>
    <w:rsid w:val="00EF43DE"/>
    <w:rsid w:val="00F03388"/>
    <w:rsid w:val="00F05C56"/>
    <w:rsid w:val="00F065DE"/>
    <w:rsid w:val="00F067A2"/>
    <w:rsid w:val="00F0699A"/>
    <w:rsid w:val="00F07398"/>
    <w:rsid w:val="00F07530"/>
    <w:rsid w:val="00F11FF3"/>
    <w:rsid w:val="00F121DD"/>
    <w:rsid w:val="00F1355D"/>
    <w:rsid w:val="00F13A1E"/>
    <w:rsid w:val="00F14111"/>
    <w:rsid w:val="00F144CE"/>
    <w:rsid w:val="00F153D2"/>
    <w:rsid w:val="00F15798"/>
    <w:rsid w:val="00F159FA"/>
    <w:rsid w:val="00F2078F"/>
    <w:rsid w:val="00F20AD9"/>
    <w:rsid w:val="00F2166E"/>
    <w:rsid w:val="00F22359"/>
    <w:rsid w:val="00F24641"/>
    <w:rsid w:val="00F24837"/>
    <w:rsid w:val="00F249DE"/>
    <w:rsid w:val="00F24B0C"/>
    <w:rsid w:val="00F2549C"/>
    <w:rsid w:val="00F2575F"/>
    <w:rsid w:val="00F2661F"/>
    <w:rsid w:val="00F31136"/>
    <w:rsid w:val="00F332BE"/>
    <w:rsid w:val="00F33DE9"/>
    <w:rsid w:val="00F33EE1"/>
    <w:rsid w:val="00F33FFF"/>
    <w:rsid w:val="00F3574A"/>
    <w:rsid w:val="00F3619A"/>
    <w:rsid w:val="00F414C1"/>
    <w:rsid w:val="00F41B9F"/>
    <w:rsid w:val="00F44574"/>
    <w:rsid w:val="00F45C98"/>
    <w:rsid w:val="00F461D2"/>
    <w:rsid w:val="00F46CB6"/>
    <w:rsid w:val="00F47732"/>
    <w:rsid w:val="00F52DB9"/>
    <w:rsid w:val="00F535E1"/>
    <w:rsid w:val="00F55E73"/>
    <w:rsid w:val="00F60092"/>
    <w:rsid w:val="00F61669"/>
    <w:rsid w:val="00F61694"/>
    <w:rsid w:val="00F61713"/>
    <w:rsid w:val="00F63595"/>
    <w:rsid w:val="00F635BA"/>
    <w:rsid w:val="00F645ED"/>
    <w:rsid w:val="00F65908"/>
    <w:rsid w:val="00F66FD9"/>
    <w:rsid w:val="00F67392"/>
    <w:rsid w:val="00F67686"/>
    <w:rsid w:val="00F7531E"/>
    <w:rsid w:val="00F77142"/>
    <w:rsid w:val="00F809A0"/>
    <w:rsid w:val="00F809BA"/>
    <w:rsid w:val="00F80E5D"/>
    <w:rsid w:val="00F8110A"/>
    <w:rsid w:val="00F8310B"/>
    <w:rsid w:val="00F84270"/>
    <w:rsid w:val="00F851CE"/>
    <w:rsid w:val="00F85BE6"/>
    <w:rsid w:val="00F87906"/>
    <w:rsid w:val="00F90211"/>
    <w:rsid w:val="00F908B2"/>
    <w:rsid w:val="00F926C8"/>
    <w:rsid w:val="00F93501"/>
    <w:rsid w:val="00F93DCB"/>
    <w:rsid w:val="00F94626"/>
    <w:rsid w:val="00F957E2"/>
    <w:rsid w:val="00F96A68"/>
    <w:rsid w:val="00F97792"/>
    <w:rsid w:val="00F97A78"/>
    <w:rsid w:val="00FA0559"/>
    <w:rsid w:val="00FA0FF8"/>
    <w:rsid w:val="00FA1BDF"/>
    <w:rsid w:val="00FA24E7"/>
    <w:rsid w:val="00FA3D81"/>
    <w:rsid w:val="00FA3FB4"/>
    <w:rsid w:val="00FA4C04"/>
    <w:rsid w:val="00FA50E1"/>
    <w:rsid w:val="00FA678A"/>
    <w:rsid w:val="00FB0DEF"/>
    <w:rsid w:val="00FB0E01"/>
    <w:rsid w:val="00FB18C5"/>
    <w:rsid w:val="00FB1BBE"/>
    <w:rsid w:val="00FB2FCB"/>
    <w:rsid w:val="00FB36DD"/>
    <w:rsid w:val="00FB3CD3"/>
    <w:rsid w:val="00FB4B62"/>
    <w:rsid w:val="00FB550A"/>
    <w:rsid w:val="00FB55D2"/>
    <w:rsid w:val="00FB665F"/>
    <w:rsid w:val="00FB6867"/>
    <w:rsid w:val="00FC1074"/>
    <w:rsid w:val="00FC1884"/>
    <w:rsid w:val="00FC1ECB"/>
    <w:rsid w:val="00FC2924"/>
    <w:rsid w:val="00FC36C6"/>
    <w:rsid w:val="00FC4E2D"/>
    <w:rsid w:val="00FC53CE"/>
    <w:rsid w:val="00FD05B3"/>
    <w:rsid w:val="00FD2100"/>
    <w:rsid w:val="00FD37AF"/>
    <w:rsid w:val="00FD3CBA"/>
    <w:rsid w:val="00FD446D"/>
    <w:rsid w:val="00FD4ACD"/>
    <w:rsid w:val="00FD4D0B"/>
    <w:rsid w:val="00FD59A5"/>
    <w:rsid w:val="00FD79C0"/>
    <w:rsid w:val="00FD7A40"/>
    <w:rsid w:val="00FD7DEC"/>
    <w:rsid w:val="00FE1456"/>
    <w:rsid w:val="00FE1714"/>
    <w:rsid w:val="00FE181D"/>
    <w:rsid w:val="00FE4DAB"/>
    <w:rsid w:val="00FE50B8"/>
    <w:rsid w:val="00FF1D10"/>
    <w:rsid w:val="00FF2117"/>
    <w:rsid w:val="00FF25F5"/>
    <w:rsid w:val="00FF2600"/>
    <w:rsid w:val="00FF3D09"/>
    <w:rsid w:val="00FF3DCF"/>
    <w:rsid w:val="00FF5AA3"/>
    <w:rsid w:val="00FF7CF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96000"/>
    <w:pPr>
      <w:jc w:val="both"/>
    </w:pPr>
    <w:rPr>
      <w:rFonts w:ascii="Arial" w:hAnsi="Arial" w:cs="Arial"/>
      <w:snapToGrid w:val="0"/>
      <w:sz w:val="22"/>
      <w:lang w:eastAsia="en-US"/>
    </w:rPr>
  </w:style>
  <w:style w:type="paragraph" w:styleId="Heading1">
    <w:name w:val="heading 1"/>
    <w:basedOn w:val="Normal"/>
    <w:next w:val="Normal"/>
    <w:qFormat/>
    <w:rsid w:val="00C9638E"/>
    <w:pPr>
      <w:ind w:left="720" w:hanging="720"/>
      <w:outlineLvl w:val="0"/>
    </w:pPr>
    <w:rPr>
      <w:rFonts w:ascii="Arial Bold" w:hAnsi="Arial Bold"/>
      <w:b/>
      <w:caps/>
    </w:rPr>
  </w:style>
  <w:style w:type="paragraph" w:styleId="Heading2">
    <w:name w:val="heading 2"/>
    <w:basedOn w:val="Normal"/>
    <w:next w:val="Normal"/>
    <w:link w:val="Heading2Char"/>
    <w:uiPriority w:val="9"/>
    <w:qFormat/>
    <w:rsid w:val="00C9638E"/>
    <w:pPr>
      <w:outlineLvl w:val="1"/>
    </w:pPr>
    <w:rPr>
      <w:b/>
    </w:rPr>
  </w:style>
  <w:style w:type="paragraph" w:styleId="Heading3">
    <w:name w:val="heading 3"/>
    <w:basedOn w:val="Normal"/>
    <w:next w:val="Normal"/>
    <w:qFormat/>
    <w:rsid w:val="00C9638E"/>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C9638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C9638E"/>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651644"/>
    <w:pPr>
      <w:ind w:left="1440" w:hanging="1440"/>
    </w:pPr>
    <w:rPr>
      <w:sz w:val="28"/>
    </w:rPr>
  </w:style>
  <w:style w:type="character" w:customStyle="1" w:styleId="TitleChar">
    <w:name w:val="Title Char"/>
    <w:basedOn w:val="DefaultParagraphFont"/>
    <w:link w:val="Title"/>
    <w:rsid w:val="00651644"/>
    <w:rPr>
      <w:rFonts w:ascii="Arial Bold" w:hAnsi="Arial Bold" w:cs="Arial"/>
      <w:b/>
      <w:caps/>
      <w:snapToGrid w:val="0"/>
      <w:sz w:val="28"/>
      <w:lang w:eastAsia="en-US"/>
    </w:rPr>
  </w:style>
  <w:style w:type="paragraph" w:styleId="BodyText">
    <w:name w:val="Body Text"/>
    <w:basedOn w:val="Normal"/>
    <w:link w:val="BodyTextChar"/>
    <w:qFormat/>
    <w:rsid w:val="00C9638E"/>
  </w:style>
  <w:style w:type="character" w:customStyle="1" w:styleId="BodyTextChar">
    <w:name w:val="Body Text Char"/>
    <w:basedOn w:val="DefaultParagraphFont"/>
    <w:link w:val="BodyText"/>
    <w:rsid w:val="00C9638E"/>
    <w:rPr>
      <w:rFonts w:ascii="Arial" w:hAnsi="Arial" w:cs="Arial"/>
      <w:snapToGrid w:val="0"/>
      <w:sz w:val="22"/>
      <w:lang w:eastAsia="en-US"/>
    </w:rPr>
  </w:style>
  <w:style w:type="paragraph" w:styleId="ListParagraph">
    <w:name w:val="List Paragraph"/>
    <w:basedOn w:val="Normal"/>
    <w:link w:val="ListParagraphChar"/>
    <w:uiPriority w:val="72"/>
    <w:qFormat/>
    <w:rsid w:val="00C9638E"/>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C9638E"/>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C9638E"/>
    <w:rPr>
      <w:rFonts w:ascii="Arial Narrow" w:hAnsi="Arial Narrow"/>
      <w:b/>
      <w:sz w:val="20"/>
      <w:szCs w:val="16"/>
    </w:rPr>
  </w:style>
  <w:style w:type="paragraph" w:customStyle="1" w:styleId="Tabletext">
    <w:name w:val="Table text"/>
    <w:basedOn w:val="Normal"/>
    <w:link w:val="TabletextChar"/>
    <w:qFormat/>
    <w:rsid w:val="00C9638E"/>
    <w:rPr>
      <w:rFonts w:ascii="Arial Narrow" w:hAnsi="Arial Narrow" w:cs="Times New Roman"/>
      <w:snapToGrid/>
      <w:sz w:val="20"/>
    </w:rPr>
  </w:style>
  <w:style w:type="paragraph" w:customStyle="1" w:styleId="TableHeading">
    <w:name w:val="TableHeading"/>
    <w:basedOn w:val="Normal"/>
    <w:rsid w:val="00A56B6A"/>
    <w:pPr>
      <w:keepNext/>
      <w:spacing w:before="40" w:after="40"/>
    </w:pPr>
    <w:rPr>
      <w:rFonts w:ascii="Arial Narrow" w:hAnsi="Arial Narrow" w:cs="Arial Narrow"/>
      <w:b/>
      <w:bCs/>
      <w:snapToGrid/>
      <w:sz w:val="20"/>
    </w:rPr>
  </w:style>
  <w:style w:type="character" w:customStyle="1" w:styleId="TabletextChar">
    <w:name w:val="Table text Char"/>
    <w:link w:val="Tabletext"/>
    <w:rsid w:val="00C9638E"/>
    <w:rPr>
      <w:rFonts w:ascii="Arial Narrow" w:hAnsi="Arial Narrow"/>
      <w:lang w:eastAsia="en-US"/>
    </w:rPr>
  </w:style>
  <w:style w:type="paragraph" w:customStyle="1" w:styleId="Corpsdetextemarge">
    <w:name w:val="Corps de texte marge"/>
    <w:basedOn w:val="BodyText"/>
    <w:uiPriority w:val="99"/>
    <w:rsid w:val="008F48EB"/>
    <w:rPr>
      <w:rFonts w:ascii="Times" w:hAnsi="Times" w:cs="Times New Roman"/>
      <w:snapToGrid/>
      <w:sz w:val="24"/>
      <w:lang w:val="en-US"/>
    </w:rPr>
  </w:style>
  <w:style w:type="paragraph" w:styleId="NormalWeb">
    <w:name w:val="Normal (Web)"/>
    <w:basedOn w:val="Normal"/>
    <w:uiPriority w:val="99"/>
    <w:rsid w:val="008F48EB"/>
    <w:pPr>
      <w:spacing w:before="100" w:after="100"/>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pPr>
    <w:rPr>
      <w:iCs/>
      <w:sz w:val="20"/>
    </w:rPr>
  </w:style>
  <w:style w:type="paragraph" w:styleId="TOC1">
    <w:name w:val="toc 1"/>
    <w:basedOn w:val="Normal"/>
    <w:next w:val="Normal"/>
    <w:autoRedefine/>
    <w:uiPriority w:val="39"/>
    <w:rsid w:val="00D0262E"/>
    <w:pPr>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pPr>
    <w:rPr>
      <w:rFonts w:asciiTheme="minorHAnsi" w:hAnsiTheme="minorHAnsi"/>
      <w:sz w:val="20"/>
    </w:rPr>
  </w:style>
  <w:style w:type="paragraph" w:styleId="TOC5">
    <w:name w:val="toc 5"/>
    <w:basedOn w:val="Normal"/>
    <w:next w:val="Normal"/>
    <w:autoRedefine/>
    <w:rsid w:val="00D0262E"/>
    <w:pPr>
      <w:ind w:left="880"/>
    </w:pPr>
    <w:rPr>
      <w:rFonts w:asciiTheme="minorHAnsi" w:hAnsiTheme="minorHAnsi"/>
      <w:sz w:val="20"/>
    </w:rPr>
  </w:style>
  <w:style w:type="paragraph" w:styleId="TOC6">
    <w:name w:val="toc 6"/>
    <w:basedOn w:val="Normal"/>
    <w:next w:val="Normal"/>
    <w:autoRedefine/>
    <w:rsid w:val="00D0262E"/>
    <w:pPr>
      <w:ind w:left="1100"/>
    </w:pPr>
    <w:rPr>
      <w:rFonts w:asciiTheme="minorHAnsi" w:hAnsiTheme="minorHAnsi"/>
      <w:sz w:val="20"/>
    </w:rPr>
  </w:style>
  <w:style w:type="paragraph" w:styleId="TOC7">
    <w:name w:val="toc 7"/>
    <w:basedOn w:val="Normal"/>
    <w:next w:val="Normal"/>
    <w:autoRedefine/>
    <w:rsid w:val="00D0262E"/>
    <w:pPr>
      <w:ind w:left="1320"/>
    </w:pPr>
    <w:rPr>
      <w:rFonts w:asciiTheme="minorHAnsi" w:hAnsiTheme="minorHAnsi"/>
      <w:sz w:val="20"/>
    </w:rPr>
  </w:style>
  <w:style w:type="paragraph" w:styleId="TOC8">
    <w:name w:val="toc 8"/>
    <w:basedOn w:val="Normal"/>
    <w:next w:val="Normal"/>
    <w:autoRedefine/>
    <w:rsid w:val="00D0262E"/>
    <w:pPr>
      <w:ind w:left="1540"/>
    </w:pPr>
    <w:rPr>
      <w:rFonts w:asciiTheme="minorHAnsi" w:hAnsiTheme="minorHAnsi"/>
      <w:sz w:val="20"/>
    </w:rPr>
  </w:style>
  <w:style w:type="paragraph" w:styleId="TOC9">
    <w:name w:val="toc 9"/>
    <w:basedOn w:val="Normal"/>
    <w:next w:val="Normal"/>
    <w:autoRedefine/>
    <w:rsid w:val="00D0262E"/>
    <w:pPr>
      <w:ind w:left="1760"/>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CA7B09"/>
    <w:pPr>
      <w:keepNext/>
      <w:spacing w:before="40" w:after="40"/>
    </w:pPr>
    <w:rPr>
      <w:rFonts w:ascii="Arial Narrow" w:hAnsi="Arial Narrow" w:cs="Arial Narrow"/>
      <w:snapToGrid/>
      <w:sz w:val="20"/>
    </w:r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sz w:val="20"/>
      <w:lang w:val="en-US"/>
    </w:rPr>
  </w:style>
  <w:style w:type="character" w:customStyle="1" w:styleId="SubtitleChar">
    <w:name w:val="Subtitle Char"/>
    <w:link w:val="Subtitle"/>
    <w:rsid w:val="00C9638E"/>
    <w:rPr>
      <w:lang w:eastAsia="en-US"/>
    </w:rPr>
  </w:style>
  <w:style w:type="paragraph" w:styleId="Subtitle">
    <w:name w:val="Subtitle"/>
    <w:basedOn w:val="Normal"/>
    <w:link w:val="SubtitleChar"/>
    <w:qFormat/>
    <w:rsid w:val="00C9638E"/>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651644"/>
    <w:pPr>
      <w:numPr>
        <w:numId w:val="3"/>
      </w:numPr>
      <w:outlineLvl w:val="0"/>
    </w:pPr>
    <w:rPr>
      <w:rFonts w:ascii="Arial" w:hAnsi="Arial" w:cs="Arial"/>
      <w:b/>
      <w:snapToGrid w:val="0"/>
      <w:sz w:val="22"/>
      <w:szCs w:val="22"/>
      <w:lang w:eastAsia="en-US"/>
    </w:rPr>
  </w:style>
  <w:style w:type="paragraph" w:customStyle="1" w:styleId="FigureA">
    <w:name w:val="Figure A"/>
    <w:basedOn w:val="Normal"/>
    <w:next w:val="Normal"/>
    <w:qFormat/>
    <w:rsid w:val="004C7E41"/>
    <w:pPr>
      <w:numPr>
        <w:numId w:val="5"/>
      </w:numPr>
      <w:tabs>
        <w:tab w:val="left" w:pos="1134"/>
      </w:tabs>
      <w:spacing w:after="120"/>
      <w:ind w:left="1134" w:hanging="1134"/>
    </w:pPr>
    <w:rPr>
      <w:rFonts w:ascii="Arial Bold" w:hAnsi="Arial Bold" w:cs="Times New Roman"/>
      <w:b/>
      <w:snapToGrid/>
      <w:sz w:val="20"/>
      <w:szCs w:val="24"/>
    </w:rPr>
  </w:style>
  <w:style w:type="table" w:customStyle="1" w:styleId="TableGrid1">
    <w:name w:val="Table Grid1"/>
    <w:basedOn w:val="TableNormal"/>
    <w:next w:val="TableGrid"/>
    <w:uiPriority w:val="59"/>
    <w:rsid w:val="0041088E"/>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TextChar0">
    <w:name w:val="TableText Char"/>
    <w:basedOn w:val="DefaultParagraphFont"/>
    <w:link w:val="TableText0"/>
    <w:rsid w:val="00F14111"/>
    <w:rPr>
      <w:rFonts w:ascii="Arial Narrow" w:hAnsi="Arial Narrow" w:cs="Arial Narrow"/>
      <w:lang w:eastAsia="en-US"/>
    </w:rPr>
  </w:style>
  <w:style w:type="paragraph" w:customStyle="1" w:styleId="TableText1">
    <w:name w:val="Table Text"/>
    <w:basedOn w:val="Normal"/>
    <w:next w:val="BodyText"/>
    <w:qFormat/>
    <w:rsid w:val="002E4FA7"/>
    <w:pPr>
      <w:spacing w:before="40" w:after="40"/>
    </w:pPr>
    <w:rPr>
      <w:rFonts w:cs="Times New Roman"/>
      <w:snapToGrid/>
      <w:sz w:val="18"/>
      <w:szCs w:val="24"/>
    </w:rPr>
  </w:style>
  <w:style w:type="character" w:customStyle="1" w:styleId="apple-converted-space">
    <w:name w:val="apple-converted-space"/>
    <w:basedOn w:val="DefaultParagraphFont"/>
    <w:rsid w:val="00B1387C"/>
  </w:style>
  <w:style w:type="character" w:customStyle="1" w:styleId="highlight">
    <w:name w:val="highlight"/>
    <w:basedOn w:val="DefaultParagraphFont"/>
    <w:rsid w:val="00B1387C"/>
  </w:style>
  <w:style w:type="paragraph" w:customStyle="1" w:styleId="Char">
    <w:name w:val="Char"/>
    <w:basedOn w:val="Normal"/>
    <w:rsid w:val="00394457"/>
    <w:pPr>
      <w:spacing w:after="160" w:line="240" w:lineRule="exact"/>
      <w:jc w:val="left"/>
    </w:pPr>
    <w:rPr>
      <w:rFonts w:ascii="Verdana" w:eastAsia="MS Mincho" w:hAnsi="Verdana" w:cs="Verdana"/>
      <w:snapToGrid/>
      <w:sz w:val="20"/>
      <w:lang w:val="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94457"/>
    <w:pPr>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3851B2"/>
    <w:rPr>
      <w:sz w:val="20"/>
    </w:rPr>
  </w:style>
  <w:style w:type="character" w:customStyle="1" w:styleId="FootnoteTextChar">
    <w:name w:val="Footnote Text Char"/>
    <w:basedOn w:val="DefaultParagraphFont"/>
    <w:link w:val="FootnoteText"/>
    <w:semiHidden/>
    <w:rsid w:val="003851B2"/>
    <w:rPr>
      <w:rFonts w:ascii="Arial" w:hAnsi="Arial" w:cs="Arial"/>
      <w:snapToGrid w:val="0"/>
      <w:lang w:eastAsia="en-US"/>
    </w:rPr>
  </w:style>
  <w:style w:type="character" w:styleId="FootnoteReference">
    <w:name w:val="footnote reference"/>
    <w:basedOn w:val="DefaultParagraphFont"/>
    <w:semiHidden/>
    <w:unhideWhenUsed/>
    <w:rsid w:val="003851B2"/>
    <w:rPr>
      <w:vertAlign w:val="superscript"/>
    </w:rPr>
  </w:style>
  <w:style w:type="character" w:styleId="IntenseReference">
    <w:name w:val="Intense Reference"/>
    <w:basedOn w:val="DefaultParagraphFont"/>
    <w:uiPriority w:val="32"/>
    <w:qFormat/>
    <w:rsid w:val="00DF3317"/>
    <w:rPr>
      <w:b/>
      <w:bCs/>
      <w:i/>
      <w:smallCaps/>
      <w:color w:val="C0504D" w:themeColor="accent2"/>
      <w:spacing w:val="5"/>
      <w:u w:val="none"/>
    </w:rPr>
  </w:style>
  <w:style w:type="character" w:customStyle="1" w:styleId="ListParagraphChar">
    <w:name w:val="List Paragraph Char"/>
    <w:link w:val="ListParagraph"/>
    <w:uiPriority w:val="72"/>
    <w:rsid w:val="00854BA1"/>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96000"/>
    <w:pPr>
      <w:jc w:val="both"/>
    </w:pPr>
    <w:rPr>
      <w:rFonts w:ascii="Arial" w:hAnsi="Arial" w:cs="Arial"/>
      <w:snapToGrid w:val="0"/>
      <w:sz w:val="22"/>
      <w:lang w:eastAsia="en-US"/>
    </w:rPr>
  </w:style>
  <w:style w:type="paragraph" w:styleId="Heading1">
    <w:name w:val="heading 1"/>
    <w:basedOn w:val="Normal"/>
    <w:next w:val="Normal"/>
    <w:qFormat/>
    <w:rsid w:val="00C9638E"/>
    <w:pPr>
      <w:ind w:left="720" w:hanging="720"/>
      <w:outlineLvl w:val="0"/>
    </w:pPr>
    <w:rPr>
      <w:rFonts w:ascii="Arial Bold" w:hAnsi="Arial Bold"/>
      <w:b/>
      <w:caps/>
    </w:rPr>
  </w:style>
  <w:style w:type="paragraph" w:styleId="Heading2">
    <w:name w:val="heading 2"/>
    <w:basedOn w:val="Normal"/>
    <w:next w:val="Normal"/>
    <w:link w:val="Heading2Char"/>
    <w:uiPriority w:val="9"/>
    <w:qFormat/>
    <w:rsid w:val="00C9638E"/>
    <w:pPr>
      <w:outlineLvl w:val="1"/>
    </w:pPr>
    <w:rPr>
      <w:b/>
    </w:rPr>
  </w:style>
  <w:style w:type="paragraph" w:styleId="Heading3">
    <w:name w:val="heading 3"/>
    <w:basedOn w:val="Normal"/>
    <w:next w:val="Normal"/>
    <w:qFormat/>
    <w:rsid w:val="00C9638E"/>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C9638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C9638E"/>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651644"/>
    <w:pPr>
      <w:ind w:left="1440" w:hanging="1440"/>
    </w:pPr>
    <w:rPr>
      <w:sz w:val="28"/>
    </w:rPr>
  </w:style>
  <w:style w:type="character" w:customStyle="1" w:styleId="TitleChar">
    <w:name w:val="Title Char"/>
    <w:basedOn w:val="DefaultParagraphFont"/>
    <w:link w:val="Title"/>
    <w:rsid w:val="00651644"/>
    <w:rPr>
      <w:rFonts w:ascii="Arial Bold" w:hAnsi="Arial Bold" w:cs="Arial"/>
      <w:b/>
      <w:caps/>
      <w:snapToGrid w:val="0"/>
      <w:sz w:val="28"/>
      <w:lang w:eastAsia="en-US"/>
    </w:rPr>
  </w:style>
  <w:style w:type="paragraph" w:styleId="BodyText">
    <w:name w:val="Body Text"/>
    <w:basedOn w:val="Normal"/>
    <w:link w:val="BodyTextChar"/>
    <w:qFormat/>
    <w:rsid w:val="00C9638E"/>
  </w:style>
  <w:style w:type="character" w:customStyle="1" w:styleId="BodyTextChar">
    <w:name w:val="Body Text Char"/>
    <w:basedOn w:val="DefaultParagraphFont"/>
    <w:link w:val="BodyText"/>
    <w:rsid w:val="00C9638E"/>
    <w:rPr>
      <w:rFonts w:ascii="Arial" w:hAnsi="Arial" w:cs="Arial"/>
      <w:snapToGrid w:val="0"/>
      <w:sz w:val="22"/>
      <w:lang w:eastAsia="en-US"/>
    </w:rPr>
  </w:style>
  <w:style w:type="paragraph" w:styleId="ListParagraph">
    <w:name w:val="List Paragraph"/>
    <w:basedOn w:val="Normal"/>
    <w:link w:val="ListParagraphChar"/>
    <w:uiPriority w:val="72"/>
    <w:qFormat/>
    <w:rsid w:val="00C9638E"/>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C9638E"/>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C9638E"/>
    <w:rPr>
      <w:rFonts w:ascii="Arial Narrow" w:hAnsi="Arial Narrow"/>
      <w:b/>
      <w:sz w:val="20"/>
      <w:szCs w:val="16"/>
    </w:rPr>
  </w:style>
  <w:style w:type="paragraph" w:customStyle="1" w:styleId="Tabletext">
    <w:name w:val="Table text"/>
    <w:basedOn w:val="Normal"/>
    <w:link w:val="TabletextChar"/>
    <w:qFormat/>
    <w:rsid w:val="00C9638E"/>
    <w:rPr>
      <w:rFonts w:ascii="Arial Narrow" w:hAnsi="Arial Narrow" w:cs="Times New Roman"/>
      <w:snapToGrid/>
      <w:sz w:val="20"/>
    </w:rPr>
  </w:style>
  <w:style w:type="paragraph" w:customStyle="1" w:styleId="TableHeading">
    <w:name w:val="TableHeading"/>
    <w:basedOn w:val="Normal"/>
    <w:rsid w:val="00A56B6A"/>
    <w:pPr>
      <w:keepNext/>
      <w:spacing w:before="40" w:after="40"/>
    </w:pPr>
    <w:rPr>
      <w:rFonts w:ascii="Arial Narrow" w:hAnsi="Arial Narrow" w:cs="Arial Narrow"/>
      <w:b/>
      <w:bCs/>
      <w:snapToGrid/>
      <w:sz w:val="20"/>
    </w:rPr>
  </w:style>
  <w:style w:type="character" w:customStyle="1" w:styleId="TabletextChar">
    <w:name w:val="Table text Char"/>
    <w:link w:val="Tabletext"/>
    <w:rsid w:val="00C9638E"/>
    <w:rPr>
      <w:rFonts w:ascii="Arial Narrow" w:hAnsi="Arial Narrow"/>
      <w:lang w:eastAsia="en-US"/>
    </w:rPr>
  </w:style>
  <w:style w:type="paragraph" w:customStyle="1" w:styleId="Corpsdetextemarge">
    <w:name w:val="Corps de texte marge"/>
    <w:basedOn w:val="BodyText"/>
    <w:uiPriority w:val="99"/>
    <w:rsid w:val="008F48EB"/>
    <w:rPr>
      <w:rFonts w:ascii="Times" w:hAnsi="Times" w:cs="Times New Roman"/>
      <w:snapToGrid/>
      <w:sz w:val="24"/>
      <w:lang w:val="en-US"/>
    </w:rPr>
  </w:style>
  <w:style w:type="paragraph" w:styleId="NormalWeb">
    <w:name w:val="Normal (Web)"/>
    <w:basedOn w:val="Normal"/>
    <w:uiPriority w:val="99"/>
    <w:rsid w:val="008F48EB"/>
    <w:pPr>
      <w:spacing w:before="100" w:after="100"/>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pPr>
    <w:rPr>
      <w:iCs/>
      <w:sz w:val="20"/>
    </w:rPr>
  </w:style>
  <w:style w:type="paragraph" w:styleId="TOC1">
    <w:name w:val="toc 1"/>
    <w:basedOn w:val="Normal"/>
    <w:next w:val="Normal"/>
    <w:autoRedefine/>
    <w:uiPriority w:val="39"/>
    <w:rsid w:val="00D0262E"/>
    <w:pPr>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pPr>
    <w:rPr>
      <w:rFonts w:asciiTheme="minorHAnsi" w:hAnsiTheme="minorHAnsi"/>
      <w:sz w:val="20"/>
    </w:rPr>
  </w:style>
  <w:style w:type="paragraph" w:styleId="TOC5">
    <w:name w:val="toc 5"/>
    <w:basedOn w:val="Normal"/>
    <w:next w:val="Normal"/>
    <w:autoRedefine/>
    <w:rsid w:val="00D0262E"/>
    <w:pPr>
      <w:ind w:left="880"/>
    </w:pPr>
    <w:rPr>
      <w:rFonts w:asciiTheme="minorHAnsi" w:hAnsiTheme="minorHAnsi"/>
      <w:sz w:val="20"/>
    </w:rPr>
  </w:style>
  <w:style w:type="paragraph" w:styleId="TOC6">
    <w:name w:val="toc 6"/>
    <w:basedOn w:val="Normal"/>
    <w:next w:val="Normal"/>
    <w:autoRedefine/>
    <w:rsid w:val="00D0262E"/>
    <w:pPr>
      <w:ind w:left="1100"/>
    </w:pPr>
    <w:rPr>
      <w:rFonts w:asciiTheme="minorHAnsi" w:hAnsiTheme="minorHAnsi"/>
      <w:sz w:val="20"/>
    </w:rPr>
  </w:style>
  <w:style w:type="paragraph" w:styleId="TOC7">
    <w:name w:val="toc 7"/>
    <w:basedOn w:val="Normal"/>
    <w:next w:val="Normal"/>
    <w:autoRedefine/>
    <w:rsid w:val="00D0262E"/>
    <w:pPr>
      <w:ind w:left="1320"/>
    </w:pPr>
    <w:rPr>
      <w:rFonts w:asciiTheme="minorHAnsi" w:hAnsiTheme="minorHAnsi"/>
      <w:sz w:val="20"/>
    </w:rPr>
  </w:style>
  <w:style w:type="paragraph" w:styleId="TOC8">
    <w:name w:val="toc 8"/>
    <w:basedOn w:val="Normal"/>
    <w:next w:val="Normal"/>
    <w:autoRedefine/>
    <w:rsid w:val="00D0262E"/>
    <w:pPr>
      <w:ind w:left="1540"/>
    </w:pPr>
    <w:rPr>
      <w:rFonts w:asciiTheme="minorHAnsi" w:hAnsiTheme="minorHAnsi"/>
      <w:sz w:val="20"/>
    </w:rPr>
  </w:style>
  <w:style w:type="paragraph" w:styleId="TOC9">
    <w:name w:val="toc 9"/>
    <w:basedOn w:val="Normal"/>
    <w:next w:val="Normal"/>
    <w:autoRedefine/>
    <w:rsid w:val="00D0262E"/>
    <w:pPr>
      <w:ind w:left="1760"/>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CA7B09"/>
    <w:pPr>
      <w:keepNext/>
      <w:spacing w:before="40" w:after="40"/>
    </w:pPr>
    <w:rPr>
      <w:rFonts w:ascii="Arial Narrow" w:hAnsi="Arial Narrow" w:cs="Arial Narrow"/>
      <w:snapToGrid/>
      <w:sz w:val="20"/>
    </w:r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sz w:val="20"/>
      <w:lang w:val="en-US"/>
    </w:rPr>
  </w:style>
  <w:style w:type="character" w:customStyle="1" w:styleId="SubtitleChar">
    <w:name w:val="Subtitle Char"/>
    <w:link w:val="Subtitle"/>
    <w:rsid w:val="00C9638E"/>
    <w:rPr>
      <w:lang w:eastAsia="en-US"/>
    </w:rPr>
  </w:style>
  <w:style w:type="paragraph" w:styleId="Subtitle">
    <w:name w:val="Subtitle"/>
    <w:basedOn w:val="Normal"/>
    <w:link w:val="SubtitleChar"/>
    <w:qFormat/>
    <w:rsid w:val="00C9638E"/>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651644"/>
    <w:pPr>
      <w:numPr>
        <w:numId w:val="3"/>
      </w:numPr>
      <w:outlineLvl w:val="0"/>
    </w:pPr>
    <w:rPr>
      <w:rFonts w:ascii="Arial" w:hAnsi="Arial" w:cs="Arial"/>
      <w:b/>
      <w:snapToGrid w:val="0"/>
      <w:sz w:val="22"/>
      <w:szCs w:val="22"/>
      <w:lang w:eastAsia="en-US"/>
    </w:rPr>
  </w:style>
  <w:style w:type="paragraph" w:customStyle="1" w:styleId="FigureA">
    <w:name w:val="Figure A"/>
    <w:basedOn w:val="Normal"/>
    <w:next w:val="Normal"/>
    <w:qFormat/>
    <w:rsid w:val="004C7E41"/>
    <w:pPr>
      <w:numPr>
        <w:numId w:val="5"/>
      </w:numPr>
      <w:tabs>
        <w:tab w:val="left" w:pos="1134"/>
      </w:tabs>
      <w:spacing w:after="120"/>
      <w:ind w:left="1134" w:hanging="1134"/>
    </w:pPr>
    <w:rPr>
      <w:rFonts w:ascii="Arial Bold" w:hAnsi="Arial Bold" w:cs="Times New Roman"/>
      <w:b/>
      <w:snapToGrid/>
      <w:sz w:val="20"/>
      <w:szCs w:val="24"/>
    </w:rPr>
  </w:style>
  <w:style w:type="table" w:customStyle="1" w:styleId="TableGrid1">
    <w:name w:val="Table Grid1"/>
    <w:basedOn w:val="TableNormal"/>
    <w:next w:val="TableGrid"/>
    <w:uiPriority w:val="59"/>
    <w:rsid w:val="0041088E"/>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TextChar0">
    <w:name w:val="TableText Char"/>
    <w:basedOn w:val="DefaultParagraphFont"/>
    <w:link w:val="TableText0"/>
    <w:rsid w:val="00F14111"/>
    <w:rPr>
      <w:rFonts w:ascii="Arial Narrow" w:hAnsi="Arial Narrow" w:cs="Arial Narrow"/>
      <w:lang w:eastAsia="en-US"/>
    </w:rPr>
  </w:style>
  <w:style w:type="paragraph" w:customStyle="1" w:styleId="TableText1">
    <w:name w:val="Table Text"/>
    <w:basedOn w:val="Normal"/>
    <w:next w:val="BodyText"/>
    <w:qFormat/>
    <w:rsid w:val="002E4FA7"/>
    <w:pPr>
      <w:spacing w:before="40" w:after="40"/>
    </w:pPr>
    <w:rPr>
      <w:rFonts w:cs="Times New Roman"/>
      <w:snapToGrid/>
      <w:sz w:val="18"/>
      <w:szCs w:val="24"/>
    </w:rPr>
  </w:style>
  <w:style w:type="character" w:customStyle="1" w:styleId="apple-converted-space">
    <w:name w:val="apple-converted-space"/>
    <w:basedOn w:val="DefaultParagraphFont"/>
    <w:rsid w:val="00B1387C"/>
  </w:style>
  <w:style w:type="character" w:customStyle="1" w:styleId="highlight">
    <w:name w:val="highlight"/>
    <w:basedOn w:val="DefaultParagraphFont"/>
    <w:rsid w:val="00B1387C"/>
  </w:style>
  <w:style w:type="paragraph" w:customStyle="1" w:styleId="Char">
    <w:name w:val="Char"/>
    <w:basedOn w:val="Normal"/>
    <w:rsid w:val="00394457"/>
    <w:pPr>
      <w:spacing w:after="160" w:line="240" w:lineRule="exact"/>
      <w:jc w:val="left"/>
    </w:pPr>
    <w:rPr>
      <w:rFonts w:ascii="Verdana" w:eastAsia="MS Mincho" w:hAnsi="Verdana" w:cs="Verdana"/>
      <w:snapToGrid/>
      <w:sz w:val="20"/>
      <w:lang w:val="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94457"/>
    <w:pPr>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3851B2"/>
    <w:rPr>
      <w:sz w:val="20"/>
    </w:rPr>
  </w:style>
  <w:style w:type="character" w:customStyle="1" w:styleId="FootnoteTextChar">
    <w:name w:val="Footnote Text Char"/>
    <w:basedOn w:val="DefaultParagraphFont"/>
    <w:link w:val="FootnoteText"/>
    <w:semiHidden/>
    <w:rsid w:val="003851B2"/>
    <w:rPr>
      <w:rFonts w:ascii="Arial" w:hAnsi="Arial" w:cs="Arial"/>
      <w:snapToGrid w:val="0"/>
      <w:lang w:eastAsia="en-US"/>
    </w:rPr>
  </w:style>
  <w:style w:type="character" w:styleId="FootnoteReference">
    <w:name w:val="footnote reference"/>
    <w:basedOn w:val="DefaultParagraphFont"/>
    <w:semiHidden/>
    <w:unhideWhenUsed/>
    <w:rsid w:val="003851B2"/>
    <w:rPr>
      <w:vertAlign w:val="superscript"/>
    </w:rPr>
  </w:style>
  <w:style w:type="character" w:styleId="IntenseReference">
    <w:name w:val="Intense Reference"/>
    <w:basedOn w:val="DefaultParagraphFont"/>
    <w:uiPriority w:val="32"/>
    <w:qFormat/>
    <w:rsid w:val="00DF3317"/>
    <w:rPr>
      <w:b/>
      <w:bCs/>
      <w:i/>
      <w:smallCaps/>
      <w:color w:val="C0504D" w:themeColor="accent2"/>
      <w:spacing w:val="5"/>
      <w:u w:val="none"/>
    </w:rPr>
  </w:style>
  <w:style w:type="character" w:customStyle="1" w:styleId="ListParagraphChar">
    <w:name w:val="List Paragraph Char"/>
    <w:link w:val="ListParagraph"/>
    <w:uiPriority w:val="72"/>
    <w:rsid w:val="00854BA1"/>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9351">
      <w:bodyDiv w:val="1"/>
      <w:marLeft w:val="0"/>
      <w:marRight w:val="0"/>
      <w:marTop w:val="0"/>
      <w:marBottom w:val="0"/>
      <w:divBdr>
        <w:top w:val="none" w:sz="0" w:space="0" w:color="auto"/>
        <w:left w:val="none" w:sz="0" w:space="0" w:color="auto"/>
        <w:bottom w:val="none" w:sz="0" w:space="0" w:color="auto"/>
        <w:right w:val="none" w:sz="0" w:space="0" w:color="auto"/>
      </w:divBdr>
    </w:div>
    <w:div w:id="229312371">
      <w:bodyDiv w:val="1"/>
      <w:marLeft w:val="0"/>
      <w:marRight w:val="0"/>
      <w:marTop w:val="0"/>
      <w:marBottom w:val="0"/>
      <w:divBdr>
        <w:top w:val="none" w:sz="0" w:space="0" w:color="auto"/>
        <w:left w:val="none" w:sz="0" w:space="0" w:color="auto"/>
        <w:bottom w:val="none" w:sz="0" w:space="0" w:color="auto"/>
        <w:right w:val="none" w:sz="0" w:space="0" w:color="auto"/>
      </w:divBdr>
    </w:div>
    <w:div w:id="295068024">
      <w:bodyDiv w:val="1"/>
      <w:marLeft w:val="0"/>
      <w:marRight w:val="0"/>
      <w:marTop w:val="0"/>
      <w:marBottom w:val="0"/>
      <w:divBdr>
        <w:top w:val="none" w:sz="0" w:space="0" w:color="auto"/>
        <w:left w:val="none" w:sz="0" w:space="0" w:color="auto"/>
        <w:bottom w:val="none" w:sz="0" w:space="0" w:color="auto"/>
        <w:right w:val="none" w:sz="0" w:space="0" w:color="auto"/>
      </w:divBdr>
    </w:div>
    <w:div w:id="449251174">
      <w:bodyDiv w:val="1"/>
      <w:marLeft w:val="0"/>
      <w:marRight w:val="0"/>
      <w:marTop w:val="0"/>
      <w:marBottom w:val="0"/>
      <w:divBdr>
        <w:top w:val="none" w:sz="0" w:space="0" w:color="auto"/>
        <w:left w:val="none" w:sz="0" w:space="0" w:color="auto"/>
        <w:bottom w:val="none" w:sz="0" w:space="0" w:color="auto"/>
        <w:right w:val="none" w:sz="0" w:space="0" w:color="auto"/>
      </w:divBdr>
    </w:div>
    <w:div w:id="484860710">
      <w:bodyDiv w:val="1"/>
      <w:marLeft w:val="0"/>
      <w:marRight w:val="0"/>
      <w:marTop w:val="0"/>
      <w:marBottom w:val="0"/>
      <w:divBdr>
        <w:top w:val="none" w:sz="0" w:space="0" w:color="auto"/>
        <w:left w:val="none" w:sz="0" w:space="0" w:color="auto"/>
        <w:bottom w:val="none" w:sz="0" w:space="0" w:color="auto"/>
        <w:right w:val="none" w:sz="0" w:space="0" w:color="auto"/>
      </w:divBdr>
    </w:div>
    <w:div w:id="594824902">
      <w:bodyDiv w:val="1"/>
      <w:marLeft w:val="0"/>
      <w:marRight w:val="0"/>
      <w:marTop w:val="0"/>
      <w:marBottom w:val="0"/>
      <w:divBdr>
        <w:top w:val="none" w:sz="0" w:space="0" w:color="auto"/>
        <w:left w:val="none" w:sz="0" w:space="0" w:color="auto"/>
        <w:bottom w:val="none" w:sz="0" w:space="0" w:color="auto"/>
        <w:right w:val="none" w:sz="0" w:space="0" w:color="auto"/>
      </w:divBdr>
    </w:div>
    <w:div w:id="1999727678">
      <w:bodyDiv w:val="1"/>
      <w:marLeft w:val="0"/>
      <w:marRight w:val="0"/>
      <w:marTop w:val="0"/>
      <w:marBottom w:val="0"/>
      <w:divBdr>
        <w:top w:val="none" w:sz="0" w:space="0" w:color="auto"/>
        <w:left w:val="none" w:sz="0" w:space="0" w:color="auto"/>
        <w:bottom w:val="none" w:sz="0" w:space="0" w:color="auto"/>
        <w:right w:val="none" w:sz="0" w:space="0" w:color="auto"/>
      </w:divBdr>
    </w:div>
    <w:div w:id="200686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B23F8-2A74-405B-8164-C3B487AA0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4493</Words>
  <Characters>26574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5.04 darunavir+cobicistat</vt:lpstr>
    </vt:vector>
  </TitlesOfParts>
  <LinksUpToDate>false</LinksUpToDate>
  <CharactersWithSpaces>31005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 darunavir+cobicistat</dc:title>
  <dc:creator/>
  <cp:lastModifiedBy/>
  <cp:revision>1</cp:revision>
  <dcterms:created xsi:type="dcterms:W3CDTF">2016-02-23T04:47:00Z</dcterms:created>
  <dcterms:modified xsi:type="dcterms:W3CDTF">2016-02-25T06:30:00Z</dcterms:modified>
</cp:coreProperties>
</file>