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4D6029" w:rsidRDefault="00026BB0" w:rsidP="004D6029">
      <w:pPr>
        <w:pStyle w:val="Title"/>
      </w:pPr>
      <w:r w:rsidRPr="004D6029">
        <w:t>6.14</w:t>
      </w:r>
      <w:r w:rsidR="007C0F57" w:rsidRPr="004D6029">
        <w:tab/>
      </w:r>
      <w:r w:rsidR="0024776E" w:rsidRPr="004D6029">
        <w:t>CEFUROXIME</w:t>
      </w:r>
    </w:p>
    <w:p w:rsidR="00C27B58" w:rsidRPr="004D6029" w:rsidRDefault="006A4CE1" w:rsidP="004D6029">
      <w:pPr>
        <w:pStyle w:val="Title"/>
        <w:ind w:firstLine="0"/>
      </w:pPr>
      <w:r w:rsidRPr="004D6029">
        <w:t>oral suspension, 125 mg per 5 mL, 100 mL;</w:t>
      </w:r>
    </w:p>
    <w:p w:rsidR="006A4CE1" w:rsidRPr="004D6029" w:rsidRDefault="006A4CE1" w:rsidP="004D6029">
      <w:pPr>
        <w:pStyle w:val="Title"/>
        <w:ind w:firstLine="0"/>
      </w:pPr>
      <w:r w:rsidRPr="004D6029">
        <w:t xml:space="preserve">tablets, 250 mg, 20, </w:t>
      </w:r>
    </w:p>
    <w:p w:rsidR="00D3280C" w:rsidRPr="004D6029" w:rsidRDefault="006A4CE1" w:rsidP="004D6029">
      <w:pPr>
        <w:pStyle w:val="Title"/>
        <w:ind w:firstLine="0"/>
      </w:pPr>
      <w:r w:rsidRPr="004D6029">
        <w:t>Zinnat</w:t>
      </w:r>
      <w:r w:rsidR="0004240E" w:rsidRPr="004D6029">
        <w:t>®</w:t>
      </w:r>
      <w:r w:rsidR="00EF44A0" w:rsidRPr="004D6029">
        <w:t xml:space="preserve">, </w:t>
      </w:r>
      <w:r w:rsidRPr="004D6029">
        <w:t>Aspen Pharmacare Pty Ltd.</w:t>
      </w:r>
    </w:p>
    <w:p w:rsidR="006A4CE1" w:rsidRPr="00247C20" w:rsidRDefault="006A4CE1" w:rsidP="00247C20">
      <w:pPr>
        <w:jc w:val="both"/>
        <w:rPr>
          <w:rFonts w:ascii="Arial" w:hAnsi="Arial"/>
          <w:sz w:val="22"/>
          <w:szCs w:val="22"/>
        </w:rPr>
      </w:pPr>
    </w:p>
    <w:p w:rsidR="006A4CE1" w:rsidRPr="00247C20" w:rsidRDefault="006A4CE1" w:rsidP="00247C20">
      <w:pPr>
        <w:jc w:val="both"/>
        <w:rPr>
          <w:rFonts w:ascii="Arial" w:hAnsi="Arial"/>
          <w:sz w:val="22"/>
          <w:szCs w:val="22"/>
        </w:rPr>
      </w:pPr>
    </w:p>
    <w:p w:rsidR="006A4CE1" w:rsidRPr="004D6029" w:rsidRDefault="006A4CE1" w:rsidP="004D6029">
      <w:pPr>
        <w:pStyle w:val="PBACHeading1"/>
      </w:pPr>
      <w:r w:rsidRPr="004D6029">
        <w:t>Purpose of application</w:t>
      </w:r>
    </w:p>
    <w:p w:rsidR="006A4CE1" w:rsidRPr="002775F7" w:rsidRDefault="006A4CE1" w:rsidP="006A4CE1">
      <w:pPr>
        <w:jc w:val="both"/>
        <w:rPr>
          <w:rFonts w:ascii="Arial" w:hAnsi="Arial"/>
          <w:sz w:val="22"/>
          <w:szCs w:val="22"/>
        </w:rPr>
      </w:pPr>
    </w:p>
    <w:p w:rsidR="008A14A4" w:rsidRDefault="006A4CE1" w:rsidP="00603636">
      <w:pPr>
        <w:pStyle w:val="ListParagraph"/>
        <w:numPr>
          <w:ilvl w:val="1"/>
          <w:numId w:val="6"/>
        </w:numPr>
        <w:jc w:val="both"/>
        <w:rPr>
          <w:rFonts w:ascii="Arial" w:hAnsi="Arial"/>
          <w:sz w:val="22"/>
          <w:szCs w:val="22"/>
        </w:rPr>
      </w:pPr>
      <w:r w:rsidRPr="002775F7">
        <w:rPr>
          <w:rFonts w:ascii="Arial" w:hAnsi="Arial"/>
          <w:sz w:val="22"/>
          <w:szCs w:val="22"/>
        </w:rPr>
        <w:t xml:space="preserve">The minor submission </w:t>
      </w:r>
      <w:r w:rsidR="0076669D">
        <w:rPr>
          <w:rFonts w:ascii="Arial" w:hAnsi="Arial"/>
          <w:sz w:val="22"/>
          <w:szCs w:val="22"/>
        </w:rPr>
        <w:t>s</w:t>
      </w:r>
      <w:r w:rsidR="00026BB0">
        <w:rPr>
          <w:rFonts w:ascii="Arial" w:hAnsi="Arial"/>
          <w:sz w:val="22"/>
          <w:szCs w:val="22"/>
        </w:rPr>
        <w:t>ought</w:t>
      </w:r>
      <w:r w:rsidR="001E0A7C">
        <w:rPr>
          <w:rFonts w:ascii="Arial" w:hAnsi="Arial"/>
          <w:sz w:val="22"/>
          <w:szCs w:val="22"/>
        </w:rPr>
        <w:t xml:space="preserve"> the </w:t>
      </w:r>
      <w:r w:rsidR="00603636">
        <w:rPr>
          <w:rFonts w:ascii="Arial" w:hAnsi="Arial"/>
          <w:sz w:val="22"/>
          <w:szCs w:val="22"/>
        </w:rPr>
        <w:t xml:space="preserve">listing of </w:t>
      </w:r>
      <w:r w:rsidR="008A14A4">
        <w:rPr>
          <w:rFonts w:ascii="Arial" w:hAnsi="Arial"/>
          <w:sz w:val="22"/>
          <w:szCs w:val="22"/>
        </w:rPr>
        <w:t>the following:</w:t>
      </w:r>
    </w:p>
    <w:p w:rsidR="0076669D" w:rsidRPr="00603636" w:rsidRDefault="008A14A4" w:rsidP="008A14A4">
      <w:pPr>
        <w:pStyle w:val="ListParagraph"/>
        <w:ind w:left="1080" w:hanging="360"/>
        <w:jc w:val="both"/>
        <w:rPr>
          <w:rFonts w:ascii="Arial" w:hAnsi="Arial"/>
          <w:sz w:val="22"/>
          <w:szCs w:val="22"/>
        </w:rPr>
      </w:pPr>
      <w:r>
        <w:rPr>
          <w:rFonts w:ascii="Arial" w:hAnsi="Arial"/>
          <w:sz w:val="22"/>
          <w:szCs w:val="22"/>
        </w:rPr>
        <w:t>1.</w:t>
      </w:r>
      <w:r>
        <w:rPr>
          <w:rFonts w:ascii="Arial" w:hAnsi="Arial"/>
          <w:sz w:val="22"/>
          <w:szCs w:val="22"/>
        </w:rPr>
        <w:tab/>
        <w:t>A</w:t>
      </w:r>
      <w:r w:rsidR="001E0A7C" w:rsidRPr="00603636">
        <w:rPr>
          <w:rFonts w:ascii="Arial" w:hAnsi="Arial"/>
          <w:sz w:val="22"/>
          <w:szCs w:val="22"/>
        </w:rPr>
        <w:t xml:space="preserve"> new pack size</w:t>
      </w:r>
      <w:r w:rsidR="00CF5834" w:rsidRPr="00603636">
        <w:rPr>
          <w:rFonts w:ascii="Arial" w:hAnsi="Arial"/>
          <w:sz w:val="22"/>
          <w:szCs w:val="22"/>
        </w:rPr>
        <w:t xml:space="preserve"> for</w:t>
      </w:r>
      <w:r w:rsidR="0024776E" w:rsidRPr="00603636">
        <w:rPr>
          <w:rFonts w:ascii="Arial" w:hAnsi="Arial"/>
          <w:sz w:val="22"/>
          <w:szCs w:val="22"/>
        </w:rPr>
        <w:t xml:space="preserve"> the current</w:t>
      </w:r>
      <w:r w:rsidR="001E0A7C" w:rsidRPr="00603636">
        <w:rPr>
          <w:rFonts w:ascii="Arial" w:hAnsi="Arial"/>
          <w:sz w:val="22"/>
          <w:szCs w:val="22"/>
        </w:rPr>
        <w:t>ly listed</w:t>
      </w:r>
      <w:r w:rsidR="0024776E" w:rsidRPr="00603636">
        <w:rPr>
          <w:rFonts w:ascii="Arial" w:hAnsi="Arial"/>
          <w:sz w:val="22"/>
          <w:szCs w:val="22"/>
        </w:rPr>
        <w:t xml:space="preserve"> </w:t>
      </w:r>
      <w:r w:rsidR="001E0A7C" w:rsidRPr="00603636">
        <w:rPr>
          <w:rFonts w:ascii="Arial" w:hAnsi="Arial"/>
          <w:sz w:val="22"/>
          <w:szCs w:val="22"/>
        </w:rPr>
        <w:t xml:space="preserve">pharmaceutical item cefuroxime, </w:t>
      </w:r>
      <w:r w:rsidR="0076669D" w:rsidRPr="00603636">
        <w:rPr>
          <w:rFonts w:ascii="Arial" w:hAnsi="Arial"/>
          <w:sz w:val="22"/>
          <w:szCs w:val="22"/>
        </w:rPr>
        <w:t xml:space="preserve">tablet </w:t>
      </w:r>
      <w:r w:rsidR="00603636" w:rsidRPr="00603636">
        <w:rPr>
          <w:rFonts w:ascii="Arial" w:hAnsi="Arial"/>
          <w:sz w:val="22"/>
          <w:szCs w:val="22"/>
        </w:rPr>
        <w:t>250 mg (as axetil).</w:t>
      </w:r>
      <w:r w:rsidR="0076669D" w:rsidRPr="00603636">
        <w:rPr>
          <w:rFonts w:ascii="Arial" w:hAnsi="Arial"/>
          <w:sz w:val="22"/>
          <w:szCs w:val="22"/>
        </w:rPr>
        <w:t xml:space="preserve"> </w:t>
      </w:r>
    </w:p>
    <w:p w:rsidR="001E0A7C" w:rsidRDefault="001E0A7C" w:rsidP="001E0A7C">
      <w:pPr>
        <w:pStyle w:val="ListParagraph"/>
        <w:ind w:left="1080"/>
        <w:jc w:val="both"/>
        <w:rPr>
          <w:rFonts w:ascii="Arial" w:hAnsi="Arial"/>
          <w:sz w:val="22"/>
          <w:szCs w:val="22"/>
        </w:rPr>
      </w:pPr>
    </w:p>
    <w:p w:rsidR="0076669D" w:rsidRPr="00603636" w:rsidRDefault="00603636" w:rsidP="00603636">
      <w:pPr>
        <w:ind w:left="1080" w:hanging="360"/>
        <w:jc w:val="both"/>
        <w:rPr>
          <w:rFonts w:ascii="Arial" w:hAnsi="Arial"/>
          <w:sz w:val="22"/>
          <w:szCs w:val="22"/>
        </w:rPr>
      </w:pPr>
      <w:r>
        <w:rPr>
          <w:rFonts w:ascii="Arial" w:hAnsi="Arial"/>
          <w:sz w:val="22"/>
          <w:szCs w:val="22"/>
        </w:rPr>
        <w:t>2.</w:t>
      </w:r>
      <w:r>
        <w:rPr>
          <w:rFonts w:ascii="Arial" w:hAnsi="Arial"/>
          <w:sz w:val="22"/>
          <w:szCs w:val="22"/>
        </w:rPr>
        <w:tab/>
        <w:t>A</w:t>
      </w:r>
      <w:r w:rsidR="001E0A7C" w:rsidRPr="00603636">
        <w:rPr>
          <w:rFonts w:ascii="Arial" w:hAnsi="Arial"/>
          <w:sz w:val="22"/>
          <w:szCs w:val="22"/>
        </w:rPr>
        <w:t xml:space="preserve"> new pharmaceutical item</w:t>
      </w:r>
      <w:r w:rsidR="0007137C" w:rsidRPr="00603636">
        <w:rPr>
          <w:rFonts w:ascii="Arial" w:hAnsi="Arial"/>
          <w:sz w:val="22"/>
          <w:szCs w:val="22"/>
        </w:rPr>
        <w:t xml:space="preserve"> cefuroxime, </w:t>
      </w:r>
      <w:r w:rsidR="0076669D" w:rsidRPr="00603636">
        <w:rPr>
          <w:rFonts w:ascii="Arial" w:hAnsi="Arial"/>
          <w:sz w:val="22"/>
          <w:szCs w:val="22"/>
        </w:rPr>
        <w:t xml:space="preserve">powder for oral suspension 125 mg (as axetil) per 5 mL, </w:t>
      </w:r>
      <w:r w:rsidR="0007137C" w:rsidRPr="00603636">
        <w:rPr>
          <w:rFonts w:ascii="Arial" w:hAnsi="Arial"/>
          <w:sz w:val="22"/>
          <w:szCs w:val="22"/>
        </w:rPr>
        <w:t>100</w:t>
      </w:r>
      <w:r w:rsidR="0076669D" w:rsidRPr="00603636">
        <w:rPr>
          <w:rFonts w:ascii="Arial" w:hAnsi="Arial"/>
          <w:sz w:val="22"/>
          <w:szCs w:val="22"/>
        </w:rPr>
        <w:t xml:space="preserve"> mL</w:t>
      </w:r>
    </w:p>
    <w:p w:rsidR="0076669D" w:rsidRDefault="0076669D" w:rsidP="0076669D">
      <w:pPr>
        <w:pStyle w:val="ListParagraph"/>
        <w:ind w:left="1080"/>
        <w:jc w:val="both"/>
        <w:rPr>
          <w:rFonts w:ascii="Arial" w:hAnsi="Arial"/>
          <w:sz w:val="22"/>
          <w:szCs w:val="22"/>
        </w:rPr>
      </w:pPr>
    </w:p>
    <w:p w:rsidR="006A4CE1" w:rsidRPr="00603636" w:rsidRDefault="00603636" w:rsidP="00603636">
      <w:pPr>
        <w:ind w:left="720" w:hanging="720"/>
        <w:jc w:val="both"/>
        <w:rPr>
          <w:rFonts w:ascii="Arial" w:hAnsi="Arial"/>
          <w:sz w:val="22"/>
          <w:szCs w:val="22"/>
        </w:rPr>
      </w:pPr>
      <w:r>
        <w:rPr>
          <w:rFonts w:ascii="Arial" w:hAnsi="Arial"/>
          <w:sz w:val="22"/>
          <w:szCs w:val="22"/>
        </w:rPr>
        <w:t>1.2</w:t>
      </w:r>
      <w:r>
        <w:rPr>
          <w:rFonts w:ascii="Arial" w:hAnsi="Arial"/>
          <w:sz w:val="22"/>
          <w:szCs w:val="22"/>
        </w:rPr>
        <w:tab/>
      </w:r>
      <w:r w:rsidR="0076669D" w:rsidRPr="00603636">
        <w:rPr>
          <w:rFonts w:ascii="Arial" w:hAnsi="Arial"/>
          <w:sz w:val="22"/>
          <w:szCs w:val="22"/>
        </w:rPr>
        <w:t xml:space="preserve">The </w:t>
      </w:r>
      <w:r>
        <w:rPr>
          <w:rFonts w:ascii="Arial" w:hAnsi="Arial"/>
          <w:sz w:val="22"/>
          <w:szCs w:val="22"/>
        </w:rPr>
        <w:t xml:space="preserve">minor submission also requested </w:t>
      </w:r>
      <w:r w:rsidR="006A4CE1" w:rsidRPr="00603636">
        <w:rPr>
          <w:rFonts w:ascii="Arial" w:hAnsi="Arial"/>
          <w:sz w:val="22"/>
          <w:szCs w:val="22"/>
        </w:rPr>
        <w:t xml:space="preserve">PBAC provide advice to the Minister, under Section 101(4AB) of the </w:t>
      </w:r>
      <w:r w:rsidR="006A4CE1" w:rsidRPr="00603636">
        <w:rPr>
          <w:rFonts w:ascii="Arial" w:hAnsi="Arial"/>
          <w:i/>
          <w:sz w:val="22"/>
          <w:szCs w:val="22"/>
        </w:rPr>
        <w:t>National Health Act 1953</w:t>
      </w:r>
      <w:r w:rsidR="006A4CE1" w:rsidRPr="00603636">
        <w:rPr>
          <w:rFonts w:ascii="Arial" w:hAnsi="Arial"/>
          <w:sz w:val="22"/>
          <w:szCs w:val="22"/>
        </w:rPr>
        <w:t xml:space="preserve"> (the Act), in relation to</w:t>
      </w:r>
      <w:r w:rsidR="0076669D" w:rsidRPr="00603636">
        <w:rPr>
          <w:rFonts w:ascii="Arial" w:hAnsi="Arial"/>
          <w:sz w:val="22"/>
          <w:szCs w:val="22"/>
        </w:rPr>
        <w:t xml:space="preserve"> </w:t>
      </w:r>
      <w:r w:rsidR="000066BA">
        <w:rPr>
          <w:rFonts w:ascii="Arial" w:hAnsi="Arial"/>
          <w:sz w:val="22"/>
          <w:szCs w:val="22"/>
        </w:rPr>
        <w:t>the</w:t>
      </w:r>
      <w:r w:rsidR="001E0A7C" w:rsidRPr="00603636">
        <w:rPr>
          <w:rFonts w:ascii="Arial" w:hAnsi="Arial"/>
          <w:sz w:val="22"/>
          <w:szCs w:val="22"/>
        </w:rPr>
        <w:t xml:space="preserve"> new</w:t>
      </w:r>
      <w:r w:rsidR="0076669D" w:rsidRPr="00603636">
        <w:rPr>
          <w:rFonts w:ascii="Arial" w:hAnsi="Arial"/>
          <w:sz w:val="22"/>
          <w:szCs w:val="22"/>
        </w:rPr>
        <w:t xml:space="preserve"> pharmaceutical item c</w:t>
      </w:r>
      <w:r w:rsidR="009550CF" w:rsidRPr="00603636">
        <w:rPr>
          <w:rFonts w:ascii="Arial" w:hAnsi="Arial"/>
          <w:sz w:val="22"/>
          <w:szCs w:val="22"/>
        </w:rPr>
        <w:t xml:space="preserve">efuroxime, powder for oral suspension 125 mg (as axetil) per 5 mL, </w:t>
      </w:r>
      <w:r w:rsidR="0076669D" w:rsidRPr="00603636">
        <w:rPr>
          <w:rFonts w:ascii="Arial" w:hAnsi="Arial"/>
          <w:sz w:val="22"/>
          <w:szCs w:val="22"/>
        </w:rPr>
        <w:t>100</w:t>
      </w:r>
      <w:r>
        <w:rPr>
          <w:rFonts w:ascii="Arial" w:hAnsi="Arial"/>
          <w:sz w:val="22"/>
          <w:szCs w:val="22"/>
        </w:rPr>
        <w:t xml:space="preserve"> mL. </w:t>
      </w:r>
      <w:r w:rsidR="009550CF" w:rsidRPr="00603636">
        <w:rPr>
          <w:rFonts w:ascii="Arial" w:hAnsi="Arial"/>
          <w:sz w:val="22"/>
          <w:szCs w:val="22"/>
        </w:rPr>
        <w:t xml:space="preserve">This advice will be </w:t>
      </w:r>
      <w:r w:rsidR="006A4CE1" w:rsidRPr="00603636">
        <w:rPr>
          <w:rFonts w:ascii="Arial" w:hAnsi="Arial"/>
          <w:sz w:val="22"/>
          <w:szCs w:val="22"/>
        </w:rPr>
        <w:t>relevant to the Minister making a determination under Section 84AH regarding exempt items.</w:t>
      </w:r>
    </w:p>
    <w:p w:rsidR="006A4CE1" w:rsidRPr="002775F7" w:rsidRDefault="006A4CE1" w:rsidP="006A4CE1">
      <w:pPr>
        <w:pStyle w:val="NoSpacing"/>
      </w:pPr>
    </w:p>
    <w:p w:rsidR="006A4CE1" w:rsidRPr="002775F7" w:rsidRDefault="006A4CE1" w:rsidP="006A4CE1">
      <w:pPr>
        <w:pStyle w:val="NoSpacing"/>
      </w:pPr>
    </w:p>
    <w:p w:rsidR="006A4CE1" w:rsidRPr="002775F7" w:rsidRDefault="006A4CE1" w:rsidP="004D6029">
      <w:pPr>
        <w:pStyle w:val="PBACHeading1"/>
      </w:pPr>
      <w:r w:rsidRPr="002775F7">
        <w:t>Background</w:t>
      </w:r>
    </w:p>
    <w:p w:rsidR="006A4CE1" w:rsidRDefault="006A4CE1" w:rsidP="006A4CE1">
      <w:pPr>
        <w:pStyle w:val="NoSpacing"/>
        <w:rPr>
          <w:highlight w:val="yellow"/>
        </w:rPr>
      </w:pPr>
    </w:p>
    <w:p w:rsidR="00026BB0" w:rsidRPr="00026BB0" w:rsidRDefault="00603636" w:rsidP="005E1A78">
      <w:pPr>
        <w:pStyle w:val="NoSpacing"/>
        <w:ind w:firstLine="720"/>
        <w:rPr>
          <w:u w:val="single"/>
        </w:rPr>
      </w:pPr>
      <w:r>
        <w:rPr>
          <w:u w:val="single"/>
        </w:rPr>
        <w:t>N</w:t>
      </w:r>
      <w:r w:rsidR="00026BB0" w:rsidRPr="00026BB0">
        <w:rPr>
          <w:u w:val="single"/>
        </w:rPr>
        <w:t>ew pack size</w:t>
      </w:r>
      <w:r w:rsidR="007547E7">
        <w:rPr>
          <w:u w:val="single"/>
        </w:rPr>
        <w:t xml:space="preserve"> for cefuroxime tablet</w:t>
      </w:r>
      <w:r w:rsidR="00266A17">
        <w:rPr>
          <w:u w:val="single"/>
        </w:rPr>
        <w:t>s</w:t>
      </w:r>
    </w:p>
    <w:p w:rsidR="00026BB0" w:rsidRPr="00026BB0" w:rsidRDefault="00026BB0" w:rsidP="006A4CE1">
      <w:pPr>
        <w:pStyle w:val="NoSpacing"/>
        <w:rPr>
          <w:b/>
          <w:u w:val="single"/>
        </w:rPr>
      </w:pPr>
    </w:p>
    <w:p w:rsidR="00EF0714" w:rsidRDefault="008A14A4" w:rsidP="008A14A4">
      <w:pPr>
        <w:pStyle w:val="ListParagraph"/>
        <w:numPr>
          <w:ilvl w:val="1"/>
          <w:numId w:val="6"/>
        </w:numPr>
        <w:jc w:val="both"/>
        <w:rPr>
          <w:rFonts w:ascii="Arial" w:hAnsi="Arial"/>
          <w:sz w:val="22"/>
          <w:szCs w:val="22"/>
        </w:rPr>
      </w:pPr>
      <w:r>
        <w:rPr>
          <w:rFonts w:ascii="Arial" w:hAnsi="Arial"/>
          <w:sz w:val="22"/>
          <w:szCs w:val="22"/>
        </w:rPr>
        <w:t>C</w:t>
      </w:r>
      <w:r w:rsidR="0007137C" w:rsidRPr="0007137C">
        <w:rPr>
          <w:rFonts w:ascii="Arial" w:hAnsi="Arial"/>
          <w:sz w:val="22"/>
          <w:szCs w:val="22"/>
        </w:rPr>
        <w:t>efuroxime, tablet 250 mg (as axetil</w:t>
      </w:r>
      <w:r>
        <w:rPr>
          <w:rFonts w:ascii="Arial" w:hAnsi="Arial"/>
          <w:sz w:val="22"/>
          <w:szCs w:val="22"/>
        </w:rPr>
        <w:t>)</w:t>
      </w:r>
      <w:r w:rsidR="0007137C" w:rsidRPr="0007137C">
        <w:rPr>
          <w:rFonts w:ascii="Arial" w:hAnsi="Arial"/>
          <w:sz w:val="22"/>
          <w:szCs w:val="22"/>
        </w:rPr>
        <w:t xml:space="preserve"> </w:t>
      </w:r>
      <w:r w:rsidR="0007137C">
        <w:rPr>
          <w:rFonts w:ascii="Arial" w:hAnsi="Arial"/>
          <w:sz w:val="22"/>
          <w:szCs w:val="22"/>
        </w:rPr>
        <w:t>is</w:t>
      </w:r>
      <w:r w:rsidR="00EF0714">
        <w:rPr>
          <w:rFonts w:ascii="Arial" w:hAnsi="Arial"/>
          <w:sz w:val="22"/>
          <w:szCs w:val="22"/>
        </w:rPr>
        <w:t xml:space="preserve"> currently</w:t>
      </w:r>
      <w:r w:rsidR="0007137C">
        <w:rPr>
          <w:rFonts w:ascii="Arial" w:hAnsi="Arial"/>
          <w:sz w:val="22"/>
          <w:szCs w:val="22"/>
        </w:rPr>
        <w:t xml:space="preserve"> listed </w:t>
      </w:r>
      <w:r>
        <w:rPr>
          <w:rFonts w:ascii="Arial" w:hAnsi="Arial"/>
          <w:sz w:val="22"/>
          <w:szCs w:val="22"/>
        </w:rPr>
        <w:t>on the PBS as</w:t>
      </w:r>
      <w:r w:rsidR="00EF0714">
        <w:rPr>
          <w:rFonts w:ascii="Arial" w:hAnsi="Arial"/>
          <w:sz w:val="22"/>
          <w:szCs w:val="22"/>
        </w:rPr>
        <w:t xml:space="preserve"> a 14-tablet </w:t>
      </w:r>
      <w:r w:rsidR="0007137C">
        <w:rPr>
          <w:rFonts w:ascii="Arial" w:hAnsi="Arial"/>
          <w:sz w:val="22"/>
          <w:szCs w:val="22"/>
        </w:rPr>
        <w:t>pack</w:t>
      </w:r>
      <w:r>
        <w:rPr>
          <w:rFonts w:ascii="Arial" w:hAnsi="Arial"/>
          <w:sz w:val="22"/>
          <w:szCs w:val="22"/>
        </w:rPr>
        <w:t xml:space="preserve">. </w:t>
      </w:r>
    </w:p>
    <w:p w:rsidR="00EF0714" w:rsidRPr="00EF0714" w:rsidRDefault="00EF0714" w:rsidP="00EF0714">
      <w:pPr>
        <w:jc w:val="both"/>
        <w:rPr>
          <w:rFonts w:ascii="Arial" w:hAnsi="Arial"/>
          <w:sz w:val="22"/>
          <w:szCs w:val="22"/>
        </w:rPr>
      </w:pPr>
    </w:p>
    <w:p w:rsidR="008A14A4" w:rsidRPr="00EF0714" w:rsidRDefault="00026BB0" w:rsidP="00EF0714">
      <w:pPr>
        <w:pStyle w:val="ListParagraph"/>
        <w:numPr>
          <w:ilvl w:val="1"/>
          <w:numId w:val="6"/>
        </w:numPr>
        <w:jc w:val="both"/>
        <w:rPr>
          <w:rFonts w:ascii="Arial" w:hAnsi="Arial"/>
          <w:sz w:val="22"/>
          <w:szCs w:val="22"/>
        </w:rPr>
      </w:pPr>
      <w:r w:rsidRPr="008A14A4">
        <w:rPr>
          <w:rFonts w:ascii="Arial" w:hAnsi="Arial"/>
          <w:sz w:val="22"/>
          <w:szCs w:val="22"/>
        </w:rPr>
        <w:t xml:space="preserve">The sponsor has </w:t>
      </w:r>
      <w:r w:rsidR="00EF0714">
        <w:rPr>
          <w:rFonts w:ascii="Arial" w:hAnsi="Arial"/>
          <w:sz w:val="22"/>
          <w:szCs w:val="22"/>
        </w:rPr>
        <w:t>indicated</w:t>
      </w:r>
      <w:r w:rsidR="008A14A4">
        <w:rPr>
          <w:rFonts w:ascii="Arial" w:hAnsi="Arial"/>
          <w:sz w:val="22"/>
          <w:szCs w:val="22"/>
        </w:rPr>
        <w:t xml:space="preserve"> its</w:t>
      </w:r>
      <w:r w:rsidRPr="008A14A4">
        <w:rPr>
          <w:rFonts w:ascii="Arial" w:hAnsi="Arial"/>
          <w:sz w:val="22"/>
          <w:szCs w:val="22"/>
        </w:rPr>
        <w:t xml:space="preserve"> intention to replace the </w:t>
      </w:r>
      <w:r w:rsidR="008A14A4">
        <w:rPr>
          <w:rFonts w:ascii="Arial" w:hAnsi="Arial"/>
          <w:sz w:val="22"/>
          <w:szCs w:val="22"/>
        </w:rPr>
        <w:t xml:space="preserve">current pack size to a </w:t>
      </w:r>
      <w:r w:rsidR="00EF0714">
        <w:rPr>
          <w:rFonts w:ascii="Arial" w:hAnsi="Arial"/>
          <w:sz w:val="22"/>
          <w:szCs w:val="22"/>
        </w:rPr>
        <w:t>20-</w:t>
      </w:r>
      <w:r w:rsidR="008A14A4">
        <w:rPr>
          <w:rFonts w:ascii="Arial" w:hAnsi="Arial"/>
          <w:sz w:val="22"/>
          <w:szCs w:val="22"/>
        </w:rPr>
        <w:t>pack</w:t>
      </w:r>
      <w:r w:rsidRPr="008A14A4">
        <w:rPr>
          <w:rFonts w:ascii="Arial" w:hAnsi="Arial"/>
          <w:sz w:val="22"/>
          <w:szCs w:val="22"/>
        </w:rPr>
        <w:t xml:space="preserve"> due to a change in the availability of the product from global overseas supplier.</w:t>
      </w:r>
      <w:r w:rsidR="00EF0714">
        <w:rPr>
          <w:rFonts w:ascii="Arial" w:hAnsi="Arial"/>
          <w:sz w:val="22"/>
          <w:szCs w:val="22"/>
        </w:rPr>
        <w:t xml:space="preserve"> </w:t>
      </w:r>
      <w:r w:rsidR="005E1A78">
        <w:rPr>
          <w:rFonts w:ascii="Arial" w:hAnsi="Arial"/>
          <w:sz w:val="22"/>
          <w:szCs w:val="22"/>
        </w:rPr>
        <w:t xml:space="preserve">Cefuroxime, tablet 250 mg (as axetil) </w:t>
      </w:r>
      <w:r w:rsidR="00EF0714" w:rsidRPr="00EF0714">
        <w:rPr>
          <w:rFonts w:ascii="Arial" w:hAnsi="Arial"/>
          <w:sz w:val="22"/>
          <w:szCs w:val="22"/>
        </w:rPr>
        <w:t>20-</w:t>
      </w:r>
      <w:r w:rsidR="005E1A78">
        <w:rPr>
          <w:rFonts w:ascii="Arial" w:hAnsi="Arial"/>
          <w:sz w:val="22"/>
          <w:szCs w:val="22"/>
        </w:rPr>
        <w:t>pack</w:t>
      </w:r>
      <w:r w:rsidR="00EF0714">
        <w:rPr>
          <w:rFonts w:ascii="Arial" w:hAnsi="Arial"/>
          <w:sz w:val="22"/>
          <w:szCs w:val="22"/>
        </w:rPr>
        <w:t xml:space="preserve"> </w:t>
      </w:r>
      <w:r w:rsidR="008A14A4" w:rsidRPr="00EF0714">
        <w:rPr>
          <w:rFonts w:ascii="Arial" w:hAnsi="Arial"/>
          <w:sz w:val="22"/>
          <w:szCs w:val="22"/>
        </w:rPr>
        <w:t xml:space="preserve">was registered by the TGA on 26 August 2015. </w:t>
      </w:r>
    </w:p>
    <w:p w:rsidR="00026BB0" w:rsidRDefault="00026BB0" w:rsidP="00026BB0">
      <w:pPr>
        <w:jc w:val="both"/>
        <w:rPr>
          <w:rFonts w:ascii="Arial" w:hAnsi="Arial"/>
          <w:sz w:val="22"/>
          <w:szCs w:val="22"/>
        </w:rPr>
      </w:pPr>
    </w:p>
    <w:p w:rsidR="00026BB0" w:rsidRDefault="00026BB0" w:rsidP="005B0785">
      <w:pPr>
        <w:pStyle w:val="ListParagraph"/>
        <w:numPr>
          <w:ilvl w:val="1"/>
          <w:numId w:val="6"/>
        </w:numPr>
        <w:jc w:val="both"/>
        <w:rPr>
          <w:rFonts w:ascii="Arial" w:hAnsi="Arial"/>
          <w:sz w:val="22"/>
          <w:szCs w:val="22"/>
        </w:rPr>
      </w:pPr>
      <w:r>
        <w:rPr>
          <w:rFonts w:ascii="Arial" w:hAnsi="Arial"/>
          <w:sz w:val="22"/>
          <w:szCs w:val="22"/>
        </w:rPr>
        <w:t xml:space="preserve">The TGA Product Information (PI) outlines that the usual course of therapy with </w:t>
      </w:r>
      <w:r w:rsidR="000066BA">
        <w:rPr>
          <w:rFonts w:ascii="Arial" w:hAnsi="Arial"/>
          <w:sz w:val="22"/>
          <w:szCs w:val="22"/>
        </w:rPr>
        <w:t>cefuroxime</w:t>
      </w:r>
      <w:r>
        <w:rPr>
          <w:rFonts w:ascii="Arial" w:hAnsi="Arial" w:cs="Arial"/>
          <w:sz w:val="22"/>
          <w:szCs w:val="22"/>
        </w:rPr>
        <w:t xml:space="preserve"> </w:t>
      </w:r>
      <w:r>
        <w:rPr>
          <w:rFonts w:ascii="Arial" w:hAnsi="Arial"/>
          <w:sz w:val="22"/>
          <w:szCs w:val="22"/>
        </w:rPr>
        <w:t>tablets is 5 – 7 days for treatment of bronchitis (250 mg to 500 mg twice daily), and 7 to 10 days for other infections (250 mg twice daily).</w:t>
      </w:r>
      <w:r w:rsidR="005B0785">
        <w:rPr>
          <w:rFonts w:ascii="Arial" w:hAnsi="Arial"/>
          <w:sz w:val="22"/>
          <w:szCs w:val="22"/>
        </w:rPr>
        <w:t xml:space="preserve"> The </w:t>
      </w:r>
      <w:r w:rsidR="00EF0714">
        <w:rPr>
          <w:rFonts w:ascii="Arial" w:hAnsi="Arial"/>
          <w:sz w:val="22"/>
          <w:szCs w:val="22"/>
        </w:rPr>
        <w:t>20-</w:t>
      </w:r>
      <w:r w:rsidR="008A14A4">
        <w:rPr>
          <w:rFonts w:ascii="Arial" w:hAnsi="Arial"/>
          <w:sz w:val="22"/>
          <w:szCs w:val="22"/>
        </w:rPr>
        <w:t>pack</w:t>
      </w:r>
      <w:r>
        <w:rPr>
          <w:rFonts w:ascii="Arial" w:hAnsi="Arial"/>
          <w:sz w:val="22"/>
          <w:szCs w:val="22"/>
        </w:rPr>
        <w:t xml:space="preserve"> will be consistent with the PI’s guidelines for usual course of therapy for the treatment of non-bronchitis related ‘other infections’ such as otitis media, sinusitis, tonsillitis and pharyngitis.</w:t>
      </w:r>
    </w:p>
    <w:p w:rsidR="00026BB0" w:rsidRDefault="00026BB0" w:rsidP="0007137C">
      <w:pPr>
        <w:pStyle w:val="ListParagraph"/>
        <w:jc w:val="both"/>
        <w:rPr>
          <w:rFonts w:ascii="Arial" w:hAnsi="Arial"/>
          <w:sz w:val="22"/>
          <w:szCs w:val="22"/>
        </w:rPr>
      </w:pPr>
    </w:p>
    <w:p w:rsidR="005E1A78" w:rsidRDefault="005E1A78" w:rsidP="005E1A78">
      <w:pPr>
        <w:ind w:firstLine="720"/>
        <w:jc w:val="both"/>
        <w:rPr>
          <w:rFonts w:ascii="Arial" w:hAnsi="Arial"/>
          <w:sz w:val="22"/>
          <w:szCs w:val="22"/>
          <w:u w:val="single"/>
        </w:rPr>
      </w:pPr>
      <w:r w:rsidRPr="005E1A78">
        <w:rPr>
          <w:rFonts w:ascii="Arial" w:hAnsi="Arial"/>
          <w:sz w:val="22"/>
          <w:szCs w:val="22"/>
          <w:u w:val="single"/>
        </w:rPr>
        <w:t xml:space="preserve">New pharmaceutical item for cefuroxime </w:t>
      </w:r>
      <w:r>
        <w:rPr>
          <w:rFonts w:ascii="Arial" w:hAnsi="Arial"/>
          <w:sz w:val="22"/>
          <w:szCs w:val="22"/>
          <w:u w:val="single"/>
        </w:rPr>
        <w:t xml:space="preserve">oral </w:t>
      </w:r>
      <w:r w:rsidRPr="005E1A78">
        <w:rPr>
          <w:rFonts w:ascii="Arial" w:hAnsi="Arial"/>
          <w:sz w:val="22"/>
          <w:szCs w:val="22"/>
          <w:u w:val="single"/>
        </w:rPr>
        <w:t>suspension</w:t>
      </w:r>
    </w:p>
    <w:p w:rsidR="005E1A78" w:rsidRPr="005E1A78" w:rsidRDefault="005E1A78" w:rsidP="005E1A78">
      <w:pPr>
        <w:jc w:val="both"/>
        <w:rPr>
          <w:rFonts w:ascii="Arial" w:hAnsi="Arial"/>
          <w:sz w:val="22"/>
          <w:szCs w:val="22"/>
          <w:u w:val="single"/>
        </w:rPr>
      </w:pPr>
    </w:p>
    <w:p w:rsidR="007547E7" w:rsidRDefault="007547E7" w:rsidP="007547E7">
      <w:pPr>
        <w:pStyle w:val="ListParagraph"/>
        <w:numPr>
          <w:ilvl w:val="1"/>
          <w:numId w:val="6"/>
        </w:numPr>
        <w:jc w:val="both"/>
        <w:rPr>
          <w:rFonts w:ascii="Arial" w:hAnsi="Arial"/>
          <w:sz w:val="22"/>
          <w:szCs w:val="22"/>
        </w:rPr>
      </w:pPr>
      <w:r>
        <w:rPr>
          <w:rFonts w:ascii="Arial" w:hAnsi="Arial"/>
          <w:sz w:val="22"/>
          <w:szCs w:val="22"/>
        </w:rPr>
        <w:t>Cefuroxime</w:t>
      </w:r>
      <w:r w:rsidR="005E1A78">
        <w:rPr>
          <w:rFonts w:ascii="Arial" w:hAnsi="Arial"/>
          <w:sz w:val="22"/>
          <w:szCs w:val="22"/>
        </w:rPr>
        <w:t xml:space="preserve"> oral</w:t>
      </w:r>
      <w:r>
        <w:rPr>
          <w:rFonts w:ascii="Arial" w:hAnsi="Arial"/>
          <w:sz w:val="22"/>
          <w:szCs w:val="22"/>
        </w:rPr>
        <w:t xml:space="preserve"> suspension</w:t>
      </w:r>
      <w:r w:rsidR="005E1A78">
        <w:rPr>
          <w:rFonts w:ascii="Arial" w:hAnsi="Arial"/>
          <w:sz w:val="22"/>
          <w:szCs w:val="22"/>
        </w:rPr>
        <w:t xml:space="preserve"> (</w:t>
      </w:r>
      <w:r w:rsidR="005E1A78" w:rsidRPr="00D34EF0">
        <w:rPr>
          <w:rFonts w:ascii="Arial" w:hAnsi="Arial"/>
          <w:sz w:val="22"/>
          <w:szCs w:val="22"/>
        </w:rPr>
        <w:t>Zinnat</w:t>
      </w:r>
      <w:r w:rsidR="005E1A78" w:rsidRPr="00D34EF0">
        <w:rPr>
          <w:rFonts w:ascii="Arial" w:hAnsi="Arial" w:cs="Arial"/>
          <w:sz w:val="22"/>
          <w:szCs w:val="22"/>
        </w:rPr>
        <w:t xml:space="preserve">® </w:t>
      </w:r>
      <w:r w:rsidR="005E1A78">
        <w:rPr>
          <w:rFonts w:ascii="Arial" w:hAnsi="Arial" w:cs="Arial"/>
          <w:sz w:val="22"/>
          <w:szCs w:val="22"/>
        </w:rPr>
        <w:t xml:space="preserve">oral </w:t>
      </w:r>
      <w:r w:rsidR="005E1A78" w:rsidRPr="00D34EF0">
        <w:rPr>
          <w:rFonts w:ascii="Arial" w:hAnsi="Arial" w:cs="Arial"/>
          <w:sz w:val="22"/>
          <w:szCs w:val="22"/>
        </w:rPr>
        <w:t>suspension</w:t>
      </w:r>
      <w:r w:rsidR="005E1A78">
        <w:rPr>
          <w:rFonts w:ascii="Arial" w:hAnsi="Arial" w:cs="Arial"/>
          <w:sz w:val="22"/>
          <w:szCs w:val="22"/>
        </w:rPr>
        <w:t>)</w:t>
      </w:r>
      <w:r>
        <w:rPr>
          <w:rFonts w:ascii="Arial" w:hAnsi="Arial"/>
          <w:sz w:val="22"/>
          <w:szCs w:val="22"/>
        </w:rPr>
        <w:t xml:space="preserve"> is currently listed </w:t>
      </w:r>
      <w:r w:rsidR="005E1A78">
        <w:rPr>
          <w:rFonts w:ascii="Arial" w:hAnsi="Arial"/>
          <w:sz w:val="22"/>
          <w:szCs w:val="22"/>
        </w:rPr>
        <w:t xml:space="preserve">on the PBS </w:t>
      </w:r>
      <w:r>
        <w:rPr>
          <w:rFonts w:ascii="Arial" w:hAnsi="Arial"/>
          <w:sz w:val="22"/>
          <w:szCs w:val="22"/>
        </w:rPr>
        <w:t>as the</w:t>
      </w:r>
      <w:r w:rsidRPr="007547E7">
        <w:rPr>
          <w:rFonts w:ascii="Arial" w:hAnsi="Arial"/>
          <w:sz w:val="22"/>
          <w:szCs w:val="22"/>
        </w:rPr>
        <w:t xml:space="preserve"> pharmaceutical item cefuroxime, powder for oral suspension 125</w:t>
      </w:r>
      <w:r w:rsidR="005E1A78">
        <w:rPr>
          <w:rFonts w:ascii="Arial" w:hAnsi="Arial"/>
          <w:sz w:val="22"/>
          <w:szCs w:val="22"/>
        </w:rPr>
        <w:t xml:space="preserve"> mg (as axetil) per 5 mL, 70 mL.</w:t>
      </w:r>
    </w:p>
    <w:p w:rsidR="007547E7" w:rsidRPr="007547E7" w:rsidRDefault="007547E7" w:rsidP="007547E7">
      <w:pPr>
        <w:jc w:val="both"/>
        <w:rPr>
          <w:rFonts w:ascii="Arial" w:hAnsi="Arial"/>
          <w:sz w:val="22"/>
          <w:szCs w:val="22"/>
        </w:rPr>
      </w:pPr>
    </w:p>
    <w:p w:rsidR="00026BB0" w:rsidRDefault="00026BB0" w:rsidP="00026BB0">
      <w:pPr>
        <w:pStyle w:val="ListParagraph"/>
        <w:numPr>
          <w:ilvl w:val="1"/>
          <w:numId w:val="6"/>
        </w:numPr>
        <w:jc w:val="both"/>
        <w:rPr>
          <w:rFonts w:ascii="Arial" w:hAnsi="Arial"/>
          <w:sz w:val="22"/>
          <w:szCs w:val="22"/>
        </w:rPr>
      </w:pPr>
      <w:r>
        <w:rPr>
          <w:rFonts w:ascii="Arial" w:hAnsi="Arial"/>
          <w:sz w:val="22"/>
          <w:szCs w:val="22"/>
        </w:rPr>
        <w:t>T</w:t>
      </w:r>
      <w:r w:rsidRPr="0091028B">
        <w:rPr>
          <w:rFonts w:ascii="Arial" w:hAnsi="Arial"/>
          <w:sz w:val="22"/>
          <w:szCs w:val="22"/>
        </w:rPr>
        <w:t xml:space="preserve">he sponsor has </w:t>
      </w:r>
      <w:r w:rsidR="00EF0714">
        <w:rPr>
          <w:rFonts w:ascii="Arial" w:hAnsi="Arial"/>
          <w:sz w:val="22"/>
          <w:szCs w:val="22"/>
        </w:rPr>
        <w:t>indicated its</w:t>
      </w:r>
      <w:r w:rsidRPr="0091028B">
        <w:rPr>
          <w:rFonts w:ascii="Arial" w:hAnsi="Arial"/>
          <w:sz w:val="22"/>
          <w:szCs w:val="22"/>
        </w:rPr>
        <w:t xml:space="preserve"> intention to replace the </w:t>
      </w:r>
      <w:r w:rsidR="005E1A78">
        <w:rPr>
          <w:rFonts w:ascii="Arial" w:hAnsi="Arial"/>
          <w:sz w:val="22"/>
          <w:szCs w:val="22"/>
        </w:rPr>
        <w:t>current</w:t>
      </w:r>
      <w:r w:rsidR="008903C5">
        <w:rPr>
          <w:rFonts w:ascii="Arial" w:hAnsi="Arial"/>
          <w:sz w:val="22"/>
          <w:szCs w:val="22"/>
        </w:rPr>
        <w:t xml:space="preserve"> </w:t>
      </w:r>
      <w:r w:rsidR="005E1A78">
        <w:rPr>
          <w:rFonts w:ascii="Arial" w:hAnsi="Arial"/>
          <w:sz w:val="22"/>
          <w:szCs w:val="22"/>
        </w:rPr>
        <w:t xml:space="preserve">presentation </w:t>
      </w:r>
      <w:r w:rsidRPr="0091028B">
        <w:rPr>
          <w:rFonts w:ascii="Arial" w:hAnsi="Arial"/>
          <w:sz w:val="22"/>
          <w:szCs w:val="22"/>
        </w:rPr>
        <w:t xml:space="preserve">with </w:t>
      </w:r>
      <w:r w:rsidR="002E4A0E">
        <w:rPr>
          <w:rFonts w:ascii="Arial" w:hAnsi="Arial"/>
          <w:sz w:val="22"/>
          <w:szCs w:val="22"/>
        </w:rPr>
        <w:t xml:space="preserve">the </w:t>
      </w:r>
      <w:r w:rsidRPr="0091028B">
        <w:rPr>
          <w:rFonts w:ascii="Arial" w:hAnsi="Arial"/>
          <w:sz w:val="22"/>
          <w:szCs w:val="22"/>
        </w:rPr>
        <w:t>pharmaceutical item cefuroxime, powder for oral suspension 125 mg (as axetil) per 5 mL, 100 mL</w:t>
      </w:r>
      <w:r w:rsidR="004D6029">
        <w:rPr>
          <w:rFonts w:ascii="Arial" w:hAnsi="Arial"/>
          <w:sz w:val="22"/>
          <w:szCs w:val="22"/>
        </w:rPr>
        <w:t>.</w:t>
      </w:r>
      <w:r>
        <w:rPr>
          <w:rFonts w:ascii="Arial" w:hAnsi="Arial"/>
          <w:sz w:val="22"/>
          <w:szCs w:val="22"/>
        </w:rPr>
        <w:t xml:space="preserve"> </w:t>
      </w:r>
    </w:p>
    <w:p w:rsidR="00026BB0" w:rsidRPr="0091028B" w:rsidRDefault="00026BB0" w:rsidP="00026BB0">
      <w:pPr>
        <w:pStyle w:val="ListParagraph"/>
        <w:rPr>
          <w:rFonts w:ascii="Arial" w:hAnsi="Arial"/>
          <w:sz w:val="22"/>
          <w:szCs w:val="22"/>
        </w:rPr>
      </w:pPr>
    </w:p>
    <w:p w:rsidR="00026BB0" w:rsidRDefault="00026BB0" w:rsidP="00026BB0">
      <w:pPr>
        <w:pStyle w:val="ListParagraph"/>
        <w:numPr>
          <w:ilvl w:val="1"/>
          <w:numId w:val="6"/>
        </w:numPr>
        <w:jc w:val="both"/>
        <w:rPr>
          <w:rFonts w:ascii="Arial" w:hAnsi="Arial"/>
          <w:sz w:val="22"/>
          <w:szCs w:val="22"/>
        </w:rPr>
      </w:pPr>
      <w:r w:rsidRPr="00D34EF0">
        <w:rPr>
          <w:rFonts w:ascii="Arial" w:hAnsi="Arial"/>
          <w:sz w:val="22"/>
          <w:szCs w:val="22"/>
        </w:rPr>
        <w:lastRenderedPageBreak/>
        <w:t>The TGA PI outlines that the usual course of therapy with Zinnat</w:t>
      </w:r>
      <w:r w:rsidRPr="00D34EF0">
        <w:rPr>
          <w:rFonts w:ascii="Arial" w:hAnsi="Arial" w:cs="Arial"/>
          <w:sz w:val="22"/>
          <w:szCs w:val="22"/>
        </w:rPr>
        <w:t xml:space="preserve">® suspension is 7 days (with a range of 5 to 10 days). </w:t>
      </w:r>
      <w:r w:rsidR="005B0785">
        <w:rPr>
          <w:rFonts w:ascii="Arial" w:hAnsi="Arial" w:cs="Arial"/>
          <w:sz w:val="22"/>
          <w:szCs w:val="22"/>
        </w:rPr>
        <w:t>The new</w:t>
      </w:r>
      <w:r w:rsidR="005E1A78">
        <w:rPr>
          <w:rFonts w:ascii="Arial" w:hAnsi="Arial" w:cs="Arial"/>
          <w:sz w:val="22"/>
          <w:szCs w:val="22"/>
        </w:rPr>
        <w:t xml:space="preserve"> pharmaceutical</w:t>
      </w:r>
      <w:r w:rsidR="005B0785">
        <w:rPr>
          <w:rFonts w:ascii="Arial" w:hAnsi="Arial" w:cs="Arial"/>
          <w:sz w:val="22"/>
          <w:szCs w:val="22"/>
        </w:rPr>
        <w:t xml:space="preserve"> item</w:t>
      </w:r>
      <w:r w:rsidRPr="00D34EF0">
        <w:rPr>
          <w:rFonts w:ascii="Arial" w:hAnsi="Arial"/>
          <w:sz w:val="22"/>
          <w:szCs w:val="22"/>
        </w:rPr>
        <w:t xml:space="preserve"> will provide a consistent amount with the PI’s guidelines for usual course of therapy for the treatments of otitis media, tonsillitis, pharyngitis.</w:t>
      </w:r>
      <w:r>
        <w:rPr>
          <w:rFonts w:ascii="Arial" w:hAnsi="Arial"/>
          <w:sz w:val="22"/>
          <w:szCs w:val="22"/>
        </w:rPr>
        <w:t xml:space="preserve"> </w:t>
      </w:r>
    </w:p>
    <w:p w:rsidR="0007137C" w:rsidRDefault="0007137C" w:rsidP="0007137C">
      <w:pPr>
        <w:pStyle w:val="ListParagraph"/>
        <w:rPr>
          <w:rFonts w:ascii="Arial" w:hAnsi="Arial"/>
          <w:sz w:val="22"/>
          <w:szCs w:val="22"/>
        </w:rPr>
      </w:pPr>
    </w:p>
    <w:p w:rsidR="007547E7" w:rsidRDefault="007547E7" w:rsidP="007547E7">
      <w:pPr>
        <w:ind w:left="720"/>
        <w:jc w:val="both"/>
        <w:rPr>
          <w:rFonts w:ascii="Arial" w:hAnsi="Arial"/>
          <w:sz w:val="22"/>
          <w:szCs w:val="22"/>
          <w:u w:val="single"/>
        </w:rPr>
      </w:pPr>
      <w:r w:rsidRPr="007547E7">
        <w:rPr>
          <w:rFonts w:ascii="Arial" w:hAnsi="Arial"/>
          <w:sz w:val="22"/>
          <w:szCs w:val="22"/>
          <w:u w:val="single"/>
        </w:rPr>
        <w:t>Exemption request</w:t>
      </w:r>
    </w:p>
    <w:p w:rsidR="007547E7" w:rsidRPr="007547E7" w:rsidRDefault="007547E7" w:rsidP="007547E7">
      <w:pPr>
        <w:ind w:left="720"/>
        <w:jc w:val="both"/>
        <w:rPr>
          <w:rFonts w:ascii="Arial" w:hAnsi="Arial"/>
          <w:sz w:val="22"/>
          <w:szCs w:val="22"/>
          <w:u w:val="single"/>
        </w:rPr>
      </w:pPr>
    </w:p>
    <w:p w:rsidR="00DC1CBB" w:rsidRDefault="007547E7" w:rsidP="0007137C">
      <w:pPr>
        <w:pStyle w:val="ListParagraph"/>
        <w:numPr>
          <w:ilvl w:val="1"/>
          <w:numId w:val="6"/>
        </w:numPr>
        <w:jc w:val="both"/>
        <w:rPr>
          <w:rFonts w:ascii="Arial" w:hAnsi="Arial"/>
          <w:sz w:val="22"/>
          <w:szCs w:val="22"/>
        </w:rPr>
      </w:pPr>
      <w:r w:rsidRPr="007547E7">
        <w:rPr>
          <w:rFonts w:ascii="Arial" w:hAnsi="Arial"/>
          <w:sz w:val="22"/>
          <w:szCs w:val="22"/>
        </w:rPr>
        <w:t>The pharmaceutical item cefuroxime, powder for oral suspension 125 mg (as axetil) per 5 mL, 70 mL, is currently l</w:t>
      </w:r>
      <w:r w:rsidR="00E87E9E">
        <w:rPr>
          <w:rFonts w:ascii="Arial" w:hAnsi="Arial"/>
          <w:sz w:val="22"/>
          <w:szCs w:val="22"/>
        </w:rPr>
        <w:t>isted with an exempt status.</w:t>
      </w:r>
    </w:p>
    <w:p w:rsidR="005E1A78" w:rsidRPr="005E1A78" w:rsidRDefault="005E1A78" w:rsidP="005E1A78">
      <w:pPr>
        <w:jc w:val="both"/>
        <w:rPr>
          <w:rFonts w:ascii="Arial" w:hAnsi="Arial"/>
          <w:sz w:val="22"/>
          <w:szCs w:val="22"/>
        </w:rPr>
      </w:pPr>
    </w:p>
    <w:p w:rsidR="005E1A78" w:rsidRDefault="005E1A78" w:rsidP="008903C5">
      <w:pPr>
        <w:pStyle w:val="ListParagraph"/>
        <w:numPr>
          <w:ilvl w:val="1"/>
          <w:numId w:val="6"/>
        </w:numPr>
        <w:rPr>
          <w:rFonts w:ascii="Arial" w:hAnsi="Arial"/>
          <w:sz w:val="22"/>
          <w:szCs w:val="22"/>
        </w:rPr>
      </w:pPr>
      <w:r w:rsidRPr="005E1A78">
        <w:rPr>
          <w:rFonts w:ascii="Arial" w:hAnsi="Arial"/>
          <w:sz w:val="22"/>
          <w:szCs w:val="22"/>
        </w:rPr>
        <w:t xml:space="preserve">The sponsor </w:t>
      </w:r>
      <w:r>
        <w:rPr>
          <w:rFonts w:ascii="Arial" w:hAnsi="Arial"/>
          <w:sz w:val="22"/>
          <w:szCs w:val="22"/>
        </w:rPr>
        <w:t xml:space="preserve">has </w:t>
      </w:r>
      <w:r w:rsidRPr="005E1A78">
        <w:rPr>
          <w:rFonts w:ascii="Arial" w:hAnsi="Arial"/>
          <w:sz w:val="22"/>
          <w:szCs w:val="22"/>
        </w:rPr>
        <w:t>indicated</w:t>
      </w:r>
      <w:r>
        <w:rPr>
          <w:rFonts w:ascii="Arial" w:hAnsi="Arial"/>
          <w:sz w:val="22"/>
          <w:szCs w:val="22"/>
        </w:rPr>
        <w:t xml:space="preserve"> its</w:t>
      </w:r>
      <w:r w:rsidRPr="005E1A78">
        <w:rPr>
          <w:rFonts w:ascii="Arial" w:hAnsi="Arial"/>
          <w:sz w:val="22"/>
          <w:szCs w:val="22"/>
        </w:rPr>
        <w:t xml:space="preserve"> intention to delist the</w:t>
      </w:r>
      <w:r w:rsidR="008903C5">
        <w:rPr>
          <w:rFonts w:ascii="Arial" w:hAnsi="Arial"/>
          <w:sz w:val="22"/>
          <w:szCs w:val="22"/>
        </w:rPr>
        <w:t xml:space="preserve"> current</w:t>
      </w:r>
      <w:r w:rsidR="008903C5" w:rsidRPr="008903C5">
        <w:t xml:space="preserve"> </w:t>
      </w:r>
      <w:r w:rsidR="008903C5" w:rsidRPr="008903C5">
        <w:rPr>
          <w:rFonts w:ascii="Arial" w:hAnsi="Arial"/>
          <w:sz w:val="22"/>
          <w:szCs w:val="22"/>
        </w:rPr>
        <w:t>pharmaceutical item cefuro</w:t>
      </w:r>
      <w:bookmarkStart w:id="0" w:name="_GoBack"/>
      <w:bookmarkEnd w:id="0"/>
      <w:r w:rsidR="008903C5" w:rsidRPr="008903C5">
        <w:rPr>
          <w:rFonts w:ascii="Arial" w:hAnsi="Arial"/>
          <w:sz w:val="22"/>
          <w:szCs w:val="22"/>
        </w:rPr>
        <w:t>xime, powder for oral suspension 125 mg (as axetil) per 5 mL, 70 mL.</w:t>
      </w:r>
      <w:r w:rsidRPr="005E1A78">
        <w:rPr>
          <w:rFonts w:ascii="Arial" w:hAnsi="Arial"/>
          <w:sz w:val="22"/>
          <w:szCs w:val="22"/>
        </w:rPr>
        <w:t xml:space="preserve"> within 12 months after the listing of the 100 mL presentation.</w:t>
      </w:r>
    </w:p>
    <w:p w:rsidR="005E1A78" w:rsidRPr="005E1A78" w:rsidRDefault="005E1A78" w:rsidP="005E1A78">
      <w:pPr>
        <w:rPr>
          <w:rFonts w:ascii="Arial" w:hAnsi="Arial"/>
          <w:sz w:val="22"/>
          <w:szCs w:val="22"/>
        </w:rPr>
      </w:pPr>
    </w:p>
    <w:p w:rsidR="005E1A78" w:rsidRPr="005E1A78" w:rsidRDefault="005E1A78" w:rsidP="005E1A78">
      <w:pPr>
        <w:pStyle w:val="ListParagraph"/>
        <w:numPr>
          <w:ilvl w:val="1"/>
          <w:numId w:val="6"/>
        </w:numPr>
        <w:jc w:val="both"/>
        <w:rPr>
          <w:rFonts w:ascii="Arial" w:hAnsi="Arial"/>
          <w:sz w:val="22"/>
          <w:szCs w:val="22"/>
        </w:rPr>
      </w:pPr>
      <w:r w:rsidRPr="005E1A78">
        <w:rPr>
          <w:rFonts w:ascii="Arial" w:hAnsi="Arial"/>
          <w:sz w:val="22"/>
          <w:szCs w:val="22"/>
        </w:rPr>
        <w:t>The sponsor</w:t>
      </w:r>
      <w:r>
        <w:rPr>
          <w:rFonts w:ascii="Arial" w:hAnsi="Arial"/>
          <w:sz w:val="22"/>
          <w:szCs w:val="22"/>
        </w:rPr>
        <w:t xml:space="preserve"> has</w:t>
      </w:r>
      <w:r w:rsidRPr="005E1A78">
        <w:rPr>
          <w:rFonts w:ascii="Arial" w:hAnsi="Arial"/>
          <w:sz w:val="22"/>
          <w:szCs w:val="22"/>
        </w:rPr>
        <w:t xml:space="preserve"> requested the Minister to determine</w:t>
      </w:r>
      <w:r>
        <w:rPr>
          <w:rFonts w:ascii="Arial" w:hAnsi="Arial"/>
          <w:sz w:val="22"/>
          <w:szCs w:val="22"/>
        </w:rPr>
        <w:t xml:space="preserve"> the new pharmaceutical item</w:t>
      </w:r>
      <w:r w:rsidRPr="005E1A78">
        <w:rPr>
          <w:rFonts w:ascii="Arial" w:hAnsi="Arial"/>
          <w:sz w:val="22"/>
          <w:szCs w:val="22"/>
        </w:rPr>
        <w:t xml:space="preserve"> cefuroxime, powder for oral suspensio</w:t>
      </w:r>
      <w:r>
        <w:rPr>
          <w:rFonts w:ascii="Arial" w:hAnsi="Arial"/>
          <w:sz w:val="22"/>
          <w:szCs w:val="22"/>
        </w:rPr>
        <w:t>n 125 mg (as axetil) per 5 mL, 10</w:t>
      </w:r>
      <w:r w:rsidRPr="005E1A78">
        <w:rPr>
          <w:rFonts w:ascii="Arial" w:hAnsi="Arial"/>
          <w:sz w:val="22"/>
          <w:szCs w:val="22"/>
        </w:rPr>
        <w:t>0 mL as replacement of the currently exempted 70 mL</w:t>
      </w:r>
      <w:r w:rsidR="00DB2F5A">
        <w:rPr>
          <w:rFonts w:ascii="Arial" w:hAnsi="Arial"/>
          <w:sz w:val="22"/>
          <w:szCs w:val="22"/>
        </w:rPr>
        <w:t xml:space="preserve"> presentation</w:t>
      </w:r>
      <w:r w:rsidRPr="005E1A78">
        <w:rPr>
          <w:rFonts w:ascii="Arial" w:hAnsi="Arial"/>
          <w:sz w:val="22"/>
          <w:szCs w:val="22"/>
        </w:rPr>
        <w:t xml:space="preserve">. </w:t>
      </w:r>
    </w:p>
    <w:p w:rsidR="005E1A78" w:rsidRPr="005E1A78" w:rsidRDefault="005E1A78" w:rsidP="005E1A78">
      <w:pPr>
        <w:pStyle w:val="ListParagraph"/>
        <w:jc w:val="both"/>
        <w:rPr>
          <w:rFonts w:ascii="Arial" w:hAnsi="Arial"/>
          <w:sz w:val="22"/>
          <w:szCs w:val="22"/>
        </w:rPr>
      </w:pPr>
    </w:p>
    <w:p w:rsidR="005E1A78" w:rsidRPr="005E1A78" w:rsidRDefault="005E1A78" w:rsidP="005E1A78">
      <w:pPr>
        <w:pStyle w:val="ListParagraph"/>
        <w:numPr>
          <w:ilvl w:val="1"/>
          <w:numId w:val="6"/>
        </w:numPr>
        <w:jc w:val="both"/>
        <w:rPr>
          <w:rFonts w:ascii="Arial" w:hAnsi="Arial"/>
          <w:sz w:val="22"/>
          <w:szCs w:val="22"/>
        </w:rPr>
      </w:pPr>
      <w:r w:rsidRPr="005E1A78">
        <w:rPr>
          <w:rFonts w:ascii="Arial" w:hAnsi="Arial"/>
          <w:sz w:val="22"/>
          <w:szCs w:val="22"/>
        </w:rPr>
        <w:t>The sponsor further recognised that an interim period will apply whereby both presentations (70 mL and 100 mL) will be listed concurrently on the PBS where the exempt status will not apply to either presentations.</w:t>
      </w:r>
    </w:p>
    <w:p w:rsidR="00026BB0" w:rsidRPr="00631310" w:rsidRDefault="00026BB0" w:rsidP="00631310">
      <w:pPr>
        <w:rPr>
          <w:rFonts w:ascii="Arial" w:hAnsi="Arial"/>
          <w:sz w:val="22"/>
          <w:szCs w:val="22"/>
        </w:rPr>
      </w:pPr>
    </w:p>
    <w:p w:rsidR="006A4CE1" w:rsidRPr="002775F7" w:rsidRDefault="006A4CE1" w:rsidP="00F913A8">
      <w:pPr>
        <w:pStyle w:val="ListParagraph"/>
        <w:numPr>
          <w:ilvl w:val="1"/>
          <w:numId w:val="6"/>
        </w:numPr>
        <w:jc w:val="both"/>
        <w:rPr>
          <w:rFonts w:ascii="Arial" w:hAnsi="Arial"/>
          <w:sz w:val="22"/>
          <w:szCs w:val="22"/>
        </w:rPr>
      </w:pPr>
      <w:r w:rsidRPr="002775F7">
        <w:rPr>
          <w:rFonts w:ascii="Arial" w:hAnsi="Arial"/>
          <w:sz w:val="22"/>
          <w:szCs w:val="22"/>
        </w:rPr>
        <w:t>The Minister may, by legislative instrument, determine a pharmaceutical item to be an exempt item if it meets the following criteria set out in Section 84AH of the Act:</w:t>
      </w:r>
    </w:p>
    <w:p w:rsidR="006A4CE1" w:rsidRPr="002775F7" w:rsidRDefault="006A4CE1" w:rsidP="00F913A8">
      <w:pPr>
        <w:pStyle w:val="NoSpacing"/>
        <w:numPr>
          <w:ilvl w:val="0"/>
          <w:numId w:val="7"/>
        </w:numPr>
      </w:pPr>
      <w:r w:rsidRPr="002775F7">
        <w:t>there is only one listed brand of the relevant item; and</w:t>
      </w:r>
    </w:p>
    <w:p w:rsidR="006A4CE1" w:rsidRPr="002775F7" w:rsidRDefault="006A4CE1" w:rsidP="00F913A8">
      <w:pPr>
        <w:pStyle w:val="NoSpacing"/>
        <w:numPr>
          <w:ilvl w:val="0"/>
          <w:numId w:val="7"/>
        </w:numPr>
      </w:pPr>
      <w:r w:rsidRPr="002775F7">
        <w:t>there are no listed brands of other pharmaceutical items that are bioequivalent or biosimilar to the listed brand of the relevant item; and</w:t>
      </w:r>
    </w:p>
    <w:p w:rsidR="006A4CE1" w:rsidRPr="002775F7" w:rsidRDefault="006A4CE1" w:rsidP="00F913A8">
      <w:pPr>
        <w:pStyle w:val="NoSpacing"/>
        <w:numPr>
          <w:ilvl w:val="0"/>
          <w:numId w:val="7"/>
        </w:numPr>
      </w:pPr>
      <w:r w:rsidRPr="002775F7">
        <w:t>the relevant item and at least one listed brand of another pharmaceutical item have the same drug; and</w:t>
      </w:r>
    </w:p>
    <w:p w:rsidR="006A4CE1" w:rsidRPr="002775F7" w:rsidRDefault="006A4CE1" w:rsidP="00F913A8">
      <w:pPr>
        <w:pStyle w:val="NoSpacing"/>
        <w:numPr>
          <w:ilvl w:val="0"/>
          <w:numId w:val="7"/>
        </w:numPr>
      </w:pPr>
      <w:r w:rsidRPr="002775F7">
        <w:t>the Minister is satisfied, having regard to advice (if any) given to the Minister by the Pharmaceutical Benefits Advisory Committee (whether before or after the commencement of this section), that:</w:t>
      </w:r>
    </w:p>
    <w:p w:rsidR="006A4CE1" w:rsidRPr="002775F7" w:rsidRDefault="006A4CE1" w:rsidP="00F913A8">
      <w:pPr>
        <w:pStyle w:val="NoSpacing"/>
        <w:numPr>
          <w:ilvl w:val="1"/>
          <w:numId w:val="7"/>
        </w:numPr>
      </w:pPr>
      <w:r w:rsidRPr="002775F7">
        <w:t>the listed drug in the relevant item represents suitable therapy for a particular patient population; and</w:t>
      </w:r>
    </w:p>
    <w:p w:rsidR="006A4CE1" w:rsidRPr="002775F7" w:rsidRDefault="006A4CE1" w:rsidP="00F913A8">
      <w:pPr>
        <w:pStyle w:val="NoSpacing"/>
        <w:numPr>
          <w:ilvl w:val="1"/>
          <w:numId w:val="7"/>
        </w:numPr>
      </w:pPr>
      <w:r w:rsidRPr="002775F7">
        <w:t>the relevant item is suitable for use by a particular subgroup of that population because of either or both of the form and manner of administration of the drug in the item; and</w:t>
      </w:r>
    </w:p>
    <w:p w:rsidR="006A4CE1" w:rsidRDefault="006A4CE1" w:rsidP="00F913A8">
      <w:pPr>
        <w:pStyle w:val="NoSpacing"/>
        <w:numPr>
          <w:ilvl w:val="1"/>
          <w:numId w:val="7"/>
        </w:numPr>
      </w:pPr>
      <w:r w:rsidRPr="002775F7">
        <w:t>no other pharmaceutical item that has that drug is suitable for use by that subgroup because of either or both of the form and manner of administration of the drug in that other item.</w:t>
      </w:r>
    </w:p>
    <w:p w:rsidR="006A4CE1" w:rsidRPr="002775F7" w:rsidRDefault="006A4CE1" w:rsidP="006A4CE1">
      <w:pPr>
        <w:pStyle w:val="NoSpacing"/>
      </w:pPr>
    </w:p>
    <w:p w:rsidR="00266A17" w:rsidRPr="00266A17" w:rsidRDefault="00266A17" w:rsidP="00266A17">
      <w:pPr>
        <w:pStyle w:val="ListParagraph"/>
        <w:numPr>
          <w:ilvl w:val="1"/>
          <w:numId w:val="6"/>
        </w:numPr>
        <w:jc w:val="both"/>
        <w:rPr>
          <w:rFonts w:ascii="Arial" w:hAnsi="Arial"/>
          <w:sz w:val="22"/>
          <w:szCs w:val="22"/>
        </w:rPr>
      </w:pPr>
      <w:r w:rsidRPr="00266A17">
        <w:rPr>
          <w:rFonts w:ascii="Arial" w:hAnsi="Arial"/>
          <w:sz w:val="22"/>
          <w:szCs w:val="22"/>
        </w:rPr>
        <w:t xml:space="preserve">The PBAC’s function relating to the Minister’s determination of exempt </w:t>
      </w:r>
      <w:r>
        <w:rPr>
          <w:rFonts w:ascii="Arial" w:hAnsi="Arial"/>
          <w:sz w:val="22"/>
          <w:szCs w:val="22"/>
        </w:rPr>
        <w:t>items,</w:t>
      </w:r>
      <w:r w:rsidRPr="00266A17">
        <w:rPr>
          <w:rFonts w:ascii="Arial" w:hAnsi="Arial"/>
          <w:sz w:val="22"/>
          <w:szCs w:val="22"/>
        </w:rPr>
        <w:t xml:space="preserve"> reflected un</w:t>
      </w:r>
      <w:r>
        <w:rPr>
          <w:rFonts w:ascii="Arial" w:hAnsi="Arial"/>
          <w:sz w:val="22"/>
          <w:szCs w:val="22"/>
        </w:rPr>
        <w:t xml:space="preserve">der Section 101(4AB) of the Act,  is the same as those in Section 84AH (d) </w:t>
      </w:r>
      <w:r w:rsidRPr="00266A17">
        <w:rPr>
          <w:rFonts w:ascii="Arial" w:hAnsi="Arial"/>
          <w:sz w:val="22"/>
          <w:szCs w:val="22"/>
        </w:rPr>
        <w:t xml:space="preserve">as </w:t>
      </w:r>
      <w:r w:rsidR="00E87E9E">
        <w:rPr>
          <w:rFonts w:ascii="Arial" w:hAnsi="Arial"/>
          <w:sz w:val="22"/>
          <w:szCs w:val="22"/>
        </w:rPr>
        <w:t>described above.</w:t>
      </w:r>
    </w:p>
    <w:p w:rsidR="00266A17" w:rsidRDefault="00266A17" w:rsidP="00266A17">
      <w:pPr>
        <w:pStyle w:val="ListParagraph"/>
        <w:jc w:val="both"/>
        <w:rPr>
          <w:rFonts w:ascii="Arial" w:hAnsi="Arial"/>
          <w:sz w:val="22"/>
          <w:szCs w:val="22"/>
        </w:rPr>
      </w:pPr>
    </w:p>
    <w:p w:rsidR="006A4CE1" w:rsidRPr="002775F7" w:rsidRDefault="006A4CE1" w:rsidP="00F913A8">
      <w:pPr>
        <w:pStyle w:val="ListParagraph"/>
        <w:numPr>
          <w:ilvl w:val="1"/>
          <w:numId w:val="6"/>
        </w:numPr>
        <w:jc w:val="both"/>
        <w:rPr>
          <w:rFonts w:ascii="Arial" w:hAnsi="Arial"/>
          <w:sz w:val="22"/>
          <w:szCs w:val="22"/>
        </w:rPr>
      </w:pPr>
      <w:r w:rsidRPr="002775F7">
        <w:rPr>
          <w:rFonts w:ascii="Arial" w:hAnsi="Arial"/>
          <w:sz w:val="22"/>
          <w:szCs w:val="22"/>
        </w:rPr>
        <w:t>The effect of a pharmaceutical item being determined to be an exempt item is that the listed brand of that pharmaceutical item is excluded from statutory price reductions and price disclosure requirements.</w:t>
      </w:r>
      <w:r w:rsidRPr="002775F7">
        <w:rPr>
          <w:rFonts w:ascii="Arial" w:hAnsi="Arial"/>
          <w:strike/>
          <w:sz w:val="22"/>
          <w:szCs w:val="22"/>
        </w:rPr>
        <w:t xml:space="preserve"> </w:t>
      </w:r>
    </w:p>
    <w:p w:rsidR="006A4CE1" w:rsidRPr="002775F7" w:rsidRDefault="006A4CE1" w:rsidP="006A4CE1">
      <w:pPr>
        <w:pStyle w:val="NoSpacing"/>
      </w:pPr>
    </w:p>
    <w:p w:rsidR="006A4CE1" w:rsidRPr="00266A17" w:rsidRDefault="006A4CE1" w:rsidP="006A4CE1">
      <w:pPr>
        <w:pStyle w:val="ListParagraph"/>
        <w:numPr>
          <w:ilvl w:val="1"/>
          <w:numId w:val="6"/>
        </w:numPr>
        <w:jc w:val="both"/>
        <w:rPr>
          <w:rFonts w:ascii="Arial" w:hAnsi="Arial"/>
          <w:strike/>
          <w:sz w:val="22"/>
          <w:szCs w:val="22"/>
        </w:rPr>
      </w:pPr>
      <w:r w:rsidRPr="002775F7">
        <w:rPr>
          <w:rFonts w:ascii="Arial" w:hAnsi="Arial"/>
          <w:sz w:val="22"/>
          <w:szCs w:val="22"/>
        </w:rPr>
        <w:t xml:space="preserve">The Revised Explanatory Memorandum of the </w:t>
      </w:r>
      <w:r w:rsidRPr="00F243A1">
        <w:rPr>
          <w:rFonts w:ascii="Arial" w:hAnsi="Arial"/>
          <w:i/>
          <w:sz w:val="22"/>
          <w:szCs w:val="22"/>
        </w:rPr>
        <w:t>National Health Amendment (Pharmaceutical Benefits Scheme) Bill 2007</w:t>
      </w:r>
      <w:r w:rsidRPr="002775F7">
        <w:rPr>
          <w:rFonts w:ascii="Arial" w:hAnsi="Arial"/>
          <w:sz w:val="22"/>
          <w:szCs w:val="22"/>
        </w:rPr>
        <w:t xml:space="preserve"> details that the intention of exemption is to encourage the availability of certain pharmaceutical items with particular </w:t>
      </w:r>
      <w:r w:rsidRPr="002775F7">
        <w:rPr>
          <w:rFonts w:ascii="Arial" w:hAnsi="Arial"/>
          <w:sz w:val="22"/>
          <w:szCs w:val="22"/>
        </w:rPr>
        <w:lastRenderedPageBreak/>
        <w:t xml:space="preserve">formulations of drugs that are used by a demographic subgroup (e.g. children or geriatric patients) for whom other formulations of the drug are not suitable. The Explanatory Memorandum </w:t>
      </w:r>
      <w:r w:rsidR="009550CF">
        <w:rPr>
          <w:rFonts w:ascii="Arial" w:hAnsi="Arial"/>
          <w:sz w:val="22"/>
          <w:szCs w:val="22"/>
        </w:rPr>
        <w:t>clarifies</w:t>
      </w:r>
      <w:r w:rsidRPr="002775F7">
        <w:rPr>
          <w:rFonts w:ascii="Arial" w:hAnsi="Arial"/>
          <w:sz w:val="22"/>
          <w:szCs w:val="22"/>
        </w:rPr>
        <w:t xml:space="preserve"> that subgroups identified on the grounds of their disease characteristics will not qualify.</w:t>
      </w:r>
    </w:p>
    <w:p w:rsidR="00EE2071" w:rsidRDefault="00EE2071" w:rsidP="00EE2071">
      <w:pPr>
        <w:rPr>
          <w:rFonts w:ascii="Arial" w:hAnsi="Arial" w:cs="Arial"/>
          <w:snapToGrid w:val="0"/>
          <w:sz w:val="22"/>
          <w:lang w:eastAsia="en-US"/>
        </w:rPr>
      </w:pPr>
    </w:p>
    <w:p w:rsidR="00EE2071" w:rsidRDefault="00EE2071" w:rsidP="004D6029">
      <w:pPr>
        <w:pStyle w:val="PBACHeading1"/>
      </w:pPr>
      <w:r>
        <w:t>Consideration of the evidence</w:t>
      </w:r>
    </w:p>
    <w:p w:rsidR="00EE2071" w:rsidRDefault="00EE2071" w:rsidP="00EE2071">
      <w:pPr>
        <w:jc w:val="both"/>
        <w:rPr>
          <w:rFonts w:ascii="Arial" w:hAnsi="Arial"/>
          <w:b/>
          <w:sz w:val="22"/>
          <w:szCs w:val="22"/>
        </w:rPr>
      </w:pPr>
    </w:p>
    <w:p w:rsidR="00EE2071" w:rsidRPr="004D6029" w:rsidRDefault="00EE2071" w:rsidP="004D6029">
      <w:pPr>
        <w:pStyle w:val="Heading2"/>
      </w:pPr>
      <w:r w:rsidRPr="004D6029">
        <w:t>Sponsor hearing</w:t>
      </w:r>
    </w:p>
    <w:p w:rsidR="00EE2071" w:rsidRPr="00A51DD6" w:rsidRDefault="00EE2071" w:rsidP="00EE2071">
      <w:pPr>
        <w:jc w:val="both"/>
        <w:rPr>
          <w:rFonts w:ascii="Arial" w:hAnsi="Arial"/>
          <w:b/>
          <w:sz w:val="22"/>
          <w:szCs w:val="22"/>
        </w:rPr>
      </w:pPr>
    </w:p>
    <w:p w:rsidR="00EE2071" w:rsidRPr="00A51DD6" w:rsidRDefault="00EE2071" w:rsidP="00A51DD6">
      <w:pPr>
        <w:pStyle w:val="ListParagraph"/>
        <w:numPr>
          <w:ilvl w:val="1"/>
          <w:numId w:val="6"/>
        </w:numPr>
        <w:jc w:val="both"/>
        <w:rPr>
          <w:rFonts w:ascii="Arial" w:hAnsi="Arial"/>
          <w:b/>
          <w:sz w:val="22"/>
          <w:szCs w:val="22"/>
        </w:rPr>
      </w:pPr>
      <w:r w:rsidRPr="00A51DD6">
        <w:rPr>
          <w:rFonts w:ascii="Arial" w:hAnsi="Arial" w:cs="Arial"/>
          <w:bCs/>
          <w:snapToGrid w:val="0"/>
          <w:sz w:val="22"/>
          <w:szCs w:val="22"/>
        </w:rPr>
        <w:t>There was no hearing for this item as it was a minor submission.</w:t>
      </w:r>
    </w:p>
    <w:p w:rsidR="00EE2071" w:rsidRPr="00A51DD6" w:rsidRDefault="00EE2071" w:rsidP="00EE2071">
      <w:pPr>
        <w:jc w:val="both"/>
        <w:rPr>
          <w:rFonts w:ascii="Arial" w:hAnsi="Arial"/>
          <w:b/>
          <w:sz w:val="22"/>
          <w:szCs w:val="22"/>
        </w:rPr>
      </w:pPr>
    </w:p>
    <w:p w:rsidR="00EE2071" w:rsidRPr="004D6029" w:rsidRDefault="00EE2071" w:rsidP="004D6029">
      <w:pPr>
        <w:pStyle w:val="Heading2"/>
      </w:pPr>
      <w:r w:rsidRPr="004D6029">
        <w:t>Consumer comments</w:t>
      </w:r>
    </w:p>
    <w:p w:rsidR="00EE2071" w:rsidRPr="00A51DD6" w:rsidRDefault="00EE2071" w:rsidP="00EE2071">
      <w:pPr>
        <w:jc w:val="both"/>
        <w:rPr>
          <w:rFonts w:ascii="Arial" w:hAnsi="Arial"/>
          <w:b/>
          <w:sz w:val="22"/>
          <w:szCs w:val="22"/>
        </w:rPr>
      </w:pPr>
    </w:p>
    <w:p w:rsidR="00EE2071" w:rsidRPr="00A51DD6" w:rsidRDefault="00EE2071" w:rsidP="00A51DD6">
      <w:pPr>
        <w:pStyle w:val="ListParagraph"/>
        <w:numPr>
          <w:ilvl w:val="1"/>
          <w:numId w:val="6"/>
        </w:numPr>
        <w:jc w:val="both"/>
        <w:rPr>
          <w:rFonts w:ascii="Arial" w:hAnsi="Arial"/>
          <w:b/>
          <w:sz w:val="22"/>
          <w:szCs w:val="22"/>
        </w:rPr>
      </w:pPr>
      <w:r w:rsidRPr="00A51DD6">
        <w:rPr>
          <w:rFonts w:ascii="Arial" w:hAnsi="Arial" w:cs="Arial"/>
          <w:bCs/>
          <w:snapToGrid w:val="0"/>
          <w:sz w:val="22"/>
          <w:szCs w:val="22"/>
        </w:rPr>
        <w:t>The PBAC noted that no consumer comments were received for this item.</w:t>
      </w:r>
    </w:p>
    <w:p w:rsidR="00EE2071" w:rsidRDefault="00EE2071" w:rsidP="00EE2071">
      <w:pPr>
        <w:jc w:val="both"/>
        <w:rPr>
          <w:rFonts w:ascii="Arial" w:hAnsi="Arial"/>
          <w:b/>
          <w:sz w:val="22"/>
          <w:szCs w:val="22"/>
        </w:rPr>
      </w:pPr>
    </w:p>
    <w:p w:rsidR="00EE2071" w:rsidRDefault="00EE2071" w:rsidP="004D6029">
      <w:pPr>
        <w:pStyle w:val="PBACHeading1"/>
        <w:rPr>
          <w:snapToGrid w:val="0"/>
          <w:lang w:eastAsia="en-US"/>
        </w:rPr>
      </w:pPr>
      <w:r w:rsidRPr="00A51DD6">
        <w:rPr>
          <w:snapToGrid w:val="0"/>
          <w:lang w:eastAsia="en-US"/>
        </w:rPr>
        <w:t>PBAC Outcome</w:t>
      </w:r>
    </w:p>
    <w:p w:rsidR="00266A17" w:rsidRPr="00266A17" w:rsidRDefault="00266A17" w:rsidP="00266A17">
      <w:pPr>
        <w:jc w:val="both"/>
        <w:rPr>
          <w:rFonts w:ascii="Arial" w:hAnsi="Arial" w:cs="Arial"/>
          <w:b/>
          <w:bCs/>
          <w:snapToGrid w:val="0"/>
          <w:sz w:val="22"/>
          <w:szCs w:val="22"/>
          <w:lang w:eastAsia="en-US"/>
        </w:rPr>
      </w:pPr>
    </w:p>
    <w:p w:rsidR="009C5CA8" w:rsidRDefault="00266A17" w:rsidP="009C5CA8">
      <w:pPr>
        <w:pStyle w:val="ListParagraph"/>
        <w:numPr>
          <w:ilvl w:val="1"/>
          <w:numId w:val="6"/>
        </w:numPr>
        <w:jc w:val="both"/>
        <w:rPr>
          <w:rFonts w:ascii="Arial" w:hAnsi="Arial"/>
          <w:sz w:val="22"/>
          <w:szCs w:val="22"/>
        </w:rPr>
      </w:pPr>
      <w:r w:rsidRPr="00266A17">
        <w:rPr>
          <w:rFonts w:ascii="Arial" w:hAnsi="Arial"/>
          <w:sz w:val="22"/>
          <w:szCs w:val="22"/>
        </w:rPr>
        <w:t>T</w:t>
      </w:r>
      <w:r w:rsidR="00676395" w:rsidRPr="00266A17">
        <w:rPr>
          <w:rFonts w:ascii="Arial" w:hAnsi="Arial"/>
          <w:sz w:val="22"/>
          <w:szCs w:val="22"/>
        </w:rPr>
        <w:t>he PBAC recommended the listing of a new pack size of 20 for the currently listed pharmaceutical item cefurox</w:t>
      </w:r>
      <w:r>
        <w:rPr>
          <w:rFonts w:ascii="Arial" w:hAnsi="Arial"/>
          <w:sz w:val="22"/>
          <w:szCs w:val="22"/>
        </w:rPr>
        <w:t>ime, tablet 250 mg (as axetil).</w:t>
      </w:r>
    </w:p>
    <w:p w:rsidR="00676395" w:rsidRPr="000066BA" w:rsidRDefault="00676395" w:rsidP="000066BA">
      <w:pPr>
        <w:jc w:val="both"/>
        <w:rPr>
          <w:rFonts w:ascii="Arial" w:hAnsi="Arial"/>
          <w:sz w:val="22"/>
          <w:szCs w:val="22"/>
        </w:rPr>
      </w:pPr>
    </w:p>
    <w:p w:rsidR="00676395" w:rsidRDefault="00266A17" w:rsidP="00676395">
      <w:pPr>
        <w:pStyle w:val="ListParagraph"/>
        <w:numPr>
          <w:ilvl w:val="1"/>
          <w:numId w:val="6"/>
        </w:numPr>
        <w:jc w:val="both"/>
        <w:rPr>
          <w:rFonts w:ascii="Arial" w:hAnsi="Arial"/>
          <w:sz w:val="22"/>
          <w:szCs w:val="22"/>
        </w:rPr>
      </w:pPr>
      <w:r w:rsidRPr="00266A17">
        <w:rPr>
          <w:rFonts w:ascii="Arial" w:hAnsi="Arial"/>
          <w:sz w:val="22"/>
          <w:szCs w:val="22"/>
        </w:rPr>
        <w:t>T</w:t>
      </w:r>
      <w:r w:rsidR="00676395" w:rsidRPr="00266A17">
        <w:rPr>
          <w:rFonts w:ascii="Arial" w:hAnsi="Arial"/>
          <w:sz w:val="22"/>
          <w:szCs w:val="22"/>
        </w:rPr>
        <w:t>he PBAC recommended the listing of a new pharmaceutical item cefuroxime, powder for oral suspension 125 mg (as axetil) per 5 mL, 100 mL</w:t>
      </w:r>
      <w:r w:rsidRPr="00266A17">
        <w:rPr>
          <w:rFonts w:ascii="Arial" w:hAnsi="Arial"/>
          <w:sz w:val="22"/>
          <w:szCs w:val="22"/>
        </w:rPr>
        <w:t>.</w:t>
      </w:r>
      <w:r w:rsidR="00FA7812" w:rsidRPr="00266A17">
        <w:rPr>
          <w:rFonts w:ascii="Arial" w:hAnsi="Arial"/>
          <w:sz w:val="22"/>
          <w:szCs w:val="22"/>
        </w:rPr>
        <w:t xml:space="preserve"> </w:t>
      </w:r>
    </w:p>
    <w:p w:rsidR="008C2BAD" w:rsidRPr="00631310" w:rsidRDefault="008C2BAD" w:rsidP="00631310">
      <w:pPr>
        <w:rPr>
          <w:rFonts w:ascii="Arial" w:hAnsi="Arial"/>
          <w:sz w:val="22"/>
          <w:szCs w:val="22"/>
        </w:rPr>
      </w:pPr>
    </w:p>
    <w:p w:rsidR="00750368" w:rsidRPr="00750368" w:rsidRDefault="00FA7812" w:rsidP="00750368">
      <w:pPr>
        <w:pStyle w:val="ListParagraph"/>
        <w:numPr>
          <w:ilvl w:val="1"/>
          <w:numId w:val="6"/>
        </w:numPr>
        <w:rPr>
          <w:rFonts w:ascii="Arial" w:hAnsi="Arial"/>
          <w:sz w:val="22"/>
          <w:szCs w:val="22"/>
        </w:rPr>
      </w:pPr>
      <w:r w:rsidRPr="00750368">
        <w:rPr>
          <w:rFonts w:ascii="Arial" w:hAnsi="Arial"/>
          <w:sz w:val="22"/>
          <w:szCs w:val="22"/>
        </w:rPr>
        <w:t xml:space="preserve">The PBAC </w:t>
      </w:r>
      <w:r w:rsidR="00750368" w:rsidRPr="00750368">
        <w:rPr>
          <w:rFonts w:ascii="Arial" w:hAnsi="Arial"/>
          <w:sz w:val="22"/>
          <w:szCs w:val="22"/>
        </w:rPr>
        <w:t>noted</w:t>
      </w:r>
      <w:r w:rsidR="00750368">
        <w:rPr>
          <w:rFonts w:ascii="Arial" w:hAnsi="Arial"/>
          <w:sz w:val="22"/>
          <w:szCs w:val="22"/>
        </w:rPr>
        <w:t xml:space="preserve"> a small net cost to the PBS as a consequence of the reduction in</w:t>
      </w:r>
      <w:r w:rsidR="00750368" w:rsidRPr="00750368">
        <w:rPr>
          <w:rFonts w:ascii="Arial" w:hAnsi="Arial"/>
          <w:sz w:val="22"/>
          <w:szCs w:val="22"/>
        </w:rPr>
        <w:t xml:space="preserve"> repeat scripts which patients will no longer require</w:t>
      </w:r>
      <w:r w:rsidR="00750368">
        <w:rPr>
          <w:rFonts w:ascii="Arial" w:hAnsi="Arial"/>
          <w:sz w:val="22"/>
          <w:szCs w:val="22"/>
        </w:rPr>
        <w:t xml:space="preserve"> bec</w:t>
      </w:r>
      <w:r w:rsidR="00511FF3">
        <w:rPr>
          <w:rFonts w:ascii="Arial" w:hAnsi="Arial"/>
          <w:sz w:val="22"/>
          <w:szCs w:val="22"/>
        </w:rPr>
        <w:t>ause of the larger presentation</w:t>
      </w:r>
      <w:r w:rsidR="00750368">
        <w:rPr>
          <w:rFonts w:ascii="Arial" w:hAnsi="Arial"/>
          <w:sz w:val="22"/>
          <w:szCs w:val="22"/>
        </w:rPr>
        <w:t xml:space="preserve"> for both tablets and suspension</w:t>
      </w:r>
      <w:r w:rsidR="00750368" w:rsidRPr="00750368">
        <w:rPr>
          <w:rFonts w:ascii="Arial" w:hAnsi="Arial"/>
          <w:sz w:val="22"/>
          <w:szCs w:val="22"/>
        </w:rPr>
        <w:t xml:space="preserve">. </w:t>
      </w:r>
    </w:p>
    <w:p w:rsidR="00631310" w:rsidRPr="00750368" w:rsidRDefault="00631310" w:rsidP="00750368">
      <w:pPr>
        <w:jc w:val="both"/>
        <w:rPr>
          <w:rFonts w:ascii="Arial" w:hAnsi="Arial"/>
          <w:sz w:val="22"/>
          <w:szCs w:val="22"/>
        </w:rPr>
      </w:pPr>
    </w:p>
    <w:p w:rsidR="00303FD0" w:rsidRPr="00631310" w:rsidRDefault="00303FD0" w:rsidP="00631310">
      <w:pPr>
        <w:pStyle w:val="ListParagraph"/>
        <w:numPr>
          <w:ilvl w:val="1"/>
          <w:numId w:val="2"/>
        </w:numPr>
        <w:rPr>
          <w:rFonts w:ascii="Arial" w:hAnsi="Arial" w:cs="Arial"/>
          <w:bCs/>
          <w:snapToGrid w:val="0"/>
          <w:sz w:val="22"/>
          <w:szCs w:val="22"/>
          <w:lang w:val="en-GB"/>
        </w:rPr>
      </w:pPr>
      <w:r w:rsidRPr="00631310">
        <w:rPr>
          <w:rFonts w:ascii="Arial" w:hAnsi="Arial" w:cs="Arial"/>
          <w:bCs/>
          <w:snapToGrid w:val="0"/>
          <w:sz w:val="22"/>
          <w:szCs w:val="22"/>
          <w:lang w:val="en-GB"/>
        </w:rPr>
        <w:t>T</w:t>
      </w:r>
      <w:r w:rsidR="008C2BAD" w:rsidRPr="00631310">
        <w:rPr>
          <w:rFonts w:ascii="Arial" w:hAnsi="Arial" w:cs="Arial"/>
          <w:bCs/>
          <w:snapToGrid w:val="0"/>
          <w:sz w:val="22"/>
          <w:szCs w:val="22"/>
          <w:lang w:val="en-GB"/>
        </w:rPr>
        <w:t>he</w:t>
      </w:r>
      <w:r w:rsidR="00676395" w:rsidRPr="00631310">
        <w:rPr>
          <w:rFonts w:ascii="Arial" w:hAnsi="Arial" w:cs="Arial"/>
          <w:bCs/>
          <w:snapToGrid w:val="0"/>
          <w:sz w:val="22"/>
          <w:szCs w:val="22"/>
          <w:lang w:val="en-GB"/>
        </w:rPr>
        <w:t xml:space="preserve"> PBAC </w:t>
      </w:r>
      <w:r w:rsidR="00631310">
        <w:rPr>
          <w:rFonts w:ascii="Arial" w:hAnsi="Arial" w:cs="Arial"/>
          <w:bCs/>
          <w:snapToGrid w:val="0"/>
          <w:sz w:val="22"/>
          <w:szCs w:val="22"/>
          <w:lang w:val="en-GB"/>
        </w:rPr>
        <w:t xml:space="preserve">advised, that in accordance with Section 101(4AB) of the Act, </w:t>
      </w:r>
      <w:r w:rsidR="00631310" w:rsidRPr="00631310">
        <w:rPr>
          <w:rFonts w:ascii="Arial" w:hAnsi="Arial" w:cs="Arial"/>
          <w:bCs/>
          <w:snapToGrid w:val="0"/>
          <w:sz w:val="22"/>
          <w:szCs w:val="22"/>
          <w:lang w:val="en-GB"/>
        </w:rPr>
        <w:t>the following circumstances exist in relat</w:t>
      </w:r>
      <w:r w:rsidR="00631310">
        <w:rPr>
          <w:rFonts w:ascii="Arial" w:hAnsi="Arial" w:cs="Arial"/>
          <w:bCs/>
          <w:snapToGrid w:val="0"/>
          <w:sz w:val="22"/>
          <w:szCs w:val="22"/>
          <w:lang w:val="en-GB"/>
        </w:rPr>
        <w:t xml:space="preserve">ion to the pharmaceutical item </w:t>
      </w:r>
      <w:r w:rsidR="00631310" w:rsidRPr="00631310">
        <w:rPr>
          <w:rFonts w:ascii="Arial" w:hAnsi="Arial" w:cs="Arial"/>
          <w:bCs/>
          <w:snapToGrid w:val="0"/>
          <w:sz w:val="22"/>
          <w:szCs w:val="22"/>
          <w:lang w:val="en-GB"/>
        </w:rPr>
        <w:t>cefuroxime, powder for oral suspension 125 m</w:t>
      </w:r>
      <w:r w:rsidR="00631310">
        <w:rPr>
          <w:rFonts w:ascii="Arial" w:hAnsi="Arial" w:cs="Arial"/>
          <w:bCs/>
          <w:snapToGrid w:val="0"/>
          <w:sz w:val="22"/>
          <w:szCs w:val="22"/>
          <w:lang w:val="en-GB"/>
        </w:rPr>
        <w:t>g (as axetil) per 5 mL, 100 mL</w:t>
      </w:r>
      <w:r w:rsidR="00631310" w:rsidRPr="00631310">
        <w:rPr>
          <w:rFonts w:ascii="Arial" w:hAnsi="Arial" w:cs="Arial"/>
          <w:bCs/>
          <w:snapToGrid w:val="0"/>
          <w:sz w:val="22"/>
          <w:szCs w:val="22"/>
          <w:lang w:val="en-GB"/>
        </w:rPr>
        <w:t>:</w:t>
      </w:r>
    </w:p>
    <w:p w:rsidR="00B87149" w:rsidRDefault="00B87149" w:rsidP="00B87149">
      <w:pPr>
        <w:pStyle w:val="ListParagraph"/>
        <w:rPr>
          <w:rFonts w:ascii="Arial" w:hAnsi="Arial" w:cs="Arial"/>
          <w:sz w:val="22"/>
          <w:szCs w:val="22"/>
        </w:rPr>
      </w:pPr>
      <w:r>
        <w:rPr>
          <w:rFonts w:ascii="Arial" w:hAnsi="Arial" w:cs="Arial"/>
          <w:sz w:val="22"/>
          <w:szCs w:val="22"/>
        </w:rPr>
        <w:t xml:space="preserve">a) </w:t>
      </w:r>
      <w:r w:rsidR="00644F4E">
        <w:rPr>
          <w:rFonts w:ascii="Arial" w:hAnsi="Arial" w:cs="Arial"/>
          <w:sz w:val="22"/>
          <w:szCs w:val="22"/>
        </w:rPr>
        <w:tab/>
      </w:r>
      <w:r w:rsidR="00631310">
        <w:rPr>
          <w:rFonts w:ascii="Arial" w:hAnsi="Arial" w:cs="Arial"/>
          <w:sz w:val="22"/>
          <w:szCs w:val="22"/>
        </w:rPr>
        <w:t>I</w:t>
      </w:r>
      <w:r w:rsidR="00303FD0">
        <w:rPr>
          <w:rFonts w:ascii="Arial" w:hAnsi="Arial" w:cs="Arial"/>
          <w:sz w:val="22"/>
          <w:szCs w:val="22"/>
        </w:rPr>
        <w:t xml:space="preserve">t </w:t>
      </w:r>
      <w:r w:rsidRPr="002B3598">
        <w:rPr>
          <w:rFonts w:ascii="Arial" w:hAnsi="Arial" w:cs="Arial"/>
          <w:sz w:val="22"/>
          <w:szCs w:val="22"/>
        </w:rPr>
        <w:t>represents suitable therapy for the treatment of the following</w:t>
      </w:r>
      <w:r>
        <w:rPr>
          <w:rFonts w:ascii="Arial" w:hAnsi="Arial" w:cs="Arial"/>
          <w:sz w:val="22"/>
          <w:szCs w:val="22"/>
        </w:rPr>
        <w:t>:</w:t>
      </w:r>
    </w:p>
    <w:p w:rsidR="00B87149" w:rsidRPr="008262F7" w:rsidRDefault="00B87149" w:rsidP="00644F4E">
      <w:pPr>
        <w:ind w:left="720" w:firstLine="720"/>
        <w:rPr>
          <w:rFonts w:ascii="Arial" w:hAnsi="Arial" w:cs="Arial"/>
          <w:sz w:val="22"/>
          <w:szCs w:val="22"/>
        </w:rPr>
      </w:pPr>
      <w:r w:rsidRPr="008262F7">
        <w:rPr>
          <w:rFonts w:ascii="Arial" w:hAnsi="Arial" w:cs="Arial"/>
          <w:sz w:val="22"/>
          <w:szCs w:val="22"/>
        </w:rPr>
        <w:t>-  mild to moderately severe infections caused by sensitive bacteria;</w:t>
      </w:r>
    </w:p>
    <w:p w:rsidR="00B87149" w:rsidRDefault="00B87149" w:rsidP="00644F4E">
      <w:pPr>
        <w:pStyle w:val="ListParagraph"/>
        <w:ind w:firstLine="720"/>
        <w:rPr>
          <w:rFonts w:ascii="Arial" w:hAnsi="Arial" w:cs="Arial"/>
          <w:sz w:val="22"/>
          <w:szCs w:val="22"/>
        </w:rPr>
      </w:pPr>
      <w:r>
        <w:rPr>
          <w:rFonts w:ascii="Arial" w:hAnsi="Arial" w:cs="Arial"/>
          <w:sz w:val="22"/>
          <w:szCs w:val="22"/>
        </w:rPr>
        <w:t>-  tonsillitis and pharyngitis; and</w:t>
      </w:r>
    </w:p>
    <w:p w:rsidR="00B87149" w:rsidRPr="002B3598" w:rsidRDefault="00B87149" w:rsidP="00644F4E">
      <w:pPr>
        <w:pStyle w:val="ListParagraph"/>
        <w:ind w:firstLine="720"/>
        <w:rPr>
          <w:rFonts w:ascii="Arial" w:hAnsi="Arial" w:cs="Arial"/>
          <w:sz w:val="22"/>
          <w:szCs w:val="22"/>
        </w:rPr>
      </w:pPr>
      <w:r>
        <w:rPr>
          <w:rFonts w:ascii="Arial" w:hAnsi="Arial" w:cs="Arial"/>
          <w:sz w:val="22"/>
          <w:szCs w:val="22"/>
        </w:rPr>
        <w:t xml:space="preserve">-  </w:t>
      </w:r>
      <w:r w:rsidRPr="002B3598">
        <w:rPr>
          <w:rFonts w:ascii="Arial" w:hAnsi="Arial" w:cs="Arial"/>
          <w:sz w:val="22"/>
          <w:szCs w:val="22"/>
        </w:rPr>
        <w:t>acute bacterial otitis media.</w:t>
      </w:r>
    </w:p>
    <w:p w:rsidR="00B87149" w:rsidRPr="00C123D8" w:rsidRDefault="00227E88" w:rsidP="00644F4E">
      <w:pPr>
        <w:ind w:left="1440" w:hanging="720"/>
        <w:jc w:val="both"/>
        <w:rPr>
          <w:rFonts w:ascii="Arial" w:hAnsi="Arial" w:cs="Arial"/>
          <w:sz w:val="22"/>
          <w:szCs w:val="22"/>
        </w:rPr>
      </w:pPr>
      <w:r>
        <w:rPr>
          <w:rFonts w:ascii="Arial" w:hAnsi="Arial" w:cs="Arial"/>
          <w:sz w:val="22"/>
          <w:szCs w:val="22"/>
        </w:rPr>
        <w:t xml:space="preserve">b) </w:t>
      </w:r>
      <w:r w:rsidR="00644F4E">
        <w:rPr>
          <w:rFonts w:ascii="Arial" w:hAnsi="Arial" w:cs="Arial"/>
          <w:sz w:val="22"/>
          <w:szCs w:val="22"/>
        </w:rPr>
        <w:tab/>
      </w:r>
      <w:r w:rsidR="00631310">
        <w:rPr>
          <w:rFonts w:ascii="Arial" w:hAnsi="Arial" w:cs="Arial"/>
          <w:sz w:val="22"/>
          <w:szCs w:val="22"/>
        </w:rPr>
        <w:t>I</w:t>
      </w:r>
      <w:r w:rsidR="00B87149" w:rsidRPr="00C123D8">
        <w:rPr>
          <w:rFonts w:ascii="Arial" w:hAnsi="Arial" w:cs="Arial"/>
          <w:sz w:val="22"/>
          <w:szCs w:val="22"/>
        </w:rPr>
        <w:t xml:space="preserve">t is suitable for use by a particular subgroup </w:t>
      </w:r>
      <w:r w:rsidR="00B87149" w:rsidRPr="002B3598">
        <w:rPr>
          <w:rFonts w:ascii="Arial" w:hAnsi="Arial" w:cs="Arial"/>
          <w:sz w:val="22"/>
          <w:szCs w:val="22"/>
        </w:rPr>
        <w:t>being paediatric patients 3 months to 12 years of age.</w:t>
      </w:r>
    </w:p>
    <w:p w:rsidR="00B87149" w:rsidRDefault="00227E88" w:rsidP="00644F4E">
      <w:pPr>
        <w:ind w:left="1440" w:hanging="720"/>
        <w:jc w:val="both"/>
        <w:rPr>
          <w:rFonts w:ascii="Arial" w:hAnsi="Arial" w:cs="Arial"/>
          <w:sz w:val="22"/>
          <w:szCs w:val="22"/>
        </w:rPr>
      </w:pPr>
      <w:r>
        <w:rPr>
          <w:rFonts w:ascii="Arial" w:hAnsi="Arial" w:cs="Arial"/>
          <w:sz w:val="22"/>
          <w:szCs w:val="22"/>
        </w:rPr>
        <w:t xml:space="preserve">c) </w:t>
      </w:r>
      <w:r w:rsidR="00644F4E">
        <w:rPr>
          <w:rFonts w:ascii="Arial" w:hAnsi="Arial" w:cs="Arial"/>
          <w:sz w:val="22"/>
          <w:szCs w:val="22"/>
        </w:rPr>
        <w:tab/>
      </w:r>
      <w:r w:rsidR="00631310">
        <w:rPr>
          <w:rFonts w:ascii="Arial" w:hAnsi="Arial" w:cs="Arial"/>
          <w:sz w:val="22"/>
          <w:szCs w:val="22"/>
        </w:rPr>
        <w:t>Fo</w:t>
      </w:r>
      <w:r w:rsidR="00631310" w:rsidRPr="00631310">
        <w:rPr>
          <w:rFonts w:ascii="Arial" w:hAnsi="Arial" w:cs="Arial"/>
          <w:sz w:val="22"/>
          <w:szCs w:val="22"/>
        </w:rPr>
        <w:t>llowing the withdrawal of the 70 mL presentation from the PBS</w:t>
      </w:r>
      <w:r w:rsidR="00631310">
        <w:rPr>
          <w:rFonts w:ascii="Arial" w:hAnsi="Arial" w:cs="Arial"/>
          <w:sz w:val="22"/>
          <w:szCs w:val="22"/>
        </w:rPr>
        <w:t>,</w:t>
      </w:r>
      <w:r w:rsidR="00631310" w:rsidRPr="00631310">
        <w:rPr>
          <w:rFonts w:ascii="Arial" w:hAnsi="Arial" w:cs="Arial"/>
          <w:sz w:val="22"/>
          <w:szCs w:val="22"/>
        </w:rPr>
        <w:t xml:space="preserve"> </w:t>
      </w:r>
      <w:r w:rsidR="00B87149" w:rsidRPr="00C123D8">
        <w:rPr>
          <w:rFonts w:ascii="Arial" w:hAnsi="Arial" w:cs="Arial"/>
          <w:sz w:val="22"/>
          <w:szCs w:val="22"/>
        </w:rPr>
        <w:t>no other pharmaceutical item that has this drug is suitable</w:t>
      </w:r>
      <w:r w:rsidR="00B87149">
        <w:rPr>
          <w:rFonts w:ascii="Arial" w:hAnsi="Arial" w:cs="Arial"/>
          <w:sz w:val="22"/>
          <w:szCs w:val="22"/>
        </w:rPr>
        <w:t xml:space="preserve"> for use by </w:t>
      </w:r>
      <w:r w:rsidR="00631310">
        <w:rPr>
          <w:rFonts w:ascii="Arial" w:hAnsi="Arial" w:cs="Arial"/>
          <w:sz w:val="22"/>
          <w:szCs w:val="22"/>
        </w:rPr>
        <w:t xml:space="preserve">paediatric subgroup </w:t>
      </w:r>
      <w:r w:rsidR="00B87149">
        <w:rPr>
          <w:rFonts w:ascii="Arial" w:hAnsi="Arial" w:cs="Arial"/>
          <w:sz w:val="22"/>
          <w:szCs w:val="22"/>
        </w:rPr>
        <w:t>because of either or both of the form and manner of administration of this drug</w:t>
      </w:r>
      <w:r w:rsidR="00631310">
        <w:rPr>
          <w:rFonts w:ascii="Arial" w:hAnsi="Arial" w:cs="Arial"/>
          <w:sz w:val="22"/>
          <w:szCs w:val="22"/>
        </w:rPr>
        <w:t xml:space="preserve"> within the other forms</w:t>
      </w:r>
      <w:r w:rsidR="00B87149" w:rsidRPr="00C123D8">
        <w:rPr>
          <w:rFonts w:ascii="Arial" w:hAnsi="Arial" w:cs="Arial"/>
          <w:sz w:val="22"/>
          <w:szCs w:val="22"/>
        </w:rPr>
        <w:t>.</w:t>
      </w:r>
    </w:p>
    <w:p w:rsidR="00676395" w:rsidRPr="00676395" w:rsidRDefault="00676395" w:rsidP="00676395">
      <w:pPr>
        <w:jc w:val="both"/>
        <w:rPr>
          <w:rFonts w:ascii="Arial" w:hAnsi="Arial"/>
          <w:sz w:val="22"/>
          <w:szCs w:val="22"/>
        </w:rPr>
      </w:pPr>
    </w:p>
    <w:p w:rsidR="00EE2071" w:rsidRPr="00A51DD6" w:rsidRDefault="00EE2071" w:rsidP="00EE2071">
      <w:pPr>
        <w:jc w:val="both"/>
        <w:rPr>
          <w:rFonts w:ascii="Arial" w:hAnsi="Arial" w:cs="Arial"/>
          <w:b/>
          <w:bCs/>
          <w:snapToGrid w:val="0"/>
          <w:sz w:val="22"/>
          <w:szCs w:val="22"/>
          <w:lang w:val="en-GB" w:eastAsia="en-US"/>
        </w:rPr>
      </w:pPr>
      <w:r w:rsidRPr="00A51DD6">
        <w:rPr>
          <w:rFonts w:ascii="Arial" w:hAnsi="Arial" w:cs="Arial"/>
          <w:b/>
          <w:bCs/>
          <w:snapToGrid w:val="0"/>
          <w:sz w:val="22"/>
          <w:szCs w:val="22"/>
          <w:lang w:val="en-GB" w:eastAsia="en-US"/>
        </w:rPr>
        <w:t>Outcome:</w:t>
      </w:r>
    </w:p>
    <w:p w:rsidR="00EE2071" w:rsidRPr="00A51DD6" w:rsidRDefault="00EE2071" w:rsidP="00EE2071">
      <w:pPr>
        <w:jc w:val="both"/>
        <w:rPr>
          <w:rFonts w:ascii="Arial" w:hAnsi="Arial" w:cs="Arial"/>
          <w:bCs/>
          <w:snapToGrid w:val="0"/>
          <w:sz w:val="22"/>
          <w:szCs w:val="22"/>
          <w:lang w:val="en-GB" w:eastAsia="en-US"/>
        </w:rPr>
      </w:pPr>
      <w:r w:rsidRPr="00A51DD6">
        <w:rPr>
          <w:rFonts w:ascii="Arial" w:hAnsi="Arial" w:cs="Arial"/>
          <w:bCs/>
          <w:snapToGrid w:val="0"/>
          <w:sz w:val="22"/>
          <w:szCs w:val="22"/>
          <w:lang w:val="en-GB" w:eastAsia="en-US"/>
        </w:rPr>
        <w:t>Recommended</w:t>
      </w:r>
    </w:p>
    <w:p w:rsidR="00644F4E" w:rsidRDefault="00644F4E" w:rsidP="00EE2071">
      <w:pPr>
        <w:widowControl w:val="0"/>
        <w:jc w:val="both"/>
        <w:rPr>
          <w:rFonts w:ascii="Arial" w:hAnsi="Arial" w:cs="Arial"/>
          <w:bCs/>
          <w:snapToGrid w:val="0"/>
          <w:sz w:val="22"/>
          <w:szCs w:val="22"/>
          <w:highlight w:val="yellow"/>
          <w:lang w:eastAsia="en-US"/>
        </w:rPr>
      </w:pPr>
    </w:p>
    <w:p w:rsidR="00EE2071" w:rsidRPr="00644F4E" w:rsidRDefault="00EE2071" w:rsidP="004D6029">
      <w:pPr>
        <w:pStyle w:val="PBACHeading1"/>
        <w:rPr>
          <w:i/>
          <w:snapToGrid w:val="0"/>
          <w:lang w:val="en-GB" w:eastAsia="en-US"/>
        </w:rPr>
      </w:pPr>
      <w:r w:rsidRPr="00644F4E">
        <w:rPr>
          <w:snapToGrid w:val="0"/>
          <w:lang w:val="en-GB" w:eastAsia="en-US"/>
        </w:rPr>
        <w:t>Recommended listing</w:t>
      </w:r>
    </w:p>
    <w:p w:rsidR="00EE2071" w:rsidRPr="00644F4E" w:rsidRDefault="00EE2071" w:rsidP="00EE2071">
      <w:pPr>
        <w:jc w:val="both"/>
        <w:rPr>
          <w:rFonts w:ascii="Arial" w:hAnsi="Arial" w:cs="Arial"/>
          <w:b/>
          <w:bCs/>
          <w:i/>
          <w:snapToGrid w:val="0"/>
          <w:sz w:val="22"/>
          <w:szCs w:val="22"/>
          <w:lang w:val="en-GB" w:eastAsia="en-US"/>
        </w:rPr>
      </w:pPr>
    </w:p>
    <w:p w:rsidR="00EE2071" w:rsidRPr="00644F4E" w:rsidRDefault="00EE2071" w:rsidP="00644F4E">
      <w:pPr>
        <w:pStyle w:val="ListParagraph"/>
        <w:numPr>
          <w:ilvl w:val="1"/>
          <w:numId w:val="6"/>
        </w:numPr>
        <w:jc w:val="both"/>
        <w:rPr>
          <w:rFonts w:ascii="Arial" w:hAnsi="Arial" w:cs="Arial"/>
          <w:b/>
          <w:bCs/>
          <w:snapToGrid w:val="0"/>
          <w:sz w:val="22"/>
          <w:szCs w:val="22"/>
          <w:lang w:eastAsia="en-US"/>
        </w:rPr>
      </w:pPr>
      <w:r w:rsidRPr="00644F4E">
        <w:rPr>
          <w:rFonts w:ascii="Arial" w:hAnsi="Arial" w:cs="Arial"/>
          <w:bCs/>
          <w:snapToGrid w:val="0"/>
          <w:sz w:val="22"/>
          <w:szCs w:val="22"/>
          <w:lang w:eastAsia="en-US"/>
        </w:rPr>
        <w:t>Add new item</w:t>
      </w:r>
      <w:r w:rsidR="005D2C2A">
        <w:rPr>
          <w:rFonts w:ascii="Arial" w:hAnsi="Arial" w:cs="Arial"/>
          <w:bCs/>
          <w:snapToGrid w:val="0"/>
          <w:sz w:val="22"/>
          <w:szCs w:val="22"/>
          <w:lang w:eastAsia="en-US"/>
        </w:rPr>
        <w:t>s</w:t>
      </w:r>
      <w:r w:rsidRPr="00644F4E">
        <w:rPr>
          <w:rFonts w:ascii="Arial" w:hAnsi="Arial" w:cs="Arial"/>
          <w:bCs/>
          <w:snapToGrid w:val="0"/>
          <w:sz w:val="22"/>
          <w:szCs w:val="22"/>
          <w:lang w:eastAsia="en-US"/>
        </w:rPr>
        <w:t>:</w:t>
      </w:r>
    </w:p>
    <w:p w:rsidR="00EE2071" w:rsidRDefault="00EE2071" w:rsidP="00EE2071">
      <w:pPr>
        <w:jc w:val="both"/>
        <w:rPr>
          <w:rFonts w:ascii="Arial" w:hAnsi="Arial" w:cs="Arial"/>
          <w:b/>
          <w:sz w:val="22"/>
          <w:szCs w:val="22"/>
        </w:rPr>
      </w:pPr>
    </w:p>
    <w:tbl>
      <w:tblPr>
        <w:tblW w:w="8505" w:type="dxa"/>
        <w:tblInd w:w="817" w:type="dxa"/>
        <w:tblLayout w:type="fixed"/>
        <w:tblLook w:val="04A0" w:firstRow="1" w:lastRow="0" w:firstColumn="1" w:lastColumn="0" w:noHBand="0" w:noVBand="1"/>
      </w:tblPr>
      <w:tblGrid>
        <w:gridCol w:w="2126"/>
        <w:gridCol w:w="1843"/>
        <w:gridCol w:w="992"/>
        <w:gridCol w:w="709"/>
        <w:gridCol w:w="1559"/>
        <w:gridCol w:w="1276"/>
      </w:tblGrid>
      <w:tr w:rsidR="005D2C2A" w:rsidRPr="007E7EE9" w:rsidTr="005D2C2A">
        <w:trPr>
          <w:cantSplit/>
          <w:trHeight w:val="471"/>
        </w:trPr>
        <w:tc>
          <w:tcPr>
            <w:tcW w:w="3969" w:type="dxa"/>
            <w:gridSpan w:val="2"/>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lastRenderedPageBreak/>
              <w:t>Name, Restriction,</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Manner of administration and form</w:t>
            </w:r>
          </w:p>
        </w:tc>
        <w:tc>
          <w:tcPr>
            <w:tcW w:w="992" w:type="dxa"/>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Max.</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Qty</w:t>
            </w:r>
            <w:r>
              <w:rPr>
                <w:rFonts w:ascii="Arial Narrow" w:hAnsi="Arial Narrow"/>
                <w:sz w:val="20"/>
              </w:rPr>
              <w:t xml:space="preserve"> packs</w:t>
            </w:r>
          </w:p>
        </w:tc>
        <w:tc>
          <w:tcPr>
            <w:tcW w:w="709" w:type="dxa"/>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№.of</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Rpts</w:t>
            </w:r>
          </w:p>
        </w:tc>
        <w:tc>
          <w:tcPr>
            <w:tcW w:w="2835" w:type="dxa"/>
            <w:gridSpan w:val="2"/>
            <w:tcBorders>
              <w:top w:val="nil"/>
              <w:left w:val="nil"/>
              <w:bottom w:val="single" w:sz="4" w:space="0" w:color="auto"/>
              <w:right w:val="nil"/>
            </w:tcBorders>
            <w:hideMark/>
          </w:tcPr>
          <w:p w:rsidR="005D2C2A" w:rsidRPr="007E7EE9" w:rsidRDefault="005D2C2A" w:rsidP="00AA5360">
            <w:pPr>
              <w:keepNext/>
              <w:snapToGrid w:val="0"/>
              <w:rPr>
                <w:rFonts w:ascii="Arial Narrow" w:hAnsi="Arial Narrow"/>
                <w:sz w:val="20"/>
                <w:lang w:val="fr-FR"/>
              </w:rPr>
            </w:pPr>
            <w:r w:rsidRPr="007E7EE9">
              <w:rPr>
                <w:rFonts w:ascii="Arial Narrow" w:hAnsi="Arial Narrow"/>
                <w:sz w:val="20"/>
              </w:rPr>
              <w:t>Proprietary Name and Manufacturer</w:t>
            </w:r>
          </w:p>
        </w:tc>
      </w:tr>
      <w:tr w:rsidR="005D2C2A" w:rsidRPr="007E7EE9" w:rsidTr="005D2C2A">
        <w:trPr>
          <w:cantSplit/>
          <w:trHeight w:val="577"/>
        </w:trPr>
        <w:tc>
          <w:tcPr>
            <w:tcW w:w="3969" w:type="dxa"/>
            <w:gridSpan w:val="2"/>
          </w:tcPr>
          <w:p w:rsidR="005D2C2A" w:rsidRPr="007E7EE9" w:rsidRDefault="005D2C2A" w:rsidP="00AA5360">
            <w:pPr>
              <w:keepNext/>
              <w:snapToGrid w:val="0"/>
              <w:ind w:left="-108"/>
              <w:rPr>
                <w:rFonts w:ascii="Arial Narrow" w:hAnsi="Arial Narrow"/>
                <w:smallCaps/>
                <w:sz w:val="20"/>
              </w:rPr>
            </w:pPr>
            <w:r>
              <w:rPr>
                <w:rFonts w:ascii="Arial Narrow" w:hAnsi="Arial Narrow"/>
                <w:smallCaps/>
                <w:sz w:val="20"/>
              </w:rPr>
              <w:t>CEFUROXIME</w:t>
            </w:r>
          </w:p>
          <w:p w:rsidR="005D2C2A" w:rsidRPr="007E7EE9" w:rsidRDefault="005D2C2A" w:rsidP="00AA5360">
            <w:pPr>
              <w:keepNext/>
              <w:snapToGrid w:val="0"/>
              <w:ind w:left="-108"/>
              <w:rPr>
                <w:rFonts w:ascii="Arial Narrow" w:hAnsi="Arial Narrow"/>
                <w:sz w:val="20"/>
              </w:rPr>
            </w:pPr>
            <w:r>
              <w:rPr>
                <w:rFonts w:ascii="Arial Narrow" w:hAnsi="Arial Narrow"/>
                <w:smallCaps/>
                <w:sz w:val="20"/>
              </w:rPr>
              <w:t>cefuroxime axetil powder for oral suspension 125 mg (base) per 5 ml, 100 ml</w:t>
            </w:r>
          </w:p>
        </w:tc>
        <w:tc>
          <w:tcPr>
            <w:tcW w:w="992" w:type="dxa"/>
          </w:tcPr>
          <w:p w:rsidR="005D2C2A" w:rsidRPr="007E7EE9" w:rsidRDefault="005D2C2A" w:rsidP="00AA5360">
            <w:pPr>
              <w:keepNext/>
              <w:snapToGrid w:val="0"/>
              <w:ind w:left="-108"/>
              <w:rPr>
                <w:rFonts w:ascii="Arial Narrow" w:hAnsi="Arial Narrow"/>
                <w:sz w:val="20"/>
              </w:rPr>
            </w:pP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1</w:t>
            </w:r>
          </w:p>
        </w:tc>
        <w:tc>
          <w:tcPr>
            <w:tcW w:w="709" w:type="dxa"/>
          </w:tcPr>
          <w:p w:rsidR="005D2C2A" w:rsidRPr="007E7EE9" w:rsidRDefault="005D2C2A" w:rsidP="00AA5360">
            <w:pPr>
              <w:keepNext/>
              <w:snapToGrid w:val="0"/>
              <w:ind w:left="-108"/>
              <w:rPr>
                <w:rFonts w:ascii="Arial Narrow" w:hAnsi="Arial Narrow"/>
                <w:sz w:val="20"/>
              </w:rPr>
            </w:pPr>
          </w:p>
          <w:p w:rsidR="005D2C2A" w:rsidRPr="007E7EE9" w:rsidRDefault="005D2C2A" w:rsidP="00AA5360">
            <w:pPr>
              <w:keepNext/>
              <w:snapToGrid w:val="0"/>
              <w:ind w:left="-108"/>
              <w:rPr>
                <w:rFonts w:ascii="Arial Narrow" w:hAnsi="Arial Narrow"/>
                <w:sz w:val="20"/>
              </w:rPr>
            </w:pPr>
            <w:r>
              <w:rPr>
                <w:rFonts w:ascii="Arial Narrow" w:hAnsi="Arial Narrow"/>
                <w:sz w:val="20"/>
              </w:rPr>
              <w:t>1</w:t>
            </w:r>
          </w:p>
        </w:tc>
        <w:tc>
          <w:tcPr>
            <w:tcW w:w="1559" w:type="dxa"/>
            <w:hideMark/>
          </w:tcPr>
          <w:p w:rsidR="005D2C2A" w:rsidRPr="007E7EE9" w:rsidRDefault="005D2C2A" w:rsidP="00AA5360">
            <w:pPr>
              <w:keepNext/>
              <w:snapToGrid w:val="0"/>
              <w:rPr>
                <w:rFonts w:ascii="Arial Narrow" w:hAnsi="Arial Narrow"/>
                <w:sz w:val="20"/>
              </w:rPr>
            </w:pPr>
            <w:r>
              <w:rPr>
                <w:rFonts w:ascii="Arial Narrow" w:hAnsi="Arial Narrow"/>
                <w:sz w:val="20"/>
              </w:rPr>
              <w:t>Zinnat</w:t>
            </w:r>
          </w:p>
        </w:tc>
        <w:tc>
          <w:tcPr>
            <w:tcW w:w="1276" w:type="dxa"/>
            <w:hideMark/>
          </w:tcPr>
          <w:p w:rsidR="005D2C2A" w:rsidRPr="007E7EE9" w:rsidRDefault="005D2C2A" w:rsidP="00AA5360">
            <w:pPr>
              <w:keepNext/>
              <w:snapToGrid w:val="0"/>
              <w:rPr>
                <w:rFonts w:ascii="Arial Narrow" w:hAnsi="Arial Narrow"/>
                <w:sz w:val="20"/>
              </w:rPr>
            </w:pPr>
            <w:r>
              <w:rPr>
                <w:rFonts w:ascii="Arial Narrow" w:hAnsi="Arial Narrow"/>
                <w:sz w:val="20"/>
              </w:rPr>
              <w:t>Aspen (AS)</w:t>
            </w:r>
          </w:p>
        </w:tc>
      </w:tr>
      <w:tr w:rsidR="00644F4E" w:rsidRPr="007E7EE9" w:rsidTr="005D2C2A">
        <w:trPr>
          <w:cantSplit/>
          <w:trHeight w:val="360"/>
        </w:trPr>
        <w:tc>
          <w:tcPr>
            <w:tcW w:w="8505" w:type="dxa"/>
            <w:gridSpan w:val="6"/>
            <w:tcBorders>
              <w:top w:val="nil"/>
              <w:left w:val="nil"/>
              <w:bottom w:val="single" w:sz="4" w:space="0" w:color="auto"/>
              <w:right w:val="nil"/>
            </w:tcBorders>
          </w:tcPr>
          <w:p w:rsidR="00644F4E" w:rsidRPr="007E7EE9" w:rsidRDefault="00644F4E" w:rsidP="00AA5360">
            <w:pPr>
              <w:snapToGrid w:val="0"/>
              <w:rPr>
                <w:rFonts w:ascii="Arial Narrow" w:hAnsi="Arial Narrow"/>
                <w:sz w:val="20"/>
              </w:rPr>
            </w:pPr>
          </w:p>
        </w:tc>
      </w:tr>
      <w:tr w:rsidR="00644F4E" w:rsidRPr="007E7EE9" w:rsidTr="005D2C2A">
        <w:trPr>
          <w:cantSplit/>
          <w:trHeight w:val="360"/>
        </w:trPr>
        <w:tc>
          <w:tcPr>
            <w:tcW w:w="2126" w:type="dxa"/>
            <w:tcBorders>
              <w:top w:val="single" w:sz="4" w:space="0" w:color="auto"/>
              <w:left w:val="single" w:sz="4" w:space="0" w:color="auto"/>
              <w:bottom w:val="single" w:sz="4" w:space="0" w:color="auto"/>
              <w:right w:val="single" w:sz="4" w:space="0" w:color="auto"/>
            </w:tcBorders>
            <w:hideMark/>
          </w:tcPr>
          <w:p w:rsidR="00644F4E" w:rsidRPr="007E7EE9" w:rsidRDefault="00644F4E" w:rsidP="00AA5360">
            <w:pPr>
              <w:snapToGrid w:val="0"/>
              <w:rPr>
                <w:rFonts w:ascii="Arial Narrow" w:hAnsi="Arial Narrow"/>
                <w:b/>
                <w:sz w:val="20"/>
              </w:rPr>
            </w:pPr>
            <w:r w:rsidRPr="007E7EE9">
              <w:rPr>
                <w:rFonts w:ascii="Arial Narrow" w:hAnsi="Arial Narrow"/>
                <w:b/>
                <w:sz w:val="20"/>
              </w:rPr>
              <w:t xml:space="preserve">Category / </w:t>
            </w:r>
          </w:p>
          <w:p w:rsidR="00644F4E" w:rsidRPr="007E7EE9" w:rsidRDefault="00644F4E" w:rsidP="00AA5360">
            <w:pPr>
              <w:snapToGrid w:val="0"/>
              <w:rPr>
                <w:rFonts w:ascii="Arial Narrow" w:hAnsi="Arial Narrow"/>
                <w:b/>
                <w:sz w:val="20"/>
              </w:rPr>
            </w:pPr>
            <w:r w:rsidRPr="007E7EE9">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hideMark/>
          </w:tcPr>
          <w:p w:rsidR="00644F4E" w:rsidRPr="007E7EE9" w:rsidRDefault="00644F4E" w:rsidP="00AA5360">
            <w:pPr>
              <w:snapToGrid w:val="0"/>
              <w:rPr>
                <w:rFonts w:ascii="Arial Narrow" w:hAnsi="Arial Narrow"/>
                <w:sz w:val="20"/>
              </w:rPr>
            </w:pPr>
            <w:r w:rsidRPr="007E7EE9">
              <w:rPr>
                <w:rFonts w:ascii="Arial Narrow" w:hAnsi="Arial Narrow"/>
                <w:sz w:val="20"/>
              </w:rPr>
              <w:t>GENERAL – General Schedule (Code GE)</w:t>
            </w:r>
          </w:p>
          <w:p w:rsidR="00644F4E" w:rsidRPr="007E7EE9" w:rsidRDefault="00644F4E" w:rsidP="00AA5360">
            <w:pPr>
              <w:snapToGrid w:val="0"/>
              <w:rPr>
                <w:rFonts w:ascii="Arial Narrow" w:hAnsi="Arial Narrow"/>
                <w:sz w:val="20"/>
              </w:rPr>
            </w:pPr>
            <w:r w:rsidRPr="007E7EE9">
              <w:rPr>
                <w:rFonts w:ascii="Arial Narrow" w:hAnsi="Arial Narrow"/>
                <w:sz w:val="20"/>
              </w:rPr>
              <w:t>.</w:t>
            </w:r>
          </w:p>
        </w:tc>
      </w:tr>
      <w:tr w:rsidR="00644F4E" w:rsidRPr="007E7EE9" w:rsidTr="005D2C2A">
        <w:trPr>
          <w:cantSplit/>
          <w:trHeight w:val="360"/>
        </w:trPr>
        <w:tc>
          <w:tcPr>
            <w:tcW w:w="2126" w:type="dxa"/>
            <w:tcBorders>
              <w:top w:val="single" w:sz="4" w:space="0" w:color="auto"/>
              <w:left w:val="single" w:sz="4" w:space="0" w:color="auto"/>
              <w:bottom w:val="single" w:sz="4" w:space="0" w:color="auto"/>
              <w:right w:val="single" w:sz="4" w:space="0" w:color="auto"/>
            </w:tcBorders>
          </w:tcPr>
          <w:p w:rsidR="00644F4E" w:rsidRPr="007E7EE9" w:rsidRDefault="00644F4E" w:rsidP="005D2C2A">
            <w:pPr>
              <w:snapToGrid w:val="0"/>
              <w:rPr>
                <w:rFonts w:ascii="Arial Narrow" w:hAnsi="Arial Narrow"/>
                <w:b/>
                <w:sz w:val="20"/>
              </w:rPr>
            </w:pPr>
            <w:r w:rsidRPr="007E7EE9">
              <w:rPr>
                <w:rFonts w:ascii="Arial Narrow" w:hAnsi="Arial Narrow"/>
                <w:b/>
                <w:sz w:val="20"/>
              </w:rPr>
              <w:t>Prescriber type:</w:t>
            </w:r>
          </w:p>
        </w:tc>
        <w:tc>
          <w:tcPr>
            <w:tcW w:w="6379" w:type="dxa"/>
            <w:gridSpan w:val="5"/>
            <w:tcBorders>
              <w:top w:val="single" w:sz="4" w:space="0" w:color="auto"/>
              <w:left w:val="single" w:sz="4" w:space="0" w:color="auto"/>
              <w:bottom w:val="single" w:sz="4" w:space="0" w:color="auto"/>
              <w:right w:val="single" w:sz="4" w:space="0" w:color="auto"/>
            </w:tcBorders>
            <w:hideMark/>
          </w:tcPr>
          <w:p w:rsidR="00644F4E" w:rsidRPr="007E7EE9" w:rsidRDefault="00644F4E" w:rsidP="005D2C2A">
            <w:pPr>
              <w:snapToGrid w:val="0"/>
              <w:rPr>
                <w:rFonts w:ascii="Arial Narrow" w:hAnsi="Arial Narrow"/>
                <w:sz w:val="20"/>
              </w:rPr>
            </w:pPr>
            <w:r w:rsidRPr="007E7EE9">
              <w:rPr>
                <w:rFonts w:ascii="Arial Narrow" w:hAnsi="Arial Narrow"/>
                <w:sz w:val="20"/>
              </w:rPr>
              <w:fldChar w:fldCharType="begin">
                <w:ffData>
                  <w:name w:val=""/>
                  <w:enabled/>
                  <w:calcOnExit w:val="0"/>
                  <w:checkBox>
                    <w:sizeAuto/>
                    <w:default w:val="1"/>
                  </w:checkBox>
                </w:ffData>
              </w:fldChar>
            </w:r>
            <w:r w:rsidRPr="007E7EE9">
              <w:rPr>
                <w:rFonts w:ascii="Arial Narrow" w:hAnsi="Arial Narrow"/>
                <w:sz w:val="20"/>
              </w:rPr>
              <w:instrText xml:space="preserve"> FORMCHECKBOX </w:instrText>
            </w:r>
            <w:r w:rsidR="00693F20">
              <w:rPr>
                <w:rFonts w:ascii="Arial Narrow" w:hAnsi="Arial Narrow"/>
                <w:sz w:val="20"/>
              </w:rPr>
            </w:r>
            <w:r w:rsidR="00693F20">
              <w:rPr>
                <w:rFonts w:ascii="Arial Narrow" w:hAnsi="Arial Narrow"/>
                <w:sz w:val="20"/>
              </w:rPr>
              <w:fldChar w:fldCharType="separate"/>
            </w:r>
            <w:r w:rsidRPr="007E7EE9">
              <w:rPr>
                <w:rFonts w:ascii="Arial Narrow" w:hAnsi="Arial Narrow"/>
                <w:sz w:val="20"/>
              </w:rPr>
              <w:fldChar w:fldCharType="end"/>
            </w:r>
            <w:r w:rsidR="005D2C2A">
              <w:rPr>
                <w:rFonts w:ascii="Arial Narrow" w:hAnsi="Arial Narrow"/>
                <w:sz w:val="20"/>
              </w:rPr>
              <w:t>Medical Practitioners</w:t>
            </w:r>
          </w:p>
        </w:tc>
      </w:tr>
    </w:tbl>
    <w:p w:rsidR="005D2C2A" w:rsidRDefault="005D2C2A" w:rsidP="00EE2071">
      <w:pPr>
        <w:jc w:val="both"/>
        <w:rPr>
          <w:rFonts w:ascii="Arial" w:hAnsi="Arial" w:cs="Arial"/>
          <w:b/>
          <w:sz w:val="22"/>
          <w:szCs w:val="22"/>
        </w:rPr>
      </w:pPr>
    </w:p>
    <w:tbl>
      <w:tblPr>
        <w:tblW w:w="8505" w:type="dxa"/>
        <w:tblInd w:w="817" w:type="dxa"/>
        <w:tblLayout w:type="fixed"/>
        <w:tblLook w:val="04A0" w:firstRow="1" w:lastRow="0" w:firstColumn="1" w:lastColumn="0" w:noHBand="0" w:noVBand="1"/>
      </w:tblPr>
      <w:tblGrid>
        <w:gridCol w:w="2126"/>
        <w:gridCol w:w="1843"/>
        <w:gridCol w:w="992"/>
        <w:gridCol w:w="709"/>
        <w:gridCol w:w="1559"/>
        <w:gridCol w:w="1276"/>
      </w:tblGrid>
      <w:tr w:rsidR="005D2C2A" w:rsidRPr="007E7EE9" w:rsidTr="005D2C2A">
        <w:trPr>
          <w:cantSplit/>
          <w:trHeight w:val="471"/>
        </w:trPr>
        <w:tc>
          <w:tcPr>
            <w:tcW w:w="3969" w:type="dxa"/>
            <w:gridSpan w:val="2"/>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Name, Restriction,</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Manner of administration and form</w:t>
            </w:r>
          </w:p>
        </w:tc>
        <w:tc>
          <w:tcPr>
            <w:tcW w:w="992" w:type="dxa"/>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Max.</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Qty</w:t>
            </w:r>
            <w:r>
              <w:rPr>
                <w:rFonts w:ascii="Arial Narrow" w:hAnsi="Arial Narrow"/>
                <w:sz w:val="20"/>
              </w:rPr>
              <w:t xml:space="preserve"> packs</w:t>
            </w:r>
          </w:p>
        </w:tc>
        <w:tc>
          <w:tcPr>
            <w:tcW w:w="709" w:type="dxa"/>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№.of</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Rpts</w:t>
            </w:r>
          </w:p>
        </w:tc>
        <w:tc>
          <w:tcPr>
            <w:tcW w:w="2835" w:type="dxa"/>
            <w:gridSpan w:val="2"/>
            <w:tcBorders>
              <w:top w:val="nil"/>
              <w:left w:val="nil"/>
              <w:bottom w:val="single" w:sz="4" w:space="0" w:color="auto"/>
              <w:right w:val="nil"/>
            </w:tcBorders>
            <w:hideMark/>
          </w:tcPr>
          <w:p w:rsidR="005D2C2A" w:rsidRPr="007E7EE9" w:rsidRDefault="005D2C2A" w:rsidP="00AA5360">
            <w:pPr>
              <w:keepNext/>
              <w:snapToGrid w:val="0"/>
              <w:rPr>
                <w:rFonts w:ascii="Arial Narrow" w:hAnsi="Arial Narrow"/>
                <w:sz w:val="20"/>
                <w:lang w:val="fr-FR"/>
              </w:rPr>
            </w:pPr>
            <w:r w:rsidRPr="007E7EE9">
              <w:rPr>
                <w:rFonts w:ascii="Arial Narrow" w:hAnsi="Arial Narrow"/>
                <w:sz w:val="20"/>
              </w:rPr>
              <w:t>Proprietary Name and Manufacturer</w:t>
            </w:r>
          </w:p>
        </w:tc>
      </w:tr>
      <w:tr w:rsidR="005D2C2A" w:rsidRPr="007E7EE9" w:rsidTr="005D2C2A">
        <w:trPr>
          <w:cantSplit/>
          <w:trHeight w:val="577"/>
        </w:trPr>
        <w:tc>
          <w:tcPr>
            <w:tcW w:w="3969" w:type="dxa"/>
            <w:gridSpan w:val="2"/>
          </w:tcPr>
          <w:p w:rsidR="005D2C2A" w:rsidRPr="007E7EE9" w:rsidRDefault="005D2C2A" w:rsidP="00AA5360">
            <w:pPr>
              <w:keepNext/>
              <w:snapToGrid w:val="0"/>
              <w:ind w:left="-108"/>
              <w:rPr>
                <w:rFonts w:ascii="Arial Narrow" w:hAnsi="Arial Narrow"/>
                <w:smallCaps/>
                <w:sz w:val="20"/>
              </w:rPr>
            </w:pPr>
            <w:r>
              <w:rPr>
                <w:rFonts w:ascii="Arial Narrow" w:hAnsi="Arial Narrow"/>
                <w:smallCaps/>
                <w:sz w:val="20"/>
              </w:rPr>
              <w:t>CEFUROXIME</w:t>
            </w:r>
          </w:p>
          <w:p w:rsidR="005D2C2A" w:rsidRPr="007E7EE9" w:rsidRDefault="005D2C2A" w:rsidP="00AA5360">
            <w:pPr>
              <w:keepNext/>
              <w:snapToGrid w:val="0"/>
              <w:ind w:left="-108"/>
              <w:rPr>
                <w:rFonts w:ascii="Arial Narrow" w:hAnsi="Arial Narrow"/>
                <w:sz w:val="20"/>
              </w:rPr>
            </w:pPr>
            <w:r>
              <w:rPr>
                <w:rFonts w:ascii="Arial Narrow" w:hAnsi="Arial Narrow"/>
                <w:smallCaps/>
                <w:sz w:val="20"/>
              </w:rPr>
              <w:t>cefuroxime axetil powder for oral suspension 125 mg (base) per 5 ml, 100 ml</w:t>
            </w:r>
          </w:p>
        </w:tc>
        <w:tc>
          <w:tcPr>
            <w:tcW w:w="992" w:type="dxa"/>
          </w:tcPr>
          <w:p w:rsidR="005D2C2A" w:rsidRPr="007E7EE9" w:rsidRDefault="005D2C2A" w:rsidP="00AA5360">
            <w:pPr>
              <w:keepNext/>
              <w:snapToGrid w:val="0"/>
              <w:ind w:left="-108"/>
              <w:rPr>
                <w:rFonts w:ascii="Arial Narrow" w:hAnsi="Arial Narrow"/>
                <w:sz w:val="20"/>
              </w:rPr>
            </w:pP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1</w:t>
            </w:r>
          </w:p>
        </w:tc>
        <w:tc>
          <w:tcPr>
            <w:tcW w:w="709" w:type="dxa"/>
          </w:tcPr>
          <w:p w:rsidR="005D2C2A" w:rsidRPr="007E7EE9" w:rsidRDefault="005D2C2A" w:rsidP="00AA5360">
            <w:pPr>
              <w:keepNext/>
              <w:snapToGrid w:val="0"/>
              <w:ind w:left="-108"/>
              <w:rPr>
                <w:rFonts w:ascii="Arial Narrow" w:hAnsi="Arial Narrow"/>
                <w:sz w:val="20"/>
              </w:rPr>
            </w:pPr>
          </w:p>
          <w:p w:rsidR="005D2C2A" w:rsidRPr="007E7EE9" w:rsidRDefault="005D2C2A" w:rsidP="00AA5360">
            <w:pPr>
              <w:keepNext/>
              <w:snapToGrid w:val="0"/>
              <w:ind w:left="-108"/>
              <w:rPr>
                <w:rFonts w:ascii="Arial Narrow" w:hAnsi="Arial Narrow"/>
                <w:sz w:val="20"/>
              </w:rPr>
            </w:pPr>
            <w:r>
              <w:rPr>
                <w:rFonts w:ascii="Arial Narrow" w:hAnsi="Arial Narrow"/>
                <w:sz w:val="20"/>
              </w:rPr>
              <w:t>0</w:t>
            </w:r>
          </w:p>
        </w:tc>
        <w:tc>
          <w:tcPr>
            <w:tcW w:w="1559" w:type="dxa"/>
            <w:hideMark/>
          </w:tcPr>
          <w:p w:rsidR="005D2C2A" w:rsidRPr="007E7EE9" w:rsidRDefault="005D2C2A" w:rsidP="00AA5360">
            <w:pPr>
              <w:keepNext/>
              <w:snapToGrid w:val="0"/>
              <w:rPr>
                <w:rFonts w:ascii="Arial Narrow" w:hAnsi="Arial Narrow"/>
                <w:sz w:val="20"/>
              </w:rPr>
            </w:pPr>
            <w:r>
              <w:rPr>
                <w:rFonts w:ascii="Arial Narrow" w:hAnsi="Arial Narrow"/>
                <w:sz w:val="20"/>
              </w:rPr>
              <w:t>Zinnat</w:t>
            </w:r>
          </w:p>
        </w:tc>
        <w:tc>
          <w:tcPr>
            <w:tcW w:w="1276" w:type="dxa"/>
            <w:hideMark/>
          </w:tcPr>
          <w:p w:rsidR="005D2C2A" w:rsidRPr="007E7EE9" w:rsidRDefault="005D2C2A" w:rsidP="00AA5360">
            <w:pPr>
              <w:keepNext/>
              <w:snapToGrid w:val="0"/>
              <w:rPr>
                <w:rFonts w:ascii="Arial Narrow" w:hAnsi="Arial Narrow"/>
                <w:sz w:val="20"/>
              </w:rPr>
            </w:pPr>
            <w:r>
              <w:rPr>
                <w:rFonts w:ascii="Arial Narrow" w:hAnsi="Arial Narrow"/>
                <w:sz w:val="20"/>
              </w:rPr>
              <w:t>Aspen (AS)</w:t>
            </w:r>
          </w:p>
        </w:tc>
      </w:tr>
      <w:tr w:rsidR="005D2C2A" w:rsidRPr="007E7EE9" w:rsidTr="00AA5360">
        <w:trPr>
          <w:cantSplit/>
          <w:trHeight w:val="360"/>
        </w:trPr>
        <w:tc>
          <w:tcPr>
            <w:tcW w:w="8505" w:type="dxa"/>
            <w:gridSpan w:val="6"/>
            <w:tcBorders>
              <w:top w:val="nil"/>
              <w:left w:val="nil"/>
              <w:bottom w:val="single" w:sz="4" w:space="0" w:color="auto"/>
              <w:right w:val="nil"/>
            </w:tcBorders>
          </w:tcPr>
          <w:p w:rsidR="005D2C2A" w:rsidRPr="007E7EE9" w:rsidRDefault="005D2C2A" w:rsidP="00AA5360">
            <w:pPr>
              <w:snapToGrid w:val="0"/>
              <w:rPr>
                <w:rFonts w:ascii="Arial Narrow" w:hAnsi="Arial Narrow"/>
                <w:sz w:val="20"/>
              </w:rPr>
            </w:pPr>
          </w:p>
        </w:tc>
      </w:tr>
      <w:tr w:rsidR="005D2C2A" w:rsidRPr="007E7EE9" w:rsidTr="00AA5360">
        <w:trPr>
          <w:cantSplit/>
          <w:trHeight w:val="360"/>
        </w:trPr>
        <w:tc>
          <w:tcPr>
            <w:tcW w:w="2126" w:type="dxa"/>
            <w:tcBorders>
              <w:top w:val="single" w:sz="4" w:space="0" w:color="auto"/>
              <w:left w:val="single" w:sz="4" w:space="0" w:color="auto"/>
              <w:bottom w:val="single" w:sz="4" w:space="0" w:color="auto"/>
              <w:right w:val="single" w:sz="4" w:space="0" w:color="auto"/>
            </w:tcBorders>
            <w:hideMark/>
          </w:tcPr>
          <w:p w:rsidR="005D2C2A" w:rsidRPr="007E7EE9" w:rsidRDefault="005D2C2A" w:rsidP="00AA5360">
            <w:pPr>
              <w:snapToGrid w:val="0"/>
              <w:rPr>
                <w:rFonts w:ascii="Arial Narrow" w:hAnsi="Arial Narrow"/>
                <w:b/>
                <w:sz w:val="20"/>
              </w:rPr>
            </w:pPr>
            <w:r w:rsidRPr="007E7EE9">
              <w:rPr>
                <w:rFonts w:ascii="Arial Narrow" w:hAnsi="Arial Narrow"/>
                <w:b/>
                <w:sz w:val="20"/>
              </w:rPr>
              <w:t xml:space="preserve">Category / </w:t>
            </w:r>
          </w:p>
          <w:p w:rsidR="005D2C2A" w:rsidRPr="007E7EE9" w:rsidRDefault="005D2C2A" w:rsidP="00AA5360">
            <w:pPr>
              <w:snapToGrid w:val="0"/>
              <w:rPr>
                <w:rFonts w:ascii="Arial Narrow" w:hAnsi="Arial Narrow"/>
                <w:b/>
                <w:sz w:val="20"/>
              </w:rPr>
            </w:pPr>
            <w:r w:rsidRPr="007E7EE9">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hideMark/>
          </w:tcPr>
          <w:p w:rsidR="005D2C2A" w:rsidRPr="007E7EE9" w:rsidRDefault="005D2C2A" w:rsidP="00AA5360">
            <w:pPr>
              <w:snapToGrid w:val="0"/>
              <w:rPr>
                <w:rFonts w:ascii="Arial Narrow" w:hAnsi="Arial Narrow"/>
                <w:sz w:val="20"/>
              </w:rPr>
            </w:pPr>
            <w:r w:rsidRPr="007E7EE9">
              <w:rPr>
                <w:rFonts w:ascii="Arial Narrow" w:hAnsi="Arial Narrow"/>
                <w:sz w:val="20"/>
              </w:rPr>
              <w:t>GENERAL – General Schedule (Code GE)</w:t>
            </w:r>
          </w:p>
          <w:p w:rsidR="005D2C2A" w:rsidRPr="007E7EE9" w:rsidRDefault="005D2C2A" w:rsidP="00AA5360">
            <w:pPr>
              <w:snapToGrid w:val="0"/>
              <w:rPr>
                <w:rFonts w:ascii="Arial Narrow" w:hAnsi="Arial Narrow"/>
                <w:sz w:val="20"/>
              </w:rPr>
            </w:pPr>
            <w:r w:rsidRPr="007E7EE9">
              <w:rPr>
                <w:rFonts w:ascii="Arial Narrow" w:hAnsi="Arial Narrow"/>
                <w:sz w:val="20"/>
              </w:rPr>
              <w:t>.</w:t>
            </w:r>
          </w:p>
        </w:tc>
      </w:tr>
      <w:tr w:rsidR="005D2C2A" w:rsidRPr="007E7EE9" w:rsidTr="00AA5360">
        <w:trPr>
          <w:cantSplit/>
          <w:trHeight w:val="360"/>
        </w:trPr>
        <w:tc>
          <w:tcPr>
            <w:tcW w:w="2126" w:type="dxa"/>
            <w:tcBorders>
              <w:top w:val="single" w:sz="4" w:space="0" w:color="auto"/>
              <w:left w:val="single" w:sz="4" w:space="0" w:color="auto"/>
              <w:bottom w:val="single" w:sz="4" w:space="0" w:color="auto"/>
              <w:right w:val="single" w:sz="4" w:space="0" w:color="auto"/>
            </w:tcBorders>
          </w:tcPr>
          <w:p w:rsidR="005D2C2A" w:rsidRPr="007E7EE9" w:rsidRDefault="005D2C2A" w:rsidP="005D2C2A">
            <w:pPr>
              <w:snapToGrid w:val="0"/>
              <w:rPr>
                <w:rFonts w:ascii="Arial Narrow" w:hAnsi="Arial Narrow"/>
                <w:b/>
                <w:sz w:val="20"/>
              </w:rPr>
            </w:pPr>
            <w:r w:rsidRPr="007E7EE9">
              <w:rPr>
                <w:rFonts w:ascii="Arial Narrow" w:hAnsi="Arial Narrow"/>
                <w:b/>
                <w:sz w:val="20"/>
              </w:rPr>
              <w:t>Prescriber type:</w:t>
            </w:r>
          </w:p>
        </w:tc>
        <w:tc>
          <w:tcPr>
            <w:tcW w:w="6379" w:type="dxa"/>
            <w:gridSpan w:val="5"/>
            <w:tcBorders>
              <w:top w:val="single" w:sz="4" w:space="0" w:color="auto"/>
              <w:left w:val="single" w:sz="4" w:space="0" w:color="auto"/>
              <w:bottom w:val="single" w:sz="4" w:space="0" w:color="auto"/>
              <w:right w:val="single" w:sz="4" w:space="0" w:color="auto"/>
            </w:tcBorders>
            <w:hideMark/>
          </w:tcPr>
          <w:p w:rsidR="005D2C2A" w:rsidRPr="007E7EE9" w:rsidRDefault="005D2C2A" w:rsidP="005D2C2A">
            <w:pPr>
              <w:snapToGrid w:val="0"/>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693F20">
              <w:rPr>
                <w:rFonts w:ascii="Arial Narrow" w:hAnsi="Arial Narrow"/>
                <w:sz w:val="20"/>
              </w:rPr>
            </w:r>
            <w:r w:rsidR="00693F20">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Dental </w:t>
            </w:r>
          </w:p>
        </w:tc>
      </w:tr>
    </w:tbl>
    <w:p w:rsidR="005D2C2A" w:rsidRDefault="005D2C2A" w:rsidP="00EE2071">
      <w:pPr>
        <w:jc w:val="both"/>
        <w:rPr>
          <w:rFonts w:ascii="Arial" w:hAnsi="Arial" w:cs="Arial"/>
          <w:b/>
          <w:sz w:val="22"/>
          <w:szCs w:val="22"/>
        </w:rPr>
      </w:pPr>
    </w:p>
    <w:tbl>
      <w:tblPr>
        <w:tblW w:w="8505" w:type="dxa"/>
        <w:tblInd w:w="817" w:type="dxa"/>
        <w:tblLayout w:type="fixed"/>
        <w:tblLook w:val="04A0" w:firstRow="1" w:lastRow="0" w:firstColumn="1" w:lastColumn="0" w:noHBand="0" w:noVBand="1"/>
      </w:tblPr>
      <w:tblGrid>
        <w:gridCol w:w="2126"/>
        <w:gridCol w:w="1843"/>
        <w:gridCol w:w="992"/>
        <w:gridCol w:w="709"/>
        <w:gridCol w:w="1559"/>
        <w:gridCol w:w="1276"/>
      </w:tblGrid>
      <w:tr w:rsidR="005D2C2A" w:rsidRPr="007E7EE9" w:rsidTr="005D2C2A">
        <w:trPr>
          <w:cantSplit/>
          <w:trHeight w:val="471"/>
        </w:trPr>
        <w:tc>
          <w:tcPr>
            <w:tcW w:w="3969" w:type="dxa"/>
            <w:gridSpan w:val="2"/>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Name, Restriction,</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Manner of administration and form</w:t>
            </w:r>
          </w:p>
        </w:tc>
        <w:tc>
          <w:tcPr>
            <w:tcW w:w="992" w:type="dxa"/>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Max.</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Qty</w:t>
            </w:r>
            <w:r>
              <w:rPr>
                <w:rFonts w:ascii="Arial Narrow" w:hAnsi="Arial Narrow"/>
                <w:sz w:val="20"/>
              </w:rPr>
              <w:t xml:space="preserve"> packs</w:t>
            </w:r>
          </w:p>
        </w:tc>
        <w:tc>
          <w:tcPr>
            <w:tcW w:w="709" w:type="dxa"/>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№.of</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Rpts</w:t>
            </w:r>
          </w:p>
        </w:tc>
        <w:tc>
          <w:tcPr>
            <w:tcW w:w="2835" w:type="dxa"/>
            <w:gridSpan w:val="2"/>
            <w:tcBorders>
              <w:top w:val="nil"/>
              <w:left w:val="nil"/>
              <w:bottom w:val="single" w:sz="4" w:space="0" w:color="auto"/>
              <w:right w:val="nil"/>
            </w:tcBorders>
            <w:hideMark/>
          </w:tcPr>
          <w:p w:rsidR="005D2C2A" w:rsidRPr="007E7EE9" w:rsidRDefault="005D2C2A" w:rsidP="00AA5360">
            <w:pPr>
              <w:keepNext/>
              <w:snapToGrid w:val="0"/>
              <w:rPr>
                <w:rFonts w:ascii="Arial Narrow" w:hAnsi="Arial Narrow"/>
                <w:sz w:val="20"/>
                <w:lang w:val="fr-FR"/>
              </w:rPr>
            </w:pPr>
            <w:r w:rsidRPr="007E7EE9">
              <w:rPr>
                <w:rFonts w:ascii="Arial Narrow" w:hAnsi="Arial Narrow"/>
                <w:sz w:val="20"/>
              </w:rPr>
              <w:t>Proprietary Name and Manufacturer</w:t>
            </w:r>
          </w:p>
        </w:tc>
      </w:tr>
      <w:tr w:rsidR="005D2C2A" w:rsidRPr="007E7EE9" w:rsidTr="005D2C2A">
        <w:trPr>
          <w:cantSplit/>
          <w:trHeight w:val="577"/>
        </w:trPr>
        <w:tc>
          <w:tcPr>
            <w:tcW w:w="3969" w:type="dxa"/>
            <w:gridSpan w:val="2"/>
          </w:tcPr>
          <w:p w:rsidR="005D2C2A" w:rsidRPr="007E7EE9" w:rsidRDefault="005D2C2A" w:rsidP="00AA5360">
            <w:pPr>
              <w:keepNext/>
              <w:snapToGrid w:val="0"/>
              <w:ind w:left="-108"/>
              <w:rPr>
                <w:rFonts w:ascii="Arial Narrow" w:hAnsi="Arial Narrow"/>
                <w:smallCaps/>
                <w:sz w:val="20"/>
              </w:rPr>
            </w:pPr>
            <w:r>
              <w:rPr>
                <w:rFonts w:ascii="Arial Narrow" w:hAnsi="Arial Narrow"/>
                <w:smallCaps/>
                <w:sz w:val="20"/>
              </w:rPr>
              <w:t>CEFUROXIME</w:t>
            </w:r>
          </w:p>
          <w:p w:rsidR="005D2C2A" w:rsidRPr="007E7EE9" w:rsidRDefault="005D2C2A" w:rsidP="005D2C2A">
            <w:pPr>
              <w:keepNext/>
              <w:snapToGrid w:val="0"/>
              <w:ind w:left="-108"/>
              <w:rPr>
                <w:rFonts w:ascii="Arial Narrow" w:hAnsi="Arial Narrow"/>
                <w:sz w:val="20"/>
              </w:rPr>
            </w:pPr>
            <w:r>
              <w:rPr>
                <w:rFonts w:ascii="Arial Narrow" w:hAnsi="Arial Narrow"/>
                <w:smallCaps/>
                <w:sz w:val="20"/>
              </w:rPr>
              <w:t>cefuroxime 250 mg tablet, 20</w:t>
            </w:r>
          </w:p>
        </w:tc>
        <w:tc>
          <w:tcPr>
            <w:tcW w:w="992" w:type="dxa"/>
          </w:tcPr>
          <w:p w:rsidR="005D2C2A" w:rsidRPr="007E7EE9" w:rsidRDefault="005D2C2A" w:rsidP="00AA5360">
            <w:pPr>
              <w:keepNext/>
              <w:snapToGrid w:val="0"/>
              <w:ind w:left="-108"/>
              <w:rPr>
                <w:rFonts w:ascii="Arial Narrow" w:hAnsi="Arial Narrow"/>
                <w:sz w:val="20"/>
              </w:rPr>
            </w:pP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1</w:t>
            </w:r>
          </w:p>
        </w:tc>
        <w:tc>
          <w:tcPr>
            <w:tcW w:w="709" w:type="dxa"/>
          </w:tcPr>
          <w:p w:rsidR="005D2C2A" w:rsidRPr="007E7EE9" w:rsidRDefault="005D2C2A" w:rsidP="00AA5360">
            <w:pPr>
              <w:keepNext/>
              <w:snapToGrid w:val="0"/>
              <w:ind w:left="-108"/>
              <w:rPr>
                <w:rFonts w:ascii="Arial Narrow" w:hAnsi="Arial Narrow"/>
                <w:sz w:val="20"/>
              </w:rPr>
            </w:pPr>
          </w:p>
          <w:p w:rsidR="005D2C2A" w:rsidRPr="007E7EE9" w:rsidRDefault="005D2C2A" w:rsidP="00AA5360">
            <w:pPr>
              <w:keepNext/>
              <w:snapToGrid w:val="0"/>
              <w:ind w:left="-108"/>
              <w:rPr>
                <w:rFonts w:ascii="Arial Narrow" w:hAnsi="Arial Narrow"/>
                <w:sz w:val="20"/>
              </w:rPr>
            </w:pPr>
            <w:r>
              <w:rPr>
                <w:rFonts w:ascii="Arial Narrow" w:hAnsi="Arial Narrow"/>
                <w:sz w:val="20"/>
              </w:rPr>
              <w:t>1</w:t>
            </w:r>
          </w:p>
        </w:tc>
        <w:tc>
          <w:tcPr>
            <w:tcW w:w="1559" w:type="dxa"/>
            <w:hideMark/>
          </w:tcPr>
          <w:p w:rsidR="005D2C2A" w:rsidRPr="007E7EE9" w:rsidRDefault="005D2C2A" w:rsidP="00AA5360">
            <w:pPr>
              <w:keepNext/>
              <w:snapToGrid w:val="0"/>
              <w:rPr>
                <w:rFonts w:ascii="Arial Narrow" w:hAnsi="Arial Narrow"/>
                <w:sz w:val="20"/>
              </w:rPr>
            </w:pPr>
            <w:r>
              <w:rPr>
                <w:rFonts w:ascii="Arial Narrow" w:hAnsi="Arial Narrow"/>
                <w:sz w:val="20"/>
              </w:rPr>
              <w:t>Zinnat</w:t>
            </w:r>
          </w:p>
        </w:tc>
        <w:tc>
          <w:tcPr>
            <w:tcW w:w="1276" w:type="dxa"/>
            <w:hideMark/>
          </w:tcPr>
          <w:p w:rsidR="005D2C2A" w:rsidRPr="007E7EE9" w:rsidRDefault="005D2C2A" w:rsidP="00AA5360">
            <w:pPr>
              <w:keepNext/>
              <w:snapToGrid w:val="0"/>
              <w:rPr>
                <w:rFonts w:ascii="Arial Narrow" w:hAnsi="Arial Narrow"/>
                <w:sz w:val="20"/>
              </w:rPr>
            </w:pPr>
            <w:r>
              <w:rPr>
                <w:rFonts w:ascii="Arial Narrow" w:hAnsi="Arial Narrow"/>
                <w:sz w:val="20"/>
              </w:rPr>
              <w:t>Aspen (AS)</w:t>
            </w:r>
          </w:p>
        </w:tc>
      </w:tr>
      <w:tr w:rsidR="005D2C2A" w:rsidRPr="007E7EE9" w:rsidTr="00AA5360">
        <w:trPr>
          <w:cantSplit/>
          <w:trHeight w:val="360"/>
        </w:trPr>
        <w:tc>
          <w:tcPr>
            <w:tcW w:w="8505" w:type="dxa"/>
            <w:gridSpan w:val="6"/>
            <w:tcBorders>
              <w:top w:val="nil"/>
              <w:left w:val="nil"/>
              <w:bottom w:val="single" w:sz="4" w:space="0" w:color="auto"/>
              <w:right w:val="nil"/>
            </w:tcBorders>
          </w:tcPr>
          <w:p w:rsidR="005D2C2A" w:rsidRPr="007E7EE9" w:rsidRDefault="005D2C2A" w:rsidP="00AA5360">
            <w:pPr>
              <w:snapToGrid w:val="0"/>
              <w:rPr>
                <w:rFonts w:ascii="Arial Narrow" w:hAnsi="Arial Narrow"/>
                <w:sz w:val="20"/>
              </w:rPr>
            </w:pPr>
          </w:p>
        </w:tc>
      </w:tr>
      <w:tr w:rsidR="005D2C2A" w:rsidRPr="007E7EE9" w:rsidTr="00AA5360">
        <w:trPr>
          <w:cantSplit/>
          <w:trHeight w:val="360"/>
        </w:trPr>
        <w:tc>
          <w:tcPr>
            <w:tcW w:w="2126" w:type="dxa"/>
            <w:tcBorders>
              <w:top w:val="single" w:sz="4" w:space="0" w:color="auto"/>
              <w:left w:val="single" w:sz="4" w:space="0" w:color="auto"/>
              <w:bottom w:val="single" w:sz="4" w:space="0" w:color="auto"/>
              <w:right w:val="single" w:sz="4" w:space="0" w:color="auto"/>
            </w:tcBorders>
            <w:hideMark/>
          </w:tcPr>
          <w:p w:rsidR="005D2C2A" w:rsidRPr="007E7EE9" w:rsidRDefault="005D2C2A" w:rsidP="00AA5360">
            <w:pPr>
              <w:snapToGrid w:val="0"/>
              <w:rPr>
                <w:rFonts w:ascii="Arial Narrow" w:hAnsi="Arial Narrow"/>
                <w:b/>
                <w:sz w:val="20"/>
              </w:rPr>
            </w:pPr>
            <w:r w:rsidRPr="007E7EE9">
              <w:rPr>
                <w:rFonts w:ascii="Arial Narrow" w:hAnsi="Arial Narrow"/>
                <w:b/>
                <w:sz w:val="20"/>
              </w:rPr>
              <w:t xml:space="preserve">Category / </w:t>
            </w:r>
          </w:p>
          <w:p w:rsidR="005D2C2A" w:rsidRPr="007E7EE9" w:rsidRDefault="005D2C2A" w:rsidP="00AA5360">
            <w:pPr>
              <w:snapToGrid w:val="0"/>
              <w:rPr>
                <w:rFonts w:ascii="Arial Narrow" w:hAnsi="Arial Narrow"/>
                <w:b/>
                <w:sz w:val="20"/>
              </w:rPr>
            </w:pPr>
            <w:r w:rsidRPr="007E7EE9">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hideMark/>
          </w:tcPr>
          <w:p w:rsidR="005D2C2A" w:rsidRPr="007E7EE9" w:rsidRDefault="005D2C2A" w:rsidP="00AA5360">
            <w:pPr>
              <w:snapToGrid w:val="0"/>
              <w:rPr>
                <w:rFonts w:ascii="Arial Narrow" w:hAnsi="Arial Narrow"/>
                <w:sz w:val="20"/>
              </w:rPr>
            </w:pPr>
            <w:r w:rsidRPr="007E7EE9">
              <w:rPr>
                <w:rFonts w:ascii="Arial Narrow" w:hAnsi="Arial Narrow"/>
                <w:sz w:val="20"/>
              </w:rPr>
              <w:t>GENERAL – General Schedule (Code GE)</w:t>
            </w:r>
          </w:p>
          <w:p w:rsidR="005D2C2A" w:rsidRPr="007E7EE9" w:rsidRDefault="005D2C2A" w:rsidP="00AA5360">
            <w:pPr>
              <w:snapToGrid w:val="0"/>
              <w:rPr>
                <w:rFonts w:ascii="Arial Narrow" w:hAnsi="Arial Narrow"/>
                <w:sz w:val="20"/>
              </w:rPr>
            </w:pPr>
            <w:r w:rsidRPr="007E7EE9">
              <w:rPr>
                <w:rFonts w:ascii="Arial Narrow" w:hAnsi="Arial Narrow"/>
                <w:sz w:val="20"/>
              </w:rPr>
              <w:t>.</w:t>
            </w:r>
          </w:p>
        </w:tc>
      </w:tr>
      <w:tr w:rsidR="005D2C2A" w:rsidRPr="007E7EE9" w:rsidTr="00AA5360">
        <w:trPr>
          <w:cantSplit/>
          <w:trHeight w:val="360"/>
        </w:trPr>
        <w:tc>
          <w:tcPr>
            <w:tcW w:w="2126" w:type="dxa"/>
            <w:tcBorders>
              <w:top w:val="single" w:sz="4" w:space="0" w:color="auto"/>
              <w:left w:val="single" w:sz="4" w:space="0" w:color="auto"/>
              <w:bottom w:val="single" w:sz="4" w:space="0" w:color="auto"/>
              <w:right w:val="single" w:sz="4" w:space="0" w:color="auto"/>
            </w:tcBorders>
          </w:tcPr>
          <w:p w:rsidR="005D2C2A" w:rsidRPr="007E7EE9" w:rsidRDefault="005D2C2A" w:rsidP="005D2C2A">
            <w:pPr>
              <w:snapToGrid w:val="0"/>
              <w:rPr>
                <w:rFonts w:ascii="Arial Narrow" w:hAnsi="Arial Narrow"/>
                <w:b/>
                <w:sz w:val="20"/>
              </w:rPr>
            </w:pPr>
            <w:r w:rsidRPr="007E7EE9">
              <w:rPr>
                <w:rFonts w:ascii="Arial Narrow" w:hAnsi="Arial Narrow"/>
                <w:b/>
                <w:sz w:val="20"/>
              </w:rPr>
              <w:t>Prescriber type:</w:t>
            </w:r>
          </w:p>
        </w:tc>
        <w:tc>
          <w:tcPr>
            <w:tcW w:w="6379" w:type="dxa"/>
            <w:gridSpan w:val="5"/>
            <w:tcBorders>
              <w:top w:val="single" w:sz="4" w:space="0" w:color="auto"/>
              <w:left w:val="single" w:sz="4" w:space="0" w:color="auto"/>
              <w:bottom w:val="single" w:sz="4" w:space="0" w:color="auto"/>
              <w:right w:val="single" w:sz="4" w:space="0" w:color="auto"/>
            </w:tcBorders>
            <w:hideMark/>
          </w:tcPr>
          <w:p w:rsidR="005D2C2A" w:rsidRPr="007E7EE9" w:rsidRDefault="005D2C2A" w:rsidP="005D2C2A">
            <w:pPr>
              <w:snapToGrid w:val="0"/>
              <w:rPr>
                <w:rFonts w:ascii="Arial Narrow" w:hAnsi="Arial Narrow"/>
                <w:sz w:val="20"/>
              </w:rPr>
            </w:pPr>
            <w:r w:rsidRPr="007E7EE9">
              <w:rPr>
                <w:rFonts w:ascii="Arial Narrow" w:hAnsi="Arial Narrow"/>
                <w:sz w:val="20"/>
              </w:rPr>
              <w:fldChar w:fldCharType="begin">
                <w:ffData>
                  <w:name w:val=""/>
                  <w:enabled/>
                  <w:calcOnExit w:val="0"/>
                  <w:checkBox>
                    <w:sizeAuto/>
                    <w:default w:val="1"/>
                  </w:checkBox>
                </w:ffData>
              </w:fldChar>
            </w:r>
            <w:r w:rsidRPr="007E7EE9">
              <w:rPr>
                <w:rFonts w:ascii="Arial Narrow" w:hAnsi="Arial Narrow"/>
                <w:sz w:val="20"/>
              </w:rPr>
              <w:instrText xml:space="preserve"> FORMCHECKBOX </w:instrText>
            </w:r>
            <w:r w:rsidR="00693F20">
              <w:rPr>
                <w:rFonts w:ascii="Arial Narrow" w:hAnsi="Arial Narrow"/>
                <w:sz w:val="20"/>
              </w:rPr>
            </w:r>
            <w:r w:rsidR="00693F20">
              <w:rPr>
                <w:rFonts w:ascii="Arial Narrow" w:hAnsi="Arial Narrow"/>
                <w:sz w:val="20"/>
              </w:rPr>
              <w:fldChar w:fldCharType="separate"/>
            </w:r>
            <w:r w:rsidRPr="007E7EE9">
              <w:rPr>
                <w:rFonts w:ascii="Arial Narrow" w:hAnsi="Arial Narrow"/>
                <w:sz w:val="20"/>
              </w:rPr>
              <w:fldChar w:fldCharType="end"/>
            </w:r>
            <w:r w:rsidRPr="007E7EE9">
              <w:rPr>
                <w:rFonts w:ascii="Arial Narrow" w:hAnsi="Arial Narrow"/>
                <w:sz w:val="20"/>
              </w:rPr>
              <w:t xml:space="preserve">Medical Practitioners </w:t>
            </w:r>
          </w:p>
        </w:tc>
      </w:tr>
    </w:tbl>
    <w:p w:rsidR="005D2C2A" w:rsidRDefault="005D2C2A" w:rsidP="00EE2071">
      <w:pPr>
        <w:jc w:val="both"/>
        <w:rPr>
          <w:rFonts w:ascii="Arial" w:hAnsi="Arial" w:cs="Arial"/>
          <w:b/>
          <w:sz w:val="22"/>
          <w:szCs w:val="22"/>
        </w:rPr>
      </w:pPr>
    </w:p>
    <w:tbl>
      <w:tblPr>
        <w:tblW w:w="8505" w:type="dxa"/>
        <w:tblInd w:w="817" w:type="dxa"/>
        <w:tblLayout w:type="fixed"/>
        <w:tblLook w:val="04A0" w:firstRow="1" w:lastRow="0" w:firstColumn="1" w:lastColumn="0" w:noHBand="0" w:noVBand="1"/>
      </w:tblPr>
      <w:tblGrid>
        <w:gridCol w:w="2126"/>
        <w:gridCol w:w="1843"/>
        <w:gridCol w:w="992"/>
        <w:gridCol w:w="709"/>
        <w:gridCol w:w="1559"/>
        <w:gridCol w:w="1276"/>
      </w:tblGrid>
      <w:tr w:rsidR="005D2C2A" w:rsidRPr="007E7EE9" w:rsidTr="005D2C2A">
        <w:trPr>
          <w:cantSplit/>
          <w:trHeight w:val="471"/>
        </w:trPr>
        <w:tc>
          <w:tcPr>
            <w:tcW w:w="3969" w:type="dxa"/>
            <w:gridSpan w:val="2"/>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Name, Restriction,</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Manner of administration and form</w:t>
            </w:r>
          </w:p>
        </w:tc>
        <w:tc>
          <w:tcPr>
            <w:tcW w:w="992" w:type="dxa"/>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Max.</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Qty</w:t>
            </w:r>
            <w:r>
              <w:rPr>
                <w:rFonts w:ascii="Arial Narrow" w:hAnsi="Arial Narrow"/>
                <w:sz w:val="20"/>
              </w:rPr>
              <w:t xml:space="preserve"> packs</w:t>
            </w:r>
          </w:p>
        </w:tc>
        <w:tc>
          <w:tcPr>
            <w:tcW w:w="709" w:type="dxa"/>
            <w:tcBorders>
              <w:top w:val="nil"/>
              <w:left w:val="nil"/>
              <w:bottom w:val="single" w:sz="4" w:space="0" w:color="auto"/>
              <w:right w:val="nil"/>
            </w:tcBorders>
            <w:hideMark/>
          </w:tcPr>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№.of</w:t>
            </w: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Rpts</w:t>
            </w:r>
          </w:p>
        </w:tc>
        <w:tc>
          <w:tcPr>
            <w:tcW w:w="2835" w:type="dxa"/>
            <w:gridSpan w:val="2"/>
            <w:tcBorders>
              <w:top w:val="nil"/>
              <w:left w:val="nil"/>
              <w:bottom w:val="single" w:sz="4" w:space="0" w:color="auto"/>
              <w:right w:val="nil"/>
            </w:tcBorders>
            <w:hideMark/>
          </w:tcPr>
          <w:p w:rsidR="005D2C2A" w:rsidRPr="007E7EE9" w:rsidRDefault="005D2C2A" w:rsidP="00AA5360">
            <w:pPr>
              <w:keepNext/>
              <w:snapToGrid w:val="0"/>
              <w:rPr>
                <w:rFonts w:ascii="Arial Narrow" w:hAnsi="Arial Narrow"/>
                <w:sz w:val="20"/>
                <w:lang w:val="fr-FR"/>
              </w:rPr>
            </w:pPr>
            <w:r w:rsidRPr="007E7EE9">
              <w:rPr>
                <w:rFonts w:ascii="Arial Narrow" w:hAnsi="Arial Narrow"/>
                <w:sz w:val="20"/>
              </w:rPr>
              <w:t>Proprietary Name and Manufacturer</w:t>
            </w:r>
          </w:p>
        </w:tc>
      </w:tr>
      <w:tr w:rsidR="005D2C2A" w:rsidRPr="007E7EE9" w:rsidTr="005D2C2A">
        <w:trPr>
          <w:cantSplit/>
          <w:trHeight w:val="577"/>
        </w:trPr>
        <w:tc>
          <w:tcPr>
            <w:tcW w:w="3969" w:type="dxa"/>
            <w:gridSpan w:val="2"/>
          </w:tcPr>
          <w:p w:rsidR="005D2C2A" w:rsidRPr="007E7EE9" w:rsidRDefault="005D2C2A" w:rsidP="00AA5360">
            <w:pPr>
              <w:keepNext/>
              <w:snapToGrid w:val="0"/>
              <w:ind w:left="-108"/>
              <w:rPr>
                <w:rFonts w:ascii="Arial Narrow" w:hAnsi="Arial Narrow"/>
                <w:smallCaps/>
                <w:sz w:val="20"/>
              </w:rPr>
            </w:pPr>
            <w:r>
              <w:rPr>
                <w:rFonts w:ascii="Arial Narrow" w:hAnsi="Arial Narrow"/>
                <w:smallCaps/>
                <w:sz w:val="20"/>
              </w:rPr>
              <w:t>CEFUROXIME</w:t>
            </w:r>
          </w:p>
          <w:p w:rsidR="005D2C2A" w:rsidRPr="007E7EE9" w:rsidRDefault="005D2C2A" w:rsidP="00AA5360">
            <w:pPr>
              <w:keepNext/>
              <w:snapToGrid w:val="0"/>
              <w:ind w:left="-108"/>
              <w:rPr>
                <w:rFonts w:ascii="Arial Narrow" w:hAnsi="Arial Narrow"/>
                <w:sz w:val="20"/>
              </w:rPr>
            </w:pPr>
            <w:r>
              <w:rPr>
                <w:rFonts w:ascii="Arial Narrow" w:hAnsi="Arial Narrow"/>
                <w:smallCaps/>
                <w:sz w:val="20"/>
              </w:rPr>
              <w:t>cefuroxime 250 mg tablet, 20</w:t>
            </w:r>
          </w:p>
        </w:tc>
        <w:tc>
          <w:tcPr>
            <w:tcW w:w="992" w:type="dxa"/>
          </w:tcPr>
          <w:p w:rsidR="005D2C2A" w:rsidRPr="007E7EE9" w:rsidRDefault="005D2C2A" w:rsidP="00AA5360">
            <w:pPr>
              <w:keepNext/>
              <w:snapToGrid w:val="0"/>
              <w:ind w:left="-108"/>
              <w:rPr>
                <w:rFonts w:ascii="Arial Narrow" w:hAnsi="Arial Narrow"/>
                <w:sz w:val="20"/>
              </w:rPr>
            </w:pPr>
          </w:p>
          <w:p w:rsidR="005D2C2A" w:rsidRPr="007E7EE9" w:rsidRDefault="005D2C2A" w:rsidP="00AA5360">
            <w:pPr>
              <w:keepNext/>
              <w:snapToGrid w:val="0"/>
              <w:ind w:left="-108"/>
              <w:rPr>
                <w:rFonts w:ascii="Arial Narrow" w:hAnsi="Arial Narrow"/>
                <w:sz w:val="20"/>
              </w:rPr>
            </w:pPr>
            <w:r w:rsidRPr="007E7EE9">
              <w:rPr>
                <w:rFonts w:ascii="Arial Narrow" w:hAnsi="Arial Narrow"/>
                <w:sz w:val="20"/>
              </w:rPr>
              <w:t>1</w:t>
            </w:r>
          </w:p>
        </w:tc>
        <w:tc>
          <w:tcPr>
            <w:tcW w:w="709" w:type="dxa"/>
          </w:tcPr>
          <w:p w:rsidR="005D2C2A" w:rsidRPr="007E7EE9" w:rsidRDefault="005D2C2A" w:rsidP="00AA5360">
            <w:pPr>
              <w:keepNext/>
              <w:snapToGrid w:val="0"/>
              <w:ind w:left="-108"/>
              <w:rPr>
                <w:rFonts w:ascii="Arial Narrow" w:hAnsi="Arial Narrow"/>
                <w:sz w:val="20"/>
              </w:rPr>
            </w:pPr>
          </w:p>
          <w:p w:rsidR="005D2C2A" w:rsidRPr="007E7EE9" w:rsidRDefault="005D2C2A" w:rsidP="00AA5360">
            <w:pPr>
              <w:keepNext/>
              <w:snapToGrid w:val="0"/>
              <w:ind w:left="-108"/>
              <w:rPr>
                <w:rFonts w:ascii="Arial Narrow" w:hAnsi="Arial Narrow"/>
                <w:sz w:val="20"/>
              </w:rPr>
            </w:pPr>
            <w:r>
              <w:rPr>
                <w:rFonts w:ascii="Arial Narrow" w:hAnsi="Arial Narrow"/>
                <w:sz w:val="20"/>
              </w:rPr>
              <w:t>0</w:t>
            </w:r>
          </w:p>
        </w:tc>
        <w:tc>
          <w:tcPr>
            <w:tcW w:w="1559" w:type="dxa"/>
            <w:hideMark/>
          </w:tcPr>
          <w:p w:rsidR="005D2C2A" w:rsidRPr="007E7EE9" w:rsidRDefault="005D2C2A" w:rsidP="00AA5360">
            <w:pPr>
              <w:keepNext/>
              <w:snapToGrid w:val="0"/>
              <w:rPr>
                <w:rFonts w:ascii="Arial Narrow" w:hAnsi="Arial Narrow"/>
                <w:sz w:val="20"/>
              </w:rPr>
            </w:pPr>
            <w:r>
              <w:rPr>
                <w:rFonts w:ascii="Arial Narrow" w:hAnsi="Arial Narrow"/>
                <w:sz w:val="20"/>
              </w:rPr>
              <w:t>Zinnat</w:t>
            </w:r>
          </w:p>
        </w:tc>
        <w:tc>
          <w:tcPr>
            <w:tcW w:w="1276" w:type="dxa"/>
            <w:hideMark/>
          </w:tcPr>
          <w:p w:rsidR="005D2C2A" w:rsidRPr="007E7EE9" w:rsidRDefault="005D2C2A" w:rsidP="00AA5360">
            <w:pPr>
              <w:keepNext/>
              <w:snapToGrid w:val="0"/>
              <w:rPr>
                <w:rFonts w:ascii="Arial Narrow" w:hAnsi="Arial Narrow"/>
                <w:sz w:val="20"/>
              </w:rPr>
            </w:pPr>
            <w:r>
              <w:rPr>
                <w:rFonts w:ascii="Arial Narrow" w:hAnsi="Arial Narrow"/>
                <w:sz w:val="20"/>
              </w:rPr>
              <w:t>Aspen (AS)</w:t>
            </w:r>
          </w:p>
        </w:tc>
      </w:tr>
      <w:tr w:rsidR="005D2C2A" w:rsidRPr="007E7EE9" w:rsidTr="00AA5360">
        <w:trPr>
          <w:cantSplit/>
          <w:trHeight w:val="360"/>
        </w:trPr>
        <w:tc>
          <w:tcPr>
            <w:tcW w:w="8505" w:type="dxa"/>
            <w:gridSpan w:val="6"/>
            <w:tcBorders>
              <w:top w:val="nil"/>
              <w:left w:val="nil"/>
              <w:bottom w:val="single" w:sz="4" w:space="0" w:color="auto"/>
              <w:right w:val="nil"/>
            </w:tcBorders>
          </w:tcPr>
          <w:p w:rsidR="005D2C2A" w:rsidRPr="007E7EE9" w:rsidRDefault="005D2C2A" w:rsidP="00AA5360">
            <w:pPr>
              <w:snapToGrid w:val="0"/>
              <w:rPr>
                <w:rFonts w:ascii="Arial Narrow" w:hAnsi="Arial Narrow"/>
                <w:sz w:val="20"/>
              </w:rPr>
            </w:pPr>
          </w:p>
        </w:tc>
      </w:tr>
      <w:tr w:rsidR="005D2C2A" w:rsidRPr="007E7EE9" w:rsidTr="00AA5360">
        <w:trPr>
          <w:cantSplit/>
          <w:trHeight w:val="360"/>
        </w:trPr>
        <w:tc>
          <w:tcPr>
            <w:tcW w:w="2126" w:type="dxa"/>
            <w:tcBorders>
              <w:top w:val="single" w:sz="4" w:space="0" w:color="auto"/>
              <w:left w:val="single" w:sz="4" w:space="0" w:color="auto"/>
              <w:bottom w:val="single" w:sz="4" w:space="0" w:color="auto"/>
              <w:right w:val="single" w:sz="4" w:space="0" w:color="auto"/>
            </w:tcBorders>
            <w:hideMark/>
          </w:tcPr>
          <w:p w:rsidR="005D2C2A" w:rsidRPr="007E7EE9" w:rsidRDefault="005D2C2A" w:rsidP="00AA5360">
            <w:pPr>
              <w:snapToGrid w:val="0"/>
              <w:rPr>
                <w:rFonts w:ascii="Arial Narrow" w:hAnsi="Arial Narrow"/>
                <w:b/>
                <w:sz w:val="20"/>
              </w:rPr>
            </w:pPr>
            <w:r w:rsidRPr="007E7EE9">
              <w:rPr>
                <w:rFonts w:ascii="Arial Narrow" w:hAnsi="Arial Narrow"/>
                <w:b/>
                <w:sz w:val="20"/>
              </w:rPr>
              <w:t xml:space="preserve">Category / </w:t>
            </w:r>
          </w:p>
          <w:p w:rsidR="005D2C2A" w:rsidRPr="007E7EE9" w:rsidRDefault="005D2C2A" w:rsidP="00AA5360">
            <w:pPr>
              <w:snapToGrid w:val="0"/>
              <w:rPr>
                <w:rFonts w:ascii="Arial Narrow" w:hAnsi="Arial Narrow"/>
                <w:b/>
                <w:sz w:val="20"/>
              </w:rPr>
            </w:pPr>
            <w:r w:rsidRPr="007E7EE9">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hideMark/>
          </w:tcPr>
          <w:p w:rsidR="005D2C2A" w:rsidRPr="007E7EE9" w:rsidRDefault="005D2C2A" w:rsidP="00AA5360">
            <w:pPr>
              <w:snapToGrid w:val="0"/>
              <w:rPr>
                <w:rFonts w:ascii="Arial Narrow" w:hAnsi="Arial Narrow"/>
                <w:sz w:val="20"/>
              </w:rPr>
            </w:pPr>
            <w:r w:rsidRPr="007E7EE9">
              <w:rPr>
                <w:rFonts w:ascii="Arial Narrow" w:hAnsi="Arial Narrow"/>
                <w:sz w:val="20"/>
              </w:rPr>
              <w:t>GENERAL – General Schedule (Code GE)</w:t>
            </w:r>
          </w:p>
          <w:p w:rsidR="005D2C2A" w:rsidRPr="007E7EE9" w:rsidRDefault="005D2C2A" w:rsidP="00AA5360">
            <w:pPr>
              <w:snapToGrid w:val="0"/>
              <w:rPr>
                <w:rFonts w:ascii="Arial Narrow" w:hAnsi="Arial Narrow"/>
                <w:sz w:val="20"/>
              </w:rPr>
            </w:pPr>
            <w:r w:rsidRPr="007E7EE9">
              <w:rPr>
                <w:rFonts w:ascii="Arial Narrow" w:hAnsi="Arial Narrow"/>
                <w:sz w:val="20"/>
              </w:rPr>
              <w:t>.</w:t>
            </w:r>
          </w:p>
        </w:tc>
      </w:tr>
      <w:tr w:rsidR="005D2C2A" w:rsidRPr="007E7EE9" w:rsidTr="00AA5360">
        <w:trPr>
          <w:cantSplit/>
          <w:trHeight w:val="360"/>
        </w:trPr>
        <w:tc>
          <w:tcPr>
            <w:tcW w:w="2126" w:type="dxa"/>
            <w:tcBorders>
              <w:top w:val="single" w:sz="4" w:space="0" w:color="auto"/>
              <w:left w:val="single" w:sz="4" w:space="0" w:color="auto"/>
              <w:bottom w:val="single" w:sz="4" w:space="0" w:color="auto"/>
              <w:right w:val="single" w:sz="4" w:space="0" w:color="auto"/>
            </w:tcBorders>
          </w:tcPr>
          <w:p w:rsidR="005D2C2A" w:rsidRPr="007E7EE9" w:rsidRDefault="005D2C2A" w:rsidP="005D2C2A">
            <w:pPr>
              <w:snapToGrid w:val="0"/>
              <w:rPr>
                <w:rFonts w:ascii="Arial Narrow" w:hAnsi="Arial Narrow"/>
                <w:b/>
                <w:sz w:val="20"/>
              </w:rPr>
            </w:pPr>
            <w:r w:rsidRPr="007E7EE9">
              <w:rPr>
                <w:rFonts w:ascii="Arial Narrow" w:hAnsi="Arial Narrow"/>
                <w:b/>
                <w:sz w:val="20"/>
              </w:rPr>
              <w:t>Prescriber type:</w:t>
            </w:r>
          </w:p>
        </w:tc>
        <w:tc>
          <w:tcPr>
            <w:tcW w:w="6379" w:type="dxa"/>
            <w:gridSpan w:val="5"/>
            <w:tcBorders>
              <w:top w:val="single" w:sz="4" w:space="0" w:color="auto"/>
              <w:left w:val="single" w:sz="4" w:space="0" w:color="auto"/>
              <w:bottom w:val="single" w:sz="4" w:space="0" w:color="auto"/>
              <w:right w:val="single" w:sz="4" w:space="0" w:color="auto"/>
            </w:tcBorders>
            <w:hideMark/>
          </w:tcPr>
          <w:p w:rsidR="005D2C2A" w:rsidRPr="007E7EE9" w:rsidRDefault="005D2C2A" w:rsidP="005D2C2A">
            <w:pPr>
              <w:snapToGrid w:val="0"/>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693F20">
              <w:rPr>
                <w:rFonts w:ascii="Arial Narrow" w:hAnsi="Arial Narrow"/>
                <w:sz w:val="20"/>
              </w:rPr>
            </w:r>
            <w:r w:rsidR="00693F20">
              <w:rPr>
                <w:rFonts w:ascii="Arial Narrow" w:hAnsi="Arial Narrow"/>
                <w:sz w:val="20"/>
              </w:rPr>
              <w:fldChar w:fldCharType="separate"/>
            </w:r>
            <w:r>
              <w:rPr>
                <w:rFonts w:ascii="Arial Narrow" w:hAnsi="Arial Narrow"/>
                <w:sz w:val="20"/>
              </w:rPr>
              <w:fldChar w:fldCharType="end"/>
            </w:r>
            <w:r w:rsidRPr="007E7EE9">
              <w:rPr>
                <w:rFonts w:ascii="Arial Narrow" w:hAnsi="Arial Narrow"/>
                <w:sz w:val="20"/>
              </w:rPr>
              <w:t xml:space="preserve">Dental  </w:t>
            </w:r>
          </w:p>
        </w:tc>
      </w:tr>
    </w:tbl>
    <w:p w:rsidR="005D2C2A" w:rsidRDefault="005D2C2A" w:rsidP="00EE2071">
      <w:pPr>
        <w:jc w:val="both"/>
        <w:rPr>
          <w:rFonts w:ascii="Arial" w:hAnsi="Arial" w:cs="Arial"/>
          <w:b/>
          <w:sz w:val="22"/>
          <w:szCs w:val="22"/>
        </w:rPr>
      </w:pPr>
    </w:p>
    <w:p w:rsidR="00E612C1" w:rsidRPr="006D54A5" w:rsidRDefault="00E612C1" w:rsidP="00E612C1">
      <w:pPr>
        <w:rPr>
          <w:bCs/>
          <w:szCs w:val="22"/>
        </w:rPr>
      </w:pPr>
    </w:p>
    <w:p w:rsidR="00E612C1" w:rsidRPr="002A5741" w:rsidRDefault="00E612C1" w:rsidP="004D6029">
      <w:pPr>
        <w:pStyle w:val="PBACHeading1"/>
        <w:rPr>
          <w:rFonts w:eastAsia="SimSun"/>
        </w:rPr>
      </w:pPr>
      <w:r w:rsidRPr="002A5741">
        <w:rPr>
          <w:rFonts w:eastAsia="SimSun"/>
        </w:rPr>
        <w:t>Context for Decision</w:t>
      </w:r>
    </w:p>
    <w:p w:rsidR="00E612C1" w:rsidRDefault="00E612C1" w:rsidP="00E612C1">
      <w:pPr>
        <w:ind w:left="720"/>
        <w:contextualSpacing/>
        <w:rPr>
          <w:b/>
        </w:rPr>
      </w:pPr>
    </w:p>
    <w:p w:rsidR="00E612C1" w:rsidRPr="009D7BEE" w:rsidRDefault="00E612C1" w:rsidP="00E612C1">
      <w:pPr>
        <w:ind w:left="720"/>
        <w:rPr>
          <w:rFonts w:ascii="Arial" w:hAnsi="Arial" w:cs="Arial"/>
          <w:bCs/>
          <w:sz w:val="22"/>
          <w:szCs w:val="22"/>
        </w:rPr>
      </w:pPr>
      <w:r w:rsidRPr="009D7BE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612C1" w:rsidRDefault="00E612C1" w:rsidP="00E612C1">
      <w:pPr>
        <w:spacing w:line="720" w:lineRule="auto"/>
      </w:pPr>
    </w:p>
    <w:p w:rsidR="00E612C1" w:rsidRPr="002A5741" w:rsidRDefault="00E612C1" w:rsidP="004D6029">
      <w:pPr>
        <w:pStyle w:val="PBACHeading1"/>
        <w:rPr>
          <w:rFonts w:eastAsia="SimSun"/>
        </w:rPr>
      </w:pPr>
      <w:r w:rsidRPr="002A5741">
        <w:rPr>
          <w:rFonts w:eastAsia="SimSun"/>
        </w:rPr>
        <w:lastRenderedPageBreak/>
        <w:t>Sponsor’s Comment</w:t>
      </w:r>
    </w:p>
    <w:p w:rsidR="00E612C1" w:rsidRDefault="00E612C1" w:rsidP="00E612C1">
      <w:pPr>
        <w:tabs>
          <w:tab w:val="left" w:pos="2940"/>
        </w:tabs>
        <w:rPr>
          <w:szCs w:val="22"/>
        </w:rPr>
      </w:pPr>
    </w:p>
    <w:p w:rsidR="00557DD8" w:rsidRPr="004D6029" w:rsidRDefault="00557DD8" w:rsidP="004D6029">
      <w:pPr>
        <w:ind w:left="720"/>
        <w:rPr>
          <w:rFonts w:ascii="Arial" w:hAnsi="Arial" w:cs="Arial"/>
          <w:bCs/>
          <w:sz w:val="22"/>
          <w:szCs w:val="22"/>
        </w:rPr>
      </w:pPr>
      <w:r w:rsidRPr="004D6029">
        <w:rPr>
          <w:rFonts w:ascii="Arial" w:hAnsi="Arial" w:cs="Arial"/>
          <w:bCs/>
          <w:sz w:val="22"/>
          <w:szCs w:val="22"/>
        </w:rPr>
        <w:t>Two new presentations (100 mL suspension &amp; 20’s tablets) are intended to replace the current 70 mL and 14’s tablet presentations. For an interim period both (70 mL &amp; 14’s) presentations will be PBS listed to facilitate the drawing down of current stock levels. The 70 mL suspension and 14’s tablet will be deleted in approximately 12 months after launch of 100 mL suspension and 20 tablet presentations.</w:t>
      </w:r>
    </w:p>
    <w:p w:rsidR="005D2C2A" w:rsidRPr="00557DD8" w:rsidRDefault="005D2C2A" w:rsidP="00557DD8">
      <w:pPr>
        <w:ind w:left="720"/>
        <w:jc w:val="both"/>
        <w:rPr>
          <w:rFonts w:ascii="Arial" w:hAnsi="Arial" w:cs="Arial"/>
          <w:sz w:val="22"/>
          <w:szCs w:val="22"/>
        </w:rPr>
      </w:pPr>
    </w:p>
    <w:sectPr w:rsidR="005D2C2A" w:rsidRPr="00557DD8"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76E" w:rsidRDefault="0024776E">
      <w:r>
        <w:separator/>
      </w:r>
    </w:p>
    <w:p w:rsidR="0024776E" w:rsidRDefault="0024776E"/>
  </w:endnote>
  <w:endnote w:type="continuationSeparator" w:id="0">
    <w:p w:rsidR="0024776E" w:rsidRDefault="0024776E">
      <w:r>
        <w:continuationSeparator/>
      </w:r>
    </w:p>
    <w:p w:rsidR="0024776E" w:rsidRDefault="00247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776E" w:rsidTr="005A3173">
      <w:trPr>
        <w:trHeight w:val="151"/>
      </w:trPr>
      <w:tc>
        <w:tcPr>
          <w:tcW w:w="2250" w:type="pct"/>
          <w:tcBorders>
            <w:top w:val="nil"/>
            <w:left w:val="nil"/>
            <w:bottom w:val="single" w:sz="4" w:space="0" w:color="4F81BD"/>
            <w:right w:val="nil"/>
          </w:tcBorders>
        </w:tcPr>
        <w:p w:rsidR="0024776E" w:rsidRPr="005A3173" w:rsidRDefault="0024776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776E" w:rsidRPr="005A3173" w:rsidRDefault="0024776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776E" w:rsidRPr="005A3173" w:rsidRDefault="0024776E" w:rsidP="005A3173">
          <w:pPr>
            <w:pStyle w:val="Header"/>
            <w:spacing w:line="276" w:lineRule="auto"/>
            <w:rPr>
              <w:rFonts w:ascii="Calibri" w:eastAsia="MS Gothic" w:hAnsi="Calibri"/>
              <w:b/>
              <w:bCs/>
              <w:color w:val="4F81BD"/>
            </w:rPr>
          </w:pPr>
        </w:p>
      </w:tc>
    </w:tr>
    <w:tr w:rsidR="0024776E" w:rsidTr="005A3173">
      <w:trPr>
        <w:trHeight w:val="150"/>
      </w:trPr>
      <w:tc>
        <w:tcPr>
          <w:tcW w:w="2250" w:type="pct"/>
          <w:tcBorders>
            <w:top w:val="single" w:sz="4" w:space="0" w:color="4F81BD"/>
            <w:left w:val="nil"/>
            <w:bottom w:val="nil"/>
            <w:right w:val="nil"/>
          </w:tcBorders>
        </w:tcPr>
        <w:p w:rsidR="0024776E" w:rsidRPr="005A3173" w:rsidRDefault="0024776E" w:rsidP="005A3173">
          <w:pPr>
            <w:pStyle w:val="Header"/>
            <w:spacing w:line="276" w:lineRule="auto"/>
            <w:rPr>
              <w:rFonts w:ascii="Calibri" w:eastAsia="MS Gothic" w:hAnsi="Calibri"/>
              <w:b/>
              <w:bCs/>
              <w:color w:val="4F81BD"/>
            </w:rPr>
          </w:pPr>
        </w:p>
      </w:tc>
      <w:tc>
        <w:tcPr>
          <w:tcW w:w="0" w:type="auto"/>
          <w:vMerge/>
          <w:vAlign w:val="center"/>
          <w:hideMark/>
        </w:tcPr>
        <w:p w:rsidR="0024776E" w:rsidRPr="005A3173" w:rsidRDefault="0024776E" w:rsidP="005A3173">
          <w:pPr>
            <w:rPr>
              <w:rFonts w:ascii="Calibri" w:hAnsi="Calibri"/>
              <w:color w:val="365F91"/>
              <w:sz w:val="22"/>
              <w:szCs w:val="22"/>
            </w:rPr>
          </w:pPr>
        </w:p>
      </w:tc>
      <w:tc>
        <w:tcPr>
          <w:tcW w:w="2250" w:type="pct"/>
          <w:tcBorders>
            <w:top w:val="single" w:sz="4" w:space="0" w:color="4F81BD"/>
            <w:left w:val="nil"/>
            <w:bottom w:val="nil"/>
            <w:right w:val="nil"/>
          </w:tcBorders>
        </w:tcPr>
        <w:p w:rsidR="0024776E" w:rsidRPr="005A3173" w:rsidRDefault="0024776E" w:rsidP="005A3173">
          <w:pPr>
            <w:pStyle w:val="Header"/>
            <w:spacing w:line="276" w:lineRule="auto"/>
            <w:rPr>
              <w:rFonts w:ascii="Calibri" w:eastAsia="MS Gothic" w:hAnsi="Calibri"/>
              <w:b/>
              <w:bCs/>
              <w:color w:val="4F81BD"/>
            </w:rPr>
          </w:pPr>
        </w:p>
      </w:tc>
    </w:tr>
  </w:tbl>
  <w:p w:rsidR="0024776E" w:rsidRDefault="0024776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76E" w:rsidRDefault="0024776E">
    <w:pPr>
      <w:pStyle w:val="Footer"/>
    </w:pPr>
  </w:p>
  <w:p w:rsidR="0024776E" w:rsidRDefault="002477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EE2071" w:rsidRPr="00BD68CF" w:rsidRDefault="00EE2071" w:rsidP="00EE2071">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693F20">
          <w:rPr>
            <w:rFonts w:ascii="Arial Narrow" w:hAnsi="Arial Narrow"/>
            <w:noProof/>
            <w:sz w:val="20"/>
            <w:szCs w:val="20"/>
          </w:rPr>
          <w:t>2</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4776E" w:rsidTr="005A3173">
      <w:trPr>
        <w:trHeight w:val="151"/>
      </w:trPr>
      <w:tc>
        <w:tcPr>
          <w:tcW w:w="2250" w:type="pct"/>
          <w:tcBorders>
            <w:top w:val="nil"/>
            <w:left w:val="nil"/>
            <w:bottom w:val="single" w:sz="4" w:space="0" w:color="4F81BD"/>
            <w:right w:val="nil"/>
          </w:tcBorders>
        </w:tcPr>
        <w:p w:rsidR="0024776E" w:rsidRPr="005A3173" w:rsidRDefault="0024776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776E" w:rsidRPr="005A3173" w:rsidRDefault="0024776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776E" w:rsidRPr="005A3173" w:rsidRDefault="0024776E" w:rsidP="005A3173">
          <w:pPr>
            <w:pStyle w:val="Header"/>
            <w:spacing w:line="276" w:lineRule="auto"/>
            <w:rPr>
              <w:rFonts w:ascii="Calibri" w:eastAsia="MS Gothic" w:hAnsi="Calibri"/>
              <w:b/>
              <w:bCs/>
              <w:color w:val="4F81BD"/>
            </w:rPr>
          </w:pPr>
        </w:p>
      </w:tc>
    </w:tr>
    <w:tr w:rsidR="0024776E" w:rsidTr="005A3173">
      <w:trPr>
        <w:trHeight w:val="150"/>
      </w:trPr>
      <w:tc>
        <w:tcPr>
          <w:tcW w:w="2250" w:type="pct"/>
          <w:tcBorders>
            <w:top w:val="single" w:sz="4" w:space="0" w:color="4F81BD"/>
            <w:left w:val="nil"/>
            <w:bottom w:val="nil"/>
            <w:right w:val="nil"/>
          </w:tcBorders>
        </w:tcPr>
        <w:p w:rsidR="0024776E" w:rsidRPr="005A3173" w:rsidRDefault="0024776E" w:rsidP="005A3173">
          <w:pPr>
            <w:pStyle w:val="Header"/>
            <w:spacing w:line="276" w:lineRule="auto"/>
            <w:rPr>
              <w:rFonts w:ascii="Calibri" w:eastAsia="MS Gothic" w:hAnsi="Calibri"/>
              <w:b/>
              <w:bCs/>
              <w:color w:val="4F81BD"/>
            </w:rPr>
          </w:pPr>
        </w:p>
      </w:tc>
      <w:tc>
        <w:tcPr>
          <w:tcW w:w="0" w:type="auto"/>
          <w:vMerge/>
          <w:vAlign w:val="center"/>
          <w:hideMark/>
        </w:tcPr>
        <w:p w:rsidR="0024776E" w:rsidRPr="005A3173" w:rsidRDefault="0024776E" w:rsidP="005A3173">
          <w:pPr>
            <w:rPr>
              <w:rFonts w:ascii="Calibri" w:hAnsi="Calibri"/>
              <w:color w:val="365F91"/>
              <w:sz w:val="22"/>
              <w:szCs w:val="22"/>
            </w:rPr>
          </w:pPr>
        </w:p>
      </w:tc>
      <w:tc>
        <w:tcPr>
          <w:tcW w:w="2250" w:type="pct"/>
          <w:tcBorders>
            <w:top w:val="single" w:sz="4" w:space="0" w:color="4F81BD"/>
            <w:left w:val="nil"/>
            <w:bottom w:val="nil"/>
            <w:right w:val="nil"/>
          </w:tcBorders>
        </w:tcPr>
        <w:p w:rsidR="0024776E" w:rsidRPr="005A3173" w:rsidRDefault="0024776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776E" w:rsidTr="005A3173">
      <w:trPr>
        <w:trHeight w:val="151"/>
      </w:trPr>
      <w:tc>
        <w:tcPr>
          <w:tcW w:w="2250" w:type="pct"/>
          <w:tcBorders>
            <w:top w:val="nil"/>
            <w:left w:val="nil"/>
            <w:bottom w:val="single" w:sz="4" w:space="0" w:color="4F81BD"/>
            <w:right w:val="nil"/>
          </w:tcBorders>
        </w:tcPr>
        <w:p w:rsidR="0024776E" w:rsidRPr="005A3173" w:rsidRDefault="0024776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776E" w:rsidRPr="005A3173" w:rsidRDefault="0024776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776E" w:rsidRPr="005A3173" w:rsidRDefault="0024776E" w:rsidP="005A3173">
          <w:pPr>
            <w:pStyle w:val="Header"/>
            <w:spacing w:line="276" w:lineRule="auto"/>
            <w:rPr>
              <w:rFonts w:ascii="Calibri" w:eastAsia="MS Gothic" w:hAnsi="Calibri"/>
              <w:b/>
              <w:bCs/>
              <w:color w:val="4F81BD"/>
            </w:rPr>
          </w:pPr>
        </w:p>
      </w:tc>
    </w:tr>
    <w:tr w:rsidR="0024776E" w:rsidTr="005A3173">
      <w:trPr>
        <w:trHeight w:val="150"/>
      </w:trPr>
      <w:tc>
        <w:tcPr>
          <w:tcW w:w="2250" w:type="pct"/>
          <w:tcBorders>
            <w:top w:val="single" w:sz="4" w:space="0" w:color="4F81BD"/>
            <w:left w:val="nil"/>
            <w:bottom w:val="nil"/>
            <w:right w:val="nil"/>
          </w:tcBorders>
        </w:tcPr>
        <w:p w:rsidR="0024776E" w:rsidRPr="005A3173" w:rsidRDefault="0024776E" w:rsidP="005A3173">
          <w:pPr>
            <w:pStyle w:val="Header"/>
            <w:spacing w:line="276" w:lineRule="auto"/>
            <w:rPr>
              <w:rFonts w:ascii="Calibri" w:eastAsia="MS Gothic" w:hAnsi="Calibri"/>
              <w:b/>
              <w:bCs/>
              <w:color w:val="4F81BD"/>
            </w:rPr>
          </w:pPr>
        </w:p>
      </w:tc>
      <w:tc>
        <w:tcPr>
          <w:tcW w:w="0" w:type="auto"/>
          <w:vMerge/>
          <w:vAlign w:val="center"/>
          <w:hideMark/>
        </w:tcPr>
        <w:p w:rsidR="0024776E" w:rsidRPr="005A3173" w:rsidRDefault="0024776E" w:rsidP="005A3173">
          <w:pPr>
            <w:rPr>
              <w:rFonts w:ascii="Calibri" w:hAnsi="Calibri"/>
              <w:color w:val="365F91"/>
              <w:sz w:val="22"/>
              <w:szCs w:val="22"/>
            </w:rPr>
          </w:pPr>
        </w:p>
      </w:tc>
      <w:tc>
        <w:tcPr>
          <w:tcW w:w="2250" w:type="pct"/>
          <w:tcBorders>
            <w:top w:val="single" w:sz="4" w:space="0" w:color="4F81BD"/>
            <w:left w:val="nil"/>
            <w:bottom w:val="nil"/>
            <w:right w:val="nil"/>
          </w:tcBorders>
        </w:tcPr>
        <w:p w:rsidR="0024776E" w:rsidRPr="005A3173" w:rsidRDefault="0024776E" w:rsidP="005A3173">
          <w:pPr>
            <w:pStyle w:val="Header"/>
            <w:spacing w:line="276" w:lineRule="auto"/>
            <w:rPr>
              <w:rFonts w:ascii="Calibri" w:eastAsia="MS Gothic" w:hAnsi="Calibri"/>
              <w:b/>
              <w:bCs/>
              <w:color w:val="4F81BD"/>
            </w:rPr>
          </w:pPr>
        </w:p>
      </w:tc>
    </w:tr>
  </w:tbl>
  <w:p w:rsidR="0024776E" w:rsidRPr="007C0F57" w:rsidRDefault="0024776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4776E" w:rsidRPr="007C0F57" w:rsidRDefault="0024776E" w:rsidP="007C0F57">
    <w:pPr>
      <w:pStyle w:val="Footer"/>
      <w:jc w:val="center"/>
      <w:rPr>
        <w:b/>
        <w:i/>
        <w:sz w:val="20"/>
        <w:szCs w:val="20"/>
      </w:rPr>
    </w:pPr>
    <w:r w:rsidRPr="007C0F57">
      <w:rPr>
        <w:b/>
        <w:i/>
        <w:sz w:val="20"/>
        <w:szCs w:val="20"/>
      </w:rPr>
      <w:t>Commercial-in-Confidence</w:t>
    </w:r>
  </w:p>
  <w:p w:rsidR="0024776E" w:rsidRDefault="002477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76E" w:rsidRDefault="0024776E">
      <w:r>
        <w:separator/>
      </w:r>
    </w:p>
    <w:p w:rsidR="0024776E" w:rsidRDefault="0024776E"/>
  </w:footnote>
  <w:footnote w:type="continuationSeparator" w:id="0">
    <w:p w:rsidR="0024776E" w:rsidRDefault="0024776E">
      <w:r>
        <w:continuationSeparator/>
      </w:r>
    </w:p>
    <w:p w:rsidR="0024776E" w:rsidRDefault="002477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4776E" w:rsidRPr="008E0D90" w:rsidTr="00A06225">
      <w:trPr>
        <w:trHeight w:val="151"/>
      </w:trPr>
      <w:tc>
        <w:tcPr>
          <w:tcW w:w="2389" w:type="pct"/>
          <w:tcBorders>
            <w:top w:val="nil"/>
            <w:left w:val="nil"/>
            <w:bottom w:val="single" w:sz="4" w:space="0" w:color="4F81BD"/>
            <w:right w:val="nil"/>
          </w:tcBorders>
        </w:tcPr>
        <w:p w:rsidR="0024776E" w:rsidRPr="00A06225" w:rsidRDefault="0024776E">
          <w:pPr>
            <w:pStyle w:val="Header"/>
            <w:spacing w:line="276" w:lineRule="auto"/>
            <w:rPr>
              <w:rFonts w:ascii="Cambria" w:eastAsia="MS Gothic" w:hAnsi="Cambria"/>
              <w:b/>
              <w:bCs/>
              <w:color w:val="4F81BD"/>
            </w:rPr>
          </w:pPr>
        </w:p>
      </w:tc>
      <w:tc>
        <w:tcPr>
          <w:tcW w:w="333" w:type="pct"/>
          <w:vMerge w:val="restart"/>
          <w:noWrap/>
          <w:vAlign w:val="center"/>
          <w:hideMark/>
        </w:tcPr>
        <w:p w:rsidR="0024776E" w:rsidRPr="00A06225" w:rsidRDefault="0024776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4776E" w:rsidRPr="00A06225" w:rsidRDefault="0024776E">
          <w:pPr>
            <w:pStyle w:val="Header"/>
            <w:spacing w:line="276" w:lineRule="auto"/>
            <w:rPr>
              <w:rFonts w:ascii="Cambria" w:eastAsia="MS Gothic" w:hAnsi="Cambria"/>
              <w:b/>
              <w:bCs/>
              <w:color w:val="4F81BD"/>
            </w:rPr>
          </w:pPr>
        </w:p>
      </w:tc>
    </w:tr>
    <w:tr w:rsidR="0024776E" w:rsidRPr="008E0D90" w:rsidTr="00A06225">
      <w:trPr>
        <w:trHeight w:val="150"/>
      </w:trPr>
      <w:tc>
        <w:tcPr>
          <w:tcW w:w="2389" w:type="pct"/>
          <w:tcBorders>
            <w:top w:val="single" w:sz="4" w:space="0" w:color="4F81BD"/>
            <w:left w:val="nil"/>
            <w:bottom w:val="nil"/>
            <w:right w:val="nil"/>
          </w:tcBorders>
        </w:tcPr>
        <w:p w:rsidR="0024776E" w:rsidRPr="00A06225" w:rsidRDefault="0024776E">
          <w:pPr>
            <w:pStyle w:val="Header"/>
            <w:spacing w:line="276" w:lineRule="auto"/>
            <w:rPr>
              <w:rFonts w:ascii="Cambria" w:eastAsia="MS Gothic" w:hAnsi="Cambria"/>
              <w:b/>
              <w:bCs/>
              <w:color w:val="4F81BD"/>
            </w:rPr>
          </w:pPr>
        </w:p>
      </w:tc>
      <w:tc>
        <w:tcPr>
          <w:tcW w:w="0" w:type="auto"/>
          <w:vMerge/>
          <w:vAlign w:val="center"/>
          <w:hideMark/>
        </w:tcPr>
        <w:p w:rsidR="0024776E" w:rsidRPr="00A06225" w:rsidRDefault="0024776E">
          <w:pPr>
            <w:rPr>
              <w:rFonts w:ascii="Cambria" w:hAnsi="Cambria"/>
              <w:color w:val="4F81BD"/>
              <w:sz w:val="22"/>
              <w:szCs w:val="22"/>
            </w:rPr>
          </w:pPr>
        </w:p>
      </w:tc>
      <w:tc>
        <w:tcPr>
          <w:tcW w:w="2278" w:type="pct"/>
          <w:tcBorders>
            <w:top w:val="single" w:sz="4" w:space="0" w:color="4F81BD"/>
            <w:left w:val="nil"/>
            <w:bottom w:val="nil"/>
            <w:right w:val="nil"/>
          </w:tcBorders>
        </w:tcPr>
        <w:p w:rsidR="0024776E" w:rsidRPr="00A06225" w:rsidRDefault="0024776E">
          <w:pPr>
            <w:pStyle w:val="Header"/>
            <w:spacing w:line="276" w:lineRule="auto"/>
            <w:rPr>
              <w:rFonts w:ascii="Cambria" w:eastAsia="MS Gothic" w:hAnsi="Cambria"/>
              <w:b/>
              <w:bCs/>
              <w:color w:val="4F81BD"/>
            </w:rPr>
          </w:pPr>
        </w:p>
      </w:tc>
    </w:tr>
  </w:tbl>
  <w:p w:rsidR="0024776E" w:rsidRDefault="0024776E">
    <w:pPr>
      <w:pStyle w:val="Header"/>
    </w:pPr>
  </w:p>
  <w:p w:rsidR="0024776E" w:rsidRDefault="002477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51" w:rsidRPr="00BE15D7" w:rsidRDefault="00174751" w:rsidP="00174751">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24776E" w:rsidRPr="00174751" w:rsidRDefault="0024776E" w:rsidP="00174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50D"/>
    <w:multiLevelType w:val="hybridMultilevel"/>
    <w:tmpl w:val="CDFA987A"/>
    <w:lvl w:ilvl="0" w:tplc="0C09001B">
      <w:start w:val="1"/>
      <w:numFmt w:val="lowerRoman"/>
      <w:lvlText w:val="%1."/>
      <w:lvlJc w:val="right"/>
      <w:pPr>
        <w:ind w:left="775" w:hanging="360"/>
      </w:pPr>
      <w:rPr>
        <w:rFonts w:hint="default"/>
      </w:r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79C2900"/>
    <w:multiLevelType w:val="hybridMultilevel"/>
    <w:tmpl w:val="1D1E88AE"/>
    <w:lvl w:ilvl="0" w:tplc="89260BD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A441B2"/>
    <w:multiLevelType w:val="hybridMultilevel"/>
    <w:tmpl w:val="7AD6FF7E"/>
    <w:lvl w:ilvl="0" w:tplc="13AA9EB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1306086F"/>
    <w:multiLevelType w:val="hybridMultilevel"/>
    <w:tmpl w:val="16586E72"/>
    <w:lvl w:ilvl="0" w:tplc="0C09001B">
      <w:start w:val="1"/>
      <w:numFmt w:val="lowerRoman"/>
      <w:lvlText w:val="%1."/>
      <w:lvlJc w:val="righ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230371D"/>
    <w:multiLevelType w:val="hybridMultilevel"/>
    <w:tmpl w:val="4F50FE3A"/>
    <w:lvl w:ilvl="0" w:tplc="0C090017">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nsid w:val="48F46F2C"/>
    <w:multiLevelType w:val="hybridMultilevel"/>
    <w:tmpl w:val="AD7AA196"/>
    <w:lvl w:ilvl="0" w:tplc="A3D6CA58">
      <w:start w:val="1"/>
      <w:numFmt w:val="lowerRoman"/>
      <w:lvlText w:val="%1)"/>
      <w:lvlJc w:val="left"/>
      <w:pPr>
        <w:ind w:left="1440" w:hanging="720"/>
      </w:pPr>
      <w:rPr>
        <w:rFonts w:hint="default"/>
      </w:rPr>
    </w:lvl>
    <w:lvl w:ilvl="1" w:tplc="0C09000F">
      <w:start w:val="1"/>
      <w:numFmt w:val="decimal"/>
      <w:lvlText w:val="%2."/>
      <w:lvlJc w:val="left"/>
      <w:pPr>
        <w:ind w:left="1800" w:hanging="360"/>
      </w:pPr>
      <w:rPr>
        <w:rFonts w:hint="default"/>
      </w:rPr>
    </w:lvl>
    <w:lvl w:ilvl="2" w:tplc="0C09001B">
      <w:start w:val="1"/>
      <w:numFmt w:val="lowerRoman"/>
      <w:lvlText w:val="%3."/>
      <w:lvlJc w:val="right"/>
      <w:pPr>
        <w:ind w:left="2520" w:hanging="180"/>
      </w:pPr>
    </w:lvl>
    <w:lvl w:ilvl="3" w:tplc="A55C53E0">
      <w:start w:val="1"/>
      <w:numFmt w:val="lowerLetter"/>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4B4901FF"/>
    <w:multiLevelType w:val="hybridMultilevel"/>
    <w:tmpl w:val="E6F4E1E0"/>
    <w:lvl w:ilvl="0" w:tplc="F136247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5D6D674A"/>
    <w:multiLevelType w:val="hybridMultilevel"/>
    <w:tmpl w:val="E6F4E1E0"/>
    <w:lvl w:ilvl="0" w:tplc="F136247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67561396"/>
    <w:multiLevelType w:val="hybridMultilevel"/>
    <w:tmpl w:val="141CFB2E"/>
    <w:lvl w:ilvl="0" w:tplc="0C09001B">
      <w:start w:val="1"/>
      <w:numFmt w:val="lowerRoman"/>
      <w:lvlText w:val="%1."/>
      <w:lvlJc w:val="right"/>
      <w:pPr>
        <w:ind w:left="180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7C12A56"/>
    <w:multiLevelType w:val="hybridMultilevel"/>
    <w:tmpl w:val="A27ACE62"/>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nsid w:val="68EA1610"/>
    <w:multiLevelType w:val="hybridMultilevel"/>
    <w:tmpl w:val="0C927780"/>
    <w:lvl w:ilvl="0" w:tplc="0C090017">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784D033C"/>
    <w:multiLevelType w:val="multilevel"/>
    <w:tmpl w:val="981854E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911624A"/>
    <w:multiLevelType w:val="hybridMultilevel"/>
    <w:tmpl w:val="F7AAF5CE"/>
    <w:lvl w:ilvl="0" w:tplc="7D76A1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DB265B7"/>
    <w:multiLevelType w:val="hybridMultilevel"/>
    <w:tmpl w:val="E54A098E"/>
    <w:lvl w:ilvl="0" w:tplc="5A501BC0">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5"/>
  </w:num>
  <w:num w:numId="3">
    <w:abstractNumId w:val="1"/>
  </w:num>
  <w:num w:numId="4">
    <w:abstractNumId w:val="14"/>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2"/>
  </w:num>
  <w:num w:numId="11">
    <w:abstractNumId w:val="9"/>
  </w:num>
  <w:num w:numId="12">
    <w:abstractNumId w:val="16"/>
  </w:num>
  <w:num w:numId="13">
    <w:abstractNumId w:val="11"/>
  </w:num>
  <w:num w:numId="14">
    <w:abstractNumId w:val="0"/>
  </w:num>
  <w:num w:numId="15">
    <w:abstractNumId w:val="12"/>
  </w:num>
  <w:num w:numId="16">
    <w:abstractNumId w:val="7"/>
  </w:num>
  <w:num w:numId="17">
    <w:abstractNumId w:val="8"/>
  </w:num>
  <w:num w:numId="18">
    <w:abstractNumId w:val="17"/>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6BA"/>
    <w:rsid w:val="000114EB"/>
    <w:rsid w:val="000120C8"/>
    <w:rsid w:val="0002464A"/>
    <w:rsid w:val="00026BB0"/>
    <w:rsid w:val="0003106B"/>
    <w:rsid w:val="000421A1"/>
    <w:rsid w:val="0004240E"/>
    <w:rsid w:val="00045E26"/>
    <w:rsid w:val="000514B5"/>
    <w:rsid w:val="0005630D"/>
    <w:rsid w:val="00060E64"/>
    <w:rsid w:val="00066755"/>
    <w:rsid w:val="0007137C"/>
    <w:rsid w:val="0008442E"/>
    <w:rsid w:val="000969AD"/>
    <w:rsid w:val="000B558D"/>
    <w:rsid w:val="000C45D0"/>
    <w:rsid w:val="000C6996"/>
    <w:rsid w:val="000D23BA"/>
    <w:rsid w:val="000D4E18"/>
    <w:rsid w:val="000E681E"/>
    <w:rsid w:val="000F3FC7"/>
    <w:rsid w:val="000F4E6A"/>
    <w:rsid w:val="001107BF"/>
    <w:rsid w:val="0012417C"/>
    <w:rsid w:val="00142395"/>
    <w:rsid w:val="00142714"/>
    <w:rsid w:val="001452ED"/>
    <w:rsid w:val="00150D76"/>
    <w:rsid w:val="00174751"/>
    <w:rsid w:val="001830CE"/>
    <w:rsid w:val="0019537D"/>
    <w:rsid w:val="00196307"/>
    <w:rsid w:val="001B017F"/>
    <w:rsid w:val="001B5129"/>
    <w:rsid w:val="001C1195"/>
    <w:rsid w:val="001E0A7C"/>
    <w:rsid w:val="00205DD2"/>
    <w:rsid w:val="00213CFB"/>
    <w:rsid w:val="00227E88"/>
    <w:rsid w:val="0024776E"/>
    <w:rsid w:val="00247C20"/>
    <w:rsid w:val="00266A17"/>
    <w:rsid w:val="00271BA1"/>
    <w:rsid w:val="00277505"/>
    <w:rsid w:val="0029458F"/>
    <w:rsid w:val="002A104C"/>
    <w:rsid w:val="002A4960"/>
    <w:rsid w:val="002B1AE6"/>
    <w:rsid w:val="002B30F8"/>
    <w:rsid w:val="002B3598"/>
    <w:rsid w:val="002C212F"/>
    <w:rsid w:val="002E3153"/>
    <w:rsid w:val="002E4A0E"/>
    <w:rsid w:val="002E72CA"/>
    <w:rsid w:val="00303FD0"/>
    <w:rsid w:val="00326E79"/>
    <w:rsid w:val="003367EF"/>
    <w:rsid w:val="00341AE4"/>
    <w:rsid w:val="00385CAC"/>
    <w:rsid w:val="003872CF"/>
    <w:rsid w:val="00397342"/>
    <w:rsid w:val="0039782C"/>
    <w:rsid w:val="003A5B4A"/>
    <w:rsid w:val="003A6AEA"/>
    <w:rsid w:val="003B23C5"/>
    <w:rsid w:val="003B2A75"/>
    <w:rsid w:val="003C46C0"/>
    <w:rsid w:val="003D4AC4"/>
    <w:rsid w:val="003D63B7"/>
    <w:rsid w:val="003E468B"/>
    <w:rsid w:val="003F5C8C"/>
    <w:rsid w:val="0041080B"/>
    <w:rsid w:val="00441986"/>
    <w:rsid w:val="004465BD"/>
    <w:rsid w:val="00466ADA"/>
    <w:rsid w:val="00476245"/>
    <w:rsid w:val="00485940"/>
    <w:rsid w:val="004901D4"/>
    <w:rsid w:val="004A5A85"/>
    <w:rsid w:val="004B5640"/>
    <w:rsid w:val="004C1BD7"/>
    <w:rsid w:val="004C691D"/>
    <w:rsid w:val="004D6029"/>
    <w:rsid w:val="004E692D"/>
    <w:rsid w:val="004F1E16"/>
    <w:rsid w:val="00501554"/>
    <w:rsid w:val="00511FF3"/>
    <w:rsid w:val="00514CD7"/>
    <w:rsid w:val="005319B2"/>
    <w:rsid w:val="00532C74"/>
    <w:rsid w:val="00534E2E"/>
    <w:rsid w:val="00544552"/>
    <w:rsid w:val="00557DD8"/>
    <w:rsid w:val="00581932"/>
    <w:rsid w:val="005963BB"/>
    <w:rsid w:val="005A3173"/>
    <w:rsid w:val="005A3223"/>
    <w:rsid w:val="005A3DA3"/>
    <w:rsid w:val="005A52C4"/>
    <w:rsid w:val="005B0785"/>
    <w:rsid w:val="005D03AB"/>
    <w:rsid w:val="005D2C2A"/>
    <w:rsid w:val="005D5017"/>
    <w:rsid w:val="005E1A78"/>
    <w:rsid w:val="00600187"/>
    <w:rsid w:val="00601A91"/>
    <w:rsid w:val="00602BA3"/>
    <w:rsid w:val="00603636"/>
    <w:rsid w:val="00614159"/>
    <w:rsid w:val="00617C00"/>
    <w:rsid w:val="006263BF"/>
    <w:rsid w:val="0062748A"/>
    <w:rsid w:val="0063017B"/>
    <w:rsid w:val="00630A2C"/>
    <w:rsid w:val="00631310"/>
    <w:rsid w:val="00633AB7"/>
    <w:rsid w:val="00644F4E"/>
    <w:rsid w:val="00651169"/>
    <w:rsid w:val="00653D69"/>
    <w:rsid w:val="00670A76"/>
    <w:rsid w:val="00671130"/>
    <w:rsid w:val="006711AA"/>
    <w:rsid w:val="00672B57"/>
    <w:rsid w:val="00675622"/>
    <w:rsid w:val="006761D9"/>
    <w:rsid w:val="00676395"/>
    <w:rsid w:val="006906DB"/>
    <w:rsid w:val="00693F20"/>
    <w:rsid w:val="006A12A5"/>
    <w:rsid w:val="006A4CE1"/>
    <w:rsid w:val="006A7B4A"/>
    <w:rsid w:val="006B0D94"/>
    <w:rsid w:val="006B485D"/>
    <w:rsid w:val="006C03A2"/>
    <w:rsid w:val="006C708E"/>
    <w:rsid w:val="006D6EC7"/>
    <w:rsid w:val="006F5125"/>
    <w:rsid w:val="007174BB"/>
    <w:rsid w:val="00750368"/>
    <w:rsid w:val="007547E7"/>
    <w:rsid w:val="0076420C"/>
    <w:rsid w:val="0076669D"/>
    <w:rsid w:val="007753C2"/>
    <w:rsid w:val="007838B8"/>
    <w:rsid w:val="007922D5"/>
    <w:rsid w:val="007C0F57"/>
    <w:rsid w:val="007C40B6"/>
    <w:rsid w:val="007C729F"/>
    <w:rsid w:val="007E1D28"/>
    <w:rsid w:val="007F2641"/>
    <w:rsid w:val="007F7C36"/>
    <w:rsid w:val="00806796"/>
    <w:rsid w:val="00823D4B"/>
    <w:rsid w:val="008262F7"/>
    <w:rsid w:val="00826F6D"/>
    <w:rsid w:val="00830590"/>
    <w:rsid w:val="00856DDD"/>
    <w:rsid w:val="00861F0D"/>
    <w:rsid w:val="00863E68"/>
    <w:rsid w:val="00882085"/>
    <w:rsid w:val="00883188"/>
    <w:rsid w:val="008903C5"/>
    <w:rsid w:val="00897D58"/>
    <w:rsid w:val="008A14A4"/>
    <w:rsid w:val="008A1956"/>
    <w:rsid w:val="008A4937"/>
    <w:rsid w:val="008C2BAD"/>
    <w:rsid w:val="008D3C82"/>
    <w:rsid w:val="008D447E"/>
    <w:rsid w:val="008D7A41"/>
    <w:rsid w:val="008E3680"/>
    <w:rsid w:val="008E5870"/>
    <w:rsid w:val="008F1434"/>
    <w:rsid w:val="008F7355"/>
    <w:rsid w:val="009067B7"/>
    <w:rsid w:val="0091028B"/>
    <w:rsid w:val="00930937"/>
    <w:rsid w:val="00933E6C"/>
    <w:rsid w:val="00942160"/>
    <w:rsid w:val="009550CF"/>
    <w:rsid w:val="009602C5"/>
    <w:rsid w:val="00974C21"/>
    <w:rsid w:val="009931D5"/>
    <w:rsid w:val="009B0F67"/>
    <w:rsid w:val="009C5CA8"/>
    <w:rsid w:val="009C703C"/>
    <w:rsid w:val="009D3CAA"/>
    <w:rsid w:val="009E230E"/>
    <w:rsid w:val="009F4E46"/>
    <w:rsid w:val="009F5B65"/>
    <w:rsid w:val="009F5F2E"/>
    <w:rsid w:val="00A06225"/>
    <w:rsid w:val="00A128E6"/>
    <w:rsid w:val="00A37C8D"/>
    <w:rsid w:val="00A51DD6"/>
    <w:rsid w:val="00A5273B"/>
    <w:rsid w:val="00A53A9D"/>
    <w:rsid w:val="00A55FEE"/>
    <w:rsid w:val="00A62C1A"/>
    <w:rsid w:val="00A6426D"/>
    <w:rsid w:val="00A70622"/>
    <w:rsid w:val="00A70977"/>
    <w:rsid w:val="00A8390C"/>
    <w:rsid w:val="00A928BD"/>
    <w:rsid w:val="00AA2616"/>
    <w:rsid w:val="00AA4D1C"/>
    <w:rsid w:val="00AC5206"/>
    <w:rsid w:val="00AE11A5"/>
    <w:rsid w:val="00AE13E2"/>
    <w:rsid w:val="00AF68CC"/>
    <w:rsid w:val="00AF71AC"/>
    <w:rsid w:val="00B04513"/>
    <w:rsid w:val="00B1783D"/>
    <w:rsid w:val="00B205AA"/>
    <w:rsid w:val="00B22E84"/>
    <w:rsid w:val="00B25F75"/>
    <w:rsid w:val="00B34E7A"/>
    <w:rsid w:val="00B43E90"/>
    <w:rsid w:val="00B56118"/>
    <w:rsid w:val="00B6773F"/>
    <w:rsid w:val="00B801BA"/>
    <w:rsid w:val="00B87149"/>
    <w:rsid w:val="00BB12BF"/>
    <w:rsid w:val="00BB69F5"/>
    <w:rsid w:val="00BB7EC3"/>
    <w:rsid w:val="00BC4B9A"/>
    <w:rsid w:val="00BD784C"/>
    <w:rsid w:val="00BE6DBB"/>
    <w:rsid w:val="00BF1E73"/>
    <w:rsid w:val="00BF4CB6"/>
    <w:rsid w:val="00C00DA7"/>
    <w:rsid w:val="00C12768"/>
    <w:rsid w:val="00C27B58"/>
    <w:rsid w:val="00C35996"/>
    <w:rsid w:val="00C5342C"/>
    <w:rsid w:val="00C6256A"/>
    <w:rsid w:val="00C91449"/>
    <w:rsid w:val="00C92D10"/>
    <w:rsid w:val="00CE10C4"/>
    <w:rsid w:val="00CE27B5"/>
    <w:rsid w:val="00CF5834"/>
    <w:rsid w:val="00D0321E"/>
    <w:rsid w:val="00D1455A"/>
    <w:rsid w:val="00D236D3"/>
    <w:rsid w:val="00D3280C"/>
    <w:rsid w:val="00D3406A"/>
    <w:rsid w:val="00D34EF0"/>
    <w:rsid w:val="00D43A61"/>
    <w:rsid w:val="00D469B2"/>
    <w:rsid w:val="00D669DA"/>
    <w:rsid w:val="00D741EB"/>
    <w:rsid w:val="00D84934"/>
    <w:rsid w:val="00D91271"/>
    <w:rsid w:val="00DA2CB5"/>
    <w:rsid w:val="00DA4BAC"/>
    <w:rsid w:val="00DB2F5A"/>
    <w:rsid w:val="00DC1CBB"/>
    <w:rsid w:val="00DE6D27"/>
    <w:rsid w:val="00DF217D"/>
    <w:rsid w:val="00DF26A7"/>
    <w:rsid w:val="00E164B3"/>
    <w:rsid w:val="00E16910"/>
    <w:rsid w:val="00E53BDF"/>
    <w:rsid w:val="00E612C1"/>
    <w:rsid w:val="00E65E54"/>
    <w:rsid w:val="00E80155"/>
    <w:rsid w:val="00E848C0"/>
    <w:rsid w:val="00E87E9E"/>
    <w:rsid w:val="00E91B96"/>
    <w:rsid w:val="00E941A1"/>
    <w:rsid w:val="00E95CE3"/>
    <w:rsid w:val="00EA2825"/>
    <w:rsid w:val="00EB5088"/>
    <w:rsid w:val="00ED1644"/>
    <w:rsid w:val="00ED3879"/>
    <w:rsid w:val="00EE2071"/>
    <w:rsid w:val="00EF0714"/>
    <w:rsid w:val="00EF44A0"/>
    <w:rsid w:val="00EF4FED"/>
    <w:rsid w:val="00F050BD"/>
    <w:rsid w:val="00F05657"/>
    <w:rsid w:val="00F07E27"/>
    <w:rsid w:val="00F25578"/>
    <w:rsid w:val="00F258E5"/>
    <w:rsid w:val="00F300BC"/>
    <w:rsid w:val="00F3065F"/>
    <w:rsid w:val="00F3334E"/>
    <w:rsid w:val="00F3481D"/>
    <w:rsid w:val="00F45B7C"/>
    <w:rsid w:val="00F50EC4"/>
    <w:rsid w:val="00F51AB8"/>
    <w:rsid w:val="00F54B99"/>
    <w:rsid w:val="00F56F64"/>
    <w:rsid w:val="00F57A6D"/>
    <w:rsid w:val="00F638CC"/>
    <w:rsid w:val="00F64CC1"/>
    <w:rsid w:val="00F71779"/>
    <w:rsid w:val="00F8247A"/>
    <w:rsid w:val="00F913A8"/>
    <w:rsid w:val="00F9629A"/>
    <w:rsid w:val="00FA5883"/>
    <w:rsid w:val="00FA6055"/>
    <w:rsid w:val="00FA7812"/>
    <w:rsid w:val="00FB322F"/>
    <w:rsid w:val="00FB442F"/>
    <w:rsid w:val="00FC04E2"/>
    <w:rsid w:val="00FC1929"/>
    <w:rsid w:val="00FC5B46"/>
    <w:rsid w:val="00FD6360"/>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4D6029"/>
    <w:pPr>
      <w:ind w:firstLine="720"/>
      <w:jc w:val="both"/>
      <w:outlineLvl w:val="1"/>
    </w:pPr>
    <w:rPr>
      <w:rFonts w:ascii="Arial" w:hAnsi="Arial"/>
      <w:sz w:val="22"/>
      <w:szCs w:val="22"/>
      <w:u w:val="single"/>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basedOn w:val="ListParagraph"/>
    <w:qFormat/>
    <w:rsid w:val="004D6029"/>
    <w:pPr>
      <w:numPr>
        <w:numId w:val="2"/>
      </w:numPr>
      <w:jc w:val="both"/>
      <w:outlineLvl w:val="0"/>
    </w:pPr>
    <w:rPr>
      <w:rFonts w:ascii="Arial" w:hAnsi="Arial"/>
      <w:b/>
      <w:sz w:val="22"/>
      <w:szCs w:val="22"/>
    </w:rPr>
  </w:style>
  <w:style w:type="paragraph" w:styleId="Title">
    <w:name w:val="Title"/>
    <w:basedOn w:val="Normal"/>
    <w:next w:val="Normal"/>
    <w:link w:val="TitleChar"/>
    <w:qFormat/>
    <w:rsid w:val="004D6029"/>
    <w:pPr>
      <w:ind w:left="720" w:hanging="720"/>
      <w:outlineLvl w:val="0"/>
    </w:pPr>
    <w:rPr>
      <w:rFonts w:ascii="Arial" w:hAnsi="Arial"/>
      <w:b/>
      <w:sz w:val="28"/>
      <w:szCs w:val="28"/>
    </w:rPr>
  </w:style>
  <w:style w:type="character" w:customStyle="1" w:styleId="TitleChar">
    <w:name w:val="Title Char"/>
    <w:basedOn w:val="DefaultParagraphFont"/>
    <w:link w:val="Title"/>
    <w:rsid w:val="004D6029"/>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4D6029"/>
    <w:pPr>
      <w:ind w:firstLine="720"/>
      <w:jc w:val="both"/>
      <w:outlineLvl w:val="1"/>
    </w:pPr>
    <w:rPr>
      <w:rFonts w:ascii="Arial" w:hAnsi="Arial"/>
      <w:sz w:val="22"/>
      <w:szCs w:val="22"/>
      <w:u w:val="single"/>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basedOn w:val="ListParagraph"/>
    <w:qFormat/>
    <w:rsid w:val="004D6029"/>
    <w:pPr>
      <w:numPr>
        <w:numId w:val="2"/>
      </w:numPr>
      <w:jc w:val="both"/>
      <w:outlineLvl w:val="0"/>
    </w:pPr>
    <w:rPr>
      <w:rFonts w:ascii="Arial" w:hAnsi="Arial"/>
      <w:b/>
      <w:sz w:val="22"/>
      <w:szCs w:val="22"/>
    </w:rPr>
  </w:style>
  <w:style w:type="paragraph" w:styleId="Title">
    <w:name w:val="Title"/>
    <w:basedOn w:val="Normal"/>
    <w:next w:val="Normal"/>
    <w:link w:val="TitleChar"/>
    <w:qFormat/>
    <w:rsid w:val="004D6029"/>
    <w:pPr>
      <w:ind w:left="720" w:hanging="720"/>
      <w:outlineLvl w:val="0"/>
    </w:pPr>
    <w:rPr>
      <w:rFonts w:ascii="Arial" w:hAnsi="Arial"/>
      <w:b/>
      <w:sz w:val="28"/>
      <w:szCs w:val="28"/>
    </w:rPr>
  </w:style>
  <w:style w:type="character" w:customStyle="1" w:styleId="TitleChar">
    <w:name w:val="Title Char"/>
    <w:basedOn w:val="DefaultParagraphFont"/>
    <w:link w:val="Title"/>
    <w:rsid w:val="004D6029"/>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3EF2A-A17E-4817-8F89-1411E4A8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1453</Words>
  <Characters>7411</Characters>
  <Application>Microsoft Office Word</Application>
  <DocSecurity>2</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2015-11-19T03:28:00Z</dcterms:created>
  <dcterms:modified xsi:type="dcterms:W3CDTF">2016-02-26T00:02:00Z</dcterms:modified>
</cp:coreProperties>
</file>