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BF9" w:rsidRPr="001F6690" w:rsidRDefault="00835517" w:rsidP="001F6690">
      <w:pPr>
        <w:pStyle w:val="Title"/>
      </w:pPr>
      <w:bookmarkStart w:id="0" w:name="_Toc430080577"/>
      <w:bookmarkStart w:id="1" w:name="_GoBack"/>
      <w:bookmarkEnd w:id="1"/>
      <w:r w:rsidRPr="001F6690">
        <w:t>6.04</w:t>
      </w:r>
      <w:r w:rsidR="00641987" w:rsidRPr="001F6690">
        <w:tab/>
      </w:r>
      <w:r w:rsidR="00B43576" w:rsidRPr="001F6690">
        <w:t>B</w:t>
      </w:r>
      <w:r w:rsidR="001F6690">
        <w:t>EVACIZUMAB</w:t>
      </w:r>
    </w:p>
    <w:p w:rsidR="00641987" w:rsidRPr="001F6690" w:rsidRDefault="001F6690" w:rsidP="001F6690">
      <w:pPr>
        <w:pStyle w:val="Title"/>
        <w:ind w:firstLine="0"/>
      </w:pPr>
      <w:r>
        <w:t>Solution</w:t>
      </w:r>
      <w:r w:rsidR="00F03F8F" w:rsidRPr="001F6690">
        <w:t xml:space="preserve"> for I.V. use,</w:t>
      </w:r>
      <w:r w:rsidR="00796BF9" w:rsidRPr="001F6690">
        <w:t xml:space="preserve"> 100mg in 4ml and 400mg in 16ml</w:t>
      </w:r>
      <w:r w:rsidR="00F03F8F" w:rsidRPr="001F6690">
        <w:t xml:space="preserve"> Avastin</w:t>
      </w:r>
      <w:r w:rsidR="00F03F8F" w:rsidRPr="001F6690">
        <w:rPr>
          <w:rFonts w:hint="eastAsia"/>
        </w:rPr>
        <w:t>®</w:t>
      </w:r>
      <w:r w:rsidR="00A13DAA" w:rsidRPr="001F6690">
        <w:t xml:space="preserve">, </w:t>
      </w:r>
      <w:r w:rsidR="00F03F8F" w:rsidRPr="001F6690">
        <w:t>Roche Products Pty Ltd</w:t>
      </w:r>
      <w:bookmarkEnd w:id="0"/>
      <w:r w:rsidR="00F03F8F" w:rsidRPr="001F6690">
        <w:t xml:space="preserve"> </w:t>
      </w:r>
    </w:p>
    <w:p w:rsidR="00641987" w:rsidRDefault="00796BF9" w:rsidP="00641987">
      <w:r>
        <w:tab/>
      </w:r>
    </w:p>
    <w:p w:rsidR="00537087" w:rsidRDefault="00537087" w:rsidP="00641987"/>
    <w:p w:rsidR="00641987" w:rsidRPr="00407F2D" w:rsidRDefault="00641987" w:rsidP="00641987">
      <w:pPr>
        <w:pStyle w:val="PBACHeading1"/>
      </w:pPr>
      <w:bookmarkStart w:id="2" w:name="_Toc430080579"/>
      <w:r w:rsidRPr="00407F2D">
        <w:t>Purpose of Application</w:t>
      </w:r>
      <w:bookmarkEnd w:id="2"/>
    </w:p>
    <w:p w:rsidR="00641987" w:rsidRPr="00882085" w:rsidRDefault="00641987" w:rsidP="00641987">
      <w:pPr>
        <w:rPr>
          <w:szCs w:val="22"/>
        </w:rPr>
      </w:pPr>
    </w:p>
    <w:p w:rsidR="00641987" w:rsidRPr="00B50DB8" w:rsidRDefault="00641987" w:rsidP="00712A35">
      <w:pPr>
        <w:pStyle w:val="ListParagraph"/>
        <w:widowControl/>
        <w:numPr>
          <w:ilvl w:val="1"/>
          <w:numId w:val="6"/>
        </w:numPr>
        <w:rPr>
          <w:szCs w:val="22"/>
        </w:rPr>
      </w:pPr>
      <w:r>
        <w:t xml:space="preserve">The submission requested a </w:t>
      </w:r>
      <w:r w:rsidRPr="004B3DDB">
        <w:t>Section 100, Authority Required</w:t>
      </w:r>
      <w:r>
        <w:t xml:space="preserve"> (STREAMLINED) </w:t>
      </w:r>
      <w:r w:rsidRPr="004B3DDB">
        <w:t xml:space="preserve">listing for </w:t>
      </w:r>
      <w:r>
        <w:t>bevacizumab</w:t>
      </w:r>
      <w:r w:rsidRPr="004B3DDB">
        <w:t xml:space="preserve"> </w:t>
      </w:r>
      <w:r>
        <w:t xml:space="preserve">in combination with platinum-based chemotherapy or topotecan plus paclitaxel </w:t>
      </w:r>
      <w:r w:rsidRPr="004B3DDB">
        <w:t xml:space="preserve">for </w:t>
      </w:r>
      <w:r w:rsidR="0014298C">
        <w:t xml:space="preserve">the </w:t>
      </w:r>
      <w:r w:rsidRPr="004B3DDB">
        <w:t xml:space="preserve">treatment of </w:t>
      </w:r>
      <w:r>
        <w:t>persistent, recurrent or metastatic cervical cancer not amenable to curative treatment with surgery and/or radiation</w:t>
      </w:r>
      <w:r w:rsidRPr="004B3DDB">
        <w:t>.</w:t>
      </w:r>
    </w:p>
    <w:p w:rsidR="00537087" w:rsidRDefault="00537087" w:rsidP="00641987"/>
    <w:p w:rsidR="00641987" w:rsidRPr="00407F2D" w:rsidRDefault="00641987" w:rsidP="00537087">
      <w:pPr>
        <w:pStyle w:val="PBACHeading1"/>
      </w:pPr>
      <w:bookmarkStart w:id="3" w:name="_Toc430080580"/>
      <w:r w:rsidRPr="00407F2D">
        <w:t>Requested listing</w:t>
      </w:r>
      <w:bookmarkEnd w:id="3"/>
    </w:p>
    <w:p w:rsidR="00641987" w:rsidRPr="00882085" w:rsidRDefault="00641987" w:rsidP="00641987"/>
    <w:p w:rsidR="00CB20A3" w:rsidRPr="00F75C25" w:rsidRDefault="00CB20A3" w:rsidP="00BA3154">
      <w:pPr>
        <w:pStyle w:val="ListParagraph"/>
        <w:widowControl/>
        <w:numPr>
          <w:ilvl w:val="1"/>
          <w:numId w:val="6"/>
        </w:numPr>
        <w:rPr>
          <w:snapToGrid/>
          <w:szCs w:val="22"/>
          <w:lang w:eastAsia="en-AU"/>
        </w:rPr>
      </w:pPr>
      <w:r w:rsidRPr="00F75C25">
        <w:rPr>
          <w:rFonts w:eastAsia="SimSun"/>
          <w:iCs/>
          <w:snapToGrid/>
          <w:color w:val="000000"/>
          <w:szCs w:val="22"/>
          <w:lang w:eastAsia="en-AU"/>
        </w:rPr>
        <w:t xml:space="preserve">Suggestions and additions proposed by the Secretariat to the requested listing are added in </w:t>
      </w:r>
      <w:r w:rsidRPr="00F75C25">
        <w:t>italics</w:t>
      </w:r>
      <w:r w:rsidRPr="00F75C25">
        <w:rPr>
          <w:rFonts w:eastAsia="SimSun"/>
          <w:iCs/>
          <w:snapToGrid/>
          <w:color w:val="000000"/>
          <w:szCs w:val="22"/>
          <w:lang w:eastAsia="en-AU"/>
        </w:rPr>
        <w:t xml:space="preserve"> and suggested deletions are crossed out with strikethrough.</w:t>
      </w:r>
    </w:p>
    <w:p w:rsidR="00A02451" w:rsidRDefault="00A02451" w:rsidP="00641987"/>
    <w:p w:rsidR="00A02451" w:rsidRPr="007C609A" w:rsidRDefault="00A02451" w:rsidP="00641987"/>
    <w:tbl>
      <w:tblPr>
        <w:tblW w:w="4605" w:type="pct"/>
        <w:tblInd w:w="736" w:type="dxa"/>
        <w:tblCellMar>
          <w:left w:w="28" w:type="dxa"/>
          <w:right w:w="28" w:type="dxa"/>
        </w:tblCellMar>
        <w:tblLook w:val="0000" w:firstRow="0" w:lastRow="0" w:firstColumn="0" w:lastColumn="0" w:noHBand="0" w:noVBand="0"/>
      </w:tblPr>
      <w:tblGrid>
        <w:gridCol w:w="2710"/>
        <w:gridCol w:w="984"/>
        <w:gridCol w:w="661"/>
        <w:gridCol w:w="1773"/>
        <w:gridCol w:w="897"/>
        <w:gridCol w:w="1322"/>
        <w:gridCol w:w="18"/>
      </w:tblGrid>
      <w:tr w:rsidR="00641987" w:rsidRPr="00875AD3" w:rsidTr="00875AD3">
        <w:trPr>
          <w:gridAfter w:val="1"/>
          <w:wAfter w:w="11" w:type="pct"/>
          <w:cantSplit/>
          <w:trHeight w:val="471"/>
        </w:trPr>
        <w:tc>
          <w:tcPr>
            <w:tcW w:w="1620" w:type="pct"/>
            <w:tcBorders>
              <w:bottom w:val="single" w:sz="4" w:space="0" w:color="auto"/>
            </w:tcBorders>
          </w:tcPr>
          <w:p w:rsidR="00641987" w:rsidRPr="00875AD3" w:rsidRDefault="00641987" w:rsidP="00E02556">
            <w:pPr>
              <w:rPr>
                <w:rFonts w:ascii="Arial Narrow" w:hAnsi="Arial Narrow"/>
                <w:sz w:val="20"/>
              </w:rPr>
            </w:pPr>
            <w:r w:rsidRPr="00875AD3">
              <w:rPr>
                <w:rFonts w:ascii="Arial Narrow" w:hAnsi="Arial Narrow"/>
                <w:sz w:val="20"/>
              </w:rPr>
              <w:t>Name, Restriction,</w:t>
            </w:r>
          </w:p>
          <w:p w:rsidR="00641987" w:rsidRPr="00875AD3" w:rsidRDefault="00641987" w:rsidP="00E02556">
            <w:pPr>
              <w:rPr>
                <w:rFonts w:ascii="Arial Narrow" w:hAnsi="Arial Narrow"/>
                <w:sz w:val="20"/>
              </w:rPr>
            </w:pPr>
            <w:r w:rsidRPr="00875AD3">
              <w:rPr>
                <w:rFonts w:ascii="Arial Narrow" w:hAnsi="Arial Narrow"/>
                <w:sz w:val="20"/>
              </w:rPr>
              <w:t>Manner of administration and form</w:t>
            </w:r>
          </w:p>
        </w:tc>
        <w:tc>
          <w:tcPr>
            <w:tcW w:w="588" w:type="pct"/>
            <w:tcBorders>
              <w:bottom w:val="single" w:sz="4" w:space="0" w:color="auto"/>
            </w:tcBorders>
          </w:tcPr>
          <w:p w:rsidR="00641987" w:rsidRPr="00875AD3" w:rsidRDefault="00641987" w:rsidP="00E02556">
            <w:pPr>
              <w:jc w:val="center"/>
              <w:rPr>
                <w:rFonts w:ascii="Arial Narrow" w:hAnsi="Arial Narrow"/>
                <w:sz w:val="20"/>
              </w:rPr>
            </w:pPr>
            <w:r w:rsidRPr="00875AD3">
              <w:rPr>
                <w:rFonts w:ascii="Arial Narrow" w:hAnsi="Arial Narrow"/>
                <w:sz w:val="20"/>
              </w:rPr>
              <w:t>Max.</w:t>
            </w:r>
          </w:p>
          <w:p w:rsidR="00641987" w:rsidRPr="00875AD3" w:rsidRDefault="00641987" w:rsidP="00E02556">
            <w:pPr>
              <w:jc w:val="center"/>
              <w:rPr>
                <w:rFonts w:ascii="Arial Narrow" w:hAnsi="Arial Narrow"/>
                <w:sz w:val="20"/>
              </w:rPr>
            </w:pPr>
            <w:r w:rsidRPr="00875AD3">
              <w:rPr>
                <w:rFonts w:ascii="Arial Narrow" w:hAnsi="Arial Narrow"/>
                <w:sz w:val="20"/>
              </w:rPr>
              <w:t>Amount</w:t>
            </w:r>
          </w:p>
        </w:tc>
        <w:tc>
          <w:tcPr>
            <w:tcW w:w="395" w:type="pct"/>
            <w:tcBorders>
              <w:bottom w:val="single" w:sz="4" w:space="0" w:color="auto"/>
            </w:tcBorders>
          </w:tcPr>
          <w:p w:rsidR="00641987" w:rsidRPr="00875AD3" w:rsidRDefault="00641987" w:rsidP="00E02556">
            <w:pPr>
              <w:jc w:val="center"/>
              <w:rPr>
                <w:rFonts w:ascii="Arial Narrow" w:hAnsi="Arial Narrow"/>
                <w:sz w:val="20"/>
              </w:rPr>
            </w:pPr>
            <w:r w:rsidRPr="00875AD3">
              <w:rPr>
                <w:rFonts w:ascii="Arial Narrow" w:hAnsi="Arial Narrow"/>
                <w:sz w:val="20"/>
              </w:rPr>
              <w:t>№.of</w:t>
            </w:r>
          </w:p>
          <w:p w:rsidR="00641987" w:rsidRPr="00875AD3" w:rsidRDefault="00641987" w:rsidP="00E02556">
            <w:pPr>
              <w:jc w:val="center"/>
              <w:rPr>
                <w:rFonts w:ascii="Arial Narrow" w:hAnsi="Arial Narrow"/>
                <w:sz w:val="20"/>
              </w:rPr>
            </w:pPr>
            <w:r w:rsidRPr="00875AD3">
              <w:rPr>
                <w:rFonts w:ascii="Arial Narrow" w:hAnsi="Arial Narrow"/>
                <w:sz w:val="20"/>
              </w:rPr>
              <w:t>Rpts</w:t>
            </w:r>
          </w:p>
        </w:tc>
        <w:tc>
          <w:tcPr>
            <w:tcW w:w="1060" w:type="pct"/>
            <w:tcBorders>
              <w:bottom w:val="single" w:sz="4" w:space="0" w:color="auto"/>
            </w:tcBorders>
          </w:tcPr>
          <w:p w:rsidR="00641987" w:rsidRPr="00875AD3" w:rsidRDefault="00641987" w:rsidP="00E02556">
            <w:pPr>
              <w:jc w:val="center"/>
              <w:rPr>
                <w:rFonts w:ascii="Arial Narrow" w:hAnsi="Arial Narrow"/>
                <w:sz w:val="20"/>
              </w:rPr>
            </w:pPr>
            <w:r w:rsidRPr="00875AD3">
              <w:rPr>
                <w:rFonts w:ascii="Arial Narrow" w:hAnsi="Arial Narrow"/>
                <w:sz w:val="20"/>
              </w:rPr>
              <w:t>Dispensed Price for Max. Amount</w:t>
            </w:r>
          </w:p>
        </w:tc>
        <w:tc>
          <w:tcPr>
            <w:tcW w:w="1326" w:type="pct"/>
            <w:gridSpan w:val="2"/>
            <w:tcBorders>
              <w:bottom w:val="single" w:sz="4" w:space="0" w:color="auto"/>
            </w:tcBorders>
          </w:tcPr>
          <w:p w:rsidR="00641987" w:rsidRPr="00875AD3" w:rsidRDefault="00641987" w:rsidP="00E02556">
            <w:pPr>
              <w:jc w:val="center"/>
              <w:rPr>
                <w:rFonts w:ascii="Arial Narrow" w:hAnsi="Arial Narrow"/>
                <w:sz w:val="20"/>
                <w:lang w:val="fr-FR"/>
              </w:rPr>
            </w:pPr>
            <w:r w:rsidRPr="00875AD3">
              <w:rPr>
                <w:rFonts w:ascii="Arial Narrow" w:hAnsi="Arial Narrow"/>
                <w:sz w:val="20"/>
              </w:rPr>
              <w:t>Proprietary Name and Manufacturer</w:t>
            </w:r>
          </w:p>
        </w:tc>
      </w:tr>
      <w:tr w:rsidR="00641987" w:rsidRPr="00875AD3" w:rsidTr="00875AD3">
        <w:trPr>
          <w:gridAfter w:val="1"/>
          <w:wAfter w:w="11" w:type="pct"/>
          <w:cantSplit/>
          <w:trHeight w:val="577"/>
        </w:trPr>
        <w:tc>
          <w:tcPr>
            <w:tcW w:w="1620" w:type="pct"/>
            <w:tcBorders>
              <w:top w:val="single" w:sz="4" w:space="0" w:color="auto"/>
              <w:bottom w:val="single" w:sz="4" w:space="0" w:color="auto"/>
            </w:tcBorders>
          </w:tcPr>
          <w:p w:rsidR="00641987" w:rsidRPr="00875AD3" w:rsidRDefault="00641987" w:rsidP="00E02556">
            <w:pPr>
              <w:rPr>
                <w:rFonts w:ascii="Arial Narrow" w:hAnsi="Arial Narrow"/>
                <w:sz w:val="20"/>
              </w:rPr>
            </w:pPr>
            <w:r w:rsidRPr="00875AD3">
              <w:rPr>
                <w:rFonts w:ascii="Arial Narrow" w:hAnsi="Arial Narrow"/>
                <w:smallCaps/>
                <w:snapToGrid/>
                <w:sz w:val="20"/>
                <w:lang w:eastAsia="en-AU"/>
              </w:rPr>
              <w:t>Bevacizumab</w:t>
            </w:r>
            <w:r w:rsidRPr="00875AD3">
              <w:rPr>
                <w:rFonts w:ascii="Arial Narrow" w:hAnsi="Arial Narrow"/>
                <w:sz w:val="20"/>
              </w:rPr>
              <w:t xml:space="preserve"> </w:t>
            </w:r>
          </w:p>
          <w:p w:rsidR="00641987" w:rsidRPr="00875AD3" w:rsidRDefault="00641987" w:rsidP="00E02556">
            <w:pPr>
              <w:rPr>
                <w:rFonts w:ascii="Arial Narrow" w:hAnsi="Arial Narrow"/>
                <w:sz w:val="20"/>
              </w:rPr>
            </w:pPr>
            <w:r w:rsidRPr="00875AD3">
              <w:rPr>
                <w:rFonts w:ascii="Arial Narrow" w:hAnsi="Arial Narrow"/>
                <w:sz w:val="20"/>
              </w:rPr>
              <w:t>bevacizumab, 100 mg/4 mL injection, 1 x 4 mL vial</w:t>
            </w:r>
          </w:p>
          <w:p w:rsidR="00641987" w:rsidRPr="00875AD3" w:rsidRDefault="00641987" w:rsidP="00E02556">
            <w:pPr>
              <w:rPr>
                <w:rFonts w:ascii="Arial Narrow" w:hAnsi="Arial Narrow"/>
                <w:sz w:val="20"/>
              </w:rPr>
            </w:pPr>
            <w:r w:rsidRPr="00875AD3">
              <w:rPr>
                <w:rFonts w:ascii="Arial Narrow" w:hAnsi="Arial Narrow"/>
                <w:sz w:val="20"/>
              </w:rPr>
              <w:t>bevacizumab 400 mg/16 mL injection, 1 x 16 mL vial</w:t>
            </w:r>
          </w:p>
          <w:p w:rsidR="00641987" w:rsidRPr="00875AD3" w:rsidRDefault="00641987" w:rsidP="00E02556">
            <w:pPr>
              <w:rPr>
                <w:rFonts w:ascii="Arial Narrow" w:hAnsi="Arial Narrow"/>
                <w:sz w:val="20"/>
              </w:rPr>
            </w:pPr>
          </w:p>
          <w:p w:rsidR="00641987" w:rsidRPr="00875AD3" w:rsidRDefault="00641987" w:rsidP="00E02556">
            <w:pPr>
              <w:rPr>
                <w:rFonts w:ascii="Arial Narrow" w:hAnsi="Arial Narrow"/>
                <w:sz w:val="20"/>
              </w:rPr>
            </w:pPr>
            <w:r w:rsidRPr="00875AD3">
              <w:rPr>
                <w:rFonts w:ascii="Arial Narrow" w:hAnsi="Arial Narrow"/>
                <w:sz w:val="20"/>
              </w:rPr>
              <w:t>bevacizumab, 100 mg/4 mL injection, 1 x 4 mL vial</w:t>
            </w:r>
          </w:p>
          <w:p w:rsidR="00641987" w:rsidRPr="00875AD3" w:rsidRDefault="00641987" w:rsidP="00E02556">
            <w:pPr>
              <w:rPr>
                <w:rFonts w:ascii="Arial Narrow" w:hAnsi="Arial Narrow"/>
                <w:sz w:val="20"/>
              </w:rPr>
            </w:pPr>
            <w:r w:rsidRPr="00875AD3">
              <w:rPr>
                <w:rFonts w:ascii="Arial Narrow" w:hAnsi="Arial Narrow"/>
                <w:sz w:val="20"/>
              </w:rPr>
              <w:t>bevacizumab 400 mg/16 mL injection, 1 x 16 mL vial</w:t>
            </w:r>
          </w:p>
        </w:tc>
        <w:tc>
          <w:tcPr>
            <w:tcW w:w="588" w:type="pct"/>
            <w:tcBorders>
              <w:top w:val="single" w:sz="4" w:space="0" w:color="auto"/>
              <w:bottom w:val="single" w:sz="4" w:space="0" w:color="auto"/>
            </w:tcBorders>
          </w:tcPr>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r w:rsidRPr="00875AD3">
              <w:rPr>
                <w:rFonts w:ascii="Arial Narrow" w:hAnsi="Arial Narrow"/>
                <w:sz w:val="20"/>
              </w:rPr>
              <w:t>1,800mg</w:t>
            </w:r>
          </w:p>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r w:rsidRPr="00875AD3">
              <w:rPr>
                <w:rFonts w:ascii="Arial Narrow" w:hAnsi="Arial Narrow"/>
                <w:sz w:val="20"/>
              </w:rPr>
              <w:t>1,800mg</w:t>
            </w:r>
          </w:p>
        </w:tc>
        <w:tc>
          <w:tcPr>
            <w:tcW w:w="395" w:type="pct"/>
            <w:tcBorders>
              <w:top w:val="single" w:sz="4" w:space="0" w:color="auto"/>
              <w:bottom w:val="single" w:sz="4" w:space="0" w:color="auto"/>
            </w:tcBorders>
          </w:tcPr>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r w:rsidRPr="00875AD3">
              <w:rPr>
                <w:rFonts w:ascii="Arial Narrow" w:hAnsi="Arial Narrow"/>
                <w:sz w:val="20"/>
              </w:rPr>
              <w:t>7</w:t>
            </w:r>
          </w:p>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p>
          <w:p w:rsidR="00641987" w:rsidRPr="00875AD3" w:rsidRDefault="00641987" w:rsidP="00E02556">
            <w:pPr>
              <w:jc w:val="center"/>
              <w:rPr>
                <w:rFonts w:ascii="Arial Narrow" w:hAnsi="Arial Narrow"/>
                <w:sz w:val="20"/>
              </w:rPr>
            </w:pPr>
            <w:r w:rsidRPr="00875AD3">
              <w:rPr>
                <w:rFonts w:ascii="Arial Narrow" w:hAnsi="Arial Narrow"/>
                <w:sz w:val="20"/>
              </w:rPr>
              <w:t>7</w:t>
            </w:r>
          </w:p>
        </w:tc>
        <w:tc>
          <w:tcPr>
            <w:tcW w:w="1060" w:type="pct"/>
            <w:tcBorders>
              <w:top w:val="single" w:sz="4" w:space="0" w:color="auto"/>
              <w:bottom w:val="single" w:sz="4" w:space="0" w:color="auto"/>
            </w:tcBorders>
          </w:tcPr>
          <w:p w:rsidR="00641987" w:rsidRPr="00875AD3" w:rsidRDefault="00641987" w:rsidP="00E02556">
            <w:pPr>
              <w:jc w:val="center"/>
              <w:rPr>
                <w:rFonts w:ascii="Arial Narrow" w:hAnsi="Arial Narrow"/>
                <w:sz w:val="20"/>
              </w:rPr>
            </w:pPr>
          </w:p>
          <w:p w:rsidR="000B77C6" w:rsidRPr="00875AD3" w:rsidRDefault="000B77C6" w:rsidP="000B77C6">
            <w:pPr>
              <w:jc w:val="center"/>
              <w:rPr>
                <w:rFonts w:ascii="Arial Narrow" w:hAnsi="Arial Narrow"/>
                <w:sz w:val="20"/>
                <w:vertAlign w:val="superscript"/>
              </w:rPr>
            </w:pPr>
            <w:r w:rsidRPr="00875AD3">
              <w:rPr>
                <w:rFonts w:ascii="Arial Narrow" w:hAnsi="Arial Narrow"/>
                <w:sz w:val="20"/>
              </w:rPr>
              <w:t>$</w:t>
            </w:r>
            <w:r w:rsidR="009C70C9">
              <w:rPr>
                <w:rFonts w:ascii="Arial Narrow" w:hAnsi="Arial Narrow"/>
                <w:noProof/>
                <w:color w:val="000000"/>
                <w:sz w:val="20"/>
                <w:highlight w:val="black"/>
              </w:rPr>
              <w:t>'''''''''''''''''''''</w:t>
            </w:r>
            <w:r w:rsidRPr="00875AD3">
              <w:rPr>
                <w:rFonts w:ascii="Arial Narrow" w:hAnsi="Arial Narrow"/>
                <w:sz w:val="20"/>
                <w:vertAlign w:val="superscript"/>
              </w:rPr>
              <w:t>a,b,c</w:t>
            </w:r>
          </w:p>
          <w:p w:rsidR="000B77C6" w:rsidRPr="00875AD3" w:rsidRDefault="000B77C6" w:rsidP="000B77C6">
            <w:pPr>
              <w:jc w:val="center"/>
              <w:rPr>
                <w:rFonts w:ascii="Arial Narrow" w:hAnsi="Arial Narrow"/>
                <w:sz w:val="20"/>
              </w:rPr>
            </w:pPr>
            <w:r w:rsidRPr="00875AD3">
              <w:rPr>
                <w:rFonts w:ascii="Arial Narrow" w:hAnsi="Arial Narrow"/>
                <w:sz w:val="20"/>
              </w:rPr>
              <w:t>$</w:t>
            </w:r>
            <w:r w:rsidR="009C70C9">
              <w:rPr>
                <w:rFonts w:ascii="Arial Narrow" w:hAnsi="Arial Narrow"/>
                <w:noProof/>
                <w:color w:val="000000"/>
                <w:sz w:val="20"/>
                <w:highlight w:val="black"/>
              </w:rPr>
              <w:t>'''''''''''''''''''''''</w:t>
            </w:r>
            <w:r w:rsidRPr="00875AD3">
              <w:rPr>
                <w:rFonts w:ascii="Arial Narrow" w:hAnsi="Arial Narrow"/>
                <w:sz w:val="20"/>
                <w:vertAlign w:val="superscript"/>
              </w:rPr>
              <w:t>a,b,c,e</w:t>
            </w:r>
          </w:p>
          <w:p w:rsidR="000B77C6" w:rsidRPr="00875AD3" w:rsidRDefault="000B77C6" w:rsidP="000B77C6">
            <w:pPr>
              <w:jc w:val="center"/>
              <w:rPr>
                <w:rFonts w:ascii="Arial Narrow" w:hAnsi="Arial Narrow"/>
                <w:sz w:val="20"/>
              </w:rPr>
            </w:pPr>
          </w:p>
          <w:p w:rsidR="000B77C6" w:rsidRPr="00875AD3" w:rsidRDefault="000B77C6" w:rsidP="000B77C6">
            <w:pPr>
              <w:jc w:val="center"/>
              <w:rPr>
                <w:rFonts w:ascii="Arial Narrow" w:hAnsi="Arial Narrow"/>
                <w:sz w:val="20"/>
              </w:rPr>
            </w:pPr>
          </w:p>
          <w:p w:rsidR="000B77C6" w:rsidRPr="00875AD3" w:rsidRDefault="000B77C6" w:rsidP="000B77C6">
            <w:pPr>
              <w:jc w:val="center"/>
              <w:rPr>
                <w:rFonts w:ascii="Arial Narrow" w:hAnsi="Arial Narrow"/>
                <w:sz w:val="20"/>
              </w:rPr>
            </w:pPr>
          </w:p>
          <w:p w:rsidR="000B77C6" w:rsidRPr="00875AD3" w:rsidRDefault="000B77C6" w:rsidP="000B77C6">
            <w:pPr>
              <w:jc w:val="center"/>
              <w:rPr>
                <w:rFonts w:ascii="Arial Narrow" w:hAnsi="Arial Narrow"/>
                <w:sz w:val="20"/>
              </w:rPr>
            </w:pPr>
            <w:r w:rsidRPr="00875AD3">
              <w:rPr>
                <w:rFonts w:ascii="Arial Narrow" w:hAnsi="Arial Narrow"/>
                <w:sz w:val="20"/>
              </w:rPr>
              <w:t>$</w:t>
            </w:r>
            <w:r w:rsidR="009C70C9">
              <w:rPr>
                <w:rFonts w:ascii="Arial Narrow" w:hAnsi="Arial Narrow"/>
                <w:noProof/>
                <w:color w:val="000000"/>
                <w:sz w:val="20"/>
                <w:highlight w:val="black"/>
              </w:rPr>
              <w:t>''''''''''''''''''''</w:t>
            </w:r>
            <w:r w:rsidRPr="00875AD3">
              <w:rPr>
                <w:rFonts w:ascii="Arial Narrow" w:hAnsi="Arial Narrow"/>
                <w:sz w:val="20"/>
                <w:vertAlign w:val="superscript"/>
              </w:rPr>
              <w:t>b,c,d</w:t>
            </w:r>
          </w:p>
          <w:p w:rsidR="00641987" w:rsidRPr="00875AD3" w:rsidRDefault="000B77C6" w:rsidP="000B77C6">
            <w:pPr>
              <w:jc w:val="center"/>
              <w:rPr>
                <w:rFonts w:ascii="Arial Narrow" w:hAnsi="Arial Narrow"/>
                <w:sz w:val="20"/>
              </w:rPr>
            </w:pPr>
            <w:r w:rsidRPr="00875AD3">
              <w:rPr>
                <w:rFonts w:ascii="Arial Narrow" w:hAnsi="Arial Narrow"/>
                <w:sz w:val="20"/>
              </w:rPr>
              <w:t>$</w:t>
            </w:r>
            <w:r w:rsidR="009C70C9">
              <w:rPr>
                <w:rFonts w:ascii="Arial Narrow" w:hAnsi="Arial Narrow"/>
                <w:noProof/>
                <w:color w:val="000000"/>
                <w:sz w:val="20"/>
                <w:highlight w:val="black"/>
              </w:rPr>
              <w:t>''''''''''''''''''''''</w:t>
            </w:r>
            <w:r w:rsidRPr="00875AD3">
              <w:rPr>
                <w:rFonts w:ascii="Arial Narrow" w:hAnsi="Arial Narrow"/>
                <w:sz w:val="20"/>
                <w:vertAlign w:val="superscript"/>
              </w:rPr>
              <w:t>b,c,d,e</w:t>
            </w:r>
          </w:p>
        </w:tc>
        <w:tc>
          <w:tcPr>
            <w:tcW w:w="536" w:type="pct"/>
            <w:tcBorders>
              <w:top w:val="single" w:sz="4" w:space="0" w:color="auto"/>
              <w:bottom w:val="single" w:sz="4" w:space="0" w:color="auto"/>
            </w:tcBorders>
          </w:tcPr>
          <w:p w:rsidR="00641987" w:rsidRPr="00875AD3" w:rsidRDefault="00641987" w:rsidP="00E02556">
            <w:pPr>
              <w:jc w:val="center"/>
              <w:rPr>
                <w:rFonts w:ascii="Arial Narrow" w:hAnsi="Arial Narrow"/>
                <w:sz w:val="20"/>
              </w:rPr>
            </w:pPr>
            <w:r w:rsidRPr="00875AD3">
              <w:rPr>
                <w:rFonts w:ascii="Arial Narrow" w:hAnsi="Arial Narrow"/>
                <w:sz w:val="20"/>
              </w:rPr>
              <w:t>Avastin</w:t>
            </w:r>
          </w:p>
        </w:tc>
        <w:tc>
          <w:tcPr>
            <w:tcW w:w="790" w:type="pct"/>
            <w:tcBorders>
              <w:top w:val="single" w:sz="4" w:space="0" w:color="auto"/>
              <w:bottom w:val="single" w:sz="4" w:space="0" w:color="auto"/>
            </w:tcBorders>
          </w:tcPr>
          <w:p w:rsidR="00641987" w:rsidRPr="00875AD3" w:rsidRDefault="00641987" w:rsidP="00E02556">
            <w:pPr>
              <w:jc w:val="center"/>
              <w:rPr>
                <w:rFonts w:ascii="Arial Narrow" w:hAnsi="Arial Narrow"/>
                <w:sz w:val="20"/>
              </w:rPr>
            </w:pPr>
            <w:r w:rsidRPr="00875AD3">
              <w:rPr>
                <w:rFonts w:ascii="Arial Narrow" w:hAnsi="Arial Narrow"/>
                <w:sz w:val="20"/>
              </w:rPr>
              <w:t>Roche Products Pty Limited</w:t>
            </w:r>
          </w:p>
        </w:tc>
      </w:tr>
      <w:tr w:rsidR="00641987" w:rsidRPr="00875AD3" w:rsidTr="00E02556">
        <w:trPr>
          <w:cantSplit/>
          <w:trHeight w:val="354"/>
        </w:trPr>
        <w:tc>
          <w:tcPr>
            <w:tcW w:w="5000" w:type="pct"/>
            <w:gridSpan w:val="7"/>
            <w:vAlign w:val="center"/>
          </w:tcPr>
          <w:p w:rsidR="00641987" w:rsidRPr="00875AD3" w:rsidRDefault="00641987" w:rsidP="00E02556">
            <w:pPr>
              <w:jc w:val="left"/>
              <w:rPr>
                <w:rFonts w:ascii="Arial Narrow" w:hAnsi="Arial Narrow"/>
                <w:sz w:val="20"/>
              </w:rPr>
            </w:pPr>
          </w:p>
        </w:tc>
      </w:tr>
    </w:tbl>
    <w:p w:rsidR="000B77C6" w:rsidRPr="000B77C6" w:rsidRDefault="000B77C6" w:rsidP="000B77C6">
      <w:pPr>
        <w:ind w:left="709"/>
        <w:rPr>
          <w:rFonts w:ascii="Arial Narrow" w:hAnsi="Arial Narrow"/>
          <w:sz w:val="18"/>
        </w:rPr>
      </w:pPr>
      <w:r w:rsidRPr="000B77C6">
        <w:rPr>
          <w:rFonts w:ascii="Arial Narrow" w:hAnsi="Arial Narrow"/>
          <w:sz w:val="18"/>
          <w:vertAlign w:val="superscript"/>
        </w:rPr>
        <w:t xml:space="preserve">a </w:t>
      </w:r>
      <w:r w:rsidRPr="000B77C6">
        <w:rPr>
          <w:rFonts w:ascii="Arial Narrow" w:hAnsi="Arial Narrow"/>
          <w:sz w:val="18"/>
        </w:rPr>
        <w:t>Section 100 Public hospital</w:t>
      </w:r>
    </w:p>
    <w:p w:rsidR="000B77C6" w:rsidRPr="000B77C6" w:rsidRDefault="000B77C6" w:rsidP="000B77C6">
      <w:pPr>
        <w:ind w:left="709"/>
        <w:rPr>
          <w:rFonts w:ascii="Arial Narrow" w:hAnsi="Arial Narrow"/>
          <w:sz w:val="18"/>
        </w:rPr>
      </w:pPr>
      <w:r w:rsidRPr="000B77C6">
        <w:rPr>
          <w:rFonts w:ascii="Arial Narrow" w:hAnsi="Arial Narrow"/>
          <w:sz w:val="18"/>
          <w:vertAlign w:val="superscript"/>
        </w:rPr>
        <w:t xml:space="preserve">b </w:t>
      </w:r>
      <w:r w:rsidRPr="000B77C6">
        <w:rPr>
          <w:rFonts w:ascii="Arial Narrow" w:hAnsi="Arial Narrow"/>
          <w:sz w:val="18"/>
        </w:rPr>
        <w:t>Calculated using the updated remuneration arrangements (from 1st July 2015)</w:t>
      </w:r>
    </w:p>
    <w:p w:rsidR="000B77C6" w:rsidRPr="000B77C6" w:rsidRDefault="000B77C6" w:rsidP="000B77C6">
      <w:pPr>
        <w:ind w:left="709"/>
        <w:rPr>
          <w:rFonts w:ascii="Arial Narrow" w:hAnsi="Arial Narrow"/>
          <w:sz w:val="18"/>
          <w:vertAlign w:val="superscript"/>
        </w:rPr>
      </w:pPr>
      <w:r w:rsidRPr="000B77C6">
        <w:rPr>
          <w:rFonts w:ascii="Arial Narrow" w:hAnsi="Arial Narrow"/>
          <w:sz w:val="18"/>
          <w:vertAlign w:val="superscript"/>
        </w:rPr>
        <w:t xml:space="preserve">c </w:t>
      </w:r>
      <w:r w:rsidRPr="000B77C6">
        <w:rPr>
          <w:rFonts w:ascii="Arial Narrow" w:hAnsi="Arial Narrow"/>
          <w:sz w:val="18"/>
        </w:rPr>
        <w:t>Includes a one-off statutory 5% price reduction assumed to be applied from 1 April 2016</w:t>
      </w:r>
    </w:p>
    <w:p w:rsidR="000B77C6" w:rsidRPr="000B77C6" w:rsidRDefault="000B77C6" w:rsidP="000B77C6">
      <w:pPr>
        <w:ind w:left="709"/>
        <w:rPr>
          <w:rFonts w:ascii="Arial Narrow" w:hAnsi="Arial Narrow"/>
          <w:sz w:val="18"/>
          <w:vertAlign w:val="superscript"/>
        </w:rPr>
      </w:pPr>
      <w:r w:rsidRPr="000B77C6">
        <w:rPr>
          <w:rFonts w:ascii="Arial Narrow" w:hAnsi="Arial Narrow"/>
          <w:sz w:val="18"/>
          <w:vertAlign w:val="superscript"/>
        </w:rPr>
        <w:t xml:space="preserve">d </w:t>
      </w:r>
      <w:r w:rsidRPr="000B77C6">
        <w:rPr>
          <w:rFonts w:ascii="Arial Narrow" w:hAnsi="Arial Narrow"/>
          <w:sz w:val="18"/>
        </w:rPr>
        <w:t>Section 100 Private hospital</w:t>
      </w:r>
    </w:p>
    <w:p w:rsidR="00641987" w:rsidRDefault="000B77C6" w:rsidP="000B77C6">
      <w:pPr>
        <w:ind w:left="709"/>
        <w:rPr>
          <w:rFonts w:ascii="Arial Narrow" w:hAnsi="Arial Narrow"/>
          <w:sz w:val="18"/>
        </w:rPr>
      </w:pPr>
      <w:r w:rsidRPr="000B77C6">
        <w:rPr>
          <w:rFonts w:ascii="Arial Narrow" w:hAnsi="Arial Narrow"/>
          <w:sz w:val="18"/>
          <w:vertAlign w:val="superscript"/>
        </w:rPr>
        <w:t xml:space="preserve">e </w:t>
      </w:r>
      <w:r w:rsidRPr="000B77C6">
        <w:rPr>
          <w:rFonts w:ascii="Arial Narrow" w:hAnsi="Arial Narrow"/>
          <w:sz w:val="18"/>
        </w:rPr>
        <w:t>The submission proposes a risk sharing arrangement in the form of a special pricing arrangement .</w:t>
      </w:r>
    </w:p>
    <w:p w:rsidR="00641987" w:rsidRDefault="00641987" w:rsidP="00641987"/>
    <w:p w:rsidR="00CB20A3" w:rsidRPr="00882085" w:rsidRDefault="00CB20A3" w:rsidP="00641987">
      <w:r>
        <w:tab/>
      </w:r>
    </w:p>
    <w:tbl>
      <w:tblPr>
        <w:tblW w:w="8505" w:type="dxa"/>
        <w:tblInd w:w="817" w:type="dxa"/>
        <w:tblLayout w:type="fixed"/>
        <w:tblLook w:val="0000" w:firstRow="0" w:lastRow="0" w:firstColumn="0" w:lastColumn="0" w:noHBand="0" w:noVBand="0"/>
      </w:tblPr>
      <w:tblGrid>
        <w:gridCol w:w="2552"/>
        <w:gridCol w:w="5953"/>
      </w:tblGrid>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 xml:space="preserve">Category / </w:t>
            </w:r>
          </w:p>
          <w:p w:rsidR="00CB20A3" w:rsidRPr="00260CE3" w:rsidRDefault="00CB20A3" w:rsidP="00996D37">
            <w:pPr>
              <w:rPr>
                <w:rFonts w:ascii="Arial Narrow" w:hAnsi="Arial Narrow"/>
                <w:b/>
                <w:sz w:val="20"/>
              </w:rPr>
            </w:pPr>
            <w:r w:rsidRPr="00260CE3">
              <w:rPr>
                <w:rFonts w:ascii="Arial Narrow" w:hAnsi="Arial Narrow"/>
                <w:b/>
                <w:sz w:val="20"/>
              </w:rPr>
              <w:t>Program</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p w:rsidR="00CB20A3" w:rsidRPr="006C74CD" w:rsidRDefault="00CB20A3" w:rsidP="00996D37">
            <w:pPr>
              <w:rPr>
                <w:rFonts w:ascii="Arial Narrow" w:hAnsi="Arial Narrow"/>
                <w:sz w:val="20"/>
              </w:rPr>
            </w:pPr>
            <w:r w:rsidRPr="006C74CD">
              <w:rPr>
                <w:rFonts w:ascii="Arial Narrow" w:hAnsi="Arial Narrow"/>
                <w:sz w:val="20"/>
              </w:rPr>
              <w:t>Private Hospital/Private Clinic Authority Required (STREAMLINED)</w:t>
            </w:r>
          </w:p>
          <w:p w:rsidR="00CB20A3" w:rsidRPr="00260CE3" w:rsidRDefault="00CB20A3" w:rsidP="00996D37">
            <w:pPr>
              <w:rPr>
                <w:rFonts w:ascii="Arial Narrow" w:hAnsi="Arial Narrow"/>
                <w:sz w:val="20"/>
              </w:rPr>
            </w:pPr>
            <w:r w:rsidRPr="006C74CD">
              <w:rPr>
                <w:rFonts w:ascii="Arial Narrow" w:hAnsi="Arial Narrow"/>
                <w:sz w:val="20"/>
              </w:rPr>
              <w:t>Public Hospital Authority Required (STREAMLINED)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Default="00CB20A3" w:rsidP="00996D37">
            <w:pPr>
              <w:rPr>
                <w:rFonts w:ascii="Arial Narrow" w:hAnsi="Arial Narrow"/>
                <w:b/>
                <w:sz w:val="20"/>
              </w:rPr>
            </w:pPr>
            <w:r w:rsidRPr="00260CE3">
              <w:rPr>
                <w:rFonts w:ascii="Arial Narrow" w:hAnsi="Arial Narrow"/>
                <w:b/>
                <w:sz w:val="20"/>
              </w:rPr>
              <w:t>Prescriber type:</w:t>
            </w:r>
          </w:p>
          <w:p w:rsidR="00CB20A3" w:rsidRPr="00260CE3" w:rsidRDefault="00CB20A3" w:rsidP="00996D37">
            <w:pPr>
              <w:rPr>
                <w:rFonts w:ascii="Arial Narrow" w:hAnsi="Arial Narrow"/>
                <w:b/>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B20A3" w:rsidRPr="00260CE3" w:rsidRDefault="00CB20A3" w:rsidP="00996D37">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Episodicity:</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Severity:</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03399D">
              <w:rPr>
                <w:rFonts w:ascii="Arial Narrow" w:hAnsi="Arial Narrow"/>
                <w:strike/>
                <w:sz w:val="20"/>
              </w:rPr>
              <w:t>Persistent, recurrent or metastatic disease</w:t>
            </w:r>
            <w:r w:rsidRPr="000352EF">
              <w:rPr>
                <w:rFonts w:ascii="Arial Narrow" w:hAnsi="Arial Narrow"/>
                <w:sz w:val="20"/>
              </w:rPr>
              <w:t xml:space="preserve"> </w:t>
            </w:r>
            <w:r>
              <w:rPr>
                <w:rFonts w:ascii="Arial Narrow" w:hAnsi="Arial Narrow"/>
                <w:sz w:val="20"/>
              </w:rPr>
              <w:t>Advanced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Condition:</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03399D">
              <w:rPr>
                <w:rFonts w:ascii="Arial Narrow" w:hAnsi="Arial Narrow"/>
                <w:strike/>
                <w:sz w:val="20"/>
              </w:rPr>
              <w:t>Cancer of the cervix</w:t>
            </w:r>
            <w:r w:rsidRPr="000352EF">
              <w:rPr>
                <w:rFonts w:ascii="Arial Narrow" w:hAnsi="Arial Narrow"/>
                <w:sz w:val="20"/>
              </w:rPr>
              <w:t xml:space="preserve"> </w:t>
            </w:r>
            <w:r>
              <w:rPr>
                <w:rFonts w:ascii="Arial Narrow" w:hAnsi="Arial Narrow"/>
                <w:sz w:val="20"/>
              </w:rPr>
              <w:t xml:space="preserve"> carcinoma of cervix</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PBS Indication:</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Advanced carcinoma of cervix</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Treatment phase:</w:t>
            </w:r>
          </w:p>
          <w:p w:rsidR="00CB20A3" w:rsidRPr="00260CE3" w:rsidRDefault="00CB20A3" w:rsidP="00996D37">
            <w:pPr>
              <w:rPr>
                <w:rFonts w:ascii="Arial Narrow" w:hAnsi="Arial Narrow"/>
                <w:i/>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 xml:space="preserve">Initial treatment </w:t>
            </w:r>
            <w:r w:rsidRPr="0003399D">
              <w:rPr>
                <w:rFonts w:ascii="Arial Narrow" w:hAnsi="Arial Narrow"/>
                <w:strike/>
                <w:sz w:val="20"/>
              </w:rPr>
              <w:t>with chemotherapy (except when used concurrently with radiation therapy)</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lastRenderedPageBreak/>
              <w:t>Restriction</w:t>
            </w:r>
            <w:r>
              <w:rPr>
                <w:rFonts w:ascii="Arial Narrow" w:hAnsi="Arial Narrow"/>
                <w:b/>
                <w:sz w:val="20"/>
              </w:rPr>
              <w:t xml:space="preserve"> Level / Method</w:t>
            </w:r>
            <w:r w:rsidRPr="00260CE3">
              <w:rPr>
                <w:rFonts w:ascii="Arial Narrow" w:hAnsi="Arial Narrow"/>
                <w:b/>
                <w:sz w:val="20"/>
              </w:rPr>
              <w:t>:</w:t>
            </w:r>
          </w:p>
        </w:tc>
        <w:tc>
          <w:tcPr>
            <w:tcW w:w="5953" w:type="dxa"/>
            <w:tcBorders>
              <w:top w:val="single" w:sz="4" w:space="0" w:color="auto"/>
              <w:left w:val="single" w:sz="4" w:space="0" w:color="auto"/>
              <w:bottom w:val="single" w:sz="4" w:space="0" w:color="auto"/>
              <w:right w:val="single" w:sz="4" w:space="0" w:color="auto"/>
            </w:tcBorders>
          </w:tcPr>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B20A3" w:rsidRPr="00106BCF" w:rsidRDefault="00CB20A3" w:rsidP="00996D37">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CB20A3" w:rsidRPr="00260CE3" w:rsidRDefault="00CB20A3" w:rsidP="00996D37">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4" w:name="Check5"/>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bookmarkEnd w:id="4"/>
            <w:r w:rsidRPr="00106BCF">
              <w:rPr>
                <w:rFonts w:ascii="Arial Narrow" w:hAnsi="Arial Narrow"/>
                <w:sz w:val="20"/>
              </w:rPr>
              <w:t>Streamlined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Treatment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Clinical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Default="00CB20A3" w:rsidP="00996D37">
            <w:pPr>
              <w:rPr>
                <w:rFonts w:ascii="Arial Narrow" w:hAnsi="Arial Narrow"/>
                <w:sz w:val="20"/>
              </w:rPr>
            </w:pPr>
            <w:r>
              <w:rPr>
                <w:rFonts w:ascii="Arial Narrow" w:hAnsi="Arial Narrow"/>
                <w:sz w:val="20"/>
              </w:rPr>
              <w:t>Patient must have a GOG performance status of 0 or 1;</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AND</w:t>
            </w:r>
          </w:p>
          <w:p w:rsidR="00CB20A3" w:rsidRDefault="00CB20A3" w:rsidP="00996D37">
            <w:pPr>
              <w:rPr>
                <w:rFonts w:ascii="Arial Narrow" w:hAnsi="Arial Narrow"/>
                <w:sz w:val="20"/>
              </w:rPr>
            </w:pPr>
          </w:p>
          <w:p w:rsidR="00CB20A3" w:rsidRPr="0003399D" w:rsidRDefault="00CB20A3" w:rsidP="00996D37">
            <w:pPr>
              <w:rPr>
                <w:rFonts w:ascii="Arial Narrow" w:hAnsi="Arial Narrow"/>
                <w:strike/>
                <w:sz w:val="20"/>
              </w:rPr>
            </w:pPr>
            <w:r w:rsidRPr="0003399D">
              <w:rPr>
                <w:rFonts w:ascii="Arial Narrow" w:hAnsi="Arial Narrow"/>
                <w:strike/>
                <w:sz w:val="20"/>
              </w:rPr>
              <w:t xml:space="preserve">The condition must not be amenable to curative treatment with surgery and/or radiation therapy </w:t>
            </w:r>
          </w:p>
          <w:p w:rsidR="00CB20A3" w:rsidRDefault="00CB20A3" w:rsidP="00996D37">
            <w:pPr>
              <w:rPr>
                <w:rFonts w:ascii="Arial Narrow" w:hAnsi="Arial Narrow"/>
                <w:sz w:val="20"/>
              </w:rPr>
            </w:pPr>
            <w:r>
              <w:rPr>
                <w:rFonts w:ascii="Arial Narrow" w:hAnsi="Arial Narrow"/>
                <w:sz w:val="20"/>
              </w:rPr>
              <w:t>The condition must not be amenable to curative treatment with surgery, OR</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The condition must not be amenable to radiation therapy;</w:t>
            </w:r>
          </w:p>
          <w:p w:rsidR="00CB20A3" w:rsidRDefault="00CB20A3" w:rsidP="00996D37">
            <w:pPr>
              <w:rPr>
                <w:rFonts w:ascii="Arial Narrow" w:hAnsi="Arial Narrow"/>
                <w:sz w:val="20"/>
              </w:rPr>
            </w:pPr>
            <w:r>
              <w:rPr>
                <w:rFonts w:ascii="Arial Narrow" w:hAnsi="Arial Narrow"/>
                <w:sz w:val="20"/>
              </w:rPr>
              <w:t xml:space="preserve"> </w:t>
            </w:r>
          </w:p>
          <w:p w:rsidR="00CB20A3" w:rsidRDefault="00CB20A3" w:rsidP="00996D37">
            <w:pPr>
              <w:rPr>
                <w:rFonts w:ascii="Arial Narrow" w:hAnsi="Arial Narrow"/>
                <w:sz w:val="20"/>
              </w:rPr>
            </w:pPr>
            <w:r>
              <w:rPr>
                <w:rFonts w:ascii="Arial Narrow" w:hAnsi="Arial Narrow"/>
                <w:sz w:val="20"/>
              </w:rPr>
              <w:t>AND</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The condition must be previously untreated with this drug</w:t>
            </w:r>
            <w:r w:rsidRPr="0003399D">
              <w:rPr>
                <w:strike/>
              </w:rPr>
              <w:t xml:space="preserve"> </w:t>
            </w:r>
            <w:r w:rsidRPr="0003399D">
              <w:rPr>
                <w:rFonts w:ascii="Arial Narrow" w:hAnsi="Arial Narrow"/>
                <w:strike/>
                <w:sz w:val="20"/>
              </w:rPr>
              <w:t>bevacizumab</w:t>
            </w:r>
            <w:r>
              <w:rPr>
                <w:rFonts w:ascii="Arial Narrow" w:hAnsi="Arial Narrow"/>
                <w:sz w:val="20"/>
              </w:rPr>
              <w:t>;</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AND</w:t>
            </w:r>
          </w:p>
          <w:p w:rsidR="00CB20A3" w:rsidRDefault="00CB20A3" w:rsidP="00996D37">
            <w:pPr>
              <w:rPr>
                <w:rFonts w:ascii="Arial Narrow" w:hAnsi="Arial Narrow"/>
                <w:sz w:val="20"/>
              </w:rPr>
            </w:pPr>
          </w:p>
          <w:p w:rsidR="00CB20A3" w:rsidRPr="0003399D" w:rsidRDefault="00CB20A3" w:rsidP="00996D37">
            <w:pPr>
              <w:rPr>
                <w:rFonts w:ascii="Arial Narrow" w:hAnsi="Arial Narrow"/>
                <w:strike/>
                <w:sz w:val="20"/>
              </w:rPr>
            </w:pPr>
            <w:r w:rsidRPr="0003399D">
              <w:rPr>
                <w:rFonts w:ascii="Arial Narrow" w:hAnsi="Arial Narrow"/>
                <w:strike/>
                <w:sz w:val="20"/>
              </w:rPr>
              <w:t xml:space="preserve">The patient must not have been previously treated with chemotherapy except when used concurrently with radiation therapy </w:t>
            </w:r>
          </w:p>
          <w:p w:rsidR="00CB20A3" w:rsidRDefault="00CB20A3" w:rsidP="00996D37">
            <w:pPr>
              <w:rPr>
                <w:rFonts w:ascii="Arial Narrow" w:hAnsi="Arial Narrow"/>
                <w:sz w:val="20"/>
              </w:rPr>
            </w:pPr>
            <w:r>
              <w:rPr>
                <w:rFonts w:ascii="Arial Narrow" w:hAnsi="Arial Narrow"/>
                <w:sz w:val="20"/>
              </w:rPr>
              <w:t>Patient must not have prior chemotherapy treatment; OR</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Patient must have received prior chemotherapy with radiation therapy;</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AND</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The treatment must be in combination with platinum-based chemotherapy plus paclitaxel; OR</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 xml:space="preserve">The treatment must be in combination with topotecan plus paclitaxel if patient is unable to tolerate </w:t>
            </w:r>
            <w:r w:rsidRPr="00BD3D90">
              <w:rPr>
                <w:rFonts w:ascii="Arial Narrow" w:hAnsi="Arial Narrow"/>
                <w:strike/>
                <w:sz w:val="20"/>
              </w:rPr>
              <w:t>carboplatin or cisplatin</w:t>
            </w:r>
            <w:r>
              <w:rPr>
                <w:rFonts w:ascii="Arial Narrow" w:hAnsi="Arial Narrow"/>
                <w:sz w:val="20"/>
              </w:rPr>
              <w:t xml:space="preserve"> platinum-based chemotherapy;</w:t>
            </w: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Population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p w:rsidR="00CB20A3" w:rsidRPr="00260CE3" w:rsidRDefault="00CB20A3" w:rsidP="00996D37">
            <w:pPr>
              <w:rPr>
                <w:rFonts w:ascii="Arial Narrow" w:hAnsi="Arial Narrow"/>
                <w:sz w:val="20"/>
              </w:rPr>
            </w:pP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Foreword</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Definitions</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Prescriber Instructions</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03399D" w:rsidRDefault="00CB20A3" w:rsidP="00996D37">
            <w:pPr>
              <w:rPr>
                <w:rFonts w:ascii="Arial Narrow" w:hAnsi="Arial Narrow"/>
                <w:i/>
                <w:sz w:val="20"/>
              </w:rPr>
            </w:pPr>
            <w:r w:rsidRPr="0003399D">
              <w:rPr>
                <w:rFonts w:ascii="Arial Narrow" w:hAnsi="Arial Narrow"/>
                <w:i/>
                <w:sz w:val="20"/>
              </w:rPr>
              <w:t xml:space="preserve">Advanced carcinoma of the cervix is defined as persistent </w:t>
            </w:r>
            <w:r w:rsidR="00C477DD">
              <w:rPr>
                <w:rFonts w:ascii="Arial Narrow" w:hAnsi="Arial Narrow"/>
                <w:i/>
                <w:sz w:val="20"/>
              </w:rPr>
              <w:t xml:space="preserve">carcinoma, recurrent carcinoma </w:t>
            </w:r>
            <w:r w:rsidRPr="0003399D">
              <w:rPr>
                <w:rFonts w:ascii="Arial Narrow" w:hAnsi="Arial Narrow"/>
                <w:i/>
                <w:sz w:val="20"/>
              </w:rPr>
              <w:t>or metastatic carcinoma of the cervix.</w:t>
            </w:r>
          </w:p>
          <w:p w:rsidR="00CB20A3" w:rsidRDefault="00CB20A3" w:rsidP="00996D37">
            <w:pPr>
              <w:rPr>
                <w:rFonts w:ascii="Arial Narrow" w:hAnsi="Arial Narrow"/>
                <w:sz w:val="20"/>
              </w:rPr>
            </w:pPr>
          </w:p>
          <w:p w:rsidR="00CB20A3" w:rsidRPr="00260CE3" w:rsidRDefault="00CB20A3" w:rsidP="00996D37">
            <w:pPr>
              <w:rPr>
                <w:rFonts w:ascii="Arial Narrow" w:hAnsi="Arial Narrow"/>
                <w:sz w:val="20"/>
              </w:rPr>
            </w:pPr>
            <w:r>
              <w:rPr>
                <w:rFonts w:ascii="Arial Narrow" w:hAnsi="Arial Narrow"/>
                <w:sz w:val="20"/>
              </w:rPr>
              <w:t>The patient’s Gynaecologic Oncology Group (GOG) performance status and body weight must be documented in the patient’s medical records at the time the treatment cycle is initiated.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Administrative Advice</w:t>
            </w:r>
          </w:p>
          <w:p w:rsidR="00CB20A3" w:rsidRPr="00260CE3" w:rsidRDefault="00CB20A3" w:rsidP="00996D37">
            <w:pPr>
              <w:rPr>
                <w:rFonts w:ascii="Arial Narrow" w:hAnsi="Arial Narrow"/>
                <w:i/>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Special Pricing Arrangements apply.</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Cautions</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bl>
    <w:p w:rsidR="00CB20A3" w:rsidRPr="00552722" w:rsidRDefault="00CB20A3" w:rsidP="00CB20A3">
      <w:pPr>
        <w:rPr>
          <w:szCs w:val="22"/>
        </w:rPr>
      </w:pPr>
    </w:p>
    <w:tbl>
      <w:tblPr>
        <w:tblW w:w="8505" w:type="dxa"/>
        <w:tblInd w:w="817" w:type="dxa"/>
        <w:tblLayout w:type="fixed"/>
        <w:tblLook w:val="0000" w:firstRow="0" w:lastRow="0" w:firstColumn="0" w:lastColumn="0" w:noHBand="0" w:noVBand="0"/>
      </w:tblPr>
      <w:tblGrid>
        <w:gridCol w:w="2552"/>
        <w:gridCol w:w="5953"/>
      </w:tblGrid>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lastRenderedPageBreak/>
              <w:t xml:space="preserve">Category / </w:t>
            </w:r>
          </w:p>
          <w:p w:rsidR="00CB20A3" w:rsidRPr="00260CE3" w:rsidRDefault="00CB20A3" w:rsidP="00996D37">
            <w:pPr>
              <w:rPr>
                <w:rFonts w:ascii="Arial Narrow" w:hAnsi="Arial Narrow"/>
                <w:b/>
                <w:sz w:val="20"/>
              </w:rPr>
            </w:pPr>
            <w:r w:rsidRPr="00260CE3">
              <w:rPr>
                <w:rFonts w:ascii="Arial Narrow" w:hAnsi="Arial Narrow"/>
                <w:b/>
                <w:sz w:val="20"/>
              </w:rPr>
              <w:t>Program</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p w:rsidR="00CB20A3" w:rsidRPr="006C74CD" w:rsidRDefault="00CB20A3" w:rsidP="00996D37">
            <w:pPr>
              <w:rPr>
                <w:rFonts w:ascii="Arial Narrow" w:hAnsi="Arial Narrow"/>
                <w:sz w:val="20"/>
              </w:rPr>
            </w:pPr>
            <w:r w:rsidRPr="006C74CD">
              <w:rPr>
                <w:rFonts w:ascii="Arial Narrow" w:hAnsi="Arial Narrow"/>
                <w:sz w:val="20"/>
              </w:rPr>
              <w:t>Private Hospital/Private Clinic Authority Required (STREAMLINED)</w:t>
            </w:r>
          </w:p>
          <w:p w:rsidR="00CB20A3" w:rsidRPr="00260CE3" w:rsidRDefault="00CB20A3" w:rsidP="00996D37">
            <w:pPr>
              <w:rPr>
                <w:rFonts w:ascii="Arial Narrow" w:hAnsi="Arial Narrow"/>
                <w:sz w:val="20"/>
              </w:rPr>
            </w:pPr>
            <w:r w:rsidRPr="006C74CD">
              <w:rPr>
                <w:rFonts w:ascii="Arial Narrow" w:hAnsi="Arial Narrow"/>
                <w:sz w:val="20"/>
              </w:rPr>
              <w:t>Public Hospital Authority Required (STREAMLINED)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Default="00CB20A3" w:rsidP="00996D37">
            <w:pPr>
              <w:rPr>
                <w:rFonts w:ascii="Arial Narrow" w:hAnsi="Arial Narrow"/>
                <w:b/>
                <w:sz w:val="20"/>
              </w:rPr>
            </w:pPr>
            <w:r w:rsidRPr="00260CE3">
              <w:rPr>
                <w:rFonts w:ascii="Arial Narrow" w:hAnsi="Arial Narrow"/>
                <w:b/>
                <w:sz w:val="20"/>
              </w:rPr>
              <w:t>Prescriber type:</w:t>
            </w:r>
          </w:p>
          <w:p w:rsidR="00CB20A3" w:rsidRPr="00260CE3" w:rsidRDefault="00CB20A3" w:rsidP="00996D37">
            <w:pPr>
              <w:rPr>
                <w:rFonts w:ascii="Arial Narrow" w:hAnsi="Arial Narrow"/>
                <w:b/>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B20A3" w:rsidRPr="00260CE3" w:rsidRDefault="00CB20A3" w:rsidP="00996D37">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Episodicity:</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Severity:</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Advanced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Condition:</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Carcinoma of cervix</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PBS Indication:</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Advanced carcinoma of cervix</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Treatment phase:</w:t>
            </w:r>
          </w:p>
          <w:p w:rsidR="00CB20A3" w:rsidRPr="00260CE3" w:rsidRDefault="00CB20A3" w:rsidP="00996D37">
            <w:pPr>
              <w:rPr>
                <w:rFonts w:ascii="Arial Narrow" w:hAnsi="Arial Narrow"/>
                <w:i/>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Continuing treatment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953" w:type="dxa"/>
            <w:tcBorders>
              <w:top w:val="single" w:sz="4" w:space="0" w:color="auto"/>
              <w:left w:val="single" w:sz="4" w:space="0" w:color="auto"/>
              <w:bottom w:val="single" w:sz="4" w:space="0" w:color="auto"/>
              <w:right w:val="single" w:sz="4" w:space="0" w:color="auto"/>
            </w:tcBorders>
          </w:tcPr>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B20A3" w:rsidRPr="00106BCF" w:rsidRDefault="00CB20A3" w:rsidP="00996D37">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CB20A3" w:rsidRPr="00260CE3" w:rsidRDefault="00CB20A3" w:rsidP="00996D37">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Treatment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Clinical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Default="00CB20A3" w:rsidP="00996D37">
            <w:pPr>
              <w:rPr>
                <w:rFonts w:ascii="Arial Narrow" w:hAnsi="Arial Narrow"/>
                <w:sz w:val="20"/>
              </w:rPr>
            </w:pPr>
            <w:r>
              <w:rPr>
                <w:rFonts w:ascii="Arial Narrow" w:hAnsi="Arial Narrow"/>
                <w:sz w:val="20"/>
              </w:rPr>
              <w:t>Patient must have previously received PBS-subsidised treatment with this drug for this condition;</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AND</w:t>
            </w:r>
          </w:p>
          <w:p w:rsidR="00CB20A3" w:rsidRDefault="00CB20A3" w:rsidP="00996D37">
            <w:pPr>
              <w:rPr>
                <w:rFonts w:ascii="Arial Narrow" w:hAnsi="Arial Narrow"/>
                <w:sz w:val="20"/>
              </w:rPr>
            </w:pPr>
          </w:p>
          <w:p w:rsidR="00CB20A3" w:rsidRDefault="00CB20A3" w:rsidP="00996D37">
            <w:pPr>
              <w:rPr>
                <w:rFonts w:ascii="Arial Narrow" w:hAnsi="Arial Narrow"/>
                <w:sz w:val="20"/>
              </w:rPr>
            </w:pPr>
            <w:r>
              <w:rPr>
                <w:rFonts w:ascii="Arial Narrow" w:hAnsi="Arial Narrow"/>
                <w:sz w:val="20"/>
              </w:rPr>
              <w:t>Patient must not have progressive disease;</w:t>
            </w:r>
          </w:p>
          <w:p w:rsidR="00CB20A3" w:rsidRDefault="00CB20A3" w:rsidP="00996D37">
            <w:pPr>
              <w:rPr>
                <w:rFonts w:ascii="Arial Narrow" w:hAnsi="Arial Narrow"/>
                <w:sz w:val="20"/>
              </w:rPr>
            </w:pPr>
          </w:p>
          <w:p w:rsidR="00CB20A3" w:rsidRPr="002E53E5" w:rsidRDefault="00CB20A3" w:rsidP="00996D37">
            <w:pPr>
              <w:rPr>
                <w:rFonts w:ascii="Arial Narrow" w:hAnsi="Arial Narrow"/>
                <w:i/>
                <w:sz w:val="20"/>
              </w:rPr>
            </w:pPr>
            <w:r w:rsidRPr="002E53E5">
              <w:rPr>
                <w:rFonts w:ascii="Arial Narrow" w:hAnsi="Arial Narrow"/>
                <w:i/>
                <w:sz w:val="20"/>
              </w:rPr>
              <w:t>AND</w:t>
            </w:r>
          </w:p>
          <w:p w:rsidR="00CB20A3" w:rsidRPr="002E53E5" w:rsidRDefault="00CB20A3" w:rsidP="00996D37">
            <w:pPr>
              <w:rPr>
                <w:rFonts w:ascii="Arial Narrow" w:hAnsi="Arial Narrow"/>
                <w:i/>
                <w:sz w:val="20"/>
              </w:rPr>
            </w:pPr>
          </w:p>
          <w:p w:rsidR="00CB20A3" w:rsidRPr="002E53E5" w:rsidRDefault="00CB20A3" w:rsidP="00996D37">
            <w:pPr>
              <w:rPr>
                <w:rFonts w:ascii="Arial Narrow" w:hAnsi="Arial Narrow"/>
                <w:i/>
                <w:sz w:val="20"/>
              </w:rPr>
            </w:pPr>
            <w:r w:rsidRPr="002E53E5">
              <w:rPr>
                <w:rFonts w:ascii="Arial Narrow" w:hAnsi="Arial Narrow"/>
                <w:i/>
                <w:sz w:val="20"/>
              </w:rPr>
              <w:t>The treatment must be in combination with platinum-based chemotherapy plus paclitaxel; OR</w:t>
            </w:r>
          </w:p>
          <w:p w:rsidR="00CB20A3" w:rsidRPr="002E53E5" w:rsidRDefault="00CB20A3" w:rsidP="00996D37">
            <w:pPr>
              <w:rPr>
                <w:rFonts w:ascii="Arial Narrow" w:hAnsi="Arial Narrow"/>
                <w:i/>
                <w:sz w:val="20"/>
              </w:rPr>
            </w:pPr>
          </w:p>
          <w:p w:rsidR="00CB20A3" w:rsidRPr="002E53E5" w:rsidRDefault="00CB20A3" w:rsidP="00996D37">
            <w:pPr>
              <w:rPr>
                <w:rFonts w:ascii="Arial Narrow" w:hAnsi="Arial Narrow"/>
                <w:i/>
                <w:sz w:val="20"/>
              </w:rPr>
            </w:pPr>
            <w:r w:rsidRPr="002E53E5">
              <w:rPr>
                <w:rFonts w:ascii="Arial Narrow" w:hAnsi="Arial Narrow"/>
                <w:i/>
                <w:sz w:val="20"/>
              </w:rPr>
              <w:t xml:space="preserve">The treatment must be in combination with topotecan plus paclitaxel if patient is unable to tolerate </w:t>
            </w:r>
            <w:r w:rsidRPr="002E53E5">
              <w:rPr>
                <w:rFonts w:ascii="Arial Narrow" w:hAnsi="Arial Narrow"/>
                <w:i/>
                <w:strike/>
                <w:sz w:val="20"/>
              </w:rPr>
              <w:t>carboplatin or cisplatin</w:t>
            </w:r>
            <w:r w:rsidRPr="002E53E5">
              <w:rPr>
                <w:rFonts w:ascii="Arial Narrow" w:hAnsi="Arial Narrow"/>
                <w:i/>
                <w:sz w:val="20"/>
              </w:rPr>
              <w:t xml:space="preserve"> platinum-based chemotherapy;</w:t>
            </w:r>
          </w:p>
          <w:p w:rsidR="00CB20A3" w:rsidRDefault="00CB20A3" w:rsidP="00996D37">
            <w:pPr>
              <w:rPr>
                <w:rFonts w:ascii="Arial Narrow" w:hAnsi="Arial Narrow"/>
                <w:sz w:val="20"/>
              </w:rPr>
            </w:pP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Population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Foreword</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Definitions</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Prescriber Instructions</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D8598B" w:rsidRDefault="00CB20A3" w:rsidP="00996D37">
            <w:pPr>
              <w:rPr>
                <w:rFonts w:ascii="Arial Narrow" w:hAnsi="Arial Narrow"/>
                <w:i/>
                <w:sz w:val="20"/>
              </w:rPr>
            </w:pPr>
            <w:r w:rsidRPr="00D8598B">
              <w:rPr>
                <w:rFonts w:ascii="Arial Narrow" w:hAnsi="Arial Narrow"/>
                <w:i/>
                <w:sz w:val="20"/>
              </w:rPr>
              <w:t xml:space="preserve">Advanced carcinoma of the cervix is defined as persistent </w:t>
            </w:r>
            <w:r w:rsidR="00C477DD">
              <w:rPr>
                <w:rFonts w:ascii="Arial Narrow" w:hAnsi="Arial Narrow"/>
                <w:i/>
                <w:sz w:val="20"/>
              </w:rPr>
              <w:t xml:space="preserve">carcinoma, recurrent carcinoma </w:t>
            </w:r>
            <w:r w:rsidRPr="00D8598B">
              <w:rPr>
                <w:rFonts w:ascii="Arial Narrow" w:hAnsi="Arial Narrow"/>
                <w:i/>
                <w:sz w:val="20"/>
              </w:rPr>
              <w:t>or metastatic carcinoma of the cervix.</w:t>
            </w:r>
          </w:p>
          <w:p w:rsidR="00CB20A3" w:rsidRPr="00260CE3" w:rsidRDefault="00CB20A3" w:rsidP="00996D37">
            <w:pPr>
              <w:rPr>
                <w:rFonts w:ascii="Arial Narrow" w:hAnsi="Arial Narrow"/>
                <w:sz w:val="20"/>
              </w:rPr>
            </w:pPr>
          </w:p>
        </w:tc>
      </w:tr>
      <w:tr w:rsidR="00CB20A3" w:rsidRPr="00647895"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Administrative Advice</w:t>
            </w:r>
          </w:p>
          <w:p w:rsidR="00CB20A3" w:rsidRPr="00260CE3" w:rsidRDefault="00CB20A3" w:rsidP="00996D37">
            <w:pPr>
              <w:rPr>
                <w:rFonts w:ascii="Arial Narrow" w:hAnsi="Arial Narrow"/>
                <w:i/>
                <w:sz w:val="20"/>
              </w:rPr>
            </w:pPr>
          </w:p>
        </w:tc>
        <w:tc>
          <w:tcPr>
            <w:tcW w:w="5953" w:type="dxa"/>
            <w:tcBorders>
              <w:top w:val="single" w:sz="4" w:space="0" w:color="auto"/>
              <w:left w:val="single" w:sz="4" w:space="0" w:color="auto"/>
              <w:bottom w:val="single" w:sz="4" w:space="0" w:color="auto"/>
              <w:right w:val="single" w:sz="4" w:space="0" w:color="auto"/>
            </w:tcBorders>
          </w:tcPr>
          <w:p w:rsidR="00CB20A3" w:rsidRDefault="00CB20A3" w:rsidP="00996D37">
            <w:pPr>
              <w:rPr>
                <w:rFonts w:ascii="Arial Narrow" w:hAnsi="Arial Narrow"/>
                <w:sz w:val="20"/>
              </w:rPr>
            </w:pPr>
            <w:r w:rsidRPr="00545C30">
              <w:rPr>
                <w:rFonts w:ascii="Arial Narrow" w:hAnsi="Arial Narrow"/>
                <w:sz w:val="20"/>
              </w:rPr>
              <w:t>Special Pricing Arrangements apply.</w:t>
            </w:r>
          </w:p>
          <w:p w:rsidR="00CB20A3" w:rsidRPr="00545C30" w:rsidRDefault="00CB20A3" w:rsidP="00996D37">
            <w:pPr>
              <w:rPr>
                <w:rFonts w:ascii="Arial Narrow" w:hAnsi="Arial Narrow"/>
                <w:sz w:val="20"/>
              </w:rPr>
            </w:pPr>
          </w:p>
        </w:tc>
      </w:tr>
      <w:tr w:rsidR="00CB20A3" w:rsidRPr="00647895"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Cautions</w:t>
            </w:r>
          </w:p>
        </w:tc>
        <w:tc>
          <w:tcPr>
            <w:tcW w:w="5953" w:type="dxa"/>
            <w:tcBorders>
              <w:top w:val="single" w:sz="4" w:space="0" w:color="auto"/>
              <w:left w:val="single" w:sz="4" w:space="0" w:color="auto"/>
              <w:bottom w:val="single" w:sz="4" w:space="0" w:color="auto"/>
              <w:right w:val="single" w:sz="4" w:space="0" w:color="auto"/>
            </w:tcBorders>
          </w:tcPr>
          <w:p w:rsidR="00CB20A3" w:rsidRPr="00647895" w:rsidRDefault="00CB20A3" w:rsidP="00996D37">
            <w:pPr>
              <w:tabs>
                <w:tab w:val="center" w:pos="3081"/>
              </w:tabs>
              <w:rPr>
                <w:rFonts w:ascii="Snell Roundhand" w:hAnsi="Snell Roundhand"/>
                <w:sz w:val="20"/>
              </w:rPr>
            </w:pPr>
            <w:r>
              <w:rPr>
                <w:rFonts w:ascii="Snell Roundhand" w:hAnsi="Snell Roundhand"/>
                <w:sz w:val="20"/>
              </w:rPr>
              <w:t>-</w:t>
            </w:r>
            <w:r w:rsidRPr="00647895">
              <w:rPr>
                <w:rFonts w:ascii="Snell Roundhand" w:hAnsi="Snell Roundhand"/>
                <w:sz w:val="20"/>
              </w:rPr>
              <w:tab/>
            </w:r>
          </w:p>
        </w:tc>
      </w:tr>
    </w:tbl>
    <w:p w:rsidR="00CB20A3" w:rsidRPr="00552722" w:rsidRDefault="00CB20A3" w:rsidP="00CB20A3">
      <w:pPr>
        <w:rPr>
          <w:szCs w:val="22"/>
        </w:rPr>
      </w:pPr>
    </w:p>
    <w:tbl>
      <w:tblPr>
        <w:tblW w:w="8505" w:type="dxa"/>
        <w:tblInd w:w="817" w:type="dxa"/>
        <w:tblLayout w:type="fixed"/>
        <w:tblLook w:val="0000" w:firstRow="0" w:lastRow="0" w:firstColumn="0" w:lastColumn="0" w:noHBand="0" w:noVBand="0"/>
      </w:tblPr>
      <w:tblGrid>
        <w:gridCol w:w="2552"/>
        <w:gridCol w:w="5953"/>
      </w:tblGrid>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 xml:space="preserve">Category / </w:t>
            </w:r>
          </w:p>
          <w:p w:rsidR="00CB20A3" w:rsidRPr="00260CE3" w:rsidRDefault="00CB20A3" w:rsidP="00996D37">
            <w:pPr>
              <w:rPr>
                <w:rFonts w:ascii="Arial Narrow" w:hAnsi="Arial Narrow"/>
                <w:b/>
                <w:sz w:val="20"/>
              </w:rPr>
            </w:pPr>
            <w:r w:rsidRPr="00260CE3">
              <w:rPr>
                <w:rFonts w:ascii="Arial Narrow" w:hAnsi="Arial Narrow"/>
                <w:b/>
                <w:sz w:val="20"/>
              </w:rPr>
              <w:t>Program</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260CE3">
              <w:rPr>
                <w:rFonts w:ascii="Arial Narrow" w:hAnsi="Arial Narrow"/>
                <w:sz w:val="20"/>
              </w:rPr>
              <w:t xml:space="preserve">Section 100 – </w:t>
            </w:r>
            <w:r>
              <w:rPr>
                <w:rFonts w:ascii="Arial Narrow" w:hAnsi="Arial Narrow"/>
                <w:sz w:val="20"/>
              </w:rPr>
              <w:t>Efficient Funding of Chemotherapy</w:t>
            </w:r>
          </w:p>
          <w:p w:rsidR="00CB20A3" w:rsidRPr="006C74CD" w:rsidRDefault="00CB20A3" w:rsidP="00996D37">
            <w:pPr>
              <w:rPr>
                <w:rFonts w:ascii="Arial Narrow" w:hAnsi="Arial Narrow"/>
                <w:sz w:val="20"/>
              </w:rPr>
            </w:pPr>
            <w:r w:rsidRPr="006C74CD">
              <w:rPr>
                <w:rFonts w:ascii="Arial Narrow" w:hAnsi="Arial Narrow"/>
                <w:sz w:val="20"/>
              </w:rPr>
              <w:t>Private Hospital/Private Clinic Authority Required (STREAMLINED)</w:t>
            </w:r>
          </w:p>
          <w:p w:rsidR="00CB20A3" w:rsidRPr="00260CE3" w:rsidRDefault="00CB20A3" w:rsidP="00996D37">
            <w:pPr>
              <w:rPr>
                <w:rFonts w:ascii="Arial Narrow" w:hAnsi="Arial Narrow"/>
                <w:sz w:val="20"/>
              </w:rPr>
            </w:pPr>
            <w:r w:rsidRPr="006C74CD">
              <w:rPr>
                <w:rFonts w:ascii="Arial Narrow" w:hAnsi="Arial Narrow"/>
                <w:sz w:val="20"/>
              </w:rPr>
              <w:t>Public Hospital Authority Required (STREAMLINED)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Default="00CB20A3" w:rsidP="00996D37">
            <w:pPr>
              <w:rPr>
                <w:rFonts w:ascii="Arial Narrow" w:hAnsi="Arial Narrow"/>
                <w:b/>
                <w:sz w:val="20"/>
              </w:rPr>
            </w:pPr>
            <w:r w:rsidRPr="00260CE3">
              <w:rPr>
                <w:rFonts w:ascii="Arial Narrow" w:hAnsi="Arial Narrow"/>
                <w:b/>
                <w:sz w:val="20"/>
              </w:rPr>
              <w:t>Prescriber type:</w:t>
            </w:r>
          </w:p>
          <w:p w:rsidR="00CB20A3" w:rsidRPr="00260CE3" w:rsidRDefault="00CB20A3" w:rsidP="00996D37">
            <w:pPr>
              <w:rPr>
                <w:rFonts w:ascii="Arial Narrow" w:hAnsi="Arial Narrow"/>
                <w:b/>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CB20A3" w:rsidRPr="00260CE3" w:rsidRDefault="00CB20A3" w:rsidP="00996D37">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lastRenderedPageBreak/>
              <w:t>Episodicity:</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Severity:</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Advanced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Condition:</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Carcinoma of cervix</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PBS Indication:</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Advanced carcinoma of cervix</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Treatment phase:</w:t>
            </w:r>
          </w:p>
          <w:p w:rsidR="00CB20A3" w:rsidRPr="00260CE3" w:rsidRDefault="00CB20A3" w:rsidP="00996D37">
            <w:pPr>
              <w:rPr>
                <w:rFonts w:ascii="Arial Narrow" w:hAnsi="Arial Narrow"/>
                <w:i/>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sidRPr="0071479D">
              <w:rPr>
                <w:rFonts w:ascii="Arial Narrow" w:hAnsi="Arial Narrow"/>
                <w:sz w:val="20"/>
              </w:rPr>
              <w:t xml:space="preserve">Grandfathering treatment </w:t>
            </w:r>
            <w:r w:rsidRPr="0003399D">
              <w:rPr>
                <w:rFonts w:ascii="Arial Narrow" w:hAnsi="Arial Narrow"/>
                <w:strike/>
                <w:sz w:val="20"/>
              </w:rPr>
              <w:t>Initial PBS-subsidised treatment (Grandfather patient)</w:t>
            </w:r>
            <w:r>
              <w:rPr>
                <w:rFonts w:ascii="Arial Narrow" w:hAnsi="Arial Narrow"/>
                <w:sz w:val="20"/>
              </w:rPr>
              <w:t xml:space="preserve"> </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953" w:type="dxa"/>
            <w:tcBorders>
              <w:top w:val="single" w:sz="4" w:space="0" w:color="auto"/>
              <w:left w:val="single" w:sz="4" w:space="0" w:color="auto"/>
              <w:bottom w:val="single" w:sz="4" w:space="0" w:color="auto"/>
              <w:right w:val="single" w:sz="4" w:space="0" w:color="auto"/>
            </w:tcBorders>
          </w:tcPr>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B20A3" w:rsidRPr="00106BCF" w:rsidRDefault="00CB20A3" w:rsidP="00996D37">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CB20A3" w:rsidRPr="00106BCF" w:rsidRDefault="00CB20A3" w:rsidP="00996D37">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CB20A3" w:rsidRPr="00260CE3" w:rsidRDefault="00CB20A3" w:rsidP="00996D37">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F72622">
              <w:rPr>
                <w:rFonts w:ascii="Arial Narrow" w:hAnsi="Arial Narrow"/>
                <w:sz w:val="20"/>
              </w:rPr>
            </w:r>
            <w:r w:rsidR="00F72622">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Treatment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Clinical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4D0630" w:rsidRDefault="00CB20A3" w:rsidP="00996D37">
            <w:pPr>
              <w:rPr>
                <w:rFonts w:ascii="Arial Narrow" w:hAnsi="Arial Narrow"/>
                <w:strike/>
                <w:sz w:val="20"/>
              </w:rPr>
            </w:pPr>
            <w:r w:rsidRPr="004D0630">
              <w:rPr>
                <w:rFonts w:ascii="Arial Narrow" w:hAnsi="Arial Narrow"/>
                <w:strike/>
                <w:sz w:val="20"/>
              </w:rPr>
              <w:t xml:space="preserve">The condition must not be amenable to curative treatment with surgery and/or radiation therapy </w:t>
            </w:r>
          </w:p>
          <w:p w:rsidR="00CB20A3" w:rsidRPr="004D0630" w:rsidRDefault="00CB20A3" w:rsidP="00996D37">
            <w:pPr>
              <w:rPr>
                <w:rFonts w:ascii="Arial Narrow" w:hAnsi="Arial Narrow"/>
                <w:strike/>
                <w:sz w:val="20"/>
              </w:rPr>
            </w:pPr>
            <w:r w:rsidRPr="004D0630">
              <w:rPr>
                <w:rFonts w:ascii="Arial Narrow" w:hAnsi="Arial Narrow"/>
                <w:strike/>
                <w:sz w:val="20"/>
              </w:rPr>
              <w:t>AND</w:t>
            </w:r>
          </w:p>
          <w:p w:rsidR="00CB20A3" w:rsidRPr="004D0630" w:rsidRDefault="00CB20A3" w:rsidP="00996D37">
            <w:pPr>
              <w:rPr>
                <w:rFonts w:ascii="Arial Narrow" w:hAnsi="Arial Narrow"/>
                <w:strike/>
                <w:sz w:val="20"/>
              </w:rPr>
            </w:pPr>
            <w:r w:rsidRPr="004D0630">
              <w:rPr>
                <w:rFonts w:ascii="Arial Narrow" w:hAnsi="Arial Narrow"/>
                <w:strike/>
                <w:sz w:val="20"/>
              </w:rPr>
              <w:t>The patient must have a GOG performance status of 0 or 1</w:t>
            </w:r>
          </w:p>
          <w:p w:rsidR="00CB20A3" w:rsidRDefault="00CB20A3" w:rsidP="00996D37">
            <w:pPr>
              <w:rPr>
                <w:rFonts w:ascii="Arial Narrow" w:hAnsi="Arial Narrow"/>
                <w:strike/>
                <w:sz w:val="20"/>
              </w:rPr>
            </w:pPr>
            <w:r w:rsidRPr="004D0630">
              <w:rPr>
                <w:rFonts w:ascii="Arial Narrow" w:hAnsi="Arial Narrow"/>
                <w:strike/>
                <w:sz w:val="20"/>
              </w:rPr>
              <w:t>AND</w:t>
            </w:r>
          </w:p>
          <w:p w:rsidR="00CB20A3" w:rsidRPr="004D0630" w:rsidRDefault="00CB20A3" w:rsidP="00996D37">
            <w:pPr>
              <w:rPr>
                <w:rFonts w:ascii="Arial Narrow" w:hAnsi="Arial Narrow"/>
                <w:strike/>
                <w:sz w:val="20"/>
              </w:rPr>
            </w:pPr>
            <w:r w:rsidRPr="0071479D">
              <w:rPr>
                <w:rFonts w:ascii="Arial Narrow" w:hAnsi="Arial Narrow"/>
                <w:strike/>
                <w:sz w:val="20"/>
              </w:rPr>
              <w:t>The patient must be previously treated with non-PBS listed bevacizumab for persistent, recurrent or metastatic cervical cancer prior to (insert listing date).</w:t>
            </w:r>
          </w:p>
          <w:p w:rsidR="00CB20A3" w:rsidRPr="004D0630" w:rsidRDefault="00CB20A3" w:rsidP="00996D37">
            <w:pPr>
              <w:rPr>
                <w:rFonts w:ascii="Arial Narrow" w:hAnsi="Arial Narrow"/>
                <w:i/>
                <w:sz w:val="20"/>
              </w:rPr>
            </w:pPr>
          </w:p>
          <w:p w:rsidR="00CB20A3" w:rsidRPr="00DF2CCC" w:rsidRDefault="00CB20A3" w:rsidP="00996D37">
            <w:pPr>
              <w:rPr>
                <w:rFonts w:ascii="Arial Narrow" w:hAnsi="Arial Narrow"/>
                <w:sz w:val="20"/>
              </w:rPr>
            </w:pPr>
            <w:r w:rsidRPr="00DF2CCC">
              <w:rPr>
                <w:rFonts w:ascii="Arial Narrow" w:hAnsi="Arial Narrow"/>
                <w:sz w:val="20"/>
              </w:rPr>
              <w:t>Patient must have previously received non-PBS-subsidised therapy with this drug for this condition prior to xx/Month/Year;</w:t>
            </w:r>
          </w:p>
          <w:p w:rsidR="00CB20A3" w:rsidRPr="004D0630" w:rsidRDefault="00CB20A3" w:rsidP="00996D37">
            <w:pPr>
              <w:rPr>
                <w:rFonts w:ascii="Arial Narrow" w:hAnsi="Arial Narrow"/>
                <w:i/>
                <w:sz w:val="20"/>
              </w:rPr>
            </w:pPr>
          </w:p>
          <w:p w:rsidR="00CB20A3" w:rsidRPr="004D0630" w:rsidRDefault="00CB20A3" w:rsidP="00996D37">
            <w:pPr>
              <w:rPr>
                <w:rFonts w:ascii="Arial Narrow" w:hAnsi="Arial Narrow"/>
                <w:i/>
                <w:sz w:val="20"/>
              </w:rPr>
            </w:pPr>
            <w:r w:rsidRPr="004D0630">
              <w:rPr>
                <w:rFonts w:ascii="Arial Narrow" w:hAnsi="Arial Narrow"/>
                <w:i/>
                <w:sz w:val="20"/>
              </w:rPr>
              <w:t>AND</w:t>
            </w:r>
          </w:p>
          <w:p w:rsidR="00CB20A3" w:rsidRPr="004D0630" w:rsidRDefault="00CB20A3" w:rsidP="00996D37">
            <w:pPr>
              <w:rPr>
                <w:rFonts w:ascii="Arial Narrow" w:hAnsi="Arial Narrow"/>
                <w:i/>
                <w:sz w:val="20"/>
              </w:rPr>
            </w:pPr>
          </w:p>
          <w:p w:rsidR="00CB20A3" w:rsidRPr="004D0630" w:rsidRDefault="00CB20A3" w:rsidP="00996D37">
            <w:pPr>
              <w:rPr>
                <w:rFonts w:ascii="Arial Narrow" w:hAnsi="Arial Narrow"/>
                <w:i/>
                <w:sz w:val="20"/>
              </w:rPr>
            </w:pPr>
            <w:r w:rsidRPr="004D0630">
              <w:rPr>
                <w:rFonts w:ascii="Arial Narrow" w:hAnsi="Arial Narrow"/>
                <w:i/>
                <w:sz w:val="20"/>
              </w:rPr>
              <w:t>Patient must not have progressive disease;</w:t>
            </w:r>
          </w:p>
          <w:p w:rsidR="00CB20A3" w:rsidRPr="004D0630" w:rsidRDefault="00CB20A3" w:rsidP="00996D37">
            <w:pPr>
              <w:rPr>
                <w:rFonts w:ascii="Arial Narrow" w:hAnsi="Arial Narrow"/>
                <w:i/>
                <w:sz w:val="20"/>
              </w:rPr>
            </w:pPr>
          </w:p>
          <w:p w:rsidR="00CB20A3" w:rsidRPr="004D0630" w:rsidRDefault="00CB20A3" w:rsidP="00996D37">
            <w:pPr>
              <w:rPr>
                <w:rFonts w:ascii="Arial Narrow" w:hAnsi="Arial Narrow"/>
                <w:i/>
                <w:sz w:val="20"/>
              </w:rPr>
            </w:pPr>
            <w:r w:rsidRPr="004D0630">
              <w:rPr>
                <w:rFonts w:ascii="Arial Narrow" w:hAnsi="Arial Narrow"/>
                <w:i/>
                <w:sz w:val="20"/>
              </w:rPr>
              <w:t>AND</w:t>
            </w:r>
          </w:p>
          <w:p w:rsidR="00CB20A3" w:rsidRPr="002E53E5" w:rsidRDefault="00CB20A3" w:rsidP="00996D37">
            <w:pPr>
              <w:rPr>
                <w:rFonts w:ascii="Arial Narrow" w:hAnsi="Arial Narrow"/>
                <w:i/>
                <w:sz w:val="20"/>
              </w:rPr>
            </w:pPr>
          </w:p>
          <w:p w:rsidR="00CB20A3" w:rsidRPr="002E53E5" w:rsidRDefault="00CB20A3" w:rsidP="00996D37">
            <w:pPr>
              <w:rPr>
                <w:rFonts w:ascii="Arial Narrow" w:hAnsi="Arial Narrow"/>
                <w:i/>
                <w:sz w:val="20"/>
              </w:rPr>
            </w:pPr>
            <w:r w:rsidRPr="002E53E5">
              <w:rPr>
                <w:rFonts w:ascii="Arial Narrow" w:hAnsi="Arial Narrow"/>
                <w:i/>
                <w:sz w:val="20"/>
              </w:rPr>
              <w:t>The treatment must be in combination with platinum-based chemotherapy plus paclitaxel; OR</w:t>
            </w:r>
          </w:p>
          <w:p w:rsidR="00CB20A3" w:rsidRPr="002E53E5" w:rsidRDefault="00CB20A3" w:rsidP="00996D37">
            <w:pPr>
              <w:rPr>
                <w:rFonts w:ascii="Arial Narrow" w:hAnsi="Arial Narrow"/>
                <w:i/>
                <w:sz w:val="20"/>
              </w:rPr>
            </w:pPr>
          </w:p>
          <w:p w:rsidR="00CB20A3" w:rsidRPr="002E53E5" w:rsidRDefault="00CB20A3" w:rsidP="00996D37">
            <w:pPr>
              <w:rPr>
                <w:rFonts w:ascii="Arial Narrow" w:hAnsi="Arial Narrow"/>
                <w:i/>
                <w:sz w:val="20"/>
              </w:rPr>
            </w:pPr>
            <w:r w:rsidRPr="002E53E5">
              <w:rPr>
                <w:rFonts w:ascii="Arial Narrow" w:hAnsi="Arial Narrow"/>
                <w:i/>
                <w:sz w:val="20"/>
              </w:rPr>
              <w:t xml:space="preserve">The treatment must be in combination with topotecan plus paclitaxel if patient is unable to tolerate </w:t>
            </w:r>
            <w:r w:rsidRPr="002E53E5">
              <w:rPr>
                <w:rFonts w:ascii="Arial Narrow" w:hAnsi="Arial Narrow"/>
                <w:i/>
                <w:strike/>
                <w:sz w:val="20"/>
              </w:rPr>
              <w:t>carboplatin or cisplatin</w:t>
            </w:r>
            <w:r w:rsidRPr="002E53E5">
              <w:rPr>
                <w:rFonts w:ascii="Arial Narrow" w:hAnsi="Arial Narrow"/>
                <w:i/>
                <w:sz w:val="20"/>
              </w:rPr>
              <w:t xml:space="preserve"> platinum-based chemotherapy;</w:t>
            </w:r>
          </w:p>
          <w:p w:rsidR="00CB20A3" w:rsidRDefault="00CB20A3" w:rsidP="00996D37">
            <w:pPr>
              <w:rPr>
                <w:rFonts w:ascii="Arial Narrow" w:hAnsi="Arial Narrow"/>
                <w:sz w:val="20"/>
              </w:rPr>
            </w:pP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Population criteria:</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p w:rsidR="00CB20A3" w:rsidRPr="00260CE3" w:rsidRDefault="00CB20A3" w:rsidP="00996D37">
            <w:pPr>
              <w:rPr>
                <w:rFonts w:ascii="Arial Narrow" w:hAnsi="Arial Narrow"/>
                <w:sz w:val="20"/>
              </w:rPr>
            </w:pP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Foreword</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Definitions</w:t>
            </w:r>
          </w:p>
        </w:tc>
        <w:tc>
          <w:tcPr>
            <w:tcW w:w="5953"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sz w:val="20"/>
              </w:rPr>
            </w:pPr>
            <w:r>
              <w:rPr>
                <w:rFonts w:ascii="Arial Narrow" w:hAnsi="Arial Narrow"/>
                <w:sz w:val="20"/>
              </w:rPr>
              <w:t>-</w:t>
            </w:r>
          </w:p>
        </w:tc>
      </w:tr>
      <w:tr w:rsidR="00CB20A3" w:rsidRPr="00260CE3"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260CE3" w:rsidRDefault="00CB20A3" w:rsidP="00996D37">
            <w:pPr>
              <w:rPr>
                <w:rFonts w:ascii="Arial Narrow" w:hAnsi="Arial Narrow"/>
                <w:b/>
                <w:sz w:val="20"/>
              </w:rPr>
            </w:pPr>
            <w:r w:rsidRPr="00260CE3">
              <w:rPr>
                <w:rFonts w:ascii="Arial Narrow" w:hAnsi="Arial Narrow"/>
                <w:b/>
                <w:sz w:val="20"/>
              </w:rPr>
              <w:t>Prescriber Instructions</w:t>
            </w:r>
          </w:p>
          <w:p w:rsidR="00CB20A3" w:rsidRPr="00260CE3" w:rsidRDefault="00CB20A3" w:rsidP="00996D37">
            <w:pPr>
              <w:rPr>
                <w:rFonts w:ascii="Arial Narrow" w:hAnsi="Arial Narrow"/>
                <w:sz w:val="20"/>
              </w:rPr>
            </w:pPr>
          </w:p>
        </w:tc>
        <w:tc>
          <w:tcPr>
            <w:tcW w:w="5953" w:type="dxa"/>
            <w:tcBorders>
              <w:top w:val="single" w:sz="4" w:space="0" w:color="auto"/>
              <w:left w:val="single" w:sz="4" w:space="0" w:color="auto"/>
              <w:bottom w:val="single" w:sz="4" w:space="0" w:color="auto"/>
              <w:right w:val="single" w:sz="4" w:space="0" w:color="auto"/>
            </w:tcBorders>
          </w:tcPr>
          <w:p w:rsidR="00CB20A3" w:rsidRPr="00D8598B" w:rsidRDefault="00CB20A3" w:rsidP="00996D37">
            <w:pPr>
              <w:rPr>
                <w:rFonts w:ascii="Arial Narrow" w:hAnsi="Arial Narrow"/>
                <w:i/>
                <w:sz w:val="20"/>
              </w:rPr>
            </w:pPr>
            <w:r w:rsidRPr="00D8598B">
              <w:rPr>
                <w:rFonts w:ascii="Arial Narrow" w:hAnsi="Arial Narrow"/>
                <w:i/>
                <w:sz w:val="20"/>
              </w:rPr>
              <w:t xml:space="preserve">Advanced carcinoma of the cervix is defined as persistent </w:t>
            </w:r>
            <w:r w:rsidR="00C477DD">
              <w:rPr>
                <w:rFonts w:ascii="Arial Narrow" w:hAnsi="Arial Narrow"/>
                <w:i/>
                <w:sz w:val="20"/>
              </w:rPr>
              <w:t xml:space="preserve">carcinoma, recurrent carcinoma </w:t>
            </w:r>
            <w:r w:rsidRPr="00D8598B">
              <w:rPr>
                <w:rFonts w:ascii="Arial Narrow" w:hAnsi="Arial Narrow"/>
                <w:i/>
                <w:sz w:val="20"/>
              </w:rPr>
              <w:t>or metastatic carcinoma of the cervix.</w:t>
            </w:r>
          </w:p>
          <w:p w:rsidR="00CB20A3" w:rsidRDefault="00CB20A3" w:rsidP="00996D37">
            <w:pPr>
              <w:rPr>
                <w:rFonts w:ascii="Arial Narrow" w:hAnsi="Arial Narrow"/>
                <w:sz w:val="20"/>
              </w:rPr>
            </w:pPr>
          </w:p>
          <w:p w:rsidR="00CB20A3" w:rsidRPr="00260CE3" w:rsidRDefault="00CB20A3" w:rsidP="00996D37">
            <w:pPr>
              <w:rPr>
                <w:rFonts w:ascii="Arial Narrow" w:hAnsi="Arial Narrow"/>
                <w:sz w:val="20"/>
              </w:rPr>
            </w:pPr>
            <w:r>
              <w:rPr>
                <w:rFonts w:ascii="Arial Narrow" w:hAnsi="Arial Narrow"/>
                <w:sz w:val="20"/>
              </w:rPr>
              <w:t xml:space="preserve">The patient’s Gynaecologic Oncology Group (GOG) performance status and body weight must be documented in the patient’s medical records at the time the treatment cycle is initiated. </w:t>
            </w:r>
          </w:p>
        </w:tc>
      </w:tr>
      <w:tr w:rsidR="00CB20A3" w:rsidRPr="00647895" w:rsidTr="009F32E2">
        <w:trPr>
          <w:cantSplit/>
          <w:trHeight w:val="360"/>
        </w:trPr>
        <w:tc>
          <w:tcPr>
            <w:tcW w:w="2552" w:type="dxa"/>
            <w:tcBorders>
              <w:top w:val="single" w:sz="4" w:space="0" w:color="auto"/>
              <w:left w:val="single" w:sz="4" w:space="0" w:color="auto"/>
              <w:bottom w:val="single" w:sz="4" w:space="0" w:color="auto"/>
              <w:right w:val="single" w:sz="4" w:space="0" w:color="auto"/>
            </w:tcBorders>
          </w:tcPr>
          <w:p w:rsidR="00CB20A3" w:rsidRPr="00CF4495" w:rsidRDefault="00CB20A3" w:rsidP="00996D37">
            <w:pPr>
              <w:rPr>
                <w:rFonts w:ascii="Arial Narrow" w:hAnsi="Arial Narrow"/>
                <w:b/>
                <w:sz w:val="20"/>
              </w:rPr>
            </w:pPr>
            <w:r w:rsidRPr="00260CE3">
              <w:rPr>
                <w:rFonts w:ascii="Arial Narrow" w:hAnsi="Arial Narrow"/>
                <w:b/>
                <w:sz w:val="20"/>
              </w:rPr>
              <w:t>Administrative Advice</w:t>
            </w:r>
          </w:p>
          <w:p w:rsidR="00CB20A3" w:rsidRPr="00260CE3" w:rsidRDefault="00CB20A3" w:rsidP="00996D37">
            <w:pPr>
              <w:rPr>
                <w:rFonts w:ascii="Arial Narrow" w:hAnsi="Arial Narrow"/>
                <w:i/>
                <w:sz w:val="20"/>
              </w:rPr>
            </w:pPr>
          </w:p>
        </w:tc>
        <w:tc>
          <w:tcPr>
            <w:tcW w:w="5953" w:type="dxa"/>
            <w:tcBorders>
              <w:top w:val="single" w:sz="4" w:space="0" w:color="auto"/>
              <w:left w:val="single" w:sz="4" w:space="0" w:color="auto"/>
              <w:bottom w:val="single" w:sz="4" w:space="0" w:color="auto"/>
              <w:right w:val="single" w:sz="4" w:space="0" w:color="auto"/>
            </w:tcBorders>
          </w:tcPr>
          <w:p w:rsidR="00CB20A3" w:rsidRDefault="00CB20A3" w:rsidP="00996D37">
            <w:pPr>
              <w:rPr>
                <w:rFonts w:ascii="Arial Narrow" w:hAnsi="Arial Narrow"/>
                <w:sz w:val="20"/>
              </w:rPr>
            </w:pPr>
            <w:r w:rsidRPr="00545C30">
              <w:rPr>
                <w:rFonts w:ascii="Arial Narrow" w:hAnsi="Arial Narrow"/>
                <w:sz w:val="20"/>
              </w:rPr>
              <w:t>Special Pricing Arrangements apply.</w:t>
            </w:r>
          </w:p>
          <w:p w:rsidR="00CB20A3" w:rsidRPr="00545C30" w:rsidRDefault="00CB20A3" w:rsidP="00996D37">
            <w:pPr>
              <w:rPr>
                <w:rFonts w:ascii="Arial Narrow" w:hAnsi="Arial Narrow"/>
                <w:sz w:val="20"/>
              </w:rPr>
            </w:pPr>
          </w:p>
        </w:tc>
      </w:tr>
    </w:tbl>
    <w:p w:rsidR="00CB20A3" w:rsidRPr="00882085" w:rsidRDefault="00CB20A3" w:rsidP="00641987"/>
    <w:p w:rsidR="009F32E2" w:rsidRPr="00116A2A" w:rsidRDefault="009F32E2" w:rsidP="00736992">
      <w:pPr>
        <w:pStyle w:val="ListParagraph"/>
        <w:widowControl/>
        <w:numPr>
          <w:ilvl w:val="1"/>
          <w:numId w:val="6"/>
        </w:numPr>
      </w:pPr>
      <w:r w:rsidRPr="00116A2A">
        <w:lastRenderedPageBreak/>
        <w:t xml:space="preserve">The Pre-Sub-Committee Response (PSCR) requested addition of the word ‘curative’ to radiation therapy in the restriction, to read as ‘The condition must not be amenable to curative radiation therapy’. The ESC considered this was reasonable. </w:t>
      </w:r>
    </w:p>
    <w:p w:rsidR="009F32E2" w:rsidRPr="00116A2A" w:rsidRDefault="009F32E2" w:rsidP="009F32E2">
      <w:pPr>
        <w:pStyle w:val="ListParagraph"/>
        <w:widowControl/>
      </w:pPr>
      <w:r w:rsidRPr="00116A2A">
        <w:t xml:space="preserve"> </w:t>
      </w:r>
    </w:p>
    <w:p w:rsidR="00641987" w:rsidRPr="00116A2A" w:rsidRDefault="00641987" w:rsidP="00B838DF">
      <w:pPr>
        <w:pStyle w:val="ListParagraph"/>
        <w:widowControl/>
        <w:numPr>
          <w:ilvl w:val="1"/>
          <w:numId w:val="6"/>
        </w:numPr>
        <w:rPr>
          <w:szCs w:val="22"/>
        </w:rPr>
      </w:pPr>
      <w:r w:rsidRPr="00116A2A">
        <w:t xml:space="preserve">The proposed use of bevacizumab did not specify cisplatin as the platinum </w:t>
      </w:r>
      <w:r w:rsidR="00D543B3" w:rsidRPr="00116A2A">
        <w:t>component of chemotherapy</w:t>
      </w:r>
      <w:r w:rsidRPr="00116A2A">
        <w:t>, whereas the recommended TGA indication specified that bevacizumab should be in combination with cisplatin or topotecan plus paclitaxel. Therefore the proposed PBS listing is broader than t</w:t>
      </w:r>
      <w:r w:rsidR="00163E1E" w:rsidRPr="00116A2A">
        <w:t xml:space="preserve">he recommended TGA indication. </w:t>
      </w:r>
      <w:r w:rsidR="00D70168" w:rsidRPr="00116A2A">
        <w:t>The combination of c</w:t>
      </w:r>
      <w:r w:rsidRPr="00116A2A">
        <w:t>arboplatin + paclitaxel is the current standard of ca</w:t>
      </w:r>
      <w:r w:rsidR="00C477DD" w:rsidRPr="00116A2A">
        <w:t>re in Australia</w:t>
      </w:r>
      <w:r w:rsidR="00163E1E" w:rsidRPr="00116A2A">
        <w:t xml:space="preserve">. </w:t>
      </w:r>
      <w:r w:rsidR="001E2712" w:rsidRPr="00116A2A">
        <w:rPr>
          <w:color w:val="000000" w:themeColor="text1"/>
        </w:rPr>
        <w:t xml:space="preserve">The submission claimed that the two platinum agents are non-inferior in terms of overall survival (OS) in the treatment of advanced cervical cancer. However, establishing the relative treatment effect of carboplatin + paclitaxel versus cisplatin + paclitaxel does not </w:t>
      </w:r>
      <w:r w:rsidR="00A62B92" w:rsidRPr="00116A2A">
        <w:rPr>
          <w:color w:val="000000" w:themeColor="text1"/>
        </w:rPr>
        <w:t xml:space="preserve">necessarily inform on the comparative efficacy and safety </w:t>
      </w:r>
      <w:r w:rsidR="001E2712" w:rsidRPr="00116A2A">
        <w:rPr>
          <w:color w:val="000000" w:themeColor="text1"/>
        </w:rPr>
        <w:t>associated with the use of bevacizumab in addition to carboplatin + paclitaxel are the same as bevacizumab in addition to cisplatin + paclitaxel. This issue therefore remains an area of uncertainty</w:t>
      </w:r>
      <w:r w:rsidR="00A62B92" w:rsidRPr="00116A2A">
        <w:rPr>
          <w:color w:val="000000" w:themeColor="text1"/>
        </w:rPr>
        <w:t>. However,</w:t>
      </w:r>
      <w:r w:rsidR="00A62B92" w:rsidRPr="00116A2A">
        <w:t xml:space="preserve"> if bevacizumab receives a positive PBAC recommendation specifying its use with cisplatin, patients in clinical practice for whom carboplatin is more suitable may switch to cisplatin to gain access to bevacizumab.</w:t>
      </w:r>
      <w:r w:rsidR="00A13DAA">
        <w:t xml:space="preserve">  The PSCR </w:t>
      </w:r>
      <w:r w:rsidR="00D653F4" w:rsidRPr="00116A2A">
        <w:t>described precedent in a comparable situation in the treatment of ovarian cancer</w:t>
      </w:r>
      <w:r w:rsidR="002722F0" w:rsidRPr="00116A2A">
        <w:t xml:space="preserve"> where the PBAC </w:t>
      </w:r>
      <w:r w:rsidR="006316B6" w:rsidRPr="00116A2A">
        <w:t>considered that docetaxel or cisplatin may replace paclitaxel or carboplatin respectively in some regimens</w:t>
      </w:r>
      <w:r w:rsidR="002722F0" w:rsidRPr="00116A2A">
        <w:t>.</w:t>
      </w:r>
      <w:r w:rsidR="00CA08B2" w:rsidRPr="00116A2A">
        <w:t xml:space="preserve"> </w:t>
      </w:r>
      <w:r w:rsidR="00736992" w:rsidRPr="00116A2A">
        <w:t xml:space="preserve">The ESC </w:t>
      </w:r>
      <w:r w:rsidR="0027531D" w:rsidRPr="00116A2A">
        <w:t xml:space="preserve">agreed with the commentary that </w:t>
      </w:r>
      <w:r w:rsidR="007A189E" w:rsidRPr="00116A2A">
        <w:t xml:space="preserve">the equivalence </w:t>
      </w:r>
      <w:r w:rsidR="0027531D" w:rsidRPr="00116A2A">
        <w:t xml:space="preserve">between carboplatin + paclitaxel versus cisplatin + paclitaxel </w:t>
      </w:r>
      <w:r w:rsidR="007A189E" w:rsidRPr="00116A2A">
        <w:t>has not been clearly shown</w:t>
      </w:r>
      <w:r w:rsidR="00EE6757" w:rsidRPr="00116A2A">
        <w:t xml:space="preserve"> in the submission</w:t>
      </w:r>
      <w:r w:rsidR="006316B6" w:rsidRPr="00116A2A">
        <w:t>.</w:t>
      </w:r>
      <w:r w:rsidR="0027531D" w:rsidRPr="00116A2A">
        <w:t xml:space="preserve"> The selection of 90% CI, rather than the most commonly used 95% CI, was not justified in Trial JCOG 0505. Carboplatin + paclitaxel could be inferior to cisplatin + paclitaxel if a stricter 95% CI was used, as the upper bound of the wider 95% CI for the hazard ratio might exceed 1.29.</w:t>
      </w:r>
      <w:r w:rsidR="00B838DF" w:rsidRPr="00116A2A">
        <w:rPr>
          <w:szCs w:val="22"/>
        </w:rPr>
        <w:t xml:space="preserve"> </w:t>
      </w:r>
    </w:p>
    <w:p w:rsidR="00641987" w:rsidRPr="00116A2A" w:rsidRDefault="00641987" w:rsidP="00641987">
      <w:pPr>
        <w:pStyle w:val="ListParagraph"/>
        <w:widowControl/>
        <w:rPr>
          <w:szCs w:val="22"/>
        </w:rPr>
      </w:pPr>
    </w:p>
    <w:p w:rsidR="00641987" w:rsidRPr="00116A2A" w:rsidRDefault="00641987" w:rsidP="00D543B3">
      <w:pPr>
        <w:pStyle w:val="ListParagraph"/>
        <w:widowControl/>
        <w:numPr>
          <w:ilvl w:val="1"/>
          <w:numId w:val="6"/>
        </w:numPr>
        <w:ind w:right="113"/>
        <w:rPr>
          <w:szCs w:val="22"/>
        </w:rPr>
      </w:pPr>
      <w:r w:rsidRPr="00116A2A">
        <w:t xml:space="preserve">The submission proposed that advanced (persistent, recurrent or metastatic) cervical cancer patients would be eligible for bevacizumab plus chemotherapy should it be listed on the PBS. </w:t>
      </w:r>
      <w:r w:rsidR="001E2712" w:rsidRPr="00116A2A">
        <w:t xml:space="preserve">The proposed treatment algorithm included the use of bevacizumab in patients with persistent or recurrent stage 1 disease (non-metastatic).  Data presented from the key GOG 0240 trial showed that 100% of patients had at least one metastatic site.  </w:t>
      </w:r>
      <w:r w:rsidRPr="00116A2A">
        <w:t xml:space="preserve">To reflect the trial evidence, it </w:t>
      </w:r>
      <w:r w:rsidR="00E0163D" w:rsidRPr="00116A2A">
        <w:t>wa</w:t>
      </w:r>
      <w:r w:rsidRPr="00116A2A">
        <w:t>s suggested that the listing specify proven metastases as a requirement for all patients.</w:t>
      </w:r>
      <w:r w:rsidR="00E0163D" w:rsidRPr="00116A2A">
        <w:t xml:space="preserve"> The Pre-Sub-Committee Response (PSCR) argued that those with persistent or recurrent disease were not excluded from trial but were not recruited and there was no reason to believe that they would respond differently.  </w:t>
      </w:r>
      <w:r w:rsidR="00D653F4" w:rsidRPr="00116A2A">
        <w:t xml:space="preserve"> The ESC noted that</w:t>
      </w:r>
      <w:r w:rsidR="003D7ABF" w:rsidRPr="00116A2A">
        <w:t xml:space="preserve"> amongst those with persistent or recurrent stage 1 disease,</w:t>
      </w:r>
      <w:r w:rsidR="00D653F4" w:rsidRPr="00116A2A">
        <w:t xml:space="preserve"> there is </w:t>
      </w:r>
      <w:r w:rsidR="003D7ABF" w:rsidRPr="00116A2A">
        <w:t xml:space="preserve">significant clinical need, a very low likelihood of obtaining direct clinical data, and </w:t>
      </w:r>
      <w:r w:rsidR="00D653F4" w:rsidRPr="00116A2A">
        <w:t xml:space="preserve">pathophysiologic evidence to support the use of VEGF inhibitors </w:t>
      </w:r>
    </w:p>
    <w:p w:rsidR="00641987" w:rsidRPr="00116A2A" w:rsidRDefault="00641987" w:rsidP="00641987">
      <w:pPr>
        <w:pStyle w:val="ListParagraph"/>
        <w:rPr>
          <w:szCs w:val="22"/>
        </w:rPr>
      </w:pPr>
    </w:p>
    <w:p w:rsidR="00641987" w:rsidRPr="00116A2A" w:rsidRDefault="00641987" w:rsidP="008F0074">
      <w:pPr>
        <w:pStyle w:val="ListParagraph"/>
        <w:widowControl/>
        <w:numPr>
          <w:ilvl w:val="1"/>
          <w:numId w:val="6"/>
        </w:numPr>
        <w:rPr>
          <w:szCs w:val="22"/>
        </w:rPr>
      </w:pPr>
      <w:r w:rsidRPr="00116A2A">
        <w:t xml:space="preserve">A grandfathering restriction for initial treatment was also proposed in the submission for patients receiving bevacizumab in combination with chemotherapy for advanced cervical cancer via the Roche Medicines Assistance Program prior to the PBS listing of bevacizumab for this indication. </w:t>
      </w:r>
    </w:p>
    <w:p w:rsidR="00641987" w:rsidRPr="00116A2A" w:rsidRDefault="00641987" w:rsidP="00641987">
      <w:pPr>
        <w:pStyle w:val="ListParagraph"/>
        <w:rPr>
          <w:szCs w:val="22"/>
        </w:rPr>
      </w:pPr>
    </w:p>
    <w:p w:rsidR="00641987" w:rsidRPr="00116A2A" w:rsidRDefault="00641987" w:rsidP="008F0074">
      <w:pPr>
        <w:pStyle w:val="ListParagraph"/>
        <w:numPr>
          <w:ilvl w:val="1"/>
          <w:numId w:val="6"/>
        </w:numPr>
        <w:rPr>
          <w:szCs w:val="22"/>
        </w:rPr>
      </w:pPr>
      <w:r w:rsidRPr="00116A2A">
        <w:rPr>
          <w:szCs w:val="22"/>
        </w:rPr>
        <w:t xml:space="preserve">Listing was sought on the basis that bevacizumab in combination with </w:t>
      </w:r>
      <w:r w:rsidR="00D543B3" w:rsidRPr="00116A2A">
        <w:rPr>
          <w:szCs w:val="22"/>
        </w:rPr>
        <w:t xml:space="preserve">the stated </w:t>
      </w:r>
      <w:r w:rsidRPr="00116A2A">
        <w:rPr>
          <w:szCs w:val="22"/>
        </w:rPr>
        <w:t>chemotherap</w:t>
      </w:r>
      <w:r w:rsidR="00D543B3" w:rsidRPr="00116A2A">
        <w:rPr>
          <w:szCs w:val="22"/>
        </w:rPr>
        <w:t>ies</w:t>
      </w:r>
      <w:r w:rsidRPr="00116A2A">
        <w:rPr>
          <w:szCs w:val="22"/>
        </w:rPr>
        <w:t xml:space="preserve"> is cost-effective in comparison </w:t>
      </w:r>
      <w:r w:rsidR="00D543B3" w:rsidRPr="00116A2A">
        <w:rPr>
          <w:szCs w:val="22"/>
        </w:rPr>
        <w:t xml:space="preserve">to </w:t>
      </w:r>
      <w:r w:rsidRPr="00116A2A">
        <w:rPr>
          <w:szCs w:val="22"/>
        </w:rPr>
        <w:t>chemotherapy alone.</w:t>
      </w:r>
    </w:p>
    <w:p w:rsidR="00F75C25" w:rsidRPr="00116A2A" w:rsidRDefault="00F75C25" w:rsidP="006A32BF">
      <w:pPr>
        <w:widowControl/>
        <w:tabs>
          <w:tab w:val="left" w:pos="1739"/>
        </w:tabs>
        <w:jc w:val="left"/>
      </w:pPr>
    </w:p>
    <w:p w:rsidR="006A32BF" w:rsidRPr="0028553E" w:rsidRDefault="006A32BF" w:rsidP="006A32BF">
      <w:pPr>
        <w:widowControl/>
        <w:tabs>
          <w:tab w:val="left" w:pos="1739"/>
        </w:tabs>
        <w:jc w:val="left"/>
        <w:rPr>
          <w:i/>
        </w:rPr>
      </w:pPr>
      <w:r w:rsidRPr="0028553E">
        <w:rPr>
          <w:i/>
        </w:rPr>
        <w:t xml:space="preserve">           For more detail on PBAC’s view, see section 7 “PBAC outcome”.</w:t>
      </w:r>
    </w:p>
    <w:p w:rsidR="00641987" w:rsidRPr="00116A2A" w:rsidRDefault="00641987" w:rsidP="00641987">
      <w:pPr>
        <w:pStyle w:val="PBACHeading1"/>
      </w:pPr>
      <w:bookmarkStart w:id="5" w:name="_Toc430080581"/>
      <w:r w:rsidRPr="00116A2A">
        <w:lastRenderedPageBreak/>
        <w:t>Background</w:t>
      </w:r>
      <w:bookmarkEnd w:id="5"/>
    </w:p>
    <w:p w:rsidR="00641987" w:rsidRPr="00116A2A" w:rsidRDefault="00641987" w:rsidP="00641987">
      <w:pPr>
        <w:rPr>
          <w:szCs w:val="22"/>
        </w:rPr>
      </w:pPr>
    </w:p>
    <w:p w:rsidR="00641987" w:rsidRPr="00116A2A" w:rsidRDefault="00796BF9" w:rsidP="008F0074">
      <w:pPr>
        <w:pStyle w:val="ListParagraph"/>
        <w:widowControl/>
        <w:numPr>
          <w:ilvl w:val="1"/>
          <w:numId w:val="6"/>
        </w:numPr>
      </w:pPr>
      <w:r w:rsidRPr="00116A2A">
        <w:rPr>
          <w:b/>
        </w:rPr>
        <w:t>TGA status:</w:t>
      </w:r>
      <w:r w:rsidRPr="00116A2A">
        <w:t xml:space="preserve"> </w:t>
      </w:r>
      <w:r w:rsidR="00641987" w:rsidRPr="00116A2A">
        <w:t xml:space="preserve">Bevacizumab received orphan drug designation from the TGA for the treatment of persistent, recurrent or stage IV carcinoma of the cervix in April 2014. The indication recommended at the Advisory Committee on Prescription Medicines (ACPM) meeting on 5 June 2015 is: </w:t>
      </w:r>
    </w:p>
    <w:p w:rsidR="00641987" w:rsidRPr="00116A2A" w:rsidRDefault="00641987" w:rsidP="00641987">
      <w:pPr>
        <w:pStyle w:val="ListParagraph"/>
        <w:widowControl/>
      </w:pPr>
    </w:p>
    <w:p w:rsidR="00641987" w:rsidRPr="00116A2A" w:rsidRDefault="00641987" w:rsidP="00641987">
      <w:pPr>
        <w:pStyle w:val="ListParagraph"/>
        <w:widowControl/>
      </w:pPr>
      <w:r w:rsidRPr="00116A2A">
        <w:t>Bevacizumab in combination with paclitaxel and cisplatin is indicated for the treatment of persistent, recurrent or metastatic carcinoma of the cervix.</w:t>
      </w:r>
    </w:p>
    <w:p w:rsidR="00641987" w:rsidRPr="00116A2A" w:rsidRDefault="00641987" w:rsidP="00641987">
      <w:pPr>
        <w:pStyle w:val="ListParagraph"/>
        <w:widowControl/>
      </w:pPr>
    </w:p>
    <w:p w:rsidR="001E2712" w:rsidRPr="00116A2A" w:rsidRDefault="00641987" w:rsidP="001E2712">
      <w:pPr>
        <w:pStyle w:val="ListParagraph"/>
        <w:widowControl/>
      </w:pPr>
      <w:r w:rsidRPr="00116A2A">
        <w:t xml:space="preserve">Bevacizumab in combination with paclitaxel and topotecan is an acceptable alternative where cisplatin is not tolerated or not indicated. </w:t>
      </w:r>
    </w:p>
    <w:p w:rsidR="0033699D" w:rsidRPr="00116A2A" w:rsidRDefault="0033699D" w:rsidP="001E2712">
      <w:pPr>
        <w:pStyle w:val="ListParagraph"/>
        <w:widowControl/>
      </w:pPr>
    </w:p>
    <w:p w:rsidR="00641987" w:rsidRPr="00116A2A" w:rsidRDefault="00C946C2" w:rsidP="00EC4ACA">
      <w:pPr>
        <w:pStyle w:val="ListParagraph"/>
        <w:widowControl/>
        <w:numPr>
          <w:ilvl w:val="1"/>
          <w:numId w:val="6"/>
        </w:numPr>
      </w:pPr>
      <w:r w:rsidRPr="00116A2A">
        <w:rPr>
          <w:szCs w:val="22"/>
        </w:rPr>
        <w:t>B</w:t>
      </w:r>
      <w:r w:rsidR="00641987" w:rsidRPr="00116A2A">
        <w:rPr>
          <w:szCs w:val="22"/>
        </w:rPr>
        <w:t xml:space="preserve">evacizumab </w:t>
      </w:r>
      <w:r w:rsidRPr="00116A2A">
        <w:rPr>
          <w:szCs w:val="22"/>
        </w:rPr>
        <w:t xml:space="preserve">was registered </w:t>
      </w:r>
      <w:r w:rsidR="00641987" w:rsidRPr="00116A2A">
        <w:rPr>
          <w:szCs w:val="22"/>
        </w:rPr>
        <w:t xml:space="preserve">on the Australian Register of Therapeutic Goods (ARTG) for advanced cervical cancer </w:t>
      </w:r>
      <w:r w:rsidRPr="00116A2A">
        <w:rPr>
          <w:szCs w:val="22"/>
        </w:rPr>
        <w:t>in September</w:t>
      </w:r>
      <w:r w:rsidR="00641987" w:rsidRPr="00116A2A">
        <w:rPr>
          <w:szCs w:val="22"/>
        </w:rPr>
        <w:t xml:space="preserve"> 2015.</w:t>
      </w:r>
    </w:p>
    <w:p w:rsidR="00641987" w:rsidRPr="00116A2A" w:rsidRDefault="00641987" w:rsidP="00641987">
      <w:pPr>
        <w:pStyle w:val="ListParagraph"/>
        <w:widowControl/>
        <w:rPr>
          <w:szCs w:val="22"/>
        </w:rPr>
      </w:pPr>
    </w:p>
    <w:p w:rsidR="00641987" w:rsidRPr="00116A2A" w:rsidRDefault="00641987" w:rsidP="008F0074">
      <w:pPr>
        <w:pStyle w:val="ListParagraph"/>
        <w:widowControl/>
        <w:numPr>
          <w:ilvl w:val="1"/>
          <w:numId w:val="6"/>
        </w:numPr>
        <w:rPr>
          <w:szCs w:val="22"/>
        </w:rPr>
      </w:pPr>
      <w:r w:rsidRPr="00116A2A">
        <w:rPr>
          <w:szCs w:val="22"/>
        </w:rPr>
        <w:t>Other TGA-approved indications for bevacizumab include metastatic colorectal cancer, locally recurrent or metastatic breast cancer, advanced, metastatic or recurrent non-squamous non-small cell lung cancer, advanced or metastatic renal cell cancer, grade IV glioma, epithelial or recurrent epithelial ovarian, fallopian tube or primary peritoneal cancer. Bevacizumab is currently listed on the PBS for advanced International Federation of Gynaecology and Obstetrics (FIGO) Stage IIIB, IIIC or Stage IV epithelial ovarian, fallopian tube or primary peritoneal cancer, and metastatic colorectal cancer.</w:t>
      </w:r>
    </w:p>
    <w:p w:rsidR="00641987" w:rsidRPr="00116A2A" w:rsidRDefault="00641987" w:rsidP="00641987">
      <w:pPr>
        <w:pStyle w:val="ListParagraph"/>
        <w:widowControl/>
        <w:rPr>
          <w:szCs w:val="22"/>
        </w:rPr>
      </w:pPr>
    </w:p>
    <w:p w:rsidR="00641987" w:rsidRPr="00116A2A" w:rsidRDefault="00641987" w:rsidP="008F0074">
      <w:pPr>
        <w:pStyle w:val="ListParagraph"/>
        <w:widowControl/>
        <w:numPr>
          <w:ilvl w:val="1"/>
          <w:numId w:val="6"/>
        </w:numPr>
        <w:rPr>
          <w:szCs w:val="22"/>
        </w:rPr>
      </w:pPr>
      <w:r w:rsidRPr="00116A2A">
        <w:rPr>
          <w:szCs w:val="22"/>
        </w:rPr>
        <w:t>This is the first submission to the PBAC for bevacizumab in combination with chemotherapy for the treatment of advanced cervical cancer.</w:t>
      </w:r>
    </w:p>
    <w:p w:rsidR="00641987" w:rsidRPr="00116A2A" w:rsidRDefault="00641987" w:rsidP="00641987"/>
    <w:p w:rsidR="006A32BF" w:rsidRPr="00116A2A" w:rsidRDefault="006A32BF" w:rsidP="006A32BF">
      <w:pPr>
        <w:widowControl/>
        <w:tabs>
          <w:tab w:val="left" w:pos="1739"/>
        </w:tabs>
        <w:jc w:val="left"/>
      </w:pPr>
      <w:r w:rsidRPr="00116A2A">
        <w:t xml:space="preserve">           For more detail on PBAC’s view, see section 7 “PBAC outcome”.</w:t>
      </w:r>
    </w:p>
    <w:p w:rsidR="006A32BF" w:rsidRPr="00116A2A" w:rsidRDefault="006A32BF" w:rsidP="006A32BF">
      <w:pPr>
        <w:ind w:left="709"/>
      </w:pPr>
    </w:p>
    <w:p w:rsidR="00641987" w:rsidRPr="00116A2A" w:rsidRDefault="00641987" w:rsidP="00641987">
      <w:pPr>
        <w:pStyle w:val="PBACHeading1"/>
      </w:pPr>
      <w:bookmarkStart w:id="6" w:name="_Toc430080582"/>
      <w:r w:rsidRPr="00116A2A">
        <w:t>Clinical place for the proposed therapy</w:t>
      </w:r>
      <w:bookmarkEnd w:id="6"/>
    </w:p>
    <w:p w:rsidR="00641987" w:rsidRPr="00116A2A" w:rsidRDefault="00641987" w:rsidP="00641987">
      <w:pPr>
        <w:rPr>
          <w:szCs w:val="22"/>
        </w:rPr>
      </w:pPr>
    </w:p>
    <w:p w:rsidR="00641987" w:rsidRPr="00116A2A" w:rsidRDefault="00641987" w:rsidP="008F0074">
      <w:pPr>
        <w:pStyle w:val="ListParagraph"/>
        <w:widowControl/>
        <w:numPr>
          <w:ilvl w:val="1"/>
          <w:numId w:val="6"/>
        </w:numPr>
        <w:rPr>
          <w:szCs w:val="22"/>
        </w:rPr>
      </w:pPr>
      <w:r w:rsidRPr="00116A2A">
        <w:t>Cervical cancer is a malignant tumour found in the tissues of the cervix. Early lesions are treated surgically and locally advanced lesio</w:t>
      </w:r>
      <w:r w:rsidR="000C06EA" w:rsidRPr="00116A2A">
        <w:t xml:space="preserve">ns are managed with concurrent </w:t>
      </w:r>
      <w:r w:rsidRPr="00116A2A">
        <w:t>chemotherapy and pelvic ra</w:t>
      </w:r>
      <w:r w:rsidR="00D70168" w:rsidRPr="00116A2A">
        <w:t xml:space="preserve">diation. Metastatic disease, </w:t>
      </w:r>
      <w:r w:rsidRPr="00116A2A">
        <w:t xml:space="preserve">persistent or recurrent lesions not amenable to radical local excision or regional radiation, </w:t>
      </w:r>
      <w:r w:rsidR="00D543B3" w:rsidRPr="00116A2A">
        <w:t xml:space="preserve">are </w:t>
      </w:r>
      <w:r w:rsidRPr="00116A2A">
        <w:t xml:space="preserve">treated with chemotherapy. </w:t>
      </w:r>
    </w:p>
    <w:p w:rsidR="00641987" w:rsidRPr="00116A2A" w:rsidRDefault="00641987" w:rsidP="00641987">
      <w:pPr>
        <w:pStyle w:val="ListParagraph"/>
        <w:widowControl/>
        <w:rPr>
          <w:szCs w:val="22"/>
        </w:rPr>
      </w:pPr>
    </w:p>
    <w:p w:rsidR="00641987" w:rsidRPr="00116A2A" w:rsidRDefault="00641987" w:rsidP="008F0074">
      <w:pPr>
        <w:pStyle w:val="ListParagraph"/>
        <w:widowControl/>
        <w:numPr>
          <w:ilvl w:val="1"/>
          <w:numId w:val="6"/>
        </w:numPr>
        <w:rPr>
          <w:szCs w:val="22"/>
        </w:rPr>
      </w:pPr>
      <w:r w:rsidRPr="00116A2A">
        <w:t>The submission proposed that bevacizumab in combination with platinum-based chemotherapy plus paclitaxel or with topotecan plus paclitaxel for the treatment of persistent, recurrent or metastatic cervical cancer patients who are not amenable to curative treatment with surgery and/or radiation therapy.</w:t>
      </w:r>
      <w:r w:rsidRPr="00116A2A">
        <w:rPr>
          <w:szCs w:val="22"/>
        </w:rPr>
        <w:t xml:space="preserve"> </w:t>
      </w:r>
    </w:p>
    <w:p w:rsidR="00641987" w:rsidRPr="00116A2A" w:rsidRDefault="00641987" w:rsidP="00641987">
      <w:pPr>
        <w:pStyle w:val="Header"/>
        <w:rPr>
          <w:szCs w:val="22"/>
        </w:rPr>
      </w:pPr>
    </w:p>
    <w:p w:rsidR="006A32BF" w:rsidRPr="0028553E" w:rsidRDefault="006A32BF" w:rsidP="006A32BF">
      <w:pPr>
        <w:widowControl/>
        <w:tabs>
          <w:tab w:val="left" w:pos="1739"/>
        </w:tabs>
        <w:jc w:val="left"/>
        <w:rPr>
          <w:i/>
        </w:rPr>
      </w:pPr>
      <w:r w:rsidRPr="0028553E">
        <w:rPr>
          <w:i/>
        </w:rPr>
        <w:t xml:space="preserve">           For more detail on PBAC’s view, see section 7 “PBAC outcome”.</w:t>
      </w:r>
    </w:p>
    <w:p w:rsidR="00664D0E" w:rsidRPr="00116A2A" w:rsidRDefault="00664D0E" w:rsidP="006A32BF">
      <w:pPr>
        <w:widowControl/>
        <w:tabs>
          <w:tab w:val="left" w:pos="1739"/>
        </w:tabs>
        <w:jc w:val="left"/>
      </w:pPr>
    </w:p>
    <w:p w:rsidR="00641987" w:rsidRPr="00550895" w:rsidRDefault="00641987" w:rsidP="00641987">
      <w:pPr>
        <w:pStyle w:val="PBACHeading1"/>
      </w:pPr>
      <w:bookmarkStart w:id="7" w:name="_Toc430080583"/>
      <w:r w:rsidRPr="00550895">
        <w:t>Comparator</w:t>
      </w:r>
      <w:bookmarkEnd w:id="7"/>
    </w:p>
    <w:p w:rsidR="00641987" w:rsidRPr="00550895" w:rsidRDefault="00641987" w:rsidP="00641987"/>
    <w:p w:rsidR="00641987" w:rsidRPr="00550895" w:rsidRDefault="00641987" w:rsidP="008F0074">
      <w:pPr>
        <w:pStyle w:val="ListParagraph"/>
        <w:widowControl/>
        <w:numPr>
          <w:ilvl w:val="1"/>
          <w:numId w:val="6"/>
        </w:numPr>
        <w:rPr>
          <w:szCs w:val="22"/>
        </w:rPr>
      </w:pPr>
      <w:r w:rsidRPr="00550895">
        <w:t>The submission nomin</w:t>
      </w:r>
      <w:r w:rsidR="00506E36" w:rsidRPr="00550895">
        <w:t>ated chemotherapy alone (</w:t>
      </w:r>
      <w:r w:rsidR="00FE4723" w:rsidRPr="00550895">
        <w:t>platinum</w:t>
      </w:r>
      <w:r w:rsidRPr="00550895">
        <w:t xml:space="preserve">-based chemotherapy plus paclitaxel or topotecan plus paclitaxel for those who are unable to tolerate carboplatin or cisplatin) as the comparator for bevacizumab in combination with chemotherapy.  </w:t>
      </w:r>
      <w:r w:rsidR="00024FA3" w:rsidRPr="00550895">
        <w:t>The evaluation stated that t</w:t>
      </w:r>
      <w:r w:rsidRPr="00550895">
        <w:t xml:space="preserve">his is the appropriate comparator.  </w:t>
      </w:r>
    </w:p>
    <w:p w:rsidR="00641987" w:rsidRPr="00550895" w:rsidRDefault="00641987" w:rsidP="00641987">
      <w:pPr>
        <w:rPr>
          <w:szCs w:val="22"/>
        </w:rPr>
      </w:pPr>
    </w:p>
    <w:p w:rsidR="006A32BF" w:rsidRPr="0028553E" w:rsidRDefault="006A32BF" w:rsidP="006A32BF">
      <w:pPr>
        <w:widowControl/>
        <w:tabs>
          <w:tab w:val="left" w:pos="1739"/>
        </w:tabs>
        <w:jc w:val="left"/>
        <w:rPr>
          <w:i/>
        </w:rPr>
      </w:pPr>
      <w:r w:rsidRPr="0028553E">
        <w:rPr>
          <w:i/>
        </w:rPr>
        <w:t xml:space="preserve">           For more detail on PBAC’s view, see section 7 “PBAC outcome”.</w:t>
      </w:r>
    </w:p>
    <w:p w:rsidR="007D08E2" w:rsidRPr="00550895" w:rsidRDefault="007D08E2" w:rsidP="006A32BF">
      <w:pPr>
        <w:widowControl/>
        <w:tabs>
          <w:tab w:val="left" w:pos="1739"/>
        </w:tabs>
        <w:jc w:val="left"/>
      </w:pPr>
    </w:p>
    <w:p w:rsidR="00641987" w:rsidRPr="00550895" w:rsidRDefault="00641987" w:rsidP="00641987">
      <w:pPr>
        <w:pStyle w:val="PBACHeading1"/>
      </w:pPr>
      <w:bookmarkStart w:id="8" w:name="_Toc430080584"/>
      <w:r w:rsidRPr="00550895">
        <w:t>Consideration of the evidence</w:t>
      </w:r>
      <w:bookmarkEnd w:id="8"/>
    </w:p>
    <w:p w:rsidR="00F75C25" w:rsidRPr="00712610" w:rsidRDefault="00F75C25" w:rsidP="00712610">
      <w:bookmarkStart w:id="9" w:name="_Toc430080585"/>
    </w:p>
    <w:p w:rsidR="00F75C25" w:rsidRDefault="00F75C25" w:rsidP="00712610">
      <w:pPr>
        <w:pStyle w:val="Heading2"/>
      </w:pPr>
      <w:r w:rsidRPr="00550895">
        <w:t>Sponsor hearing</w:t>
      </w:r>
    </w:p>
    <w:p w:rsidR="00712610" w:rsidRPr="00712610" w:rsidRDefault="00712610" w:rsidP="00712610"/>
    <w:p w:rsidR="00F75C25" w:rsidRPr="00550895" w:rsidRDefault="00F75C25" w:rsidP="00582B44">
      <w:pPr>
        <w:pStyle w:val="ListParagraph"/>
        <w:widowControl/>
        <w:numPr>
          <w:ilvl w:val="1"/>
          <w:numId w:val="6"/>
        </w:numPr>
        <w:rPr>
          <w:bCs/>
          <w:szCs w:val="22"/>
        </w:rPr>
      </w:pPr>
      <w:r w:rsidRPr="00550895">
        <w:rPr>
          <w:bCs/>
          <w:szCs w:val="22"/>
        </w:rPr>
        <w:t>There was no hearing for this item.</w:t>
      </w:r>
    </w:p>
    <w:p w:rsidR="00F75C25" w:rsidRPr="00550895" w:rsidRDefault="00F75C25" w:rsidP="00960AB7">
      <w:pPr>
        <w:rPr>
          <w:bCs/>
          <w:szCs w:val="22"/>
        </w:rPr>
      </w:pPr>
    </w:p>
    <w:p w:rsidR="00F75C25" w:rsidRDefault="00F75C25" w:rsidP="00712610">
      <w:pPr>
        <w:pStyle w:val="Heading2"/>
      </w:pPr>
      <w:r w:rsidRPr="00550895">
        <w:t>Consumer comments</w:t>
      </w:r>
    </w:p>
    <w:p w:rsidR="00712610" w:rsidRPr="00712610" w:rsidRDefault="00712610" w:rsidP="00712610"/>
    <w:p w:rsidR="00F75C25" w:rsidRPr="00550895" w:rsidRDefault="00F75C25" w:rsidP="00960AB7">
      <w:pPr>
        <w:numPr>
          <w:ilvl w:val="1"/>
          <w:numId w:val="6"/>
        </w:numPr>
        <w:contextualSpacing/>
        <w:rPr>
          <w:bCs/>
          <w:szCs w:val="22"/>
        </w:rPr>
      </w:pPr>
      <w:r w:rsidRPr="00550895">
        <w:rPr>
          <w:bCs/>
          <w:szCs w:val="22"/>
        </w:rPr>
        <w:t>The PBAC noted and welcomed the input from individuals (</w:t>
      </w:r>
      <w:r w:rsidR="00B64E8B" w:rsidRPr="00550895">
        <w:rPr>
          <w:bCs/>
          <w:szCs w:val="22"/>
        </w:rPr>
        <w:t>16</w:t>
      </w:r>
      <w:r w:rsidRPr="00550895">
        <w:rPr>
          <w:bCs/>
          <w:szCs w:val="22"/>
        </w:rPr>
        <w:t>), health care professionals (</w:t>
      </w:r>
      <w:r w:rsidR="00B64E8B" w:rsidRPr="00550895">
        <w:rPr>
          <w:bCs/>
          <w:szCs w:val="22"/>
        </w:rPr>
        <w:t>1</w:t>
      </w:r>
      <w:r w:rsidRPr="00550895">
        <w:rPr>
          <w:bCs/>
          <w:szCs w:val="22"/>
        </w:rPr>
        <w:t xml:space="preserve">) and organisations (1) via the Consumer Comments facility on the PBS website.  The comments described a range of benefits of treatment with </w:t>
      </w:r>
      <w:r w:rsidR="00B64E8B" w:rsidRPr="00550895">
        <w:rPr>
          <w:bCs/>
          <w:szCs w:val="22"/>
        </w:rPr>
        <w:t>bevacizumab</w:t>
      </w:r>
      <w:r w:rsidRPr="00550895">
        <w:rPr>
          <w:bCs/>
          <w:szCs w:val="22"/>
        </w:rPr>
        <w:t xml:space="preserve"> including </w:t>
      </w:r>
      <w:r w:rsidR="00B64E8B" w:rsidRPr="00550895">
        <w:rPr>
          <w:bCs/>
          <w:szCs w:val="22"/>
        </w:rPr>
        <w:t xml:space="preserve">increased mobility and energy, reduced pain, reduced weight loss, improved digestive </w:t>
      </w:r>
      <w:r w:rsidR="00E805D9" w:rsidRPr="00550895">
        <w:rPr>
          <w:bCs/>
          <w:szCs w:val="22"/>
        </w:rPr>
        <w:t>functions, and</w:t>
      </w:r>
      <w:r w:rsidR="00B64E8B" w:rsidRPr="00550895">
        <w:rPr>
          <w:bCs/>
          <w:szCs w:val="22"/>
        </w:rPr>
        <w:t xml:space="preserve"> improved mental status and </w:t>
      </w:r>
      <w:r w:rsidR="00E805D9" w:rsidRPr="00550895">
        <w:rPr>
          <w:bCs/>
          <w:szCs w:val="22"/>
        </w:rPr>
        <w:t xml:space="preserve">better </w:t>
      </w:r>
      <w:r w:rsidR="00B64E8B" w:rsidRPr="00550895">
        <w:rPr>
          <w:bCs/>
          <w:szCs w:val="22"/>
        </w:rPr>
        <w:t>quality of life.</w:t>
      </w:r>
    </w:p>
    <w:p w:rsidR="00B64E8B" w:rsidRPr="00550895" w:rsidRDefault="00B64E8B" w:rsidP="00B64E8B">
      <w:pPr>
        <w:ind w:left="720"/>
        <w:contextualSpacing/>
        <w:rPr>
          <w:bCs/>
          <w:szCs w:val="22"/>
        </w:rPr>
      </w:pPr>
    </w:p>
    <w:p w:rsidR="00641987" w:rsidRPr="00116A2A" w:rsidRDefault="00641987" w:rsidP="00641987">
      <w:pPr>
        <w:pStyle w:val="Heading2"/>
      </w:pPr>
      <w:r w:rsidRPr="00116A2A">
        <w:t>Clinical trials</w:t>
      </w:r>
      <w:bookmarkEnd w:id="9"/>
    </w:p>
    <w:p w:rsidR="00641987" w:rsidRPr="00116A2A" w:rsidRDefault="00641987" w:rsidP="00641987">
      <w:pPr>
        <w:rPr>
          <w:szCs w:val="22"/>
        </w:rPr>
      </w:pPr>
    </w:p>
    <w:p w:rsidR="00641987" w:rsidRPr="00116A2A" w:rsidRDefault="00641987" w:rsidP="008F0074">
      <w:pPr>
        <w:pStyle w:val="ListParagraph"/>
        <w:widowControl/>
        <w:numPr>
          <w:ilvl w:val="1"/>
          <w:numId w:val="6"/>
        </w:numPr>
        <w:rPr>
          <w:szCs w:val="22"/>
        </w:rPr>
      </w:pPr>
      <w:r w:rsidRPr="00116A2A">
        <w:t>The submission was based on one head-to-head trial (GOG 0240) comparing bevacizumab in combination with chemotherapy (cisplatin plus paclitaxel or topotecan plus paclitaxel) to chemotherapy alone (n=452).</w:t>
      </w:r>
      <w:r w:rsidRPr="00116A2A">
        <w:rPr>
          <w:color w:val="3366FF"/>
        </w:rPr>
        <w:t xml:space="preserve">  </w:t>
      </w:r>
    </w:p>
    <w:p w:rsidR="00641987" w:rsidRPr="00116A2A" w:rsidRDefault="00641987" w:rsidP="00641987">
      <w:pPr>
        <w:widowControl/>
        <w:rPr>
          <w:szCs w:val="22"/>
        </w:rPr>
      </w:pPr>
    </w:p>
    <w:p w:rsidR="00641987" w:rsidRPr="00116A2A" w:rsidRDefault="00641987" w:rsidP="008F0074">
      <w:pPr>
        <w:pStyle w:val="ListParagraph"/>
        <w:widowControl/>
        <w:numPr>
          <w:ilvl w:val="1"/>
          <w:numId w:val="6"/>
        </w:numPr>
        <w:rPr>
          <w:szCs w:val="22"/>
        </w:rPr>
      </w:pPr>
      <w:r w:rsidRPr="00116A2A">
        <w:rPr>
          <w:szCs w:val="22"/>
        </w:rPr>
        <w:t xml:space="preserve">Details of the trial presented in the submission are provided in the table below.  </w:t>
      </w:r>
    </w:p>
    <w:p w:rsidR="00465AAE" w:rsidRPr="00116A2A" w:rsidRDefault="00465AAE" w:rsidP="00465AAE">
      <w:pPr>
        <w:widowControl/>
        <w:jc w:val="left"/>
      </w:pPr>
    </w:p>
    <w:p w:rsidR="00641987" w:rsidRPr="00116A2A" w:rsidRDefault="00641987" w:rsidP="00465AAE">
      <w:pPr>
        <w:pStyle w:val="TableHeader"/>
        <w:ind w:firstLine="720"/>
      </w:pPr>
      <w:r w:rsidRPr="00116A2A">
        <w:t>Table 1: Key trial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0"/>
        <w:gridCol w:w="4682"/>
        <w:gridCol w:w="1963"/>
      </w:tblGrid>
      <w:tr w:rsidR="00641987" w:rsidRPr="00116A2A" w:rsidTr="007D08E2">
        <w:trPr>
          <w:tblHeader/>
        </w:trPr>
        <w:tc>
          <w:tcPr>
            <w:tcW w:w="1019" w:type="pct"/>
            <w:tcBorders>
              <w:top w:val="single" w:sz="4" w:space="0" w:color="auto"/>
              <w:left w:val="single" w:sz="4" w:space="0" w:color="auto"/>
              <w:bottom w:val="single" w:sz="4" w:space="0" w:color="auto"/>
              <w:right w:val="single" w:sz="4" w:space="0" w:color="auto"/>
            </w:tcBorders>
          </w:tcPr>
          <w:p w:rsidR="00641987" w:rsidRPr="00116A2A" w:rsidRDefault="00641987" w:rsidP="00E02556">
            <w:pPr>
              <w:jc w:val="left"/>
              <w:rPr>
                <w:rFonts w:ascii="Arial Narrow" w:hAnsi="Arial Narrow"/>
                <w:b/>
                <w:sz w:val="20"/>
              </w:rPr>
            </w:pPr>
            <w:r w:rsidRPr="00116A2A">
              <w:rPr>
                <w:rFonts w:ascii="Arial Narrow" w:hAnsi="Arial Narrow"/>
                <w:b/>
                <w:sz w:val="20"/>
              </w:rPr>
              <w:t>Trial ID</w:t>
            </w:r>
          </w:p>
        </w:tc>
        <w:tc>
          <w:tcPr>
            <w:tcW w:w="2805" w:type="pct"/>
            <w:tcBorders>
              <w:top w:val="single" w:sz="4" w:space="0" w:color="auto"/>
              <w:left w:val="single" w:sz="4" w:space="0" w:color="auto"/>
              <w:bottom w:val="single" w:sz="4" w:space="0" w:color="auto"/>
              <w:right w:val="single" w:sz="4" w:space="0" w:color="auto"/>
            </w:tcBorders>
          </w:tcPr>
          <w:p w:rsidR="00641987" w:rsidRPr="00116A2A" w:rsidRDefault="00641987" w:rsidP="00E02556">
            <w:pPr>
              <w:jc w:val="center"/>
              <w:rPr>
                <w:rFonts w:ascii="Arial Narrow" w:hAnsi="Arial Narrow"/>
                <w:b/>
                <w:sz w:val="20"/>
              </w:rPr>
            </w:pPr>
            <w:r w:rsidRPr="00116A2A">
              <w:rPr>
                <w:rFonts w:ascii="Arial Narrow" w:hAnsi="Arial Narrow"/>
                <w:b/>
                <w:sz w:val="20"/>
              </w:rPr>
              <w:t>Protocol title/ Publication title</w:t>
            </w:r>
          </w:p>
        </w:tc>
        <w:tc>
          <w:tcPr>
            <w:tcW w:w="1176" w:type="pct"/>
            <w:tcBorders>
              <w:top w:val="single" w:sz="4" w:space="0" w:color="auto"/>
              <w:left w:val="single" w:sz="4" w:space="0" w:color="auto"/>
              <w:bottom w:val="single" w:sz="4" w:space="0" w:color="auto"/>
              <w:right w:val="single" w:sz="4" w:space="0" w:color="auto"/>
            </w:tcBorders>
          </w:tcPr>
          <w:p w:rsidR="00641987" w:rsidRPr="00116A2A" w:rsidRDefault="00641987" w:rsidP="00E02556">
            <w:pPr>
              <w:jc w:val="center"/>
              <w:rPr>
                <w:rFonts w:ascii="Arial Narrow" w:hAnsi="Arial Narrow"/>
                <w:b/>
                <w:sz w:val="20"/>
              </w:rPr>
            </w:pPr>
            <w:r w:rsidRPr="00116A2A">
              <w:rPr>
                <w:rFonts w:ascii="Arial Narrow" w:hAnsi="Arial Narrow"/>
                <w:b/>
                <w:sz w:val="20"/>
              </w:rPr>
              <w:t>Publication citation</w:t>
            </w:r>
          </w:p>
        </w:tc>
      </w:tr>
      <w:tr w:rsidR="00641987" w:rsidRPr="00116A2A" w:rsidTr="00E02556">
        <w:tc>
          <w:tcPr>
            <w:tcW w:w="5000" w:type="pct"/>
            <w:gridSpan w:val="3"/>
          </w:tcPr>
          <w:p w:rsidR="00641987" w:rsidRPr="00116A2A" w:rsidRDefault="00641987" w:rsidP="00E02556">
            <w:pPr>
              <w:jc w:val="left"/>
              <w:rPr>
                <w:rFonts w:ascii="Arial Narrow" w:hAnsi="Arial Narrow"/>
                <w:b/>
                <w:sz w:val="20"/>
              </w:rPr>
            </w:pPr>
            <w:r w:rsidRPr="00116A2A">
              <w:rPr>
                <w:rFonts w:ascii="Arial Narrow" w:hAnsi="Arial Narrow"/>
                <w:b/>
                <w:sz w:val="20"/>
              </w:rPr>
              <w:t>Direct randomised trial</w:t>
            </w:r>
          </w:p>
        </w:tc>
      </w:tr>
      <w:tr w:rsidR="00641987" w:rsidRPr="00116A2A" w:rsidTr="00E02556">
        <w:tc>
          <w:tcPr>
            <w:tcW w:w="1019" w:type="pct"/>
          </w:tcPr>
          <w:p w:rsidR="00641987" w:rsidRPr="00116A2A" w:rsidRDefault="00641987" w:rsidP="00E02556">
            <w:pPr>
              <w:jc w:val="left"/>
              <w:rPr>
                <w:rFonts w:ascii="Arial Narrow" w:hAnsi="Arial Narrow"/>
                <w:sz w:val="20"/>
              </w:rPr>
            </w:pPr>
            <w:r w:rsidRPr="00116A2A">
              <w:rPr>
                <w:rFonts w:ascii="Arial Narrow" w:hAnsi="Arial Narrow"/>
                <w:sz w:val="20"/>
              </w:rPr>
              <w:t xml:space="preserve">GOG 0240 </w:t>
            </w:r>
          </w:p>
        </w:tc>
        <w:tc>
          <w:tcPr>
            <w:tcW w:w="2805" w:type="pct"/>
          </w:tcPr>
          <w:p w:rsidR="00641987" w:rsidRPr="00116A2A" w:rsidRDefault="00641987" w:rsidP="00E02556">
            <w:pPr>
              <w:jc w:val="left"/>
              <w:rPr>
                <w:rFonts w:ascii="Arial Narrow" w:hAnsi="Arial Narrow"/>
                <w:sz w:val="20"/>
              </w:rPr>
            </w:pPr>
            <w:r w:rsidRPr="00116A2A">
              <w:rPr>
                <w:rFonts w:ascii="Arial Narrow" w:hAnsi="Arial Narrow"/>
                <w:sz w:val="20"/>
              </w:rPr>
              <w:t>Primary clinical study report No. 1058089 - A randomized phase III trial of cisplatin plus paclitaxel with and without NCI supplied bevacizumab (NSC #7048</w:t>
            </w:r>
            <w:r w:rsidR="000C06EA" w:rsidRPr="00116A2A">
              <w:rPr>
                <w:rFonts w:ascii="Arial Narrow" w:hAnsi="Arial Narrow"/>
                <w:sz w:val="20"/>
              </w:rPr>
              <w:t>65, IND #113912) versus the non-</w:t>
            </w:r>
            <w:r w:rsidRPr="00116A2A">
              <w:rPr>
                <w:rFonts w:ascii="Arial Narrow" w:hAnsi="Arial Narrow"/>
                <w:sz w:val="20"/>
              </w:rPr>
              <w:t>platinum doublet, topotecan plus paclitaxel, with and without NCI supplied bevacizumab, in Stage IVB, recurrent or persistent carcinoma of the cervix.</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r w:rsidRPr="00116A2A">
              <w:rPr>
                <w:rFonts w:ascii="Arial Narrow" w:hAnsi="Arial Narrow"/>
                <w:sz w:val="20"/>
              </w:rPr>
              <w:t>Update clinical study report No. 1059786 - A randomized phase III trial of cisplatin plus paclitaxel with and without NCI supplied bevacizumab (NSC #704865, IND #113912) versus the non-platinum doublet, topotecan plus paclitaxel, with and without NCI supplied bevacizumab, in Stage IVB, recurrent or persistent carcinoma of the cervix.</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r w:rsidRPr="00116A2A">
              <w:rPr>
                <w:rFonts w:ascii="Arial Narrow" w:hAnsi="Arial Narrow"/>
                <w:sz w:val="20"/>
              </w:rPr>
              <w:t xml:space="preserve">Tewari KS, Sill MW, Long HJ, et al. Improved survival with bevacizumab in advanced cervical cancer. </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r w:rsidRPr="00116A2A">
              <w:rPr>
                <w:rFonts w:ascii="Arial Narrow" w:hAnsi="Arial Narrow"/>
                <w:sz w:val="20"/>
                <w:lang w:val="fr-FR"/>
              </w:rPr>
              <w:t xml:space="preserve">Penson RT, Huang HQ, Wenzel LB, et al. </w:t>
            </w:r>
            <w:r w:rsidRPr="00116A2A">
              <w:rPr>
                <w:rFonts w:ascii="Arial Narrow" w:hAnsi="Arial Narrow"/>
                <w:sz w:val="20"/>
              </w:rPr>
              <w:t>Bevacizumab for advanced cervical cancer: patient-reported outcomes of a randomised, phase 3 trial (NRG Oncology-Gynaecologic Oncology Group protocol 240).</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r w:rsidRPr="00116A2A">
              <w:rPr>
                <w:rFonts w:ascii="Arial Narrow" w:hAnsi="Arial Narrow"/>
                <w:sz w:val="20"/>
                <w:lang w:val="fr-FR"/>
              </w:rPr>
              <w:t xml:space="preserve">Abstract – Tewari KS, Penson RT, Ramondetta LM, et al. </w:t>
            </w:r>
            <w:r w:rsidRPr="00116A2A">
              <w:rPr>
                <w:rFonts w:ascii="Arial Narrow" w:hAnsi="Arial Narrow"/>
                <w:sz w:val="20"/>
              </w:rPr>
              <w:t xml:space="preserve">Final </w:t>
            </w:r>
            <w:r w:rsidRPr="00116A2A">
              <w:rPr>
                <w:rFonts w:ascii="Arial Narrow" w:hAnsi="Arial Narrow"/>
                <w:sz w:val="20"/>
              </w:rPr>
              <w:lastRenderedPageBreak/>
              <w:t>overall survival analysis of the phase III randomized trial of chemotherapy with and without bevacizumab for advanced cervical cancer: Gynaecologic Oncology Group Study.</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b/>
                <w:sz w:val="20"/>
              </w:rPr>
            </w:pPr>
            <w:r w:rsidRPr="00116A2A">
              <w:rPr>
                <w:rFonts w:ascii="Arial Narrow" w:hAnsi="Arial Narrow"/>
                <w:sz w:val="20"/>
              </w:rPr>
              <w:t>Abstract - Tewari KS, Sill MW, Long HJ, et al. Incorporation of bevacizumab in the treatment of recurrent and metastatic cervical cancer: A phase III randomised trial of the Gynaecologic Oncology Group.</w:t>
            </w:r>
          </w:p>
        </w:tc>
        <w:tc>
          <w:tcPr>
            <w:tcW w:w="1176" w:type="pct"/>
          </w:tcPr>
          <w:p w:rsidR="00641987" w:rsidRPr="00116A2A" w:rsidRDefault="00641987" w:rsidP="00E02556">
            <w:pPr>
              <w:jc w:val="left"/>
              <w:rPr>
                <w:rFonts w:ascii="Arial Narrow" w:hAnsi="Arial Narrow"/>
                <w:sz w:val="20"/>
              </w:rPr>
            </w:pPr>
            <w:r w:rsidRPr="00116A2A">
              <w:rPr>
                <w:rFonts w:ascii="Arial Narrow" w:hAnsi="Arial Narrow"/>
                <w:sz w:val="20"/>
              </w:rPr>
              <w:lastRenderedPageBreak/>
              <w:t>March 2014</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r w:rsidRPr="00116A2A">
              <w:rPr>
                <w:rFonts w:ascii="Arial Narrow" w:hAnsi="Arial Narrow"/>
                <w:sz w:val="20"/>
              </w:rPr>
              <w:t>July 2014.</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r w:rsidRPr="00116A2A">
              <w:rPr>
                <w:rFonts w:ascii="Arial Narrow" w:hAnsi="Arial Narrow"/>
                <w:sz w:val="20"/>
              </w:rPr>
              <w:t>New England Journal of Medicine 2014; Year; 370:734-43</w:t>
            </w:r>
          </w:p>
          <w:p w:rsidR="00641987" w:rsidRPr="00116A2A" w:rsidRDefault="00641987" w:rsidP="00E02556">
            <w:pPr>
              <w:jc w:val="left"/>
              <w:rPr>
                <w:rFonts w:ascii="Arial Narrow" w:hAnsi="Arial Narrow"/>
                <w:b/>
                <w:sz w:val="20"/>
              </w:rPr>
            </w:pPr>
          </w:p>
          <w:p w:rsidR="00641987" w:rsidRPr="00116A2A" w:rsidRDefault="00641987" w:rsidP="00E02556">
            <w:pPr>
              <w:jc w:val="left"/>
              <w:rPr>
                <w:rFonts w:ascii="Arial Narrow" w:hAnsi="Arial Narrow"/>
                <w:sz w:val="20"/>
              </w:rPr>
            </w:pPr>
            <w:r w:rsidRPr="00116A2A">
              <w:rPr>
                <w:rFonts w:ascii="Arial Narrow" w:hAnsi="Arial Narrow"/>
                <w:sz w:val="20"/>
              </w:rPr>
              <w:t>Lancet Oncology 2015; 16:301-11</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r w:rsidRPr="00116A2A">
              <w:rPr>
                <w:rFonts w:ascii="Arial Narrow" w:hAnsi="Arial Narrow"/>
                <w:sz w:val="20"/>
              </w:rPr>
              <w:t xml:space="preserve">ESMO Congress; Madrid, </w:t>
            </w:r>
            <w:r w:rsidRPr="00116A2A">
              <w:rPr>
                <w:rFonts w:ascii="Arial Narrow" w:hAnsi="Arial Narrow"/>
                <w:sz w:val="20"/>
              </w:rPr>
              <w:lastRenderedPageBreak/>
              <w:t>Spain, 2014</w:t>
            </w: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sz w:val="20"/>
              </w:rPr>
            </w:pPr>
          </w:p>
          <w:p w:rsidR="00641987" w:rsidRPr="00116A2A" w:rsidRDefault="00641987" w:rsidP="00E02556">
            <w:pPr>
              <w:jc w:val="left"/>
              <w:rPr>
                <w:rFonts w:ascii="Arial Narrow" w:hAnsi="Arial Narrow"/>
                <w:b/>
                <w:sz w:val="20"/>
              </w:rPr>
            </w:pPr>
            <w:r w:rsidRPr="00116A2A">
              <w:rPr>
                <w:rFonts w:ascii="Arial Narrow" w:hAnsi="Arial Narrow"/>
                <w:sz w:val="20"/>
              </w:rPr>
              <w:t>Journal of Clinical Oncology 2013; 31(suppl; abstract 3)</w:t>
            </w:r>
          </w:p>
        </w:tc>
      </w:tr>
    </w:tbl>
    <w:p w:rsidR="00641987" w:rsidRPr="00116A2A" w:rsidRDefault="00641987" w:rsidP="00641987">
      <w:pPr>
        <w:pStyle w:val="TableFooter"/>
        <w:ind w:left="720"/>
      </w:pPr>
      <w:r w:rsidRPr="00116A2A">
        <w:lastRenderedPageBreak/>
        <w:t>NCI = National Cancer Institute.</w:t>
      </w:r>
    </w:p>
    <w:p w:rsidR="00641987" w:rsidRDefault="00641987" w:rsidP="00875AD3">
      <w:pPr>
        <w:pStyle w:val="TableFooter"/>
        <w:ind w:left="720"/>
      </w:pPr>
      <w:r w:rsidRPr="00116A2A">
        <w:t>Source: Table b.2.3, p6 of Section B of the submission.</w:t>
      </w:r>
    </w:p>
    <w:p w:rsidR="007D08E2" w:rsidRPr="00116A2A" w:rsidRDefault="007D08E2" w:rsidP="00875AD3">
      <w:pPr>
        <w:pStyle w:val="TableFooter"/>
        <w:ind w:left="720"/>
      </w:pPr>
    </w:p>
    <w:p w:rsidR="00641987" w:rsidRPr="00116A2A" w:rsidRDefault="00641987" w:rsidP="00FB42F0">
      <w:pPr>
        <w:pStyle w:val="ListParagraph"/>
        <w:widowControl/>
        <w:numPr>
          <w:ilvl w:val="1"/>
          <w:numId w:val="6"/>
        </w:numPr>
        <w:rPr>
          <w:szCs w:val="22"/>
        </w:rPr>
      </w:pPr>
      <w:r w:rsidRPr="00116A2A">
        <w:rPr>
          <w:szCs w:val="22"/>
        </w:rPr>
        <w:t xml:space="preserve">The key features of the direct randomised trial are summarised in the table below.  </w:t>
      </w:r>
    </w:p>
    <w:p w:rsidR="00465AAE" w:rsidRPr="00116A2A" w:rsidRDefault="00465AAE" w:rsidP="00641987">
      <w:pPr>
        <w:pStyle w:val="TableHeader"/>
        <w:ind w:firstLine="720"/>
      </w:pPr>
    </w:p>
    <w:p w:rsidR="00641987" w:rsidRPr="00116A2A" w:rsidRDefault="00641987" w:rsidP="00641987">
      <w:pPr>
        <w:pStyle w:val="TableHeader"/>
        <w:ind w:firstLine="720"/>
      </w:pPr>
      <w:r w:rsidRPr="00116A2A">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711"/>
        <w:gridCol w:w="1843"/>
        <w:gridCol w:w="991"/>
        <w:gridCol w:w="1417"/>
        <w:gridCol w:w="1133"/>
        <w:gridCol w:w="1117"/>
      </w:tblGrid>
      <w:tr w:rsidR="00641987" w:rsidRPr="00116A2A" w:rsidTr="00E02556">
        <w:tc>
          <w:tcPr>
            <w:tcW w:w="679" w:type="pct"/>
            <w:shd w:val="clear" w:color="auto" w:fill="auto"/>
            <w:vAlign w:val="center"/>
          </w:tcPr>
          <w:p w:rsidR="00641987" w:rsidRPr="00116A2A" w:rsidRDefault="00641987" w:rsidP="00E02556">
            <w:pPr>
              <w:jc w:val="left"/>
              <w:rPr>
                <w:rFonts w:ascii="Arial Narrow" w:hAnsi="Arial Narrow"/>
                <w:b/>
                <w:sz w:val="20"/>
                <w:lang w:val="en-US"/>
              </w:rPr>
            </w:pPr>
            <w:r w:rsidRPr="00116A2A">
              <w:rPr>
                <w:rFonts w:ascii="Arial Narrow" w:hAnsi="Arial Narrow"/>
                <w:b/>
                <w:sz w:val="20"/>
                <w:lang w:val="en-US"/>
              </w:rPr>
              <w:t>Trial</w:t>
            </w:r>
          </w:p>
        </w:tc>
        <w:tc>
          <w:tcPr>
            <w:tcW w:w="426" w:type="pct"/>
            <w:shd w:val="clear" w:color="auto" w:fill="auto"/>
            <w:vAlign w:val="center"/>
          </w:tcPr>
          <w:p w:rsidR="00641987" w:rsidRPr="00116A2A" w:rsidRDefault="00641987" w:rsidP="00E02556">
            <w:pPr>
              <w:jc w:val="center"/>
              <w:rPr>
                <w:rFonts w:ascii="Arial Narrow" w:hAnsi="Arial Narrow"/>
                <w:b/>
                <w:sz w:val="20"/>
                <w:lang w:val="en-US"/>
              </w:rPr>
            </w:pPr>
            <w:r w:rsidRPr="00116A2A">
              <w:rPr>
                <w:rFonts w:ascii="Arial Narrow" w:hAnsi="Arial Narrow"/>
                <w:b/>
                <w:sz w:val="20"/>
                <w:lang w:val="en-US"/>
              </w:rPr>
              <w:t>N</w:t>
            </w:r>
          </w:p>
        </w:tc>
        <w:tc>
          <w:tcPr>
            <w:tcW w:w="1104" w:type="pct"/>
            <w:shd w:val="clear" w:color="auto" w:fill="auto"/>
            <w:vAlign w:val="center"/>
          </w:tcPr>
          <w:p w:rsidR="00641987" w:rsidRPr="00116A2A" w:rsidRDefault="00641987" w:rsidP="00E02556">
            <w:pPr>
              <w:jc w:val="center"/>
              <w:rPr>
                <w:rFonts w:ascii="Arial Narrow" w:hAnsi="Arial Narrow"/>
                <w:b/>
                <w:sz w:val="20"/>
                <w:lang w:val="en-US"/>
              </w:rPr>
            </w:pPr>
            <w:r w:rsidRPr="00116A2A">
              <w:rPr>
                <w:rFonts w:ascii="Arial Narrow" w:hAnsi="Arial Narrow"/>
                <w:b/>
                <w:sz w:val="20"/>
                <w:lang w:val="en-US"/>
              </w:rPr>
              <w:t>Design/ duration</w:t>
            </w:r>
          </w:p>
        </w:tc>
        <w:tc>
          <w:tcPr>
            <w:tcW w:w="594" w:type="pct"/>
            <w:shd w:val="clear" w:color="auto" w:fill="auto"/>
            <w:vAlign w:val="center"/>
          </w:tcPr>
          <w:p w:rsidR="00641987" w:rsidRPr="00116A2A" w:rsidRDefault="00641987" w:rsidP="00E02556">
            <w:pPr>
              <w:jc w:val="center"/>
              <w:rPr>
                <w:rFonts w:ascii="Arial Narrow" w:hAnsi="Arial Narrow"/>
                <w:b/>
                <w:sz w:val="20"/>
                <w:lang w:val="en-US"/>
              </w:rPr>
            </w:pPr>
            <w:r w:rsidRPr="00116A2A">
              <w:rPr>
                <w:rFonts w:ascii="Arial Narrow" w:hAnsi="Arial Narrow"/>
                <w:b/>
                <w:sz w:val="20"/>
                <w:lang w:val="en-US"/>
              </w:rPr>
              <w:t>Risk of bias</w:t>
            </w:r>
          </w:p>
        </w:tc>
        <w:tc>
          <w:tcPr>
            <w:tcW w:w="849" w:type="pct"/>
            <w:shd w:val="clear" w:color="auto" w:fill="auto"/>
            <w:vAlign w:val="center"/>
          </w:tcPr>
          <w:p w:rsidR="00641987" w:rsidRPr="00116A2A" w:rsidRDefault="00641987" w:rsidP="00E02556">
            <w:pPr>
              <w:jc w:val="center"/>
              <w:rPr>
                <w:rFonts w:ascii="Arial Narrow" w:hAnsi="Arial Narrow"/>
                <w:b/>
                <w:sz w:val="20"/>
                <w:lang w:val="en-US"/>
              </w:rPr>
            </w:pPr>
            <w:r w:rsidRPr="00116A2A">
              <w:rPr>
                <w:rFonts w:ascii="Arial Narrow" w:hAnsi="Arial Narrow"/>
                <w:b/>
                <w:sz w:val="20"/>
                <w:lang w:val="en-US"/>
              </w:rPr>
              <w:t>Patient population</w:t>
            </w:r>
          </w:p>
        </w:tc>
        <w:tc>
          <w:tcPr>
            <w:tcW w:w="679" w:type="pct"/>
            <w:shd w:val="clear" w:color="auto" w:fill="auto"/>
            <w:vAlign w:val="center"/>
          </w:tcPr>
          <w:p w:rsidR="00641987" w:rsidRPr="00116A2A" w:rsidRDefault="00641987" w:rsidP="00E02556">
            <w:pPr>
              <w:jc w:val="center"/>
              <w:rPr>
                <w:rFonts w:ascii="Arial Narrow" w:hAnsi="Arial Narrow"/>
                <w:b/>
                <w:sz w:val="20"/>
                <w:lang w:val="en-US"/>
              </w:rPr>
            </w:pPr>
            <w:r w:rsidRPr="00116A2A">
              <w:rPr>
                <w:rFonts w:ascii="Arial Narrow" w:hAnsi="Arial Narrow"/>
                <w:b/>
                <w:sz w:val="20"/>
                <w:lang w:val="en-US"/>
              </w:rPr>
              <w:t>Outcome</w:t>
            </w:r>
          </w:p>
        </w:tc>
        <w:tc>
          <w:tcPr>
            <w:tcW w:w="669" w:type="pct"/>
            <w:shd w:val="clear" w:color="auto" w:fill="auto"/>
            <w:vAlign w:val="center"/>
          </w:tcPr>
          <w:p w:rsidR="00641987" w:rsidRPr="00116A2A" w:rsidRDefault="00641987" w:rsidP="00E02556">
            <w:pPr>
              <w:jc w:val="center"/>
              <w:rPr>
                <w:rFonts w:ascii="Arial Narrow" w:hAnsi="Arial Narrow"/>
                <w:b/>
                <w:sz w:val="20"/>
                <w:lang w:val="en-US"/>
              </w:rPr>
            </w:pPr>
            <w:r w:rsidRPr="00116A2A">
              <w:rPr>
                <w:rFonts w:ascii="Arial Narrow" w:hAnsi="Arial Narrow"/>
                <w:b/>
                <w:sz w:val="20"/>
                <w:lang w:val="en-US"/>
              </w:rPr>
              <w:t>Use in modelled evaluation</w:t>
            </w:r>
          </w:p>
        </w:tc>
      </w:tr>
      <w:tr w:rsidR="00641987" w:rsidRPr="00116A2A" w:rsidTr="00E02556">
        <w:tc>
          <w:tcPr>
            <w:tcW w:w="5000" w:type="pct"/>
            <w:gridSpan w:val="7"/>
            <w:shd w:val="clear" w:color="auto" w:fill="auto"/>
            <w:vAlign w:val="center"/>
          </w:tcPr>
          <w:p w:rsidR="00641987" w:rsidRPr="00116A2A" w:rsidRDefault="00641987" w:rsidP="00E02556">
            <w:pPr>
              <w:jc w:val="left"/>
              <w:rPr>
                <w:rFonts w:ascii="Arial Narrow" w:hAnsi="Arial Narrow"/>
                <w:b/>
                <w:sz w:val="20"/>
                <w:lang w:val="en-US"/>
              </w:rPr>
            </w:pPr>
            <w:r w:rsidRPr="00116A2A">
              <w:rPr>
                <w:rFonts w:ascii="Arial Narrow" w:hAnsi="Arial Narrow"/>
                <w:b/>
                <w:sz w:val="20"/>
                <w:lang w:val="en-US"/>
              </w:rPr>
              <w:t>Bevacizumab + chemotherapy vs. chemotherapy</w:t>
            </w:r>
          </w:p>
        </w:tc>
      </w:tr>
      <w:tr w:rsidR="00641987" w:rsidRPr="00116A2A" w:rsidTr="00E02556">
        <w:tc>
          <w:tcPr>
            <w:tcW w:w="679" w:type="pct"/>
            <w:shd w:val="clear" w:color="auto" w:fill="auto"/>
            <w:vAlign w:val="center"/>
          </w:tcPr>
          <w:p w:rsidR="00641987" w:rsidRPr="00116A2A" w:rsidRDefault="00641987" w:rsidP="00E02556">
            <w:pPr>
              <w:jc w:val="left"/>
              <w:rPr>
                <w:rFonts w:ascii="Arial Narrow" w:hAnsi="Arial Narrow"/>
                <w:sz w:val="20"/>
                <w:lang w:val="en-US"/>
              </w:rPr>
            </w:pPr>
            <w:r w:rsidRPr="00116A2A">
              <w:rPr>
                <w:rFonts w:ascii="Arial Narrow" w:hAnsi="Arial Narrow"/>
                <w:sz w:val="20"/>
                <w:lang w:val="en-US"/>
              </w:rPr>
              <w:t>GOG 0240</w:t>
            </w:r>
          </w:p>
        </w:tc>
        <w:tc>
          <w:tcPr>
            <w:tcW w:w="426" w:type="pct"/>
            <w:shd w:val="clear" w:color="auto" w:fill="auto"/>
            <w:vAlign w:val="center"/>
          </w:tcPr>
          <w:p w:rsidR="00641987" w:rsidRPr="00116A2A" w:rsidRDefault="00641987" w:rsidP="00E02556">
            <w:pPr>
              <w:jc w:val="center"/>
              <w:rPr>
                <w:rFonts w:ascii="Arial Narrow" w:hAnsi="Arial Narrow"/>
                <w:sz w:val="20"/>
                <w:lang w:val="en-US"/>
              </w:rPr>
            </w:pPr>
            <w:r w:rsidRPr="00116A2A">
              <w:rPr>
                <w:rFonts w:ascii="Arial Narrow" w:hAnsi="Arial Narrow"/>
                <w:sz w:val="20"/>
                <w:lang w:val="en-US"/>
              </w:rPr>
              <w:t>452</w:t>
            </w:r>
          </w:p>
        </w:tc>
        <w:tc>
          <w:tcPr>
            <w:tcW w:w="1104" w:type="pct"/>
            <w:shd w:val="clear" w:color="auto" w:fill="auto"/>
            <w:vAlign w:val="center"/>
          </w:tcPr>
          <w:p w:rsidR="00641987" w:rsidRPr="00116A2A" w:rsidRDefault="00641987" w:rsidP="00E02556">
            <w:pPr>
              <w:jc w:val="center"/>
              <w:rPr>
                <w:rFonts w:ascii="Arial Narrow" w:hAnsi="Arial Narrow"/>
                <w:sz w:val="20"/>
                <w:lang w:val="en-US"/>
              </w:rPr>
            </w:pPr>
            <w:r w:rsidRPr="00116A2A">
              <w:rPr>
                <w:rFonts w:ascii="Arial Narrow" w:hAnsi="Arial Narrow"/>
                <w:sz w:val="20"/>
                <w:lang w:val="en-US"/>
              </w:rPr>
              <w:t>R, OL</w:t>
            </w:r>
          </w:p>
          <w:p w:rsidR="00641987" w:rsidRPr="00116A2A" w:rsidRDefault="00641987" w:rsidP="00E02556">
            <w:pPr>
              <w:jc w:val="center"/>
              <w:rPr>
                <w:rFonts w:ascii="Arial Narrow" w:hAnsi="Arial Narrow"/>
                <w:sz w:val="20"/>
                <w:lang w:val="en-US"/>
              </w:rPr>
            </w:pPr>
            <w:r w:rsidRPr="00116A2A">
              <w:rPr>
                <w:rFonts w:ascii="Arial Narrow" w:hAnsi="Arial Narrow"/>
                <w:sz w:val="20"/>
                <w:lang w:val="en-US"/>
              </w:rPr>
              <w:t>61 weeks*</w:t>
            </w:r>
          </w:p>
        </w:tc>
        <w:tc>
          <w:tcPr>
            <w:tcW w:w="594" w:type="pct"/>
            <w:shd w:val="clear" w:color="auto" w:fill="auto"/>
            <w:vAlign w:val="center"/>
          </w:tcPr>
          <w:p w:rsidR="00641987" w:rsidRPr="00116A2A" w:rsidRDefault="00641987" w:rsidP="00E02556">
            <w:pPr>
              <w:jc w:val="center"/>
              <w:rPr>
                <w:rFonts w:ascii="Arial Narrow" w:hAnsi="Arial Narrow"/>
                <w:sz w:val="20"/>
                <w:lang w:val="en-US"/>
              </w:rPr>
            </w:pPr>
            <w:r w:rsidRPr="00116A2A">
              <w:rPr>
                <w:rFonts w:ascii="Arial Narrow" w:hAnsi="Arial Narrow"/>
                <w:sz w:val="20"/>
                <w:lang w:val="en-US"/>
              </w:rPr>
              <w:t>Low</w:t>
            </w:r>
          </w:p>
        </w:tc>
        <w:tc>
          <w:tcPr>
            <w:tcW w:w="849" w:type="pct"/>
            <w:shd w:val="clear" w:color="auto" w:fill="auto"/>
            <w:vAlign w:val="center"/>
          </w:tcPr>
          <w:p w:rsidR="00641987" w:rsidRPr="00116A2A" w:rsidRDefault="00641987" w:rsidP="00E02556">
            <w:pPr>
              <w:jc w:val="center"/>
              <w:rPr>
                <w:rFonts w:ascii="Arial Narrow" w:hAnsi="Arial Narrow"/>
                <w:sz w:val="20"/>
                <w:lang w:val="en-US"/>
              </w:rPr>
            </w:pPr>
            <w:r w:rsidRPr="00116A2A">
              <w:rPr>
                <w:rFonts w:ascii="Arial Narrow" w:hAnsi="Arial Narrow"/>
                <w:sz w:val="20"/>
                <w:lang w:val="en-US"/>
              </w:rPr>
              <w:t>Advanced cervical cancer patients who are not amenable to curative treatment with surgery and/or radiation therapy.</w:t>
            </w:r>
          </w:p>
        </w:tc>
        <w:tc>
          <w:tcPr>
            <w:tcW w:w="679" w:type="pct"/>
            <w:shd w:val="clear" w:color="auto" w:fill="auto"/>
            <w:vAlign w:val="center"/>
          </w:tcPr>
          <w:p w:rsidR="00641987" w:rsidRPr="00116A2A" w:rsidRDefault="00641987" w:rsidP="00E02556">
            <w:pPr>
              <w:jc w:val="center"/>
              <w:rPr>
                <w:rFonts w:ascii="Arial Narrow" w:hAnsi="Arial Narrow"/>
                <w:sz w:val="20"/>
                <w:lang w:val="en-US"/>
              </w:rPr>
            </w:pPr>
            <w:r w:rsidRPr="00116A2A">
              <w:rPr>
                <w:rFonts w:ascii="Arial Narrow" w:hAnsi="Arial Narrow"/>
                <w:sz w:val="20"/>
                <w:lang w:val="en-US"/>
              </w:rPr>
              <w:t>OS</w:t>
            </w:r>
          </w:p>
        </w:tc>
        <w:tc>
          <w:tcPr>
            <w:tcW w:w="669" w:type="pct"/>
            <w:shd w:val="clear" w:color="auto" w:fill="auto"/>
            <w:vAlign w:val="center"/>
          </w:tcPr>
          <w:p w:rsidR="00641987" w:rsidRPr="00116A2A" w:rsidRDefault="00641987" w:rsidP="00E02556">
            <w:pPr>
              <w:jc w:val="center"/>
              <w:rPr>
                <w:rFonts w:ascii="Arial Narrow" w:hAnsi="Arial Narrow"/>
                <w:sz w:val="20"/>
                <w:lang w:val="en-US"/>
              </w:rPr>
            </w:pPr>
            <w:r w:rsidRPr="00116A2A">
              <w:rPr>
                <w:rFonts w:ascii="Arial Narrow" w:hAnsi="Arial Narrow"/>
                <w:sz w:val="20"/>
                <w:lang w:val="en-US"/>
              </w:rPr>
              <w:t>Used</w:t>
            </w:r>
          </w:p>
        </w:tc>
      </w:tr>
    </w:tbl>
    <w:p w:rsidR="00641987" w:rsidRPr="00116A2A" w:rsidRDefault="00641987" w:rsidP="00641987">
      <w:pPr>
        <w:pStyle w:val="TableFooter"/>
        <w:ind w:left="720"/>
      </w:pPr>
      <w:r w:rsidRPr="00116A2A">
        <w:t>R=randomised; OL=open label; OS=overall survival</w:t>
      </w:r>
      <w:r w:rsidR="000C06EA" w:rsidRPr="00116A2A">
        <w:t>.</w:t>
      </w:r>
    </w:p>
    <w:p w:rsidR="00641987" w:rsidRPr="00116A2A" w:rsidRDefault="00641987" w:rsidP="00641987">
      <w:pPr>
        <w:pStyle w:val="TableFooter"/>
        <w:ind w:left="720"/>
      </w:pPr>
      <w:r w:rsidRPr="00116A2A">
        <w:t xml:space="preserve">* ITT population data </w:t>
      </w:r>
      <w:r w:rsidR="00163E1E" w:rsidRPr="00116A2A">
        <w:t>cut-off</w:t>
      </w:r>
      <w:r w:rsidRPr="00116A2A">
        <w:t>: 12 December 2012: The median duration of follow-up was 47.3 weeks in the chemotherapy alone arm compared with 57.1 weeks in the bevacizumab + chemotherapy arm. The pooled duration of follow up was 52.2 weeks.</w:t>
      </w:r>
    </w:p>
    <w:p w:rsidR="00641987" w:rsidRPr="00116A2A" w:rsidRDefault="00641987" w:rsidP="00641987">
      <w:pPr>
        <w:pStyle w:val="TableFooter"/>
        <w:ind w:left="720"/>
      </w:pPr>
      <w:r w:rsidRPr="00116A2A">
        <w:t xml:space="preserve">ITT population data </w:t>
      </w:r>
      <w:r w:rsidR="00163E1E" w:rsidRPr="00116A2A">
        <w:t>cut-off</w:t>
      </w:r>
      <w:r w:rsidRPr="00116A2A">
        <w:t>: 7 March 2014: The median duration of follow-up was 52.6 weeks in the chemotherapy alone arm compared with 70.0 weeks in the bevacizumab + chemotherapy arm. The pooled duration of follow up was 61.3 weeks.</w:t>
      </w:r>
    </w:p>
    <w:p w:rsidR="00641987" w:rsidRPr="00116A2A" w:rsidRDefault="00641987" w:rsidP="00641987">
      <w:pPr>
        <w:pStyle w:val="TableFooter"/>
        <w:ind w:left="720"/>
      </w:pPr>
      <w:r w:rsidRPr="00116A2A">
        <w:t>Source: compiled during the evaluation</w:t>
      </w:r>
    </w:p>
    <w:p w:rsidR="00641987" w:rsidRPr="00116A2A" w:rsidRDefault="00641987" w:rsidP="00641987"/>
    <w:p w:rsidR="0032258D" w:rsidRPr="00116A2A" w:rsidRDefault="00641987" w:rsidP="009E04FF">
      <w:pPr>
        <w:pStyle w:val="ListParagraph"/>
        <w:widowControl/>
        <w:numPr>
          <w:ilvl w:val="1"/>
          <w:numId w:val="6"/>
        </w:numPr>
        <w:rPr>
          <w:szCs w:val="22"/>
        </w:rPr>
      </w:pPr>
      <w:r w:rsidRPr="00116A2A">
        <w:t>The primary outcome of the t</w:t>
      </w:r>
      <w:r w:rsidR="000C06EA" w:rsidRPr="00116A2A">
        <w:t>rial was</w:t>
      </w:r>
      <w:r w:rsidRPr="00116A2A">
        <w:t xml:space="preserve"> OS and there was a low risk of confounding given that only a small proportion (approximately 6%) of patients on chemotherapy alone received</w:t>
      </w:r>
      <w:r w:rsidR="000C06EA" w:rsidRPr="00116A2A">
        <w:t xml:space="preserve"> bevacizumab post-progression. </w:t>
      </w:r>
      <w:r w:rsidRPr="00116A2A">
        <w:t>For the secondary outcomes of progression free survival (PFS - investigator based), quality of life (QoL) and adverse events, there was a high risk of bias given the open-label design of the trial.</w:t>
      </w:r>
    </w:p>
    <w:p w:rsidR="0032258D" w:rsidRPr="00116A2A" w:rsidRDefault="0032258D" w:rsidP="00732C06">
      <w:pPr>
        <w:spacing w:line="480" w:lineRule="auto"/>
        <w:rPr>
          <w:szCs w:val="22"/>
        </w:rPr>
      </w:pPr>
    </w:p>
    <w:p w:rsidR="00641987" w:rsidRPr="00116A2A" w:rsidRDefault="00641987" w:rsidP="00641987">
      <w:pPr>
        <w:pStyle w:val="Heading2"/>
      </w:pPr>
      <w:bookmarkStart w:id="10" w:name="_Toc430080586"/>
      <w:r w:rsidRPr="00116A2A">
        <w:t>Comparative effectiveness</w:t>
      </w:r>
      <w:bookmarkEnd w:id="10"/>
    </w:p>
    <w:p w:rsidR="00641987" w:rsidRPr="00116A2A" w:rsidRDefault="00641987" w:rsidP="00641987">
      <w:pPr>
        <w:rPr>
          <w:szCs w:val="22"/>
        </w:rPr>
      </w:pPr>
    </w:p>
    <w:p w:rsidR="00641987" w:rsidRPr="007D08E2" w:rsidRDefault="00641987" w:rsidP="008F0074">
      <w:pPr>
        <w:pStyle w:val="ListParagraph"/>
        <w:widowControl/>
        <w:numPr>
          <w:ilvl w:val="1"/>
          <w:numId w:val="6"/>
        </w:numPr>
        <w:rPr>
          <w:szCs w:val="22"/>
        </w:rPr>
      </w:pPr>
      <w:r w:rsidRPr="00116A2A">
        <w:rPr>
          <w:szCs w:val="22"/>
        </w:rPr>
        <w:t>The results of OS and PFS are summarised below in Table 3. The Kaplan-Meier curve of OS based on the most recent data cut</w:t>
      </w:r>
      <w:r w:rsidR="00163E1E" w:rsidRPr="00116A2A">
        <w:rPr>
          <w:szCs w:val="22"/>
        </w:rPr>
        <w:t>-</w:t>
      </w:r>
      <w:r w:rsidRPr="00116A2A">
        <w:rPr>
          <w:szCs w:val="22"/>
        </w:rPr>
        <w:t xml:space="preserve">off (7 March 2014) are presented in Figure 1. </w:t>
      </w:r>
      <w:r w:rsidRPr="00116A2A">
        <w:t xml:space="preserve">The results demonstrated a statistically significant reduction in risk of death (approximately 25%) resulting from the addition of bevacizumab to either cisplatin plus paclitaxel or topotecan plus paclitaxel. </w:t>
      </w:r>
      <w:r w:rsidR="00DE3F04" w:rsidRPr="00116A2A">
        <w:t>This benefit</w:t>
      </w:r>
      <w:r w:rsidR="00D543B3" w:rsidRPr="00116A2A">
        <w:t xml:space="preserve"> was observed regardless of the chemotherapy companion</w:t>
      </w:r>
      <w:r w:rsidR="00AC7D0B" w:rsidRPr="00116A2A">
        <w:t xml:space="preserve"> (topotecan</w:t>
      </w:r>
      <w:r w:rsidR="00D70168" w:rsidRPr="00116A2A">
        <w:t xml:space="preserve"> </w:t>
      </w:r>
      <w:r w:rsidR="00AC7D0B" w:rsidRPr="00116A2A">
        <w:t>+</w:t>
      </w:r>
      <w:r w:rsidR="00D70168" w:rsidRPr="00116A2A">
        <w:t xml:space="preserve"> </w:t>
      </w:r>
      <w:r w:rsidR="00AC7D0B" w:rsidRPr="00116A2A">
        <w:t>paclitaxel or cisplatin + paclitaxel)</w:t>
      </w:r>
      <w:r w:rsidR="00D543B3" w:rsidRPr="00116A2A">
        <w:t xml:space="preserve"> f</w:t>
      </w:r>
      <w:r w:rsidR="00163E1E" w:rsidRPr="00116A2A">
        <w:t xml:space="preserve">or bevacizumab. </w:t>
      </w:r>
      <w:r w:rsidRPr="00116A2A">
        <w:t>The results of OS were consistent across the two cut-off dates.</w:t>
      </w:r>
    </w:p>
    <w:p w:rsidR="007D08E2" w:rsidRPr="00116A2A" w:rsidRDefault="007D08E2" w:rsidP="00664D0E">
      <w:pPr>
        <w:pStyle w:val="ListParagraph"/>
        <w:widowControl/>
        <w:spacing w:line="960" w:lineRule="auto"/>
        <w:rPr>
          <w:szCs w:val="22"/>
        </w:rPr>
      </w:pPr>
    </w:p>
    <w:p w:rsidR="00641987" w:rsidRPr="00116A2A" w:rsidRDefault="00641987" w:rsidP="00582B44">
      <w:pPr>
        <w:pStyle w:val="TableHeader"/>
        <w:ind w:firstLine="720"/>
      </w:pPr>
      <w:r w:rsidRPr="00116A2A">
        <w:lastRenderedPageBreak/>
        <w:t>Table 3: Overall survival and PFS stratified analysi</w:t>
      </w:r>
      <w:r w:rsidR="008B0EC1" w:rsidRPr="00116A2A">
        <w:t xml:space="preserve">s by bevacizumab treatment (GOG </w:t>
      </w:r>
      <w:r w:rsidRPr="00116A2A">
        <w:t>0240 ITT)</w:t>
      </w:r>
    </w:p>
    <w:tbl>
      <w:tblPr>
        <w:tblW w:w="4537" w:type="pct"/>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1387"/>
        <w:gridCol w:w="1395"/>
        <w:gridCol w:w="1610"/>
        <w:gridCol w:w="1612"/>
      </w:tblGrid>
      <w:tr w:rsidR="00641987" w:rsidRPr="00116A2A" w:rsidTr="00E02556">
        <w:trPr>
          <w:cantSplit/>
          <w:trHeight w:val="70"/>
          <w:tblHeader/>
        </w:trPr>
        <w:tc>
          <w:tcPr>
            <w:tcW w:w="1420" w:type="pct"/>
            <w:vMerge w:val="restart"/>
            <w:vAlign w:val="center"/>
          </w:tcPr>
          <w:p w:rsidR="00641987" w:rsidRPr="00116A2A" w:rsidRDefault="00641987" w:rsidP="00163E1E">
            <w:pPr>
              <w:pStyle w:val="TableHeadingRow"/>
              <w:keepNext w:val="0"/>
              <w:widowControl w:val="0"/>
              <w:rPr>
                <w:rFonts w:ascii="Arial Narrow" w:hAnsi="Arial Narrow"/>
              </w:rPr>
            </w:pPr>
            <w:r w:rsidRPr="00116A2A">
              <w:rPr>
                <w:rFonts w:ascii="Arial Narrow" w:hAnsi="Arial Narrow"/>
              </w:rPr>
              <w:t>Parameter</w:t>
            </w:r>
          </w:p>
        </w:tc>
        <w:tc>
          <w:tcPr>
            <w:tcW w:w="3580" w:type="pct"/>
            <w:gridSpan w:val="4"/>
            <w:tcBorders>
              <w:bottom w:val="single" w:sz="4" w:space="0" w:color="auto"/>
            </w:tcBorders>
            <w:vAlign w:val="center"/>
          </w:tcPr>
          <w:p w:rsidR="00641987" w:rsidRPr="00116A2A" w:rsidRDefault="00641987" w:rsidP="00163E1E">
            <w:pPr>
              <w:pStyle w:val="TableHeadingRow"/>
              <w:keepNext w:val="0"/>
              <w:widowControl w:val="0"/>
              <w:jc w:val="center"/>
              <w:rPr>
                <w:rFonts w:ascii="Arial Narrow" w:hAnsi="Arial Narrow"/>
              </w:rPr>
            </w:pPr>
            <w:r w:rsidRPr="00116A2A">
              <w:rPr>
                <w:rFonts w:ascii="Arial Narrow" w:hAnsi="Arial Narrow"/>
              </w:rPr>
              <w:t>GOG–0240</w:t>
            </w:r>
          </w:p>
        </w:tc>
      </w:tr>
      <w:tr w:rsidR="00641987" w:rsidRPr="00116A2A" w:rsidTr="00E02556">
        <w:trPr>
          <w:cantSplit/>
          <w:tblHeader/>
        </w:trPr>
        <w:tc>
          <w:tcPr>
            <w:tcW w:w="1420" w:type="pct"/>
            <w:vMerge/>
            <w:tcBorders>
              <w:bottom w:val="single" w:sz="4" w:space="0" w:color="auto"/>
            </w:tcBorders>
            <w:vAlign w:val="center"/>
          </w:tcPr>
          <w:p w:rsidR="00641987" w:rsidRPr="00116A2A" w:rsidRDefault="00641987" w:rsidP="00163E1E">
            <w:pPr>
              <w:pStyle w:val="TableHeadingRow"/>
              <w:keepNext w:val="0"/>
              <w:widowControl w:val="0"/>
              <w:jc w:val="center"/>
              <w:rPr>
                <w:rFonts w:ascii="Arial Narrow" w:hAnsi="Arial Narrow"/>
              </w:rPr>
            </w:pPr>
          </w:p>
        </w:tc>
        <w:tc>
          <w:tcPr>
            <w:tcW w:w="827" w:type="pct"/>
            <w:tcBorders>
              <w:bottom w:val="single" w:sz="4" w:space="0" w:color="auto"/>
              <w:right w:val="single" w:sz="4" w:space="0" w:color="auto"/>
            </w:tcBorders>
            <w:vAlign w:val="center"/>
          </w:tcPr>
          <w:p w:rsidR="00641987" w:rsidRPr="00116A2A" w:rsidRDefault="00641987" w:rsidP="00163E1E">
            <w:pPr>
              <w:pStyle w:val="TableHeadingRow"/>
              <w:keepNext w:val="0"/>
              <w:widowControl w:val="0"/>
              <w:jc w:val="center"/>
              <w:rPr>
                <w:rFonts w:ascii="Arial Narrow" w:hAnsi="Arial Narrow"/>
              </w:rPr>
            </w:pPr>
            <w:r w:rsidRPr="00116A2A">
              <w:rPr>
                <w:rFonts w:ascii="Arial Narrow" w:hAnsi="Arial Narrow"/>
              </w:rPr>
              <w:t>Bev+Chemo</w:t>
            </w:r>
            <w:r w:rsidRPr="00116A2A">
              <w:rPr>
                <w:rFonts w:ascii="Arial Narrow" w:hAnsi="Arial Narrow"/>
              </w:rPr>
              <w:br/>
              <w:t>N=227</w:t>
            </w:r>
          </w:p>
          <w:p w:rsidR="00641987" w:rsidRPr="00116A2A" w:rsidRDefault="00641987" w:rsidP="00163E1E">
            <w:pPr>
              <w:pStyle w:val="TableHeadingRow"/>
              <w:keepNext w:val="0"/>
              <w:widowControl w:val="0"/>
              <w:jc w:val="center"/>
              <w:rPr>
                <w:rFonts w:ascii="Arial Narrow" w:hAnsi="Arial Narrow"/>
              </w:rPr>
            </w:pPr>
            <w:r w:rsidRPr="00116A2A">
              <w:rPr>
                <w:rFonts w:ascii="Arial Narrow" w:hAnsi="Arial Narrow"/>
              </w:rPr>
              <w:t>n (%)</w:t>
            </w:r>
          </w:p>
        </w:tc>
        <w:tc>
          <w:tcPr>
            <w:tcW w:w="832" w:type="pct"/>
            <w:tcBorders>
              <w:left w:val="single" w:sz="4" w:space="0" w:color="auto"/>
              <w:bottom w:val="single" w:sz="4" w:space="0" w:color="auto"/>
            </w:tcBorders>
            <w:vAlign w:val="center"/>
          </w:tcPr>
          <w:p w:rsidR="00641987" w:rsidRPr="00116A2A" w:rsidRDefault="00641987" w:rsidP="00163E1E">
            <w:pPr>
              <w:pStyle w:val="TableHeadingRow"/>
              <w:keepNext w:val="0"/>
              <w:widowControl w:val="0"/>
              <w:jc w:val="center"/>
              <w:rPr>
                <w:rFonts w:ascii="Arial Narrow" w:hAnsi="Arial Narrow"/>
              </w:rPr>
            </w:pPr>
            <w:r w:rsidRPr="00116A2A">
              <w:rPr>
                <w:rFonts w:ascii="Arial Narrow" w:hAnsi="Arial Narrow"/>
              </w:rPr>
              <w:t>Chemo alone</w:t>
            </w:r>
            <w:r w:rsidRPr="00116A2A">
              <w:rPr>
                <w:rFonts w:ascii="Arial Narrow" w:hAnsi="Arial Narrow"/>
              </w:rPr>
              <w:br/>
              <w:t>N=225</w:t>
            </w:r>
          </w:p>
          <w:p w:rsidR="00641987" w:rsidRPr="00116A2A" w:rsidRDefault="00641987" w:rsidP="00163E1E">
            <w:pPr>
              <w:pStyle w:val="TableHeadingRow"/>
              <w:keepNext w:val="0"/>
              <w:widowControl w:val="0"/>
              <w:jc w:val="center"/>
              <w:rPr>
                <w:rFonts w:ascii="Arial Narrow" w:hAnsi="Arial Narrow"/>
              </w:rPr>
            </w:pPr>
            <w:r w:rsidRPr="00116A2A">
              <w:rPr>
                <w:rFonts w:ascii="Arial Narrow" w:hAnsi="Arial Narrow"/>
              </w:rPr>
              <w:t>n (%)</w:t>
            </w:r>
          </w:p>
        </w:tc>
        <w:tc>
          <w:tcPr>
            <w:tcW w:w="960" w:type="pct"/>
            <w:tcBorders>
              <w:left w:val="single" w:sz="4" w:space="0" w:color="auto"/>
              <w:bottom w:val="single" w:sz="4" w:space="0" w:color="auto"/>
            </w:tcBorders>
            <w:vAlign w:val="center"/>
          </w:tcPr>
          <w:p w:rsidR="00641987" w:rsidRPr="00116A2A" w:rsidRDefault="00641987" w:rsidP="00163E1E">
            <w:pPr>
              <w:pStyle w:val="TableHeadingRow"/>
              <w:keepNext w:val="0"/>
              <w:widowControl w:val="0"/>
              <w:jc w:val="center"/>
              <w:rPr>
                <w:rFonts w:ascii="Arial Narrow" w:hAnsi="Arial Narrow"/>
              </w:rPr>
            </w:pPr>
            <w:r w:rsidRPr="00116A2A">
              <w:rPr>
                <w:rFonts w:ascii="Arial Narrow" w:hAnsi="Arial Narrow"/>
              </w:rPr>
              <w:t>Relative risk difference</w:t>
            </w:r>
            <w:r w:rsidRPr="00116A2A">
              <w:rPr>
                <w:rFonts w:ascii="Arial Narrow" w:hAnsi="Arial Narrow"/>
              </w:rPr>
              <w:br/>
              <w:t>(95 % CI)</w:t>
            </w:r>
            <w:r w:rsidRPr="00116A2A">
              <w:rPr>
                <w:rFonts w:ascii="Arial Narrow" w:hAnsi="Arial Narrow"/>
              </w:rPr>
              <w:br/>
              <w:t>(Bev+Chemo vs. Chemo alone)</w:t>
            </w:r>
          </w:p>
        </w:tc>
        <w:tc>
          <w:tcPr>
            <w:tcW w:w="961" w:type="pct"/>
            <w:tcBorders>
              <w:left w:val="single" w:sz="4" w:space="0" w:color="auto"/>
              <w:bottom w:val="single" w:sz="4" w:space="0" w:color="auto"/>
            </w:tcBorders>
            <w:vAlign w:val="center"/>
          </w:tcPr>
          <w:p w:rsidR="00641987" w:rsidRPr="00116A2A" w:rsidRDefault="00641987" w:rsidP="00163E1E">
            <w:pPr>
              <w:pStyle w:val="TableHeadingRow"/>
              <w:keepNext w:val="0"/>
              <w:widowControl w:val="0"/>
              <w:jc w:val="center"/>
              <w:rPr>
                <w:rFonts w:ascii="Arial Narrow" w:hAnsi="Arial Narrow"/>
              </w:rPr>
            </w:pPr>
            <w:r w:rsidRPr="00116A2A">
              <w:rPr>
                <w:rFonts w:ascii="Arial Narrow" w:hAnsi="Arial Narrow"/>
              </w:rPr>
              <w:t>Absolute risk difference</w:t>
            </w:r>
            <w:r w:rsidRPr="00116A2A">
              <w:rPr>
                <w:rFonts w:ascii="Arial Narrow" w:hAnsi="Arial Narrow"/>
              </w:rPr>
              <w:br/>
              <w:t>(95 % CI)</w:t>
            </w:r>
            <w:r w:rsidRPr="00116A2A">
              <w:rPr>
                <w:rFonts w:ascii="Arial Narrow" w:hAnsi="Arial Narrow"/>
              </w:rPr>
              <w:br/>
              <w:t>(Bev+Chemo vs. Chemo alone)</w:t>
            </w:r>
          </w:p>
        </w:tc>
      </w:tr>
      <w:tr w:rsidR="00641987" w:rsidRPr="00116A2A" w:rsidTr="00E02556">
        <w:trPr>
          <w:cantSplit/>
        </w:trPr>
        <w:tc>
          <w:tcPr>
            <w:tcW w:w="5000" w:type="pct"/>
            <w:gridSpan w:val="5"/>
            <w:tcBorders>
              <w:bottom w:val="single" w:sz="4" w:space="0" w:color="auto"/>
              <w:right w:val="single" w:sz="4" w:space="0" w:color="auto"/>
            </w:tcBorders>
            <w:shd w:val="clear" w:color="auto" w:fill="BFBFBF" w:themeFill="background1" w:themeFillShade="BF"/>
            <w:vAlign w:val="center"/>
          </w:tcPr>
          <w:p w:rsidR="00641987" w:rsidRPr="00116A2A" w:rsidRDefault="00641987" w:rsidP="00163E1E">
            <w:pPr>
              <w:pStyle w:val="TableText0"/>
              <w:keepNext w:val="0"/>
              <w:widowControl w:val="0"/>
              <w:spacing w:before="20" w:after="20"/>
              <w:rPr>
                <w:b/>
              </w:rPr>
            </w:pPr>
            <w:r w:rsidRPr="00116A2A">
              <w:rPr>
                <w:b/>
              </w:rPr>
              <w:t>Clinical cut–off 12 December 2012</w:t>
            </w:r>
          </w:p>
        </w:tc>
      </w:tr>
      <w:tr w:rsidR="00641987" w:rsidRPr="00116A2A" w:rsidTr="00E02556">
        <w:trPr>
          <w:cantSplit/>
        </w:trPr>
        <w:tc>
          <w:tcPr>
            <w:tcW w:w="5000" w:type="pct"/>
            <w:gridSpan w:val="5"/>
            <w:tcBorders>
              <w:bottom w:val="single" w:sz="4" w:space="0" w:color="auto"/>
              <w:right w:val="single" w:sz="4" w:space="0" w:color="auto"/>
            </w:tcBorders>
            <w:shd w:val="clear" w:color="auto" w:fill="auto"/>
            <w:vAlign w:val="center"/>
          </w:tcPr>
          <w:p w:rsidR="00641987" w:rsidRPr="00116A2A" w:rsidRDefault="00641987" w:rsidP="00163E1E">
            <w:pPr>
              <w:pStyle w:val="TableText0"/>
              <w:keepNext w:val="0"/>
              <w:widowControl w:val="0"/>
              <w:spacing w:before="20" w:after="20"/>
              <w:rPr>
                <w:b/>
              </w:rPr>
            </w:pPr>
            <w:r w:rsidRPr="00116A2A">
              <w:rPr>
                <w:b/>
              </w:rPr>
              <w:t>Overall survival</w:t>
            </w:r>
          </w:p>
        </w:tc>
      </w:tr>
      <w:tr w:rsidR="00641987" w:rsidRPr="00116A2A" w:rsidTr="00E02556">
        <w:trPr>
          <w:cantSplit/>
        </w:trPr>
        <w:tc>
          <w:tcPr>
            <w:tcW w:w="1420" w:type="pct"/>
            <w:tcBorders>
              <w:top w:val="single" w:sz="4" w:space="0" w:color="auto"/>
              <w:bottom w:val="nil"/>
            </w:tcBorders>
          </w:tcPr>
          <w:p w:rsidR="00641987" w:rsidRPr="00116A2A" w:rsidRDefault="00641987" w:rsidP="00163E1E">
            <w:pPr>
              <w:pStyle w:val="TableText0"/>
              <w:keepNext w:val="0"/>
              <w:widowControl w:val="0"/>
              <w:spacing w:before="20" w:after="20"/>
            </w:pPr>
            <w:r w:rsidRPr="00116A2A">
              <w:t>Patients with event</w:t>
            </w:r>
          </w:p>
        </w:tc>
        <w:tc>
          <w:tcPr>
            <w:tcW w:w="827" w:type="pct"/>
            <w:tcBorders>
              <w:top w:val="single" w:sz="4" w:space="0" w:color="auto"/>
              <w:bottom w:val="nil"/>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832" w:type="pct"/>
            <w:tcBorders>
              <w:top w:val="single" w:sz="4" w:space="0" w:color="auto"/>
              <w:left w:val="single" w:sz="4" w:space="0" w:color="auto"/>
              <w:bottom w:val="nil"/>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960" w:type="pct"/>
            <w:vMerge w:val="restart"/>
            <w:tcBorders>
              <w:top w:val="single" w:sz="4" w:space="0" w:color="auto"/>
              <w:left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 '''''''''''''</w:t>
            </w:r>
          </w:p>
        </w:tc>
        <w:tc>
          <w:tcPr>
            <w:tcW w:w="961" w:type="pct"/>
            <w:vMerge w:val="restart"/>
            <w:tcBorders>
              <w:top w:val="single" w:sz="4" w:space="0" w:color="auto"/>
              <w:left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 ''''''''''</w:t>
            </w:r>
          </w:p>
        </w:tc>
      </w:tr>
      <w:tr w:rsidR="00641987" w:rsidRPr="00116A2A" w:rsidTr="00E02556">
        <w:trPr>
          <w:cantSplit/>
          <w:trHeight w:val="70"/>
        </w:trPr>
        <w:tc>
          <w:tcPr>
            <w:tcW w:w="1420" w:type="pct"/>
            <w:tcBorders>
              <w:bottom w:val="nil"/>
            </w:tcBorders>
          </w:tcPr>
          <w:p w:rsidR="00641987" w:rsidRPr="00116A2A" w:rsidRDefault="00641987" w:rsidP="00163E1E">
            <w:pPr>
              <w:pStyle w:val="TableText0"/>
              <w:keepNext w:val="0"/>
              <w:widowControl w:val="0"/>
              <w:spacing w:before="20" w:after="20"/>
            </w:pPr>
            <w:r w:rsidRPr="00116A2A">
              <w:t>Time to event (months)</w:t>
            </w:r>
          </w:p>
        </w:tc>
        <w:tc>
          <w:tcPr>
            <w:tcW w:w="827" w:type="pct"/>
            <w:tcBorders>
              <w:bottom w:val="nil"/>
            </w:tcBorders>
          </w:tcPr>
          <w:p w:rsidR="00641987" w:rsidRPr="00116A2A" w:rsidRDefault="00641987" w:rsidP="00163E1E">
            <w:pPr>
              <w:pStyle w:val="TableText0"/>
              <w:keepNext w:val="0"/>
              <w:widowControl w:val="0"/>
              <w:spacing w:before="20" w:after="20"/>
              <w:jc w:val="center"/>
            </w:pPr>
          </w:p>
        </w:tc>
        <w:tc>
          <w:tcPr>
            <w:tcW w:w="832" w:type="pct"/>
            <w:tcBorders>
              <w:bottom w:val="nil"/>
              <w:right w:val="single" w:sz="4" w:space="0" w:color="auto"/>
            </w:tcBorders>
          </w:tcPr>
          <w:p w:rsidR="00641987" w:rsidRPr="00116A2A" w:rsidRDefault="00641987" w:rsidP="00163E1E">
            <w:pPr>
              <w:pStyle w:val="TableText0"/>
              <w:keepNext w:val="0"/>
              <w:widowControl w:val="0"/>
              <w:spacing w:before="20" w:after="20"/>
              <w:jc w:val="center"/>
            </w:pP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nil"/>
              <w:bottom w:val="nil"/>
            </w:tcBorders>
          </w:tcPr>
          <w:p w:rsidR="00641987" w:rsidRPr="00116A2A" w:rsidRDefault="00641987" w:rsidP="00163E1E">
            <w:pPr>
              <w:pStyle w:val="TableText0"/>
              <w:keepNext w:val="0"/>
              <w:widowControl w:val="0"/>
              <w:spacing w:before="20" w:after="20"/>
              <w:ind w:left="332"/>
            </w:pPr>
            <w:r w:rsidRPr="00116A2A">
              <w:t>Median</w:t>
            </w:r>
          </w:p>
        </w:tc>
        <w:tc>
          <w:tcPr>
            <w:tcW w:w="827" w:type="pct"/>
            <w:tcBorders>
              <w:top w:val="nil"/>
              <w:bottom w:val="nil"/>
            </w:tcBorders>
          </w:tcPr>
          <w:p w:rsidR="00641987" w:rsidRPr="00116A2A" w:rsidRDefault="00641987" w:rsidP="00163E1E">
            <w:pPr>
              <w:pStyle w:val="TableText0"/>
              <w:keepNext w:val="0"/>
              <w:widowControl w:val="0"/>
              <w:spacing w:before="20" w:after="20"/>
              <w:jc w:val="center"/>
            </w:pPr>
            <w:r w:rsidRPr="00116A2A">
              <w:t>16.8</w:t>
            </w:r>
          </w:p>
        </w:tc>
        <w:tc>
          <w:tcPr>
            <w:tcW w:w="832" w:type="pct"/>
            <w:tcBorders>
              <w:top w:val="nil"/>
              <w:bottom w:val="nil"/>
              <w:right w:val="single" w:sz="4" w:space="0" w:color="auto"/>
            </w:tcBorders>
          </w:tcPr>
          <w:p w:rsidR="00641987" w:rsidRPr="00116A2A" w:rsidRDefault="00641987" w:rsidP="00163E1E">
            <w:pPr>
              <w:pStyle w:val="TableText0"/>
              <w:keepNext w:val="0"/>
              <w:widowControl w:val="0"/>
              <w:spacing w:before="20" w:after="20"/>
              <w:jc w:val="center"/>
            </w:pPr>
            <w:r w:rsidRPr="00116A2A">
              <w:t>12.9</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nil"/>
              <w:bottom w:val="single" w:sz="4" w:space="0" w:color="auto"/>
            </w:tcBorders>
          </w:tcPr>
          <w:p w:rsidR="00641987" w:rsidRPr="00116A2A" w:rsidRDefault="00641987" w:rsidP="00163E1E">
            <w:pPr>
              <w:pStyle w:val="TableText0"/>
              <w:keepNext w:val="0"/>
              <w:widowControl w:val="0"/>
              <w:spacing w:before="20" w:after="20"/>
              <w:ind w:left="332"/>
            </w:pPr>
            <w:r w:rsidRPr="00116A2A">
              <w:t>95% CI for median</w:t>
            </w:r>
          </w:p>
        </w:tc>
        <w:tc>
          <w:tcPr>
            <w:tcW w:w="827" w:type="pct"/>
            <w:tcBorders>
              <w:top w:val="nil"/>
              <w:bottom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832" w:type="pct"/>
            <w:tcBorders>
              <w:top w:val="nil"/>
              <w:bottom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single" w:sz="4" w:space="0" w:color="auto"/>
              <w:bottom w:val="nil"/>
            </w:tcBorders>
          </w:tcPr>
          <w:p w:rsidR="00641987" w:rsidRPr="00116A2A" w:rsidRDefault="00641987" w:rsidP="00163E1E">
            <w:pPr>
              <w:pStyle w:val="TableText0"/>
              <w:keepNext w:val="0"/>
              <w:widowControl w:val="0"/>
              <w:spacing w:before="20" w:after="20"/>
              <w:ind w:left="332"/>
            </w:pPr>
            <w:r w:rsidRPr="00116A2A">
              <w:t>p-value (log-rank test)</w:t>
            </w:r>
          </w:p>
        </w:tc>
        <w:tc>
          <w:tcPr>
            <w:tcW w:w="1659" w:type="pct"/>
            <w:gridSpan w:val="2"/>
            <w:tcBorders>
              <w:top w:val="single" w:sz="4" w:space="0" w:color="auto"/>
              <w:bottom w:val="nil"/>
              <w:right w:val="single" w:sz="4" w:space="0" w:color="auto"/>
            </w:tcBorders>
          </w:tcPr>
          <w:p w:rsidR="00641987" w:rsidRPr="00116A2A" w:rsidRDefault="00641987" w:rsidP="00163E1E">
            <w:pPr>
              <w:pStyle w:val="TableText0"/>
              <w:keepNext w:val="0"/>
              <w:widowControl w:val="0"/>
              <w:spacing w:before="20" w:after="20"/>
              <w:jc w:val="center"/>
              <w:rPr>
                <w:b/>
              </w:rPr>
            </w:pPr>
            <w:r w:rsidRPr="00116A2A">
              <w:rPr>
                <w:b/>
              </w:rPr>
              <w:t>0.0132</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Height w:val="60"/>
        </w:trPr>
        <w:tc>
          <w:tcPr>
            <w:tcW w:w="1420" w:type="pct"/>
            <w:tcBorders>
              <w:top w:val="nil"/>
            </w:tcBorders>
          </w:tcPr>
          <w:p w:rsidR="00641987" w:rsidRPr="00116A2A" w:rsidRDefault="00641987" w:rsidP="00163E1E">
            <w:pPr>
              <w:pStyle w:val="TableText0"/>
              <w:keepNext w:val="0"/>
              <w:widowControl w:val="0"/>
              <w:spacing w:before="20" w:after="20"/>
              <w:ind w:left="332"/>
            </w:pPr>
            <w:r w:rsidRPr="00116A2A">
              <w:t>Hazard ratio (95% CI)</w:t>
            </w:r>
          </w:p>
        </w:tc>
        <w:tc>
          <w:tcPr>
            <w:tcW w:w="1659" w:type="pct"/>
            <w:gridSpan w:val="2"/>
            <w:tcBorders>
              <w:top w:val="nil"/>
              <w:right w:val="single" w:sz="4" w:space="0" w:color="auto"/>
            </w:tcBorders>
          </w:tcPr>
          <w:p w:rsidR="00641987" w:rsidRPr="00116A2A" w:rsidRDefault="00641987" w:rsidP="00163E1E">
            <w:pPr>
              <w:pStyle w:val="TableText0"/>
              <w:keepNext w:val="0"/>
              <w:widowControl w:val="0"/>
              <w:spacing w:before="20" w:after="20"/>
              <w:jc w:val="center"/>
              <w:rPr>
                <w:b/>
              </w:rPr>
            </w:pPr>
            <w:r w:rsidRPr="00116A2A">
              <w:rPr>
                <w:b/>
              </w:rPr>
              <w:t>0.74 (0.58, 0.94)</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5000" w:type="pct"/>
            <w:gridSpan w:val="5"/>
            <w:tcBorders>
              <w:top w:val="single" w:sz="4" w:space="0" w:color="auto"/>
              <w:bottom w:val="nil"/>
              <w:right w:val="single" w:sz="4" w:space="0" w:color="auto"/>
            </w:tcBorders>
          </w:tcPr>
          <w:p w:rsidR="00641987" w:rsidRPr="00116A2A" w:rsidRDefault="00641987" w:rsidP="00163E1E">
            <w:pPr>
              <w:pStyle w:val="TableText0"/>
              <w:keepNext w:val="0"/>
              <w:widowControl w:val="0"/>
              <w:spacing w:before="20" w:after="20"/>
              <w:rPr>
                <w:b/>
              </w:rPr>
            </w:pPr>
            <w:r w:rsidRPr="00116A2A">
              <w:rPr>
                <w:b/>
              </w:rPr>
              <w:t>Progression free survival</w:t>
            </w:r>
          </w:p>
        </w:tc>
      </w:tr>
      <w:tr w:rsidR="00641987" w:rsidRPr="00116A2A" w:rsidTr="00E02556">
        <w:trPr>
          <w:cantSplit/>
        </w:trPr>
        <w:tc>
          <w:tcPr>
            <w:tcW w:w="1420" w:type="pct"/>
            <w:tcBorders>
              <w:top w:val="single" w:sz="4" w:space="0" w:color="auto"/>
              <w:bottom w:val="single" w:sz="4" w:space="0" w:color="auto"/>
              <w:right w:val="single" w:sz="4" w:space="0" w:color="auto"/>
            </w:tcBorders>
          </w:tcPr>
          <w:p w:rsidR="00641987" w:rsidRPr="00116A2A" w:rsidRDefault="00641987" w:rsidP="00163E1E">
            <w:pPr>
              <w:pStyle w:val="TableText0"/>
              <w:keepNext w:val="0"/>
              <w:widowControl w:val="0"/>
              <w:spacing w:before="20" w:after="20"/>
            </w:pPr>
            <w:r w:rsidRPr="00116A2A">
              <w:t>Patients with event</w:t>
            </w:r>
          </w:p>
        </w:tc>
        <w:tc>
          <w:tcPr>
            <w:tcW w:w="827" w:type="pct"/>
            <w:tcBorders>
              <w:top w:val="single" w:sz="4" w:space="0" w:color="auto"/>
              <w:left w:val="single" w:sz="4" w:space="0" w:color="auto"/>
              <w:bottom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832" w:type="pct"/>
            <w:tcBorders>
              <w:top w:val="single" w:sz="4" w:space="0" w:color="auto"/>
              <w:left w:val="single" w:sz="4" w:space="0" w:color="auto"/>
              <w:bottom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960" w:type="pct"/>
            <w:vMerge w:val="restart"/>
            <w:tcBorders>
              <w:top w:val="single" w:sz="4" w:space="0" w:color="auto"/>
              <w:left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 '''''''''''</w:t>
            </w:r>
          </w:p>
        </w:tc>
        <w:tc>
          <w:tcPr>
            <w:tcW w:w="961" w:type="pct"/>
            <w:vMerge w:val="restart"/>
            <w:tcBorders>
              <w:top w:val="single" w:sz="4" w:space="0" w:color="auto"/>
              <w:left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 ''''''''</w:t>
            </w:r>
          </w:p>
        </w:tc>
      </w:tr>
      <w:tr w:rsidR="00641987" w:rsidRPr="00116A2A" w:rsidTr="00E02556">
        <w:trPr>
          <w:cantSplit/>
        </w:trPr>
        <w:tc>
          <w:tcPr>
            <w:tcW w:w="1420" w:type="pct"/>
            <w:tcBorders>
              <w:top w:val="single" w:sz="4" w:space="0" w:color="auto"/>
              <w:bottom w:val="nil"/>
              <w:right w:val="single" w:sz="4" w:space="0" w:color="auto"/>
            </w:tcBorders>
          </w:tcPr>
          <w:p w:rsidR="00641987" w:rsidRPr="00116A2A" w:rsidRDefault="00641987" w:rsidP="00163E1E">
            <w:pPr>
              <w:pStyle w:val="TableText0"/>
              <w:keepNext w:val="0"/>
              <w:widowControl w:val="0"/>
              <w:spacing w:before="20" w:after="20"/>
            </w:pPr>
            <w:r w:rsidRPr="00116A2A">
              <w:t>Time to event (months)</w:t>
            </w:r>
          </w:p>
        </w:tc>
        <w:tc>
          <w:tcPr>
            <w:tcW w:w="827" w:type="pct"/>
            <w:tcBorders>
              <w:top w:val="single" w:sz="4" w:space="0" w:color="auto"/>
              <w:left w:val="single" w:sz="4" w:space="0" w:color="auto"/>
              <w:bottom w:val="nil"/>
              <w:right w:val="single" w:sz="4" w:space="0" w:color="auto"/>
            </w:tcBorders>
          </w:tcPr>
          <w:p w:rsidR="00641987" w:rsidRPr="00116A2A" w:rsidRDefault="00641987" w:rsidP="00163E1E">
            <w:pPr>
              <w:pStyle w:val="TableText0"/>
              <w:keepNext w:val="0"/>
              <w:widowControl w:val="0"/>
              <w:spacing w:before="20" w:after="20"/>
              <w:jc w:val="center"/>
            </w:pPr>
          </w:p>
        </w:tc>
        <w:tc>
          <w:tcPr>
            <w:tcW w:w="832" w:type="pct"/>
            <w:tcBorders>
              <w:top w:val="single" w:sz="4" w:space="0" w:color="auto"/>
              <w:left w:val="single" w:sz="4" w:space="0" w:color="auto"/>
              <w:bottom w:val="nil"/>
              <w:right w:val="single" w:sz="4" w:space="0" w:color="auto"/>
            </w:tcBorders>
          </w:tcPr>
          <w:p w:rsidR="00641987" w:rsidRPr="00116A2A" w:rsidRDefault="00641987" w:rsidP="00163E1E">
            <w:pPr>
              <w:pStyle w:val="TableText0"/>
              <w:keepNext w:val="0"/>
              <w:widowControl w:val="0"/>
              <w:spacing w:before="20" w:after="20"/>
              <w:jc w:val="center"/>
            </w:pP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nil"/>
              <w:bottom w:val="nil"/>
              <w:right w:val="single" w:sz="4" w:space="0" w:color="auto"/>
            </w:tcBorders>
          </w:tcPr>
          <w:p w:rsidR="00641987" w:rsidRPr="00116A2A" w:rsidRDefault="00641987" w:rsidP="00163E1E">
            <w:pPr>
              <w:pStyle w:val="TableText0"/>
              <w:keepNext w:val="0"/>
              <w:widowControl w:val="0"/>
              <w:spacing w:before="20" w:after="20"/>
              <w:ind w:left="332"/>
            </w:pPr>
            <w:r w:rsidRPr="00116A2A">
              <w:t>Median</w:t>
            </w:r>
          </w:p>
        </w:tc>
        <w:tc>
          <w:tcPr>
            <w:tcW w:w="827" w:type="pct"/>
            <w:tcBorders>
              <w:top w:val="nil"/>
              <w:left w:val="single" w:sz="4" w:space="0" w:color="auto"/>
              <w:bottom w:val="nil"/>
              <w:right w:val="single" w:sz="4" w:space="0" w:color="auto"/>
            </w:tcBorders>
          </w:tcPr>
          <w:p w:rsidR="00641987" w:rsidRPr="00116A2A" w:rsidRDefault="00641987" w:rsidP="00163E1E">
            <w:pPr>
              <w:pStyle w:val="TableText0"/>
              <w:keepNext w:val="0"/>
              <w:widowControl w:val="0"/>
              <w:spacing w:before="20" w:after="20"/>
              <w:jc w:val="center"/>
            </w:pPr>
            <w:r w:rsidRPr="00116A2A">
              <w:t>8.3</w:t>
            </w:r>
          </w:p>
        </w:tc>
        <w:tc>
          <w:tcPr>
            <w:tcW w:w="832" w:type="pct"/>
            <w:tcBorders>
              <w:top w:val="nil"/>
              <w:left w:val="single" w:sz="4" w:space="0" w:color="auto"/>
              <w:bottom w:val="nil"/>
              <w:right w:val="single" w:sz="4" w:space="0" w:color="auto"/>
            </w:tcBorders>
          </w:tcPr>
          <w:p w:rsidR="00641987" w:rsidRPr="00116A2A" w:rsidRDefault="00641987" w:rsidP="00163E1E">
            <w:pPr>
              <w:pStyle w:val="TableText0"/>
              <w:keepNext w:val="0"/>
              <w:widowControl w:val="0"/>
              <w:spacing w:before="20" w:after="20"/>
              <w:jc w:val="center"/>
            </w:pPr>
            <w:r w:rsidRPr="00116A2A">
              <w:t>6.0</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nil"/>
              <w:bottom w:val="single" w:sz="4" w:space="0" w:color="auto"/>
              <w:right w:val="single" w:sz="4" w:space="0" w:color="auto"/>
            </w:tcBorders>
          </w:tcPr>
          <w:p w:rsidR="00641987" w:rsidRPr="00116A2A" w:rsidRDefault="00641987" w:rsidP="00163E1E">
            <w:pPr>
              <w:pStyle w:val="TableText0"/>
              <w:keepNext w:val="0"/>
              <w:widowControl w:val="0"/>
              <w:spacing w:before="20" w:after="20"/>
              <w:ind w:left="332"/>
            </w:pPr>
            <w:r w:rsidRPr="00116A2A">
              <w:t>95% CI for median</w:t>
            </w:r>
          </w:p>
        </w:tc>
        <w:tc>
          <w:tcPr>
            <w:tcW w:w="827" w:type="pct"/>
            <w:tcBorders>
              <w:top w:val="nil"/>
              <w:left w:val="single" w:sz="4" w:space="0" w:color="auto"/>
              <w:bottom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832" w:type="pct"/>
            <w:tcBorders>
              <w:top w:val="nil"/>
              <w:left w:val="single" w:sz="4" w:space="0" w:color="auto"/>
              <w:bottom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single" w:sz="4" w:space="0" w:color="auto"/>
              <w:bottom w:val="nil"/>
              <w:right w:val="single" w:sz="4" w:space="0" w:color="auto"/>
            </w:tcBorders>
          </w:tcPr>
          <w:p w:rsidR="00641987" w:rsidRPr="00116A2A" w:rsidRDefault="00641987" w:rsidP="00163E1E">
            <w:pPr>
              <w:pStyle w:val="TableText0"/>
              <w:keepNext w:val="0"/>
              <w:widowControl w:val="0"/>
              <w:spacing w:before="20" w:after="20"/>
              <w:ind w:left="332"/>
            </w:pPr>
            <w:r w:rsidRPr="00116A2A">
              <w:t>p-value (log-rank test)</w:t>
            </w:r>
          </w:p>
        </w:tc>
        <w:tc>
          <w:tcPr>
            <w:tcW w:w="1659" w:type="pct"/>
            <w:gridSpan w:val="2"/>
            <w:tcBorders>
              <w:top w:val="single" w:sz="4" w:space="0" w:color="auto"/>
              <w:left w:val="single" w:sz="4" w:space="0" w:color="auto"/>
              <w:bottom w:val="nil"/>
              <w:right w:val="single" w:sz="4" w:space="0" w:color="auto"/>
            </w:tcBorders>
          </w:tcPr>
          <w:p w:rsidR="00641987" w:rsidRPr="00116A2A" w:rsidRDefault="00641987" w:rsidP="00163E1E">
            <w:pPr>
              <w:pStyle w:val="TableText0"/>
              <w:keepNext w:val="0"/>
              <w:widowControl w:val="0"/>
              <w:spacing w:before="20" w:after="20"/>
              <w:jc w:val="center"/>
              <w:rPr>
                <w:b/>
              </w:rPr>
            </w:pPr>
            <w:r w:rsidRPr="00116A2A">
              <w:rPr>
                <w:b/>
              </w:rPr>
              <w:t>&lt;0.0001</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Height w:val="60"/>
        </w:trPr>
        <w:tc>
          <w:tcPr>
            <w:tcW w:w="1420" w:type="pct"/>
            <w:tcBorders>
              <w:top w:val="nil"/>
              <w:right w:val="single" w:sz="4" w:space="0" w:color="auto"/>
            </w:tcBorders>
          </w:tcPr>
          <w:p w:rsidR="00641987" w:rsidRPr="00116A2A" w:rsidRDefault="00641987" w:rsidP="00163E1E">
            <w:pPr>
              <w:pStyle w:val="TableText0"/>
              <w:keepNext w:val="0"/>
              <w:widowControl w:val="0"/>
              <w:spacing w:before="20" w:after="20"/>
              <w:ind w:left="332"/>
            </w:pPr>
            <w:r w:rsidRPr="00116A2A">
              <w:t>Hazard ratio (95% CI)</w:t>
            </w:r>
          </w:p>
        </w:tc>
        <w:tc>
          <w:tcPr>
            <w:tcW w:w="1659" w:type="pct"/>
            <w:gridSpan w:val="2"/>
            <w:tcBorders>
              <w:top w:val="nil"/>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rPr>
                <w:b/>
              </w:rPr>
            </w:pPr>
            <w:r w:rsidRPr="00116A2A">
              <w:rPr>
                <w:b/>
              </w:rPr>
              <w:t>0.66 (0.54, 0.81)</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5000" w:type="pct"/>
            <w:gridSpan w:val="5"/>
            <w:tcBorders>
              <w:bottom w:val="single" w:sz="4" w:space="0" w:color="auto"/>
              <w:right w:val="single" w:sz="4" w:space="0" w:color="auto"/>
            </w:tcBorders>
            <w:shd w:val="clear" w:color="auto" w:fill="BFBFBF" w:themeFill="background1" w:themeFillShade="BF"/>
          </w:tcPr>
          <w:p w:rsidR="00641987" w:rsidRPr="00116A2A" w:rsidRDefault="00641987" w:rsidP="00163E1E">
            <w:pPr>
              <w:pStyle w:val="TableText0"/>
              <w:keepNext w:val="0"/>
              <w:widowControl w:val="0"/>
              <w:spacing w:before="20" w:after="20"/>
              <w:rPr>
                <w:b/>
              </w:rPr>
            </w:pPr>
            <w:r w:rsidRPr="00116A2A">
              <w:rPr>
                <w:b/>
              </w:rPr>
              <w:t>Clinical cut-off 7 March 2014</w:t>
            </w:r>
          </w:p>
        </w:tc>
      </w:tr>
      <w:tr w:rsidR="00641987" w:rsidRPr="00116A2A" w:rsidTr="00E02556">
        <w:trPr>
          <w:cantSplit/>
        </w:trPr>
        <w:tc>
          <w:tcPr>
            <w:tcW w:w="5000" w:type="pct"/>
            <w:gridSpan w:val="5"/>
            <w:tcBorders>
              <w:bottom w:val="single" w:sz="4" w:space="0" w:color="auto"/>
            </w:tcBorders>
          </w:tcPr>
          <w:p w:rsidR="00641987" w:rsidRPr="00116A2A" w:rsidRDefault="00641987" w:rsidP="00163E1E">
            <w:pPr>
              <w:pStyle w:val="TableText0"/>
              <w:keepNext w:val="0"/>
              <w:widowControl w:val="0"/>
              <w:spacing w:before="20" w:after="20"/>
              <w:rPr>
                <w:b/>
              </w:rPr>
            </w:pPr>
            <w:r w:rsidRPr="00116A2A">
              <w:rPr>
                <w:b/>
              </w:rPr>
              <w:t>Overall survival</w:t>
            </w:r>
          </w:p>
        </w:tc>
      </w:tr>
      <w:tr w:rsidR="00641987" w:rsidRPr="00116A2A" w:rsidTr="00E02556">
        <w:trPr>
          <w:cantSplit/>
        </w:trPr>
        <w:tc>
          <w:tcPr>
            <w:tcW w:w="1420" w:type="pct"/>
            <w:tcBorders>
              <w:top w:val="single" w:sz="4" w:space="0" w:color="auto"/>
              <w:bottom w:val="nil"/>
            </w:tcBorders>
          </w:tcPr>
          <w:p w:rsidR="00641987" w:rsidRPr="00116A2A" w:rsidRDefault="00641987" w:rsidP="00163E1E">
            <w:pPr>
              <w:pStyle w:val="TableText0"/>
              <w:keepNext w:val="0"/>
              <w:widowControl w:val="0"/>
              <w:spacing w:before="20" w:after="20"/>
            </w:pPr>
            <w:r w:rsidRPr="00116A2A">
              <w:t>Patients with event</w:t>
            </w:r>
          </w:p>
        </w:tc>
        <w:tc>
          <w:tcPr>
            <w:tcW w:w="827" w:type="pct"/>
            <w:tcBorders>
              <w:top w:val="single" w:sz="4" w:space="0" w:color="auto"/>
              <w:bottom w:val="nil"/>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832" w:type="pct"/>
            <w:tcBorders>
              <w:top w:val="single" w:sz="4" w:space="0" w:color="auto"/>
              <w:left w:val="single" w:sz="4" w:space="0" w:color="auto"/>
              <w:bottom w:val="nil"/>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960" w:type="pct"/>
            <w:vMerge w:val="restart"/>
            <w:tcBorders>
              <w:top w:val="single" w:sz="4" w:space="0" w:color="auto"/>
              <w:left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 ''''''''''''</w:t>
            </w:r>
          </w:p>
        </w:tc>
        <w:tc>
          <w:tcPr>
            <w:tcW w:w="961" w:type="pct"/>
            <w:vMerge w:val="restart"/>
            <w:tcBorders>
              <w:top w:val="single" w:sz="4" w:space="0" w:color="auto"/>
              <w:left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 ''''''''''</w:t>
            </w:r>
          </w:p>
        </w:tc>
      </w:tr>
      <w:tr w:rsidR="00641987" w:rsidRPr="00116A2A" w:rsidTr="00E02556">
        <w:trPr>
          <w:cantSplit/>
        </w:trPr>
        <w:tc>
          <w:tcPr>
            <w:tcW w:w="1420" w:type="pct"/>
            <w:tcBorders>
              <w:bottom w:val="nil"/>
            </w:tcBorders>
          </w:tcPr>
          <w:p w:rsidR="00641987" w:rsidRPr="00116A2A" w:rsidRDefault="00641987" w:rsidP="00163E1E">
            <w:pPr>
              <w:pStyle w:val="TableText0"/>
              <w:keepNext w:val="0"/>
              <w:widowControl w:val="0"/>
              <w:spacing w:before="20" w:after="20"/>
            </w:pPr>
            <w:r w:rsidRPr="00116A2A">
              <w:t>Time to event (months)</w:t>
            </w:r>
          </w:p>
        </w:tc>
        <w:tc>
          <w:tcPr>
            <w:tcW w:w="827" w:type="pct"/>
            <w:tcBorders>
              <w:bottom w:val="nil"/>
            </w:tcBorders>
          </w:tcPr>
          <w:p w:rsidR="00641987" w:rsidRPr="00116A2A" w:rsidRDefault="00641987" w:rsidP="00163E1E">
            <w:pPr>
              <w:pStyle w:val="TableText0"/>
              <w:keepNext w:val="0"/>
              <w:widowControl w:val="0"/>
              <w:spacing w:before="20" w:after="20"/>
              <w:jc w:val="center"/>
            </w:pPr>
          </w:p>
        </w:tc>
        <w:tc>
          <w:tcPr>
            <w:tcW w:w="832" w:type="pct"/>
            <w:tcBorders>
              <w:bottom w:val="nil"/>
              <w:right w:val="single" w:sz="4" w:space="0" w:color="auto"/>
            </w:tcBorders>
          </w:tcPr>
          <w:p w:rsidR="00641987" w:rsidRPr="00116A2A" w:rsidRDefault="00641987" w:rsidP="00163E1E">
            <w:pPr>
              <w:pStyle w:val="TableText0"/>
              <w:keepNext w:val="0"/>
              <w:widowControl w:val="0"/>
              <w:spacing w:before="20" w:after="20"/>
              <w:jc w:val="center"/>
            </w:pP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nil"/>
              <w:bottom w:val="nil"/>
            </w:tcBorders>
          </w:tcPr>
          <w:p w:rsidR="00641987" w:rsidRPr="00116A2A" w:rsidRDefault="00641987" w:rsidP="00163E1E">
            <w:pPr>
              <w:pStyle w:val="TableText0"/>
              <w:keepNext w:val="0"/>
              <w:widowControl w:val="0"/>
              <w:spacing w:before="20" w:after="20"/>
              <w:ind w:left="332"/>
            </w:pPr>
            <w:r w:rsidRPr="00116A2A">
              <w:t>Median</w:t>
            </w:r>
          </w:p>
        </w:tc>
        <w:tc>
          <w:tcPr>
            <w:tcW w:w="827" w:type="pct"/>
            <w:tcBorders>
              <w:top w:val="nil"/>
              <w:bottom w:val="nil"/>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w:t>
            </w:r>
          </w:p>
        </w:tc>
        <w:tc>
          <w:tcPr>
            <w:tcW w:w="832" w:type="pct"/>
            <w:tcBorders>
              <w:top w:val="nil"/>
              <w:bottom w:val="nil"/>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nil"/>
              <w:bottom w:val="single" w:sz="4" w:space="0" w:color="auto"/>
            </w:tcBorders>
          </w:tcPr>
          <w:p w:rsidR="00641987" w:rsidRPr="00116A2A" w:rsidRDefault="00641987" w:rsidP="00163E1E">
            <w:pPr>
              <w:pStyle w:val="TableText0"/>
              <w:keepNext w:val="0"/>
              <w:widowControl w:val="0"/>
              <w:spacing w:before="20" w:after="20"/>
              <w:ind w:left="332"/>
            </w:pPr>
            <w:r w:rsidRPr="00116A2A">
              <w:t>95% CI for median</w:t>
            </w:r>
          </w:p>
        </w:tc>
        <w:tc>
          <w:tcPr>
            <w:tcW w:w="827" w:type="pct"/>
            <w:tcBorders>
              <w:top w:val="nil"/>
              <w:bottom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832" w:type="pct"/>
            <w:tcBorders>
              <w:top w:val="nil"/>
              <w:bottom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highlight w:val="black"/>
              </w:rPr>
            </w:pPr>
            <w:r>
              <w:rPr>
                <w:noProof/>
                <w:color w:val="000000"/>
                <w:highlight w:val="black"/>
              </w:rPr>
              <w:t>''''''''''''' ''''''''''''</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Pr>
        <w:tc>
          <w:tcPr>
            <w:tcW w:w="1420" w:type="pct"/>
            <w:tcBorders>
              <w:top w:val="single" w:sz="4" w:space="0" w:color="auto"/>
              <w:bottom w:val="single" w:sz="4" w:space="0" w:color="auto"/>
            </w:tcBorders>
          </w:tcPr>
          <w:p w:rsidR="00641987" w:rsidRPr="00116A2A" w:rsidRDefault="00641987" w:rsidP="00163E1E">
            <w:pPr>
              <w:pStyle w:val="TableText0"/>
              <w:keepNext w:val="0"/>
              <w:widowControl w:val="0"/>
              <w:spacing w:before="20" w:after="20"/>
              <w:ind w:left="332"/>
            </w:pPr>
            <w:r w:rsidRPr="00116A2A">
              <w:t>p-value (log-rank test)</w:t>
            </w:r>
          </w:p>
        </w:tc>
        <w:tc>
          <w:tcPr>
            <w:tcW w:w="1659" w:type="pct"/>
            <w:gridSpan w:val="2"/>
            <w:tcBorders>
              <w:top w:val="single" w:sz="4" w:space="0" w:color="auto"/>
              <w:bottom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b/>
                <w:highlight w:val="black"/>
              </w:rPr>
            </w:pPr>
            <w:r>
              <w:rPr>
                <w:b/>
                <w:noProof/>
                <w:color w:val="000000"/>
                <w:highlight w:val="black"/>
              </w:rPr>
              <w:t>'''''''''''''</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r w:rsidR="00641987" w:rsidRPr="00116A2A" w:rsidTr="00E02556">
        <w:trPr>
          <w:cantSplit/>
          <w:trHeight w:val="60"/>
        </w:trPr>
        <w:tc>
          <w:tcPr>
            <w:tcW w:w="1420" w:type="pct"/>
            <w:tcBorders>
              <w:top w:val="single" w:sz="4" w:space="0" w:color="auto"/>
            </w:tcBorders>
          </w:tcPr>
          <w:p w:rsidR="00641987" w:rsidRPr="00116A2A" w:rsidRDefault="00641987" w:rsidP="00163E1E">
            <w:pPr>
              <w:pStyle w:val="TableText0"/>
              <w:keepNext w:val="0"/>
              <w:widowControl w:val="0"/>
              <w:spacing w:before="20" w:after="20"/>
              <w:ind w:left="332"/>
            </w:pPr>
            <w:r w:rsidRPr="00116A2A">
              <w:t>Hazard ratio (95% CI)</w:t>
            </w:r>
          </w:p>
        </w:tc>
        <w:tc>
          <w:tcPr>
            <w:tcW w:w="1659" w:type="pct"/>
            <w:gridSpan w:val="2"/>
            <w:tcBorders>
              <w:top w:val="single" w:sz="4" w:space="0" w:color="auto"/>
              <w:right w:val="single" w:sz="4" w:space="0" w:color="auto"/>
            </w:tcBorders>
          </w:tcPr>
          <w:p w:rsidR="00641987" w:rsidRPr="009C70C9" w:rsidRDefault="009C70C9" w:rsidP="00163E1E">
            <w:pPr>
              <w:pStyle w:val="TableText0"/>
              <w:keepNext w:val="0"/>
              <w:widowControl w:val="0"/>
              <w:spacing w:before="20" w:after="20"/>
              <w:jc w:val="center"/>
              <w:rPr>
                <w:b/>
                <w:highlight w:val="black"/>
              </w:rPr>
            </w:pPr>
            <w:r>
              <w:rPr>
                <w:b/>
                <w:noProof/>
                <w:color w:val="000000"/>
                <w:highlight w:val="black"/>
              </w:rPr>
              <w:t>''''''''' '''''''''''' '''''''''</w:t>
            </w:r>
          </w:p>
        </w:tc>
        <w:tc>
          <w:tcPr>
            <w:tcW w:w="960"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c>
          <w:tcPr>
            <w:tcW w:w="961" w:type="pct"/>
            <w:vMerge/>
            <w:tcBorders>
              <w:left w:val="single" w:sz="4" w:space="0" w:color="auto"/>
              <w:right w:val="single" w:sz="4" w:space="0" w:color="auto"/>
            </w:tcBorders>
          </w:tcPr>
          <w:p w:rsidR="00641987" w:rsidRPr="00116A2A" w:rsidRDefault="00641987" w:rsidP="00163E1E">
            <w:pPr>
              <w:pStyle w:val="TableText0"/>
              <w:keepNext w:val="0"/>
              <w:widowControl w:val="0"/>
              <w:spacing w:before="20" w:after="20"/>
              <w:jc w:val="center"/>
            </w:pPr>
          </w:p>
        </w:tc>
      </w:tr>
    </w:tbl>
    <w:p w:rsidR="00641987" w:rsidRPr="00116A2A" w:rsidRDefault="00641987" w:rsidP="00163E1E">
      <w:pPr>
        <w:pStyle w:val="TableNotes"/>
        <w:widowControl w:val="0"/>
        <w:ind w:left="728"/>
        <w:jc w:val="both"/>
        <w:rPr>
          <w:rFonts w:ascii="Arial Narrow" w:hAnsi="Arial Narrow"/>
        </w:rPr>
      </w:pPr>
      <w:r w:rsidRPr="00116A2A">
        <w:rPr>
          <w:rFonts w:ascii="Arial Narrow" w:hAnsi="Arial Narrow"/>
        </w:rPr>
        <w:tab/>
        <w:t xml:space="preserve">ITT = intention to treat; HR = hazard ratio based on a stratified cox model; Bev = bevacizumab; Chemo = chemotherapy; CI = confidence interval. </w:t>
      </w:r>
    </w:p>
    <w:p w:rsidR="00641987" w:rsidRPr="00116A2A" w:rsidRDefault="00641987" w:rsidP="00163E1E">
      <w:pPr>
        <w:pStyle w:val="TableHeader"/>
        <w:ind w:firstLine="720"/>
      </w:pPr>
      <w:r w:rsidRPr="00116A2A">
        <w:rPr>
          <w:b w:val="0"/>
          <w:sz w:val="18"/>
          <w:szCs w:val="18"/>
        </w:rPr>
        <w:t>Source: Table ES.4, p7, Executive Summary of the submission.</w:t>
      </w:r>
    </w:p>
    <w:p w:rsidR="00641987" w:rsidRPr="00116A2A" w:rsidRDefault="00641987" w:rsidP="00641987">
      <w:pPr>
        <w:pStyle w:val="TableHeadingRow"/>
        <w:ind w:left="720"/>
        <w:rPr>
          <w:rFonts w:ascii="Arial" w:hAnsi="Arial" w:cs="Arial"/>
        </w:rPr>
      </w:pPr>
    </w:p>
    <w:p w:rsidR="00641987" w:rsidRPr="00116A2A" w:rsidRDefault="00641987" w:rsidP="00641987">
      <w:pPr>
        <w:pStyle w:val="TableHeadingRow"/>
        <w:ind w:left="720"/>
        <w:rPr>
          <w:rFonts w:ascii="Arial Narrow" w:hAnsi="Arial Narrow"/>
        </w:rPr>
      </w:pPr>
      <w:r w:rsidRPr="00116A2A">
        <w:rPr>
          <w:rFonts w:ascii="Arial Narrow" w:hAnsi="Arial Narrow" w:cs="Arial"/>
        </w:rPr>
        <w:t>Figure 1:</w:t>
      </w:r>
      <w:r w:rsidRPr="00116A2A">
        <w:rPr>
          <w:rStyle w:val="TablenameChar"/>
          <w:rFonts w:ascii="Arial Narrow" w:hAnsi="Arial Narrow" w:cs="Arial"/>
          <w:b/>
        </w:rPr>
        <w:t xml:space="preserve"> GOG</w:t>
      </w:r>
      <w:r w:rsidR="008B0EC1" w:rsidRPr="00116A2A">
        <w:rPr>
          <w:rStyle w:val="TablenameChar"/>
          <w:rFonts w:ascii="Arial Narrow" w:hAnsi="Arial Narrow"/>
          <w:b/>
          <w:lang w:val="en-AU"/>
        </w:rPr>
        <w:t xml:space="preserve"> </w:t>
      </w:r>
      <w:r w:rsidRPr="00116A2A">
        <w:rPr>
          <w:rStyle w:val="TablenameChar"/>
          <w:rFonts w:ascii="Arial Narrow" w:hAnsi="Arial Narrow"/>
          <w:b/>
        </w:rPr>
        <w:t>0240: Kaplan-Meier curve of overall survival based on updated analysis (clinical cut-off 7 March 2014)</w:t>
      </w:r>
      <w:r w:rsidR="00F72622">
        <w:rPr>
          <w:rFonts w:ascii="Arial Narrow" w:hAnsi="Arial Narrow"/>
          <w:noProof/>
          <w:lang w:eastAsia="en-AU"/>
        </w:rPr>
        <w:drawing>
          <wp:inline distT="0" distB="0" distL="0" distR="0">
            <wp:extent cx="5274945" cy="2705100"/>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945" cy="2705100"/>
                    </a:xfrm>
                    <a:prstGeom prst="rect">
                      <a:avLst/>
                    </a:prstGeom>
                  </pic:spPr>
                </pic:pic>
              </a:graphicData>
            </a:graphic>
          </wp:inline>
        </w:drawing>
      </w:r>
    </w:p>
    <w:p w:rsidR="00641987" w:rsidRPr="00116A2A" w:rsidRDefault="00641987" w:rsidP="00641987">
      <w:pPr>
        <w:pStyle w:val="TableFooter"/>
        <w:rPr>
          <w:szCs w:val="22"/>
        </w:rPr>
      </w:pPr>
      <w:r w:rsidRPr="00116A2A">
        <w:rPr>
          <w:szCs w:val="22"/>
        </w:rPr>
        <w:tab/>
        <w:t>Chemo = chemotherapy; Bv = bevacizumab.</w:t>
      </w:r>
    </w:p>
    <w:p w:rsidR="00641987" w:rsidRPr="00116A2A" w:rsidRDefault="00641987" w:rsidP="00641987">
      <w:pPr>
        <w:pStyle w:val="TableFooter"/>
        <w:ind w:firstLine="720"/>
        <w:rPr>
          <w:szCs w:val="22"/>
        </w:rPr>
      </w:pPr>
      <w:r w:rsidRPr="00116A2A">
        <w:t>Source:</w:t>
      </w:r>
      <w:r w:rsidRPr="00116A2A">
        <w:tab/>
        <w:t>GOG</w:t>
      </w:r>
      <w:r w:rsidRPr="00116A2A">
        <w:noBreakHyphen/>
        <w:t xml:space="preserve">0240 Updated </w:t>
      </w:r>
      <w:r w:rsidR="000C06EA" w:rsidRPr="00116A2A">
        <w:t>clinical study report (</w:t>
      </w:r>
      <w:r w:rsidRPr="00116A2A">
        <w:t>CSR</w:t>
      </w:r>
      <w:r w:rsidR="000C06EA" w:rsidRPr="00116A2A">
        <w:t>)</w:t>
      </w:r>
      <w:r w:rsidRPr="00116A2A">
        <w:t>, Figure 2, Page 37; Clinical Appendix</w:t>
      </w:r>
    </w:p>
    <w:p w:rsidR="00641987" w:rsidRPr="00116A2A" w:rsidRDefault="00641987" w:rsidP="00641987">
      <w:pPr>
        <w:rPr>
          <w:szCs w:val="22"/>
        </w:rPr>
      </w:pPr>
    </w:p>
    <w:p w:rsidR="00641987" w:rsidRPr="00116A2A" w:rsidRDefault="00641987" w:rsidP="00641987">
      <w:pPr>
        <w:pStyle w:val="Heading2"/>
      </w:pPr>
      <w:bookmarkStart w:id="11" w:name="_Toc430080587"/>
      <w:r w:rsidRPr="00116A2A">
        <w:t>Comparative harms</w:t>
      </w:r>
      <w:bookmarkEnd w:id="11"/>
    </w:p>
    <w:p w:rsidR="00641987" w:rsidRPr="00116A2A" w:rsidRDefault="00641987" w:rsidP="00641987">
      <w:pPr>
        <w:ind w:left="720" w:hanging="720"/>
        <w:rPr>
          <w:szCs w:val="22"/>
        </w:rPr>
      </w:pPr>
    </w:p>
    <w:p w:rsidR="00641987" w:rsidRPr="00116A2A" w:rsidRDefault="00641987" w:rsidP="008F0074">
      <w:pPr>
        <w:pStyle w:val="ListParagraph"/>
        <w:widowControl/>
        <w:numPr>
          <w:ilvl w:val="1"/>
          <w:numId w:val="6"/>
        </w:numPr>
        <w:rPr>
          <w:szCs w:val="22"/>
        </w:rPr>
      </w:pPr>
      <w:r w:rsidRPr="00116A2A">
        <w:t xml:space="preserve">The overall safety data from GOG 0240, </w:t>
      </w:r>
      <w:r w:rsidR="000C06EA" w:rsidRPr="00116A2A">
        <w:t>between the bevacizumab and non-bevacizumab treatment arms</w:t>
      </w:r>
      <w:r w:rsidRPr="00116A2A">
        <w:t>, are summarised in Table 4 below. The proportions of patients experiencing Grade ≥3 adverse events (AEs), serious AEs (SAEs) and adverse events of special interest (AESI) in the bevacizumab plus chemotherapy arm were substantially higher than the chemotherapy alone arm.</w:t>
      </w:r>
      <w:r w:rsidR="00163E1E" w:rsidRPr="00116A2A">
        <w:t xml:space="preserve"> </w:t>
      </w:r>
      <w:r w:rsidRPr="00116A2A">
        <w:t>Key differences in Grade ≥3 AEs, between the bevacizumab and non-bevacizumab treatment arms, mainly related to gastrointestinal and vascular disorders</w:t>
      </w:r>
      <w:r w:rsidR="00B06CC3" w:rsidRPr="00116A2A">
        <w:t xml:space="preserve"> (gastrointestinal perforations, hypertension and thromboembolic events)</w:t>
      </w:r>
      <w:r w:rsidRPr="00116A2A">
        <w:t>.</w:t>
      </w:r>
    </w:p>
    <w:p w:rsidR="00641987" w:rsidRPr="00116A2A" w:rsidRDefault="00641987" w:rsidP="00641987">
      <w:pPr>
        <w:pStyle w:val="ListParagraph"/>
        <w:widowControl/>
        <w:rPr>
          <w:szCs w:val="22"/>
        </w:rPr>
      </w:pPr>
    </w:p>
    <w:p w:rsidR="00641987" w:rsidRPr="00116A2A" w:rsidRDefault="00641987" w:rsidP="008F0074">
      <w:pPr>
        <w:pStyle w:val="ListParagraph"/>
        <w:widowControl/>
        <w:numPr>
          <w:ilvl w:val="1"/>
          <w:numId w:val="6"/>
        </w:numPr>
        <w:rPr>
          <w:szCs w:val="22"/>
        </w:rPr>
      </w:pPr>
      <w:r w:rsidRPr="00116A2A">
        <w:t xml:space="preserve">Interpretation of these safety data should consider that the trial population enrolled patients who had a minimal risk to the </w:t>
      </w:r>
      <w:r w:rsidR="00DE3F04" w:rsidRPr="00116A2A">
        <w:t xml:space="preserve">randomised </w:t>
      </w:r>
      <w:r w:rsidRPr="00116A2A">
        <w:t>trial treatments</w:t>
      </w:r>
      <w:r w:rsidR="00DE3F04" w:rsidRPr="00116A2A">
        <w:t>.</w:t>
      </w:r>
    </w:p>
    <w:p w:rsidR="00641987" w:rsidRPr="00116A2A" w:rsidRDefault="00641987" w:rsidP="00641987">
      <w:pPr>
        <w:pStyle w:val="ListParagraph"/>
        <w:ind w:left="0"/>
        <w:rPr>
          <w:szCs w:val="22"/>
        </w:rPr>
      </w:pPr>
    </w:p>
    <w:p w:rsidR="00641987" w:rsidRPr="00116A2A" w:rsidRDefault="00641987" w:rsidP="00641987">
      <w:pPr>
        <w:pStyle w:val="TableHeader"/>
        <w:keepNext/>
        <w:ind w:firstLine="720"/>
        <w:rPr>
          <w:szCs w:val="22"/>
        </w:rPr>
      </w:pPr>
      <w:r w:rsidRPr="00116A2A">
        <w:lastRenderedPageBreak/>
        <w:t>Table 4: Overview of a</w:t>
      </w:r>
      <w:r w:rsidR="008B0EC1" w:rsidRPr="00116A2A">
        <w:t xml:space="preserve">dverse events and deaths in GOG </w:t>
      </w:r>
      <w:r w:rsidRPr="00116A2A">
        <w:t xml:space="preserve">0240 – Primary safety analysis (safety population) </w:t>
      </w:r>
    </w:p>
    <w:tbl>
      <w:tblPr>
        <w:tblW w:w="4557" w:type="pct"/>
        <w:tblInd w:w="822" w:type="dxa"/>
        <w:tblLook w:val="0000" w:firstRow="0" w:lastRow="0" w:firstColumn="0" w:lastColumn="0" w:noHBand="0" w:noVBand="0"/>
      </w:tblPr>
      <w:tblGrid>
        <w:gridCol w:w="2992"/>
        <w:gridCol w:w="1602"/>
        <w:gridCol w:w="1540"/>
        <w:gridCol w:w="2289"/>
      </w:tblGrid>
      <w:tr w:rsidR="00641987" w:rsidRPr="00116A2A" w:rsidTr="00E02556">
        <w:trPr>
          <w:cantSplit/>
          <w:trHeight w:val="70"/>
          <w:tblHeader/>
        </w:trPr>
        <w:tc>
          <w:tcPr>
            <w:tcW w:w="1776" w:type="pct"/>
            <w:vMerge w:val="restart"/>
            <w:tcBorders>
              <w:top w:val="single" w:sz="4" w:space="0" w:color="auto"/>
              <w:left w:val="single" w:sz="4" w:space="0" w:color="auto"/>
              <w:right w:val="single" w:sz="4" w:space="0" w:color="auto"/>
            </w:tcBorders>
            <w:vAlign w:val="center"/>
          </w:tcPr>
          <w:p w:rsidR="00641987" w:rsidRPr="00116A2A" w:rsidRDefault="00641987" w:rsidP="00E02556">
            <w:pPr>
              <w:pStyle w:val="TableHeadingRow"/>
              <w:rPr>
                <w:rFonts w:ascii="Arial Narrow" w:hAnsi="Arial Narrow"/>
              </w:rPr>
            </w:pPr>
            <w:r w:rsidRPr="00116A2A">
              <w:rPr>
                <w:rFonts w:ascii="Arial Narrow" w:hAnsi="Arial Narrow"/>
              </w:rPr>
              <w:t>Adverse event</w:t>
            </w:r>
          </w:p>
        </w:tc>
        <w:tc>
          <w:tcPr>
            <w:tcW w:w="1865" w:type="pct"/>
            <w:gridSpan w:val="2"/>
            <w:tcBorders>
              <w:top w:val="single" w:sz="4" w:space="0" w:color="auto"/>
              <w:left w:val="nil"/>
              <w:bottom w:val="single" w:sz="4" w:space="0" w:color="auto"/>
              <w:right w:val="single" w:sz="4" w:space="0" w:color="auto"/>
            </w:tcBorders>
            <w:vAlign w:val="center"/>
          </w:tcPr>
          <w:p w:rsidR="00641987" w:rsidRPr="00116A2A" w:rsidRDefault="00641987" w:rsidP="00E02556">
            <w:pPr>
              <w:pStyle w:val="TableHeadingRow"/>
              <w:jc w:val="center"/>
              <w:rPr>
                <w:rFonts w:ascii="Arial Narrow" w:hAnsi="Arial Narrow"/>
              </w:rPr>
            </w:pPr>
            <w:r w:rsidRPr="00116A2A">
              <w:rPr>
                <w:rFonts w:ascii="Arial Narrow" w:hAnsi="Arial Narrow"/>
              </w:rPr>
              <w:t>Number of patients (%)</w:t>
            </w:r>
          </w:p>
        </w:tc>
        <w:tc>
          <w:tcPr>
            <w:tcW w:w="1359" w:type="pct"/>
            <w:vMerge w:val="restart"/>
            <w:tcBorders>
              <w:top w:val="single" w:sz="4" w:space="0" w:color="auto"/>
              <w:left w:val="single" w:sz="4" w:space="0" w:color="auto"/>
              <w:right w:val="single" w:sz="4" w:space="0" w:color="auto"/>
            </w:tcBorders>
            <w:vAlign w:val="center"/>
          </w:tcPr>
          <w:p w:rsidR="00641987" w:rsidRPr="00116A2A" w:rsidRDefault="00641987" w:rsidP="00E02556">
            <w:pPr>
              <w:pStyle w:val="TableHeadingRow"/>
              <w:jc w:val="center"/>
              <w:rPr>
                <w:rFonts w:ascii="Arial Narrow" w:hAnsi="Arial Narrow"/>
              </w:rPr>
            </w:pPr>
            <w:r w:rsidRPr="00116A2A">
              <w:rPr>
                <w:rFonts w:ascii="Arial Narrow" w:hAnsi="Arial Narrow"/>
              </w:rPr>
              <w:t>Relative risk (95% CI)</w:t>
            </w:r>
          </w:p>
          <w:p w:rsidR="00641987" w:rsidRPr="00116A2A" w:rsidRDefault="00641987" w:rsidP="00E02556">
            <w:pPr>
              <w:pStyle w:val="TableHeadingRow"/>
              <w:jc w:val="center"/>
              <w:rPr>
                <w:rFonts w:ascii="Arial Narrow" w:hAnsi="Arial Narrow"/>
              </w:rPr>
            </w:pPr>
            <w:r w:rsidRPr="00116A2A">
              <w:rPr>
                <w:rFonts w:ascii="Arial Narrow" w:hAnsi="Arial Narrow"/>
              </w:rPr>
              <w:t>(Bev + Chemo</w:t>
            </w:r>
          </w:p>
          <w:p w:rsidR="00641987" w:rsidRPr="00116A2A" w:rsidRDefault="00641987" w:rsidP="00E02556">
            <w:pPr>
              <w:pStyle w:val="TableHeadingRow"/>
              <w:jc w:val="center"/>
              <w:rPr>
                <w:rFonts w:ascii="Arial Narrow" w:hAnsi="Arial Narrow"/>
              </w:rPr>
            </w:pPr>
            <w:r w:rsidRPr="00116A2A">
              <w:rPr>
                <w:rFonts w:ascii="Arial Narrow" w:hAnsi="Arial Narrow"/>
              </w:rPr>
              <w:t xml:space="preserve"> vs. Chemo alone)</w:t>
            </w:r>
          </w:p>
        </w:tc>
      </w:tr>
      <w:tr w:rsidR="00641987" w:rsidRPr="00116A2A" w:rsidTr="00E02556">
        <w:trPr>
          <w:trHeight w:val="70"/>
          <w:tblHeader/>
        </w:trPr>
        <w:tc>
          <w:tcPr>
            <w:tcW w:w="1776" w:type="pct"/>
            <w:vMerge/>
            <w:tcBorders>
              <w:left w:val="single" w:sz="4" w:space="0" w:color="auto"/>
              <w:bottom w:val="single" w:sz="4" w:space="0" w:color="auto"/>
              <w:right w:val="single" w:sz="4" w:space="0" w:color="auto"/>
            </w:tcBorders>
            <w:vAlign w:val="center"/>
          </w:tcPr>
          <w:p w:rsidR="00641987" w:rsidRPr="00116A2A" w:rsidRDefault="00641987" w:rsidP="00E02556">
            <w:pPr>
              <w:pStyle w:val="TableText0"/>
            </w:pPr>
          </w:p>
        </w:tc>
        <w:tc>
          <w:tcPr>
            <w:tcW w:w="951" w:type="pct"/>
            <w:tcBorders>
              <w:top w:val="single" w:sz="4" w:space="0" w:color="auto"/>
              <w:left w:val="nil"/>
              <w:bottom w:val="single" w:sz="4" w:space="0" w:color="auto"/>
              <w:right w:val="single" w:sz="4" w:space="0" w:color="auto"/>
            </w:tcBorders>
            <w:vAlign w:val="center"/>
          </w:tcPr>
          <w:p w:rsidR="00641987" w:rsidRPr="00116A2A" w:rsidRDefault="00641987" w:rsidP="00E02556">
            <w:pPr>
              <w:pStyle w:val="TableHeadingRow"/>
              <w:jc w:val="center"/>
              <w:rPr>
                <w:rFonts w:ascii="Arial Narrow" w:hAnsi="Arial Narrow"/>
              </w:rPr>
            </w:pPr>
            <w:r w:rsidRPr="00116A2A">
              <w:rPr>
                <w:rFonts w:ascii="Arial Narrow" w:hAnsi="Arial Narrow"/>
              </w:rPr>
              <w:t>Bev + Chemo</w:t>
            </w:r>
          </w:p>
          <w:p w:rsidR="00641987" w:rsidRPr="00116A2A" w:rsidRDefault="00641987" w:rsidP="00E02556">
            <w:pPr>
              <w:pStyle w:val="TableHeadingRow"/>
              <w:jc w:val="center"/>
              <w:rPr>
                <w:rFonts w:ascii="Arial Narrow" w:hAnsi="Arial Narrow"/>
              </w:rPr>
            </w:pPr>
            <w:r w:rsidRPr="00116A2A">
              <w:rPr>
                <w:rFonts w:ascii="Arial Narrow" w:hAnsi="Arial Narrow"/>
              </w:rPr>
              <w:t xml:space="preserve">N=218 </w:t>
            </w:r>
          </w:p>
        </w:tc>
        <w:tc>
          <w:tcPr>
            <w:tcW w:w="913" w:type="pct"/>
            <w:tcBorders>
              <w:top w:val="single" w:sz="4" w:space="0" w:color="auto"/>
              <w:left w:val="nil"/>
              <w:bottom w:val="single" w:sz="4" w:space="0" w:color="auto"/>
              <w:right w:val="single" w:sz="4" w:space="0" w:color="auto"/>
            </w:tcBorders>
            <w:vAlign w:val="center"/>
          </w:tcPr>
          <w:p w:rsidR="00641987" w:rsidRPr="00116A2A" w:rsidRDefault="00641987" w:rsidP="00E02556">
            <w:pPr>
              <w:pStyle w:val="TableHeadingRow"/>
              <w:jc w:val="center"/>
              <w:rPr>
                <w:rFonts w:ascii="Arial Narrow" w:hAnsi="Arial Narrow"/>
              </w:rPr>
            </w:pPr>
            <w:r w:rsidRPr="00116A2A">
              <w:rPr>
                <w:rFonts w:ascii="Arial Narrow" w:hAnsi="Arial Narrow"/>
              </w:rPr>
              <w:t>Chemo alone</w:t>
            </w:r>
            <w:r w:rsidRPr="00116A2A">
              <w:rPr>
                <w:rFonts w:ascii="Arial Narrow" w:hAnsi="Arial Narrow"/>
              </w:rPr>
              <w:br/>
              <w:t>N=222</w:t>
            </w:r>
          </w:p>
        </w:tc>
        <w:tc>
          <w:tcPr>
            <w:tcW w:w="1359" w:type="pct"/>
            <w:vMerge/>
            <w:tcBorders>
              <w:left w:val="single" w:sz="4" w:space="0" w:color="auto"/>
              <w:bottom w:val="single" w:sz="4" w:space="0" w:color="auto"/>
              <w:right w:val="single" w:sz="4" w:space="0" w:color="auto"/>
            </w:tcBorders>
            <w:vAlign w:val="center"/>
          </w:tcPr>
          <w:p w:rsidR="00641987" w:rsidRPr="00116A2A" w:rsidRDefault="00641987" w:rsidP="00E02556">
            <w:pPr>
              <w:pStyle w:val="TableText0"/>
            </w:pPr>
          </w:p>
        </w:tc>
      </w:tr>
      <w:tr w:rsidR="00641987" w:rsidRPr="00116A2A" w:rsidTr="00E025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4"/>
            <w:tcBorders>
              <w:bottom w:val="nil"/>
              <w:right w:val="single" w:sz="4" w:space="0" w:color="auto"/>
            </w:tcBorders>
          </w:tcPr>
          <w:p w:rsidR="00641987" w:rsidRPr="00116A2A" w:rsidRDefault="00641987" w:rsidP="00E02556">
            <w:pPr>
              <w:pStyle w:val="TableText0"/>
            </w:pPr>
            <w:r w:rsidRPr="00116A2A">
              <w:t xml:space="preserve">Clinical </w:t>
            </w:r>
            <w:r w:rsidR="00163E1E" w:rsidRPr="00116A2A">
              <w:t>cut-off</w:t>
            </w:r>
            <w:r w:rsidRPr="00116A2A">
              <w:t xml:space="preserve"> 12 December 2012</w:t>
            </w:r>
          </w:p>
        </w:tc>
      </w:tr>
      <w:tr w:rsidR="00641987" w:rsidRPr="00116A2A" w:rsidTr="00E02556">
        <w:trPr>
          <w:trHeight w:val="247"/>
        </w:trPr>
        <w:tc>
          <w:tcPr>
            <w:tcW w:w="1776" w:type="pct"/>
            <w:tcBorders>
              <w:top w:val="single" w:sz="4" w:space="0" w:color="auto"/>
              <w:left w:val="single" w:sz="4" w:space="0" w:color="auto"/>
              <w:right w:val="single" w:sz="4" w:space="0" w:color="auto"/>
            </w:tcBorders>
          </w:tcPr>
          <w:p w:rsidR="00641987" w:rsidRPr="00116A2A" w:rsidRDefault="00641987" w:rsidP="00E02556">
            <w:pPr>
              <w:pStyle w:val="TableText0"/>
            </w:pPr>
            <w:r w:rsidRPr="00116A2A">
              <w:t>Any adverse event</w:t>
            </w:r>
          </w:p>
        </w:tc>
        <w:tc>
          <w:tcPr>
            <w:tcW w:w="951" w:type="pct"/>
            <w:tcBorders>
              <w:top w:val="single" w:sz="4" w:space="0" w:color="auto"/>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top w:val="single" w:sz="4" w:space="0" w:color="auto"/>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top w:val="single" w:sz="4" w:space="0" w:color="auto"/>
              <w:left w:val="single" w:sz="4" w:space="0" w:color="auto"/>
              <w:right w:val="single" w:sz="4" w:space="0" w:color="auto"/>
            </w:tcBorders>
            <w:vAlign w:val="center"/>
          </w:tcPr>
          <w:p w:rsidR="00641987" w:rsidRPr="009C70C9" w:rsidRDefault="009C70C9" w:rsidP="00E02556">
            <w:pPr>
              <w:pStyle w:val="TableText0"/>
              <w:jc w:val="center"/>
              <w:rPr>
                <w:highlight w:val="black"/>
              </w:rPr>
            </w:pPr>
            <w:r>
              <w:rPr>
                <w:noProof/>
                <w:color w:val="000000"/>
                <w:highlight w:val="black"/>
              </w:rPr>
              <w:t>''''''' '''''''''''' '''''''''</w:t>
            </w:r>
          </w:p>
        </w:tc>
      </w:tr>
      <w:tr w:rsidR="00641987" w:rsidRPr="00116A2A" w:rsidTr="00E02556">
        <w:tc>
          <w:tcPr>
            <w:tcW w:w="1776" w:type="pct"/>
            <w:tcBorders>
              <w:left w:val="single" w:sz="4" w:space="0" w:color="auto"/>
              <w:right w:val="single" w:sz="4" w:space="0" w:color="auto"/>
            </w:tcBorders>
          </w:tcPr>
          <w:p w:rsidR="00641987" w:rsidRPr="00116A2A" w:rsidRDefault="00641987" w:rsidP="00E02556">
            <w:pPr>
              <w:pStyle w:val="TableText0"/>
            </w:pPr>
            <w:r w:rsidRPr="00116A2A">
              <w:t xml:space="preserve">Grade </w:t>
            </w:r>
            <w:r w:rsidRPr="00116A2A">
              <w:sym w:font="Symbol" w:char="F0B3"/>
            </w:r>
            <w:r w:rsidRPr="00116A2A">
              <w:t>3 adverse events</w:t>
            </w:r>
          </w:p>
        </w:tc>
        <w:tc>
          <w:tcPr>
            <w:tcW w:w="951"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left w:val="single" w:sz="4" w:space="0" w:color="auto"/>
              <w:right w:val="single" w:sz="4" w:space="0" w:color="auto"/>
            </w:tcBorders>
            <w:vAlign w:val="center"/>
          </w:tcPr>
          <w:p w:rsidR="00641987" w:rsidRPr="009C70C9" w:rsidRDefault="009C70C9" w:rsidP="00E02556">
            <w:pPr>
              <w:pStyle w:val="TableText0"/>
              <w:jc w:val="center"/>
              <w:rPr>
                <w:b/>
                <w:highlight w:val="black"/>
              </w:rPr>
            </w:pPr>
            <w:r>
              <w:rPr>
                <w:b/>
                <w:noProof/>
                <w:color w:val="000000"/>
                <w:highlight w:val="black"/>
              </w:rPr>
              <w:t>''''''' ''''''''' ''''''''</w:t>
            </w:r>
          </w:p>
        </w:tc>
      </w:tr>
      <w:tr w:rsidR="00641987" w:rsidRPr="00116A2A" w:rsidTr="00E02556">
        <w:tc>
          <w:tcPr>
            <w:tcW w:w="1776" w:type="pct"/>
            <w:tcBorders>
              <w:left w:val="single" w:sz="4" w:space="0" w:color="auto"/>
              <w:right w:val="single" w:sz="4" w:space="0" w:color="auto"/>
            </w:tcBorders>
          </w:tcPr>
          <w:p w:rsidR="00641987" w:rsidRPr="00116A2A" w:rsidRDefault="00641987" w:rsidP="00E02556">
            <w:pPr>
              <w:pStyle w:val="TableText0"/>
            </w:pPr>
            <w:r w:rsidRPr="00116A2A">
              <w:t>Serious adverse events</w:t>
            </w:r>
          </w:p>
        </w:tc>
        <w:tc>
          <w:tcPr>
            <w:tcW w:w="951"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left w:val="single" w:sz="4" w:space="0" w:color="auto"/>
              <w:right w:val="single" w:sz="4" w:space="0" w:color="auto"/>
            </w:tcBorders>
            <w:vAlign w:val="center"/>
          </w:tcPr>
          <w:p w:rsidR="00641987" w:rsidRPr="009C70C9" w:rsidRDefault="009C70C9" w:rsidP="00E02556">
            <w:pPr>
              <w:pStyle w:val="TableText0"/>
              <w:jc w:val="center"/>
              <w:rPr>
                <w:b/>
                <w:highlight w:val="black"/>
              </w:rPr>
            </w:pPr>
            <w:r>
              <w:rPr>
                <w:b/>
                <w:noProof/>
                <w:color w:val="000000"/>
                <w:highlight w:val="black"/>
              </w:rPr>
              <w:t>'''''' '''''''' ''''''''</w:t>
            </w:r>
          </w:p>
        </w:tc>
      </w:tr>
      <w:tr w:rsidR="00641987" w:rsidRPr="00116A2A" w:rsidTr="00E02556">
        <w:tc>
          <w:tcPr>
            <w:tcW w:w="1776" w:type="pct"/>
            <w:tcBorders>
              <w:left w:val="single" w:sz="4" w:space="0" w:color="auto"/>
              <w:right w:val="single" w:sz="4" w:space="0" w:color="auto"/>
            </w:tcBorders>
          </w:tcPr>
          <w:p w:rsidR="00641987" w:rsidRPr="00116A2A" w:rsidRDefault="00641987" w:rsidP="00E02556">
            <w:pPr>
              <w:pStyle w:val="TableText0"/>
            </w:pPr>
            <w:r w:rsidRPr="00116A2A">
              <w:t>Adverse events leading to discontinuation</w:t>
            </w:r>
          </w:p>
        </w:tc>
        <w:tc>
          <w:tcPr>
            <w:tcW w:w="951"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left w:val="single" w:sz="4" w:space="0" w:color="auto"/>
              <w:right w:val="single" w:sz="4" w:space="0" w:color="auto"/>
            </w:tcBorders>
            <w:vAlign w:val="center"/>
          </w:tcPr>
          <w:p w:rsidR="00641987" w:rsidRPr="009C70C9" w:rsidRDefault="009C70C9" w:rsidP="00E02556">
            <w:pPr>
              <w:pStyle w:val="TableText0"/>
              <w:jc w:val="center"/>
              <w:rPr>
                <w:highlight w:val="black"/>
              </w:rPr>
            </w:pPr>
            <w:r>
              <w:rPr>
                <w:noProof/>
                <w:color w:val="000000"/>
                <w:highlight w:val="black"/>
              </w:rPr>
              <w:t>'''''''' ''''''''''' ''''''''</w:t>
            </w:r>
          </w:p>
        </w:tc>
      </w:tr>
      <w:tr w:rsidR="00641987" w:rsidRPr="00116A2A" w:rsidTr="00E02556">
        <w:tc>
          <w:tcPr>
            <w:tcW w:w="1776" w:type="pct"/>
            <w:tcBorders>
              <w:top w:val="single" w:sz="4" w:space="0" w:color="auto"/>
              <w:left w:val="single" w:sz="4" w:space="0" w:color="auto"/>
              <w:right w:val="single" w:sz="4" w:space="0" w:color="auto"/>
            </w:tcBorders>
          </w:tcPr>
          <w:p w:rsidR="00641987" w:rsidRPr="00116A2A" w:rsidRDefault="00641987" w:rsidP="00E02556">
            <w:pPr>
              <w:pStyle w:val="TableText0"/>
            </w:pPr>
            <w:r w:rsidRPr="00116A2A">
              <w:t>Adverse events leading to death</w:t>
            </w:r>
          </w:p>
        </w:tc>
        <w:tc>
          <w:tcPr>
            <w:tcW w:w="951" w:type="pct"/>
            <w:tcBorders>
              <w:top w:val="single" w:sz="4" w:space="0" w:color="auto"/>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top w:val="single" w:sz="4" w:space="0" w:color="auto"/>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top w:val="single" w:sz="4" w:space="0" w:color="auto"/>
              <w:left w:val="single" w:sz="4" w:space="0" w:color="auto"/>
              <w:right w:val="single" w:sz="4" w:space="0" w:color="auto"/>
            </w:tcBorders>
            <w:vAlign w:val="center"/>
          </w:tcPr>
          <w:p w:rsidR="00641987" w:rsidRPr="009C70C9" w:rsidRDefault="009C70C9" w:rsidP="00E02556">
            <w:pPr>
              <w:pStyle w:val="TableText0"/>
              <w:jc w:val="center"/>
              <w:rPr>
                <w:highlight w:val="black"/>
              </w:rPr>
            </w:pPr>
            <w:r>
              <w:rPr>
                <w:noProof/>
                <w:color w:val="000000"/>
                <w:highlight w:val="black"/>
              </w:rPr>
              <w:t>''''''''' '''''''''' '''''''''</w:t>
            </w:r>
          </w:p>
        </w:tc>
      </w:tr>
      <w:tr w:rsidR="00641987" w:rsidRPr="00116A2A" w:rsidTr="00E02556">
        <w:tc>
          <w:tcPr>
            <w:tcW w:w="1776" w:type="pct"/>
            <w:tcBorders>
              <w:left w:val="single" w:sz="4" w:space="0" w:color="auto"/>
              <w:right w:val="single" w:sz="4" w:space="0" w:color="auto"/>
            </w:tcBorders>
          </w:tcPr>
          <w:p w:rsidR="00641987" w:rsidRPr="00116A2A" w:rsidRDefault="00641987" w:rsidP="00E02556">
            <w:pPr>
              <w:pStyle w:val="TableText0"/>
            </w:pPr>
            <w:r w:rsidRPr="00116A2A">
              <w:t>Total deaths</w:t>
            </w:r>
          </w:p>
        </w:tc>
        <w:tc>
          <w:tcPr>
            <w:tcW w:w="951"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left w:val="single" w:sz="4" w:space="0" w:color="auto"/>
              <w:right w:val="single" w:sz="4" w:space="0" w:color="auto"/>
            </w:tcBorders>
            <w:vAlign w:val="center"/>
          </w:tcPr>
          <w:p w:rsidR="00641987" w:rsidRPr="009C70C9" w:rsidRDefault="009C70C9" w:rsidP="00E02556">
            <w:pPr>
              <w:pStyle w:val="TableText0"/>
              <w:jc w:val="center"/>
              <w:rPr>
                <w:highlight w:val="black"/>
              </w:rPr>
            </w:pPr>
            <w:r>
              <w:rPr>
                <w:noProof/>
                <w:color w:val="000000"/>
                <w:highlight w:val="black"/>
              </w:rPr>
              <w:t>'''''''' ''''''''''' ''''''''''</w:t>
            </w:r>
          </w:p>
        </w:tc>
      </w:tr>
      <w:tr w:rsidR="00641987" w:rsidRPr="00116A2A" w:rsidTr="00E02556">
        <w:tc>
          <w:tcPr>
            <w:tcW w:w="1776" w:type="pct"/>
            <w:tcBorders>
              <w:left w:val="single" w:sz="4" w:space="0" w:color="auto"/>
              <w:bottom w:val="single" w:sz="4" w:space="0" w:color="auto"/>
              <w:right w:val="single" w:sz="4" w:space="0" w:color="auto"/>
            </w:tcBorders>
          </w:tcPr>
          <w:p w:rsidR="00641987" w:rsidRPr="00116A2A" w:rsidRDefault="00641987" w:rsidP="00E02556">
            <w:pPr>
              <w:pStyle w:val="TableText0"/>
            </w:pPr>
            <w:r w:rsidRPr="00116A2A">
              <w:t>Treatment-related deaths</w:t>
            </w:r>
          </w:p>
        </w:tc>
        <w:tc>
          <w:tcPr>
            <w:tcW w:w="951" w:type="pct"/>
            <w:tcBorders>
              <w:left w:val="nil"/>
              <w:bottom w:val="single" w:sz="4" w:space="0" w:color="auto"/>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left w:val="nil"/>
              <w:bottom w:val="single" w:sz="4" w:space="0" w:color="auto"/>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left w:val="single" w:sz="4" w:space="0" w:color="auto"/>
              <w:bottom w:val="single" w:sz="4" w:space="0" w:color="auto"/>
              <w:right w:val="single" w:sz="4" w:space="0" w:color="auto"/>
            </w:tcBorders>
            <w:vAlign w:val="center"/>
          </w:tcPr>
          <w:p w:rsidR="00641987" w:rsidRPr="009C70C9" w:rsidRDefault="009C70C9" w:rsidP="00E02556">
            <w:pPr>
              <w:pStyle w:val="TableText0"/>
              <w:jc w:val="center"/>
              <w:rPr>
                <w:highlight w:val="black"/>
              </w:rPr>
            </w:pPr>
            <w:r>
              <w:rPr>
                <w:noProof/>
                <w:color w:val="000000"/>
                <w:highlight w:val="black"/>
              </w:rPr>
              <w:t>''''''''' '''''''''' '''''''''''</w:t>
            </w:r>
          </w:p>
        </w:tc>
      </w:tr>
      <w:tr w:rsidR="00641987" w:rsidRPr="00116A2A" w:rsidTr="00E02556">
        <w:tc>
          <w:tcPr>
            <w:tcW w:w="1776" w:type="pct"/>
            <w:tcBorders>
              <w:top w:val="single" w:sz="4" w:space="0" w:color="auto"/>
              <w:left w:val="single" w:sz="4" w:space="0" w:color="auto"/>
              <w:right w:val="single" w:sz="4" w:space="0" w:color="auto"/>
            </w:tcBorders>
          </w:tcPr>
          <w:p w:rsidR="00641987" w:rsidRPr="00116A2A" w:rsidRDefault="00641987" w:rsidP="00E02556">
            <w:pPr>
              <w:pStyle w:val="TableText0"/>
            </w:pPr>
            <w:r w:rsidRPr="00116A2A">
              <w:t>AESI</w:t>
            </w:r>
          </w:p>
        </w:tc>
        <w:tc>
          <w:tcPr>
            <w:tcW w:w="951" w:type="pct"/>
            <w:tcBorders>
              <w:top w:val="single" w:sz="4" w:space="0" w:color="auto"/>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top w:val="single" w:sz="4" w:space="0" w:color="auto"/>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top w:val="single" w:sz="4" w:space="0" w:color="auto"/>
              <w:left w:val="single" w:sz="4" w:space="0" w:color="auto"/>
              <w:right w:val="single" w:sz="4" w:space="0" w:color="auto"/>
            </w:tcBorders>
          </w:tcPr>
          <w:p w:rsidR="00641987" w:rsidRPr="009C70C9" w:rsidRDefault="009C70C9" w:rsidP="00E02556">
            <w:pPr>
              <w:pStyle w:val="TableText0"/>
              <w:jc w:val="center"/>
              <w:rPr>
                <w:b/>
                <w:highlight w:val="black"/>
              </w:rPr>
            </w:pPr>
            <w:r>
              <w:rPr>
                <w:b/>
                <w:noProof/>
                <w:color w:val="000000"/>
                <w:highlight w:val="black"/>
              </w:rPr>
              <w:t>''''''' ''''''''' '''''''</w:t>
            </w:r>
          </w:p>
        </w:tc>
      </w:tr>
      <w:tr w:rsidR="00641987" w:rsidRPr="00116A2A" w:rsidTr="00E02556">
        <w:tc>
          <w:tcPr>
            <w:tcW w:w="1776" w:type="pct"/>
            <w:tcBorders>
              <w:left w:val="single" w:sz="4" w:space="0" w:color="auto"/>
              <w:right w:val="single" w:sz="4" w:space="0" w:color="auto"/>
            </w:tcBorders>
          </w:tcPr>
          <w:p w:rsidR="00641987" w:rsidRPr="00116A2A" w:rsidRDefault="00641987" w:rsidP="00E02556">
            <w:pPr>
              <w:pStyle w:val="TableText0"/>
            </w:pPr>
            <w:r w:rsidRPr="00116A2A">
              <w:t>AESI Grade 3/4/5</w:t>
            </w:r>
          </w:p>
        </w:tc>
        <w:tc>
          <w:tcPr>
            <w:tcW w:w="951"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left w:val="nil"/>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left w:val="single" w:sz="4" w:space="0" w:color="auto"/>
              <w:right w:val="single" w:sz="4" w:space="0" w:color="auto"/>
            </w:tcBorders>
          </w:tcPr>
          <w:p w:rsidR="00641987" w:rsidRPr="009C70C9" w:rsidRDefault="009C70C9" w:rsidP="00E02556">
            <w:pPr>
              <w:pStyle w:val="TableText0"/>
              <w:jc w:val="center"/>
              <w:rPr>
                <w:b/>
                <w:highlight w:val="black"/>
              </w:rPr>
            </w:pPr>
            <w:r>
              <w:rPr>
                <w:b/>
                <w:noProof/>
                <w:color w:val="000000"/>
                <w:highlight w:val="black"/>
              </w:rPr>
              <w:t>'''''' ''''''''' '''''''</w:t>
            </w:r>
          </w:p>
        </w:tc>
      </w:tr>
      <w:tr w:rsidR="00641987" w:rsidRPr="00116A2A" w:rsidTr="00E02556">
        <w:tc>
          <w:tcPr>
            <w:tcW w:w="1776" w:type="pct"/>
            <w:tcBorders>
              <w:left w:val="single" w:sz="4" w:space="0" w:color="auto"/>
              <w:bottom w:val="single" w:sz="4" w:space="0" w:color="auto"/>
              <w:right w:val="single" w:sz="4" w:space="0" w:color="auto"/>
            </w:tcBorders>
          </w:tcPr>
          <w:p w:rsidR="00641987" w:rsidRPr="00116A2A" w:rsidRDefault="00641987" w:rsidP="00E02556">
            <w:pPr>
              <w:pStyle w:val="TableText0"/>
            </w:pPr>
            <w:r w:rsidRPr="00116A2A">
              <w:t>Serious AESI</w:t>
            </w:r>
          </w:p>
        </w:tc>
        <w:tc>
          <w:tcPr>
            <w:tcW w:w="951" w:type="pct"/>
            <w:tcBorders>
              <w:left w:val="nil"/>
              <w:bottom w:val="single" w:sz="4" w:space="0" w:color="auto"/>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913" w:type="pct"/>
            <w:tcBorders>
              <w:left w:val="nil"/>
              <w:bottom w:val="single" w:sz="4" w:space="0" w:color="auto"/>
              <w:right w:val="single" w:sz="4" w:space="0" w:color="auto"/>
            </w:tcBorders>
          </w:tcPr>
          <w:p w:rsidR="00641987" w:rsidRPr="009C70C9" w:rsidRDefault="009C70C9" w:rsidP="00E02556">
            <w:pPr>
              <w:pStyle w:val="TableText0"/>
              <w:jc w:val="center"/>
              <w:rPr>
                <w:highlight w:val="black"/>
              </w:rPr>
            </w:pPr>
            <w:r>
              <w:rPr>
                <w:noProof/>
                <w:color w:val="000000"/>
                <w:highlight w:val="black"/>
              </w:rPr>
              <w:t>''''' ''''''''''''''</w:t>
            </w:r>
          </w:p>
        </w:tc>
        <w:tc>
          <w:tcPr>
            <w:tcW w:w="1359" w:type="pct"/>
            <w:tcBorders>
              <w:left w:val="single" w:sz="4" w:space="0" w:color="auto"/>
              <w:bottom w:val="single" w:sz="4" w:space="0" w:color="auto"/>
              <w:right w:val="single" w:sz="4" w:space="0" w:color="auto"/>
            </w:tcBorders>
          </w:tcPr>
          <w:p w:rsidR="00641987" w:rsidRPr="009C70C9" w:rsidRDefault="009C70C9" w:rsidP="00E02556">
            <w:pPr>
              <w:pStyle w:val="TableText0"/>
              <w:jc w:val="center"/>
              <w:rPr>
                <w:b/>
                <w:highlight w:val="black"/>
              </w:rPr>
            </w:pPr>
            <w:r>
              <w:rPr>
                <w:b/>
                <w:noProof/>
                <w:color w:val="000000"/>
                <w:highlight w:val="black"/>
              </w:rPr>
              <w:t>'''''' ''''''''' '''''''</w:t>
            </w:r>
          </w:p>
        </w:tc>
      </w:tr>
    </w:tbl>
    <w:p w:rsidR="00641987" w:rsidRPr="00116A2A" w:rsidRDefault="00641987" w:rsidP="00641987">
      <w:pPr>
        <w:pStyle w:val="TableNotes"/>
        <w:keepNext/>
        <w:ind w:left="1854"/>
        <w:rPr>
          <w:rFonts w:ascii="Arial Narrow" w:hAnsi="Arial Narrow"/>
          <w:b/>
        </w:rPr>
      </w:pPr>
      <w:r w:rsidRPr="00116A2A">
        <w:rPr>
          <w:rFonts w:ascii="Arial Narrow" w:hAnsi="Arial Narrow"/>
          <w:b/>
        </w:rPr>
        <w:t>Statistically significant differences are shown in bold</w:t>
      </w:r>
    </w:p>
    <w:p w:rsidR="00641987" w:rsidRPr="00116A2A" w:rsidRDefault="00641987" w:rsidP="00DE3F04">
      <w:pPr>
        <w:pStyle w:val="TableNotes"/>
        <w:keepNext/>
        <w:ind w:left="709" w:firstLine="11"/>
        <w:jc w:val="both"/>
        <w:rPr>
          <w:rFonts w:ascii="Arial Narrow" w:hAnsi="Arial Narrow"/>
        </w:rPr>
      </w:pPr>
      <w:r w:rsidRPr="00116A2A">
        <w:rPr>
          <w:rFonts w:ascii="Arial Narrow" w:hAnsi="Arial Narrow"/>
        </w:rPr>
        <w:t>AESI = adverse event of special interest</w:t>
      </w:r>
      <w:r w:rsidR="00DE3F04" w:rsidRPr="00116A2A">
        <w:rPr>
          <w:rFonts w:ascii="Arial Narrow" w:hAnsi="Arial Narrow"/>
        </w:rPr>
        <w:t xml:space="preserve"> (gastrointestinal perforations, hypertension and thromboembolic events)</w:t>
      </w:r>
      <w:r w:rsidRPr="00116A2A">
        <w:rPr>
          <w:rFonts w:ascii="Arial Narrow" w:hAnsi="Arial Narrow"/>
        </w:rPr>
        <w:t>; Bev = bevacizumab; Chemo = chemotherapy; CI = confidence interval</w:t>
      </w:r>
      <w:r w:rsidR="00DE3F04" w:rsidRPr="00116A2A">
        <w:rPr>
          <w:rFonts w:ascii="Arial Narrow" w:hAnsi="Arial Narrow"/>
        </w:rPr>
        <w:t>.</w:t>
      </w:r>
    </w:p>
    <w:p w:rsidR="00641987" w:rsidRPr="00116A2A" w:rsidRDefault="00641987" w:rsidP="00875AD3">
      <w:pPr>
        <w:keepNext/>
        <w:ind w:left="720"/>
        <w:rPr>
          <w:rFonts w:ascii="Arial Narrow" w:eastAsiaTheme="minorEastAsia" w:hAnsi="Arial Narrow" w:cstheme="minorBidi"/>
          <w:snapToGrid/>
          <w:sz w:val="18"/>
          <w:szCs w:val="18"/>
        </w:rPr>
      </w:pPr>
      <w:r w:rsidRPr="00116A2A">
        <w:rPr>
          <w:rFonts w:ascii="Arial Narrow" w:eastAsiaTheme="minorEastAsia" w:hAnsi="Arial Narrow" w:cstheme="minorBidi"/>
          <w:snapToGrid/>
          <w:sz w:val="18"/>
          <w:szCs w:val="18"/>
        </w:rPr>
        <w:t>Source: Table B.6.8, p52 of the submission.</w:t>
      </w:r>
    </w:p>
    <w:p w:rsidR="00641987" w:rsidRPr="00116A2A" w:rsidRDefault="00641987" w:rsidP="00641987">
      <w:pPr>
        <w:pStyle w:val="ListParagraph"/>
        <w:ind w:left="0"/>
        <w:rPr>
          <w:szCs w:val="22"/>
        </w:rPr>
      </w:pPr>
    </w:p>
    <w:p w:rsidR="00641987" w:rsidRPr="00116A2A" w:rsidRDefault="00641987" w:rsidP="00641987">
      <w:pPr>
        <w:pStyle w:val="Heading2"/>
        <w:rPr>
          <w:szCs w:val="22"/>
        </w:rPr>
      </w:pPr>
      <w:bookmarkStart w:id="12" w:name="_Toc430080588"/>
      <w:r w:rsidRPr="00116A2A">
        <w:t>Benefits/harms</w:t>
      </w:r>
      <w:bookmarkEnd w:id="12"/>
    </w:p>
    <w:p w:rsidR="00641987" w:rsidRPr="00116A2A" w:rsidRDefault="00641987" w:rsidP="00641987">
      <w:pPr>
        <w:pStyle w:val="ListParagraph"/>
        <w:ind w:left="0"/>
        <w:rPr>
          <w:szCs w:val="22"/>
        </w:rPr>
      </w:pPr>
    </w:p>
    <w:p w:rsidR="00641987" w:rsidRPr="00116A2A" w:rsidRDefault="00641987" w:rsidP="008F0074">
      <w:pPr>
        <w:pStyle w:val="ListParagraph"/>
        <w:widowControl/>
        <w:numPr>
          <w:ilvl w:val="1"/>
          <w:numId w:val="6"/>
        </w:numPr>
        <w:rPr>
          <w:szCs w:val="22"/>
        </w:rPr>
      </w:pPr>
      <w:r w:rsidRPr="00116A2A">
        <w:rPr>
          <w:szCs w:val="22"/>
        </w:rPr>
        <w:t xml:space="preserve">A summary of the comparative benefits and harms for bevacizumab plus chemotherapy versus chemotherapy alone is presented in the table below. </w:t>
      </w:r>
    </w:p>
    <w:p w:rsidR="00641987" w:rsidRPr="00116A2A" w:rsidRDefault="00641987" w:rsidP="00641987"/>
    <w:p w:rsidR="00641987" w:rsidRPr="00116A2A" w:rsidRDefault="00641987" w:rsidP="00641987">
      <w:pPr>
        <w:pStyle w:val="TableHeader"/>
        <w:ind w:left="720"/>
      </w:pPr>
      <w:r w:rsidRPr="00116A2A">
        <w:t>Table 5: Summary of comparative benefits and harms for bevacizumab plus chemotherapy vs. chemotherapy</w:t>
      </w:r>
    </w:p>
    <w:tbl>
      <w:tblPr>
        <w:tblStyle w:val="TableGrid"/>
        <w:tblW w:w="4599" w:type="pct"/>
        <w:tblInd w:w="756" w:type="dxa"/>
        <w:tblLayout w:type="fixed"/>
        <w:tblCellMar>
          <w:left w:w="28" w:type="dxa"/>
          <w:right w:w="28" w:type="dxa"/>
        </w:tblCellMar>
        <w:tblLook w:val="04A0" w:firstRow="1" w:lastRow="0" w:firstColumn="1" w:lastColumn="0" w:noHBand="0" w:noVBand="1"/>
      </w:tblPr>
      <w:tblGrid>
        <w:gridCol w:w="1114"/>
        <w:gridCol w:w="663"/>
        <w:gridCol w:w="431"/>
        <w:gridCol w:w="10"/>
        <w:gridCol w:w="1019"/>
        <w:gridCol w:w="251"/>
        <w:gridCol w:w="1372"/>
        <w:gridCol w:w="175"/>
        <w:gridCol w:w="1126"/>
        <w:gridCol w:w="433"/>
        <w:gridCol w:w="637"/>
        <w:gridCol w:w="1123"/>
      </w:tblGrid>
      <w:tr w:rsidR="00641987" w:rsidRPr="00116A2A" w:rsidTr="00E02556">
        <w:tc>
          <w:tcPr>
            <w:tcW w:w="5000" w:type="pct"/>
            <w:gridSpan w:val="12"/>
            <w:shd w:val="clear" w:color="auto" w:fill="auto"/>
            <w:vAlign w:val="center"/>
          </w:tcPr>
          <w:p w:rsidR="00641987" w:rsidRPr="00116A2A" w:rsidRDefault="00641987" w:rsidP="00E02556">
            <w:pPr>
              <w:rPr>
                <w:rFonts w:ascii="Arial Narrow" w:hAnsi="Arial Narrow"/>
                <w:b/>
                <w:color w:val="000000"/>
                <w:sz w:val="20"/>
                <w:szCs w:val="18"/>
              </w:rPr>
            </w:pPr>
            <w:r w:rsidRPr="00116A2A">
              <w:rPr>
                <w:rFonts w:ascii="Arial Narrow" w:hAnsi="Arial Narrow"/>
                <w:b/>
                <w:color w:val="000000"/>
                <w:sz w:val="20"/>
                <w:szCs w:val="18"/>
              </w:rPr>
              <w:t>Benefits</w:t>
            </w:r>
          </w:p>
        </w:tc>
      </w:tr>
      <w:tr w:rsidR="00641987" w:rsidRPr="00116A2A" w:rsidTr="00DE3F04">
        <w:tc>
          <w:tcPr>
            <w:tcW w:w="1064" w:type="pct"/>
            <w:gridSpan w:val="2"/>
            <w:shd w:val="clear" w:color="auto" w:fill="auto"/>
            <w:vAlign w:val="center"/>
          </w:tcPr>
          <w:p w:rsidR="00641987" w:rsidRPr="00116A2A" w:rsidRDefault="00641987" w:rsidP="00E02556">
            <w:pPr>
              <w:jc w:val="center"/>
              <w:rPr>
                <w:rFonts w:ascii="Arial Narrow" w:hAnsi="Arial Narrow"/>
                <w:color w:val="000000"/>
                <w:sz w:val="20"/>
                <w:szCs w:val="18"/>
              </w:rPr>
            </w:pPr>
          </w:p>
        </w:tc>
        <w:tc>
          <w:tcPr>
            <w:tcW w:w="874" w:type="pct"/>
            <w:gridSpan w:val="3"/>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Bev + chemo</w:t>
            </w:r>
          </w:p>
        </w:tc>
        <w:tc>
          <w:tcPr>
            <w:tcW w:w="971" w:type="pct"/>
            <w:gridSpan w:val="2"/>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Chemo alone</w:t>
            </w:r>
          </w:p>
        </w:tc>
        <w:tc>
          <w:tcPr>
            <w:tcW w:w="1038" w:type="pct"/>
            <w:gridSpan w:val="3"/>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Absolute Difference</w:t>
            </w:r>
          </w:p>
        </w:tc>
        <w:tc>
          <w:tcPr>
            <w:tcW w:w="1052" w:type="pct"/>
            <w:gridSpan w:val="2"/>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HR (95% CI)</w:t>
            </w:r>
          </w:p>
        </w:tc>
      </w:tr>
      <w:tr w:rsidR="00641987" w:rsidRPr="00116A2A" w:rsidTr="00DE3F04">
        <w:tc>
          <w:tcPr>
            <w:tcW w:w="1064" w:type="pct"/>
            <w:gridSpan w:val="2"/>
            <w:shd w:val="clear" w:color="auto" w:fill="auto"/>
            <w:vAlign w:val="center"/>
          </w:tcPr>
          <w:p w:rsidR="00641987" w:rsidRPr="00116A2A" w:rsidRDefault="00641987" w:rsidP="00DE3F04">
            <w:pPr>
              <w:rPr>
                <w:rFonts w:ascii="Arial Narrow" w:hAnsi="Arial Narrow"/>
                <w:color w:val="000000"/>
                <w:sz w:val="20"/>
                <w:szCs w:val="18"/>
                <w:vertAlign w:val="superscript"/>
              </w:rPr>
            </w:pPr>
            <w:r w:rsidRPr="00116A2A">
              <w:rPr>
                <w:rFonts w:ascii="Arial Narrow" w:hAnsi="Arial Narrow"/>
                <w:color w:val="000000"/>
                <w:sz w:val="20"/>
                <w:szCs w:val="18"/>
              </w:rPr>
              <w:t>Median OS, months, (95% CI)</w:t>
            </w:r>
            <w:r w:rsidR="00DE3F04" w:rsidRPr="00116A2A">
              <w:rPr>
                <w:rFonts w:ascii="Arial Narrow" w:hAnsi="Arial Narrow"/>
                <w:color w:val="000000"/>
                <w:sz w:val="20"/>
                <w:szCs w:val="18"/>
                <w:vertAlign w:val="superscript"/>
              </w:rPr>
              <w:t>a</w:t>
            </w:r>
          </w:p>
        </w:tc>
        <w:tc>
          <w:tcPr>
            <w:tcW w:w="874" w:type="pct"/>
            <w:gridSpan w:val="3"/>
          </w:tcPr>
          <w:p w:rsidR="00641987" w:rsidRPr="009C70C9" w:rsidRDefault="009C70C9" w:rsidP="00E02556">
            <w:pPr>
              <w:jc w:val="center"/>
              <w:rPr>
                <w:rFonts w:ascii="Arial Narrow" w:hAnsi="Arial Narrow"/>
                <w:sz w:val="20"/>
                <w:highlight w:val="black"/>
              </w:rPr>
            </w:pPr>
            <w:r>
              <w:rPr>
                <w:rFonts w:ascii="Arial Narrow" w:hAnsi="Arial Narrow"/>
                <w:noProof/>
                <w:color w:val="000000"/>
                <w:sz w:val="20"/>
                <w:highlight w:val="black"/>
              </w:rPr>
              <w:t>'''''''''''' '''''''''''''' ''''''''''''''</w:t>
            </w:r>
          </w:p>
        </w:tc>
        <w:tc>
          <w:tcPr>
            <w:tcW w:w="971" w:type="pct"/>
            <w:gridSpan w:val="2"/>
          </w:tcPr>
          <w:p w:rsidR="00641987" w:rsidRPr="009C70C9" w:rsidRDefault="009C70C9" w:rsidP="00E02556">
            <w:pPr>
              <w:jc w:val="center"/>
              <w:rPr>
                <w:rFonts w:ascii="Arial Narrow" w:hAnsi="Arial Narrow"/>
                <w:sz w:val="20"/>
                <w:highlight w:val="black"/>
              </w:rPr>
            </w:pPr>
            <w:r>
              <w:rPr>
                <w:rFonts w:ascii="Arial Narrow" w:hAnsi="Arial Narrow"/>
                <w:noProof/>
                <w:color w:val="000000"/>
                <w:sz w:val="20"/>
                <w:highlight w:val="black"/>
              </w:rPr>
              <w:t>''''''''''' '''''''''''''' '''''''''''''</w:t>
            </w:r>
          </w:p>
        </w:tc>
        <w:tc>
          <w:tcPr>
            <w:tcW w:w="1038" w:type="pct"/>
            <w:gridSpan w:val="3"/>
          </w:tcPr>
          <w:p w:rsidR="00641987" w:rsidRPr="009C70C9" w:rsidRDefault="009C70C9" w:rsidP="00E02556">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1052" w:type="pct"/>
            <w:gridSpan w:val="2"/>
          </w:tcPr>
          <w:p w:rsidR="00641987" w:rsidRPr="009C70C9" w:rsidRDefault="009C70C9" w:rsidP="00E02556">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r>
      <w:tr w:rsidR="00641987" w:rsidRPr="00116A2A" w:rsidTr="00DE3F04">
        <w:tc>
          <w:tcPr>
            <w:tcW w:w="1064" w:type="pct"/>
            <w:gridSpan w:val="2"/>
            <w:shd w:val="clear" w:color="auto" w:fill="auto"/>
            <w:vAlign w:val="center"/>
          </w:tcPr>
          <w:p w:rsidR="00641987" w:rsidRPr="00116A2A" w:rsidRDefault="00641987" w:rsidP="00DE3F04">
            <w:pPr>
              <w:rPr>
                <w:rFonts w:ascii="Arial Narrow" w:hAnsi="Arial Narrow"/>
                <w:color w:val="000000"/>
                <w:sz w:val="20"/>
                <w:szCs w:val="18"/>
                <w:vertAlign w:val="superscript"/>
              </w:rPr>
            </w:pPr>
            <w:r w:rsidRPr="00116A2A">
              <w:rPr>
                <w:rFonts w:ascii="Arial Narrow" w:hAnsi="Arial Narrow"/>
                <w:color w:val="000000"/>
                <w:sz w:val="20"/>
                <w:szCs w:val="18"/>
              </w:rPr>
              <w:t>Median PFS, months, (95% CI)</w:t>
            </w:r>
            <w:r w:rsidR="00DE3F04" w:rsidRPr="00116A2A">
              <w:rPr>
                <w:rFonts w:ascii="Arial Narrow" w:hAnsi="Arial Narrow"/>
                <w:color w:val="000000"/>
                <w:sz w:val="20"/>
                <w:szCs w:val="18"/>
                <w:vertAlign w:val="superscript"/>
              </w:rPr>
              <w:t>b</w:t>
            </w:r>
          </w:p>
        </w:tc>
        <w:tc>
          <w:tcPr>
            <w:tcW w:w="874" w:type="pct"/>
            <w:gridSpan w:val="3"/>
          </w:tcPr>
          <w:p w:rsidR="00641987" w:rsidRPr="00116A2A" w:rsidRDefault="00641987" w:rsidP="00E02556">
            <w:pPr>
              <w:jc w:val="center"/>
              <w:rPr>
                <w:rFonts w:ascii="Arial Narrow" w:hAnsi="Arial Narrow"/>
                <w:sz w:val="20"/>
              </w:rPr>
            </w:pPr>
            <w:r w:rsidRPr="00116A2A">
              <w:rPr>
                <w:rFonts w:ascii="Arial Narrow" w:hAnsi="Arial Narrow"/>
                <w:sz w:val="20"/>
              </w:rPr>
              <w:t xml:space="preserve">8.3, </w:t>
            </w:r>
            <w:r w:rsidR="009C70C9">
              <w:rPr>
                <w:rFonts w:ascii="Arial Narrow" w:hAnsi="Arial Narrow"/>
                <w:noProof/>
                <w:color w:val="000000"/>
                <w:sz w:val="20"/>
                <w:highlight w:val="black"/>
              </w:rPr>
              <w:t>''''''''''' ''''''''''</w:t>
            </w:r>
          </w:p>
        </w:tc>
        <w:tc>
          <w:tcPr>
            <w:tcW w:w="971" w:type="pct"/>
            <w:gridSpan w:val="2"/>
          </w:tcPr>
          <w:p w:rsidR="00641987" w:rsidRPr="00116A2A" w:rsidRDefault="00641987" w:rsidP="00E02556">
            <w:pPr>
              <w:jc w:val="center"/>
              <w:rPr>
                <w:rFonts w:ascii="Arial Narrow" w:hAnsi="Arial Narrow"/>
                <w:sz w:val="20"/>
              </w:rPr>
            </w:pPr>
            <w:r w:rsidRPr="00116A2A">
              <w:rPr>
                <w:rFonts w:ascii="Arial Narrow" w:hAnsi="Arial Narrow"/>
                <w:sz w:val="20"/>
              </w:rPr>
              <w:t xml:space="preserve">6.0, </w:t>
            </w:r>
            <w:r w:rsidR="009C70C9">
              <w:rPr>
                <w:rFonts w:ascii="Arial Narrow" w:hAnsi="Arial Narrow"/>
                <w:noProof/>
                <w:color w:val="000000"/>
                <w:sz w:val="20"/>
                <w:highlight w:val="black"/>
              </w:rPr>
              <w:t>'''''''''''' ''''''''''</w:t>
            </w:r>
          </w:p>
        </w:tc>
        <w:tc>
          <w:tcPr>
            <w:tcW w:w="1038" w:type="pct"/>
            <w:gridSpan w:val="3"/>
          </w:tcPr>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2.3</w:t>
            </w:r>
          </w:p>
        </w:tc>
        <w:tc>
          <w:tcPr>
            <w:tcW w:w="1052" w:type="pct"/>
            <w:gridSpan w:val="2"/>
          </w:tcPr>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0.66 (0.54, 0.81)</w:t>
            </w:r>
          </w:p>
        </w:tc>
      </w:tr>
      <w:tr w:rsidR="00641987" w:rsidRPr="00116A2A" w:rsidTr="00E02556">
        <w:tc>
          <w:tcPr>
            <w:tcW w:w="5000" w:type="pct"/>
            <w:gridSpan w:val="12"/>
            <w:tcBorders>
              <w:top w:val="double" w:sz="4" w:space="0" w:color="auto"/>
            </w:tcBorders>
            <w:shd w:val="clear" w:color="auto" w:fill="auto"/>
            <w:vAlign w:val="center"/>
          </w:tcPr>
          <w:p w:rsidR="00641987" w:rsidRPr="00116A2A" w:rsidRDefault="00641987" w:rsidP="00E02556">
            <w:pPr>
              <w:rPr>
                <w:rFonts w:ascii="Arial Narrow" w:hAnsi="Arial Narrow"/>
                <w:b/>
                <w:color w:val="000000"/>
                <w:sz w:val="20"/>
                <w:szCs w:val="18"/>
              </w:rPr>
            </w:pPr>
            <w:r w:rsidRPr="00116A2A">
              <w:rPr>
                <w:rFonts w:ascii="Arial Narrow" w:hAnsi="Arial Narrow"/>
                <w:b/>
                <w:color w:val="000000"/>
                <w:sz w:val="20"/>
                <w:szCs w:val="18"/>
              </w:rPr>
              <w:t xml:space="preserve">Harms </w:t>
            </w:r>
          </w:p>
        </w:tc>
      </w:tr>
      <w:tr w:rsidR="00641987" w:rsidRPr="00116A2A" w:rsidTr="00DE3F04">
        <w:trPr>
          <w:trHeight w:val="70"/>
        </w:trPr>
        <w:tc>
          <w:tcPr>
            <w:tcW w:w="667" w:type="pct"/>
            <w:vMerge w:val="restart"/>
            <w:shd w:val="clear" w:color="auto" w:fill="auto"/>
            <w:vAlign w:val="center"/>
          </w:tcPr>
          <w:p w:rsidR="00641987" w:rsidRPr="00116A2A" w:rsidRDefault="00641987" w:rsidP="00E02556">
            <w:pPr>
              <w:rPr>
                <w:rFonts w:ascii="Arial Narrow" w:hAnsi="Arial Narrow"/>
                <w:b/>
                <w:color w:val="000000"/>
                <w:sz w:val="20"/>
                <w:szCs w:val="18"/>
              </w:rPr>
            </w:pPr>
          </w:p>
        </w:tc>
        <w:tc>
          <w:tcPr>
            <w:tcW w:w="655" w:type="pct"/>
            <w:gridSpan w:val="2"/>
            <w:vMerge w:val="restart"/>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Bev + chemo</w:t>
            </w:r>
          </w:p>
        </w:tc>
        <w:tc>
          <w:tcPr>
            <w:tcW w:w="766" w:type="pct"/>
            <w:gridSpan w:val="3"/>
            <w:vMerge w:val="restart"/>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Chemo alone</w:t>
            </w:r>
          </w:p>
        </w:tc>
        <w:tc>
          <w:tcPr>
            <w:tcW w:w="926" w:type="pct"/>
            <w:gridSpan w:val="2"/>
            <w:vMerge w:val="restart"/>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RR</w:t>
            </w:r>
          </w:p>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(95% CI)</w:t>
            </w:r>
          </w:p>
        </w:tc>
        <w:tc>
          <w:tcPr>
            <w:tcW w:w="1314" w:type="pct"/>
            <w:gridSpan w:val="3"/>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 xml:space="preserve">Event rate/100 patients* </w:t>
            </w:r>
          </w:p>
        </w:tc>
        <w:tc>
          <w:tcPr>
            <w:tcW w:w="672" w:type="pct"/>
            <w:vMerge w:val="restart"/>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RD</w:t>
            </w:r>
          </w:p>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(95% CI)</w:t>
            </w:r>
          </w:p>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Additional events/100</w:t>
            </w:r>
          </w:p>
        </w:tc>
      </w:tr>
      <w:tr w:rsidR="00641987" w:rsidRPr="00116A2A" w:rsidTr="00DE3F04">
        <w:trPr>
          <w:trHeight w:val="390"/>
        </w:trPr>
        <w:tc>
          <w:tcPr>
            <w:tcW w:w="667" w:type="pct"/>
            <w:vMerge/>
            <w:shd w:val="clear" w:color="auto" w:fill="auto"/>
            <w:vAlign w:val="center"/>
          </w:tcPr>
          <w:p w:rsidR="00641987" w:rsidRPr="00116A2A" w:rsidRDefault="00641987" w:rsidP="00E02556">
            <w:pPr>
              <w:rPr>
                <w:rFonts w:ascii="Arial Narrow" w:hAnsi="Arial Narrow"/>
                <w:b/>
                <w:color w:val="000000"/>
                <w:sz w:val="20"/>
                <w:szCs w:val="18"/>
              </w:rPr>
            </w:pPr>
          </w:p>
        </w:tc>
        <w:tc>
          <w:tcPr>
            <w:tcW w:w="655" w:type="pct"/>
            <w:gridSpan w:val="2"/>
            <w:vMerge/>
            <w:vAlign w:val="center"/>
          </w:tcPr>
          <w:p w:rsidR="00641987" w:rsidRPr="00116A2A" w:rsidRDefault="00641987" w:rsidP="00E02556">
            <w:pPr>
              <w:jc w:val="center"/>
              <w:rPr>
                <w:rFonts w:ascii="Arial Narrow" w:hAnsi="Arial Narrow"/>
                <w:b/>
                <w:color w:val="000000"/>
                <w:sz w:val="20"/>
                <w:szCs w:val="18"/>
              </w:rPr>
            </w:pPr>
          </w:p>
        </w:tc>
        <w:tc>
          <w:tcPr>
            <w:tcW w:w="766" w:type="pct"/>
            <w:gridSpan w:val="3"/>
            <w:vMerge/>
            <w:vAlign w:val="center"/>
          </w:tcPr>
          <w:p w:rsidR="00641987" w:rsidRPr="00116A2A" w:rsidRDefault="00641987" w:rsidP="00E02556">
            <w:pPr>
              <w:jc w:val="center"/>
              <w:rPr>
                <w:rFonts w:ascii="Arial Narrow" w:hAnsi="Arial Narrow"/>
                <w:b/>
                <w:color w:val="000000"/>
                <w:sz w:val="20"/>
                <w:szCs w:val="18"/>
              </w:rPr>
            </w:pPr>
          </w:p>
        </w:tc>
        <w:tc>
          <w:tcPr>
            <w:tcW w:w="926" w:type="pct"/>
            <w:gridSpan w:val="2"/>
            <w:vMerge/>
            <w:vAlign w:val="center"/>
          </w:tcPr>
          <w:p w:rsidR="00641987" w:rsidRPr="00116A2A" w:rsidRDefault="00641987" w:rsidP="00E02556">
            <w:pPr>
              <w:jc w:val="center"/>
              <w:rPr>
                <w:rFonts w:ascii="Arial Narrow" w:hAnsi="Arial Narrow"/>
                <w:b/>
                <w:color w:val="000000"/>
                <w:sz w:val="20"/>
                <w:szCs w:val="18"/>
              </w:rPr>
            </w:pPr>
          </w:p>
        </w:tc>
        <w:tc>
          <w:tcPr>
            <w:tcW w:w="674" w:type="pct"/>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Bev + chemo</w:t>
            </w:r>
          </w:p>
        </w:tc>
        <w:tc>
          <w:tcPr>
            <w:tcW w:w="640" w:type="pct"/>
            <w:gridSpan w:val="2"/>
            <w:vAlign w:val="center"/>
          </w:tcPr>
          <w:p w:rsidR="00641987" w:rsidRPr="00116A2A" w:rsidRDefault="00641987" w:rsidP="00E02556">
            <w:pPr>
              <w:jc w:val="center"/>
              <w:rPr>
                <w:rFonts w:ascii="Arial Narrow" w:hAnsi="Arial Narrow"/>
                <w:b/>
                <w:color w:val="000000"/>
                <w:sz w:val="20"/>
                <w:szCs w:val="18"/>
              </w:rPr>
            </w:pPr>
            <w:r w:rsidRPr="00116A2A">
              <w:rPr>
                <w:rFonts w:ascii="Arial Narrow" w:hAnsi="Arial Narrow"/>
                <w:b/>
                <w:color w:val="000000"/>
                <w:sz w:val="20"/>
                <w:szCs w:val="18"/>
              </w:rPr>
              <w:t>Chemo alone</w:t>
            </w:r>
          </w:p>
        </w:tc>
        <w:tc>
          <w:tcPr>
            <w:tcW w:w="672" w:type="pct"/>
            <w:vMerge/>
            <w:vAlign w:val="center"/>
          </w:tcPr>
          <w:p w:rsidR="00641987" w:rsidRPr="00116A2A" w:rsidRDefault="00641987" w:rsidP="00E02556">
            <w:pPr>
              <w:jc w:val="center"/>
              <w:rPr>
                <w:rFonts w:ascii="Arial Narrow" w:hAnsi="Arial Narrow"/>
                <w:b/>
                <w:color w:val="000000"/>
                <w:sz w:val="20"/>
                <w:szCs w:val="18"/>
              </w:rPr>
            </w:pPr>
          </w:p>
        </w:tc>
      </w:tr>
      <w:tr w:rsidR="00641987" w:rsidRPr="00116A2A" w:rsidTr="00DE3F04">
        <w:tc>
          <w:tcPr>
            <w:tcW w:w="667" w:type="pct"/>
            <w:shd w:val="clear" w:color="auto" w:fill="auto"/>
            <w:vAlign w:val="center"/>
          </w:tcPr>
          <w:p w:rsidR="00641987" w:rsidRPr="00116A2A" w:rsidRDefault="00641987" w:rsidP="00E02556">
            <w:pPr>
              <w:rPr>
                <w:rFonts w:ascii="Arial Narrow" w:hAnsi="Arial Narrow"/>
                <w:color w:val="000000"/>
                <w:sz w:val="20"/>
                <w:szCs w:val="18"/>
              </w:rPr>
            </w:pPr>
            <w:r w:rsidRPr="00116A2A">
              <w:rPr>
                <w:rFonts w:ascii="Arial Narrow" w:hAnsi="Arial Narrow"/>
                <w:color w:val="000000"/>
                <w:sz w:val="20"/>
                <w:szCs w:val="18"/>
              </w:rPr>
              <w:t>Serious AEs</w:t>
            </w:r>
          </w:p>
        </w:tc>
        <w:tc>
          <w:tcPr>
            <w:tcW w:w="661" w:type="pct"/>
            <w:gridSpan w:val="3"/>
            <w:vAlign w:val="center"/>
          </w:tcPr>
          <w:p w:rsidR="00641987" w:rsidRPr="009C70C9" w:rsidRDefault="009C70C9" w:rsidP="00E02556">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60" w:type="pct"/>
            <w:gridSpan w:val="2"/>
            <w:vAlign w:val="center"/>
          </w:tcPr>
          <w:p w:rsidR="00641987" w:rsidRPr="009C70C9" w:rsidRDefault="009C70C9" w:rsidP="00E02556">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26" w:type="pct"/>
            <w:gridSpan w:val="2"/>
            <w:vAlign w:val="center"/>
          </w:tcPr>
          <w:p w:rsidR="00641987" w:rsidRPr="009C70C9" w:rsidRDefault="009C70C9" w:rsidP="00E02556">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74" w:type="pct"/>
            <w:vAlign w:val="center"/>
          </w:tcPr>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51.1</w:t>
            </w:r>
          </w:p>
        </w:tc>
        <w:tc>
          <w:tcPr>
            <w:tcW w:w="640" w:type="pct"/>
            <w:gridSpan w:val="2"/>
            <w:vAlign w:val="center"/>
          </w:tcPr>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36.5</w:t>
            </w:r>
          </w:p>
        </w:tc>
        <w:tc>
          <w:tcPr>
            <w:tcW w:w="672" w:type="pct"/>
            <w:vAlign w:val="center"/>
          </w:tcPr>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15</w:t>
            </w:r>
          </w:p>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(5, 24)</w:t>
            </w:r>
          </w:p>
        </w:tc>
      </w:tr>
      <w:tr w:rsidR="00641987" w:rsidRPr="00116A2A" w:rsidTr="00DE3F04">
        <w:tc>
          <w:tcPr>
            <w:tcW w:w="667" w:type="pct"/>
            <w:shd w:val="clear" w:color="auto" w:fill="auto"/>
            <w:vAlign w:val="center"/>
          </w:tcPr>
          <w:p w:rsidR="00641987" w:rsidRPr="00116A2A" w:rsidRDefault="00641987" w:rsidP="00E02556">
            <w:pPr>
              <w:rPr>
                <w:rFonts w:ascii="Arial Narrow" w:hAnsi="Arial Narrow"/>
                <w:color w:val="000000"/>
                <w:sz w:val="20"/>
                <w:szCs w:val="18"/>
              </w:rPr>
            </w:pPr>
            <w:r w:rsidRPr="00116A2A">
              <w:rPr>
                <w:rFonts w:ascii="Arial Narrow" w:hAnsi="Arial Narrow"/>
                <w:color w:val="000000"/>
                <w:sz w:val="20"/>
                <w:szCs w:val="18"/>
              </w:rPr>
              <w:t>AESI Grades 3-5</w:t>
            </w:r>
          </w:p>
        </w:tc>
        <w:tc>
          <w:tcPr>
            <w:tcW w:w="661" w:type="pct"/>
            <w:gridSpan w:val="3"/>
            <w:vAlign w:val="center"/>
          </w:tcPr>
          <w:p w:rsidR="00641987" w:rsidRPr="009C70C9" w:rsidRDefault="009C70C9" w:rsidP="00E02556">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760" w:type="pct"/>
            <w:gridSpan w:val="2"/>
            <w:vAlign w:val="center"/>
          </w:tcPr>
          <w:p w:rsidR="00641987" w:rsidRPr="009C70C9" w:rsidRDefault="009C70C9" w:rsidP="00E02556">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926" w:type="pct"/>
            <w:gridSpan w:val="2"/>
            <w:vAlign w:val="center"/>
          </w:tcPr>
          <w:p w:rsidR="00641987" w:rsidRPr="009C70C9" w:rsidRDefault="009C70C9" w:rsidP="00E02556">
            <w:pPr>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674" w:type="pct"/>
            <w:vAlign w:val="center"/>
          </w:tcPr>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37.6</w:t>
            </w:r>
          </w:p>
        </w:tc>
        <w:tc>
          <w:tcPr>
            <w:tcW w:w="640" w:type="pct"/>
            <w:gridSpan w:val="2"/>
            <w:vAlign w:val="center"/>
          </w:tcPr>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16.7</w:t>
            </w:r>
          </w:p>
        </w:tc>
        <w:tc>
          <w:tcPr>
            <w:tcW w:w="672" w:type="pct"/>
            <w:vAlign w:val="center"/>
          </w:tcPr>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21</w:t>
            </w:r>
          </w:p>
          <w:p w:rsidR="00641987" w:rsidRPr="00116A2A" w:rsidRDefault="00641987" w:rsidP="00E02556">
            <w:pPr>
              <w:jc w:val="center"/>
              <w:rPr>
                <w:rFonts w:ascii="Arial Narrow" w:hAnsi="Arial Narrow"/>
                <w:color w:val="000000"/>
                <w:sz w:val="20"/>
                <w:szCs w:val="18"/>
              </w:rPr>
            </w:pPr>
            <w:r w:rsidRPr="00116A2A">
              <w:rPr>
                <w:rFonts w:ascii="Arial Narrow" w:hAnsi="Arial Narrow"/>
                <w:color w:val="000000"/>
                <w:sz w:val="20"/>
                <w:szCs w:val="18"/>
              </w:rPr>
              <w:t>(13, 29)</w:t>
            </w:r>
          </w:p>
        </w:tc>
      </w:tr>
    </w:tbl>
    <w:p w:rsidR="00641987" w:rsidRPr="009C70C9" w:rsidRDefault="00DE3F04" w:rsidP="00641987">
      <w:pPr>
        <w:pStyle w:val="TableFooter"/>
        <w:ind w:left="720"/>
      </w:pPr>
      <w:r w:rsidRPr="00116A2A">
        <w:rPr>
          <w:vertAlign w:val="superscript"/>
        </w:rPr>
        <w:t>a</w:t>
      </w:r>
      <w:r w:rsidR="009C70C9">
        <w:rPr>
          <w:noProof/>
          <w:color w:val="000000"/>
          <w:highlight w:val="black"/>
        </w:rPr>
        <w:t>'''''''''''''''''''''' '''''''''''''''''''' ''''''''''''''''' '''''''''''''''' ''''''''''''''' ''''''''''''''' '''''''''''''''''' '''''''''''''''''' ''''' '''''''''''' '''''' '''''''''' ''''''''''' ''''''''''''''</w:t>
      </w:r>
    </w:p>
    <w:p w:rsidR="00DE3F04" w:rsidRPr="00116A2A" w:rsidRDefault="0037565D" w:rsidP="00DE3F04">
      <w:pPr>
        <w:pStyle w:val="TableFooter"/>
        <w:ind w:left="720"/>
      </w:pPr>
      <w:r w:rsidRPr="00116A2A">
        <w:rPr>
          <w:vertAlign w:val="superscript"/>
        </w:rPr>
        <w:t>b</w:t>
      </w:r>
      <w:r w:rsidRPr="00116A2A">
        <w:t>M</w:t>
      </w:r>
      <w:r w:rsidR="00DE3F04" w:rsidRPr="00116A2A">
        <w:t>edian duration of follow up was 52.2 weeks</w:t>
      </w:r>
      <w:r w:rsidRPr="00116A2A">
        <w:t xml:space="preserve"> (clinical cut-off December 2012),</w:t>
      </w:r>
    </w:p>
    <w:p w:rsidR="00641987" w:rsidRPr="00116A2A" w:rsidRDefault="00641987" w:rsidP="00641987">
      <w:pPr>
        <w:pStyle w:val="TableFooter"/>
        <w:ind w:left="720"/>
      </w:pPr>
      <w:r w:rsidRPr="00116A2A">
        <w:t>* Median duration of exposure to bevacizumab plus chemotherapy: 20.7 weeks.</w:t>
      </w:r>
    </w:p>
    <w:p w:rsidR="00641987" w:rsidRPr="00116A2A" w:rsidRDefault="00641987" w:rsidP="00641987">
      <w:pPr>
        <w:pStyle w:val="TableFooter"/>
        <w:ind w:left="720"/>
      </w:pPr>
      <w:r w:rsidRPr="00116A2A">
        <w:t>Bev+chemo = Bevacizumab plus chemotherapy; OS = overall survival; PFS = progression free survival; RD = risk difference; RR = risk ratio; AEs = adverse events; AESI = adverse events of special interest</w:t>
      </w:r>
    </w:p>
    <w:p w:rsidR="00641987" w:rsidRPr="00116A2A" w:rsidRDefault="00641987" w:rsidP="00641987">
      <w:pPr>
        <w:pStyle w:val="TableFooter"/>
        <w:ind w:firstLine="720"/>
      </w:pPr>
      <w:r w:rsidRPr="00116A2A">
        <w:t>Source: Compiled during the evaluation</w:t>
      </w:r>
    </w:p>
    <w:p w:rsidR="00641987" w:rsidRPr="00116A2A" w:rsidRDefault="00641987" w:rsidP="00641987"/>
    <w:p w:rsidR="00F9575A" w:rsidRPr="00116A2A" w:rsidRDefault="00F9575A" w:rsidP="00F9575A">
      <w:pPr>
        <w:pStyle w:val="ListParagraph"/>
        <w:widowControl/>
        <w:numPr>
          <w:ilvl w:val="1"/>
          <w:numId w:val="6"/>
        </w:numPr>
        <w:rPr>
          <w:szCs w:val="22"/>
        </w:rPr>
      </w:pPr>
      <w:r w:rsidRPr="00116A2A">
        <w:lastRenderedPageBreak/>
        <w:t>On the basis of direct evidence presented by the submission, the comparison of bevacizumab plus chemotherapy and chemotherapy alone resulted in:</w:t>
      </w:r>
    </w:p>
    <w:p w:rsidR="00F9575A" w:rsidRPr="00116A2A" w:rsidRDefault="00F9575A" w:rsidP="00F9575A">
      <w:pPr>
        <w:pStyle w:val="ListParagraph"/>
        <w:widowControl/>
        <w:numPr>
          <w:ilvl w:val="0"/>
          <w:numId w:val="5"/>
        </w:numPr>
        <w:ind w:left="993"/>
        <w:rPr>
          <w:szCs w:val="22"/>
        </w:rPr>
      </w:pPr>
      <w:r w:rsidRPr="00116A2A">
        <w:t xml:space="preserve">Approximately </w:t>
      </w:r>
      <w:r w:rsidR="009C70C9">
        <w:rPr>
          <w:noProof/>
          <w:color w:val="000000"/>
          <w:highlight w:val="black"/>
        </w:rPr>
        <w:t>''''''''</w:t>
      </w:r>
      <w:r w:rsidRPr="00116A2A">
        <w:t xml:space="preserve"> months prolongation in </w:t>
      </w:r>
      <w:r w:rsidR="00DE3F04" w:rsidRPr="00116A2A">
        <w:t xml:space="preserve">median </w:t>
      </w:r>
      <w:r w:rsidRPr="00116A2A">
        <w:t xml:space="preserve">overall survival </w:t>
      </w:r>
      <w:r w:rsidR="00DE3F04" w:rsidRPr="00116A2A">
        <w:t>o</w:t>
      </w:r>
      <w:r w:rsidRPr="00116A2A">
        <w:t>ver a median follow-up of 61 weeks.</w:t>
      </w:r>
    </w:p>
    <w:p w:rsidR="00F9575A" w:rsidRPr="00116A2A" w:rsidRDefault="00F9575A" w:rsidP="00F9575A">
      <w:pPr>
        <w:pStyle w:val="ListParagraph"/>
        <w:widowControl/>
        <w:numPr>
          <w:ilvl w:val="0"/>
          <w:numId w:val="5"/>
        </w:numPr>
        <w:ind w:left="993"/>
        <w:rPr>
          <w:szCs w:val="22"/>
        </w:rPr>
      </w:pPr>
      <w:r w:rsidRPr="00116A2A">
        <w:t xml:space="preserve">Approximately 2.3 months prolongation in </w:t>
      </w:r>
      <w:r w:rsidR="00DE3F04" w:rsidRPr="00116A2A">
        <w:t xml:space="preserve">median </w:t>
      </w:r>
      <w:r w:rsidRPr="00116A2A">
        <w:t>progression free survival for over a median follow-up of 52 weeks.</w:t>
      </w:r>
    </w:p>
    <w:p w:rsidR="00F9575A" w:rsidRPr="00116A2A" w:rsidRDefault="00F9575A" w:rsidP="00F9575A">
      <w:pPr>
        <w:pStyle w:val="ListParagraph"/>
        <w:widowControl/>
        <w:numPr>
          <w:ilvl w:val="0"/>
          <w:numId w:val="5"/>
        </w:numPr>
        <w:ind w:left="993"/>
        <w:rPr>
          <w:szCs w:val="22"/>
        </w:rPr>
      </w:pPr>
      <w:r w:rsidRPr="00116A2A">
        <w:rPr>
          <w:szCs w:val="22"/>
        </w:rPr>
        <w:t>Approximately 15 additional patients would experience a serious adverse event, for every 100 patients treated</w:t>
      </w:r>
      <w:r w:rsidR="00DE3F04" w:rsidRPr="00116A2A">
        <w:rPr>
          <w:szCs w:val="22"/>
        </w:rPr>
        <w:t xml:space="preserve"> with bevacizumab plus chemotherapy</w:t>
      </w:r>
      <w:r w:rsidRPr="00116A2A">
        <w:rPr>
          <w:szCs w:val="22"/>
        </w:rPr>
        <w:t>, over a median duration of exposure of 20.7 weeks.</w:t>
      </w:r>
    </w:p>
    <w:p w:rsidR="00623A9A" w:rsidRPr="00116A2A" w:rsidRDefault="00F9575A" w:rsidP="00F9575A">
      <w:pPr>
        <w:pStyle w:val="ListParagraph"/>
        <w:widowControl/>
        <w:numPr>
          <w:ilvl w:val="0"/>
          <w:numId w:val="5"/>
        </w:numPr>
        <w:ind w:left="993"/>
        <w:rPr>
          <w:szCs w:val="22"/>
        </w:rPr>
      </w:pPr>
      <w:r w:rsidRPr="00116A2A">
        <w:rPr>
          <w:szCs w:val="22"/>
        </w:rPr>
        <w:t xml:space="preserve">Approximately 21 additional patients would experience </w:t>
      </w:r>
      <w:r w:rsidR="003D7ABF" w:rsidRPr="00116A2A">
        <w:rPr>
          <w:szCs w:val="22"/>
        </w:rPr>
        <w:t>serious</w:t>
      </w:r>
      <w:r w:rsidRPr="00116A2A">
        <w:rPr>
          <w:szCs w:val="22"/>
        </w:rPr>
        <w:t xml:space="preserve"> adverse event</w:t>
      </w:r>
      <w:r w:rsidR="00D247C5" w:rsidRPr="00116A2A">
        <w:rPr>
          <w:szCs w:val="22"/>
        </w:rPr>
        <w:t>s</w:t>
      </w:r>
      <w:r w:rsidRPr="00116A2A">
        <w:rPr>
          <w:szCs w:val="22"/>
        </w:rPr>
        <w:t xml:space="preserve"> of special interest, for every 100 patients treated</w:t>
      </w:r>
      <w:r w:rsidR="00DE3F04" w:rsidRPr="00116A2A">
        <w:rPr>
          <w:szCs w:val="22"/>
        </w:rPr>
        <w:t xml:space="preserve"> with bevacizumab plus chemotherapy</w:t>
      </w:r>
      <w:r w:rsidRPr="00116A2A">
        <w:rPr>
          <w:szCs w:val="22"/>
        </w:rPr>
        <w:t>, over a median duration of exposure of 20.7 weeks.</w:t>
      </w:r>
    </w:p>
    <w:p w:rsidR="00641987" w:rsidRPr="00116A2A" w:rsidRDefault="00641987" w:rsidP="00641987"/>
    <w:p w:rsidR="00641987" w:rsidRPr="00116A2A" w:rsidRDefault="00641987" w:rsidP="00641987">
      <w:pPr>
        <w:pStyle w:val="Heading2"/>
      </w:pPr>
      <w:bookmarkStart w:id="13" w:name="_Toc430080589"/>
      <w:r w:rsidRPr="00116A2A">
        <w:t>Clinical claim</w:t>
      </w:r>
      <w:bookmarkEnd w:id="13"/>
    </w:p>
    <w:p w:rsidR="00641987" w:rsidRPr="00116A2A" w:rsidRDefault="00641987" w:rsidP="00641987">
      <w:pPr>
        <w:ind w:left="720" w:hanging="720"/>
        <w:rPr>
          <w:szCs w:val="22"/>
        </w:rPr>
      </w:pPr>
    </w:p>
    <w:p w:rsidR="00641987" w:rsidRPr="00703F89" w:rsidRDefault="00641987" w:rsidP="008F0074">
      <w:pPr>
        <w:pStyle w:val="ListParagraph"/>
        <w:widowControl/>
        <w:numPr>
          <w:ilvl w:val="1"/>
          <w:numId w:val="6"/>
        </w:numPr>
        <w:rPr>
          <w:szCs w:val="22"/>
        </w:rPr>
      </w:pPr>
      <w:r w:rsidRPr="00116A2A">
        <w:t>The submission described the addition of bevacizumab to chemotherapy alone as superior in terms of comparative effectiveness over chemotherapy alone and with a “manageable and acceptable safety profile”, in patients with advanced cervical cancer.  The</w:t>
      </w:r>
      <w:r w:rsidR="00B06CC3" w:rsidRPr="00116A2A">
        <w:t xml:space="preserve"> ESC agreed with the commentary that the</w:t>
      </w:r>
      <w:r w:rsidRPr="00116A2A">
        <w:t xml:space="preserve"> addition of bevacizumab to chemotherapy is inferior </w:t>
      </w:r>
      <w:r w:rsidR="00EC4ACA" w:rsidRPr="00116A2A">
        <w:t>to chemotherapy alone in terms of comparative safety</w:t>
      </w:r>
      <w:r w:rsidRPr="00116A2A">
        <w:t xml:space="preserve">.  </w:t>
      </w:r>
    </w:p>
    <w:p w:rsidR="00703F89" w:rsidRPr="00703F89" w:rsidRDefault="00703F89" w:rsidP="00703F89">
      <w:pPr>
        <w:pStyle w:val="ListParagraph"/>
        <w:widowControl/>
        <w:rPr>
          <w:szCs w:val="22"/>
        </w:rPr>
      </w:pPr>
    </w:p>
    <w:p w:rsidR="00703F89" w:rsidRPr="00116A2A" w:rsidRDefault="00703F89" w:rsidP="00703F89">
      <w:pPr>
        <w:pStyle w:val="ListParagraph"/>
        <w:numPr>
          <w:ilvl w:val="1"/>
          <w:numId w:val="6"/>
        </w:numPr>
      </w:pPr>
      <w:r w:rsidRPr="00116A2A">
        <w:t>The PBAC considered this claim was adequately supported for superior comparative effectiveness in terms of OS and PFS compared with chemotherapy alone.  However, the claim of manageable and acceptable safety profile was not adequately supported.  While bevacizumab has some clinical benefits</w:t>
      </w:r>
      <w:r>
        <w:t xml:space="preserve"> to patients</w:t>
      </w:r>
      <w:r w:rsidRPr="00116A2A">
        <w:t xml:space="preserve">, these </w:t>
      </w:r>
      <w:r>
        <w:t>may be counter-balanced</w:t>
      </w:r>
      <w:r w:rsidRPr="00116A2A">
        <w:t xml:space="preserve"> by clinical harms.</w:t>
      </w:r>
    </w:p>
    <w:p w:rsidR="00641987" w:rsidRPr="00116A2A" w:rsidRDefault="00641987" w:rsidP="00641987">
      <w:pPr>
        <w:ind w:left="720" w:hanging="720"/>
        <w:rPr>
          <w:szCs w:val="22"/>
        </w:rPr>
      </w:pPr>
    </w:p>
    <w:p w:rsidR="00102372" w:rsidRPr="00116A2A" w:rsidRDefault="00102372" w:rsidP="00102372">
      <w:pPr>
        <w:pStyle w:val="Heading2"/>
      </w:pPr>
      <w:bookmarkStart w:id="14" w:name="_Toc430080590"/>
      <w:r w:rsidRPr="00116A2A">
        <w:t>Economic analysis</w:t>
      </w:r>
      <w:bookmarkEnd w:id="14"/>
    </w:p>
    <w:p w:rsidR="00102372" w:rsidRPr="00116A2A" w:rsidRDefault="00102372" w:rsidP="00102372">
      <w:pPr>
        <w:ind w:left="720" w:hanging="720"/>
        <w:rPr>
          <w:szCs w:val="22"/>
        </w:rPr>
      </w:pPr>
    </w:p>
    <w:p w:rsidR="00102372" w:rsidRPr="00116A2A" w:rsidRDefault="00102372" w:rsidP="00102372">
      <w:pPr>
        <w:pStyle w:val="ListParagraph"/>
        <w:widowControl/>
        <w:numPr>
          <w:ilvl w:val="1"/>
          <w:numId w:val="6"/>
        </w:numPr>
        <w:rPr>
          <w:szCs w:val="22"/>
        </w:rPr>
      </w:pPr>
      <w:r w:rsidRPr="00116A2A">
        <w:t>The submission presented a stepped economic evaluation, based on a direct randomised trial (GOG 0240) and extrapolated beyond the trial duration to 7 years, using a Markov model with three health states: progression-free, progression and death. The model structure is summarised below.</w:t>
      </w:r>
    </w:p>
    <w:p w:rsidR="00102372" w:rsidRPr="00116A2A" w:rsidRDefault="00102372" w:rsidP="00102372">
      <w:pPr>
        <w:widowControl/>
        <w:rPr>
          <w:szCs w:val="22"/>
        </w:rPr>
      </w:pPr>
    </w:p>
    <w:p w:rsidR="00102372" w:rsidRPr="00116A2A" w:rsidRDefault="00102372" w:rsidP="00102372">
      <w:pPr>
        <w:pStyle w:val="TableHeader"/>
        <w:ind w:firstLine="720"/>
      </w:pPr>
      <w:r w:rsidRPr="00116A2A">
        <w:t xml:space="preserve">Table </w:t>
      </w:r>
      <w:r w:rsidR="005238DA" w:rsidRPr="00116A2A">
        <w:t>6</w:t>
      </w:r>
      <w:r w:rsidRPr="00116A2A">
        <w:t>: Summary of model structure and rationale</w:t>
      </w:r>
    </w:p>
    <w:tbl>
      <w:tblPr>
        <w:tblW w:w="8453"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6771"/>
      </w:tblGrid>
      <w:tr w:rsidR="00102372" w:rsidRPr="00116A2A" w:rsidTr="003D3945">
        <w:tc>
          <w:tcPr>
            <w:tcW w:w="1682"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Time horizon</w:t>
            </w:r>
          </w:p>
        </w:tc>
        <w:tc>
          <w:tcPr>
            <w:tcW w:w="6771"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 xml:space="preserve">7 years in the model base case (versus a median follow-up of 14.1 months in </w:t>
            </w:r>
            <w:r w:rsidR="006D6301" w:rsidRPr="00116A2A">
              <w:rPr>
                <w:rFonts w:ascii="Arial Narrow" w:hAnsi="Arial Narrow"/>
                <w:sz w:val="20"/>
              </w:rPr>
              <w:t xml:space="preserve">the </w:t>
            </w:r>
            <w:r w:rsidRPr="00116A2A">
              <w:rPr>
                <w:rFonts w:ascii="Arial Narrow" w:hAnsi="Arial Narrow"/>
                <w:sz w:val="20"/>
              </w:rPr>
              <w:t>trial)</w:t>
            </w:r>
          </w:p>
        </w:tc>
      </w:tr>
      <w:tr w:rsidR="00102372" w:rsidRPr="00116A2A" w:rsidTr="003D3945">
        <w:tc>
          <w:tcPr>
            <w:tcW w:w="1682"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Outcomes</w:t>
            </w:r>
          </w:p>
        </w:tc>
        <w:tc>
          <w:tcPr>
            <w:tcW w:w="6771"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LYs and QALYs</w:t>
            </w:r>
          </w:p>
        </w:tc>
      </w:tr>
      <w:tr w:rsidR="00102372" w:rsidRPr="00116A2A" w:rsidTr="003D3945">
        <w:tc>
          <w:tcPr>
            <w:tcW w:w="1682"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Methods used to generate results</w:t>
            </w:r>
          </w:p>
        </w:tc>
        <w:tc>
          <w:tcPr>
            <w:tcW w:w="6771"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Cohort expected value analysis using the area under the curve to calculate the outcomes and costs for each arm in the Markov model</w:t>
            </w:r>
          </w:p>
        </w:tc>
      </w:tr>
      <w:tr w:rsidR="00102372" w:rsidRPr="00116A2A" w:rsidTr="003D3945">
        <w:tc>
          <w:tcPr>
            <w:tcW w:w="1682"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Cycle length</w:t>
            </w:r>
          </w:p>
        </w:tc>
        <w:tc>
          <w:tcPr>
            <w:tcW w:w="6771"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Weekly</w:t>
            </w:r>
          </w:p>
        </w:tc>
      </w:tr>
      <w:tr w:rsidR="00102372" w:rsidRPr="00116A2A" w:rsidTr="003D3945">
        <w:tc>
          <w:tcPr>
            <w:tcW w:w="1682"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Transition probabilities</w:t>
            </w:r>
          </w:p>
        </w:tc>
        <w:tc>
          <w:tcPr>
            <w:tcW w:w="6771"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 xml:space="preserve">Calculated from observed and extrapolated Kaplan-Meier data for PFS and OS </w:t>
            </w:r>
          </w:p>
        </w:tc>
      </w:tr>
      <w:tr w:rsidR="00102372" w:rsidRPr="00116A2A" w:rsidTr="003D3945">
        <w:tc>
          <w:tcPr>
            <w:tcW w:w="1682"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Discount rate</w:t>
            </w:r>
          </w:p>
        </w:tc>
        <w:tc>
          <w:tcPr>
            <w:tcW w:w="6771"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5% for costs and outcomes</w:t>
            </w:r>
          </w:p>
        </w:tc>
      </w:tr>
      <w:tr w:rsidR="00102372" w:rsidRPr="00116A2A" w:rsidTr="003D3945">
        <w:tc>
          <w:tcPr>
            <w:tcW w:w="1682"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Software package</w:t>
            </w:r>
          </w:p>
        </w:tc>
        <w:tc>
          <w:tcPr>
            <w:tcW w:w="6771" w:type="dxa"/>
            <w:shd w:val="clear" w:color="auto" w:fill="auto"/>
          </w:tcPr>
          <w:p w:rsidR="00102372" w:rsidRPr="00116A2A" w:rsidRDefault="00102372" w:rsidP="003D3945">
            <w:pPr>
              <w:rPr>
                <w:rFonts w:ascii="Arial Narrow" w:hAnsi="Arial Narrow"/>
                <w:sz w:val="20"/>
              </w:rPr>
            </w:pPr>
            <w:r w:rsidRPr="00116A2A">
              <w:rPr>
                <w:rFonts w:ascii="Arial Narrow" w:hAnsi="Arial Narrow"/>
                <w:sz w:val="20"/>
              </w:rPr>
              <w:t>Excel 2010</w:t>
            </w:r>
          </w:p>
        </w:tc>
      </w:tr>
    </w:tbl>
    <w:p w:rsidR="00102372" w:rsidRPr="00116A2A" w:rsidRDefault="00102372" w:rsidP="00102372">
      <w:pPr>
        <w:pStyle w:val="TableFooter"/>
        <w:ind w:left="720"/>
      </w:pPr>
      <w:r w:rsidRPr="00116A2A">
        <w:t>LYs= life-years</w:t>
      </w:r>
      <w:r w:rsidR="00561355" w:rsidRPr="00116A2A">
        <w:t>; OS = overall survival; PFS = progression-free survival</w:t>
      </w:r>
      <w:r w:rsidRPr="00116A2A">
        <w:t>; QALYs = quality-adjusted life-years.</w:t>
      </w:r>
    </w:p>
    <w:p w:rsidR="00102372" w:rsidRPr="00116A2A" w:rsidRDefault="00102372" w:rsidP="00875AD3">
      <w:pPr>
        <w:pStyle w:val="TableFooter"/>
        <w:ind w:left="720"/>
      </w:pPr>
      <w:r w:rsidRPr="00116A2A">
        <w:t>Source: Constructed during the evaluation</w:t>
      </w:r>
    </w:p>
    <w:p w:rsidR="004B53C3" w:rsidRPr="004B53C3" w:rsidRDefault="004B53C3" w:rsidP="004B53C3">
      <w:pPr>
        <w:pStyle w:val="ListParagraph"/>
        <w:widowControl/>
        <w:rPr>
          <w:szCs w:val="22"/>
        </w:rPr>
      </w:pPr>
    </w:p>
    <w:p w:rsidR="00102372" w:rsidRPr="00116A2A" w:rsidRDefault="00102372" w:rsidP="00102372">
      <w:pPr>
        <w:pStyle w:val="ListParagraph"/>
        <w:widowControl/>
        <w:numPr>
          <w:ilvl w:val="1"/>
          <w:numId w:val="6"/>
        </w:numPr>
        <w:rPr>
          <w:szCs w:val="22"/>
        </w:rPr>
      </w:pPr>
      <w:r w:rsidRPr="00116A2A">
        <w:t>The key drivers of the model are summarised below.</w:t>
      </w:r>
    </w:p>
    <w:p w:rsidR="00102372" w:rsidRPr="00116A2A" w:rsidRDefault="00102372" w:rsidP="007D08E2">
      <w:pPr>
        <w:widowControl/>
        <w:spacing w:line="720" w:lineRule="auto"/>
        <w:rPr>
          <w:szCs w:val="22"/>
        </w:rPr>
      </w:pPr>
    </w:p>
    <w:p w:rsidR="004B53C3" w:rsidRDefault="004B53C3">
      <w:pPr>
        <w:widowControl/>
        <w:jc w:val="left"/>
        <w:rPr>
          <w:rFonts w:ascii="Arial Narrow" w:hAnsi="Arial Narrow"/>
          <w:b/>
          <w:sz w:val="20"/>
        </w:rPr>
      </w:pPr>
      <w:r>
        <w:br w:type="page"/>
      </w:r>
    </w:p>
    <w:p w:rsidR="00102372" w:rsidRPr="00116A2A" w:rsidRDefault="005238DA" w:rsidP="00102372">
      <w:pPr>
        <w:pStyle w:val="TableHeader"/>
        <w:ind w:firstLine="720"/>
      </w:pPr>
      <w:r w:rsidRPr="00116A2A">
        <w:lastRenderedPageBreak/>
        <w:t>Table 7</w:t>
      </w:r>
      <w:r w:rsidR="00102372" w:rsidRPr="00116A2A">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8"/>
        <w:gridCol w:w="3827"/>
        <w:gridCol w:w="2250"/>
      </w:tblGrid>
      <w:tr w:rsidR="00102372" w:rsidRPr="00116A2A" w:rsidTr="003D3945">
        <w:trPr>
          <w:tblHeader/>
        </w:trPr>
        <w:tc>
          <w:tcPr>
            <w:tcW w:w="1359" w:type="pct"/>
            <w:shd w:val="clear" w:color="auto" w:fill="auto"/>
            <w:vAlign w:val="center"/>
          </w:tcPr>
          <w:p w:rsidR="00102372" w:rsidRPr="00116A2A" w:rsidRDefault="00102372" w:rsidP="003D3945">
            <w:pPr>
              <w:jc w:val="left"/>
              <w:rPr>
                <w:rFonts w:ascii="Arial Narrow" w:hAnsi="Arial Narrow"/>
                <w:b/>
                <w:sz w:val="20"/>
                <w:lang w:val="en-US"/>
              </w:rPr>
            </w:pPr>
            <w:r w:rsidRPr="00116A2A">
              <w:rPr>
                <w:rFonts w:ascii="Arial Narrow" w:hAnsi="Arial Narrow"/>
                <w:b/>
                <w:sz w:val="20"/>
                <w:lang w:val="en-US"/>
              </w:rPr>
              <w:t>Description</w:t>
            </w:r>
          </w:p>
        </w:tc>
        <w:tc>
          <w:tcPr>
            <w:tcW w:w="2293" w:type="pct"/>
            <w:shd w:val="clear" w:color="auto" w:fill="auto"/>
            <w:vAlign w:val="center"/>
          </w:tcPr>
          <w:p w:rsidR="00102372" w:rsidRPr="00116A2A" w:rsidRDefault="00102372" w:rsidP="003D3945">
            <w:pPr>
              <w:jc w:val="center"/>
              <w:rPr>
                <w:rFonts w:ascii="Arial Narrow" w:hAnsi="Arial Narrow"/>
                <w:b/>
                <w:sz w:val="20"/>
                <w:lang w:val="en-US"/>
              </w:rPr>
            </w:pPr>
            <w:r w:rsidRPr="00116A2A">
              <w:rPr>
                <w:rFonts w:ascii="Arial Narrow" w:hAnsi="Arial Narrow"/>
                <w:b/>
                <w:sz w:val="20"/>
                <w:lang w:val="en-US"/>
              </w:rPr>
              <w:t>Method/Value</w:t>
            </w:r>
          </w:p>
        </w:tc>
        <w:tc>
          <w:tcPr>
            <w:tcW w:w="1348" w:type="pct"/>
            <w:shd w:val="clear" w:color="auto" w:fill="auto"/>
            <w:vAlign w:val="center"/>
          </w:tcPr>
          <w:p w:rsidR="00102372" w:rsidRPr="00116A2A" w:rsidRDefault="00102372" w:rsidP="003D3945">
            <w:pPr>
              <w:jc w:val="center"/>
              <w:rPr>
                <w:rFonts w:ascii="Arial Narrow" w:hAnsi="Arial Narrow"/>
                <w:b/>
                <w:sz w:val="20"/>
                <w:lang w:val="en-US"/>
              </w:rPr>
            </w:pPr>
            <w:r w:rsidRPr="00116A2A">
              <w:rPr>
                <w:rFonts w:ascii="Arial Narrow" w:hAnsi="Arial Narrow"/>
                <w:b/>
                <w:sz w:val="20"/>
                <w:lang w:val="en-US"/>
              </w:rPr>
              <w:t>Impact</w:t>
            </w:r>
          </w:p>
        </w:tc>
      </w:tr>
      <w:tr w:rsidR="00102372" w:rsidRPr="00116A2A" w:rsidTr="003D3945">
        <w:tc>
          <w:tcPr>
            <w:tcW w:w="1359" w:type="pct"/>
            <w:shd w:val="clear" w:color="auto" w:fill="auto"/>
            <w:vAlign w:val="center"/>
          </w:tcPr>
          <w:p w:rsidR="00102372" w:rsidRPr="00116A2A" w:rsidRDefault="00102372" w:rsidP="003D3945">
            <w:pPr>
              <w:jc w:val="left"/>
              <w:rPr>
                <w:rFonts w:ascii="Arial Narrow" w:hAnsi="Arial Narrow"/>
                <w:sz w:val="20"/>
                <w:lang w:val="en-US"/>
              </w:rPr>
            </w:pPr>
            <w:r w:rsidRPr="00116A2A">
              <w:rPr>
                <w:rFonts w:ascii="Arial Narrow" w:hAnsi="Arial Narrow"/>
                <w:sz w:val="20"/>
                <w:lang w:val="en-US"/>
              </w:rPr>
              <w:t>Assumption of continued treatment effect of bevacizumab beyond trial observation and after treatment completion</w:t>
            </w:r>
          </w:p>
        </w:tc>
        <w:tc>
          <w:tcPr>
            <w:tcW w:w="2293" w:type="pct"/>
            <w:shd w:val="clear" w:color="auto" w:fill="auto"/>
            <w:vAlign w:val="center"/>
          </w:tcPr>
          <w:p w:rsidR="00102372" w:rsidRPr="00116A2A" w:rsidRDefault="00102372" w:rsidP="003D3945">
            <w:pPr>
              <w:jc w:val="left"/>
              <w:rPr>
                <w:rFonts w:ascii="Arial Narrow" w:hAnsi="Arial Narrow"/>
                <w:sz w:val="20"/>
                <w:lang w:val="en-US"/>
              </w:rPr>
            </w:pPr>
            <w:r w:rsidRPr="00116A2A">
              <w:rPr>
                <w:rFonts w:ascii="Arial Narrow" w:hAnsi="Arial Narrow"/>
                <w:sz w:val="20"/>
                <w:lang w:val="en-US"/>
              </w:rPr>
              <w:t xml:space="preserve">The submission has assumed a continued treatment effect of bevacizumab in the extrapolated portion of PFS and OS curves, without providing a justification. </w:t>
            </w:r>
            <w:r w:rsidR="00D73B9A" w:rsidRPr="00116A2A">
              <w:rPr>
                <w:rFonts w:ascii="Arial Narrow" w:hAnsi="Arial Narrow"/>
                <w:sz w:val="20"/>
                <w:lang w:val="en-US"/>
              </w:rPr>
              <w:t>The ESC noted the addition of bevacizumab showed greater gain in median PFS (</w:t>
            </w:r>
            <w:r w:rsidR="009C70C9">
              <w:rPr>
                <w:rFonts w:ascii="Arial Narrow" w:hAnsi="Arial Narrow"/>
                <w:noProof/>
                <w:color w:val="000000"/>
                <w:sz w:val="20"/>
                <w:highlight w:val="black"/>
                <w:lang w:val="en-US"/>
              </w:rPr>
              <w:t>''''''</w:t>
            </w:r>
            <w:r w:rsidR="00D73B9A" w:rsidRPr="00116A2A">
              <w:rPr>
                <w:rFonts w:ascii="Arial Narrow" w:hAnsi="Arial Narrow"/>
                <w:sz w:val="20"/>
                <w:lang w:val="en-US"/>
              </w:rPr>
              <w:t>%) than in median OS (</w:t>
            </w:r>
            <w:r w:rsidR="009C70C9">
              <w:rPr>
                <w:rFonts w:ascii="Arial Narrow" w:hAnsi="Arial Narrow"/>
                <w:noProof/>
                <w:color w:val="000000"/>
                <w:sz w:val="20"/>
                <w:highlight w:val="black"/>
                <w:lang w:val="en-US"/>
              </w:rPr>
              <w:t>''''''''''</w:t>
            </w:r>
            <w:r w:rsidR="00D73B9A" w:rsidRPr="00116A2A">
              <w:rPr>
                <w:rFonts w:ascii="Arial Narrow" w:hAnsi="Arial Narrow"/>
                <w:sz w:val="20"/>
                <w:lang w:val="en-US"/>
              </w:rPr>
              <w:t xml:space="preserve">% (Dec 2012 cut-off) or </w:t>
            </w:r>
            <w:r w:rsidR="009C70C9">
              <w:rPr>
                <w:rFonts w:ascii="Arial Narrow" w:hAnsi="Arial Narrow"/>
                <w:noProof/>
                <w:color w:val="000000"/>
                <w:sz w:val="20"/>
                <w:highlight w:val="black"/>
                <w:lang w:val="en-US"/>
              </w:rPr>
              <w:t>'''''''''''</w:t>
            </w:r>
            <w:r w:rsidR="00D73B9A" w:rsidRPr="00116A2A">
              <w:rPr>
                <w:rFonts w:ascii="Arial Narrow" w:hAnsi="Arial Narrow"/>
                <w:sz w:val="20"/>
                <w:lang w:val="en-US"/>
              </w:rPr>
              <w:t xml:space="preserve">% (March 2014 cut-off)).  </w:t>
            </w:r>
          </w:p>
        </w:tc>
        <w:tc>
          <w:tcPr>
            <w:tcW w:w="1348" w:type="pct"/>
            <w:shd w:val="clear" w:color="auto" w:fill="auto"/>
            <w:vAlign w:val="center"/>
          </w:tcPr>
          <w:p w:rsidR="00102372" w:rsidRPr="00116A2A" w:rsidRDefault="00FE4723" w:rsidP="003D3945">
            <w:pPr>
              <w:jc w:val="center"/>
              <w:rPr>
                <w:rFonts w:ascii="Arial Narrow" w:hAnsi="Arial Narrow"/>
                <w:sz w:val="20"/>
                <w:lang w:val="en-US"/>
              </w:rPr>
            </w:pPr>
            <w:r w:rsidRPr="00116A2A">
              <w:rPr>
                <w:rFonts w:ascii="Arial Narrow" w:hAnsi="Arial Narrow"/>
                <w:sz w:val="20"/>
                <w:lang w:val="en-US"/>
              </w:rPr>
              <w:t>High</w:t>
            </w:r>
            <w:r w:rsidR="00102372" w:rsidRPr="00116A2A">
              <w:rPr>
                <w:rFonts w:ascii="Arial Narrow" w:hAnsi="Arial Narrow"/>
                <w:sz w:val="20"/>
                <w:lang w:val="en-US"/>
              </w:rPr>
              <w:t>, favours bevacizumab</w:t>
            </w:r>
          </w:p>
        </w:tc>
      </w:tr>
      <w:tr w:rsidR="00102372" w:rsidRPr="00116A2A" w:rsidTr="003D3945">
        <w:tc>
          <w:tcPr>
            <w:tcW w:w="1359" w:type="pct"/>
            <w:shd w:val="clear" w:color="auto" w:fill="auto"/>
            <w:vAlign w:val="center"/>
          </w:tcPr>
          <w:p w:rsidR="00102372" w:rsidRPr="00116A2A" w:rsidRDefault="00102372" w:rsidP="003D3945">
            <w:pPr>
              <w:jc w:val="left"/>
              <w:rPr>
                <w:rFonts w:ascii="Arial Narrow" w:hAnsi="Arial Narrow"/>
                <w:sz w:val="20"/>
                <w:lang w:val="en-US"/>
              </w:rPr>
            </w:pPr>
            <w:r w:rsidRPr="00116A2A">
              <w:rPr>
                <w:rFonts w:ascii="Arial Narrow" w:hAnsi="Arial Narrow"/>
                <w:sz w:val="20"/>
                <w:lang w:val="en-US"/>
              </w:rPr>
              <w:t>Time horizon</w:t>
            </w:r>
          </w:p>
        </w:tc>
        <w:tc>
          <w:tcPr>
            <w:tcW w:w="2293" w:type="pct"/>
            <w:shd w:val="clear" w:color="auto" w:fill="auto"/>
            <w:vAlign w:val="center"/>
          </w:tcPr>
          <w:p w:rsidR="00102372" w:rsidRPr="00116A2A" w:rsidRDefault="00102372" w:rsidP="005D51F1">
            <w:pPr>
              <w:jc w:val="left"/>
              <w:rPr>
                <w:rFonts w:ascii="Arial Narrow" w:hAnsi="Arial Narrow"/>
                <w:sz w:val="20"/>
                <w:lang w:val="en-US"/>
              </w:rPr>
            </w:pPr>
            <w:r w:rsidRPr="00116A2A">
              <w:rPr>
                <w:rFonts w:ascii="Arial Narrow" w:hAnsi="Arial Narrow"/>
                <w:sz w:val="20"/>
                <w:lang w:val="en-US"/>
              </w:rPr>
              <w:t xml:space="preserve">7 years, </w:t>
            </w:r>
            <w:r w:rsidR="005D51F1" w:rsidRPr="00116A2A">
              <w:rPr>
                <w:rFonts w:ascii="Arial Narrow" w:hAnsi="Arial Narrow"/>
                <w:sz w:val="20"/>
                <w:lang w:val="en-US"/>
              </w:rPr>
              <w:t xml:space="preserve">which is </w:t>
            </w:r>
            <w:r w:rsidRPr="00116A2A">
              <w:rPr>
                <w:rFonts w:ascii="Arial Narrow" w:hAnsi="Arial Narrow"/>
                <w:sz w:val="20"/>
                <w:lang w:val="en-US"/>
              </w:rPr>
              <w:t xml:space="preserve">longer than the maximum survival follow-up of 4.7 years in the trial (as in the bevacizumab + chemotherapy arm) </w:t>
            </w:r>
          </w:p>
        </w:tc>
        <w:tc>
          <w:tcPr>
            <w:tcW w:w="1348" w:type="pct"/>
            <w:shd w:val="clear" w:color="auto" w:fill="auto"/>
            <w:vAlign w:val="center"/>
          </w:tcPr>
          <w:p w:rsidR="00102372" w:rsidRPr="00116A2A" w:rsidRDefault="00102372" w:rsidP="003D3945">
            <w:pPr>
              <w:jc w:val="center"/>
              <w:rPr>
                <w:rFonts w:ascii="Arial Narrow" w:hAnsi="Arial Narrow"/>
                <w:sz w:val="20"/>
                <w:lang w:val="en-US"/>
              </w:rPr>
            </w:pPr>
            <w:r w:rsidRPr="00116A2A">
              <w:rPr>
                <w:rFonts w:ascii="Arial Narrow" w:hAnsi="Arial Narrow"/>
                <w:sz w:val="20"/>
                <w:lang w:val="en-US"/>
              </w:rPr>
              <w:t>Moderate, favours bevacizumab</w:t>
            </w:r>
          </w:p>
        </w:tc>
      </w:tr>
      <w:tr w:rsidR="00102372" w:rsidRPr="00116A2A" w:rsidTr="003D3945">
        <w:tc>
          <w:tcPr>
            <w:tcW w:w="1359" w:type="pct"/>
            <w:shd w:val="clear" w:color="auto" w:fill="auto"/>
            <w:vAlign w:val="center"/>
          </w:tcPr>
          <w:p w:rsidR="00102372" w:rsidRPr="00116A2A" w:rsidRDefault="00102372" w:rsidP="003D3945">
            <w:pPr>
              <w:jc w:val="left"/>
              <w:rPr>
                <w:rFonts w:ascii="Arial Narrow" w:hAnsi="Arial Narrow"/>
                <w:sz w:val="20"/>
                <w:lang w:val="en-US"/>
              </w:rPr>
            </w:pPr>
            <w:r w:rsidRPr="00116A2A">
              <w:rPr>
                <w:rFonts w:ascii="Arial Narrow" w:hAnsi="Arial Narrow"/>
                <w:sz w:val="20"/>
                <w:lang w:val="en-US"/>
              </w:rPr>
              <w:t>Time point for truncation of trial-based OS curve and to extrapolate</w:t>
            </w:r>
          </w:p>
        </w:tc>
        <w:tc>
          <w:tcPr>
            <w:tcW w:w="2293" w:type="pct"/>
            <w:shd w:val="clear" w:color="auto" w:fill="auto"/>
            <w:vAlign w:val="center"/>
          </w:tcPr>
          <w:p w:rsidR="00102372" w:rsidRPr="00116A2A" w:rsidRDefault="00102372" w:rsidP="003D3945">
            <w:pPr>
              <w:jc w:val="left"/>
              <w:rPr>
                <w:rFonts w:ascii="Arial Narrow" w:hAnsi="Arial Narrow"/>
                <w:sz w:val="20"/>
                <w:lang w:val="en-US"/>
              </w:rPr>
            </w:pPr>
            <w:r w:rsidRPr="00116A2A">
              <w:rPr>
                <w:rFonts w:ascii="Arial Narrow" w:hAnsi="Arial Narrow"/>
                <w:sz w:val="20"/>
                <w:lang w:val="en-US"/>
              </w:rPr>
              <w:t>14.1 months median duration of follow-up in the GOG 0240 trial</w:t>
            </w:r>
          </w:p>
        </w:tc>
        <w:tc>
          <w:tcPr>
            <w:tcW w:w="1348" w:type="pct"/>
            <w:shd w:val="clear" w:color="auto" w:fill="auto"/>
            <w:vAlign w:val="center"/>
          </w:tcPr>
          <w:p w:rsidR="00102372" w:rsidRPr="00116A2A" w:rsidRDefault="00102372" w:rsidP="003D3945">
            <w:pPr>
              <w:jc w:val="center"/>
              <w:rPr>
                <w:rFonts w:ascii="Arial Narrow" w:hAnsi="Arial Narrow"/>
                <w:sz w:val="20"/>
                <w:lang w:val="en-US"/>
              </w:rPr>
            </w:pPr>
            <w:r w:rsidRPr="00116A2A">
              <w:rPr>
                <w:rFonts w:ascii="Arial Narrow" w:hAnsi="Arial Narrow"/>
                <w:sz w:val="20"/>
                <w:lang w:val="en-US"/>
              </w:rPr>
              <w:t>Moderate, favours bevacizumab</w:t>
            </w:r>
          </w:p>
        </w:tc>
      </w:tr>
      <w:tr w:rsidR="00102372" w:rsidRPr="00116A2A" w:rsidTr="003D3945">
        <w:tc>
          <w:tcPr>
            <w:tcW w:w="1359" w:type="pct"/>
            <w:shd w:val="clear" w:color="auto" w:fill="auto"/>
            <w:vAlign w:val="center"/>
          </w:tcPr>
          <w:p w:rsidR="00102372" w:rsidRPr="00116A2A" w:rsidRDefault="00102372" w:rsidP="003D3945">
            <w:pPr>
              <w:jc w:val="left"/>
              <w:rPr>
                <w:rFonts w:ascii="Arial Narrow" w:hAnsi="Arial Narrow"/>
                <w:sz w:val="20"/>
                <w:lang w:val="en-US"/>
              </w:rPr>
            </w:pPr>
            <w:r w:rsidRPr="00116A2A">
              <w:rPr>
                <w:rFonts w:ascii="Arial Narrow" w:hAnsi="Arial Narrow"/>
                <w:sz w:val="20"/>
                <w:lang w:val="en-US"/>
              </w:rPr>
              <w:t>Type of parametric functions for extrapolation</w:t>
            </w:r>
          </w:p>
        </w:tc>
        <w:tc>
          <w:tcPr>
            <w:tcW w:w="2293" w:type="pct"/>
            <w:shd w:val="clear" w:color="auto" w:fill="auto"/>
            <w:vAlign w:val="center"/>
          </w:tcPr>
          <w:p w:rsidR="00102372" w:rsidRPr="00116A2A" w:rsidRDefault="00102372" w:rsidP="006D6301">
            <w:pPr>
              <w:jc w:val="left"/>
              <w:rPr>
                <w:rFonts w:ascii="Arial Narrow" w:hAnsi="Arial Narrow"/>
                <w:sz w:val="20"/>
                <w:lang w:val="en-US"/>
              </w:rPr>
            </w:pPr>
            <w:r w:rsidRPr="00116A2A">
              <w:rPr>
                <w:rFonts w:ascii="Arial Narrow" w:hAnsi="Arial Narrow"/>
                <w:sz w:val="20"/>
                <w:lang w:val="en-US"/>
              </w:rPr>
              <w:t>Gamma distribution in the base case and other parametric distributions in sensitivity analyses. The submission only addresse</w:t>
            </w:r>
            <w:r w:rsidR="006D6301" w:rsidRPr="00116A2A">
              <w:rPr>
                <w:rFonts w:ascii="Arial Narrow" w:hAnsi="Arial Narrow"/>
                <w:sz w:val="20"/>
                <w:lang w:val="en-US"/>
              </w:rPr>
              <w:t>d</w:t>
            </w:r>
            <w:r w:rsidRPr="00116A2A">
              <w:rPr>
                <w:rFonts w:ascii="Arial Narrow" w:hAnsi="Arial Narrow"/>
                <w:sz w:val="20"/>
                <w:lang w:val="en-US"/>
              </w:rPr>
              <w:t xml:space="preserve"> the issues of goodness of fit to the observed trial data</w:t>
            </w:r>
            <w:r w:rsidR="006D6301" w:rsidRPr="00116A2A">
              <w:rPr>
                <w:rFonts w:ascii="Arial Narrow" w:hAnsi="Arial Narrow"/>
                <w:sz w:val="20"/>
                <w:lang w:val="en-US"/>
              </w:rPr>
              <w:t xml:space="preserve">, but failed to discuss the plausibility that </w:t>
            </w:r>
            <w:r w:rsidRPr="00116A2A">
              <w:rPr>
                <w:rFonts w:ascii="Arial Narrow" w:hAnsi="Arial Narrow"/>
                <w:sz w:val="20"/>
                <w:lang w:val="en-US"/>
              </w:rPr>
              <w:t xml:space="preserve">the parametric function </w:t>
            </w:r>
            <w:r w:rsidR="006D6301" w:rsidRPr="00116A2A">
              <w:rPr>
                <w:rFonts w:ascii="Arial Narrow" w:hAnsi="Arial Narrow"/>
                <w:sz w:val="20"/>
                <w:lang w:val="en-US"/>
              </w:rPr>
              <w:t>would also</w:t>
            </w:r>
            <w:r w:rsidRPr="00116A2A">
              <w:rPr>
                <w:rFonts w:ascii="Arial Narrow" w:hAnsi="Arial Narrow"/>
                <w:sz w:val="20"/>
                <w:lang w:val="en-US"/>
              </w:rPr>
              <w:t xml:space="preserve"> give accurate predictions in the unobserved period.</w:t>
            </w:r>
          </w:p>
        </w:tc>
        <w:tc>
          <w:tcPr>
            <w:tcW w:w="1348" w:type="pct"/>
            <w:shd w:val="clear" w:color="auto" w:fill="auto"/>
            <w:vAlign w:val="center"/>
          </w:tcPr>
          <w:p w:rsidR="00102372" w:rsidRPr="00116A2A" w:rsidRDefault="00102372" w:rsidP="003D3945">
            <w:pPr>
              <w:jc w:val="center"/>
              <w:rPr>
                <w:rFonts w:ascii="Arial Narrow" w:hAnsi="Arial Narrow"/>
                <w:sz w:val="20"/>
                <w:lang w:val="en-US"/>
              </w:rPr>
            </w:pPr>
            <w:r w:rsidRPr="00116A2A">
              <w:rPr>
                <w:rFonts w:ascii="Arial Narrow" w:hAnsi="Arial Narrow"/>
                <w:sz w:val="20"/>
                <w:lang w:val="en-US"/>
              </w:rPr>
              <w:t>Low, uncertain</w:t>
            </w:r>
          </w:p>
        </w:tc>
      </w:tr>
      <w:tr w:rsidR="00102372" w:rsidRPr="00116A2A" w:rsidTr="003D3945">
        <w:tc>
          <w:tcPr>
            <w:tcW w:w="1359" w:type="pct"/>
            <w:shd w:val="clear" w:color="auto" w:fill="auto"/>
            <w:vAlign w:val="center"/>
          </w:tcPr>
          <w:p w:rsidR="00102372" w:rsidRPr="00116A2A" w:rsidRDefault="00102372" w:rsidP="003D3945">
            <w:pPr>
              <w:jc w:val="left"/>
              <w:rPr>
                <w:rFonts w:ascii="Arial Narrow" w:hAnsi="Arial Narrow"/>
                <w:sz w:val="20"/>
                <w:lang w:val="en-US"/>
              </w:rPr>
            </w:pPr>
            <w:r w:rsidRPr="00116A2A">
              <w:rPr>
                <w:rFonts w:ascii="Arial Narrow" w:hAnsi="Arial Narrow"/>
                <w:sz w:val="20"/>
                <w:lang w:val="en-US"/>
              </w:rPr>
              <w:t>Utility weights associated with each health state,</w:t>
            </w:r>
            <w:r w:rsidRPr="00116A2A">
              <w:t xml:space="preserve"> </w:t>
            </w:r>
            <w:r w:rsidRPr="00116A2A">
              <w:rPr>
                <w:rFonts w:ascii="Arial Narrow" w:hAnsi="Arial Narrow"/>
                <w:sz w:val="20"/>
                <w:lang w:val="en-US"/>
              </w:rPr>
              <w:t>particularly post-progression health state</w:t>
            </w:r>
          </w:p>
        </w:tc>
        <w:tc>
          <w:tcPr>
            <w:tcW w:w="2293" w:type="pct"/>
            <w:shd w:val="clear" w:color="auto" w:fill="auto"/>
            <w:vAlign w:val="center"/>
          </w:tcPr>
          <w:p w:rsidR="00102372" w:rsidRPr="00116A2A" w:rsidRDefault="00102372" w:rsidP="00561355">
            <w:pPr>
              <w:jc w:val="left"/>
              <w:rPr>
                <w:rFonts w:ascii="Arial Narrow" w:hAnsi="Arial Narrow"/>
                <w:sz w:val="20"/>
                <w:lang w:val="en-US"/>
              </w:rPr>
            </w:pPr>
            <w:r w:rsidRPr="00116A2A">
              <w:rPr>
                <w:rFonts w:ascii="Arial Narrow" w:hAnsi="Arial Narrow"/>
                <w:sz w:val="20"/>
                <w:lang w:val="en-US"/>
              </w:rPr>
              <w:t xml:space="preserve">Post-progression health state: </w:t>
            </w:r>
            <w:r w:rsidR="009C70C9">
              <w:rPr>
                <w:rFonts w:ascii="Arial Narrow" w:hAnsi="Arial Narrow"/>
                <w:noProof/>
                <w:color w:val="000000"/>
                <w:sz w:val="20"/>
                <w:highlight w:val="black"/>
                <w:lang w:val="en-US"/>
              </w:rPr>
              <w:t>'''''''''''''''</w:t>
            </w:r>
            <w:r w:rsidRPr="00116A2A">
              <w:rPr>
                <w:rFonts w:ascii="Arial Narrow" w:hAnsi="Arial Narrow"/>
                <w:sz w:val="20"/>
                <w:lang w:val="en-US"/>
              </w:rPr>
              <w:t xml:space="preserve"> in the base case. This appears to be an overestimate.</w:t>
            </w:r>
            <w:r w:rsidR="006D6301" w:rsidRPr="00116A2A">
              <w:rPr>
                <w:rFonts w:ascii="Arial Narrow" w:hAnsi="Arial Narrow"/>
                <w:sz w:val="20"/>
                <w:lang w:val="en-US"/>
              </w:rPr>
              <w:t xml:space="preserve"> </w:t>
            </w:r>
            <w:r w:rsidR="00561355" w:rsidRPr="00116A2A">
              <w:rPr>
                <w:rFonts w:ascii="Arial Narrow" w:hAnsi="Arial Narrow"/>
                <w:sz w:val="20"/>
                <w:lang w:val="en-US"/>
              </w:rPr>
              <w:t>In addition, t</w:t>
            </w:r>
            <w:r w:rsidR="006D6301" w:rsidRPr="00116A2A">
              <w:rPr>
                <w:rFonts w:ascii="Arial Narrow" w:hAnsi="Arial Narrow"/>
                <w:sz w:val="20"/>
                <w:lang w:val="en-US"/>
              </w:rPr>
              <w:t>he ‘mapped’ utility values used in the submission lack face validity, in that they do not reflect the QoL decrement from baseline during treatment, as observed in GOG 0240.</w:t>
            </w:r>
          </w:p>
          <w:p w:rsidR="00A53037" w:rsidRPr="00116A2A" w:rsidRDefault="00A53037" w:rsidP="00561355">
            <w:pPr>
              <w:jc w:val="left"/>
              <w:rPr>
                <w:rFonts w:ascii="Arial Narrow" w:hAnsi="Arial Narrow"/>
                <w:sz w:val="20"/>
                <w:lang w:val="en-US"/>
              </w:rPr>
            </w:pPr>
          </w:p>
          <w:p w:rsidR="00A53037" w:rsidRPr="00116A2A" w:rsidRDefault="00A53037" w:rsidP="00561355">
            <w:pPr>
              <w:jc w:val="left"/>
              <w:rPr>
                <w:rFonts w:ascii="Arial Narrow" w:hAnsi="Arial Narrow"/>
                <w:sz w:val="20"/>
                <w:lang w:val="en-US"/>
              </w:rPr>
            </w:pPr>
            <w:r w:rsidRPr="00116A2A">
              <w:rPr>
                <w:rFonts w:ascii="Arial Narrow" w:hAnsi="Arial Narrow"/>
                <w:sz w:val="20"/>
                <w:lang w:val="en-US"/>
              </w:rPr>
              <w:t>The ESC noted the submission pools utility scores post-progression (applying a single value for those who received bevacizumab and those who did not), which may favour bevacizumab</w:t>
            </w:r>
            <w:r w:rsidR="005D51F1" w:rsidRPr="00116A2A">
              <w:rPr>
                <w:rFonts w:ascii="Arial Narrow" w:hAnsi="Arial Narrow"/>
                <w:sz w:val="20"/>
                <w:lang w:val="en-US"/>
              </w:rPr>
              <w:t>,</w:t>
            </w:r>
            <w:r w:rsidR="00B838DF" w:rsidRPr="00116A2A">
              <w:rPr>
                <w:rFonts w:ascii="Arial Narrow" w:hAnsi="Arial Narrow"/>
                <w:sz w:val="20"/>
                <w:lang w:val="en-US"/>
              </w:rPr>
              <w:t xml:space="preserve"> </w:t>
            </w:r>
            <w:r w:rsidR="005D51F1" w:rsidRPr="00116A2A">
              <w:rPr>
                <w:rFonts w:ascii="Arial Narrow" w:hAnsi="Arial Narrow"/>
                <w:sz w:val="20"/>
                <w:lang w:val="en-US"/>
              </w:rPr>
              <w:t>given the adverse event profile</w:t>
            </w:r>
            <w:r w:rsidRPr="00116A2A">
              <w:rPr>
                <w:rFonts w:ascii="Arial Narrow" w:hAnsi="Arial Narrow"/>
                <w:sz w:val="20"/>
                <w:lang w:val="en-US"/>
              </w:rPr>
              <w:t xml:space="preserve">. </w:t>
            </w:r>
          </w:p>
        </w:tc>
        <w:tc>
          <w:tcPr>
            <w:tcW w:w="1348" w:type="pct"/>
            <w:shd w:val="clear" w:color="auto" w:fill="auto"/>
            <w:vAlign w:val="center"/>
          </w:tcPr>
          <w:p w:rsidR="00102372" w:rsidRPr="00116A2A" w:rsidRDefault="00102372" w:rsidP="003D3945">
            <w:pPr>
              <w:jc w:val="center"/>
              <w:rPr>
                <w:rFonts w:ascii="Arial Narrow" w:hAnsi="Arial Narrow"/>
                <w:sz w:val="20"/>
                <w:lang w:val="en-US"/>
              </w:rPr>
            </w:pPr>
            <w:r w:rsidRPr="00116A2A">
              <w:rPr>
                <w:rFonts w:ascii="Arial Narrow" w:hAnsi="Arial Narrow"/>
                <w:sz w:val="20"/>
                <w:lang w:val="en-US"/>
              </w:rPr>
              <w:t>Low, favours bevacizumab</w:t>
            </w:r>
          </w:p>
        </w:tc>
      </w:tr>
    </w:tbl>
    <w:p w:rsidR="006D6301" w:rsidRPr="00116A2A" w:rsidRDefault="006D6301" w:rsidP="00102372">
      <w:pPr>
        <w:pStyle w:val="TableFooter"/>
        <w:ind w:firstLine="720"/>
      </w:pPr>
      <w:r w:rsidRPr="00116A2A">
        <w:t>OS = overall survival; PFS = progression-free survival; QoL = quality of life.</w:t>
      </w:r>
    </w:p>
    <w:p w:rsidR="00102372" w:rsidRPr="00116A2A" w:rsidRDefault="00102372" w:rsidP="00102372">
      <w:pPr>
        <w:pStyle w:val="TableFooter"/>
        <w:ind w:firstLine="720"/>
      </w:pPr>
      <w:r w:rsidRPr="00116A2A">
        <w:t>Source: compiled during the evaluation</w:t>
      </w:r>
    </w:p>
    <w:p w:rsidR="00102372" w:rsidRPr="00116A2A" w:rsidRDefault="00102372" w:rsidP="00102372">
      <w:pPr>
        <w:widowControl/>
        <w:rPr>
          <w:szCs w:val="22"/>
        </w:rPr>
      </w:pPr>
    </w:p>
    <w:p w:rsidR="00D73B9A" w:rsidRPr="00116A2A" w:rsidRDefault="00D73B9A" w:rsidP="00D73B9A">
      <w:pPr>
        <w:pStyle w:val="ListParagraph"/>
        <w:widowControl/>
        <w:numPr>
          <w:ilvl w:val="1"/>
          <w:numId w:val="6"/>
        </w:numPr>
        <w:rPr>
          <w:szCs w:val="22"/>
        </w:rPr>
      </w:pPr>
      <w:r w:rsidRPr="00116A2A">
        <w:rPr>
          <w:szCs w:val="22"/>
        </w:rPr>
        <w:t>The ESC considered that the base case ICER/QALY  likely  represents a lower boundary of a plausible range of cost-effectiveness for the following reasons (some of which are further discussed below):</w:t>
      </w:r>
    </w:p>
    <w:p w:rsidR="00B06CC3" w:rsidRPr="00116A2A" w:rsidRDefault="00B06CC3" w:rsidP="00B06CC3">
      <w:pPr>
        <w:pStyle w:val="ListParagraph"/>
        <w:widowControl/>
        <w:numPr>
          <w:ilvl w:val="0"/>
          <w:numId w:val="39"/>
        </w:numPr>
        <w:ind w:left="993" w:hanging="284"/>
        <w:rPr>
          <w:szCs w:val="22"/>
        </w:rPr>
      </w:pPr>
      <w:r w:rsidRPr="00116A2A">
        <w:rPr>
          <w:szCs w:val="22"/>
        </w:rPr>
        <w:t xml:space="preserve">The extrapolation assumed a continued treatment effect beyond trial observation (14.1 months median follow-up) to </w:t>
      </w:r>
      <w:r w:rsidR="005E09D0" w:rsidRPr="00116A2A">
        <w:rPr>
          <w:szCs w:val="22"/>
        </w:rPr>
        <w:t xml:space="preserve">the </w:t>
      </w:r>
      <w:r w:rsidR="00525D82" w:rsidRPr="00116A2A">
        <w:rPr>
          <w:szCs w:val="22"/>
        </w:rPr>
        <w:t>7 year</w:t>
      </w:r>
      <w:r w:rsidRPr="00116A2A">
        <w:rPr>
          <w:szCs w:val="22"/>
        </w:rPr>
        <w:t xml:space="preserve"> time horizon</w:t>
      </w:r>
      <w:r w:rsidR="005E09D0" w:rsidRPr="00116A2A">
        <w:rPr>
          <w:szCs w:val="22"/>
        </w:rPr>
        <w:t xml:space="preserve"> of the model</w:t>
      </w:r>
      <w:r w:rsidRPr="00116A2A">
        <w:rPr>
          <w:szCs w:val="22"/>
        </w:rPr>
        <w:t xml:space="preserve"> despite most patients not receiving treatment in the extrapolated component. The ESC </w:t>
      </w:r>
      <w:r w:rsidR="003F2BA3" w:rsidRPr="00116A2A">
        <w:rPr>
          <w:szCs w:val="22"/>
        </w:rPr>
        <w:t xml:space="preserve">considered this assumption was unreliable </w:t>
      </w:r>
      <w:r w:rsidRPr="00116A2A">
        <w:rPr>
          <w:szCs w:val="22"/>
        </w:rPr>
        <w:t xml:space="preserve">and likely overstates the benefit of bevacizumab. The ESC </w:t>
      </w:r>
      <w:r w:rsidR="00FE4723" w:rsidRPr="00116A2A">
        <w:rPr>
          <w:szCs w:val="22"/>
        </w:rPr>
        <w:t>considered further</w:t>
      </w:r>
      <w:r w:rsidRPr="00116A2A">
        <w:rPr>
          <w:szCs w:val="22"/>
        </w:rPr>
        <w:t xml:space="preserve"> extrapolation assuming equal hazard in the post-treatment may be useful, and </w:t>
      </w:r>
      <w:r w:rsidR="005E09D0" w:rsidRPr="00116A2A">
        <w:rPr>
          <w:szCs w:val="22"/>
        </w:rPr>
        <w:t>would likely increase the</w:t>
      </w:r>
      <w:r w:rsidRPr="00116A2A">
        <w:rPr>
          <w:szCs w:val="22"/>
        </w:rPr>
        <w:t xml:space="preserve"> ICER.   </w:t>
      </w:r>
    </w:p>
    <w:p w:rsidR="00B06CC3" w:rsidRPr="00116A2A" w:rsidRDefault="00B06CC3" w:rsidP="002A0317">
      <w:pPr>
        <w:pStyle w:val="ListParagraph"/>
        <w:widowControl/>
        <w:numPr>
          <w:ilvl w:val="0"/>
          <w:numId w:val="39"/>
        </w:numPr>
        <w:rPr>
          <w:szCs w:val="22"/>
        </w:rPr>
      </w:pPr>
      <w:r w:rsidRPr="00116A2A">
        <w:rPr>
          <w:szCs w:val="22"/>
        </w:rPr>
        <w:t xml:space="preserve">The </w:t>
      </w:r>
      <w:r w:rsidR="006E61B6" w:rsidRPr="00116A2A">
        <w:rPr>
          <w:szCs w:val="22"/>
        </w:rPr>
        <w:t xml:space="preserve">economic model is moderately sensitive to the change of the truncation time </w:t>
      </w:r>
      <w:r w:rsidRPr="00116A2A">
        <w:rPr>
          <w:szCs w:val="22"/>
        </w:rPr>
        <w:t xml:space="preserve">point for OS </w:t>
      </w:r>
      <w:r w:rsidR="00525D82" w:rsidRPr="00116A2A">
        <w:rPr>
          <w:szCs w:val="22"/>
        </w:rPr>
        <w:t>data</w:t>
      </w:r>
      <w:r w:rsidR="006E61B6" w:rsidRPr="00116A2A">
        <w:rPr>
          <w:szCs w:val="22"/>
        </w:rPr>
        <w:t xml:space="preserve"> and </w:t>
      </w:r>
      <w:r w:rsidR="00525D82" w:rsidRPr="00116A2A">
        <w:rPr>
          <w:szCs w:val="22"/>
        </w:rPr>
        <w:t>this assumption impact</w:t>
      </w:r>
      <w:r w:rsidRPr="00116A2A">
        <w:rPr>
          <w:szCs w:val="22"/>
        </w:rPr>
        <w:t xml:space="preserve"> the ICER</w:t>
      </w:r>
      <w:r w:rsidR="003F2BA3" w:rsidRPr="00116A2A">
        <w:rPr>
          <w:szCs w:val="22"/>
        </w:rPr>
        <w:t xml:space="preserve"> (see figure below)</w:t>
      </w:r>
      <w:r w:rsidRPr="00116A2A">
        <w:rPr>
          <w:szCs w:val="22"/>
        </w:rPr>
        <w:t>.</w:t>
      </w:r>
      <w:r w:rsidR="00813B50" w:rsidRPr="00116A2A">
        <w:rPr>
          <w:szCs w:val="22"/>
        </w:rPr>
        <w:t xml:space="preserve"> </w:t>
      </w:r>
      <w:r w:rsidR="003F2BA3" w:rsidRPr="00116A2A">
        <w:rPr>
          <w:szCs w:val="22"/>
        </w:rPr>
        <w:t xml:space="preserve">The ESC considered that, while the time point was not unreasonable, the choice of the time point had not been adequately justified in the submission, and noted that the ICER would be higher if a different time point was chosen.  </w:t>
      </w:r>
      <w:r w:rsidR="00813B50" w:rsidRPr="00116A2A">
        <w:rPr>
          <w:szCs w:val="22"/>
        </w:rPr>
        <w:t xml:space="preserve"> If the Kaplan-Meier O</w:t>
      </w:r>
      <w:r w:rsidR="00D14A66" w:rsidRPr="00116A2A">
        <w:rPr>
          <w:szCs w:val="22"/>
        </w:rPr>
        <w:t>S</w:t>
      </w:r>
      <w:r w:rsidR="00813B50" w:rsidRPr="00116A2A">
        <w:rPr>
          <w:szCs w:val="22"/>
        </w:rPr>
        <w:t xml:space="preserve"> data is truncated at a later time point of 24 months (base case: 14.1 months), the ICER will increase from </w:t>
      </w:r>
      <w:r w:rsidR="002A0317" w:rsidRPr="002A0317">
        <w:rPr>
          <w:szCs w:val="22"/>
        </w:rPr>
        <w:t>$75,000</w:t>
      </w:r>
      <w:r w:rsidR="0028553E">
        <w:rPr>
          <w:szCs w:val="22"/>
        </w:rPr>
        <w:t>/QALY</w:t>
      </w:r>
      <w:r w:rsidR="002A0317" w:rsidRPr="002A0317">
        <w:rPr>
          <w:szCs w:val="22"/>
        </w:rPr>
        <w:t xml:space="preserve"> – $105,000</w:t>
      </w:r>
      <w:r w:rsidR="00813B50" w:rsidRPr="00116A2A">
        <w:rPr>
          <w:szCs w:val="22"/>
        </w:rPr>
        <w:t>/QALY</w:t>
      </w:r>
      <w:r w:rsidR="00680468" w:rsidRPr="00116A2A">
        <w:rPr>
          <w:szCs w:val="22"/>
        </w:rPr>
        <w:t xml:space="preserve"> to </w:t>
      </w:r>
      <w:r w:rsidR="002A0317" w:rsidRPr="002A0317">
        <w:rPr>
          <w:szCs w:val="22"/>
        </w:rPr>
        <w:t>$105,000</w:t>
      </w:r>
      <w:r w:rsidR="0028553E">
        <w:rPr>
          <w:szCs w:val="22"/>
        </w:rPr>
        <w:t>/QALY</w:t>
      </w:r>
      <w:r w:rsidR="002A0317" w:rsidRPr="002A0317">
        <w:rPr>
          <w:szCs w:val="22"/>
        </w:rPr>
        <w:t xml:space="preserve"> – $200,000</w:t>
      </w:r>
      <w:r w:rsidR="00680468" w:rsidRPr="00116A2A">
        <w:rPr>
          <w:szCs w:val="22"/>
        </w:rPr>
        <w:t xml:space="preserve">/QALY.  </w:t>
      </w:r>
      <w:r w:rsidR="00813B50" w:rsidRPr="00116A2A">
        <w:rPr>
          <w:szCs w:val="22"/>
        </w:rPr>
        <w:t xml:space="preserve">  </w:t>
      </w:r>
      <w:r w:rsidRPr="00116A2A">
        <w:rPr>
          <w:szCs w:val="22"/>
        </w:rPr>
        <w:t xml:space="preserve">     </w:t>
      </w:r>
    </w:p>
    <w:p w:rsidR="003F2BA3" w:rsidRPr="00116A2A" w:rsidRDefault="003F2BA3" w:rsidP="003F2BA3">
      <w:pPr>
        <w:pStyle w:val="ListParagraph"/>
        <w:widowControl/>
        <w:numPr>
          <w:ilvl w:val="0"/>
          <w:numId w:val="39"/>
        </w:numPr>
        <w:ind w:left="993" w:hanging="284"/>
        <w:rPr>
          <w:szCs w:val="22"/>
        </w:rPr>
      </w:pPr>
      <w:r w:rsidRPr="00116A2A">
        <w:rPr>
          <w:szCs w:val="22"/>
        </w:rPr>
        <w:lastRenderedPageBreak/>
        <w:t>Type of parametric functions for extrapolation. The ESC noted that Gamma extrapolation was used for both PFS and OS curves. The ESC noted that the good fit of the Gamma extrapolation with the PFS curves but considered that another extrapolation method may be more appropriate for the OS data, such as a log-logistic distribution. The ESC considered that the justification for the use of the gamma function to extrapolate OS was not reasonable, and results in a lower ICER than with other better fitting extrapolations.</w:t>
      </w:r>
    </w:p>
    <w:p w:rsidR="00B06CC3" w:rsidRPr="00116A2A" w:rsidRDefault="00B06CC3" w:rsidP="008373B3">
      <w:pPr>
        <w:pStyle w:val="ListParagraph"/>
        <w:widowControl/>
        <w:numPr>
          <w:ilvl w:val="0"/>
          <w:numId w:val="39"/>
        </w:numPr>
        <w:ind w:left="993" w:hanging="284"/>
        <w:rPr>
          <w:szCs w:val="22"/>
        </w:rPr>
      </w:pPr>
      <w:r w:rsidRPr="00116A2A">
        <w:rPr>
          <w:szCs w:val="22"/>
        </w:rPr>
        <w:t xml:space="preserve">The ESC noted that the utilities are difficult to interpret, </w:t>
      </w:r>
      <w:r w:rsidR="005E09D0" w:rsidRPr="00116A2A">
        <w:rPr>
          <w:szCs w:val="22"/>
        </w:rPr>
        <w:t>and lack</w:t>
      </w:r>
      <w:r w:rsidRPr="00116A2A">
        <w:rPr>
          <w:szCs w:val="22"/>
        </w:rPr>
        <w:t xml:space="preserve"> face validity</w:t>
      </w:r>
      <w:r w:rsidR="003F2BA3" w:rsidRPr="00116A2A">
        <w:rPr>
          <w:szCs w:val="22"/>
        </w:rPr>
        <w:t xml:space="preserve"> (</w:t>
      </w:r>
      <w:r w:rsidR="008373B3" w:rsidRPr="00116A2A">
        <w:rPr>
          <w:szCs w:val="22"/>
        </w:rPr>
        <w:t>in that they do not reflect the QoL decrement from baseline during treatment, as observed in GOG 0240)</w:t>
      </w:r>
      <w:r w:rsidR="005E09D0" w:rsidRPr="00116A2A">
        <w:rPr>
          <w:szCs w:val="22"/>
        </w:rPr>
        <w:t>. Further</w:t>
      </w:r>
      <w:r w:rsidRPr="00116A2A">
        <w:rPr>
          <w:szCs w:val="22"/>
        </w:rPr>
        <w:t xml:space="preserve"> pooling of utility post-progression </w:t>
      </w:r>
      <w:r w:rsidR="005E09D0" w:rsidRPr="00116A2A">
        <w:rPr>
          <w:szCs w:val="22"/>
        </w:rPr>
        <w:t xml:space="preserve">was not justified and </w:t>
      </w:r>
      <w:r w:rsidRPr="00116A2A">
        <w:rPr>
          <w:szCs w:val="22"/>
        </w:rPr>
        <w:t xml:space="preserve">and </w:t>
      </w:r>
      <w:r w:rsidR="005E09D0" w:rsidRPr="00116A2A">
        <w:rPr>
          <w:szCs w:val="22"/>
        </w:rPr>
        <w:t>may not be appropriate in this context</w:t>
      </w:r>
      <w:r w:rsidRPr="00116A2A">
        <w:rPr>
          <w:szCs w:val="22"/>
        </w:rPr>
        <w:t>. However, the ESC also note</w:t>
      </w:r>
      <w:r w:rsidR="00CB44A6">
        <w:rPr>
          <w:szCs w:val="22"/>
        </w:rPr>
        <w:t xml:space="preserve">d both the commentary and PSCR </w:t>
      </w:r>
      <w:r w:rsidRPr="00116A2A">
        <w:rPr>
          <w:szCs w:val="22"/>
        </w:rPr>
        <w:t xml:space="preserve">considered that the impact of changing utility scores in the model is fairly low. </w:t>
      </w:r>
    </w:p>
    <w:p w:rsidR="00276C67" w:rsidRPr="00116A2A" w:rsidRDefault="00764E61" w:rsidP="00B838DF">
      <w:pPr>
        <w:pStyle w:val="TableHeader"/>
        <w:ind w:firstLine="720"/>
        <w:rPr>
          <w:b w:val="0"/>
        </w:rPr>
      </w:pPr>
      <w:r w:rsidRPr="00116A2A">
        <w:rPr>
          <w:b w:val="0"/>
        </w:rPr>
        <w:t xml:space="preserve"> </w:t>
      </w:r>
    </w:p>
    <w:p w:rsidR="00276C67" w:rsidRPr="00116A2A" w:rsidRDefault="00276C67" w:rsidP="00276C67">
      <w:pPr>
        <w:pStyle w:val="Caption"/>
      </w:pPr>
      <w:r w:rsidRPr="00116A2A">
        <w:t xml:space="preserve">Figure </w:t>
      </w:r>
      <w:r w:rsidR="003F2BA3" w:rsidRPr="00116A2A">
        <w:t>2</w:t>
      </w:r>
      <w:r w:rsidRPr="00116A2A">
        <w:rPr>
          <w:rStyle w:val="CommentReference"/>
          <w:b/>
          <w:szCs w:val="18"/>
        </w:rPr>
        <w:t xml:space="preserve">: ICER associated with bevacizumab + chemotherapy versus chemotherapy alone when varying the time point of OS Kaplan Meier data truncations </w:t>
      </w:r>
    </w:p>
    <w:p w:rsidR="00276C67" w:rsidRPr="00116A2A" w:rsidRDefault="009C70C9" w:rsidP="00276C67">
      <w:pPr>
        <w:rPr>
          <w:szCs w:val="22"/>
        </w:rPr>
      </w:pPr>
      <w:r>
        <w:rPr>
          <w:noProof/>
          <w:snapToGrid/>
          <w:szCs w:val="22"/>
          <w:lang w:eastAsia="en-AU"/>
        </w:rPr>
        <w:drawing>
          <wp:inline distT="0" distB="0" distL="0" distR="0">
            <wp:extent cx="5773420" cy="26473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73420" cy="2647315"/>
                    </a:xfrm>
                    <a:prstGeom prst="rect">
                      <a:avLst/>
                    </a:prstGeom>
                  </pic:spPr>
                </pic:pic>
              </a:graphicData>
            </a:graphic>
          </wp:inline>
        </w:drawing>
      </w:r>
    </w:p>
    <w:p w:rsidR="00276C67" w:rsidRPr="00116A2A" w:rsidRDefault="00276C67" w:rsidP="00276C67">
      <w:pPr>
        <w:pStyle w:val="TableFootnote"/>
      </w:pPr>
      <w:r w:rsidRPr="00116A2A">
        <w:t xml:space="preserve">ICER = incremental cost-effectiveness ratio; OS = overall survival; QALY = quality-adjusted life-year </w:t>
      </w:r>
    </w:p>
    <w:p w:rsidR="006E61B6" w:rsidRPr="00116A2A" w:rsidRDefault="00276C67" w:rsidP="000037DC">
      <w:pPr>
        <w:widowControl/>
        <w:jc w:val="left"/>
        <w:rPr>
          <w:rFonts w:ascii="Arial Narrow" w:hAnsi="Arial Narrow"/>
          <w:sz w:val="20"/>
        </w:rPr>
      </w:pPr>
      <w:r w:rsidRPr="00116A2A">
        <w:rPr>
          <w:rFonts w:ascii="Arial Narrow" w:hAnsi="Arial Narrow"/>
          <w:sz w:val="20"/>
        </w:rPr>
        <w:t xml:space="preserve">Source: Figure D.6. </w:t>
      </w:r>
      <w:r w:rsidRPr="00116A2A">
        <w:rPr>
          <w:rFonts w:ascii="Arial Narrow" w:hAnsi="Arial Narrow"/>
          <w:noProof/>
          <w:sz w:val="20"/>
        </w:rPr>
        <w:t xml:space="preserve">1 of the Commentary. </w:t>
      </w:r>
      <w:r w:rsidRPr="00116A2A">
        <w:rPr>
          <w:rFonts w:ascii="Arial Narrow" w:hAnsi="Arial Narrow"/>
          <w:sz w:val="20"/>
        </w:rPr>
        <w:t xml:space="preserve">Sensitivity analysis performed during the evaluation.  </w:t>
      </w:r>
      <w:r w:rsidR="00764E61" w:rsidRPr="00116A2A">
        <w:rPr>
          <w:rFonts w:ascii="Arial Narrow" w:hAnsi="Arial Narrow"/>
          <w:sz w:val="20"/>
        </w:rPr>
        <w:br w:type="page"/>
      </w:r>
    </w:p>
    <w:p w:rsidR="00102372" w:rsidRPr="00116A2A" w:rsidRDefault="00102372" w:rsidP="00102372">
      <w:pPr>
        <w:pStyle w:val="ListParagraph"/>
        <w:widowControl/>
        <w:numPr>
          <w:ilvl w:val="1"/>
          <w:numId w:val="6"/>
        </w:numPr>
        <w:rPr>
          <w:szCs w:val="22"/>
        </w:rPr>
      </w:pPr>
      <w:r w:rsidRPr="00116A2A">
        <w:lastRenderedPageBreak/>
        <w:t>The results of the stepped economic evaluation are summarised below.</w:t>
      </w:r>
    </w:p>
    <w:p w:rsidR="00102372" w:rsidRPr="00116A2A" w:rsidRDefault="00102372" w:rsidP="00102372">
      <w:pPr>
        <w:widowControl/>
        <w:rPr>
          <w:szCs w:val="22"/>
        </w:rPr>
      </w:pPr>
    </w:p>
    <w:p w:rsidR="00102372" w:rsidRPr="00116A2A" w:rsidRDefault="00102372" w:rsidP="00102372">
      <w:pPr>
        <w:pStyle w:val="TableHeader"/>
        <w:ind w:firstLine="720"/>
      </w:pPr>
      <w:r w:rsidRPr="00116A2A">
        <w:t xml:space="preserve">Table </w:t>
      </w:r>
      <w:r w:rsidR="005238DA" w:rsidRPr="00116A2A">
        <w:t>8</w:t>
      </w:r>
      <w:r w:rsidRPr="00116A2A">
        <w:t>: Results of the stepped economic evaluation</w:t>
      </w:r>
    </w:p>
    <w:tbl>
      <w:tblPr>
        <w:tblW w:w="8504"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417"/>
        <w:gridCol w:w="992"/>
        <w:gridCol w:w="992"/>
        <w:gridCol w:w="1559"/>
        <w:gridCol w:w="1559"/>
      </w:tblGrid>
      <w:tr w:rsidR="00102372" w:rsidRPr="00116A2A" w:rsidTr="003D3945">
        <w:trPr>
          <w:cantSplit/>
          <w:trHeight w:val="70"/>
          <w:tblHeader/>
        </w:trPr>
        <w:tc>
          <w:tcPr>
            <w:tcW w:w="1985" w:type="dxa"/>
            <w:vMerge w:val="restart"/>
            <w:shd w:val="clear" w:color="auto" w:fill="auto"/>
            <w:tcMar>
              <w:left w:w="57" w:type="dxa"/>
              <w:right w:w="57" w:type="dxa"/>
            </w:tcMar>
            <w:vAlign w:val="center"/>
          </w:tcPr>
          <w:p w:rsidR="00102372" w:rsidRPr="00116A2A" w:rsidRDefault="00102372" w:rsidP="003D3945">
            <w:pPr>
              <w:rPr>
                <w:rFonts w:ascii="Arial Narrow" w:hAnsi="Arial Narrow"/>
                <w:b/>
                <w:sz w:val="20"/>
              </w:rPr>
            </w:pPr>
            <w:r w:rsidRPr="00116A2A">
              <w:rPr>
                <w:rFonts w:ascii="Arial Narrow" w:hAnsi="Arial Narrow"/>
                <w:b/>
                <w:sz w:val="20"/>
              </w:rPr>
              <w:t>Stepped economic evaluation</w:t>
            </w:r>
          </w:p>
        </w:tc>
        <w:tc>
          <w:tcPr>
            <w:tcW w:w="6519" w:type="dxa"/>
            <w:gridSpan w:val="5"/>
          </w:tcPr>
          <w:p w:rsidR="00102372" w:rsidRPr="00116A2A" w:rsidRDefault="00102372" w:rsidP="003D3945">
            <w:pPr>
              <w:jc w:val="center"/>
              <w:rPr>
                <w:rFonts w:ascii="Arial Narrow" w:hAnsi="Arial Narrow"/>
                <w:b/>
                <w:sz w:val="20"/>
              </w:rPr>
            </w:pPr>
            <w:r w:rsidRPr="00116A2A">
              <w:rPr>
                <w:rFonts w:ascii="Arial Narrow" w:hAnsi="Arial Narrow"/>
                <w:b/>
                <w:sz w:val="20"/>
              </w:rPr>
              <w:t>Bevacizumab + chemotherapy versus Chemotherapy alone</w:t>
            </w:r>
          </w:p>
        </w:tc>
      </w:tr>
      <w:tr w:rsidR="00102372" w:rsidRPr="00116A2A" w:rsidTr="003D3945">
        <w:trPr>
          <w:cantSplit/>
          <w:trHeight w:val="70"/>
          <w:tblHeader/>
        </w:trPr>
        <w:tc>
          <w:tcPr>
            <w:tcW w:w="1985" w:type="dxa"/>
            <w:vMerge/>
            <w:tcBorders>
              <w:bottom w:val="single" w:sz="4" w:space="0" w:color="auto"/>
            </w:tcBorders>
            <w:shd w:val="clear" w:color="auto" w:fill="auto"/>
            <w:tcMar>
              <w:left w:w="57" w:type="dxa"/>
              <w:right w:w="57" w:type="dxa"/>
            </w:tcMar>
            <w:vAlign w:val="center"/>
          </w:tcPr>
          <w:p w:rsidR="00102372" w:rsidRPr="00116A2A" w:rsidRDefault="00102372" w:rsidP="003D3945">
            <w:pPr>
              <w:rPr>
                <w:rFonts w:ascii="Arial Narrow" w:hAnsi="Arial Narrow"/>
                <w:b/>
                <w:sz w:val="20"/>
              </w:rPr>
            </w:pPr>
          </w:p>
        </w:tc>
        <w:tc>
          <w:tcPr>
            <w:tcW w:w="1417" w:type="dxa"/>
            <w:vMerge w:val="restart"/>
            <w:shd w:val="clear" w:color="auto" w:fill="auto"/>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Incremental costs</w:t>
            </w:r>
          </w:p>
        </w:tc>
        <w:tc>
          <w:tcPr>
            <w:tcW w:w="1984" w:type="dxa"/>
            <w:gridSpan w:val="2"/>
            <w:tcBorders>
              <w:bottom w:val="single" w:sz="4" w:space="0" w:color="auto"/>
            </w:tcBorders>
          </w:tcPr>
          <w:p w:rsidR="00102372" w:rsidRPr="00116A2A" w:rsidRDefault="00102372" w:rsidP="003D3945">
            <w:pPr>
              <w:ind w:left="-57" w:right="-57"/>
              <w:jc w:val="center"/>
              <w:rPr>
                <w:rFonts w:ascii="Arial Narrow" w:hAnsi="Arial Narrow"/>
                <w:b/>
                <w:sz w:val="20"/>
              </w:rPr>
            </w:pPr>
            <w:r w:rsidRPr="00116A2A">
              <w:rPr>
                <w:rFonts w:ascii="Arial Narrow" w:hAnsi="Arial Narrow"/>
                <w:b/>
                <w:sz w:val="20"/>
              </w:rPr>
              <w:t>Incremental health outcomes</w:t>
            </w:r>
          </w:p>
        </w:tc>
        <w:tc>
          <w:tcPr>
            <w:tcW w:w="3118" w:type="dxa"/>
            <w:gridSpan w:val="2"/>
            <w:tcBorders>
              <w:bottom w:val="single" w:sz="4" w:space="0" w:color="auto"/>
            </w:tcBorders>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ICER</w:t>
            </w:r>
          </w:p>
        </w:tc>
      </w:tr>
      <w:tr w:rsidR="00102372" w:rsidRPr="00116A2A" w:rsidTr="003D3945">
        <w:trPr>
          <w:cantSplit/>
          <w:trHeight w:val="70"/>
          <w:tblHeader/>
        </w:trPr>
        <w:tc>
          <w:tcPr>
            <w:tcW w:w="1985" w:type="dxa"/>
            <w:vMerge/>
            <w:tcBorders>
              <w:bottom w:val="single" w:sz="4" w:space="0" w:color="auto"/>
            </w:tcBorders>
            <w:shd w:val="clear" w:color="auto" w:fill="auto"/>
            <w:tcMar>
              <w:left w:w="57" w:type="dxa"/>
              <w:right w:w="57" w:type="dxa"/>
            </w:tcMar>
            <w:vAlign w:val="center"/>
          </w:tcPr>
          <w:p w:rsidR="00102372" w:rsidRPr="00116A2A" w:rsidRDefault="00102372" w:rsidP="003D3945">
            <w:pPr>
              <w:rPr>
                <w:rFonts w:ascii="Arial Narrow" w:hAnsi="Arial Narrow"/>
                <w:b/>
                <w:sz w:val="20"/>
              </w:rPr>
            </w:pPr>
          </w:p>
        </w:tc>
        <w:tc>
          <w:tcPr>
            <w:tcW w:w="1417" w:type="dxa"/>
            <w:vMerge/>
            <w:tcBorders>
              <w:bottom w:val="single" w:sz="4" w:space="0" w:color="auto"/>
            </w:tcBorders>
            <w:shd w:val="clear" w:color="auto" w:fill="auto"/>
            <w:vAlign w:val="center"/>
          </w:tcPr>
          <w:p w:rsidR="00102372" w:rsidRPr="00116A2A" w:rsidRDefault="00102372" w:rsidP="003D3945">
            <w:pPr>
              <w:jc w:val="center"/>
              <w:rPr>
                <w:rFonts w:ascii="Arial Narrow" w:hAnsi="Arial Narrow"/>
                <w:b/>
                <w:sz w:val="20"/>
              </w:rPr>
            </w:pPr>
          </w:p>
        </w:tc>
        <w:tc>
          <w:tcPr>
            <w:tcW w:w="992" w:type="dxa"/>
            <w:tcBorders>
              <w:bottom w:val="single" w:sz="4" w:space="0" w:color="auto"/>
            </w:tcBorders>
          </w:tcPr>
          <w:p w:rsidR="00102372" w:rsidRPr="00116A2A" w:rsidRDefault="00102372" w:rsidP="003D3945">
            <w:pPr>
              <w:ind w:left="-113" w:right="-113"/>
              <w:jc w:val="center"/>
              <w:rPr>
                <w:rFonts w:ascii="Arial Narrow" w:hAnsi="Arial Narrow"/>
                <w:b/>
                <w:sz w:val="20"/>
              </w:rPr>
            </w:pPr>
            <w:r w:rsidRPr="00116A2A">
              <w:rPr>
                <w:rFonts w:ascii="Arial Narrow" w:hAnsi="Arial Narrow"/>
                <w:b/>
                <w:sz w:val="20"/>
              </w:rPr>
              <w:t>Incremental LYs</w:t>
            </w:r>
          </w:p>
        </w:tc>
        <w:tc>
          <w:tcPr>
            <w:tcW w:w="992" w:type="dxa"/>
            <w:tcBorders>
              <w:bottom w:val="single" w:sz="4" w:space="0" w:color="auto"/>
            </w:tcBorders>
            <w:shd w:val="clear" w:color="auto" w:fill="auto"/>
            <w:vAlign w:val="center"/>
          </w:tcPr>
          <w:p w:rsidR="00102372" w:rsidRPr="00116A2A" w:rsidRDefault="00102372" w:rsidP="003D3945">
            <w:pPr>
              <w:ind w:left="-113" w:right="-113"/>
              <w:jc w:val="center"/>
              <w:rPr>
                <w:rFonts w:ascii="Arial Narrow" w:hAnsi="Arial Narrow"/>
                <w:b/>
                <w:sz w:val="20"/>
              </w:rPr>
            </w:pPr>
            <w:r w:rsidRPr="00116A2A">
              <w:rPr>
                <w:rFonts w:ascii="Arial Narrow" w:hAnsi="Arial Narrow"/>
                <w:b/>
                <w:sz w:val="20"/>
              </w:rPr>
              <w:t>Incremental QALYs</w:t>
            </w:r>
          </w:p>
        </w:tc>
        <w:tc>
          <w:tcPr>
            <w:tcW w:w="1559" w:type="dxa"/>
            <w:tcBorders>
              <w:bottom w:val="single" w:sz="4" w:space="0" w:color="auto"/>
            </w:tcBorders>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Incremental cost per LY</w:t>
            </w:r>
          </w:p>
        </w:tc>
        <w:tc>
          <w:tcPr>
            <w:tcW w:w="1559" w:type="dxa"/>
            <w:tcBorders>
              <w:bottom w:val="single" w:sz="4" w:space="0" w:color="auto"/>
            </w:tcBorders>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Incremental cost per QALY</w:t>
            </w:r>
          </w:p>
        </w:tc>
      </w:tr>
      <w:tr w:rsidR="00102372" w:rsidRPr="00116A2A" w:rsidTr="003D3945">
        <w:trPr>
          <w:cantSplit/>
          <w:trHeight w:val="315"/>
        </w:trPr>
        <w:tc>
          <w:tcPr>
            <w:tcW w:w="1985" w:type="dxa"/>
            <w:tcBorders>
              <w:top w:val="single" w:sz="4" w:space="0" w:color="auto"/>
              <w:bottom w:val="single" w:sz="4" w:space="0" w:color="auto"/>
            </w:tcBorders>
            <w:shd w:val="clear" w:color="auto" w:fill="auto"/>
            <w:tcMar>
              <w:left w:w="57" w:type="dxa"/>
              <w:right w:w="57" w:type="dxa"/>
            </w:tcMar>
          </w:tcPr>
          <w:p w:rsidR="00102372" w:rsidRPr="00116A2A" w:rsidRDefault="00102372" w:rsidP="003D3945">
            <w:pPr>
              <w:ind w:right="-57"/>
              <w:jc w:val="left"/>
              <w:rPr>
                <w:rFonts w:ascii="Arial Narrow" w:hAnsi="Arial Narrow"/>
                <w:sz w:val="20"/>
              </w:rPr>
            </w:pPr>
            <w:r w:rsidRPr="00116A2A">
              <w:rPr>
                <w:rFonts w:ascii="Arial Narrow" w:hAnsi="Arial Narrow"/>
                <w:sz w:val="20"/>
              </w:rPr>
              <w:t>Step 1 (trial-based analysis up to 14.1 months)</w:t>
            </w:r>
          </w:p>
        </w:tc>
        <w:tc>
          <w:tcPr>
            <w:tcW w:w="1417" w:type="dxa"/>
            <w:tcBorders>
              <w:top w:val="single" w:sz="4" w:space="0" w:color="auto"/>
              <w:bottom w:val="single" w:sz="4" w:space="0" w:color="auto"/>
            </w:tcBorders>
            <w:shd w:val="clear" w:color="auto" w:fill="auto"/>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 $</w:t>
            </w:r>
            <w:r w:rsidR="009C70C9">
              <w:rPr>
                <w:rFonts w:ascii="Arial Narrow" w:hAnsi="Arial Narrow"/>
                <w:noProof/>
                <w:color w:val="000000"/>
                <w:sz w:val="20"/>
                <w:highlight w:val="black"/>
              </w:rPr>
              <w:t>''''''''''''''''</w:t>
            </w:r>
          </w:p>
        </w:tc>
        <w:tc>
          <w:tcPr>
            <w:tcW w:w="992" w:type="dxa"/>
            <w:tcBorders>
              <w:top w:val="single" w:sz="4" w:space="0" w:color="auto"/>
              <w:bottom w:val="single" w:sz="4" w:space="0" w:color="auto"/>
            </w:tcBorders>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bottom w:val="single" w:sz="4" w:space="0" w:color="auto"/>
            </w:tcBorders>
            <w:shd w:val="clear" w:color="auto" w:fill="auto"/>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1559" w:type="dxa"/>
            <w:tcBorders>
              <w:top w:val="single" w:sz="4" w:space="0" w:color="auto"/>
              <w:bottom w:val="single" w:sz="4" w:space="0" w:color="auto"/>
            </w:tcBorders>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tc>
        <w:tc>
          <w:tcPr>
            <w:tcW w:w="1559" w:type="dxa"/>
            <w:tcBorders>
              <w:top w:val="single" w:sz="4" w:space="0" w:color="auto"/>
              <w:bottom w:val="single" w:sz="4" w:space="0" w:color="auto"/>
            </w:tcBorders>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rPr>
          <w:cantSplit/>
        </w:trPr>
        <w:tc>
          <w:tcPr>
            <w:tcW w:w="1985" w:type="dxa"/>
            <w:tcBorders>
              <w:top w:val="single" w:sz="4" w:space="0" w:color="auto"/>
              <w:bottom w:val="single" w:sz="4" w:space="0" w:color="auto"/>
            </w:tcBorders>
            <w:shd w:val="clear" w:color="auto" w:fill="auto"/>
            <w:tcMar>
              <w:left w:w="57" w:type="dxa"/>
              <w:right w:w="57" w:type="dxa"/>
            </w:tcMar>
          </w:tcPr>
          <w:p w:rsidR="00102372" w:rsidRPr="00116A2A" w:rsidRDefault="00102372" w:rsidP="003D3945">
            <w:pPr>
              <w:ind w:right="-57"/>
              <w:jc w:val="left"/>
              <w:rPr>
                <w:rFonts w:ascii="Arial Narrow" w:hAnsi="Arial Narrow"/>
                <w:sz w:val="20"/>
              </w:rPr>
            </w:pPr>
            <w:r w:rsidRPr="00116A2A">
              <w:rPr>
                <w:rFonts w:ascii="Arial Narrow" w:hAnsi="Arial Narrow"/>
                <w:sz w:val="20"/>
              </w:rPr>
              <w:t>Step 2 (parametric extrapolation over a 7 year time horizon)</w:t>
            </w:r>
          </w:p>
        </w:tc>
        <w:tc>
          <w:tcPr>
            <w:tcW w:w="1417" w:type="dxa"/>
            <w:tcBorders>
              <w:top w:val="single" w:sz="4" w:space="0" w:color="auto"/>
              <w:bottom w:val="single" w:sz="4" w:space="0" w:color="auto"/>
            </w:tcBorders>
            <w:shd w:val="clear" w:color="auto" w:fill="auto"/>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 $</w:t>
            </w:r>
            <w:r w:rsidR="009C70C9">
              <w:rPr>
                <w:rFonts w:ascii="Arial Narrow" w:hAnsi="Arial Narrow"/>
                <w:noProof/>
                <w:color w:val="000000"/>
                <w:sz w:val="20"/>
                <w:highlight w:val="black"/>
              </w:rPr>
              <w:t>''''''''''''''''</w:t>
            </w:r>
          </w:p>
        </w:tc>
        <w:tc>
          <w:tcPr>
            <w:tcW w:w="992" w:type="dxa"/>
            <w:tcBorders>
              <w:top w:val="single" w:sz="4" w:space="0" w:color="auto"/>
              <w:bottom w:val="single" w:sz="4" w:space="0" w:color="auto"/>
            </w:tcBorders>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bottom w:val="single" w:sz="4" w:space="0" w:color="auto"/>
            </w:tcBorders>
            <w:shd w:val="clear" w:color="auto" w:fill="auto"/>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1559" w:type="dxa"/>
            <w:tcBorders>
              <w:top w:val="single" w:sz="4" w:space="0" w:color="auto"/>
              <w:bottom w:val="single" w:sz="4" w:space="0" w:color="auto"/>
            </w:tcBorders>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 $</w:t>
            </w:r>
            <w:r w:rsidR="009C70C9">
              <w:rPr>
                <w:rFonts w:ascii="Arial Narrow" w:hAnsi="Arial Narrow"/>
                <w:noProof/>
                <w:color w:val="000000"/>
                <w:sz w:val="20"/>
                <w:highlight w:val="black"/>
              </w:rPr>
              <w:t>'''''''''''''''''''</w:t>
            </w:r>
          </w:p>
        </w:tc>
        <w:tc>
          <w:tcPr>
            <w:tcW w:w="1559" w:type="dxa"/>
            <w:tcBorders>
              <w:top w:val="single" w:sz="4" w:space="0" w:color="auto"/>
              <w:bottom w:val="single" w:sz="4" w:space="0" w:color="auto"/>
            </w:tcBorders>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rPr>
          <w:cantSplit/>
        </w:trPr>
        <w:tc>
          <w:tcPr>
            <w:tcW w:w="1985" w:type="dxa"/>
            <w:tcBorders>
              <w:top w:val="single" w:sz="4" w:space="0" w:color="auto"/>
              <w:bottom w:val="single" w:sz="4" w:space="0" w:color="auto"/>
            </w:tcBorders>
            <w:shd w:val="clear" w:color="auto" w:fill="auto"/>
            <w:tcMar>
              <w:left w:w="57" w:type="dxa"/>
              <w:right w:w="57" w:type="dxa"/>
            </w:tcMar>
          </w:tcPr>
          <w:p w:rsidR="00102372" w:rsidRPr="00116A2A" w:rsidRDefault="00102372" w:rsidP="003D3945">
            <w:pPr>
              <w:ind w:right="-57"/>
              <w:jc w:val="left"/>
              <w:rPr>
                <w:rFonts w:ascii="Arial Narrow" w:hAnsi="Arial Narrow"/>
                <w:sz w:val="20"/>
              </w:rPr>
            </w:pPr>
            <w:r w:rsidRPr="00116A2A">
              <w:rPr>
                <w:rFonts w:ascii="Arial Narrow" w:hAnsi="Arial Narrow"/>
                <w:sz w:val="20"/>
              </w:rPr>
              <w:t>Step 3 (inclusion of MRU costs)</w:t>
            </w:r>
          </w:p>
        </w:tc>
        <w:tc>
          <w:tcPr>
            <w:tcW w:w="1417" w:type="dxa"/>
            <w:tcBorders>
              <w:top w:val="single" w:sz="4" w:space="0" w:color="auto"/>
              <w:bottom w:val="single" w:sz="4" w:space="0" w:color="auto"/>
            </w:tcBorders>
            <w:shd w:val="clear" w:color="auto" w:fill="auto"/>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p>
        </w:tc>
        <w:tc>
          <w:tcPr>
            <w:tcW w:w="992" w:type="dxa"/>
            <w:tcBorders>
              <w:top w:val="single" w:sz="4" w:space="0" w:color="auto"/>
              <w:bottom w:val="single" w:sz="4" w:space="0" w:color="auto"/>
            </w:tcBorders>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bottom w:val="single" w:sz="4" w:space="0" w:color="auto"/>
            </w:tcBorders>
            <w:shd w:val="clear" w:color="auto" w:fill="auto"/>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1559" w:type="dxa"/>
            <w:tcBorders>
              <w:top w:val="single" w:sz="4" w:space="0" w:color="auto"/>
              <w:bottom w:val="single" w:sz="4" w:space="0" w:color="auto"/>
            </w:tcBorders>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 $</w:t>
            </w:r>
            <w:r w:rsidR="009C70C9">
              <w:rPr>
                <w:rFonts w:ascii="Arial Narrow" w:hAnsi="Arial Narrow"/>
                <w:noProof/>
                <w:color w:val="000000"/>
                <w:sz w:val="20"/>
                <w:highlight w:val="black"/>
              </w:rPr>
              <w:t>''''''''''''''''''''''</w:t>
            </w:r>
            <w:r w:rsidRPr="00116A2A">
              <w:rPr>
                <w:rFonts w:ascii="Arial Narrow" w:hAnsi="Arial Narrow"/>
                <w:sz w:val="20"/>
              </w:rPr>
              <w:t xml:space="preserve"> </w:t>
            </w:r>
          </w:p>
        </w:tc>
        <w:tc>
          <w:tcPr>
            <w:tcW w:w="1559" w:type="dxa"/>
            <w:tcBorders>
              <w:top w:val="single" w:sz="4" w:space="0" w:color="auto"/>
              <w:bottom w:val="single" w:sz="4" w:space="0" w:color="auto"/>
            </w:tcBorders>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rPr>
          <w:cantSplit/>
          <w:trHeight w:val="440"/>
        </w:trPr>
        <w:tc>
          <w:tcPr>
            <w:tcW w:w="1985" w:type="dxa"/>
            <w:tcBorders>
              <w:top w:val="single" w:sz="4" w:space="0" w:color="auto"/>
              <w:bottom w:val="single" w:sz="4" w:space="0" w:color="auto"/>
            </w:tcBorders>
            <w:shd w:val="clear" w:color="auto" w:fill="auto"/>
            <w:tcMar>
              <w:left w:w="57" w:type="dxa"/>
              <w:right w:w="57" w:type="dxa"/>
            </w:tcMar>
          </w:tcPr>
          <w:p w:rsidR="00102372" w:rsidRPr="00116A2A" w:rsidRDefault="00102372" w:rsidP="003D3945">
            <w:pPr>
              <w:ind w:right="-57"/>
              <w:jc w:val="left"/>
              <w:rPr>
                <w:rFonts w:ascii="Arial Narrow" w:hAnsi="Arial Narrow"/>
                <w:sz w:val="20"/>
              </w:rPr>
            </w:pPr>
            <w:r w:rsidRPr="00116A2A">
              <w:rPr>
                <w:rFonts w:ascii="Arial Narrow" w:hAnsi="Arial Narrow"/>
                <w:sz w:val="20"/>
              </w:rPr>
              <w:t>Step 4 (inclusion of AE costs)</w:t>
            </w:r>
          </w:p>
        </w:tc>
        <w:tc>
          <w:tcPr>
            <w:tcW w:w="1417" w:type="dxa"/>
            <w:tcBorders>
              <w:top w:val="single" w:sz="4" w:space="0" w:color="auto"/>
              <w:bottom w:val="single" w:sz="4" w:space="0" w:color="auto"/>
            </w:tcBorders>
            <w:shd w:val="clear" w:color="auto" w:fill="auto"/>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p>
        </w:tc>
        <w:tc>
          <w:tcPr>
            <w:tcW w:w="992" w:type="dxa"/>
            <w:tcBorders>
              <w:top w:val="single" w:sz="4" w:space="0" w:color="auto"/>
              <w:bottom w:val="single" w:sz="4" w:space="0" w:color="auto"/>
            </w:tcBorders>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bottom w:val="single" w:sz="4" w:space="0" w:color="auto"/>
            </w:tcBorders>
            <w:shd w:val="clear" w:color="auto" w:fill="auto"/>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1559" w:type="dxa"/>
            <w:tcBorders>
              <w:top w:val="single" w:sz="4" w:space="0" w:color="auto"/>
              <w:bottom w:val="single" w:sz="4" w:space="0" w:color="auto"/>
            </w:tcBorders>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 $</w:t>
            </w:r>
            <w:r w:rsidR="009C70C9">
              <w:rPr>
                <w:rFonts w:ascii="Arial Narrow" w:hAnsi="Arial Narrow"/>
                <w:noProof/>
                <w:color w:val="000000"/>
                <w:sz w:val="20"/>
                <w:highlight w:val="black"/>
              </w:rPr>
              <w:t>''''''''''''''''''''''</w:t>
            </w:r>
          </w:p>
        </w:tc>
        <w:tc>
          <w:tcPr>
            <w:tcW w:w="1559" w:type="dxa"/>
            <w:tcBorders>
              <w:top w:val="single" w:sz="4" w:space="0" w:color="auto"/>
              <w:bottom w:val="single" w:sz="4" w:space="0" w:color="auto"/>
            </w:tcBorders>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rPr>
          <w:cantSplit/>
        </w:trPr>
        <w:tc>
          <w:tcPr>
            <w:tcW w:w="1985" w:type="dxa"/>
            <w:tcBorders>
              <w:top w:val="single" w:sz="4" w:space="0" w:color="auto"/>
              <w:bottom w:val="single" w:sz="4" w:space="0" w:color="auto"/>
            </w:tcBorders>
            <w:shd w:val="clear" w:color="auto" w:fill="auto"/>
            <w:tcMar>
              <w:left w:w="57" w:type="dxa"/>
              <w:right w:w="57" w:type="dxa"/>
            </w:tcMar>
          </w:tcPr>
          <w:p w:rsidR="00102372" w:rsidRPr="00116A2A" w:rsidRDefault="00102372" w:rsidP="003D3945">
            <w:pPr>
              <w:ind w:right="-57"/>
              <w:jc w:val="left"/>
              <w:rPr>
                <w:rFonts w:ascii="Arial Narrow" w:hAnsi="Arial Narrow"/>
                <w:sz w:val="20"/>
              </w:rPr>
            </w:pPr>
            <w:r w:rsidRPr="00116A2A">
              <w:rPr>
                <w:rFonts w:ascii="Arial Narrow" w:hAnsi="Arial Narrow"/>
                <w:sz w:val="20"/>
              </w:rPr>
              <w:t>Step 5 (inclusion of utilities to determine QALYs)</w:t>
            </w:r>
          </w:p>
        </w:tc>
        <w:tc>
          <w:tcPr>
            <w:tcW w:w="6519" w:type="dxa"/>
            <w:gridSpan w:val="5"/>
            <w:tcBorders>
              <w:top w:val="single" w:sz="4" w:space="0" w:color="auto"/>
              <w:bottom w:val="single" w:sz="4" w:space="0" w:color="auto"/>
            </w:tcBorders>
            <w:vAlign w:val="center"/>
          </w:tcPr>
          <w:p w:rsidR="00102372" w:rsidRPr="00116A2A" w:rsidRDefault="00102372" w:rsidP="003D3945">
            <w:pPr>
              <w:ind w:left="-57" w:right="-57"/>
              <w:jc w:val="center"/>
              <w:rPr>
                <w:rFonts w:ascii="Arial Narrow" w:hAnsi="Arial Narrow"/>
                <w:sz w:val="20"/>
              </w:rPr>
            </w:pPr>
            <w:r w:rsidRPr="00116A2A">
              <w:rPr>
                <w:rFonts w:ascii="Arial Narrow" w:hAnsi="Arial Narrow"/>
                <w:sz w:val="20"/>
              </w:rPr>
              <w:t>Inherent throughout the analysis</w:t>
            </w:r>
          </w:p>
        </w:tc>
      </w:tr>
      <w:tr w:rsidR="00102372" w:rsidRPr="00116A2A" w:rsidTr="003D3945">
        <w:trPr>
          <w:cantSplit/>
        </w:trPr>
        <w:tc>
          <w:tcPr>
            <w:tcW w:w="1985" w:type="dxa"/>
            <w:tcBorders>
              <w:top w:val="single" w:sz="4" w:space="0" w:color="auto"/>
              <w:bottom w:val="single" w:sz="4" w:space="0" w:color="auto"/>
            </w:tcBorders>
            <w:shd w:val="clear" w:color="auto" w:fill="auto"/>
            <w:tcMar>
              <w:left w:w="57" w:type="dxa"/>
              <w:right w:w="57" w:type="dxa"/>
            </w:tcMar>
          </w:tcPr>
          <w:p w:rsidR="00102372" w:rsidRPr="00116A2A" w:rsidRDefault="00102372" w:rsidP="003D3945">
            <w:pPr>
              <w:ind w:right="-57"/>
              <w:jc w:val="left"/>
              <w:rPr>
                <w:rFonts w:ascii="Arial Narrow" w:hAnsi="Arial Narrow"/>
                <w:sz w:val="20"/>
              </w:rPr>
            </w:pPr>
            <w:r w:rsidRPr="00116A2A">
              <w:rPr>
                <w:rFonts w:ascii="Arial Narrow" w:hAnsi="Arial Narrow"/>
                <w:sz w:val="20"/>
              </w:rPr>
              <w:t xml:space="preserve">Step 6 (inclusion of </w:t>
            </w:r>
            <w:r w:rsidR="00F77DA2">
              <w:rPr>
                <w:rFonts w:ascii="Arial Narrow" w:hAnsi="Arial Narrow"/>
                <w:noProof/>
                <w:color w:val="000000"/>
                <w:sz w:val="20"/>
                <w:highlight w:val="black"/>
              </w:rPr>
              <w:t>'''''</w:t>
            </w:r>
            <w:r w:rsidRPr="00116A2A">
              <w:rPr>
                <w:rFonts w:ascii="Arial Narrow" w:hAnsi="Arial Narrow"/>
                <w:sz w:val="20"/>
              </w:rPr>
              <w:t>% rebate to ex-manufacturer price of bevacizumab)</w:t>
            </w:r>
          </w:p>
        </w:tc>
        <w:tc>
          <w:tcPr>
            <w:tcW w:w="1417" w:type="dxa"/>
            <w:tcBorders>
              <w:top w:val="single" w:sz="4" w:space="0" w:color="auto"/>
              <w:bottom w:val="single" w:sz="4" w:space="0" w:color="auto"/>
            </w:tcBorders>
            <w:shd w:val="clear" w:color="auto" w:fill="auto"/>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p>
        </w:tc>
        <w:tc>
          <w:tcPr>
            <w:tcW w:w="992" w:type="dxa"/>
            <w:tcBorders>
              <w:top w:val="single" w:sz="4" w:space="0" w:color="auto"/>
              <w:bottom w:val="single" w:sz="4" w:space="0" w:color="auto"/>
            </w:tcBorders>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992" w:type="dxa"/>
            <w:tcBorders>
              <w:top w:val="single" w:sz="4" w:space="0" w:color="auto"/>
              <w:bottom w:val="single" w:sz="4" w:space="0" w:color="auto"/>
            </w:tcBorders>
            <w:shd w:val="clear" w:color="auto" w:fill="auto"/>
            <w:vAlign w:val="center"/>
          </w:tcPr>
          <w:p w:rsidR="00102372" w:rsidRPr="009C70C9" w:rsidRDefault="009C70C9" w:rsidP="003D3945">
            <w:pPr>
              <w:ind w:left="-57" w:right="-57"/>
              <w:jc w:val="center"/>
              <w:rPr>
                <w:rFonts w:ascii="Arial Narrow" w:hAnsi="Arial Narrow"/>
                <w:sz w:val="20"/>
                <w:highlight w:val="black"/>
              </w:rPr>
            </w:pPr>
            <w:r>
              <w:rPr>
                <w:rFonts w:ascii="Arial Narrow" w:hAnsi="Arial Narrow"/>
                <w:noProof/>
                <w:color w:val="000000"/>
                <w:sz w:val="20"/>
                <w:highlight w:val="black"/>
              </w:rPr>
              <w:t>'''''''''''''</w:t>
            </w:r>
          </w:p>
        </w:tc>
        <w:tc>
          <w:tcPr>
            <w:tcW w:w="1559" w:type="dxa"/>
            <w:tcBorders>
              <w:top w:val="single" w:sz="4" w:space="0" w:color="auto"/>
              <w:bottom w:val="single" w:sz="4" w:space="0" w:color="auto"/>
            </w:tcBorders>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 $</w:t>
            </w:r>
            <w:r w:rsidR="009C70C9">
              <w:rPr>
                <w:rFonts w:ascii="Arial Narrow" w:hAnsi="Arial Narrow"/>
                <w:noProof/>
                <w:color w:val="000000"/>
                <w:sz w:val="20"/>
                <w:highlight w:val="black"/>
              </w:rPr>
              <w:t>''''''''''''''''</w:t>
            </w:r>
          </w:p>
        </w:tc>
        <w:tc>
          <w:tcPr>
            <w:tcW w:w="1559" w:type="dxa"/>
            <w:tcBorders>
              <w:top w:val="single" w:sz="4" w:space="0" w:color="auto"/>
              <w:bottom w:val="single" w:sz="4" w:space="0" w:color="auto"/>
            </w:tcBorders>
            <w:vAlign w:val="center"/>
          </w:tcPr>
          <w:p w:rsidR="00102372" w:rsidRPr="00116A2A" w:rsidRDefault="00102372" w:rsidP="003D3945">
            <w:pPr>
              <w:ind w:left="-57" w:right="-57"/>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r w:rsidRPr="00116A2A">
              <w:rPr>
                <w:rFonts w:ascii="Arial Narrow" w:hAnsi="Arial Narrow"/>
                <w:sz w:val="20"/>
              </w:rPr>
              <w:t xml:space="preserve"> </w:t>
            </w:r>
          </w:p>
          <w:p w:rsidR="00102372" w:rsidRPr="00116A2A" w:rsidRDefault="00102372" w:rsidP="003D3945">
            <w:pPr>
              <w:ind w:left="-57" w:right="-57"/>
              <w:jc w:val="right"/>
              <w:rPr>
                <w:rFonts w:ascii="Arial Narrow" w:hAnsi="Arial Narrow"/>
                <w:sz w:val="20"/>
              </w:rPr>
            </w:pPr>
            <w:r w:rsidRPr="00116A2A">
              <w:rPr>
                <w:rFonts w:ascii="Arial Narrow" w:hAnsi="Arial Narrow"/>
                <w:sz w:val="20"/>
              </w:rPr>
              <w:t>Revised:</w:t>
            </w:r>
            <w:r w:rsidRPr="00116A2A">
              <w:t xml:space="preserve"> </w:t>
            </w:r>
            <w:r w:rsidRPr="00116A2A">
              <w:rPr>
                <w:rFonts w:ascii="Arial Narrow" w:hAnsi="Arial Narrow"/>
                <w:sz w:val="20"/>
              </w:rPr>
              <w:t>$</w:t>
            </w:r>
            <w:r w:rsidR="009C70C9">
              <w:rPr>
                <w:rFonts w:ascii="Arial Narrow" w:hAnsi="Arial Narrow"/>
                <w:noProof/>
                <w:color w:val="000000"/>
                <w:sz w:val="20"/>
                <w:highlight w:val="black"/>
              </w:rPr>
              <w:t>'''''''''''''''''</w:t>
            </w:r>
          </w:p>
        </w:tc>
      </w:tr>
    </w:tbl>
    <w:p w:rsidR="00102372" w:rsidRPr="00116A2A" w:rsidRDefault="00102372" w:rsidP="00102372">
      <w:pPr>
        <w:pStyle w:val="TableFooter"/>
        <w:ind w:left="720"/>
      </w:pPr>
      <w:r w:rsidRPr="00116A2A">
        <w:t>AE = adverse event; ICER = incremental cost effectiveness ratio; LY = life-year; MRU = medical resource use; QALY = quality-adjusted life-year</w:t>
      </w:r>
    </w:p>
    <w:p w:rsidR="00102372" w:rsidRPr="00116A2A" w:rsidRDefault="00102372" w:rsidP="00102372">
      <w:pPr>
        <w:pStyle w:val="TableFooter"/>
        <w:ind w:left="720"/>
        <w:rPr>
          <w:szCs w:val="22"/>
        </w:rPr>
      </w:pPr>
      <w:r w:rsidRPr="00116A2A">
        <w:t>Source: Table D.5.7, p25, Section D of the submission (</w:t>
      </w:r>
      <w:r w:rsidR="00782867" w:rsidRPr="00116A2A">
        <w:t>items labelled ‘Revised’ were</w:t>
      </w:r>
      <w:r w:rsidRPr="00116A2A">
        <w:t xml:space="preserve"> recalculated during the evaluation using the updated EFC fees</w:t>
      </w:r>
      <w:r w:rsidR="00782867" w:rsidRPr="00116A2A">
        <w:t>, including preparation fee of $82.67).</w:t>
      </w:r>
    </w:p>
    <w:p w:rsidR="00102372" w:rsidRPr="00116A2A" w:rsidRDefault="00102372" w:rsidP="00102372">
      <w:pPr>
        <w:widowControl/>
        <w:rPr>
          <w:szCs w:val="22"/>
        </w:rPr>
      </w:pPr>
    </w:p>
    <w:p w:rsidR="0036748F" w:rsidRPr="00116A2A" w:rsidRDefault="0036748F" w:rsidP="002A0317">
      <w:pPr>
        <w:pStyle w:val="ListParagraph"/>
        <w:numPr>
          <w:ilvl w:val="1"/>
          <w:numId w:val="6"/>
        </w:numPr>
      </w:pPr>
      <w:r w:rsidRPr="00116A2A">
        <w:t xml:space="preserve">To address the uncertainty associated with extrapolation and the time horizon assumed in the base case of the model, a sensitivity analysis was conducted during the evaluation, using the trial OS data up to the maximum survival follow-up, </w:t>
      </w:r>
      <w:r w:rsidR="00692F29" w:rsidRPr="00116A2A">
        <w:t>i.e.</w:t>
      </w:r>
      <w:r w:rsidRPr="00116A2A">
        <w:t xml:space="preserve"> 55.9 months (as in the bevacizumab + chemotherapy arm) and also restricting the model time horizon to 55.9 months, the incremental cost-effectiveness ratio (ICER) increases to </w:t>
      </w:r>
      <w:r w:rsidR="002A0317" w:rsidRPr="002A0317">
        <w:t>$105,000</w:t>
      </w:r>
      <w:r w:rsidR="0028553E">
        <w:t>/QALY</w:t>
      </w:r>
      <w:r w:rsidR="002A0317" w:rsidRPr="002A0317">
        <w:t xml:space="preserve"> – $200,000</w:t>
      </w:r>
      <w:r w:rsidRPr="00116A2A">
        <w:t xml:space="preserve">/QALY from the submission’s base case of </w:t>
      </w:r>
      <w:r w:rsidR="002A0317" w:rsidRPr="002A0317">
        <w:t>$75,000</w:t>
      </w:r>
      <w:r w:rsidR="0028553E">
        <w:t>/QALY</w:t>
      </w:r>
      <w:r w:rsidR="002A0317" w:rsidRPr="002A0317">
        <w:t xml:space="preserve"> – $105,000</w:t>
      </w:r>
      <w:r w:rsidRPr="00116A2A">
        <w:t xml:space="preserve">/QALY. It is acknowledged that in this sensitivity analysis, PFS was still extrapolated from the median follow-up of 12 months for PFS. Nevertheless, the impact of PFS extrapolation on the result of economic evaluation is minimal: increasing the truncation time point for PFS from 12 months to 29 months (the maximum PFS follow-up in the bevacizumab + chemotherapy arm), the ICER only increases to </w:t>
      </w:r>
      <w:r w:rsidR="002A0317" w:rsidRPr="002A0317">
        <w:t>$105,000</w:t>
      </w:r>
      <w:r w:rsidR="0028553E">
        <w:t>/QALY</w:t>
      </w:r>
      <w:r w:rsidR="002A0317" w:rsidRPr="002A0317">
        <w:t xml:space="preserve"> – $200,000 </w:t>
      </w:r>
      <w:r w:rsidRPr="00116A2A">
        <w:t xml:space="preserve">/QALY from </w:t>
      </w:r>
      <w:r w:rsidR="002A0317" w:rsidRPr="002A0317">
        <w:t>$105,000</w:t>
      </w:r>
      <w:r w:rsidR="0028553E">
        <w:t>/QALY</w:t>
      </w:r>
      <w:r w:rsidR="002A0317" w:rsidRPr="002A0317">
        <w:t xml:space="preserve"> – $200,000</w:t>
      </w:r>
      <w:r w:rsidRPr="00116A2A">
        <w:t>/QALY. It is also acknowledged that at the end of the trial’s maximum duration of follow-up, there were still a proportion of patients alive (</w:t>
      </w:r>
      <w:r w:rsidR="00B72A9F" w:rsidRPr="00116A2A">
        <w:t>17%</w:t>
      </w:r>
      <w:r w:rsidRPr="00116A2A">
        <w:t xml:space="preserve"> in the bevacizumab arm and </w:t>
      </w:r>
      <w:r w:rsidR="00B72A9F" w:rsidRPr="00116A2A">
        <w:t>8%</w:t>
      </w:r>
      <w:r w:rsidRPr="00116A2A">
        <w:t xml:space="preserve"> in the chemotherapy alone arm</w:t>
      </w:r>
      <w:r w:rsidR="00B72A9F" w:rsidRPr="00116A2A">
        <w:t>, according to the Kaplan Meier OS curves</w:t>
      </w:r>
      <w:r w:rsidRPr="00116A2A">
        <w:t xml:space="preserve">). </w:t>
      </w:r>
    </w:p>
    <w:p w:rsidR="00102372" w:rsidRPr="00116A2A" w:rsidRDefault="00102372" w:rsidP="00102372">
      <w:pPr>
        <w:widowControl/>
        <w:rPr>
          <w:szCs w:val="22"/>
        </w:rPr>
      </w:pPr>
    </w:p>
    <w:p w:rsidR="00102372" w:rsidRPr="00116A2A" w:rsidRDefault="00102372" w:rsidP="00102372">
      <w:pPr>
        <w:pStyle w:val="ListParagraph"/>
        <w:widowControl/>
        <w:numPr>
          <w:ilvl w:val="1"/>
          <w:numId w:val="6"/>
        </w:numPr>
        <w:rPr>
          <w:szCs w:val="22"/>
        </w:rPr>
      </w:pPr>
      <w:r w:rsidRPr="00116A2A">
        <w:rPr>
          <w:szCs w:val="22"/>
        </w:rPr>
        <w:t xml:space="preserve">The results of </w:t>
      </w:r>
      <w:r w:rsidR="002E42B8" w:rsidRPr="00116A2A">
        <w:rPr>
          <w:szCs w:val="22"/>
        </w:rPr>
        <w:t>other</w:t>
      </w:r>
      <w:r w:rsidRPr="00116A2A">
        <w:rPr>
          <w:szCs w:val="22"/>
        </w:rPr>
        <w:t xml:space="preserve"> sensitivity analyses performed during the evaluation, taking into account the proposed </w:t>
      </w:r>
      <w:r w:rsidR="009C70C9">
        <w:rPr>
          <w:noProof/>
          <w:color w:val="000000"/>
          <w:szCs w:val="22"/>
          <w:highlight w:val="black"/>
        </w:rPr>
        <w:t>''''''</w:t>
      </w:r>
      <w:r w:rsidRPr="00116A2A">
        <w:rPr>
          <w:szCs w:val="22"/>
        </w:rPr>
        <w:t>% rebate on the ex-manufacturer price of bevacizumab for advanced c</w:t>
      </w:r>
      <w:r w:rsidR="005D5DE3" w:rsidRPr="00116A2A">
        <w:rPr>
          <w:szCs w:val="22"/>
        </w:rPr>
        <w:t>ervical cancer and the updated Efficient F</w:t>
      </w:r>
      <w:r w:rsidRPr="00116A2A">
        <w:rPr>
          <w:szCs w:val="22"/>
        </w:rPr>
        <w:t xml:space="preserve">unding of </w:t>
      </w:r>
      <w:r w:rsidR="005D5DE3" w:rsidRPr="00116A2A">
        <w:rPr>
          <w:szCs w:val="22"/>
        </w:rPr>
        <w:t>C</w:t>
      </w:r>
      <w:r w:rsidRPr="00116A2A">
        <w:rPr>
          <w:szCs w:val="22"/>
        </w:rPr>
        <w:t>hemotherapy (EFC) fees</w:t>
      </w:r>
      <w:r w:rsidR="0014298C" w:rsidRPr="00116A2A">
        <w:rPr>
          <w:szCs w:val="22"/>
        </w:rPr>
        <w:t>, are summarised below</w:t>
      </w:r>
      <w:r w:rsidRPr="00116A2A">
        <w:rPr>
          <w:szCs w:val="22"/>
        </w:rPr>
        <w:t>.</w:t>
      </w:r>
    </w:p>
    <w:p w:rsidR="00102372" w:rsidRPr="00116A2A" w:rsidRDefault="00102372" w:rsidP="00102372">
      <w:pPr>
        <w:pStyle w:val="ListParagraph"/>
        <w:rPr>
          <w:szCs w:val="22"/>
        </w:rPr>
      </w:pPr>
    </w:p>
    <w:p w:rsidR="00875AD3" w:rsidRPr="00116A2A" w:rsidRDefault="00875AD3">
      <w:pPr>
        <w:widowControl/>
        <w:jc w:val="left"/>
        <w:rPr>
          <w:rFonts w:ascii="Arial Narrow" w:hAnsi="Arial Narrow"/>
          <w:b/>
          <w:sz w:val="20"/>
        </w:rPr>
      </w:pPr>
    </w:p>
    <w:p w:rsidR="00102372" w:rsidRPr="00116A2A" w:rsidRDefault="005238DA" w:rsidP="00102372">
      <w:pPr>
        <w:pStyle w:val="TableHeader"/>
        <w:ind w:firstLine="720"/>
        <w:rPr>
          <w:szCs w:val="22"/>
        </w:rPr>
      </w:pPr>
      <w:r w:rsidRPr="00116A2A">
        <w:t>Table 9</w:t>
      </w:r>
      <w:r w:rsidR="00102372" w:rsidRPr="00116A2A">
        <w:t>: Sensitivity analyses performed during the evaluation</w:t>
      </w:r>
    </w:p>
    <w:tbl>
      <w:tblPr>
        <w:tblW w:w="4664" w:type="pct"/>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95"/>
        <w:gridCol w:w="1327"/>
        <w:gridCol w:w="1340"/>
        <w:gridCol w:w="1210"/>
      </w:tblGrid>
      <w:tr w:rsidR="00102372" w:rsidRPr="00116A2A" w:rsidTr="003D3945">
        <w:tc>
          <w:tcPr>
            <w:tcW w:w="2712" w:type="pct"/>
            <w:tcBorders>
              <w:top w:val="single" w:sz="4" w:space="0" w:color="auto"/>
              <w:left w:val="single" w:sz="4" w:space="0" w:color="auto"/>
              <w:bottom w:val="single" w:sz="4" w:space="0" w:color="auto"/>
              <w:right w:val="single" w:sz="4" w:space="0" w:color="auto"/>
            </w:tcBorders>
          </w:tcPr>
          <w:p w:rsidR="00102372" w:rsidRPr="00116A2A" w:rsidRDefault="00102372" w:rsidP="003D3945">
            <w:pPr>
              <w:jc w:val="center"/>
              <w:rPr>
                <w:rFonts w:ascii="Arial Narrow" w:hAnsi="Arial Narrow"/>
                <w:b/>
                <w:sz w:val="20"/>
              </w:rPr>
            </w:pPr>
            <w:r w:rsidRPr="00116A2A">
              <w:rPr>
                <w:rFonts w:ascii="Arial Narrow" w:hAnsi="Arial Narrow"/>
                <w:b/>
                <w:sz w:val="20"/>
              </w:rPr>
              <w:t>Assumptions</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Incremental costs</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center"/>
              <w:rPr>
                <w:rFonts w:ascii="Arial Narrow" w:hAnsi="Arial Narrow"/>
                <w:b/>
                <w:sz w:val="20"/>
                <w:lang w:eastAsia="zh-CN"/>
              </w:rPr>
            </w:pPr>
            <w:r w:rsidRPr="00116A2A">
              <w:rPr>
                <w:rFonts w:ascii="Arial Narrow" w:hAnsi="Arial Narrow"/>
                <w:b/>
                <w:sz w:val="20"/>
              </w:rPr>
              <w:t xml:space="preserve">Incremental </w:t>
            </w:r>
            <w:r w:rsidRPr="00116A2A">
              <w:rPr>
                <w:rFonts w:ascii="Arial Narrow" w:hAnsi="Arial Narrow"/>
                <w:b/>
                <w:sz w:val="20"/>
                <w:lang w:eastAsia="zh-CN"/>
              </w:rPr>
              <w:t>QALYs</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ICER</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rPr>
                <w:rFonts w:ascii="Arial Narrow" w:hAnsi="Arial Narrow"/>
                <w:sz w:val="20"/>
              </w:rPr>
            </w:pPr>
            <w:r w:rsidRPr="00116A2A">
              <w:rPr>
                <w:rFonts w:ascii="Arial Narrow" w:hAnsi="Arial Narrow"/>
                <w:sz w:val="20"/>
              </w:rPr>
              <w:t>Base case</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02372" w:rsidRPr="00116A2A" w:rsidRDefault="00102372" w:rsidP="003D3945">
            <w:pPr>
              <w:jc w:val="center"/>
              <w:rPr>
                <w:rFonts w:ascii="Arial Narrow" w:hAnsi="Arial Narrow"/>
                <w:b/>
                <w:color w:val="000000"/>
                <w:sz w:val="20"/>
              </w:rPr>
            </w:pPr>
            <w:r w:rsidRPr="00116A2A">
              <w:rPr>
                <w:rFonts w:ascii="Arial Narrow" w:hAnsi="Arial Narrow"/>
                <w:b/>
                <w:color w:val="000000"/>
                <w:sz w:val="20"/>
              </w:rPr>
              <w:t>Univariate sensitivity analyses</w:t>
            </w:r>
          </w:p>
        </w:tc>
      </w:tr>
      <w:tr w:rsidR="00102372" w:rsidRPr="00116A2A" w:rsidTr="003D3945">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2372" w:rsidRPr="00116A2A" w:rsidRDefault="00102372" w:rsidP="003D3945">
            <w:pPr>
              <w:rPr>
                <w:rFonts w:ascii="Arial Narrow" w:hAnsi="Arial Narrow"/>
                <w:b/>
                <w:color w:val="000000"/>
                <w:sz w:val="20"/>
              </w:rPr>
            </w:pPr>
            <w:r w:rsidRPr="00116A2A">
              <w:rPr>
                <w:rFonts w:ascii="Arial Narrow" w:hAnsi="Arial Narrow"/>
                <w:b/>
                <w:color w:val="000000"/>
                <w:sz w:val="20"/>
              </w:rPr>
              <w:t>Parametric function to extrapolate PFS data</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Weibull distribution</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Exponential distribution</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Log-logistic distribution</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Log-normal distribution</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2372" w:rsidRPr="00116A2A" w:rsidRDefault="00102372" w:rsidP="003D3945">
            <w:pPr>
              <w:rPr>
                <w:rFonts w:ascii="Arial Narrow" w:hAnsi="Arial Narrow"/>
                <w:b/>
                <w:color w:val="000000"/>
                <w:sz w:val="20"/>
              </w:rPr>
            </w:pPr>
            <w:r w:rsidRPr="00116A2A">
              <w:rPr>
                <w:rFonts w:ascii="Arial Narrow" w:hAnsi="Arial Narrow"/>
                <w:b/>
                <w:color w:val="000000"/>
                <w:sz w:val="20"/>
              </w:rPr>
              <w:t>Parametric function to extrapolate OS data</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Weibull distribution</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Exponential distribution</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 xml:space="preserve">Log-logistic distribution </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Log-normal distribution</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2372" w:rsidRPr="00116A2A" w:rsidRDefault="00102372" w:rsidP="003D3945">
            <w:pPr>
              <w:rPr>
                <w:rFonts w:ascii="Arial Narrow" w:hAnsi="Arial Narrow"/>
                <w:b/>
                <w:color w:val="000000"/>
                <w:sz w:val="20"/>
              </w:rPr>
            </w:pPr>
            <w:r w:rsidRPr="00116A2A">
              <w:rPr>
                <w:rFonts w:ascii="Arial Narrow" w:hAnsi="Arial Narrow"/>
                <w:b/>
                <w:color w:val="000000"/>
                <w:sz w:val="20"/>
              </w:rPr>
              <w:t>Time point of OS data truncation</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 xml:space="preserve">24 months </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37 months</w:t>
            </w:r>
            <w:r w:rsidRPr="00116A2A">
              <w:rPr>
                <w:rFonts w:ascii="Arial Narrow" w:hAnsi="Arial Narrow"/>
                <w:sz w:val="20"/>
                <w:vertAlign w:val="superscript"/>
              </w:rPr>
              <w:t>a</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2372" w:rsidRPr="00116A2A" w:rsidRDefault="00102372" w:rsidP="003D3945">
            <w:pPr>
              <w:rPr>
                <w:rFonts w:ascii="Arial Narrow" w:hAnsi="Arial Narrow"/>
                <w:b/>
                <w:color w:val="000000"/>
                <w:sz w:val="20"/>
              </w:rPr>
            </w:pPr>
            <w:r w:rsidRPr="00116A2A">
              <w:rPr>
                <w:rFonts w:ascii="Arial Narrow" w:hAnsi="Arial Narrow"/>
                <w:b/>
                <w:color w:val="000000"/>
                <w:sz w:val="20"/>
              </w:rPr>
              <w:t>Time horizon</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14.1 months</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3 years</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rPr>
          <w:trHeight w:val="147"/>
        </w:trPr>
        <w:tc>
          <w:tcPr>
            <w:tcW w:w="2712" w:type="pct"/>
            <w:tcBorders>
              <w:top w:val="single" w:sz="4" w:space="0" w:color="auto"/>
              <w:left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 xml:space="preserve">5 years </w:t>
            </w:r>
          </w:p>
        </w:tc>
        <w:tc>
          <w:tcPr>
            <w:tcW w:w="783" w:type="pct"/>
            <w:tcBorders>
              <w:top w:val="single" w:sz="4" w:space="0" w:color="auto"/>
              <w:left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rPr>
          <w:trHeight w:val="147"/>
        </w:trPr>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10 years</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2372" w:rsidRPr="00116A2A" w:rsidRDefault="00102372" w:rsidP="003D3945">
            <w:pPr>
              <w:rPr>
                <w:rFonts w:ascii="Arial Narrow" w:hAnsi="Arial Narrow"/>
                <w:b/>
                <w:color w:val="000000"/>
                <w:sz w:val="20"/>
              </w:rPr>
            </w:pPr>
            <w:r w:rsidRPr="00116A2A">
              <w:rPr>
                <w:rFonts w:ascii="Arial Narrow" w:hAnsi="Arial Narrow"/>
                <w:b/>
                <w:color w:val="000000"/>
                <w:sz w:val="20"/>
              </w:rPr>
              <w:t>Utility associated with progression health state</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0.716</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0.62</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r w:rsidR="00102372" w:rsidRPr="00116A2A" w:rsidTr="003D3945">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2372" w:rsidRPr="00116A2A" w:rsidRDefault="00102372" w:rsidP="003D3945">
            <w:pPr>
              <w:rPr>
                <w:rFonts w:ascii="Arial Narrow" w:hAnsi="Arial Narrow"/>
                <w:b/>
                <w:color w:val="000000"/>
                <w:sz w:val="20"/>
              </w:rPr>
            </w:pPr>
            <w:r w:rsidRPr="00116A2A">
              <w:rPr>
                <w:rFonts w:ascii="Arial Narrow" w:hAnsi="Arial Narrow"/>
                <w:b/>
                <w:color w:val="000000"/>
                <w:sz w:val="20"/>
              </w:rPr>
              <w:t>Costs associated with the progression health state</w:t>
            </w:r>
          </w:p>
        </w:tc>
      </w:tr>
      <w:tr w:rsidR="00102372" w:rsidRPr="00116A2A" w:rsidTr="003D3945">
        <w:trPr>
          <w:trHeight w:val="167"/>
        </w:trPr>
        <w:tc>
          <w:tcPr>
            <w:tcW w:w="2712" w:type="pct"/>
            <w:tcBorders>
              <w:top w:val="single" w:sz="4" w:space="0" w:color="auto"/>
              <w:left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$50 per cycle</w:t>
            </w:r>
          </w:p>
        </w:tc>
        <w:tc>
          <w:tcPr>
            <w:tcW w:w="783" w:type="pct"/>
            <w:tcBorders>
              <w:top w:val="single" w:sz="4" w:space="0" w:color="auto"/>
              <w:left w:val="single" w:sz="4" w:space="0" w:color="auto"/>
              <w:right w:val="single" w:sz="4" w:space="0" w:color="auto"/>
            </w:tcBorders>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right w:val="single" w:sz="4" w:space="0" w:color="auto"/>
            </w:tcBorders>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right w:val="single" w:sz="4" w:space="0" w:color="auto"/>
            </w:tcBorders>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$100 per cycle</w:t>
            </w:r>
          </w:p>
        </w:tc>
        <w:tc>
          <w:tcPr>
            <w:tcW w:w="783" w:type="pct"/>
            <w:tcBorders>
              <w:top w:val="single" w:sz="4" w:space="0" w:color="auto"/>
              <w:left w:val="single" w:sz="4" w:space="0" w:color="auto"/>
              <w:bottom w:val="single" w:sz="4" w:space="0" w:color="auto"/>
              <w:right w:val="single" w:sz="4" w:space="0" w:color="auto"/>
            </w:tcBorders>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tcPr>
          <w:p w:rsidR="00102372" w:rsidRPr="00116A2A" w:rsidRDefault="00102372" w:rsidP="003D3945">
            <w:pPr>
              <w:jc w:val="right"/>
              <w:rPr>
                <w:rFonts w:ascii="Arial Narrow" w:hAnsi="Arial Narrow"/>
                <w:color w:val="000000"/>
                <w:sz w:val="20"/>
              </w:rPr>
            </w:pPr>
            <w:r w:rsidRPr="00116A2A">
              <w:rPr>
                <w:rFonts w:ascii="Arial Narrow" w:hAnsi="Arial Narrow"/>
                <w:color w:val="000000"/>
                <w:sz w:val="20"/>
              </w:rPr>
              <w:t>$</w:t>
            </w:r>
            <w:r w:rsidR="009C70C9">
              <w:rPr>
                <w:rFonts w:ascii="Arial Narrow" w:hAnsi="Arial Narrow"/>
                <w:noProof/>
                <w:color w:val="000000"/>
                <w:sz w:val="20"/>
                <w:highlight w:val="black"/>
              </w:rPr>
              <w:t>'''''''''''''''''</w:t>
            </w:r>
          </w:p>
        </w:tc>
      </w:tr>
      <w:tr w:rsidR="00102372" w:rsidRPr="00116A2A" w:rsidTr="003D3945">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2372" w:rsidRPr="00116A2A" w:rsidRDefault="00102372" w:rsidP="003D3945">
            <w:pPr>
              <w:rPr>
                <w:rFonts w:ascii="Arial Narrow" w:hAnsi="Arial Narrow"/>
                <w:b/>
                <w:color w:val="000000"/>
                <w:sz w:val="20"/>
              </w:rPr>
            </w:pPr>
            <w:r w:rsidRPr="00116A2A">
              <w:rPr>
                <w:rFonts w:ascii="Arial Narrow" w:hAnsi="Arial Narrow"/>
                <w:b/>
                <w:color w:val="000000"/>
                <w:sz w:val="20"/>
              </w:rPr>
              <w:t>5% statutory price reduction for bevacizumab</w:t>
            </w:r>
          </w:p>
        </w:tc>
      </w:tr>
      <w:tr w:rsidR="00102372" w:rsidRPr="00116A2A" w:rsidTr="003D3945">
        <w:tc>
          <w:tcPr>
            <w:tcW w:w="2712"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ind w:left="284"/>
              <w:rPr>
                <w:rFonts w:ascii="Arial Narrow" w:hAnsi="Arial Narrow"/>
                <w:sz w:val="20"/>
              </w:rPr>
            </w:pPr>
            <w:r w:rsidRPr="00116A2A">
              <w:rPr>
                <w:rFonts w:ascii="Arial Narrow" w:hAnsi="Arial Narrow"/>
                <w:sz w:val="20"/>
              </w:rPr>
              <w:t xml:space="preserve">Excluding 5% statutory price reduction </w:t>
            </w:r>
          </w:p>
        </w:tc>
        <w:tc>
          <w:tcPr>
            <w:tcW w:w="783"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c>
          <w:tcPr>
            <w:tcW w:w="791" w:type="pct"/>
            <w:tcBorders>
              <w:top w:val="single" w:sz="4" w:space="0" w:color="auto"/>
              <w:left w:val="single" w:sz="4" w:space="0" w:color="auto"/>
              <w:bottom w:val="single" w:sz="4" w:space="0" w:color="auto"/>
              <w:right w:val="single" w:sz="4" w:space="0" w:color="auto"/>
            </w:tcBorders>
            <w:vAlign w:val="center"/>
          </w:tcPr>
          <w:p w:rsidR="00102372" w:rsidRPr="009C70C9" w:rsidRDefault="009C70C9" w:rsidP="003D3945">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14" w:type="pct"/>
            <w:tcBorders>
              <w:top w:val="single" w:sz="4" w:space="0" w:color="auto"/>
              <w:left w:val="single" w:sz="4" w:space="0" w:color="auto"/>
              <w:bottom w:val="single" w:sz="4" w:space="0" w:color="auto"/>
              <w:right w:val="single" w:sz="4" w:space="0" w:color="auto"/>
            </w:tcBorders>
            <w:vAlign w:val="center"/>
          </w:tcPr>
          <w:p w:rsidR="00102372" w:rsidRPr="00116A2A" w:rsidRDefault="00102372" w:rsidP="003D3945">
            <w:pPr>
              <w:jc w:val="right"/>
              <w:rPr>
                <w:rFonts w:ascii="Arial Narrow" w:hAnsi="Arial Narrow"/>
                <w:color w:val="000000"/>
                <w:sz w:val="20"/>
              </w:rPr>
            </w:pPr>
            <w:r w:rsidRPr="00116A2A">
              <w:rPr>
                <w:rFonts w:ascii="Arial Narrow" w:hAnsi="Arial Narrow"/>
                <w:sz w:val="20"/>
              </w:rPr>
              <w:t>$</w:t>
            </w:r>
            <w:r w:rsidR="009C70C9">
              <w:rPr>
                <w:rFonts w:ascii="Arial Narrow" w:hAnsi="Arial Narrow"/>
                <w:noProof/>
                <w:color w:val="000000"/>
                <w:sz w:val="20"/>
                <w:highlight w:val="black"/>
              </w:rPr>
              <w:t>'''''''''''''''''</w:t>
            </w:r>
          </w:p>
        </w:tc>
      </w:tr>
    </w:tbl>
    <w:p w:rsidR="00102372" w:rsidRPr="00116A2A" w:rsidRDefault="00102372" w:rsidP="00102372">
      <w:pPr>
        <w:pStyle w:val="TableFooter"/>
        <w:ind w:left="720"/>
      </w:pPr>
      <w:r w:rsidRPr="00116A2A">
        <w:t>PFS = progression-free survival; OS = overall survival</w:t>
      </w:r>
    </w:p>
    <w:p w:rsidR="00102372" w:rsidRPr="00116A2A" w:rsidRDefault="00102372" w:rsidP="00102372">
      <w:pPr>
        <w:pStyle w:val="TableFooter"/>
        <w:ind w:left="720"/>
      </w:pPr>
      <w:r w:rsidRPr="00116A2A">
        <w:rPr>
          <w:vertAlign w:val="superscript"/>
        </w:rPr>
        <w:t xml:space="preserve">a </w:t>
      </w:r>
      <w:r w:rsidRPr="00116A2A">
        <w:t xml:space="preserve">Median follow-up by using the method recommended by Schemper and Michael (1996) (see Section D.3 </w:t>
      </w:r>
      <w:r w:rsidR="00C946C2" w:rsidRPr="00116A2A">
        <w:t xml:space="preserve"> of the </w:t>
      </w:r>
      <w:r w:rsidR="00A76DE6" w:rsidRPr="00116A2A">
        <w:t>Commentary</w:t>
      </w:r>
      <w:r w:rsidR="00C946C2" w:rsidRPr="00116A2A">
        <w:t xml:space="preserve"> </w:t>
      </w:r>
      <w:r w:rsidRPr="00116A2A">
        <w:t xml:space="preserve">for discussion). </w:t>
      </w:r>
    </w:p>
    <w:p w:rsidR="00102372" w:rsidRPr="00116A2A" w:rsidRDefault="00102372" w:rsidP="00102372">
      <w:pPr>
        <w:pStyle w:val="TableFooter"/>
        <w:ind w:left="720"/>
        <w:rPr>
          <w:szCs w:val="22"/>
        </w:rPr>
      </w:pPr>
      <w:r w:rsidRPr="00116A2A">
        <w:t>Source: Sensitivity analyses performed during the evaluation</w:t>
      </w:r>
    </w:p>
    <w:p w:rsidR="00102372" w:rsidRPr="00116A2A" w:rsidRDefault="00102372" w:rsidP="00102372">
      <w:pPr>
        <w:pStyle w:val="ListParagraph"/>
        <w:widowControl/>
        <w:rPr>
          <w:szCs w:val="22"/>
        </w:rPr>
      </w:pPr>
    </w:p>
    <w:p w:rsidR="00102372" w:rsidRPr="00116A2A" w:rsidRDefault="0081684B" w:rsidP="0081684B">
      <w:pPr>
        <w:pStyle w:val="ListParagraph"/>
        <w:widowControl/>
        <w:numPr>
          <w:ilvl w:val="1"/>
          <w:numId w:val="6"/>
        </w:numPr>
        <w:rPr>
          <w:szCs w:val="22"/>
        </w:rPr>
      </w:pPr>
      <w:r w:rsidRPr="00116A2A">
        <w:rPr>
          <w:szCs w:val="22"/>
        </w:rPr>
        <w:t>As noted earlier, p</w:t>
      </w:r>
      <w:r w:rsidR="00102372" w:rsidRPr="00116A2A">
        <w:rPr>
          <w:szCs w:val="22"/>
        </w:rPr>
        <w:t xml:space="preserve">arametric functions to extrapolate trial-based PFS would have negligible impacts on the ICER. The use of the best fitting (measured by </w:t>
      </w:r>
      <w:r w:rsidRPr="00116A2A">
        <w:rPr>
          <w:szCs w:val="22"/>
        </w:rPr>
        <w:t>the Akaike Information Criterion</w:t>
      </w:r>
      <w:r w:rsidR="00102372" w:rsidRPr="00116A2A">
        <w:rPr>
          <w:szCs w:val="22"/>
        </w:rPr>
        <w:t>) log-logistic distribution to extrapolate OS data from the median follow-up of 14.1 months would increase the ICER by &lt;10%. Despite the model appearing fairly robust for the parametric functions chosen, the parametric functions only indicate the goodness of fit to the observed data during the trial period, and the uncertainties associated with the extrapolated period has not been addressed.</w:t>
      </w:r>
    </w:p>
    <w:p w:rsidR="00102372" w:rsidRPr="00116A2A" w:rsidRDefault="00102372" w:rsidP="00102372">
      <w:pPr>
        <w:pStyle w:val="ListParagraph"/>
        <w:widowControl/>
        <w:rPr>
          <w:szCs w:val="22"/>
        </w:rPr>
      </w:pPr>
    </w:p>
    <w:p w:rsidR="00102372" w:rsidRPr="00116A2A" w:rsidRDefault="00102372" w:rsidP="002A0317">
      <w:pPr>
        <w:pStyle w:val="ListParagraph"/>
        <w:widowControl/>
        <w:numPr>
          <w:ilvl w:val="1"/>
          <w:numId w:val="6"/>
        </w:numPr>
        <w:rPr>
          <w:szCs w:val="22"/>
        </w:rPr>
      </w:pPr>
      <w:r w:rsidRPr="00116A2A">
        <w:rPr>
          <w:szCs w:val="22"/>
        </w:rPr>
        <w:t xml:space="preserve">If the Kaplan-Meier OS data is truncated at a later time point of 24 months, the ICER will increase from </w:t>
      </w:r>
      <w:r w:rsidR="002A0317" w:rsidRPr="002A0317">
        <w:rPr>
          <w:szCs w:val="22"/>
        </w:rPr>
        <w:t>$75,000</w:t>
      </w:r>
      <w:r w:rsidR="0028553E">
        <w:rPr>
          <w:szCs w:val="22"/>
        </w:rPr>
        <w:t>/QALY</w:t>
      </w:r>
      <w:r w:rsidR="002A0317" w:rsidRPr="002A0317">
        <w:rPr>
          <w:szCs w:val="22"/>
        </w:rPr>
        <w:t xml:space="preserve"> – $105,000 </w:t>
      </w:r>
      <w:r w:rsidRPr="00116A2A">
        <w:rPr>
          <w:szCs w:val="22"/>
        </w:rPr>
        <w:t xml:space="preserve">/QALY to </w:t>
      </w:r>
      <w:r w:rsidR="002A0317" w:rsidRPr="002A0317">
        <w:rPr>
          <w:szCs w:val="22"/>
        </w:rPr>
        <w:t>$105,000</w:t>
      </w:r>
      <w:r w:rsidR="0028553E">
        <w:rPr>
          <w:szCs w:val="22"/>
        </w:rPr>
        <w:t>/QALY</w:t>
      </w:r>
      <w:r w:rsidR="002A0317" w:rsidRPr="002A0317">
        <w:rPr>
          <w:szCs w:val="22"/>
        </w:rPr>
        <w:t xml:space="preserve"> – $200,000</w:t>
      </w:r>
      <w:r w:rsidRPr="00116A2A">
        <w:rPr>
          <w:szCs w:val="22"/>
        </w:rPr>
        <w:t>/QALY. Of note, only a small proportion of patients were censored before 24 months (4.0% in the bevacizumab + chemotherapy arm and 5.3% in the chemotherapy alone arm). Under this circumstance, the trial-based survival estimates are considered to the reliable for extrapolation.</w:t>
      </w:r>
    </w:p>
    <w:p w:rsidR="00102372" w:rsidRPr="00116A2A" w:rsidRDefault="00102372" w:rsidP="00102372">
      <w:pPr>
        <w:pStyle w:val="ListParagraph"/>
        <w:rPr>
          <w:szCs w:val="22"/>
        </w:rPr>
      </w:pPr>
    </w:p>
    <w:p w:rsidR="00102372" w:rsidRPr="00116A2A" w:rsidRDefault="00102372" w:rsidP="00102372">
      <w:pPr>
        <w:pStyle w:val="ListParagraph"/>
        <w:widowControl/>
        <w:numPr>
          <w:ilvl w:val="1"/>
          <w:numId w:val="6"/>
        </w:numPr>
        <w:rPr>
          <w:szCs w:val="22"/>
        </w:rPr>
      </w:pPr>
      <w:r w:rsidRPr="00116A2A">
        <w:rPr>
          <w:szCs w:val="22"/>
        </w:rPr>
        <w:lastRenderedPageBreak/>
        <w:t xml:space="preserve">The impacts of 95% confidence intervals, in terms of PFS and OS observed from GOG 0240, on the results of economic model have not been examined in </w:t>
      </w:r>
      <w:r w:rsidR="0081684B" w:rsidRPr="00116A2A">
        <w:rPr>
          <w:szCs w:val="22"/>
        </w:rPr>
        <w:t xml:space="preserve">a </w:t>
      </w:r>
      <w:r w:rsidRPr="00116A2A">
        <w:rPr>
          <w:szCs w:val="22"/>
        </w:rPr>
        <w:t>sensitivity analysis.</w:t>
      </w:r>
    </w:p>
    <w:p w:rsidR="00102372" w:rsidRPr="00116A2A" w:rsidRDefault="00102372" w:rsidP="00102372">
      <w:pPr>
        <w:widowControl/>
        <w:rPr>
          <w:szCs w:val="22"/>
        </w:rPr>
      </w:pPr>
    </w:p>
    <w:p w:rsidR="00102372" w:rsidRPr="00116A2A" w:rsidRDefault="00102372" w:rsidP="00102372">
      <w:pPr>
        <w:pStyle w:val="Heading2"/>
        <w:rPr>
          <w:szCs w:val="22"/>
        </w:rPr>
      </w:pPr>
      <w:bookmarkStart w:id="15" w:name="_Toc430080591"/>
      <w:r w:rsidRPr="00116A2A">
        <w:t xml:space="preserve">Drug cost/patient/course: </w:t>
      </w:r>
      <w:r w:rsidRPr="00116A2A">
        <w:rPr>
          <w:b w:val="0"/>
        </w:rPr>
        <w:t>$</w:t>
      </w:r>
      <w:r w:rsidR="009C70C9">
        <w:rPr>
          <w:b w:val="0"/>
          <w:noProof/>
          <w:color w:val="000000"/>
          <w:highlight w:val="black"/>
        </w:rPr>
        <w:t>''''''''''''''''''</w:t>
      </w:r>
      <w:r w:rsidRPr="00116A2A">
        <w:rPr>
          <w:b w:val="0"/>
        </w:rPr>
        <w:t xml:space="preserve"> (revised $</w:t>
      </w:r>
      <w:r w:rsidR="009C70C9">
        <w:rPr>
          <w:b w:val="0"/>
          <w:noProof/>
          <w:color w:val="000000"/>
          <w:highlight w:val="black"/>
        </w:rPr>
        <w:t>'''''''''''''''</w:t>
      </w:r>
      <w:r w:rsidR="0081684B" w:rsidRPr="00116A2A">
        <w:rPr>
          <w:b w:val="0"/>
        </w:rPr>
        <w:t>, using updated EFC fees</w:t>
      </w:r>
      <w:r w:rsidRPr="00116A2A">
        <w:rPr>
          <w:b w:val="0"/>
        </w:rPr>
        <w:t>)</w:t>
      </w:r>
      <w:bookmarkEnd w:id="15"/>
    </w:p>
    <w:p w:rsidR="00102372" w:rsidRPr="00116A2A" w:rsidRDefault="00102372" w:rsidP="00102372">
      <w:pPr>
        <w:widowControl/>
        <w:rPr>
          <w:szCs w:val="22"/>
        </w:rPr>
      </w:pPr>
    </w:p>
    <w:p w:rsidR="00102372" w:rsidRPr="00116A2A" w:rsidRDefault="00102372" w:rsidP="00102372">
      <w:pPr>
        <w:pStyle w:val="ListParagraph"/>
        <w:widowControl/>
        <w:numPr>
          <w:ilvl w:val="1"/>
          <w:numId w:val="6"/>
        </w:numPr>
        <w:rPr>
          <w:szCs w:val="22"/>
        </w:rPr>
      </w:pPr>
      <w:r w:rsidRPr="00116A2A">
        <w:rPr>
          <w:szCs w:val="22"/>
        </w:rPr>
        <w:t xml:space="preserve">The average drug cost per patient per course was estimated: 1) assuming a treatment duration of </w:t>
      </w:r>
      <w:r w:rsidR="009C70C9">
        <w:rPr>
          <w:noProof/>
          <w:color w:val="000000"/>
          <w:szCs w:val="22"/>
          <w:highlight w:val="black"/>
        </w:rPr>
        <w:t>'''''''</w:t>
      </w:r>
      <w:r w:rsidRPr="00116A2A">
        <w:rPr>
          <w:szCs w:val="22"/>
        </w:rPr>
        <w:t xml:space="preserve"> cycles (based on the time to off-treatment (TTOT) estimates from the GOG 0240 trial); 2) assuming 54.4% of prescriptions being dispensed in public settings and 45.6% in private settings; and 3) incorporating an expected one-off statutory 5% price reduction (to be applied from 1 April 2016) and the proposed </w:t>
      </w:r>
      <w:r w:rsidR="009C70C9">
        <w:rPr>
          <w:noProof/>
          <w:color w:val="000000"/>
          <w:szCs w:val="22"/>
          <w:highlight w:val="black"/>
        </w:rPr>
        <w:t>'''''''</w:t>
      </w:r>
      <w:r w:rsidRPr="00116A2A">
        <w:rPr>
          <w:szCs w:val="22"/>
        </w:rPr>
        <w:t>% rebate on the ex-manufacturer price for bevacizumab. The bevacizumab drug cost has been revised during the evaluation to account for the new EFC fees (effective July 2015</w:t>
      </w:r>
      <w:r w:rsidR="00782867" w:rsidRPr="00116A2A">
        <w:rPr>
          <w:szCs w:val="22"/>
        </w:rPr>
        <w:t>,</w:t>
      </w:r>
      <w:r w:rsidR="00782867" w:rsidRPr="00116A2A">
        <w:t xml:space="preserve"> including preparation fee of $82.67</w:t>
      </w:r>
      <w:r w:rsidR="00024FA3" w:rsidRPr="00116A2A">
        <w:t>)</w:t>
      </w:r>
      <w:r w:rsidRPr="00116A2A">
        <w:rPr>
          <w:szCs w:val="22"/>
        </w:rPr>
        <w:t xml:space="preserve"> </w:t>
      </w:r>
    </w:p>
    <w:p w:rsidR="00102372" w:rsidRPr="00116A2A" w:rsidRDefault="00102372" w:rsidP="00102372">
      <w:pPr>
        <w:rPr>
          <w:szCs w:val="22"/>
        </w:rPr>
      </w:pPr>
    </w:p>
    <w:p w:rsidR="00102372" w:rsidRPr="00116A2A" w:rsidRDefault="00102372" w:rsidP="00102372">
      <w:pPr>
        <w:pStyle w:val="Heading2"/>
      </w:pPr>
      <w:bookmarkStart w:id="16" w:name="_Toc430080592"/>
      <w:r w:rsidRPr="00116A2A">
        <w:t>Estimated PBS usage &amp; financial implications</w:t>
      </w:r>
      <w:bookmarkEnd w:id="16"/>
    </w:p>
    <w:p w:rsidR="00102372" w:rsidRPr="00116A2A" w:rsidRDefault="00102372" w:rsidP="00102372">
      <w:pPr>
        <w:ind w:left="720" w:hanging="720"/>
        <w:rPr>
          <w:b/>
          <w:szCs w:val="22"/>
        </w:rPr>
      </w:pPr>
    </w:p>
    <w:p w:rsidR="00102372" w:rsidRPr="00116A2A" w:rsidRDefault="00102372" w:rsidP="00102372">
      <w:pPr>
        <w:pStyle w:val="ListParagraph"/>
        <w:widowControl/>
        <w:numPr>
          <w:ilvl w:val="1"/>
          <w:numId w:val="6"/>
        </w:numPr>
      </w:pPr>
      <w:r w:rsidRPr="00116A2A">
        <w:t xml:space="preserve">This submission </w:t>
      </w:r>
      <w:r w:rsidR="009547C4" w:rsidRPr="00116A2A">
        <w:t>was not</w:t>
      </w:r>
      <w:r w:rsidRPr="00116A2A">
        <w:t xml:space="preserve"> considered by DUSC.</w:t>
      </w:r>
    </w:p>
    <w:p w:rsidR="00102372" w:rsidRPr="00116A2A" w:rsidRDefault="00102372" w:rsidP="00102372">
      <w:pPr>
        <w:pStyle w:val="ListParagraph"/>
        <w:widowControl/>
      </w:pPr>
      <w:r w:rsidRPr="00116A2A">
        <w:t xml:space="preserve">The submission used an epidemiological approach to estimate the financial impact of listing bevacizumab for the treatment of advanced cervical cancer. The incidence of cervical cancer was based on the Australian Cancer Incidence and Mortality (ACIM) book: Cervical cancer (AIHW 2015), by projecting the incidence data for the period of 2002-2011 over the next 10 years (2012-2022) using a linear function. Expert advice on other epidemiological estimates was sought via a treatment pattern survey and an advisory board meeting to determine the number of incident patients who are likely to receive bevacizumab. The submission further assumed that patients with advanced cervical cancer would start treatment within 3 months of diagnosis, given the poor prognosis of disease; and, therefore, prevalent cases were only considered in the first 3 months of listing. </w:t>
      </w:r>
    </w:p>
    <w:p w:rsidR="008D2431" w:rsidRPr="00116A2A" w:rsidRDefault="008D2431" w:rsidP="00102372">
      <w:pPr>
        <w:pStyle w:val="ListParagraph"/>
        <w:widowControl/>
      </w:pPr>
    </w:p>
    <w:p w:rsidR="008D2431" w:rsidRPr="00116A2A" w:rsidRDefault="008D2431" w:rsidP="008D2431">
      <w:pPr>
        <w:pStyle w:val="ListParagraph"/>
        <w:widowControl/>
        <w:numPr>
          <w:ilvl w:val="1"/>
          <w:numId w:val="6"/>
        </w:numPr>
      </w:pPr>
      <w:r w:rsidRPr="00116A2A">
        <w:t xml:space="preserve">The 6th Community Pharmacy Agreement which took effect on 1 July 2015, made some changes to the way chemotherapy preparation fees are paid under the Section 100 Efficient Funding of Chemotherapy (EFC) arrangement.  </w:t>
      </w:r>
    </w:p>
    <w:p w:rsidR="008D2431" w:rsidRPr="00116A2A" w:rsidRDefault="008D2431" w:rsidP="008D2431">
      <w:pPr>
        <w:pStyle w:val="ListParagraph"/>
        <w:widowControl/>
      </w:pPr>
    </w:p>
    <w:p w:rsidR="008D2431" w:rsidRPr="00116A2A" w:rsidRDefault="008D2431" w:rsidP="008D2431">
      <w:pPr>
        <w:pStyle w:val="ListParagraph"/>
        <w:widowControl/>
      </w:pPr>
      <w:r w:rsidRPr="00116A2A">
        <w:t>In addition, some chemotherapy compounders will be paid a smaller fee and the DPMA that is published in the schedule will only include that smaller fee.</w:t>
      </w:r>
    </w:p>
    <w:p w:rsidR="008D2431" w:rsidRPr="00116A2A" w:rsidRDefault="008D2431" w:rsidP="008D2431">
      <w:pPr>
        <w:widowControl/>
      </w:pPr>
    </w:p>
    <w:p w:rsidR="008D2431" w:rsidRPr="00116A2A" w:rsidRDefault="008D2431" w:rsidP="008D2431">
      <w:pPr>
        <w:pStyle w:val="ListParagraph"/>
        <w:widowControl/>
      </w:pPr>
      <w:r w:rsidRPr="00116A2A">
        <w:t>Under the finalised new arrangements:</w:t>
      </w:r>
    </w:p>
    <w:p w:rsidR="008D2431" w:rsidRPr="00116A2A" w:rsidRDefault="008D2431" w:rsidP="008D2431">
      <w:pPr>
        <w:pStyle w:val="ListParagraph"/>
        <w:widowControl/>
        <w:numPr>
          <w:ilvl w:val="0"/>
          <w:numId w:val="36"/>
        </w:numPr>
      </w:pPr>
      <w:r w:rsidRPr="00116A2A">
        <w:t>The preparation fees paid to compounders who are licensed by the TGA to undertake such compounding are higher than those paid to compounders who are not licensed by the TGA, recognising that TGA licensed compounders incur additional costs in complying with the TGA’s licensing requirements, as compared to chemotherapy compounders who are not TGA licensed;</w:t>
      </w:r>
    </w:p>
    <w:p w:rsidR="008D2431" w:rsidRPr="00116A2A" w:rsidRDefault="008D2431" w:rsidP="008D2431">
      <w:pPr>
        <w:pStyle w:val="ListParagraph"/>
        <w:widowControl/>
        <w:numPr>
          <w:ilvl w:val="0"/>
          <w:numId w:val="36"/>
        </w:numPr>
      </w:pPr>
      <w:r w:rsidRPr="00116A2A">
        <w:t>The preparation fee paid to TGA licensed compounders remains the same as under the 5th CPA at $102.67 (indexed price for 2014/2015);</w:t>
      </w:r>
    </w:p>
    <w:p w:rsidR="008D2431" w:rsidRPr="00116A2A" w:rsidRDefault="008D2431" w:rsidP="008D2431">
      <w:pPr>
        <w:pStyle w:val="ListParagraph"/>
        <w:widowControl/>
        <w:numPr>
          <w:ilvl w:val="0"/>
          <w:numId w:val="36"/>
        </w:numPr>
      </w:pPr>
      <w:r w:rsidRPr="00116A2A">
        <w:t>The preparation fees paid to a s90 Community Pharmacy (incl s92 approved  practitioners) and a s94 Approved Private Hospital Authority are the same as those paid to TGA licensed compounders to recognise the specialist nature of preparing chemotherapy medicines;</w:t>
      </w:r>
    </w:p>
    <w:p w:rsidR="008D2431" w:rsidRPr="00116A2A" w:rsidRDefault="008D2431" w:rsidP="008D2431">
      <w:pPr>
        <w:pStyle w:val="ListParagraph"/>
        <w:widowControl/>
        <w:numPr>
          <w:ilvl w:val="0"/>
          <w:numId w:val="36"/>
        </w:numPr>
      </w:pPr>
      <w:r w:rsidRPr="00116A2A">
        <w:lastRenderedPageBreak/>
        <w:t>The preparation fee paid to non-TGA licensed compounders is $20 less at $82.67.</w:t>
      </w:r>
    </w:p>
    <w:p w:rsidR="008D2431" w:rsidRPr="00116A2A" w:rsidRDefault="008D2431" w:rsidP="008D2431">
      <w:pPr>
        <w:pStyle w:val="ListParagraph"/>
        <w:widowControl/>
        <w:numPr>
          <w:ilvl w:val="0"/>
          <w:numId w:val="36"/>
        </w:numPr>
      </w:pPr>
      <w:r w:rsidRPr="00116A2A">
        <w:t xml:space="preserve">Where applicable, the $20 portion of the preparation fee will be paid directly to the compounder through Australian Healthcare Associates (AHA); and.  </w:t>
      </w:r>
    </w:p>
    <w:p w:rsidR="008D2431" w:rsidRPr="00116A2A" w:rsidRDefault="008D2431" w:rsidP="008D2431">
      <w:pPr>
        <w:pStyle w:val="ListParagraph"/>
        <w:widowControl/>
        <w:numPr>
          <w:ilvl w:val="0"/>
          <w:numId w:val="36"/>
        </w:numPr>
      </w:pPr>
      <w:r w:rsidRPr="00116A2A">
        <w:t>The $20 is not currently captured by the DMPA that is published in the Schedule of Pharmaceutical Benefits.</w:t>
      </w:r>
    </w:p>
    <w:p w:rsidR="008D2431" w:rsidRPr="00116A2A" w:rsidRDefault="008D2431" w:rsidP="008D2431">
      <w:pPr>
        <w:pStyle w:val="ListParagraph"/>
        <w:widowControl/>
      </w:pPr>
    </w:p>
    <w:p w:rsidR="008D2431" w:rsidRPr="00116A2A" w:rsidRDefault="008D2431" w:rsidP="008D2431">
      <w:pPr>
        <w:pStyle w:val="ListParagraph"/>
        <w:widowControl/>
      </w:pPr>
      <w:r w:rsidRPr="00116A2A">
        <w:t xml:space="preserve">As the majority of chemotherapy preparations are compounded in settings where the $102.67 fee applies, this fee should continue to be used in PBAC submissions. </w:t>
      </w:r>
      <w:r w:rsidR="005C4A14" w:rsidRPr="00116A2A">
        <w:t xml:space="preserve">The PSCR noted that the revised estimates undertaken during the evaluation use the preparation fee applicable to non-TGA licenced compounders ($82.67). Applying the TGA licenced compounders preparation fee ($102.67) will increase the revised Net cost to the PBS/RPBS. </w:t>
      </w:r>
    </w:p>
    <w:p w:rsidR="008D2431" w:rsidRPr="00116A2A" w:rsidRDefault="008D2431" w:rsidP="00102372">
      <w:pPr>
        <w:pStyle w:val="ListParagraph"/>
        <w:widowControl/>
        <w:rPr>
          <w:szCs w:val="22"/>
        </w:rPr>
      </w:pPr>
    </w:p>
    <w:p w:rsidR="00102372" w:rsidRPr="00116A2A" w:rsidRDefault="005238DA" w:rsidP="00102372">
      <w:pPr>
        <w:pStyle w:val="TableHeader"/>
        <w:ind w:left="709"/>
      </w:pPr>
      <w:r w:rsidRPr="00116A2A">
        <w:t>Table 10</w:t>
      </w:r>
      <w:r w:rsidR="00102372" w:rsidRPr="00116A2A">
        <w:t>: Estimated use and financial implications</w:t>
      </w:r>
    </w:p>
    <w:tbl>
      <w:tblPr>
        <w:tblW w:w="4683" w:type="pct"/>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2"/>
        <w:gridCol w:w="1135"/>
        <w:gridCol w:w="1133"/>
        <w:gridCol w:w="1274"/>
        <w:gridCol w:w="1274"/>
        <w:gridCol w:w="1278"/>
      </w:tblGrid>
      <w:tr w:rsidR="00102372" w:rsidRPr="00116A2A" w:rsidTr="003D3945">
        <w:trPr>
          <w:tblHeader/>
        </w:trPr>
        <w:tc>
          <w:tcPr>
            <w:tcW w:w="1418" w:type="pct"/>
            <w:shd w:val="clear" w:color="auto" w:fill="auto"/>
            <w:vAlign w:val="center"/>
          </w:tcPr>
          <w:p w:rsidR="00102372" w:rsidRPr="00116A2A" w:rsidRDefault="00102372" w:rsidP="003D3945">
            <w:pPr>
              <w:tabs>
                <w:tab w:val="left" w:pos="142"/>
              </w:tabs>
              <w:jc w:val="left"/>
              <w:rPr>
                <w:rFonts w:ascii="Arial Narrow" w:hAnsi="Arial Narrow"/>
                <w:b/>
                <w:sz w:val="20"/>
              </w:rPr>
            </w:pPr>
          </w:p>
        </w:tc>
        <w:tc>
          <w:tcPr>
            <w:tcW w:w="667" w:type="pct"/>
            <w:shd w:val="clear" w:color="auto" w:fill="auto"/>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Year 1</w:t>
            </w:r>
          </w:p>
        </w:tc>
        <w:tc>
          <w:tcPr>
            <w:tcW w:w="666" w:type="pct"/>
            <w:shd w:val="clear" w:color="auto" w:fill="auto"/>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Year 2</w:t>
            </w:r>
          </w:p>
        </w:tc>
        <w:tc>
          <w:tcPr>
            <w:tcW w:w="749" w:type="pct"/>
            <w:shd w:val="clear" w:color="auto" w:fill="auto"/>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Year 3</w:t>
            </w:r>
          </w:p>
        </w:tc>
        <w:tc>
          <w:tcPr>
            <w:tcW w:w="749" w:type="pct"/>
            <w:shd w:val="clear" w:color="auto" w:fill="auto"/>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Year 4</w:t>
            </w:r>
          </w:p>
        </w:tc>
        <w:tc>
          <w:tcPr>
            <w:tcW w:w="751" w:type="pct"/>
            <w:shd w:val="clear" w:color="auto" w:fill="auto"/>
            <w:vAlign w:val="center"/>
          </w:tcPr>
          <w:p w:rsidR="00102372" w:rsidRPr="00116A2A" w:rsidRDefault="00102372" w:rsidP="003D3945">
            <w:pPr>
              <w:jc w:val="center"/>
              <w:rPr>
                <w:rFonts w:ascii="Arial Narrow" w:hAnsi="Arial Narrow"/>
                <w:b/>
                <w:sz w:val="20"/>
              </w:rPr>
            </w:pPr>
            <w:r w:rsidRPr="00116A2A">
              <w:rPr>
                <w:rFonts w:ascii="Arial Narrow" w:hAnsi="Arial Narrow"/>
                <w:b/>
                <w:sz w:val="20"/>
              </w:rPr>
              <w:t>Year 5</w:t>
            </w:r>
          </w:p>
        </w:tc>
      </w:tr>
      <w:tr w:rsidR="00102372" w:rsidRPr="00116A2A" w:rsidTr="003D3945">
        <w:tc>
          <w:tcPr>
            <w:tcW w:w="5000" w:type="pct"/>
            <w:gridSpan w:val="6"/>
            <w:shd w:val="clear" w:color="auto" w:fill="auto"/>
            <w:vAlign w:val="center"/>
          </w:tcPr>
          <w:p w:rsidR="00102372" w:rsidRPr="00116A2A" w:rsidRDefault="00102372" w:rsidP="003D3945">
            <w:pPr>
              <w:jc w:val="left"/>
              <w:rPr>
                <w:rFonts w:ascii="Arial Narrow" w:hAnsi="Arial Narrow"/>
                <w:b/>
                <w:bCs/>
                <w:color w:val="000000"/>
                <w:sz w:val="20"/>
              </w:rPr>
            </w:pPr>
            <w:r w:rsidRPr="00116A2A">
              <w:rPr>
                <w:rFonts w:ascii="Arial Narrow" w:hAnsi="Arial Narrow"/>
                <w:b/>
                <w:bCs/>
                <w:color w:val="000000"/>
                <w:sz w:val="20"/>
              </w:rPr>
              <w:t>Estimated extent of use</w:t>
            </w:r>
          </w:p>
        </w:tc>
      </w:tr>
      <w:tr w:rsidR="00102372" w:rsidRPr="00116A2A" w:rsidTr="003D3945">
        <w:tc>
          <w:tcPr>
            <w:tcW w:w="1418" w:type="pct"/>
            <w:shd w:val="clear" w:color="auto" w:fill="auto"/>
            <w:vAlign w:val="center"/>
          </w:tcPr>
          <w:p w:rsidR="00102372" w:rsidRPr="00116A2A" w:rsidRDefault="00102372" w:rsidP="003D3945">
            <w:pPr>
              <w:tabs>
                <w:tab w:val="left" w:pos="142"/>
              </w:tabs>
              <w:jc w:val="left"/>
              <w:rPr>
                <w:rFonts w:ascii="Arial Narrow" w:hAnsi="Arial Narrow"/>
                <w:sz w:val="20"/>
              </w:rPr>
            </w:pPr>
            <w:r w:rsidRPr="00116A2A">
              <w:rPr>
                <w:rFonts w:ascii="Arial Narrow" w:hAnsi="Arial Narrow"/>
                <w:sz w:val="20"/>
              </w:rPr>
              <w:t>Number treated</w:t>
            </w:r>
          </w:p>
        </w:tc>
        <w:tc>
          <w:tcPr>
            <w:tcW w:w="667" w:type="pct"/>
            <w:shd w:val="clear" w:color="auto" w:fill="auto"/>
            <w:vAlign w:val="center"/>
          </w:tcPr>
          <w:p w:rsidR="00102372" w:rsidRPr="009C70C9" w:rsidRDefault="009C70C9" w:rsidP="003D3945">
            <w:pPr>
              <w:jc w:val="center"/>
              <w:rPr>
                <w:rFonts w:ascii="Arial Narrow" w:hAnsi="Arial Narrow"/>
                <w:bCs/>
                <w:sz w:val="20"/>
                <w:highlight w:val="black"/>
              </w:rPr>
            </w:pPr>
            <w:r>
              <w:rPr>
                <w:rFonts w:ascii="Arial Narrow" w:hAnsi="Arial Narrow"/>
                <w:bCs/>
                <w:noProof/>
                <w:color w:val="000000"/>
                <w:sz w:val="20"/>
                <w:highlight w:val="black"/>
              </w:rPr>
              <w:t>''''''''''</w:t>
            </w:r>
          </w:p>
        </w:tc>
        <w:tc>
          <w:tcPr>
            <w:tcW w:w="666" w:type="pct"/>
            <w:shd w:val="clear" w:color="auto" w:fill="auto"/>
            <w:vAlign w:val="center"/>
          </w:tcPr>
          <w:p w:rsidR="00102372" w:rsidRPr="009C70C9" w:rsidRDefault="009C70C9" w:rsidP="003D3945">
            <w:pPr>
              <w:jc w:val="center"/>
              <w:rPr>
                <w:rFonts w:ascii="Arial Narrow" w:hAnsi="Arial Narrow"/>
                <w:bCs/>
                <w:sz w:val="20"/>
                <w:highlight w:val="black"/>
              </w:rPr>
            </w:pPr>
            <w:r>
              <w:rPr>
                <w:rFonts w:ascii="Arial Narrow" w:hAnsi="Arial Narrow"/>
                <w:bCs/>
                <w:noProof/>
                <w:color w:val="000000"/>
                <w:sz w:val="20"/>
                <w:highlight w:val="black"/>
              </w:rPr>
              <w:t>'''''''''</w:t>
            </w:r>
          </w:p>
        </w:tc>
        <w:tc>
          <w:tcPr>
            <w:tcW w:w="749" w:type="pct"/>
            <w:shd w:val="clear" w:color="auto" w:fill="auto"/>
            <w:vAlign w:val="center"/>
          </w:tcPr>
          <w:p w:rsidR="00102372" w:rsidRPr="009C70C9" w:rsidRDefault="009C70C9" w:rsidP="003D3945">
            <w:pPr>
              <w:jc w:val="center"/>
              <w:rPr>
                <w:rFonts w:ascii="Arial Narrow" w:hAnsi="Arial Narrow"/>
                <w:bCs/>
                <w:sz w:val="20"/>
                <w:highlight w:val="black"/>
              </w:rPr>
            </w:pPr>
            <w:r>
              <w:rPr>
                <w:rFonts w:ascii="Arial Narrow" w:hAnsi="Arial Narrow"/>
                <w:bCs/>
                <w:noProof/>
                <w:color w:val="000000"/>
                <w:sz w:val="20"/>
                <w:highlight w:val="black"/>
              </w:rPr>
              <w:t>''''''''''</w:t>
            </w:r>
          </w:p>
        </w:tc>
        <w:tc>
          <w:tcPr>
            <w:tcW w:w="749" w:type="pct"/>
            <w:shd w:val="clear" w:color="auto" w:fill="auto"/>
            <w:vAlign w:val="center"/>
          </w:tcPr>
          <w:p w:rsidR="00102372" w:rsidRPr="009C70C9" w:rsidRDefault="009C70C9" w:rsidP="003D3945">
            <w:pPr>
              <w:jc w:val="center"/>
              <w:rPr>
                <w:rFonts w:ascii="Arial Narrow" w:hAnsi="Arial Narrow"/>
                <w:bCs/>
                <w:sz w:val="20"/>
                <w:highlight w:val="black"/>
              </w:rPr>
            </w:pPr>
            <w:r>
              <w:rPr>
                <w:rFonts w:ascii="Arial Narrow" w:hAnsi="Arial Narrow"/>
                <w:bCs/>
                <w:noProof/>
                <w:color w:val="000000"/>
                <w:sz w:val="20"/>
                <w:highlight w:val="black"/>
              </w:rPr>
              <w:t>''''''''</w:t>
            </w:r>
          </w:p>
        </w:tc>
        <w:tc>
          <w:tcPr>
            <w:tcW w:w="751" w:type="pct"/>
            <w:shd w:val="clear" w:color="auto" w:fill="auto"/>
            <w:vAlign w:val="center"/>
          </w:tcPr>
          <w:p w:rsidR="00102372" w:rsidRPr="009C70C9" w:rsidRDefault="009C70C9" w:rsidP="003D3945">
            <w:pPr>
              <w:jc w:val="center"/>
              <w:rPr>
                <w:rFonts w:ascii="Arial Narrow" w:hAnsi="Arial Narrow"/>
                <w:bCs/>
                <w:sz w:val="20"/>
                <w:highlight w:val="black"/>
              </w:rPr>
            </w:pPr>
            <w:r>
              <w:rPr>
                <w:rFonts w:ascii="Arial Narrow" w:hAnsi="Arial Narrow"/>
                <w:bCs/>
                <w:noProof/>
                <w:color w:val="000000"/>
                <w:sz w:val="20"/>
                <w:highlight w:val="black"/>
              </w:rPr>
              <w:t>''''''''</w:t>
            </w:r>
          </w:p>
        </w:tc>
      </w:tr>
      <w:tr w:rsidR="00102372" w:rsidRPr="00116A2A" w:rsidTr="003D3945">
        <w:tc>
          <w:tcPr>
            <w:tcW w:w="1418" w:type="pct"/>
            <w:shd w:val="clear" w:color="auto" w:fill="auto"/>
            <w:vAlign w:val="center"/>
          </w:tcPr>
          <w:p w:rsidR="00102372" w:rsidRPr="00116A2A" w:rsidRDefault="00102372" w:rsidP="003D3945">
            <w:pPr>
              <w:tabs>
                <w:tab w:val="left" w:pos="142"/>
              </w:tabs>
              <w:jc w:val="left"/>
              <w:rPr>
                <w:rFonts w:ascii="Arial Narrow" w:hAnsi="Arial Narrow"/>
                <w:sz w:val="20"/>
              </w:rPr>
            </w:pPr>
            <w:r w:rsidRPr="00116A2A">
              <w:rPr>
                <w:rFonts w:ascii="Arial Narrow" w:hAnsi="Arial Narrow"/>
                <w:sz w:val="20"/>
              </w:rPr>
              <w:t>Prescriptions</w:t>
            </w:r>
            <w:r w:rsidRPr="00116A2A">
              <w:rPr>
                <w:rFonts w:ascii="Arial Narrow" w:hAnsi="Arial Narrow"/>
                <w:sz w:val="20"/>
                <w:vertAlign w:val="superscript"/>
              </w:rPr>
              <w:t>a</w:t>
            </w:r>
          </w:p>
        </w:tc>
        <w:tc>
          <w:tcPr>
            <w:tcW w:w="667" w:type="pct"/>
            <w:shd w:val="clear" w:color="auto" w:fill="auto"/>
          </w:tcPr>
          <w:p w:rsidR="00102372" w:rsidRPr="009C70C9" w:rsidRDefault="009C70C9" w:rsidP="003D3945">
            <w:pPr>
              <w:pStyle w:val="TableText0"/>
              <w:spacing w:before="0" w:after="0"/>
              <w:jc w:val="center"/>
              <w:rPr>
                <w:highlight w:val="black"/>
              </w:rPr>
            </w:pPr>
            <w:r>
              <w:rPr>
                <w:noProof/>
                <w:color w:val="000000"/>
                <w:highlight w:val="black"/>
              </w:rPr>
              <w:t>'''''''''''''</w:t>
            </w:r>
          </w:p>
        </w:tc>
        <w:tc>
          <w:tcPr>
            <w:tcW w:w="666" w:type="pct"/>
            <w:shd w:val="clear" w:color="auto" w:fill="auto"/>
          </w:tcPr>
          <w:p w:rsidR="00102372" w:rsidRPr="009C70C9" w:rsidRDefault="009C70C9" w:rsidP="003D3945">
            <w:pPr>
              <w:pStyle w:val="TableText0"/>
              <w:spacing w:before="0" w:after="0"/>
              <w:jc w:val="center"/>
              <w:rPr>
                <w:highlight w:val="black"/>
              </w:rPr>
            </w:pPr>
            <w:r>
              <w:rPr>
                <w:noProof/>
                <w:color w:val="000000"/>
                <w:highlight w:val="black"/>
              </w:rPr>
              <w:t>''''''''''''''</w:t>
            </w:r>
          </w:p>
        </w:tc>
        <w:tc>
          <w:tcPr>
            <w:tcW w:w="749" w:type="pct"/>
            <w:shd w:val="clear" w:color="auto" w:fill="auto"/>
          </w:tcPr>
          <w:p w:rsidR="00102372" w:rsidRPr="009C70C9" w:rsidRDefault="009C70C9" w:rsidP="003D3945">
            <w:pPr>
              <w:pStyle w:val="TableText0"/>
              <w:spacing w:before="0" w:after="0"/>
              <w:jc w:val="center"/>
              <w:rPr>
                <w:highlight w:val="black"/>
              </w:rPr>
            </w:pPr>
            <w:r>
              <w:rPr>
                <w:noProof/>
                <w:color w:val="000000"/>
                <w:highlight w:val="black"/>
              </w:rPr>
              <w:t>''''''''''''''</w:t>
            </w:r>
          </w:p>
        </w:tc>
        <w:tc>
          <w:tcPr>
            <w:tcW w:w="749" w:type="pct"/>
            <w:shd w:val="clear" w:color="auto" w:fill="auto"/>
          </w:tcPr>
          <w:p w:rsidR="00102372" w:rsidRPr="009C70C9" w:rsidRDefault="009C70C9" w:rsidP="003D3945">
            <w:pPr>
              <w:pStyle w:val="TableText0"/>
              <w:spacing w:before="0" w:after="0"/>
              <w:jc w:val="center"/>
              <w:rPr>
                <w:highlight w:val="black"/>
              </w:rPr>
            </w:pPr>
            <w:r>
              <w:rPr>
                <w:noProof/>
                <w:color w:val="000000"/>
                <w:highlight w:val="black"/>
              </w:rPr>
              <w:t>''''''''''''</w:t>
            </w:r>
          </w:p>
        </w:tc>
        <w:tc>
          <w:tcPr>
            <w:tcW w:w="751" w:type="pct"/>
            <w:shd w:val="clear" w:color="auto" w:fill="auto"/>
          </w:tcPr>
          <w:p w:rsidR="00102372" w:rsidRPr="009C70C9" w:rsidRDefault="009C70C9" w:rsidP="003D3945">
            <w:pPr>
              <w:pStyle w:val="TableText0"/>
              <w:spacing w:before="0" w:after="0"/>
              <w:jc w:val="center"/>
              <w:rPr>
                <w:highlight w:val="black"/>
              </w:rPr>
            </w:pPr>
            <w:r>
              <w:rPr>
                <w:noProof/>
                <w:color w:val="000000"/>
                <w:highlight w:val="black"/>
              </w:rPr>
              <w:t>''''''''''''''</w:t>
            </w:r>
          </w:p>
        </w:tc>
      </w:tr>
      <w:tr w:rsidR="00102372" w:rsidRPr="00116A2A" w:rsidTr="003D3945">
        <w:tc>
          <w:tcPr>
            <w:tcW w:w="5000" w:type="pct"/>
            <w:gridSpan w:val="6"/>
            <w:shd w:val="clear" w:color="auto" w:fill="auto"/>
            <w:vAlign w:val="center"/>
          </w:tcPr>
          <w:p w:rsidR="00102372" w:rsidRPr="00116A2A" w:rsidRDefault="00102372" w:rsidP="003D3945">
            <w:pPr>
              <w:jc w:val="left"/>
              <w:rPr>
                <w:rFonts w:ascii="Arial Narrow" w:hAnsi="Arial Narrow"/>
                <w:b/>
                <w:bCs/>
                <w:color w:val="000000"/>
                <w:sz w:val="20"/>
              </w:rPr>
            </w:pPr>
            <w:r w:rsidRPr="00116A2A">
              <w:rPr>
                <w:rFonts w:ascii="Arial Narrow" w:hAnsi="Arial Narrow"/>
                <w:b/>
                <w:bCs/>
                <w:color w:val="000000"/>
                <w:sz w:val="20"/>
              </w:rPr>
              <w:t>Estimated net cost to PBS/RPBS/MBS</w:t>
            </w:r>
          </w:p>
        </w:tc>
      </w:tr>
      <w:tr w:rsidR="00102372" w:rsidRPr="00116A2A" w:rsidTr="003D3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418" w:type="pct"/>
            <w:tcBorders>
              <w:top w:val="single" w:sz="4" w:space="0" w:color="auto"/>
              <w:left w:val="single" w:sz="4" w:space="0" w:color="auto"/>
              <w:right w:val="single" w:sz="4" w:space="0" w:color="auto"/>
            </w:tcBorders>
          </w:tcPr>
          <w:p w:rsidR="00102372" w:rsidRPr="00116A2A" w:rsidRDefault="00102372" w:rsidP="003D3945">
            <w:pPr>
              <w:pStyle w:val="TableText0"/>
              <w:keepNext w:val="0"/>
              <w:widowControl w:val="0"/>
              <w:spacing w:before="0" w:after="0"/>
            </w:pPr>
            <w:r w:rsidRPr="00116A2A">
              <w:t>Net cost to PBS/RPBS</w:t>
            </w:r>
            <w:r w:rsidRPr="00116A2A">
              <w:rPr>
                <w:vertAlign w:val="superscript"/>
              </w:rPr>
              <w:t>b</w:t>
            </w:r>
            <w:r w:rsidRPr="00116A2A">
              <w:t xml:space="preserve"> </w:t>
            </w:r>
          </w:p>
        </w:tc>
        <w:tc>
          <w:tcPr>
            <w:tcW w:w="667" w:type="pct"/>
            <w:tcBorders>
              <w:top w:val="single" w:sz="4" w:space="0" w:color="auto"/>
              <w:left w:val="nil"/>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w:t>
            </w:r>
            <w:r w:rsidR="009C70C9">
              <w:rPr>
                <w:noProof/>
                <w:color w:val="000000"/>
                <w:highlight w:val="black"/>
              </w:rPr>
              <w:t>'''''''''''''''''''''''''</w:t>
            </w:r>
          </w:p>
        </w:tc>
        <w:tc>
          <w:tcPr>
            <w:tcW w:w="666" w:type="pct"/>
            <w:tcBorders>
              <w:top w:val="single" w:sz="4" w:space="0" w:color="auto"/>
              <w:left w:val="nil"/>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w:t>
            </w:r>
            <w:r w:rsidR="009C70C9">
              <w:rPr>
                <w:noProof/>
                <w:color w:val="000000"/>
                <w:highlight w:val="black"/>
              </w:rPr>
              <w:t>''''''''''''''''''''''</w:t>
            </w:r>
          </w:p>
        </w:tc>
        <w:tc>
          <w:tcPr>
            <w:tcW w:w="749" w:type="pct"/>
            <w:tcBorders>
              <w:top w:val="single" w:sz="4" w:space="0" w:color="auto"/>
              <w:left w:val="nil"/>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w:t>
            </w:r>
            <w:r w:rsidR="009C70C9">
              <w:rPr>
                <w:noProof/>
                <w:color w:val="000000"/>
                <w:highlight w:val="black"/>
              </w:rPr>
              <w:t>''''''''''''''''''''''''''</w:t>
            </w:r>
          </w:p>
        </w:tc>
        <w:tc>
          <w:tcPr>
            <w:tcW w:w="749" w:type="pct"/>
            <w:tcBorders>
              <w:top w:val="single" w:sz="4" w:space="0" w:color="auto"/>
              <w:left w:val="nil"/>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w:t>
            </w:r>
            <w:r w:rsidR="009C70C9">
              <w:rPr>
                <w:noProof/>
                <w:color w:val="000000"/>
                <w:highlight w:val="black"/>
              </w:rPr>
              <w:t>'''''''''''''''''''''''</w:t>
            </w:r>
          </w:p>
        </w:tc>
        <w:tc>
          <w:tcPr>
            <w:tcW w:w="749" w:type="pct"/>
            <w:tcBorders>
              <w:top w:val="single" w:sz="4" w:space="0" w:color="auto"/>
              <w:left w:val="nil"/>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w:t>
            </w:r>
            <w:r w:rsidR="009C70C9">
              <w:rPr>
                <w:noProof/>
                <w:color w:val="000000"/>
                <w:highlight w:val="black"/>
              </w:rPr>
              <w:t>''''''''''''''''''''''</w:t>
            </w:r>
          </w:p>
        </w:tc>
      </w:tr>
      <w:tr w:rsidR="00102372" w:rsidRPr="00116A2A" w:rsidTr="003D3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418" w:type="pct"/>
            <w:tcBorders>
              <w:left w:val="single" w:sz="4" w:space="0" w:color="auto"/>
              <w:bottom w:val="single" w:sz="4" w:space="0" w:color="auto"/>
              <w:right w:val="single" w:sz="4" w:space="0" w:color="auto"/>
            </w:tcBorders>
          </w:tcPr>
          <w:p w:rsidR="00102372" w:rsidRPr="00116A2A" w:rsidRDefault="00102372" w:rsidP="003D3945">
            <w:pPr>
              <w:pStyle w:val="TableText0"/>
              <w:keepNext w:val="0"/>
              <w:widowControl w:val="0"/>
              <w:spacing w:before="0" w:after="0"/>
              <w:ind w:left="199"/>
            </w:pPr>
            <w:r w:rsidRPr="00116A2A">
              <w:t>Revised</w:t>
            </w:r>
            <w:r w:rsidRPr="00116A2A">
              <w:rPr>
                <w:vertAlign w:val="superscript"/>
              </w:rPr>
              <w:t>c</w:t>
            </w:r>
          </w:p>
        </w:tc>
        <w:tc>
          <w:tcPr>
            <w:tcW w:w="667"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Cs/>
                <w:sz w:val="20"/>
              </w:rPr>
            </w:pPr>
            <w:r w:rsidRPr="00116A2A">
              <w:rPr>
                <w:rFonts w:ascii="Arial Narrow" w:hAnsi="Arial Narrow"/>
                <w:bCs/>
                <w:sz w:val="20"/>
              </w:rPr>
              <w:t>$</w:t>
            </w:r>
            <w:r w:rsidR="009C70C9">
              <w:rPr>
                <w:rFonts w:ascii="Arial Narrow" w:hAnsi="Arial Narrow"/>
                <w:bCs/>
                <w:noProof/>
                <w:color w:val="000000"/>
                <w:sz w:val="20"/>
                <w:highlight w:val="black"/>
              </w:rPr>
              <w:t>'''''''''''''''''''''</w:t>
            </w:r>
          </w:p>
        </w:tc>
        <w:tc>
          <w:tcPr>
            <w:tcW w:w="666"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Cs/>
                <w:sz w:val="20"/>
              </w:rPr>
            </w:pPr>
            <w:r w:rsidRPr="00116A2A">
              <w:rPr>
                <w:rFonts w:ascii="Arial Narrow" w:hAnsi="Arial Narrow"/>
                <w:bCs/>
                <w:sz w:val="20"/>
              </w:rPr>
              <w:t>$</w:t>
            </w:r>
            <w:r w:rsidR="009C70C9">
              <w:rPr>
                <w:rFonts w:ascii="Arial Narrow" w:hAnsi="Arial Narrow"/>
                <w:bCs/>
                <w:noProof/>
                <w:color w:val="000000"/>
                <w:sz w:val="20"/>
                <w:highlight w:val="black"/>
              </w:rPr>
              <w:t>'''''''''''''''''''''''</w:t>
            </w:r>
          </w:p>
        </w:tc>
        <w:tc>
          <w:tcPr>
            <w:tcW w:w="749"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Cs/>
                <w:sz w:val="20"/>
              </w:rPr>
            </w:pPr>
            <w:r w:rsidRPr="00116A2A">
              <w:rPr>
                <w:rFonts w:ascii="Arial Narrow" w:hAnsi="Arial Narrow"/>
                <w:bCs/>
                <w:sz w:val="20"/>
              </w:rPr>
              <w:t>$</w:t>
            </w:r>
            <w:r w:rsidR="009C70C9">
              <w:rPr>
                <w:rFonts w:ascii="Arial Narrow" w:hAnsi="Arial Narrow"/>
                <w:bCs/>
                <w:noProof/>
                <w:color w:val="000000"/>
                <w:sz w:val="20"/>
                <w:highlight w:val="black"/>
              </w:rPr>
              <w:t>''''''''''''''''''''''''''</w:t>
            </w:r>
          </w:p>
        </w:tc>
        <w:tc>
          <w:tcPr>
            <w:tcW w:w="749"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Cs/>
                <w:sz w:val="20"/>
              </w:rPr>
            </w:pPr>
            <w:r w:rsidRPr="00116A2A">
              <w:rPr>
                <w:rFonts w:ascii="Arial Narrow" w:hAnsi="Arial Narrow"/>
                <w:bCs/>
                <w:sz w:val="20"/>
              </w:rPr>
              <w:t>$</w:t>
            </w:r>
            <w:r w:rsidR="009C70C9">
              <w:rPr>
                <w:rFonts w:ascii="Arial Narrow" w:hAnsi="Arial Narrow"/>
                <w:bCs/>
                <w:noProof/>
                <w:color w:val="000000"/>
                <w:sz w:val="20"/>
                <w:highlight w:val="black"/>
              </w:rPr>
              <w:t>'''''''''''''''''''''''''</w:t>
            </w:r>
          </w:p>
        </w:tc>
        <w:tc>
          <w:tcPr>
            <w:tcW w:w="749"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Cs/>
                <w:sz w:val="20"/>
              </w:rPr>
            </w:pPr>
            <w:r w:rsidRPr="00116A2A">
              <w:rPr>
                <w:rFonts w:ascii="Arial Narrow" w:hAnsi="Arial Narrow"/>
                <w:bCs/>
                <w:sz w:val="20"/>
              </w:rPr>
              <w:t>$</w:t>
            </w:r>
            <w:r w:rsidR="009C70C9">
              <w:rPr>
                <w:rFonts w:ascii="Arial Narrow" w:hAnsi="Arial Narrow"/>
                <w:bCs/>
                <w:noProof/>
                <w:color w:val="000000"/>
                <w:sz w:val="20"/>
                <w:highlight w:val="black"/>
              </w:rPr>
              <w:t>''''''''''''''''''''''</w:t>
            </w:r>
          </w:p>
        </w:tc>
      </w:tr>
      <w:tr w:rsidR="00102372" w:rsidRPr="00116A2A" w:rsidTr="003D3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418" w:type="pct"/>
            <w:tcBorders>
              <w:top w:val="single" w:sz="4" w:space="0" w:color="auto"/>
              <w:left w:val="single" w:sz="4" w:space="0" w:color="auto"/>
              <w:bottom w:val="single" w:sz="4" w:space="0" w:color="auto"/>
              <w:right w:val="single" w:sz="4" w:space="0" w:color="auto"/>
            </w:tcBorders>
          </w:tcPr>
          <w:p w:rsidR="00102372" w:rsidRPr="00116A2A" w:rsidRDefault="00102372" w:rsidP="003D3945">
            <w:pPr>
              <w:pStyle w:val="TableText0"/>
              <w:keepNext w:val="0"/>
              <w:widowControl w:val="0"/>
              <w:spacing w:before="0" w:after="0"/>
            </w:pPr>
            <w:r w:rsidRPr="00116A2A">
              <w:t>Net cost to MBS</w:t>
            </w:r>
            <w:r w:rsidR="0081684B" w:rsidRPr="00116A2A">
              <w:rPr>
                <w:vertAlign w:val="superscript"/>
              </w:rPr>
              <w:t>d</w:t>
            </w:r>
            <w:r w:rsidRPr="00116A2A">
              <w:t xml:space="preserve"> </w:t>
            </w:r>
          </w:p>
        </w:tc>
        <w:tc>
          <w:tcPr>
            <w:tcW w:w="667" w:type="pct"/>
            <w:tcBorders>
              <w:top w:val="single" w:sz="4" w:space="0" w:color="auto"/>
              <w:left w:val="nil"/>
              <w:bottom w:val="single" w:sz="4" w:space="0" w:color="auto"/>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$71,471</w:t>
            </w:r>
          </w:p>
        </w:tc>
        <w:tc>
          <w:tcPr>
            <w:tcW w:w="666" w:type="pct"/>
            <w:tcBorders>
              <w:top w:val="single" w:sz="4" w:space="0" w:color="auto"/>
              <w:left w:val="nil"/>
              <w:bottom w:val="single" w:sz="4" w:space="0" w:color="auto"/>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$57,955</w:t>
            </w:r>
          </w:p>
        </w:tc>
        <w:tc>
          <w:tcPr>
            <w:tcW w:w="749" w:type="pct"/>
            <w:tcBorders>
              <w:top w:val="single" w:sz="4" w:space="0" w:color="auto"/>
              <w:left w:val="nil"/>
              <w:bottom w:val="single" w:sz="4" w:space="0" w:color="auto"/>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$58,732</w:t>
            </w:r>
          </w:p>
        </w:tc>
        <w:tc>
          <w:tcPr>
            <w:tcW w:w="749" w:type="pct"/>
            <w:tcBorders>
              <w:top w:val="single" w:sz="4" w:space="0" w:color="auto"/>
              <w:left w:val="nil"/>
              <w:bottom w:val="single" w:sz="4" w:space="0" w:color="auto"/>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$59,510</w:t>
            </w:r>
          </w:p>
        </w:tc>
        <w:tc>
          <w:tcPr>
            <w:tcW w:w="749" w:type="pct"/>
            <w:tcBorders>
              <w:top w:val="single" w:sz="4" w:space="0" w:color="auto"/>
              <w:left w:val="nil"/>
              <w:bottom w:val="single" w:sz="4" w:space="0" w:color="auto"/>
              <w:right w:val="single" w:sz="4" w:space="0" w:color="auto"/>
            </w:tcBorders>
            <w:vAlign w:val="center"/>
          </w:tcPr>
          <w:p w:rsidR="00102372" w:rsidRPr="00116A2A" w:rsidRDefault="00102372" w:rsidP="003D3945">
            <w:pPr>
              <w:pStyle w:val="TableText0"/>
              <w:keepNext w:val="0"/>
              <w:widowControl w:val="0"/>
              <w:spacing w:before="0" w:after="0"/>
              <w:jc w:val="right"/>
            </w:pPr>
            <w:r w:rsidRPr="00116A2A">
              <w:t>$60,288</w:t>
            </w:r>
          </w:p>
        </w:tc>
      </w:tr>
      <w:tr w:rsidR="00102372" w:rsidRPr="00116A2A" w:rsidTr="003D3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418" w:type="pct"/>
            <w:tcBorders>
              <w:top w:val="single" w:sz="4" w:space="0" w:color="auto"/>
              <w:left w:val="single" w:sz="4" w:space="0" w:color="auto"/>
              <w:right w:val="single" w:sz="4" w:space="0" w:color="auto"/>
            </w:tcBorders>
          </w:tcPr>
          <w:p w:rsidR="00102372" w:rsidRPr="00116A2A" w:rsidRDefault="00102372" w:rsidP="003D3945">
            <w:pPr>
              <w:pStyle w:val="TableText0"/>
              <w:keepNext w:val="0"/>
              <w:widowControl w:val="0"/>
              <w:spacing w:before="0" w:after="0"/>
              <w:rPr>
                <w:b/>
              </w:rPr>
            </w:pPr>
            <w:r w:rsidRPr="00116A2A">
              <w:rPr>
                <w:b/>
              </w:rPr>
              <w:t>Net cost to PBS/RPBS/MBS</w:t>
            </w:r>
          </w:p>
        </w:tc>
        <w:tc>
          <w:tcPr>
            <w:tcW w:w="667" w:type="pct"/>
            <w:tcBorders>
              <w:top w:val="single" w:sz="4" w:space="0" w:color="auto"/>
              <w:left w:val="nil"/>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c>
          <w:tcPr>
            <w:tcW w:w="666" w:type="pct"/>
            <w:tcBorders>
              <w:top w:val="single" w:sz="4" w:space="0" w:color="auto"/>
              <w:left w:val="nil"/>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c>
          <w:tcPr>
            <w:tcW w:w="749" w:type="pct"/>
            <w:tcBorders>
              <w:top w:val="single" w:sz="4" w:space="0" w:color="auto"/>
              <w:left w:val="nil"/>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c>
          <w:tcPr>
            <w:tcW w:w="749" w:type="pct"/>
            <w:tcBorders>
              <w:top w:val="single" w:sz="4" w:space="0" w:color="auto"/>
              <w:left w:val="nil"/>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c>
          <w:tcPr>
            <w:tcW w:w="749" w:type="pct"/>
            <w:tcBorders>
              <w:top w:val="single" w:sz="4" w:space="0" w:color="auto"/>
              <w:left w:val="nil"/>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r>
      <w:tr w:rsidR="00102372" w:rsidRPr="00116A2A" w:rsidTr="003D39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c>
          <w:tcPr>
            <w:tcW w:w="1418" w:type="pct"/>
            <w:tcBorders>
              <w:left w:val="single" w:sz="4" w:space="0" w:color="auto"/>
              <w:bottom w:val="single" w:sz="4" w:space="0" w:color="auto"/>
              <w:right w:val="single" w:sz="4" w:space="0" w:color="auto"/>
            </w:tcBorders>
          </w:tcPr>
          <w:p w:rsidR="00102372" w:rsidRPr="00116A2A" w:rsidRDefault="00102372" w:rsidP="003D3945">
            <w:pPr>
              <w:pStyle w:val="TableText0"/>
              <w:keepNext w:val="0"/>
              <w:widowControl w:val="0"/>
              <w:spacing w:before="0" w:after="0"/>
              <w:ind w:left="176"/>
              <w:rPr>
                <w:b/>
              </w:rPr>
            </w:pPr>
            <w:r w:rsidRPr="00116A2A">
              <w:rPr>
                <w:b/>
              </w:rPr>
              <w:t>Revised</w:t>
            </w:r>
            <w:r w:rsidR="0081684B" w:rsidRPr="00116A2A">
              <w:rPr>
                <w:b/>
                <w:vertAlign w:val="superscript"/>
              </w:rPr>
              <w:t>c</w:t>
            </w:r>
          </w:p>
        </w:tc>
        <w:tc>
          <w:tcPr>
            <w:tcW w:w="667"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c>
          <w:tcPr>
            <w:tcW w:w="666"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c>
          <w:tcPr>
            <w:tcW w:w="749"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c>
          <w:tcPr>
            <w:tcW w:w="749"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c>
          <w:tcPr>
            <w:tcW w:w="749" w:type="pct"/>
            <w:tcBorders>
              <w:left w:val="nil"/>
              <w:bottom w:val="single" w:sz="4" w:space="0" w:color="auto"/>
              <w:right w:val="single" w:sz="4" w:space="0" w:color="auto"/>
            </w:tcBorders>
            <w:vAlign w:val="center"/>
          </w:tcPr>
          <w:p w:rsidR="00102372" w:rsidRPr="00116A2A" w:rsidRDefault="00102372" w:rsidP="003D3945">
            <w:pPr>
              <w:jc w:val="right"/>
              <w:rPr>
                <w:rFonts w:ascii="Arial Narrow" w:hAnsi="Arial Narrow"/>
                <w:b/>
                <w:sz w:val="20"/>
              </w:rPr>
            </w:pPr>
            <w:r w:rsidRPr="00116A2A">
              <w:rPr>
                <w:rFonts w:ascii="Arial Narrow" w:hAnsi="Arial Narrow"/>
                <w:b/>
                <w:sz w:val="20"/>
              </w:rPr>
              <w:t>$</w:t>
            </w:r>
            <w:r w:rsidR="009C70C9">
              <w:rPr>
                <w:rFonts w:ascii="Arial Narrow" w:hAnsi="Arial Narrow"/>
                <w:b/>
                <w:noProof/>
                <w:color w:val="000000"/>
                <w:sz w:val="20"/>
                <w:highlight w:val="black"/>
              </w:rPr>
              <w:t>'''''''''''''''''''</w:t>
            </w:r>
          </w:p>
        </w:tc>
      </w:tr>
    </w:tbl>
    <w:p w:rsidR="00102372" w:rsidRPr="00116A2A" w:rsidRDefault="00102372" w:rsidP="00102372">
      <w:pPr>
        <w:pStyle w:val="TableFooter"/>
        <w:ind w:left="709"/>
      </w:pPr>
      <w:r w:rsidRPr="00116A2A">
        <w:rPr>
          <w:vertAlign w:val="superscript"/>
        </w:rPr>
        <w:t>a</w:t>
      </w:r>
      <w:r w:rsidRPr="00116A2A">
        <w:t xml:space="preserve"> Assuming </w:t>
      </w:r>
      <w:r w:rsidR="009C70C9">
        <w:rPr>
          <w:noProof/>
          <w:color w:val="000000"/>
          <w:highlight w:val="black"/>
        </w:rPr>
        <w:t>''''''''</w:t>
      </w:r>
      <w:r w:rsidRPr="00116A2A">
        <w:t xml:space="preserve"> prescriptions (including both original and repeat prescriptions) per year as estimated by the submission. </w:t>
      </w:r>
    </w:p>
    <w:p w:rsidR="00102372" w:rsidRPr="00116A2A" w:rsidRDefault="00102372" w:rsidP="00102372">
      <w:pPr>
        <w:pStyle w:val="TableFooter"/>
        <w:ind w:left="709"/>
      </w:pPr>
      <w:r w:rsidRPr="00116A2A">
        <w:rPr>
          <w:vertAlign w:val="superscript"/>
        </w:rPr>
        <w:t xml:space="preserve">b </w:t>
      </w:r>
      <w:r w:rsidRPr="00116A2A">
        <w:t xml:space="preserve">Incorporating 5% statutory price reduction and </w:t>
      </w:r>
      <w:r w:rsidR="009C70C9">
        <w:rPr>
          <w:noProof/>
          <w:color w:val="000000"/>
          <w:highlight w:val="black"/>
        </w:rPr>
        <w:t>''''''</w:t>
      </w:r>
      <w:r w:rsidRPr="00116A2A">
        <w:t xml:space="preserve">% rebate to the ex-manufacturer price of bevacizumab. Patient co-payments excluded. </w:t>
      </w:r>
    </w:p>
    <w:p w:rsidR="00102372" w:rsidRPr="00116A2A" w:rsidRDefault="00102372" w:rsidP="00102372">
      <w:pPr>
        <w:pStyle w:val="TableFooter"/>
        <w:ind w:left="709"/>
      </w:pPr>
      <w:r w:rsidRPr="00116A2A">
        <w:rPr>
          <w:vertAlign w:val="superscript"/>
        </w:rPr>
        <w:t>c</w:t>
      </w:r>
      <w:r w:rsidRPr="00116A2A">
        <w:t xml:space="preserve"> Using updated EFC fee as in July 2015</w:t>
      </w:r>
      <w:r w:rsidR="00782867" w:rsidRPr="00116A2A">
        <w:t xml:space="preserve"> , including preparation fee of $82.67</w:t>
      </w:r>
      <w:r w:rsidRPr="00116A2A">
        <w:t xml:space="preserve"> and correcting for reference errors</w:t>
      </w:r>
    </w:p>
    <w:p w:rsidR="00102372" w:rsidRPr="00116A2A" w:rsidRDefault="00102372" w:rsidP="00102372">
      <w:pPr>
        <w:pStyle w:val="TableFooter"/>
        <w:ind w:left="709"/>
      </w:pPr>
      <w:r w:rsidRPr="00116A2A">
        <w:rPr>
          <w:vertAlign w:val="superscript"/>
        </w:rPr>
        <w:t>d</w:t>
      </w:r>
      <w:r w:rsidRPr="00116A2A">
        <w:t xml:space="preserve"> 25% patient co-payments excluded</w:t>
      </w:r>
    </w:p>
    <w:p w:rsidR="00102372" w:rsidRPr="00116A2A" w:rsidRDefault="00102372" w:rsidP="00102372">
      <w:pPr>
        <w:pStyle w:val="TableFooter"/>
        <w:ind w:left="709"/>
        <w:rPr>
          <w:sz w:val="16"/>
          <w:szCs w:val="18"/>
        </w:rPr>
      </w:pPr>
      <w:r w:rsidRPr="00116A2A">
        <w:t>Source: Compiled during the evaluation</w:t>
      </w:r>
    </w:p>
    <w:p w:rsidR="00102372" w:rsidRDefault="00102372" w:rsidP="00102372">
      <w:pPr>
        <w:widowControl/>
        <w:rPr>
          <w:szCs w:val="22"/>
        </w:rPr>
      </w:pPr>
    </w:p>
    <w:p w:rsidR="0028553E" w:rsidRDefault="0028553E" w:rsidP="0028553E">
      <w:pPr>
        <w:widowControl/>
        <w:ind w:left="709" w:firstLine="11"/>
        <w:rPr>
          <w:i/>
          <w:szCs w:val="22"/>
        </w:rPr>
      </w:pPr>
      <w:r>
        <w:rPr>
          <w:i/>
          <w:szCs w:val="22"/>
        </w:rPr>
        <w:t>The redacted table above shows that the number of patients treated with bevacizumab is estima</w:t>
      </w:r>
      <w:r w:rsidR="00F62507">
        <w:rPr>
          <w:i/>
          <w:szCs w:val="22"/>
        </w:rPr>
        <w:t xml:space="preserve">ted to be less than 10,000 per </w:t>
      </w:r>
      <w:r>
        <w:rPr>
          <w:i/>
          <w:szCs w:val="22"/>
        </w:rPr>
        <w:t>y</w:t>
      </w:r>
      <w:r w:rsidR="00F62507">
        <w:rPr>
          <w:i/>
          <w:szCs w:val="22"/>
        </w:rPr>
        <w:t>e</w:t>
      </w:r>
      <w:r>
        <w:rPr>
          <w:i/>
          <w:szCs w:val="22"/>
        </w:rPr>
        <w:t>ar at a net cost to the PBS of less than $10 million per year.</w:t>
      </w:r>
    </w:p>
    <w:p w:rsidR="0028553E" w:rsidRPr="0028553E" w:rsidRDefault="0028553E" w:rsidP="00102372">
      <w:pPr>
        <w:widowControl/>
        <w:rPr>
          <w:i/>
          <w:szCs w:val="22"/>
        </w:rPr>
      </w:pPr>
    </w:p>
    <w:p w:rsidR="00EC4719" w:rsidRPr="00EC4719" w:rsidRDefault="00EC4719" w:rsidP="00EC4719">
      <w:pPr>
        <w:pStyle w:val="ListParagraph"/>
        <w:widowControl/>
        <w:numPr>
          <w:ilvl w:val="1"/>
          <w:numId w:val="6"/>
        </w:numPr>
      </w:pPr>
      <w:r w:rsidRPr="00EC4719">
        <w:t xml:space="preserve">The estimates of financial implications associated with </w:t>
      </w:r>
      <w:r>
        <w:t xml:space="preserve">the </w:t>
      </w:r>
      <w:r w:rsidRPr="00EC4719">
        <w:t>proposed listing of bevacizumab remain uncertain as they were sensitive to the assumptions drawn from the clinician survey.</w:t>
      </w:r>
    </w:p>
    <w:p w:rsidR="00102372" w:rsidRPr="00116A2A" w:rsidRDefault="00102372" w:rsidP="00102372">
      <w:pPr>
        <w:widowControl/>
        <w:rPr>
          <w:szCs w:val="22"/>
        </w:rPr>
      </w:pPr>
    </w:p>
    <w:p w:rsidR="00102372" w:rsidRPr="00116A2A" w:rsidRDefault="00102372" w:rsidP="00102372">
      <w:pPr>
        <w:pStyle w:val="Heading2"/>
        <w:rPr>
          <w:szCs w:val="22"/>
        </w:rPr>
      </w:pPr>
      <w:bookmarkStart w:id="17" w:name="_Toc430080594"/>
      <w:r w:rsidRPr="00116A2A">
        <w:t>Financial Management – Risk Sharing Arrangements</w:t>
      </w:r>
      <w:bookmarkEnd w:id="17"/>
    </w:p>
    <w:p w:rsidR="00102372" w:rsidRPr="00116A2A" w:rsidRDefault="00102372" w:rsidP="00102372">
      <w:pPr>
        <w:widowControl/>
        <w:rPr>
          <w:szCs w:val="22"/>
        </w:rPr>
      </w:pPr>
    </w:p>
    <w:p w:rsidR="00102372" w:rsidRPr="009C70C9" w:rsidRDefault="00102372" w:rsidP="00102372">
      <w:pPr>
        <w:pStyle w:val="ListParagraph"/>
        <w:widowControl/>
        <w:numPr>
          <w:ilvl w:val="1"/>
          <w:numId w:val="6"/>
        </w:numPr>
        <w:rPr>
          <w:szCs w:val="22"/>
        </w:rPr>
      </w:pPr>
      <w:r w:rsidRPr="00116A2A">
        <w:t xml:space="preserve">The submission proposed a risk sharing arrangement to apply a </w:t>
      </w:r>
      <w:r w:rsidR="009C70C9">
        <w:rPr>
          <w:noProof/>
          <w:color w:val="000000"/>
          <w:highlight w:val="black"/>
        </w:rPr>
        <w:t>'''''</w:t>
      </w:r>
      <w:r w:rsidRPr="00116A2A">
        <w:t xml:space="preserve">% rebate to the ex-manufacturer price of bevacizumab. The submission did not propose a </w:t>
      </w:r>
      <w:r w:rsidR="009C70C9">
        <w:rPr>
          <w:noProof/>
          <w:color w:val="000000"/>
          <w:highlight w:val="black"/>
        </w:rPr>
        <w:t>'''''''' '''''' ''''''' ''''''''''' '''''''''''''''''''''''' '''''''''' '''' '''''''''''''''''''''''''</w:t>
      </w:r>
    </w:p>
    <w:p w:rsidR="00576972" w:rsidRPr="00116A2A" w:rsidRDefault="00576972" w:rsidP="00576972">
      <w:pPr>
        <w:widowControl/>
        <w:rPr>
          <w:szCs w:val="22"/>
        </w:rPr>
      </w:pPr>
    </w:p>
    <w:p w:rsidR="006A32BF" w:rsidRPr="00116A2A" w:rsidRDefault="006A32BF" w:rsidP="006A32BF">
      <w:pPr>
        <w:widowControl/>
        <w:tabs>
          <w:tab w:val="left" w:pos="1739"/>
        </w:tabs>
        <w:jc w:val="left"/>
      </w:pPr>
      <w:r w:rsidRPr="00116A2A">
        <w:t xml:space="preserve">           For more detail on PBAC’s view, see section 7 “PBAC outcome”.</w:t>
      </w:r>
    </w:p>
    <w:p w:rsidR="006A32BF" w:rsidRPr="00116A2A" w:rsidRDefault="006A32BF" w:rsidP="00576972">
      <w:pPr>
        <w:widowControl/>
        <w:rPr>
          <w:szCs w:val="22"/>
        </w:rPr>
      </w:pPr>
    </w:p>
    <w:p w:rsidR="00582B44" w:rsidRPr="00116A2A" w:rsidRDefault="00582B44">
      <w:pPr>
        <w:widowControl/>
        <w:jc w:val="left"/>
        <w:rPr>
          <w:szCs w:val="22"/>
        </w:rPr>
      </w:pPr>
      <w:r w:rsidRPr="00116A2A">
        <w:rPr>
          <w:szCs w:val="22"/>
        </w:rPr>
        <w:br w:type="page"/>
      </w:r>
    </w:p>
    <w:p w:rsidR="006A32BF" w:rsidRPr="00116A2A" w:rsidRDefault="006A32BF" w:rsidP="006A32BF">
      <w:pPr>
        <w:pStyle w:val="PBACHeading1"/>
        <w:rPr>
          <w:b w:val="0"/>
        </w:rPr>
      </w:pPr>
      <w:r w:rsidRPr="00116A2A">
        <w:rPr>
          <w:bCs/>
        </w:rPr>
        <w:lastRenderedPageBreak/>
        <w:t>PBAC Outcome</w:t>
      </w:r>
    </w:p>
    <w:p w:rsidR="006A32BF" w:rsidRPr="00712610" w:rsidRDefault="006A32BF" w:rsidP="00712610"/>
    <w:p w:rsidR="008A24C4" w:rsidRPr="00116A2A" w:rsidRDefault="005A5413" w:rsidP="008A24C4">
      <w:pPr>
        <w:pStyle w:val="ListParagraph"/>
        <w:widowControl/>
        <w:numPr>
          <w:ilvl w:val="1"/>
          <w:numId w:val="6"/>
        </w:numPr>
        <w:rPr>
          <w:b/>
        </w:rPr>
      </w:pPr>
      <w:r w:rsidRPr="00116A2A">
        <w:rPr>
          <w:bCs/>
        </w:rPr>
        <w:t xml:space="preserve">The PBAC rejected the request to list bevacizumab for the treatment of patients with advanced cervical cancer on the basis of high and unacceptable cost-effectiveness.  </w:t>
      </w:r>
    </w:p>
    <w:p w:rsidR="008C3B63" w:rsidRPr="00116A2A" w:rsidRDefault="008C3B63" w:rsidP="008C3B63">
      <w:pPr>
        <w:pStyle w:val="ListParagraph"/>
        <w:widowControl/>
        <w:rPr>
          <w:b/>
        </w:rPr>
      </w:pPr>
    </w:p>
    <w:p w:rsidR="00AE02C0" w:rsidRPr="00116A2A" w:rsidRDefault="008A24C4" w:rsidP="005A5413">
      <w:pPr>
        <w:pStyle w:val="ListParagraph"/>
        <w:widowControl/>
        <w:numPr>
          <w:ilvl w:val="1"/>
          <w:numId w:val="6"/>
        </w:numPr>
      </w:pPr>
      <w:r w:rsidRPr="00116A2A">
        <w:t xml:space="preserve">The PBAC </w:t>
      </w:r>
      <w:r w:rsidR="00570FA8" w:rsidRPr="00116A2A">
        <w:t>accepted</w:t>
      </w:r>
      <w:r w:rsidRPr="00116A2A">
        <w:t xml:space="preserve"> the </w:t>
      </w:r>
      <w:r w:rsidR="00570FA8" w:rsidRPr="00116A2A">
        <w:t>proposed restriction for recurrent, metastatic and persistent disease.</w:t>
      </w:r>
      <w:r w:rsidR="00AE02C0" w:rsidRPr="00116A2A">
        <w:t xml:space="preserve"> </w:t>
      </w:r>
      <w:r w:rsidR="00570FA8" w:rsidRPr="00116A2A">
        <w:t xml:space="preserve">The PBAC </w:t>
      </w:r>
      <w:r w:rsidR="00EC6AB9" w:rsidRPr="00116A2A">
        <w:t>considered that use with standard</w:t>
      </w:r>
      <w:r w:rsidR="002E651D" w:rsidRPr="00116A2A">
        <w:t xml:space="preserve"> </w:t>
      </w:r>
      <w:r w:rsidR="00AE02C0" w:rsidRPr="00116A2A">
        <w:t>platinum-</w:t>
      </w:r>
      <w:r w:rsidR="00EC6AB9" w:rsidRPr="00116A2A">
        <w:t xml:space="preserve">based chemotherapy, </w:t>
      </w:r>
      <w:r w:rsidR="00AE02C0" w:rsidRPr="00116A2A">
        <w:t>either</w:t>
      </w:r>
      <w:r w:rsidR="00EC6AB9" w:rsidRPr="00116A2A">
        <w:t xml:space="preserve"> cisplatin</w:t>
      </w:r>
      <w:r w:rsidR="00AE02C0" w:rsidRPr="00116A2A">
        <w:t xml:space="preserve"> (</w:t>
      </w:r>
      <w:r w:rsidR="002E651D" w:rsidRPr="00116A2A">
        <w:t xml:space="preserve">as per </w:t>
      </w:r>
      <w:r w:rsidR="00AE02C0" w:rsidRPr="00116A2A">
        <w:t>TGA approved indication)</w:t>
      </w:r>
      <w:r w:rsidR="00EC6AB9" w:rsidRPr="00116A2A">
        <w:t xml:space="preserve"> or carboplatin</w:t>
      </w:r>
      <w:r w:rsidR="00AE02C0" w:rsidRPr="00116A2A">
        <w:t xml:space="preserve"> (</w:t>
      </w:r>
      <w:r w:rsidR="002E651D" w:rsidRPr="00116A2A">
        <w:t>current standard of care in Australia</w:t>
      </w:r>
      <w:r w:rsidR="00AE02C0" w:rsidRPr="00116A2A">
        <w:t>)</w:t>
      </w:r>
      <w:r w:rsidR="00EC6AB9" w:rsidRPr="00116A2A">
        <w:t xml:space="preserve"> was </w:t>
      </w:r>
      <w:r w:rsidR="00AE02C0" w:rsidRPr="00116A2A">
        <w:t>reasonable</w:t>
      </w:r>
      <w:r w:rsidR="00EC6AB9" w:rsidRPr="00116A2A">
        <w:t>.</w:t>
      </w:r>
      <w:r w:rsidR="00AE02C0" w:rsidRPr="00116A2A">
        <w:t xml:space="preserve">  The PBAC noted that topotecan, which was proposed as alternative to platinum-based chemotherapy is only PBS-subsidised for advanced metastatic ovarian cancer. </w:t>
      </w:r>
      <w:r w:rsidR="00570FA8" w:rsidRPr="00116A2A">
        <w:t xml:space="preserve">   </w:t>
      </w:r>
      <w:r w:rsidR="00EA7130" w:rsidRPr="00116A2A">
        <w:t xml:space="preserve"> </w:t>
      </w:r>
    </w:p>
    <w:p w:rsidR="00AE02C0" w:rsidRPr="00116A2A" w:rsidRDefault="00AE02C0" w:rsidP="00AE02C0">
      <w:pPr>
        <w:pStyle w:val="ListParagraph"/>
      </w:pPr>
    </w:p>
    <w:p w:rsidR="002E651D" w:rsidRPr="00116A2A" w:rsidRDefault="002E651D" w:rsidP="005A5413">
      <w:pPr>
        <w:pStyle w:val="ListParagraph"/>
        <w:widowControl/>
        <w:numPr>
          <w:ilvl w:val="1"/>
          <w:numId w:val="6"/>
        </w:numPr>
      </w:pPr>
      <w:r w:rsidRPr="00116A2A">
        <w:t>The PBAC accepted the clinical place for bevacizumab for advanced cervical cancer.</w:t>
      </w:r>
    </w:p>
    <w:p w:rsidR="002E651D" w:rsidRPr="00116A2A" w:rsidRDefault="002E651D" w:rsidP="002E651D">
      <w:pPr>
        <w:pStyle w:val="ListParagraph"/>
      </w:pPr>
    </w:p>
    <w:p w:rsidR="008A24C4" w:rsidRPr="00116A2A" w:rsidRDefault="002E651D" w:rsidP="005A5413">
      <w:pPr>
        <w:pStyle w:val="ListParagraph"/>
        <w:widowControl/>
        <w:numPr>
          <w:ilvl w:val="1"/>
          <w:numId w:val="6"/>
        </w:numPr>
      </w:pPr>
      <w:r w:rsidRPr="00116A2A">
        <w:t xml:space="preserve">The PBAC agreed that chemotherapy alone (platinum-based chemotherapy plus paclitaxel or topotecan plus paclitaxel for those who are unable to tolerate carboplatin or cisplatin) was the appropriate comparator for bevacizumab in combination with chemotherapy.  </w:t>
      </w:r>
    </w:p>
    <w:p w:rsidR="002E651D" w:rsidRPr="00116A2A" w:rsidRDefault="002E651D" w:rsidP="002E651D">
      <w:pPr>
        <w:pStyle w:val="ListParagraph"/>
      </w:pPr>
    </w:p>
    <w:p w:rsidR="001F6C7B" w:rsidRPr="00116A2A" w:rsidRDefault="00851410" w:rsidP="001F6C7B">
      <w:pPr>
        <w:pStyle w:val="ListParagraph"/>
        <w:numPr>
          <w:ilvl w:val="1"/>
          <w:numId w:val="6"/>
        </w:numPr>
      </w:pPr>
      <w:r w:rsidRPr="00116A2A">
        <w:t>The PBAC noted the submission presented the results of a head-to-head trial (GOG 0240) comparing bevacizumab in combination with chemotherapy (cisplatin plus paclitaxel or topotecan plus paclitaxel) to chemotherapy alone (n=452).  The PBAC noted the primary outcome was overall survival (OS) and progression free survival (PFS) was a secondary outcome.  With regards to OS</w:t>
      </w:r>
      <w:r w:rsidR="000B2B0B" w:rsidRPr="00116A2A">
        <w:t xml:space="preserve">, the results were statistically significant </w:t>
      </w:r>
      <w:r w:rsidR="0020763A" w:rsidRPr="00116A2A">
        <w:t xml:space="preserve">in the ITT analyses, with a HR of 0.74 (95% CI: 0.58, 0.94) at the December 2012 data cut-off and </w:t>
      </w:r>
      <w:r w:rsidR="009C70C9">
        <w:rPr>
          <w:noProof/>
          <w:color w:val="000000"/>
          <w:highlight w:val="black"/>
        </w:rPr>
        <w:t>''''''''''' '''''''''''' '''''' ''''''''''''' ''''''''''''</w:t>
      </w:r>
      <w:r w:rsidR="0020763A" w:rsidRPr="00116A2A">
        <w:t xml:space="preserve"> at the March 2014 data cut-off.</w:t>
      </w:r>
      <w:r w:rsidR="00A26B74" w:rsidRPr="00116A2A">
        <w:t xml:space="preserve">  With regards to PFS, </w:t>
      </w:r>
      <w:r w:rsidR="00E0163D" w:rsidRPr="00116A2A">
        <w:t>the results were</w:t>
      </w:r>
      <w:r w:rsidR="00A26B74" w:rsidRPr="00116A2A">
        <w:t xml:space="preserve"> </w:t>
      </w:r>
      <w:r w:rsidR="00E0163D" w:rsidRPr="00116A2A">
        <w:t xml:space="preserve">also statistically significant </w:t>
      </w:r>
      <w:r w:rsidR="00A26B74" w:rsidRPr="00116A2A">
        <w:t xml:space="preserve">in the ITT analyses, with a HR of 0.66 (95% CI: </w:t>
      </w:r>
      <w:r w:rsidR="009C70C9">
        <w:rPr>
          <w:noProof/>
          <w:color w:val="000000"/>
          <w:highlight w:val="black"/>
        </w:rPr>
        <w:t>'''''''''''' '''''''''''</w:t>
      </w:r>
      <w:r w:rsidR="00A26B74" w:rsidRPr="00116A2A">
        <w:t>)</w:t>
      </w:r>
      <w:r w:rsidR="001F6C7B" w:rsidRPr="00116A2A">
        <w:t xml:space="preserve">.  </w:t>
      </w:r>
    </w:p>
    <w:p w:rsidR="00595845" w:rsidRPr="00712610" w:rsidRDefault="00595845" w:rsidP="00712610"/>
    <w:p w:rsidR="00734770" w:rsidRPr="00116A2A" w:rsidRDefault="005D3C3D" w:rsidP="00734770">
      <w:pPr>
        <w:pStyle w:val="ListParagraph"/>
        <w:numPr>
          <w:ilvl w:val="1"/>
          <w:numId w:val="6"/>
        </w:numPr>
      </w:pPr>
      <w:r w:rsidRPr="00116A2A">
        <w:t>The PBAC noted the results of the comparative</w:t>
      </w:r>
      <w:r w:rsidR="004F62FF">
        <w:t xml:space="preserve"> harms</w:t>
      </w:r>
      <w:r w:rsidR="00703F89">
        <w:t xml:space="preserve"> </w:t>
      </w:r>
      <w:r w:rsidR="00F81F24">
        <w:t>in the evaluation</w:t>
      </w:r>
      <w:r w:rsidRPr="00116A2A">
        <w:t xml:space="preserve">. </w:t>
      </w:r>
      <w:r w:rsidR="00734770" w:rsidRPr="00116A2A">
        <w:t xml:space="preserve">The PBAC </w:t>
      </w:r>
      <w:r w:rsidR="004C6A70" w:rsidRPr="00116A2A">
        <w:t xml:space="preserve">also </w:t>
      </w:r>
      <w:r w:rsidR="00734770" w:rsidRPr="00116A2A">
        <w:t xml:space="preserve">noted that 15 additional patients would experience a serious adverse event, for every 100 patients treated with bevacizumab plus chemotherapy, over a mean duration of exposure of </w:t>
      </w:r>
      <w:r w:rsidR="009C70C9">
        <w:rPr>
          <w:noProof/>
          <w:color w:val="000000"/>
          <w:highlight w:val="black"/>
        </w:rPr>
        <w:t>''''''''''</w:t>
      </w:r>
      <w:r w:rsidR="00734770" w:rsidRPr="00116A2A">
        <w:t xml:space="preserve"> weeks.  </w:t>
      </w:r>
      <w:r w:rsidR="008D3C51" w:rsidRPr="00116A2A">
        <w:t>Further, t</w:t>
      </w:r>
      <w:r w:rsidR="00734770" w:rsidRPr="00116A2A">
        <w:t xml:space="preserve">he PBAC </w:t>
      </w:r>
      <w:r w:rsidRPr="00116A2A">
        <w:t>were concerned</w:t>
      </w:r>
      <w:r w:rsidR="00734770" w:rsidRPr="00116A2A">
        <w:t xml:space="preserve"> th</w:t>
      </w:r>
      <w:r w:rsidRPr="00116A2A">
        <w:t>at the rate</w:t>
      </w:r>
      <w:r w:rsidR="008D3C51" w:rsidRPr="00116A2A">
        <w:t xml:space="preserve"> of non-gastrointestinal </w:t>
      </w:r>
      <w:r w:rsidRPr="00116A2A">
        <w:t>(any grade)</w:t>
      </w:r>
      <w:r w:rsidR="008D3C51" w:rsidRPr="00116A2A">
        <w:t xml:space="preserve"> fistula/abscess</w:t>
      </w:r>
      <w:r w:rsidRPr="00116A2A">
        <w:t xml:space="preserve"> were higher in bevacizumab plus chemothera</w:t>
      </w:r>
      <w:r w:rsidR="008D3C51" w:rsidRPr="00116A2A">
        <w:t>py (</w:t>
      </w:r>
      <w:r w:rsidR="009C70C9">
        <w:rPr>
          <w:noProof/>
          <w:color w:val="000000"/>
          <w:highlight w:val="black"/>
        </w:rPr>
        <w:t>''''''''</w:t>
      </w:r>
      <w:r w:rsidR="008D3C51" w:rsidRPr="00116A2A">
        <w:t xml:space="preserve">%) </w:t>
      </w:r>
      <w:r w:rsidRPr="00116A2A">
        <w:t>than chemotherapy</w:t>
      </w:r>
      <w:r w:rsidR="008D3C51" w:rsidRPr="00116A2A">
        <w:t xml:space="preserve"> alone (</w:t>
      </w:r>
      <w:r w:rsidR="009C70C9">
        <w:rPr>
          <w:noProof/>
          <w:color w:val="000000"/>
          <w:highlight w:val="black"/>
        </w:rPr>
        <w:t>'''''''</w:t>
      </w:r>
      <w:r w:rsidR="008D3C51" w:rsidRPr="00116A2A">
        <w:t>%), while the rate of gastrointestinal perforation (any grade) was substantially higher in bevacizumab plus chemotherapy (</w:t>
      </w:r>
      <w:r w:rsidR="009C70C9">
        <w:rPr>
          <w:noProof/>
          <w:color w:val="000000"/>
          <w:highlight w:val="black"/>
        </w:rPr>
        <w:t>'''''''''''</w:t>
      </w:r>
      <w:r w:rsidR="008D3C51" w:rsidRPr="00116A2A">
        <w:t>%) than chemotherapy alone (</w:t>
      </w:r>
      <w:r w:rsidR="009C70C9">
        <w:rPr>
          <w:noProof/>
          <w:color w:val="000000"/>
          <w:highlight w:val="black"/>
        </w:rPr>
        <w:t>'''''''</w:t>
      </w:r>
      <w:r w:rsidR="008D3C51" w:rsidRPr="00116A2A">
        <w:t>%)</w:t>
      </w:r>
      <w:r w:rsidR="00595845" w:rsidRPr="00116A2A">
        <w:t>, as reported in the TGA Clinical Evaluation Report (p40)</w:t>
      </w:r>
      <w:r w:rsidR="008D3C51" w:rsidRPr="00116A2A">
        <w:t xml:space="preserve">.     </w:t>
      </w:r>
      <w:r w:rsidRPr="00116A2A">
        <w:t xml:space="preserve"> </w:t>
      </w:r>
    </w:p>
    <w:p w:rsidR="00595845" w:rsidRPr="00712610" w:rsidRDefault="00595845" w:rsidP="00712610"/>
    <w:p w:rsidR="00595845" w:rsidRPr="00116A2A" w:rsidRDefault="00595845" w:rsidP="00595845">
      <w:pPr>
        <w:pStyle w:val="ListParagraph"/>
        <w:numPr>
          <w:ilvl w:val="1"/>
          <w:numId w:val="6"/>
        </w:numPr>
      </w:pPr>
      <w:r w:rsidRPr="00116A2A">
        <w:t>The PBAC considered the gain in median OS of 3.5 months and the gain in median PFS of 2.3 months associated with bevacizumab were clinically modest</w:t>
      </w:r>
      <w:r w:rsidR="00EC4719">
        <w:t>, , especially in view of significant adverse events including the</w:t>
      </w:r>
      <w:r w:rsidR="00FE59FE">
        <w:t xml:space="preserve"> </w:t>
      </w:r>
      <w:r w:rsidR="00EC4719">
        <w:t>clinically significant higher incidence of fistula</w:t>
      </w:r>
      <w:r w:rsidRPr="00116A2A">
        <w:t xml:space="preserve">.  </w:t>
      </w:r>
    </w:p>
    <w:p w:rsidR="00595845" w:rsidRPr="00116A2A" w:rsidRDefault="00595845" w:rsidP="004C6A70"/>
    <w:p w:rsidR="004C6A70" w:rsidRPr="00116A2A" w:rsidRDefault="000D030E" w:rsidP="004C6A70">
      <w:pPr>
        <w:pStyle w:val="ListParagraph"/>
        <w:numPr>
          <w:ilvl w:val="1"/>
          <w:numId w:val="6"/>
        </w:numPr>
      </w:pPr>
      <w:r w:rsidRPr="00116A2A">
        <w:t>The submission described the addition of bevacizumab to chemotherapy alone as superior in terms of comparative effectiveness over chemotherapy alone and with a “manageable and acceptable safety profile”, in patients with advanced cervical cancer.</w:t>
      </w:r>
      <w:r w:rsidR="004C6A70" w:rsidRPr="00116A2A">
        <w:t xml:space="preserve">  The PBAC considered this claim was adequately supported for superior comparative effectiveness in terms of OS and PFS compared with chemotherapy alone.  However, the claim of manageable and acceptable safety profile was not adequately supported.  While bevacizumab has some clinical benefits</w:t>
      </w:r>
      <w:r w:rsidR="00F81F24">
        <w:t xml:space="preserve"> to patients</w:t>
      </w:r>
      <w:r w:rsidR="004C6A70" w:rsidRPr="00116A2A">
        <w:t xml:space="preserve">, </w:t>
      </w:r>
      <w:r w:rsidR="004C6A70" w:rsidRPr="00116A2A">
        <w:lastRenderedPageBreak/>
        <w:t xml:space="preserve">these </w:t>
      </w:r>
      <w:r w:rsidR="00F81F24">
        <w:t>may be counter-balanced</w:t>
      </w:r>
      <w:r w:rsidR="004C6A70" w:rsidRPr="00116A2A">
        <w:t xml:space="preserve"> by clinical harms.</w:t>
      </w:r>
    </w:p>
    <w:p w:rsidR="004C6A70" w:rsidRPr="00116A2A" w:rsidRDefault="004C6A70" w:rsidP="004C6A70">
      <w:pPr>
        <w:pStyle w:val="ListParagraph"/>
      </w:pPr>
    </w:p>
    <w:p w:rsidR="008C3B63" w:rsidRPr="00116A2A" w:rsidRDefault="004C6A70" w:rsidP="002A0317">
      <w:pPr>
        <w:pStyle w:val="ListParagraph"/>
        <w:numPr>
          <w:ilvl w:val="1"/>
          <w:numId w:val="6"/>
        </w:numPr>
      </w:pPr>
      <w:r w:rsidRPr="00116A2A">
        <w:t xml:space="preserve">The PBAC </w:t>
      </w:r>
      <w:r w:rsidR="007477F2" w:rsidRPr="00116A2A">
        <w:t>noted</w:t>
      </w:r>
      <w:r w:rsidR="004D61EB" w:rsidRPr="00116A2A">
        <w:t xml:space="preserve"> </w:t>
      </w:r>
      <w:r w:rsidR="005323C8" w:rsidRPr="00116A2A">
        <w:t>the cost utility analysi</w:t>
      </w:r>
      <w:r w:rsidR="00CB66BF" w:rsidRPr="00116A2A">
        <w:t>s</w:t>
      </w:r>
      <w:r w:rsidR="005323C8" w:rsidRPr="00116A2A">
        <w:t xml:space="preserve"> presented in the submission</w:t>
      </w:r>
      <w:r w:rsidR="00AB1FCB">
        <w:t xml:space="preserve"> resulted in an</w:t>
      </w:r>
      <w:r w:rsidR="004D61EB" w:rsidRPr="00116A2A">
        <w:t xml:space="preserve"> </w:t>
      </w:r>
      <w:r w:rsidR="00AB1FCB" w:rsidRPr="00116A2A">
        <w:t xml:space="preserve">ICER of </w:t>
      </w:r>
      <w:r w:rsidR="00AB1FCB">
        <w:t xml:space="preserve">greater than </w:t>
      </w:r>
      <w:r w:rsidR="002A0317" w:rsidRPr="00F62507">
        <w:t>$75,000</w:t>
      </w:r>
      <w:r w:rsidR="0028553E" w:rsidRPr="00F62507">
        <w:t>/QALY</w:t>
      </w:r>
      <w:r w:rsidR="002A0317" w:rsidRPr="00F62507">
        <w:t xml:space="preserve"> – $105,000</w:t>
      </w:r>
      <w:r w:rsidR="00AB1FCB" w:rsidRPr="00116A2A">
        <w:t>/QALY</w:t>
      </w:r>
      <w:r w:rsidR="00AB1FCB">
        <w:t xml:space="preserve">. </w:t>
      </w:r>
      <w:r w:rsidR="00AB1FCB" w:rsidRPr="00116A2A">
        <w:t xml:space="preserve"> </w:t>
      </w:r>
      <w:r w:rsidR="00AB1FCB">
        <w:t>The PBAC</w:t>
      </w:r>
      <w:r w:rsidR="004F62FF">
        <w:t>, noting the clinical outcomes,</w:t>
      </w:r>
      <w:r w:rsidR="00AB1FCB">
        <w:t xml:space="preserve"> considered that this base case</w:t>
      </w:r>
      <w:r w:rsidR="00AB1FCB" w:rsidRPr="00AB1FCB">
        <w:t xml:space="preserve"> </w:t>
      </w:r>
      <w:r w:rsidR="00AB1FCB">
        <w:t>ICER/QALY</w:t>
      </w:r>
      <w:r w:rsidR="004F62FF">
        <w:t xml:space="preserve"> </w:t>
      </w:r>
      <w:r w:rsidR="00AB1FCB" w:rsidRPr="00116A2A">
        <w:t>was unacceptably high and was based on QALYs gained resulting from parametric extrapolation of OS and PFS that could not be relied upon.</w:t>
      </w:r>
      <w:r w:rsidR="00AB1FCB">
        <w:t xml:space="preserve"> The PBAC noted that base-case ICER/QALY value was much higher than the range of ICER that the Committee has considered cost-effective for treatments of cancer</w:t>
      </w:r>
      <w:r w:rsidR="002176E1">
        <w:t>.</w:t>
      </w:r>
      <w:r w:rsidR="00AB1FCB">
        <w:t xml:space="preserve"> </w:t>
      </w:r>
      <w:r w:rsidR="002176E1">
        <w:t xml:space="preserve">Further, the PBAC agreed with the </w:t>
      </w:r>
      <w:r w:rsidR="002176E1" w:rsidRPr="00116A2A">
        <w:rPr>
          <w:szCs w:val="22"/>
        </w:rPr>
        <w:t>ES</w:t>
      </w:r>
      <w:r w:rsidR="00C47B29">
        <w:rPr>
          <w:szCs w:val="22"/>
        </w:rPr>
        <w:t xml:space="preserve">C that the base case ICER/QALY </w:t>
      </w:r>
      <w:r w:rsidR="00F1659F">
        <w:rPr>
          <w:szCs w:val="22"/>
        </w:rPr>
        <w:t xml:space="preserve">likely </w:t>
      </w:r>
      <w:r w:rsidR="002176E1" w:rsidRPr="00116A2A">
        <w:rPr>
          <w:szCs w:val="22"/>
        </w:rPr>
        <w:t>represents a lower boundary of a plausible range of cost-effectiveness</w:t>
      </w:r>
      <w:r w:rsidR="00C47B29">
        <w:rPr>
          <w:szCs w:val="22"/>
        </w:rPr>
        <w:t xml:space="preserve">. </w:t>
      </w:r>
      <w:r w:rsidR="002176E1" w:rsidRPr="00116A2A">
        <w:rPr>
          <w:szCs w:val="22"/>
        </w:rPr>
        <w:t xml:space="preserve"> </w:t>
      </w:r>
      <w:r w:rsidR="006D1A52" w:rsidRPr="00116A2A">
        <w:t xml:space="preserve">The PBAC </w:t>
      </w:r>
      <w:r w:rsidR="002176E1">
        <w:t>noted</w:t>
      </w:r>
      <w:r w:rsidR="002176E1" w:rsidRPr="00116A2A">
        <w:t xml:space="preserve"> </w:t>
      </w:r>
      <w:r w:rsidR="006D1A52" w:rsidRPr="00116A2A">
        <w:t xml:space="preserve">that the ICER was sensitive to the extrapolation from a median follow-up of 14.1 months to a time horizon of 7 years.  The PBAC </w:t>
      </w:r>
      <w:r w:rsidR="007477F2" w:rsidRPr="00116A2A">
        <w:t>questioned that trial data was available to 55.9 months however, the submission chose not to incorporate data beyond 14.1 months.</w:t>
      </w:r>
      <w:r w:rsidR="006D1A52" w:rsidRPr="00116A2A">
        <w:t xml:space="preserve">  </w:t>
      </w:r>
      <w:r w:rsidR="001E302B" w:rsidRPr="00116A2A">
        <w:t xml:space="preserve">The PBAC </w:t>
      </w:r>
      <w:r w:rsidR="007477F2" w:rsidRPr="00116A2A">
        <w:t xml:space="preserve">noted </w:t>
      </w:r>
      <w:r w:rsidR="006D1A52" w:rsidRPr="00116A2A">
        <w:t xml:space="preserve">the </w:t>
      </w:r>
      <w:r w:rsidR="007477F2" w:rsidRPr="00116A2A">
        <w:t xml:space="preserve">results of the sensitivity analyses and that the </w:t>
      </w:r>
      <w:r w:rsidR="006D1A52" w:rsidRPr="00116A2A">
        <w:t xml:space="preserve">ICER increases to </w:t>
      </w:r>
      <w:r w:rsidR="002A0317" w:rsidRPr="002A0317">
        <w:t>$105,000</w:t>
      </w:r>
      <w:r w:rsidR="0028553E">
        <w:t>/QALY</w:t>
      </w:r>
      <w:r w:rsidR="002A0317" w:rsidRPr="002A0317">
        <w:t xml:space="preserve"> – $200,000</w:t>
      </w:r>
      <w:r w:rsidR="0028553E">
        <w:t>/QALY</w:t>
      </w:r>
      <w:r w:rsidR="002A0317">
        <w:t xml:space="preserve"> </w:t>
      </w:r>
      <w:r w:rsidR="001C45B0" w:rsidRPr="00116A2A">
        <w:t>using</w:t>
      </w:r>
      <w:r w:rsidR="006D1A52" w:rsidRPr="00116A2A">
        <w:t xml:space="preserve"> the trial OS data up to 55.9 months.</w:t>
      </w:r>
      <w:r w:rsidR="008C3B63" w:rsidRPr="00116A2A">
        <w:t xml:space="preserve">  </w:t>
      </w:r>
    </w:p>
    <w:p w:rsidR="008C3B63" w:rsidRPr="00116A2A" w:rsidRDefault="008C3B63" w:rsidP="008C3B63">
      <w:pPr>
        <w:pStyle w:val="ListParagraph"/>
      </w:pPr>
    </w:p>
    <w:p w:rsidR="00EC4719" w:rsidRDefault="00EC4719" w:rsidP="00EC4719">
      <w:pPr>
        <w:pStyle w:val="ListParagraph"/>
        <w:numPr>
          <w:ilvl w:val="1"/>
          <w:numId w:val="6"/>
        </w:numPr>
        <w:snapToGrid w:val="0"/>
      </w:pPr>
      <w:r>
        <w:t xml:space="preserve">The PBAC considered that the cost of bevacizumab should be reduced to achieve a more acceptable ICER.  The proposed dose of bevacizumab was 15 mg/kg, to align with the GOG 0240 trial. The PBAC considered that a possible option to obtain an acceptable price is for the sponsor to rebate the Government </w:t>
      </w:r>
      <w:r w:rsidR="009C70C9">
        <w:rPr>
          <w:noProof/>
          <w:color w:val="000000"/>
          <w:highlight w:val="black"/>
        </w:rPr>
        <w:t>''''''''' ''''''''''''' '''''''''''''''' ''''''''' '''''''''''''''''''''''''''''''''''' ''''''''' '''' ''''''''''' ''''' ''''''''''''''''''''''</w:t>
      </w:r>
      <w:r>
        <w:t xml:space="preserve">. Alternatively the sponsor may simply reduce the cost/mg of bevacizumab and provide an economic analysis taking into account the adverse event related disutilities. If these changes are made to the model, the PBAC noted that a significant reduction in the price of bevacizumab will be required to result in a sufficiently cost-effective ICER.         </w:t>
      </w:r>
    </w:p>
    <w:p w:rsidR="007477F2" w:rsidRPr="00116A2A" w:rsidRDefault="007477F2" w:rsidP="007477F2">
      <w:pPr>
        <w:pStyle w:val="ListParagraph"/>
      </w:pPr>
    </w:p>
    <w:p w:rsidR="00C9474A" w:rsidRDefault="00496A9D" w:rsidP="00550895">
      <w:pPr>
        <w:pStyle w:val="ListParagraph"/>
        <w:numPr>
          <w:ilvl w:val="1"/>
          <w:numId w:val="6"/>
        </w:numPr>
      </w:pPr>
      <w:r>
        <w:t>The PBAC noted that the estimates of utilisation of bevacizumab were uncertain</w:t>
      </w:r>
      <w:r w:rsidR="00550895">
        <w:t xml:space="preserve"> </w:t>
      </w:r>
      <w:r w:rsidR="00550895" w:rsidRPr="00116A2A">
        <w:rPr>
          <w:bCs/>
        </w:rPr>
        <w:t>and the financial estimates were likely overestimated</w:t>
      </w:r>
      <w:r>
        <w:t xml:space="preserve">. The PBAC recommended that the sponsor consider obtaining estimates of the cumulative number of cervical cancer deaths in the next 5-10 years taking into account the change in </w:t>
      </w:r>
      <w:r w:rsidR="00550895" w:rsidRPr="00550895">
        <w:t xml:space="preserve">Human papillomavirus </w:t>
      </w:r>
      <w:r w:rsidR="00550895">
        <w:t>(</w:t>
      </w:r>
      <w:r>
        <w:t>HPV</w:t>
      </w:r>
      <w:r w:rsidR="00550895">
        <w:t>)</w:t>
      </w:r>
      <w:r>
        <w:t xml:space="preserve"> testing in 2017 and the impact of the </w:t>
      </w:r>
      <w:r w:rsidR="00550895">
        <w:t xml:space="preserve">HPV vaccine on the </w:t>
      </w:r>
      <w:r>
        <w:t xml:space="preserve">National Immunisation Program. Also some justification should be provided in relation to the uptake rates of bevacizumab. </w:t>
      </w:r>
    </w:p>
    <w:p w:rsidR="00496A9D" w:rsidRPr="00712610" w:rsidRDefault="00496A9D" w:rsidP="00712610"/>
    <w:p w:rsidR="00C9474A" w:rsidRPr="00116A2A" w:rsidRDefault="00C9474A" w:rsidP="004C6A70">
      <w:pPr>
        <w:pStyle w:val="ListParagraph"/>
        <w:numPr>
          <w:ilvl w:val="1"/>
          <w:numId w:val="6"/>
        </w:numPr>
      </w:pPr>
      <w:r w:rsidRPr="00116A2A">
        <w:t>The PBAC considered that a major resubmission would be required to request further consideration of recommending listing of bevacizumab for advanced cervical cancer.  The PBAC further considered that the resubmission should define a patient population who would be eligible and have access to treatment</w:t>
      </w:r>
      <w:r w:rsidR="00AB1FCB">
        <w:t xml:space="preserve"> and address the concerns of the ESC</w:t>
      </w:r>
      <w:r w:rsidR="00890C5B">
        <w:t xml:space="preserve"> and the PBAC</w:t>
      </w:r>
      <w:r w:rsidRPr="00116A2A">
        <w:t xml:space="preserve">.  The PBAC noted that the incidence of cervical cancer in </w:t>
      </w:r>
      <w:r w:rsidR="00342431">
        <w:t>I</w:t>
      </w:r>
      <w:r w:rsidR="00496A9D" w:rsidRPr="00116A2A">
        <w:t xml:space="preserve">ndigenous women </w:t>
      </w:r>
      <w:r w:rsidR="00496A9D">
        <w:t>is twice as high</w:t>
      </w:r>
      <w:r w:rsidRPr="00116A2A">
        <w:t xml:space="preserve"> </w:t>
      </w:r>
      <w:r w:rsidR="00550895" w:rsidRPr="00116A2A">
        <w:t>as</w:t>
      </w:r>
      <w:r w:rsidRPr="00116A2A">
        <w:t xml:space="preserve"> </w:t>
      </w:r>
      <w:r w:rsidR="00496A9D">
        <w:t xml:space="preserve">in </w:t>
      </w:r>
      <w:r w:rsidRPr="00116A2A">
        <w:t>non-Indigenous women</w:t>
      </w:r>
      <w:r w:rsidR="00342431">
        <w:t>. The PBAC noted</w:t>
      </w:r>
      <w:r w:rsidRPr="00116A2A">
        <w:t xml:space="preserve"> the rate of mortality is five times higher in </w:t>
      </w:r>
      <w:r w:rsidR="00342431">
        <w:t>I</w:t>
      </w:r>
      <w:r w:rsidR="00496A9D" w:rsidRPr="00116A2A">
        <w:t xml:space="preserve">ndigenous women </w:t>
      </w:r>
      <w:r w:rsidRPr="00116A2A">
        <w:t>than in non-</w:t>
      </w:r>
      <w:r w:rsidR="00342431">
        <w:t>I</w:t>
      </w:r>
      <w:r w:rsidRPr="00116A2A">
        <w:t>ndigenous women.</w:t>
      </w:r>
      <w:r w:rsidR="00342431">
        <w:t xml:space="preserve"> </w:t>
      </w:r>
      <w:r w:rsidR="00496A9D">
        <w:t>Given the marked discrepancy in mortal</w:t>
      </w:r>
      <w:r w:rsidR="00342431">
        <w:t>ity between I</w:t>
      </w:r>
      <w:r w:rsidR="00496A9D" w:rsidRPr="00116A2A">
        <w:t>ndigenous women</w:t>
      </w:r>
      <w:r w:rsidR="00496A9D">
        <w:t xml:space="preserve"> and non-i</w:t>
      </w:r>
      <w:r w:rsidR="00496A9D" w:rsidRPr="00116A2A">
        <w:t>ndigenous women</w:t>
      </w:r>
      <w:r w:rsidR="00496A9D">
        <w:t xml:space="preserve">, </w:t>
      </w:r>
      <w:r w:rsidR="00342431">
        <w:t>the Committee</w:t>
      </w:r>
      <w:r w:rsidR="00496A9D">
        <w:t xml:space="preserve"> considered</w:t>
      </w:r>
      <w:r w:rsidR="00342431">
        <w:t xml:space="preserve"> it would be</w:t>
      </w:r>
      <w:r w:rsidR="00496A9D">
        <w:t xml:space="preserve"> important that the sponsor address th</w:t>
      </w:r>
      <w:r w:rsidR="00342431">
        <w:t>e issue of drug access for the I</w:t>
      </w:r>
      <w:r w:rsidR="00496A9D" w:rsidRPr="00116A2A">
        <w:t>ndigenous women</w:t>
      </w:r>
      <w:r w:rsidR="00496A9D">
        <w:t xml:space="preserve">.   </w:t>
      </w:r>
    </w:p>
    <w:p w:rsidR="008C3B63" w:rsidRPr="00116A2A" w:rsidRDefault="008C3B63" w:rsidP="008C3B63">
      <w:pPr>
        <w:pStyle w:val="ListParagraph"/>
      </w:pPr>
    </w:p>
    <w:p w:rsidR="008C3B63" w:rsidRPr="00116A2A" w:rsidRDefault="008C3B63" w:rsidP="004C6A70">
      <w:pPr>
        <w:pStyle w:val="ListParagraph"/>
        <w:numPr>
          <w:ilvl w:val="1"/>
          <w:numId w:val="6"/>
        </w:numPr>
      </w:pPr>
      <w:r w:rsidRPr="00116A2A">
        <w:t>The PBAC</w:t>
      </w:r>
      <w:r w:rsidR="00102280" w:rsidRPr="00116A2A">
        <w:t xml:space="preserve"> noted that this submission is eligible for an Independent Review.</w:t>
      </w:r>
      <w:r w:rsidRPr="00116A2A">
        <w:t xml:space="preserve">  </w:t>
      </w:r>
    </w:p>
    <w:p w:rsidR="00102280" w:rsidRPr="00116A2A" w:rsidRDefault="00102280" w:rsidP="005323C8">
      <w:pPr>
        <w:rPr>
          <w:b/>
        </w:rPr>
      </w:pPr>
    </w:p>
    <w:p w:rsidR="00102280" w:rsidRPr="00102280" w:rsidRDefault="00102280" w:rsidP="005323C8">
      <w:pPr>
        <w:rPr>
          <w:b/>
        </w:rPr>
      </w:pPr>
      <w:r w:rsidRPr="00102280">
        <w:rPr>
          <w:b/>
        </w:rPr>
        <w:t>Outcome:</w:t>
      </w:r>
    </w:p>
    <w:p w:rsidR="00102280" w:rsidRDefault="00102280" w:rsidP="00A13DAA">
      <w:r>
        <w:t>Rejected</w:t>
      </w:r>
    </w:p>
    <w:p w:rsidR="00DE4923" w:rsidRPr="0009229E" w:rsidRDefault="00DE4923" w:rsidP="00DE4923">
      <w:pPr>
        <w:rPr>
          <w:bCs/>
          <w:szCs w:val="22"/>
        </w:rPr>
      </w:pPr>
    </w:p>
    <w:p w:rsidR="00DE4923" w:rsidRDefault="00DE4923" w:rsidP="00712610">
      <w:pPr>
        <w:pStyle w:val="PBACHeading1"/>
        <w:rPr>
          <w:rFonts w:eastAsia="SimSun"/>
        </w:rPr>
      </w:pPr>
      <w:r>
        <w:rPr>
          <w:rFonts w:eastAsia="SimSun"/>
        </w:rPr>
        <w:t>Context for Decision</w:t>
      </w:r>
    </w:p>
    <w:p w:rsidR="00DE4923" w:rsidRDefault="00DE4923" w:rsidP="00DE4923">
      <w:pPr>
        <w:ind w:left="720"/>
        <w:contextualSpacing/>
        <w:rPr>
          <w:b/>
        </w:rPr>
      </w:pPr>
    </w:p>
    <w:p w:rsidR="00DE4923" w:rsidRDefault="00DE4923" w:rsidP="00DE4923">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E4923" w:rsidRPr="00712610" w:rsidRDefault="00DE4923" w:rsidP="00712610"/>
    <w:p w:rsidR="00DE4923" w:rsidRDefault="00DE4923" w:rsidP="00712610">
      <w:pPr>
        <w:pStyle w:val="PBACHeading1"/>
        <w:rPr>
          <w:rFonts w:eastAsia="SimSun"/>
        </w:rPr>
      </w:pPr>
      <w:r>
        <w:rPr>
          <w:rFonts w:eastAsia="SimSun"/>
        </w:rPr>
        <w:t>Sponsor’s Comment</w:t>
      </w:r>
    </w:p>
    <w:p w:rsidR="00DE4923" w:rsidRDefault="00DE4923" w:rsidP="00DE4923">
      <w:pPr>
        <w:tabs>
          <w:tab w:val="left" w:pos="2940"/>
        </w:tabs>
        <w:rPr>
          <w:szCs w:val="22"/>
        </w:rPr>
      </w:pPr>
    </w:p>
    <w:p w:rsidR="008601D1" w:rsidRPr="00F367B5" w:rsidRDefault="008601D1" w:rsidP="008601D1">
      <w:pPr>
        <w:ind w:left="709"/>
        <w:rPr>
          <w:szCs w:val="22"/>
        </w:rPr>
      </w:pPr>
      <w:r w:rsidRPr="00F367B5">
        <w:rPr>
          <w:color w:val="222222"/>
          <w:szCs w:val="22"/>
          <w:shd w:val="clear" w:color="auto" w:fill="FFFFFF"/>
        </w:rPr>
        <w:t>Given the high unmet need, Roche is committed to working with the PBAC to provide access at the earliest opportunity to bevacizumab for patients with advanced cervical cancer.</w:t>
      </w:r>
    </w:p>
    <w:p w:rsidR="00DE4923" w:rsidRPr="00A13DAA" w:rsidRDefault="00DE4923" w:rsidP="00A13DAA"/>
    <w:sectPr w:rsidR="00DE4923" w:rsidRPr="00A13DAA" w:rsidSect="00D247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622" w:rsidRDefault="00F72622" w:rsidP="00124A51">
      <w:r>
        <w:separator/>
      </w:r>
    </w:p>
  </w:endnote>
  <w:endnote w:type="continuationSeparator" w:id="0">
    <w:p w:rsidR="00F72622" w:rsidRDefault="00F72622"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nell Roundhand">
    <w:altName w:val="MV Bol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C3" w:rsidRDefault="004B5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134611"/>
      <w:docPartObj>
        <w:docPartGallery w:val="Page Numbers (Bottom of Page)"/>
        <w:docPartUnique/>
      </w:docPartObj>
    </w:sdtPr>
    <w:sdtEndPr>
      <w:rPr>
        <w:noProof/>
      </w:rPr>
    </w:sdtEndPr>
    <w:sdtContent>
      <w:p w:rsidR="004B53C3" w:rsidRDefault="004B53C3">
        <w:pPr>
          <w:pStyle w:val="Footer"/>
          <w:jc w:val="center"/>
        </w:pPr>
        <w:r>
          <w:fldChar w:fldCharType="begin"/>
        </w:r>
        <w:r>
          <w:instrText xml:space="preserve"> PAGE   \* MERGEFORMAT </w:instrText>
        </w:r>
        <w:r>
          <w:fldChar w:fldCharType="separate"/>
        </w:r>
        <w:r w:rsidR="00F72622">
          <w:rPr>
            <w:noProof/>
          </w:rPr>
          <w:t>15</w:t>
        </w:r>
        <w:r>
          <w:rPr>
            <w:noProof/>
          </w:rPr>
          <w:fldChar w:fldCharType="end"/>
        </w:r>
      </w:p>
    </w:sdtContent>
  </w:sdt>
  <w:p w:rsidR="004B53C3" w:rsidRDefault="004B5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C3" w:rsidRDefault="004B5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622" w:rsidRDefault="00F72622" w:rsidP="00124A51">
      <w:r>
        <w:separator/>
      </w:r>
    </w:p>
  </w:footnote>
  <w:footnote w:type="continuationSeparator" w:id="0">
    <w:p w:rsidR="00F72622" w:rsidRDefault="00F72622"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C3" w:rsidRDefault="004B5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C3" w:rsidRPr="00DF217D" w:rsidRDefault="004B53C3" w:rsidP="007D08E2">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4B53C3" w:rsidRPr="00C51442" w:rsidRDefault="004B53C3" w:rsidP="00EC10BB">
    <w:pPr>
      <w:pStyle w:val="Header"/>
      <w:ind w:lef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3C3" w:rsidRDefault="004B5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3CA9A28"/>
    <w:lvl w:ilvl="0">
      <w:start w:val="1"/>
      <w:numFmt w:val="decimal"/>
      <w:lvlText w:val="%1."/>
      <w:lvlJc w:val="left"/>
      <w:pPr>
        <w:tabs>
          <w:tab w:val="num" w:pos="360"/>
        </w:tabs>
        <w:ind w:left="360" w:hanging="360"/>
      </w:pPr>
    </w:lvl>
  </w:abstractNum>
  <w:abstractNum w:abstractNumId="1">
    <w:nsid w:val="03A45187"/>
    <w:multiLevelType w:val="hybridMultilevel"/>
    <w:tmpl w:val="03342E8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62E3789"/>
    <w:multiLevelType w:val="hybridMultilevel"/>
    <w:tmpl w:val="763C7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537311"/>
    <w:multiLevelType w:val="hybridMultilevel"/>
    <w:tmpl w:val="32ECDD3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0A533A79"/>
    <w:multiLevelType w:val="hybridMultilevel"/>
    <w:tmpl w:val="EF60BE8E"/>
    <w:lvl w:ilvl="0" w:tplc="0C090003">
      <w:start w:val="1"/>
      <w:numFmt w:val="bullet"/>
      <w:lvlText w:val="o"/>
      <w:lvlJc w:val="left"/>
      <w:pPr>
        <w:ind w:left="763" w:hanging="360"/>
      </w:pPr>
      <w:rPr>
        <w:rFonts w:ascii="Courier New" w:hAnsi="Courier New" w:cs="Courier New"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5">
    <w:nsid w:val="0C7C2F0C"/>
    <w:multiLevelType w:val="hybridMultilevel"/>
    <w:tmpl w:val="4D70326A"/>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0F124FE6"/>
    <w:multiLevelType w:val="hybridMultilevel"/>
    <w:tmpl w:val="296EC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CE02F0"/>
    <w:multiLevelType w:val="hybridMultilevel"/>
    <w:tmpl w:val="A9A225E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7A6770E"/>
    <w:multiLevelType w:val="hybridMultilevel"/>
    <w:tmpl w:val="8C226894"/>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83B3FC6"/>
    <w:multiLevelType w:val="hybridMultilevel"/>
    <w:tmpl w:val="C5CCC436"/>
    <w:lvl w:ilvl="0" w:tplc="ECF88CD6">
      <w:start w:val="1"/>
      <w:numFmt w:val="bullet"/>
      <w:pStyle w:val="List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16B377E"/>
    <w:multiLevelType w:val="hybridMultilevel"/>
    <w:tmpl w:val="35600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19748C9"/>
    <w:multiLevelType w:val="hybridMultilevel"/>
    <w:tmpl w:val="F140D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350D5E"/>
    <w:multiLevelType w:val="hybridMultilevel"/>
    <w:tmpl w:val="E83E427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9445FED"/>
    <w:multiLevelType w:val="hybridMultilevel"/>
    <w:tmpl w:val="938E3F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DC4E08"/>
    <w:multiLevelType w:val="hybridMultilevel"/>
    <w:tmpl w:val="98A68F68"/>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36A925C3"/>
    <w:multiLevelType w:val="hybridMultilevel"/>
    <w:tmpl w:val="CF7685D8"/>
    <w:lvl w:ilvl="0" w:tplc="3BF4859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8F53B76"/>
    <w:multiLevelType w:val="hybridMultilevel"/>
    <w:tmpl w:val="A36C02EC"/>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395957F5"/>
    <w:multiLevelType w:val="hybridMultilevel"/>
    <w:tmpl w:val="AB5A46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99D0528"/>
    <w:multiLevelType w:val="hybridMultilevel"/>
    <w:tmpl w:val="F454D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B7C34E2"/>
    <w:multiLevelType w:val="hybridMultilevel"/>
    <w:tmpl w:val="9DFA0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0450AE"/>
    <w:multiLevelType w:val="hybridMultilevel"/>
    <w:tmpl w:val="D76E340C"/>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40025158"/>
    <w:multiLevelType w:val="hybridMultilevel"/>
    <w:tmpl w:val="CBA4DDE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451862A3"/>
    <w:multiLevelType w:val="hybridMultilevel"/>
    <w:tmpl w:val="D988CA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7B36B74"/>
    <w:multiLevelType w:val="hybridMultilevel"/>
    <w:tmpl w:val="09BC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B023D73"/>
    <w:multiLevelType w:val="hybridMultilevel"/>
    <w:tmpl w:val="66D8E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C33A65"/>
    <w:multiLevelType w:val="hybridMultilevel"/>
    <w:tmpl w:val="E9C49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2A081F"/>
    <w:multiLevelType w:val="hybridMultilevel"/>
    <w:tmpl w:val="6FC8E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7FD57A5"/>
    <w:multiLevelType w:val="hybridMultilevel"/>
    <w:tmpl w:val="AAC606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0EF0CDE"/>
    <w:multiLevelType w:val="hybridMultilevel"/>
    <w:tmpl w:val="80F6C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6B57246"/>
    <w:multiLevelType w:val="hybridMultilevel"/>
    <w:tmpl w:val="B3846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B5A3291"/>
    <w:multiLevelType w:val="hybridMultilevel"/>
    <w:tmpl w:val="2364FC8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6B9C059E"/>
    <w:multiLevelType w:val="hybridMultilevel"/>
    <w:tmpl w:val="90A819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nsid w:val="6DEA7CCB"/>
    <w:multiLevelType w:val="hybridMultilevel"/>
    <w:tmpl w:val="90A8190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nsid w:val="75133B37"/>
    <w:multiLevelType w:val="hybridMultilevel"/>
    <w:tmpl w:val="5FC0B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84D033C"/>
    <w:multiLevelType w:val="multilevel"/>
    <w:tmpl w:val="11763FC0"/>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AA25AD4"/>
    <w:multiLevelType w:val="hybridMultilevel"/>
    <w:tmpl w:val="7CFE9AE8"/>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9">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2"/>
  </w:num>
  <w:num w:numId="3">
    <w:abstractNumId w:val="7"/>
  </w:num>
  <w:num w:numId="4">
    <w:abstractNumId w:val="39"/>
  </w:num>
  <w:num w:numId="5">
    <w:abstractNumId w:val="20"/>
  </w:num>
  <w:num w:numId="6">
    <w:abstractNumId w:val="3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9"/>
  </w:num>
  <w:num w:numId="10">
    <w:abstractNumId w:val="11"/>
  </w:num>
  <w:num w:numId="11">
    <w:abstractNumId w:val="36"/>
  </w:num>
  <w:num w:numId="12">
    <w:abstractNumId w:val="32"/>
  </w:num>
  <w:num w:numId="13">
    <w:abstractNumId w:val="10"/>
  </w:num>
  <w:num w:numId="14">
    <w:abstractNumId w:val="14"/>
  </w:num>
  <w:num w:numId="15">
    <w:abstractNumId w:val="25"/>
  </w:num>
  <w:num w:numId="16">
    <w:abstractNumId w:val="23"/>
  </w:num>
  <w:num w:numId="17">
    <w:abstractNumId w:val="2"/>
  </w:num>
  <w:num w:numId="18">
    <w:abstractNumId w:val="27"/>
  </w:num>
  <w:num w:numId="19">
    <w:abstractNumId w:val="17"/>
  </w:num>
  <w:num w:numId="20">
    <w:abstractNumId w:val="9"/>
  </w:num>
  <w:num w:numId="21">
    <w:abstractNumId w:val="1"/>
  </w:num>
  <w:num w:numId="22">
    <w:abstractNumId w:val="8"/>
  </w:num>
  <w:num w:numId="23">
    <w:abstractNumId w:val="15"/>
  </w:num>
  <w:num w:numId="24">
    <w:abstractNumId w:val="5"/>
  </w:num>
  <w:num w:numId="25">
    <w:abstractNumId w:val="29"/>
  </w:num>
  <w:num w:numId="26">
    <w:abstractNumId w:val="12"/>
  </w:num>
  <w:num w:numId="27">
    <w:abstractNumId w:val="13"/>
  </w:num>
  <w:num w:numId="28">
    <w:abstractNumId w:val="38"/>
  </w:num>
  <w:num w:numId="29">
    <w:abstractNumId w:val="4"/>
  </w:num>
  <w:num w:numId="30">
    <w:abstractNumId w:val="21"/>
  </w:num>
  <w:num w:numId="31">
    <w:abstractNumId w:val="31"/>
  </w:num>
  <w:num w:numId="32">
    <w:abstractNumId w:val="26"/>
  </w:num>
  <w:num w:numId="33">
    <w:abstractNumId w:val="6"/>
  </w:num>
  <w:num w:numId="34">
    <w:abstractNumId w:val="24"/>
  </w:num>
  <w:num w:numId="35">
    <w:abstractNumId w:val="28"/>
  </w:num>
  <w:num w:numId="36">
    <w:abstractNumId w:val="35"/>
  </w:num>
  <w:num w:numId="37">
    <w:abstractNumId w:val="34"/>
  </w:num>
  <w:num w:numId="38">
    <w:abstractNumId w:val="18"/>
  </w:num>
  <w:num w:numId="39">
    <w:abstractNumId w:val="33"/>
  </w:num>
  <w:num w:numId="40">
    <w:abstractNumId w:val="37"/>
  </w:num>
  <w:num w:numId="41">
    <w:abstractNumId w:val="37"/>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Arial Bold&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rdpa2zro2vrrheweeu5retrdwdx5zwwa0t2&quot;&gt;Bevacizumab&lt;record-ids&gt;&lt;item&gt;2&lt;/item&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record-ids&gt;&lt;/item&gt;&lt;/Libraries&gt;"/>
  </w:docVars>
  <w:rsids>
    <w:rsidRoot w:val="00E65E79"/>
    <w:rsid w:val="00000790"/>
    <w:rsid w:val="0000090E"/>
    <w:rsid w:val="0000110B"/>
    <w:rsid w:val="000027AB"/>
    <w:rsid w:val="00003499"/>
    <w:rsid w:val="000037DC"/>
    <w:rsid w:val="00007F1A"/>
    <w:rsid w:val="00010920"/>
    <w:rsid w:val="00013247"/>
    <w:rsid w:val="00013D52"/>
    <w:rsid w:val="00013D5F"/>
    <w:rsid w:val="00015886"/>
    <w:rsid w:val="00015C49"/>
    <w:rsid w:val="0001621F"/>
    <w:rsid w:val="000162EF"/>
    <w:rsid w:val="000211BF"/>
    <w:rsid w:val="0002225F"/>
    <w:rsid w:val="00023763"/>
    <w:rsid w:val="0002407D"/>
    <w:rsid w:val="00024FA3"/>
    <w:rsid w:val="00025B13"/>
    <w:rsid w:val="00030736"/>
    <w:rsid w:val="00030A63"/>
    <w:rsid w:val="00036938"/>
    <w:rsid w:val="000370D0"/>
    <w:rsid w:val="0003737F"/>
    <w:rsid w:val="00040895"/>
    <w:rsid w:val="00042F62"/>
    <w:rsid w:val="00043C37"/>
    <w:rsid w:val="00044106"/>
    <w:rsid w:val="00045F86"/>
    <w:rsid w:val="000528ED"/>
    <w:rsid w:val="000546D7"/>
    <w:rsid w:val="000557DC"/>
    <w:rsid w:val="00056638"/>
    <w:rsid w:val="00060D6E"/>
    <w:rsid w:val="00065BA0"/>
    <w:rsid w:val="0007068A"/>
    <w:rsid w:val="00071248"/>
    <w:rsid w:val="000720B9"/>
    <w:rsid w:val="00076581"/>
    <w:rsid w:val="000812CA"/>
    <w:rsid w:val="00083A82"/>
    <w:rsid w:val="00083D7A"/>
    <w:rsid w:val="000846E3"/>
    <w:rsid w:val="00087CB3"/>
    <w:rsid w:val="00090C7E"/>
    <w:rsid w:val="00090F2D"/>
    <w:rsid w:val="0009204C"/>
    <w:rsid w:val="00094D26"/>
    <w:rsid w:val="00097BAE"/>
    <w:rsid w:val="000A1B27"/>
    <w:rsid w:val="000A65DB"/>
    <w:rsid w:val="000A7C0A"/>
    <w:rsid w:val="000B06AE"/>
    <w:rsid w:val="000B1914"/>
    <w:rsid w:val="000B21E0"/>
    <w:rsid w:val="000B25B9"/>
    <w:rsid w:val="000B2B0B"/>
    <w:rsid w:val="000B4AF9"/>
    <w:rsid w:val="000B5197"/>
    <w:rsid w:val="000B77C6"/>
    <w:rsid w:val="000C06EA"/>
    <w:rsid w:val="000C0A86"/>
    <w:rsid w:val="000C0E74"/>
    <w:rsid w:val="000C1273"/>
    <w:rsid w:val="000C6A87"/>
    <w:rsid w:val="000C6CA4"/>
    <w:rsid w:val="000C7D5D"/>
    <w:rsid w:val="000D030E"/>
    <w:rsid w:val="000D1BFC"/>
    <w:rsid w:val="000D3A6B"/>
    <w:rsid w:val="000D75F1"/>
    <w:rsid w:val="000D77CA"/>
    <w:rsid w:val="000E4FE5"/>
    <w:rsid w:val="000F1F25"/>
    <w:rsid w:val="000F4BB8"/>
    <w:rsid w:val="000F5C23"/>
    <w:rsid w:val="000F7127"/>
    <w:rsid w:val="00100F8A"/>
    <w:rsid w:val="00102280"/>
    <w:rsid w:val="00102372"/>
    <w:rsid w:val="00107410"/>
    <w:rsid w:val="0011032E"/>
    <w:rsid w:val="0011348B"/>
    <w:rsid w:val="00113E2C"/>
    <w:rsid w:val="00116A2A"/>
    <w:rsid w:val="00121151"/>
    <w:rsid w:val="00121799"/>
    <w:rsid w:val="001222FC"/>
    <w:rsid w:val="00124A51"/>
    <w:rsid w:val="00126621"/>
    <w:rsid w:val="0012745E"/>
    <w:rsid w:val="00127F34"/>
    <w:rsid w:val="001301E9"/>
    <w:rsid w:val="001312E0"/>
    <w:rsid w:val="001330D1"/>
    <w:rsid w:val="00135E17"/>
    <w:rsid w:val="001375F6"/>
    <w:rsid w:val="00137645"/>
    <w:rsid w:val="0014015A"/>
    <w:rsid w:val="00140E99"/>
    <w:rsid w:val="00141A59"/>
    <w:rsid w:val="0014298C"/>
    <w:rsid w:val="00144F63"/>
    <w:rsid w:val="00145540"/>
    <w:rsid w:val="001456B0"/>
    <w:rsid w:val="00145CC6"/>
    <w:rsid w:val="00146556"/>
    <w:rsid w:val="001467AB"/>
    <w:rsid w:val="00150D64"/>
    <w:rsid w:val="00154A4F"/>
    <w:rsid w:val="00154E7F"/>
    <w:rsid w:val="00157130"/>
    <w:rsid w:val="001628C3"/>
    <w:rsid w:val="00162913"/>
    <w:rsid w:val="00163E1E"/>
    <w:rsid w:val="00163EFF"/>
    <w:rsid w:val="001661FB"/>
    <w:rsid w:val="0016620F"/>
    <w:rsid w:val="00174609"/>
    <w:rsid w:val="00177529"/>
    <w:rsid w:val="00181EC4"/>
    <w:rsid w:val="001826AA"/>
    <w:rsid w:val="0018752F"/>
    <w:rsid w:val="001923E1"/>
    <w:rsid w:val="00193C82"/>
    <w:rsid w:val="00195222"/>
    <w:rsid w:val="001975D8"/>
    <w:rsid w:val="001A2FAA"/>
    <w:rsid w:val="001A38AA"/>
    <w:rsid w:val="001B1252"/>
    <w:rsid w:val="001B1B99"/>
    <w:rsid w:val="001B2C2D"/>
    <w:rsid w:val="001B3443"/>
    <w:rsid w:val="001B54F3"/>
    <w:rsid w:val="001C21E6"/>
    <w:rsid w:val="001C39EE"/>
    <w:rsid w:val="001C45B0"/>
    <w:rsid w:val="001C6E66"/>
    <w:rsid w:val="001D08BC"/>
    <w:rsid w:val="001E0B0D"/>
    <w:rsid w:val="001E238E"/>
    <w:rsid w:val="001E2712"/>
    <w:rsid w:val="001E2929"/>
    <w:rsid w:val="001E2B1E"/>
    <w:rsid w:val="001E302B"/>
    <w:rsid w:val="001E3CD3"/>
    <w:rsid w:val="001E3E82"/>
    <w:rsid w:val="001E4BBD"/>
    <w:rsid w:val="001E52EB"/>
    <w:rsid w:val="001E5AEF"/>
    <w:rsid w:val="001E5BB5"/>
    <w:rsid w:val="001E7021"/>
    <w:rsid w:val="001E740C"/>
    <w:rsid w:val="001F0473"/>
    <w:rsid w:val="001F1235"/>
    <w:rsid w:val="001F1CB3"/>
    <w:rsid w:val="001F576D"/>
    <w:rsid w:val="001F6690"/>
    <w:rsid w:val="001F6C7B"/>
    <w:rsid w:val="001F7361"/>
    <w:rsid w:val="0020385F"/>
    <w:rsid w:val="002063A7"/>
    <w:rsid w:val="00207021"/>
    <w:rsid w:val="0020763A"/>
    <w:rsid w:val="00207D00"/>
    <w:rsid w:val="002105C1"/>
    <w:rsid w:val="00212BC0"/>
    <w:rsid w:val="00213CD4"/>
    <w:rsid w:val="002155D1"/>
    <w:rsid w:val="002176E1"/>
    <w:rsid w:val="002206CB"/>
    <w:rsid w:val="00220BE6"/>
    <w:rsid w:val="00220FD6"/>
    <w:rsid w:val="002229B6"/>
    <w:rsid w:val="00223B49"/>
    <w:rsid w:val="002240A7"/>
    <w:rsid w:val="00224B2C"/>
    <w:rsid w:val="00224B7B"/>
    <w:rsid w:val="00224DD4"/>
    <w:rsid w:val="002251F0"/>
    <w:rsid w:val="00230423"/>
    <w:rsid w:val="002309CC"/>
    <w:rsid w:val="00231C19"/>
    <w:rsid w:val="0024136A"/>
    <w:rsid w:val="002414B4"/>
    <w:rsid w:val="002448F4"/>
    <w:rsid w:val="0024502F"/>
    <w:rsid w:val="002450FB"/>
    <w:rsid w:val="00245D89"/>
    <w:rsid w:val="00254DCF"/>
    <w:rsid w:val="00254E2C"/>
    <w:rsid w:val="0025534B"/>
    <w:rsid w:val="0025595E"/>
    <w:rsid w:val="00255BB7"/>
    <w:rsid w:val="00257E4F"/>
    <w:rsid w:val="00262A87"/>
    <w:rsid w:val="00264DB3"/>
    <w:rsid w:val="00265552"/>
    <w:rsid w:val="00267714"/>
    <w:rsid w:val="002722F0"/>
    <w:rsid w:val="0027531D"/>
    <w:rsid w:val="00275C5A"/>
    <w:rsid w:val="00276A3F"/>
    <w:rsid w:val="00276C67"/>
    <w:rsid w:val="00277F4C"/>
    <w:rsid w:val="00280CA0"/>
    <w:rsid w:val="00281014"/>
    <w:rsid w:val="0028232B"/>
    <w:rsid w:val="00283977"/>
    <w:rsid w:val="0028553E"/>
    <w:rsid w:val="002913BD"/>
    <w:rsid w:val="00296D1D"/>
    <w:rsid w:val="002A0317"/>
    <w:rsid w:val="002A14AB"/>
    <w:rsid w:val="002A5C54"/>
    <w:rsid w:val="002B00F3"/>
    <w:rsid w:val="002B1C1F"/>
    <w:rsid w:val="002B3DFA"/>
    <w:rsid w:val="002B432F"/>
    <w:rsid w:val="002B6CCE"/>
    <w:rsid w:val="002B7185"/>
    <w:rsid w:val="002C18BB"/>
    <w:rsid w:val="002C2775"/>
    <w:rsid w:val="002C27C1"/>
    <w:rsid w:val="002D061F"/>
    <w:rsid w:val="002D0C5D"/>
    <w:rsid w:val="002D3A98"/>
    <w:rsid w:val="002D5A5D"/>
    <w:rsid w:val="002D61B3"/>
    <w:rsid w:val="002E0C91"/>
    <w:rsid w:val="002E42B8"/>
    <w:rsid w:val="002E651D"/>
    <w:rsid w:val="002F1623"/>
    <w:rsid w:val="002F49A1"/>
    <w:rsid w:val="002F4ED9"/>
    <w:rsid w:val="002F6913"/>
    <w:rsid w:val="002F6F22"/>
    <w:rsid w:val="003005A7"/>
    <w:rsid w:val="00301017"/>
    <w:rsid w:val="003011BA"/>
    <w:rsid w:val="00305D03"/>
    <w:rsid w:val="0030786C"/>
    <w:rsid w:val="0031031A"/>
    <w:rsid w:val="00310981"/>
    <w:rsid w:val="0031324A"/>
    <w:rsid w:val="00315498"/>
    <w:rsid w:val="00316E99"/>
    <w:rsid w:val="0032126E"/>
    <w:rsid w:val="003213E3"/>
    <w:rsid w:val="0032258D"/>
    <w:rsid w:val="00331475"/>
    <w:rsid w:val="00331E8D"/>
    <w:rsid w:val="003329E2"/>
    <w:rsid w:val="003366C9"/>
    <w:rsid w:val="0033699D"/>
    <w:rsid w:val="003371B0"/>
    <w:rsid w:val="00342431"/>
    <w:rsid w:val="00344380"/>
    <w:rsid w:val="003443AB"/>
    <w:rsid w:val="00350E8D"/>
    <w:rsid w:val="00351C71"/>
    <w:rsid w:val="00355667"/>
    <w:rsid w:val="0035620E"/>
    <w:rsid w:val="0036093C"/>
    <w:rsid w:val="00363007"/>
    <w:rsid w:val="003646BB"/>
    <w:rsid w:val="003671C6"/>
    <w:rsid w:val="00367441"/>
    <w:rsid w:val="0036748F"/>
    <w:rsid w:val="0037304E"/>
    <w:rsid w:val="0037554A"/>
    <w:rsid w:val="0037565D"/>
    <w:rsid w:val="003818ED"/>
    <w:rsid w:val="0038365C"/>
    <w:rsid w:val="00385C33"/>
    <w:rsid w:val="00386567"/>
    <w:rsid w:val="0039307B"/>
    <w:rsid w:val="003933A7"/>
    <w:rsid w:val="00396FD0"/>
    <w:rsid w:val="00397A58"/>
    <w:rsid w:val="003A0B1A"/>
    <w:rsid w:val="003A1A7A"/>
    <w:rsid w:val="003A2E86"/>
    <w:rsid w:val="003A64F8"/>
    <w:rsid w:val="003A76AB"/>
    <w:rsid w:val="003B411E"/>
    <w:rsid w:val="003B53D0"/>
    <w:rsid w:val="003C01EE"/>
    <w:rsid w:val="003C666A"/>
    <w:rsid w:val="003D1828"/>
    <w:rsid w:val="003D2422"/>
    <w:rsid w:val="003D2BCB"/>
    <w:rsid w:val="003D343C"/>
    <w:rsid w:val="003D358C"/>
    <w:rsid w:val="003D3945"/>
    <w:rsid w:val="003D7ABF"/>
    <w:rsid w:val="003E6606"/>
    <w:rsid w:val="003E6714"/>
    <w:rsid w:val="003E74EF"/>
    <w:rsid w:val="003F2BA3"/>
    <w:rsid w:val="003F4156"/>
    <w:rsid w:val="003F5465"/>
    <w:rsid w:val="004017B5"/>
    <w:rsid w:val="0040561D"/>
    <w:rsid w:val="00410708"/>
    <w:rsid w:val="004108D9"/>
    <w:rsid w:val="00410EC7"/>
    <w:rsid w:val="0041250A"/>
    <w:rsid w:val="00414476"/>
    <w:rsid w:val="0041520C"/>
    <w:rsid w:val="00415E1D"/>
    <w:rsid w:val="00416739"/>
    <w:rsid w:val="00420B9F"/>
    <w:rsid w:val="00422C88"/>
    <w:rsid w:val="00423750"/>
    <w:rsid w:val="004240C8"/>
    <w:rsid w:val="00425BCD"/>
    <w:rsid w:val="004279DB"/>
    <w:rsid w:val="004319F8"/>
    <w:rsid w:val="00433044"/>
    <w:rsid w:val="0043464A"/>
    <w:rsid w:val="00435374"/>
    <w:rsid w:val="00443574"/>
    <w:rsid w:val="0044386D"/>
    <w:rsid w:val="004443A7"/>
    <w:rsid w:val="00444FAD"/>
    <w:rsid w:val="004464EB"/>
    <w:rsid w:val="00452A5E"/>
    <w:rsid w:val="004546E9"/>
    <w:rsid w:val="00455D45"/>
    <w:rsid w:val="00456878"/>
    <w:rsid w:val="00456D9A"/>
    <w:rsid w:val="00462173"/>
    <w:rsid w:val="004626FC"/>
    <w:rsid w:val="00464595"/>
    <w:rsid w:val="004645FE"/>
    <w:rsid w:val="004648F8"/>
    <w:rsid w:val="00464A7F"/>
    <w:rsid w:val="00464F30"/>
    <w:rsid w:val="004651E4"/>
    <w:rsid w:val="00465AAE"/>
    <w:rsid w:val="00465F4E"/>
    <w:rsid w:val="004711D2"/>
    <w:rsid w:val="00471925"/>
    <w:rsid w:val="00474199"/>
    <w:rsid w:val="00476D02"/>
    <w:rsid w:val="00477A64"/>
    <w:rsid w:val="004866F3"/>
    <w:rsid w:val="004867E2"/>
    <w:rsid w:val="00490099"/>
    <w:rsid w:val="00491B3A"/>
    <w:rsid w:val="00492CFD"/>
    <w:rsid w:val="00493EF5"/>
    <w:rsid w:val="004962D2"/>
    <w:rsid w:val="00496A9D"/>
    <w:rsid w:val="00497DBA"/>
    <w:rsid w:val="004A037F"/>
    <w:rsid w:val="004A0DA1"/>
    <w:rsid w:val="004A42C8"/>
    <w:rsid w:val="004A4E28"/>
    <w:rsid w:val="004A6597"/>
    <w:rsid w:val="004A6E0A"/>
    <w:rsid w:val="004B088A"/>
    <w:rsid w:val="004B1734"/>
    <w:rsid w:val="004B1CB4"/>
    <w:rsid w:val="004B2F18"/>
    <w:rsid w:val="004B33D8"/>
    <w:rsid w:val="004B38D3"/>
    <w:rsid w:val="004B3D46"/>
    <w:rsid w:val="004B3DDB"/>
    <w:rsid w:val="004B44FD"/>
    <w:rsid w:val="004B53C3"/>
    <w:rsid w:val="004B574B"/>
    <w:rsid w:val="004B5B4D"/>
    <w:rsid w:val="004B5CFC"/>
    <w:rsid w:val="004C4AED"/>
    <w:rsid w:val="004C6A70"/>
    <w:rsid w:val="004D0BDC"/>
    <w:rsid w:val="004D61EB"/>
    <w:rsid w:val="004E0EB8"/>
    <w:rsid w:val="004E258A"/>
    <w:rsid w:val="004E2ADC"/>
    <w:rsid w:val="004E43B2"/>
    <w:rsid w:val="004F0DEC"/>
    <w:rsid w:val="004F1D02"/>
    <w:rsid w:val="004F2679"/>
    <w:rsid w:val="004F62FF"/>
    <w:rsid w:val="004F7865"/>
    <w:rsid w:val="00506928"/>
    <w:rsid w:val="00506E36"/>
    <w:rsid w:val="0050734F"/>
    <w:rsid w:val="00510704"/>
    <w:rsid w:val="00510ED4"/>
    <w:rsid w:val="00512CBE"/>
    <w:rsid w:val="005152B5"/>
    <w:rsid w:val="00517AB1"/>
    <w:rsid w:val="005206D1"/>
    <w:rsid w:val="00521319"/>
    <w:rsid w:val="00521B18"/>
    <w:rsid w:val="00522210"/>
    <w:rsid w:val="005238DA"/>
    <w:rsid w:val="00523C28"/>
    <w:rsid w:val="005245E6"/>
    <w:rsid w:val="00524A9C"/>
    <w:rsid w:val="00525781"/>
    <w:rsid w:val="00525D82"/>
    <w:rsid w:val="005323C8"/>
    <w:rsid w:val="0053250C"/>
    <w:rsid w:val="005330A3"/>
    <w:rsid w:val="00537087"/>
    <w:rsid w:val="005406DF"/>
    <w:rsid w:val="005411AB"/>
    <w:rsid w:val="00543617"/>
    <w:rsid w:val="0054536D"/>
    <w:rsid w:val="00545B7E"/>
    <w:rsid w:val="00547186"/>
    <w:rsid w:val="00547944"/>
    <w:rsid w:val="00550895"/>
    <w:rsid w:val="0055117F"/>
    <w:rsid w:val="00552BD3"/>
    <w:rsid w:val="00555109"/>
    <w:rsid w:val="00561355"/>
    <w:rsid w:val="00561E71"/>
    <w:rsid w:val="0056696F"/>
    <w:rsid w:val="00570FA8"/>
    <w:rsid w:val="00571A01"/>
    <w:rsid w:val="00573035"/>
    <w:rsid w:val="005737E9"/>
    <w:rsid w:val="00573A83"/>
    <w:rsid w:val="0057504D"/>
    <w:rsid w:val="00575D8D"/>
    <w:rsid w:val="00576208"/>
    <w:rsid w:val="00576972"/>
    <w:rsid w:val="00581038"/>
    <w:rsid w:val="005820DA"/>
    <w:rsid w:val="00582B44"/>
    <w:rsid w:val="00583699"/>
    <w:rsid w:val="00586347"/>
    <w:rsid w:val="005919C3"/>
    <w:rsid w:val="00593471"/>
    <w:rsid w:val="005935D7"/>
    <w:rsid w:val="00595206"/>
    <w:rsid w:val="00595845"/>
    <w:rsid w:val="00597A29"/>
    <w:rsid w:val="005A0A90"/>
    <w:rsid w:val="005A1455"/>
    <w:rsid w:val="005A1A43"/>
    <w:rsid w:val="005A5413"/>
    <w:rsid w:val="005B217F"/>
    <w:rsid w:val="005B2250"/>
    <w:rsid w:val="005B5857"/>
    <w:rsid w:val="005B61A1"/>
    <w:rsid w:val="005C0595"/>
    <w:rsid w:val="005C1B83"/>
    <w:rsid w:val="005C346B"/>
    <w:rsid w:val="005C4A14"/>
    <w:rsid w:val="005C546A"/>
    <w:rsid w:val="005C66D6"/>
    <w:rsid w:val="005C7F65"/>
    <w:rsid w:val="005D044D"/>
    <w:rsid w:val="005D18AD"/>
    <w:rsid w:val="005D39B0"/>
    <w:rsid w:val="005D3C3D"/>
    <w:rsid w:val="005D51F1"/>
    <w:rsid w:val="005D56BF"/>
    <w:rsid w:val="005D5DE3"/>
    <w:rsid w:val="005E0668"/>
    <w:rsid w:val="005E09D0"/>
    <w:rsid w:val="005E0FD8"/>
    <w:rsid w:val="005E350B"/>
    <w:rsid w:val="005E42B9"/>
    <w:rsid w:val="005E4F8E"/>
    <w:rsid w:val="005E73C0"/>
    <w:rsid w:val="005F0E8C"/>
    <w:rsid w:val="005F2706"/>
    <w:rsid w:val="005F370D"/>
    <w:rsid w:val="005F64F3"/>
    <w:rsid w:val="005F6A8F"/>
    <w:rsid w:val="005F76C5"/>
    <w:rsid w:val="006041BF"/>
    <w:rsid w:val="00604288"/>
    <w:rsid w:val="00607669"/>
    <w:rsid w:val="00607A36"/>
    <w:rsid w:val="00612F97"/>
    <w:rsid w:val="00614BD3"/>
    <w:rsid w:val="00616802"/>
    <w:rsid w:val="00617E12"/>
    <w:rsid w:val="00621477"/>
    <w:rsid w:val="006238D2"/>
    <w:rsid w:val="00623A9A"/>
    <w:rsid w:val="006316B6"/>
    <w:rsid w:val="00631D6B"/>
    <w:rsid w:val="0063479F"/>
    <w:rsid w:val="00634ED7"/>
    <w:rsid w:val="006356AC"/>
    <w:rsid w:val="006364A1"/>
    <w:rsid w:val="00637036"/>
    <w:rsid w:val="00637BFD"/>
    <w:rsid w:val="006401A4"/>
    <w:rsid w:val="00640FAB"/>
    <w:rsid w:val="00641987"/>
    <w:rsid w:val="0064311E"/>
    <w:rsid w:val="006471CC"/>
    <w:rsid w:val="0065079F"/>
    <w:rsid w:val="00653628"/>
    <w:rsid w:val="0065551B"/>
    <w:rsid w:val="00656810"/>
    <w:rsid w:val="0065724A"/>
    <w:rsid w:val="00657ED1"/>
    <w:rsid w:val="00660CBD"/>
    <w:rsid w:val="00660F92"/>
    <w:rsid w:val="006611C3"/>
    <w:rsid w:val="00664D0E"/>
    <w:rsid w:val="006706F0"/>
    <w:rsid w:val="00674E42"/>
    <w:rsid w:val="00675F0A"/>
    <w:rsid w:val="00680468"/>
    <w:rsid w:val="0068123C"/>
    <w:rsid w:val="00682112"/>
    <w:rsid w:val="00682EBD"/>
    <w:rsid w:val="00684B57"/>
    <w:rsid w:val="006872BA"/>
    <w:rsid w:val="00687C66"/>
    <w:rsid w:val="006917D7"/>
    <w:rsid w:val="00692F29"/>
    <w:rsid w:val="00694F44"/>
    <w:rsid w:val="00695E24"/>
    <w:rsid w:val="00697335"/>
    <w:rsid w:val="006A09D2"/>
    <w:rsid w:val="006A32BF"/>
    <w:rsid w:val="006A78CE"/>
    <w:rsid w:val="006B077D"/>
    <w:rsid w:val="006B15AA"/>
    <w:rsid w:val="006B4AFB"/>
    <w:rsid w:val="006C2A8E"/>
    <w:rsid w:val="006C371F"/>
    <w:rsid w:val="006C5C77"/>
    <w:rsid w:val="006D1A52"/>
    <w:rsid w:val="006D3C7D"/>
    <w:rsid w:val="006D4636"/>
    <w:rsid w:val="006D5D5F"/>
    <w:rsid w:val="006D6301"/>
    <w:rsid w:val="006E1D96"/>
    <w:rsid w:val="006E50E7"/>
    <w:rsid w:val="006E61B6"/>
    <w:rsid w:val="006F16B1"/>
    <w:rsid w:val="006F17A9"/>
    <w:rsid w:val="006F1B4A"/>
    <w:rsid w:val="006F307F"/>
    <w:rsid w:val="006F42BD"/>
    <w:rsid w:val="006F48AD"/>
    <w:rsid w:val="006F63A5"/>
    <w:rsid w:val="006F733C"/>
    <w:rsid w:val="006F7EF7"/>
    <w:rsid w:val="00700FF5"/>
    <w:rsid w:val="0070276E"/>
    <w:rsid w:val="00702DFC"/>
    <w:rsid w:val="00702F8F"/>
    <w:rsid w:val="00703F89"/>
    <w:rsid w:val="00705555"/>
    <w:rsid w:val="0071016C"/>
    <w:rsid w:val="00711A36"/>
    <w:rsid w:val="00712610"/>
    <w:rsid w:val="00712A35"/>
    <w:rsid w:val="00714549"/>
    <w:rsid w:val="00714D4D"/>
    <w:rsid w:val="00715FB1"/>
    <w:rsid w:val="00716C5F"/>
    <w:rsid w:val="007172AD"/>
    <w:rsid w:val="00717A7D"/>
    <w:rsid w:val="0072416F"/>
    <w:rsid w:val="007277B1"/>
    <w:rsid w:val="00731E87"/>
    <w:rsid w:val="00732C06"/>
    <w:rsid w:val="0073343C"/>
    <w:rsid w:val="007339CC"/>
    <w:rsid w:val="00734770"/>
    <w:rsid w:val="00735328"/>
    <w:rsid w:val="00735698"/>
    <w:rsid w:val="00735E90"/>
    <w:rsid w:val="0073685B"/>
    <w:rsid w:val="00736992"/>
    <w:rsid w:val="007375DD"/>
    <w:rsid w:val="00737E9F"/>
    <w:rsid w:val="007423E5"/>
    <w:rsid w:val="00745C8B"/>
    <w:rsid w:val="007477F2"/>
    <w:rsid w:val="00752B31"/>
    <w:rsid w:val="00754CDF"/>
    <w:rsid w:val="00757E06"/>
    <w:rsid w:val="00760064"/>
    <w:rsid w:val="00761D38"/>
    <w:rsid w:val="00763A55"/>
    <w:rsid w:val="00764E61"/>
    <w:rsid w:val="00765DF8"/>
    <w:rsid w:val="007660F9"/>
    <w:rsid w:val="007673D1"/>
    <w:rsid w:val="00767D2A"/>
    <w:rsid w:val="00771454"/>
    <w:rsid w:val="0077173D"/>
    <w:rsid w:val="007747D9"/>
    <w:rsid w:val="0077550A"/>
    <w:rsid w:val="007764B2"/>
    <w:rsid w:val="0077769B"/>
    <w:rsid w:val="00781AB6"/>
    <w:rsid w:val="00782867"/>
    <w:rsid w:val="00782FA5"/>
    <w:rsid w:val="00783EED"/>
    <w:rsid w:val="00783FF7"/>
    <w:rsid w:val="007853BC"/>
    <w:rsid w:val="00796BF9"/>
    <w:rsid w:val="007A0A12"/>
    <w:rsid w:val="007A14EE"/>
    <w:rsid w:val="007A189E"/>
    <w:rsid w:val="007A610C"/>
    <w:rsid w:val="007A69C7"/>
    <w:rsid w:val="007A7053"/>
    <w:rsid w:val="007B251D"/>
    <w:rsid w:val="007B370C"/>
    <w:rsid w:val="007B4523"/>
    <w:rsid w:val="007B541D"/>
    <w:rsid w:val="007B5F46"/>
    <w:rsid w:val="007B6B3F"/>
    <w:rsid w:val="007B77D1"/>
    <w:rsid w:val="007C00B8"/>
    <w:rsid w:val="007C0D09"/>
    <w:rsid w:val="007C35F0"/>
    <w:rsid w:val="007C361D"/>
    <w:rsid w:val="007D08E2"/>
    <w:rsid w:val="007D0B38"/>
    <w:rsid w:val="007D2293"/>
    <w:rsid w:val="007D2FD7"/>
    <w:rsid w:val="007D38AF"/>
    <w:rsid w:val="007D549B"/>
    <w:rsid w:val="007D5F48"/>
    <w:rsid w:val="007D719C"/>
    <w:rsid w:val="007E3FFA"/>
    <w:rsid w:val="007E4574"/>
    <w:rsid w:val="007E4F4F"/>
    <w:rsid w:val="007F1017"/>
    <w:rsid w:val="007F2307"/>
    <w:rsid w:val="007F2FEE"/>
    <w:rsid w:val="007F4A3F"/>
    <w:rsid w:val="007F54B1"/>
    <w:rsid w:val="00800534"/>
    <w:rsid w:val="00801322"/>
    <w:rsid w:val="00803A98"/>
    <w:rsid w:val="00804604"/>
    <w:rsid w:val="00804BCD"/>
    <w:rsid w:val="00804BED"/>
    <w:rsid w:val="00805142"/>
    <w:rsid w:val="00807A8B"/>
    <w:rsid w:val="00812149"/>
    <w:rsid w:val="00813B50"/>
    <w:rsid w:val="008166EF"/>
    <w:rsid w:val="0081684B"/>
    <w:rsid w:val="008264EB"/>
    <w:rsid w:val="0082770A"/>
    <w:rsid w:val="00831C98"/>
    <w:rsid w:val="0083270A"/>
    <w:rsid w:val="008338E7"/>
    <w:rsid w:val="00833B05"/>
    <w:rsid w:val="00833C42"/>
    <w:rsid w:val="00834A0F"/>
    <w:rsid w:val="00835517"/>
    <w:rsid w:val="00835CA4"/>
    <w:rsid w:val="008373B3"/>
    <w:rsid w:val="00840CA2"/>
    <w:rsid w:val="00845E5D"/>
    <w:rsid w:val="008475FE"/>
    <w:rsid w:val="00847D06"/>
    <w:rsid w:val="00851410"/>
    <w:rsid w:val="008533AD"/>
    <w:rsid w:val="00855FBA"/>
    <w:rsid w:val="00856E9A"/>
    <w:rsid w:val="00857213"/>
    <w:rsid w:val="008601D1"/>
    <w:rsid w:val="00860AC7"/>
    <w:rsid w:val="00860B0E"/>
    <w:rsid w:val="00862502"/>
    <w:rsid w:val="00863F98"/>
    <w:rsid w:val="00871162"/>
    <w:rsid w:val="00871D4E"/>
    <w:rsid w:val="00875AD3"/>
    <w:rsid w:val="00875B51"/>
    <w:rsid w:val="008761E4"/>
    <w:rsid w:val="00881BBE"/>
    <w:rsid w:val="00882262"/>
    <w:rsid w:val="0088239A"/>
    <w:rsid w:val="00882874"/>
    <w:rsid w:val="00883787"/>
    <w:rsid w:val="00890C5B"/>
    <w:rsid w:val="00891E54"/>
    <w:rsid w:val="00892E78"/>
    <w:rsid w:val="00894489"/>
    <w:rsid w:val="008963A5"/>
    <w:rsid w:val="008A24C4"/>
    <w:rsid w:val="008A3C3E"/>
    <w:rsid w:val="008A79DE"/>
    <w:rsid w:val="008B0EC1"/>
    <w:rsid w:val="008B56DB"/>
    <w:rsid w:val="008B69CA"/>
    <w:rsid w:val="008B7D7E"/>
    <w:rsid w:val="008C3B63"/>
    <w:rsid w:val="008C4335"/>
    <w:rsid w:val="008C7ECB"/>
    <w:rsid w:val="008D1ED1"/>
    <w:rsid w:val="008D2431"/>
    <w:rsid w:val="008D3C51"/>
    <w:rsid w:val="008D4D23"/>
    <w:rsid w:val="008E1B9E"/>
    <w:rsid w:val="008E7D25"/>
    <w:rsid w:val="008F0074"/>
    <w:rsid w:val="008F120A"/>
    <w:rsid w:val="008F435A"/>
    <w:rsid w:val="008F48EB"/>
    <w:rsid w:val="008F4F0B"/>
    <w:rsid w:val="008F6090"/>
    <w:rsid w:val="00901091"/>
    <w:rsid w:val="00901AD0"/>
    <w:rsid w:val="009041B4"/>
    <w:rsid w:val="00905121"/>
    <w:rsid w:val="00906033"/>
    <w:rsid w:val="009062A5"/>
    <w:rsid w:val="00911272"/>
    <w:rsid w:val="00912375"/>
    <w:rsid w:val="009138EA"/>
    <w:rsid w:val="00914418"/>
    <w:rsid w:val="009152C8"/>
    <w:rsid w:val="00920DE9"/>
    <w:rsid w:val="00921602"/>
    <w:rsid w:val="00924EBF"/>
    <w:rsid w:val="0092723A"/>
    <w:rsid w:val="00930B56"/>
    <w:rsid w:val="009314F9"/>
    <w:rsid w:val="00946CD4"/>
    <w:rsid w:val="00950F7D"/>
    <w:rsid w:val="009516F4"/>
    <w:rsid w:val="009547C4"/>
    <w:rsid w:val="00960AB7"/>
    <w:rsid w:val="009613B1"/>
    <w:rsid w:val="00962CB9"/>
    <w:rsid w:val="009639C7"/>
    <w:rsid w:val="00964312"/>
    <w:rsid w:val="0096485A"/>
    <w:rsid w:val="009649E9"/>
    <w:rsid w:val="00966146"/>
    <w:rsid w:val="00971559"/>
    <w:rsid w:val="00973B8F"/>
    <w:rsid w:val="009772F2"/>
    <w:rsid w:val="00982070"/>
    <w:rsid w:val="0098299B"/>
    <w:rsid w:val="00983E57"/>
    <w:rsid w:val="00990B75"/>
    <w:rsid w:val="009916D4"/>
    <w:rsid w:val="00996B1A"/>
    <w:rsid w:val="00996D37"/>
    <w:rsid w:val="009A2F8B"/>
    <w:rsid w:val="009A5E77"/>
    <w:rsid w:val="009A5F16"/>
    <w:rsid w:val="009B3E26"/>
    <w:rsid w:val="009B4E7B"/>
    <w:rsid w:val="009C317B"/>
    <w:rsid w:val="009C3CA1"/>
    <w:rsid w:val="009C5517"/>
    <w:rsid w:val="009C70C9"/>
    <w:rsid w:val="009C75F5"/>
    <w:rsid w:val="009D07E6"/>
    <w:rsid w:val="009D2C2E"/>
    <w:rsid w:val="009D5B91"/>
    <w:rsid w:val="009D75F8"/>
    <w:rsid w:val="009E04FF"/>
    <w:rsid w:val="009E276F"/>
    <w:rsid w:val="009E4C07"/>
    <w:rsid w:val="009E5057"/>
    <w:rsid w:val="009F32E2"/>
    <w:rsid w:val="009F6262"/>
    <w:rsid w:val="00A0029C"/>
    <w:rsid w:val="00A02451"/>
    <w:rsid w:val="00A02944"/>
    <w:rsid w:val="00A03D43"/>
    <w:rsid w:val="00A04380"/>
    <w:rsid w:val="00A04A16"/>
    <w:rsid w:val="00A05593"/>
    <w:rsid w:val="00A122FA"/>
    <w:rsid w:val="00A12D0E"/>
    <w:rsid w:val="00A12E77"/>
    <w:rsid w:val="00A13948"/>
    <w:rsid w:val="00A13DAA"/>
    <w:rsid w:val="00A168E4"/>
    <w:rsid w:val="00A16C8A"/>
    <w:rsid w:val="00A17758"/>
    <w:rsid w:val="00A17B23"/>
    <w:rsid w:val="00A22192"/>
    <w:rsid w:val="00A2612E"/>
    <w:rsid w:val="00A26B74"/>
    <w:rsid w:val="00A27AEC"/>
    <w:rsid w:val="00A30CA8"/>
    <w:rsid w:val="00A30FE6"/>
    <w:rsid w:val="00A352FF"/>
    <w:rsid w:val="00A35D16"/>
    <w:rsid w:val="00A43C59"/>
    <w:rsid w:val="00A45E00"/>
    <w:rsid w:val="00A50ECD"/>
    <w:rsid w:val="00A51450"/>
    <w:rsid w:val="00A52729"/>
    <w:rsid w:val="00A53037"/>
    <w:rsid w:val="00A53675"/>
    <w:rsid w:val="00A54A79"/>
    <w:rsid w:val="00A553AA"/>
    <w:rsid w:val="00A56B6A"/>
    <w:rsid w:val="00A578DC"/>
    <w:rsid w:val="00A62B92"/>
    <w:rsid w:val="00A63297"/>
    <w:rsid w:val="00A6725B"/>
    <w:rsid w:val="00A73431"/>
    <w:rsid w:val="00A76DE6"/>
    <w:rsid w:val="00A82D35"/>
    <w:rsid w:val="00A86E8B"/>
    <w:rsid w:val="00A8738F"/>
    <w:rsid w:val="00A93072"/>
    <w:rsid w:val="00A959D8"/>
    <w:rsid w:val="00AA37A8"/>
    <w:rsid w:val="00AB042A"/>
    <w:rsid w:val="00AB1FCB"/>
    <w:rsid w:val="00AB2BB6"/>
    <w:rsid w:val="00AB2D34"/>
    <w:rsid w:val="00AB3344"/>
    <w:rsid w:val="00AB3430"/>
    <w:rsid w:val="00AB4024"/>
    <w:rsid w:val="00AB4216"/>
    <w:rsid w:val="00AB7C33"/>
    <w:rsid w:val="00AB7CFA"/>
    <w:rsid w:val="00AC03A9"/>
    <w:rsid w:val="00AC10E5"/>
    <w:rsid w:val="00AC6791"/>
    <w:rsid w:val="00AC7D0B"/>
    <w:rsid w:val="00AD5746"/>
    <w:rsid w:val="00AD738C"/>
    <w:rsid w:val="00AE02C0"/>
    <w:rsid w:val="00AE2646"/>
    <w:rsid w:val="00AE3471"/>
    <w:rsid w:val="00AE3579"/>
    <w:rsid w:val="00AE35CA"/>
    <w:rsid w:val="00AE4776"/>
    <w:rsid w:val="00AE619A"/>
    <w:rsid w:val="00AE6C65"/>
    <w:rsid w:val="00AE7204"/>
    <w:rsid w:val="00AF0A43"/>
    <w:rsid w:val="00AF488C"/>
    <w:rsid w:val="00B0217F"/>
    <w:rsid w:val="00B034FB"/>
    <w:rsid w:val="00B040EC"/>
    <w:rsid w:val="00B04639"/>
    <w:rsid w:val="00B0526D"/>
    <w:rsid w:val="00B065EE"/>
    <w:rsid w:val="00B06CC3"/>
    <w:rsid w:val="00B0715E"/>
    <w:rsid w:val="00B10197"/>
    <w:rsid w:val="00B17535"/>
    <w:rsid w:val="00B178DA"/>
    <w:rsid w:val="00B21038"/>
    <w:rsid w:val="00B2197B"/>
    <w:rsid w:val="00B21A89"/>
    <w:rsid w:val="00B2246E"/>
    <w:rsid w:val="00B23852"/>
    <w:rsid w:val="00B25201"/>
    <w:rsid w:val="00B26709"/>
    <w:rsid w:val="00B27029"/>
    <w:rsid w:val="00B3023F"/>
    <w:rsid w:val="00B33ECE"/>
    <w:rsid w:val="00B41C72"/>
    <w:rsid w:val="00B42851"/>
    <w:rsid w:val="00B43576"/>
    <w:rsid w:val="00B437BE"/>
    <w:rsid w:val="00B47146"/>
    <w:rsid w:val="00B50A9C"/>
    <w:rsid w:val="00B50DB8"/>
    <w:rsid w:val="00B51769"/>
    <w:rsid w:val="00B52E88"/>
    <w:rsid w:val="00B53905"/>
    <w:rsid w:val="00B54B5B"/>
    <w:rsid w:val="00B5562E"/>
    <w:rsid w:val="00B56384"/>
    <w:rsid w:val="00B57000"/>
    <w:rsid w:val="00B600A8"/>
    <w:rsid w:val="00B60939"/>
    <w:rsid w:val="00B60AFD"/>
    <w:rsid w:val="00B62715"/>
    <w:rsid w:val="00B64E8B"/>
    <w:rsid w:val="00B65214"/>
    <w:rsid w:val="00B65856"/>
    <w:rsid w:val="00B6651F"/>
    <w:rsid w:val="00B72A9F"/>
    <w:rsid w:val="00B7658F"/>
    <w:rsid w:val="00B80691"/>
    <w:rsid w:val="00B818A4"/>
    <w:rsid w:val="00B81CF7"/>
    <w:rsid w:val="00B838DF"/>
    <w:rsid w:val="00B8649C"/>
    <w:rsid w:val="00B871F9"/>
    <w:rsid w:val="00B92647"/>
    <w:rsid w:val="00B92D0B"/>
    <w:rsid w:val="00B92FDB"/>
    <w:rsid w:val="00B94945"/>
    <w:rsid w:val="00B9501C"/>
    <w:rsid w:val="00B95A93"/>
    <w:rsid w:val="00BA009C"/>
    <w:rsid w:val="00BA2D69"/>
    <w:rsid w:val="00BA3154"/>
    <w:rsid w:val="00BA38E3"/>
    <w:rsid w:val="00BA7668"/>
    <w:rsid w:val="00BB552D"/>
    <w:rsid w:val="00BB6B34"/>
    <w:rsid w:val="00BB7405"/>
    <w:rsid w:val="00BB78DA"/>
    <w:rsid w:val="00BB7978"/>
    <w:rsid w:val="00BB7FE4"/>
    <w:rsid w:val="00BC0817"/>
    <w:rsid w:val="00BC25E2"/>
    <w:rsid w:val="00BC31C1"/>
    <w:rsid w:val="00BC377D"/>
    <w:rsid w:val="00BC4109"/>
    <w:rsid w:val="00BC7CEE"/>
    <w:rsid w:val="00BD1CD1"/>
    <w:rsid w:val="00BD5FBC"/>
    <w:rsid w:val="00BD6CF3"/>
    <w:rsid w:val="00BE2180"/>
    <w:rsid w:val="00BE2A6C"/>
    <w:rsid w:val="00BE4275"/>
    <w:rsid w:val="00BE7400"/>
    <w:rsid w:val="00BF184A"/>
    <w:rsid w:val="00BF2433"/>
    <w:rsid w:val="00BF2CFE"/>
    <w:rsid w:val="00BF5C2D"/>
    <w:rsid w:val="00BF61C9"/>
    <w:rsid w:val="00BF6870"/>
    <w:rsid w:val="00BF6F80"/>
    <w:rsid w:val="00C01539"/>
    <w:rsid w:val="00C071FD"/>
    <w:rsid w:val="00C124A6"/>
    <w:rsid w:val="00C12F95"/>
    <w:rsid w:val="00C13489"/>
    <w:rsid w:val="00C14191"/>
    <w:rsid w:val="00C25418"/>
    <w:rsid w:val="00C25A1C"/>
    <w:rsid w:val="00C25D9C"/>
    <w:rsid w:val="00C271CF"/>
    <w:rsid w:val="00C27700"/>
    <w:rsid w:val="00C27BB9"/>
    <w:rsid w:val="00C31382"/>
    <w:rsid w:val="00C31649"/>
    <w:rsid w:val="00C354B2"/>
    <w:rsid w:val="00C3554A"/>
    <w:rsid w:val="00C402BF"/>
    <w:rsid w:val="00C40385"/>
    <w:rsid w:val="00C42BFE"/>
    <w:rsid w:val="00C45661"/>
    <w:rsid w:val="00C477DD"/>
    <w:rsid w:val="00C47B29"/>
    <w:rsid w:val="00C50B97"/>
    <w:rsid w:val="00C51442"/>
    <w:rsid w:val="00C53AE8"/>
    <w:rsid w:val="00C6535E"/>
    <w:rsid w:val="00C65576"/>
    <w:rsid w:val="00C66165"/>
    <w:rsid w:val="00C71302"/>
    <w:rsid w:val="00C73E17"/>
    <w:rsid w:val="00C7404F"/>
    <w:rsid w:val="00C7479C"/>
    <w:rsid w:val="00C750C8"/>
    <w:rsid w:val="00C778D5"/>
    <w:rsid w:val="00C803CD"/>
    <w:rsid w:val="00C8213F"/>
    <w:rsid w:val="00C83692"/>
    <w:rsid w:val="00C83ACC"/>
    <w:rsid w:val="00C85AC5"/>
    <w:rsid w:val="00C86D4F"/>
    <w:rsid w:val="00C8797A"/>
    <w:rsid w:val="00C917A0"/>
    <w:rsid w:val="00C938CF"/>
    <w:rsid w:val="00C94464"/>
    <w:rsid w:val="00C946C2"/>
    <w:rsid w:val="00C9474A"/>
    <w:rsid w:val="00C94C75"/>
    <w:rsid w:val="00C94ED2"/>
    <w:rsid w:val="00C95D05"/>
    <w:rsid w:val="00C96E43"/>
    <w:rsid w:val="00C96EF7"/>
    <w:rsid w:val="00CA08B2"/>
    <w:rsid w:val="00CA14C2"/>
    <w:rsid w:val="00CA5245"/>
    <w:rsid w:val="00CA7B09"/>
    <w:rsid w:val="00CB05B5"/>
    <w:rsid w:val="00CB0C0E"/>
    <w:rsid w:val="00CB1D06"/>
    <w:rsid w:val="00CB20A3"/>
    <w:rsid w:val="00CB2CD1"/>
    <w:rsid w:val="00CB44A6"/>
    <w:rsid w:val="00CB5B1A"/>
    <w:rsid w:val="00CB66BF"/>
    <w:rsid w:val="00CB775D"/>
    <w:rsid w:val="00CC0388"/>
    <w:rsid w:val="00CC3CCD"/>
    <w:rsid w:val="00CC53FF"/>
    <w:rsid w:val="00CC5A07"/>
    <w:rsid w:val="00CC5CF8"/>
    <w:rsid w:val="00CD6ADC"/>
    <w:rsid w:val="00CD743C"/>
    <w:rsid w:val="00CE0707"/>
    <w:rsid w:val="00CE4876"/>
    <w:rsid w:val="00CE4E8E"/>
    <w:rsid w:val="00CE6274"/>
    <w:rsid w:val="00CF22F7"/>
    <w:rsid w:val="00CF3005"/>
    <w:rsid w:val="00CF456B"/>
    <w:rsid w:val="00CF5A22"/>
    <w:rsid w:val="00D01BEB"/>
    <w:rsid w:val="00D020EC"/>
    <w:rsid w:val="00D0262E"/>
    <w:rsid w:val="00D04957"/>
    <w:rsid w:val="00D04A26"/>
    <w:rsid w:val="00D060F9"/>
    <w:rsid w:val="00D110BD"/>
    <w:rsid w:val="00D145A3"/>
    <w:rsid w:val="00D14A66"/>
    <w:rsid w:val="00D15E27"/>
    <w:rsid w:val="00D1634D"/>
    <w:rsid w:val="00D17D6C"/>
    <w:rsid w:val="00D247C5"/>
    <w:rsid w:val="00D25A07"/>
    <w:rsid w:val="00D26097"/>
    <w:rsid w:val="00D31D01"/>
    <w:rsid w:val="00D35731"/>
    <w:rsid w:val="00D357FF"/>
    <w:rsid w:val="00D36DC3"/>
    <w:rsid w:val="00D42A5A"/>
    <w:rsid w:val="00D44D79"/>
    <w:rsid w:val="00D4599E"/>
    <w:rsid w:val="00D47F62"/>
    <w:rsid w:val="00D51CBC"/>
    <w:rsid w:val="00D5220D"/>
    <w:rsid w:val="00D543B3"/>
    <w:rsid w:val="00D554AE"/>
    <w:rsid w:val="00D61C18"/>
    <w:rsid w:val="00D653F4"/>
    <w:rsid w:val="00D65C92"/>
    <w:rsid w:val="00D70168"/>
    <w:rsid w:val="00D703B2"/>
    <w:rsid w:val="00D72EFE"/>
    <w:rsid w:val="00D73B9A"/>
    <w:rsid w:val="00D76A44"/>
    <w:rsid w:val="00D80E6B"/>
    <w:rsid w:val="00D83D69"/>
    <w:rsid w:val="00D86572"/>
    <w:rsid w:val="00D9006D"/>
    <w:rsid w:val="00D925D4"/>
    <w:rsid w:val="00D93753"/>
    <w:rsid w:val="00D94EE3"/>
    <w:rsid w:val="00D960D8"/>
    <w:rsid w:val="00D97E30"/>
    <w:rsid w:val="00DA07E5"/>
    <w:rsid w:val="00DA114B"/>
    <w:rsid w:val="00DA1663"/>
    <w:rsid w:val="00DA26F9"/>
    <w:rsid w:val="00DA3953"/>
    <w:rsid w:val="00DA5A1B"/>
    <w:rsid w:val="00DA77A5"/>
    <w:rsid w:val="00DB5D62"/>
    <w:rsid w:val="00DB6EA0"/>
    <w:rsid w:val="00DC34A8"/>
    <w:rsid w:val="00DC52D2"/>
    <w:rsid w:val="00DC5501"/>
    <w:rsid w:val="00DD0702"/>
    <w:rsid w:val="00DD157C"/>
    <w:rsid w:val="00DD3B9B"/>
    <w:rsid w:val="00DD3F28"/>
    <w:rsid w:val="00DD4537"/>
    <w:rsid w:val="00DD4E15"/>
    <w:rsid w:val="00DD632C"/>
    <w:rsid w:val="00DE2DBD"/>
    <w:rsid w:val="00DE3C36"/>
    <w:rsid w:val="00DE3F04"/>
    <w:rsid w:val="00DE4923"/>
    <w:rsid w:val="00DE4FCB"/>
    <w:rsid w:val="00DE7176"/>
    <w:rsid w:val="00DE74F7"/>
    <w:rsid w:val="00DF01EF"/>
    <w:rsid w:val="00DF01F1"/>
    <w:rsid w:val="00DF1291"/>
    <w:rsid w:val="00DF3818"/>
    <w:rsid w:val="00DF5D2B"/>
    <w:rsid w:val="00DF6165"/>
    <w:rsid w:val="00DF670C"/>
    <w:rsid w:val="00DF69FF"/>
    <w:rsid w:val="00E0092A"/>
    <w:rsid w:val="00E0163D"/>
    <w:rsid w:val="00E0245B"/>
    <w:rsid w:val="00E02556"/>
    <w:rsid w:val="00E026CD"/>
    <w:rsid w:val="00E02E45"/>
    <w:rsid w:val="00E04CA1"/>
    <w:rsid w:val="00E05697"/>
    <w:rsid w:val="00E05FC4"/>
    <w:rsid w:val="00E05FCB"/>
    <w:rsid w:val="00E06885"/>
    <w:rsid w:val="00E078B6"/>
    <w:rsid w:val="00E10149"/>
    <w:rsid w:val="00E10556"/>
    <w:rsid w:val="00E155B8"/>
    <w:rsid w:val="00E16372"/>
    <w:rsid w:val="00E20AD0"/>
    <w:rsid w:val="00E20ED6"/>
    <w:rsid w:val="00E21358"/>
    <w:rsid w:val="00E217FB"/>
    <w:rsid w:val="00E2249B"/>
    <w:rsid w:val="00E22A0D"/>
    <w:rsid w:val="00E24906"/>
    <w:rsid w:val="00E2658D"/>
    <w:rsid w:val="00E2682D"/>
    <w:rsid w:val="00E269B9"/>
    <w:rsid w:val="00E2771E"/>
    <w:rsid w:val="00E31740"/>
    <w:rsid w:val="00E33BAD"/>
    <w:rsid w:val="00E37569"/>
    <w:rsid w:val="00E40C74"/>
    <w:rsid w:val="00E41DBD"/>
    <w:rsid w:val="00E41DBF"/>
    <w:rsid w:val="00E41E30"/>
    <w:rsid w:val="00E43D70"/>
    <w:rsid w:val="00E47AC4"/>
    <w:rsid w:val="00E47B2C"/>
    <w:rsid w:val="00E504B6"/>
    <w:rsid w:val="00E51560"/>
    <w:rsid w:val="00E5368E"/>
    <w:rsid w:val="00E55424"/>
    <w:rsid w:val="00E55BB5"/>
    <w:rsid w:val="00E569B0"/>
    <w:rsid w:val="00E614ED"/>
    <w:rsid w:val="00E62D43"/>
    <w:rsid w:val="00E651C9"/>
    <w:rsid w:val="00E65E79"/>
    <w:rsid w:val="00E66A16"/>
    <w:rsid w:val="00E67416"/>
    <w:rsid w:val="00E718B6"/>
    <w:rsid w:val="00E73581"/>
    <w:rsid w:val="00E805D9"/>
    <w:rsid w:val="00E83312"/>
    <w:rsid w:val="00E83BDF"/>
    <w:rsid w:val="00E91F5A"/>
    <w:rsid w:val="00E9250A"/>
    <w:rsid w:val="00E9358E"/>
    <w:rsid w:val="00E94809"/>
    <w:rsid w:val="00E94D90"/>
    <w:rsid w:val="00E9515B"/>
    <w:rsid w:val="00E957B1"/>
    <w:rsid w:val="00E96790"/>
    <w:rsid w:val="00EA3864"/>
    <w:rsid w:val="00EA40C7"/>
    <w:rsid w:val="00EA6CBD"/>
    <w:rsid w:val="00EA7130"/>
    <w:rsid w:val="00EB15B6"/>
    <w:rsid w:val="00EB303D"/>
    <w:rsid w:val="00EB4916"/>
    <w:rsid w:val="00EB5E36"/>
    <w:rsid w:val="00EC00C9"/>
    <w:rsid w:val="00EC0A7E"/>
    <w:rsid w:val="00EC10BB"/>
    <w:rsid w:val="00EC4719"/>
    <w:rsid w:val="00EC4ACA"/>
    <w:rsid w:val="00EC6AB9"/>
    <w:rsid w:val="00EC75D3"/>
    <w:rsid w:val="00ED1322"/>
    <w:rsid w:val="00ED1B4F"/>
    <w:rsid w:val="00ED556F"/>
    <w:rsid w:val="00ED5B11"/>
    <w:rsid w:val="00ED6143"/>
    <w:rsid w:val="00EE07D3"/>
    <w:rsid w:val="00EE2197"/>
    <w:rsid w:val="00EE34EC"/>
    <w:rsid w:val="00EE50CD"/>
    <w:rsid w:val="00EE6757"/>
    <w:rsid w:val="00EE7EDF"/>
    <w:rsid w:val="00EF324F"/>
    <w:rsid w:val="00EF4444"/>
    <w:rsid w:val="00EF7B2F"/>
    <w:rsid w:val="00F001C8"/>
    <w:rsid w:val="00F00882"/>
    <w:rsid w:val="00F034FA"/>
    <w:rsid w:val="00F03793"/>
    <w:rsid w:val="00F037EF"/>
    <w:rsid w:val="00F03F8F"/>
    <w:rsid w:val="00F067A2"/>
    <w:rsid w:val="00F07952"/>
    <w:rsid w:val="00F1390D"/>
    <w:rsid w:val="00F15E12"/>
    <w:rsid w:val="00F1659F"/>
    <w:rsid w:val="00F20438"/>
    <w:rsid w:val="00F22A38"/>
    <w:rsid w:val="00F24837"/>
    <w:rsid w:val="00F2575F"/>
    <w:rsid w:val="00F30071"/>
    <w:rsid w:val="00F33DE9"/>
    <w:rsid w:val="00F341C0"/>
    <w:rsid w:val="00F3619A"/>
    <w:rsid w:val="00F36F84"/>
    <w:rsid w:val="00F3767F"/>
    <w:rsid w:val="00F37707"/>
    <w:rsid w:val="00F42689"/>
    <w:rsid w:val="00F46CB6"/>
    <w:rsid w:val="00F5552D"/>
    <w:rsid w:val="00F55E73"/>
    <w:rsid w:val="00F60092"/>
    <w:rsid w:val="00F620A7"/>
    <w:rsid w:val="00F62507"/>
    <w:rsid w:val="00F63355"/>
    <w:rsid w:val="00F65C2A"/>
    <w:rsid w:val="00F72622"/>
    <w:rsid w:val="00F73821"/>
    <w:rsid w:val="00F75C25"/>
    <w:rsid w:val="00F773CE"/>
    <w:rsid w:val="00F77DA2"/>
    <w:rsid w:val="00F80E5D"/>
    <w:rsid w:val="00F81F24"/>
    <w:rsid w:val="00F8335A"/>
    <w:rsid w:val="00F851CE"/>
    <w:rsid w:val="00F90BCA"/>
    <w:rsid w:val="00F93653"/>
    <w:rsid w:val="00F9454B"/>
    <w:rsid w:val="00F9575A"/>
    <w:rsid w:val="00F97A78"/>
    <w:rsid w:val="00FA24E7"/>
    <w:rsid w:val="00FA4EF5"/>
    <w:rsid w:val="00FA6F6B"/>
    <w:rsid w:val="00FA7483"/>
    <w:rsid w:val="00FB0682"/>
    <w:rsid w:val="00FB2B26"/>
    <w:rsid w:val="00FB2FCB"/>
    <w:rsid w:val="00FB36B3"/>
    <w:rsid w:val="00FB42F0"/>
    <w:rsid w:val="00FC1074"/>
    <w:rsid w:val="00FC1884"/>
    <w:rsid w:val="00FC29D1"/>
    <w:rsid w:val="00FC6076"/>
    <w:rsid w:val="00FD2100"/>
    <w:rsid w:val="00FD3F38"/>
    <w:rsid w:val="00FD446D"/>
    <w:rsid w:val="00FD4560"/>
    <w:rsid w:val="00FD6C1C"/>
    <w:rsid w:val="00FE0B50"/>
    <w:rsid w:val="00FE4723"/>
    <w:rsid w:val="00FE54A8"/>
    <w:rsid w:val="00FE59FE"/>
    <w:rsid w:val="00FF09E6"/>
    <w:rsid w:val="00FF1399"/>
    <w:rsid w:val="00FF3DCF"/>
    <w:rsid w:val="00FF560C"/>
    <w:rsid w:val="00FF5AA3"/>
    <w:rsid w:val="00FF78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qFormat="1"/>
    <w:lsdException w:name="annotation reference" w:uiPriority="99" w:qFormat="1"/>
    <w:lsdException w:name="List Bullet" w:uiPriority="4"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TableHeader"/>
    <w:link w:val="CaptionChar"/>
    <w:unhideWhenUsed/>
    <w:qFormat/>
    <w:rsid w:val="005C7F65"/>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5C7F65"/>
    <w:rPr>
      <w:rFonts w:ascii="Arial Narrow" w:hAnsi="Arial Narrow" w:cs="Arial"/>
      <w:b/>
      <w:bCs/>
      <w:snapToGrid w:val="0"/>
      <w:szCs w:val="18"/>
      <w:lang w:eastAsia="en-US"/>
    </w:rPr>
  </w:style>
  <w:style w:type="paragraph" w:styleId="Title">
    <w:name w:val="Title"/>
    <w:basedOn w:val="Heading1"/>
    <w:next w:val="Normal"/>
    <w:link w:val="TitleChar"/>
    <w:uiPriority w:val="7"/>
    <w:rsid w:val="001F6690"/>
    <w:rPr>
      <w:caps w:val="0"/>
      <w:sz w:val="28"/>
    </w:rPr>
  </w:style>
  <w:style w:type="character" w:customStyle="1" w:styleId="TitleChar">
    <w:name w:val="Title Char"/>
    <w:basedOn w:val="DefaultParagraphFont"/>
    <w:link w:val="Title"/>
    <w:uiPriority w:val="7"/>
    <w:rsid w:val="001F6690"/>
    <w:rPr>
      <w:rFonts w:ascii="Arial Bold" w:hAnsi="Arial Bold" w:cs="Arial"/>
      <w:b/>
      <w:snapToGrid w:val="0"/>
      <w:sz w:val="28"/>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F03F8F"/>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BB7FE4"/>
    <w:pPr>
      <w:tabs>
        <w:tab w:val="left" w:pos="44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12610"/>
    <w:pPr>
      <w:numPr>
        <w:numId w:val="6"/>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StyleArial11pt">
    <w:name w:val="Style Arial 11 pt"/>
    <w:basedOn w:val="DefaultParagraphFont"/>
    <w:rsid w:val="007B5F46"/>
    <w:rPr>
      <w:rFonts w:ascii="Arial" w:hAnsi="Arial"/>
      <w:sz w:val="22"/>
    </w:rPr>
  </w:style>
  <w:style w:type="paragraph" w:customStyle="1" w:styleId="TableNotes">
    <w:name w:val="TableNotes"/>
    <w:basedOn w:val="Normal"/>
    <w:next w:val="Normal"/>
    <w:uiPriority w:val="3"/>
    <w:qFormat/>
    <w:rsid w:val="00EE7EDF"/>
    <w:pPr>
      <w:widowControl/>
      <w:tabs>
        <w:tab w:val="left" w:pos="1134"/>
      </w:tabs>
      <w:ind w:left="1134" w:hanging="1134"/>
      <w:jc w:val="left"/>
    </w:pPr>
    <w:rPr>
      <w:rFonts w:ascii="Calibri" w:eastAsiaTheme="minorEastAsia" w:hAnsi="Calibri" w:cstheme="minorBidi"/>
      <w:snapToGrid/>
      <w:sz w:val="18"/>
      <w:szCs w:val="18"/>
    </w:rPr>
  </w:style>
  <w:style w:type="character" w:customStyle="1" w:styleId="TableTextChar0">
    <w:name w:val="TableText Char"/>
    <w:basedOn w:val="DefaultParagraphFont"/>
    <w:link w:val="TableText0"/>
    <w:uiPriority w:val="3"/>
    <w:rsid w:val="00EE7EDF"/>
    <w:rPr>
      <w:rFonts w:ascii="Arial Narrow" w:hAnsi="Arial Narrow" w:cs="Arial Narrow"/>
      <w:lang w:eastAsia="en-US"/>
    </w:rPr>
  </w:style>
  <w:style w:type="paragraph" w:styleId="FootnoteText">
    <w:name w:val="footnote text"/>
    <w:basedOn w:val="Normal"/>
    <w:link w:val="FootnoteTextChar"/>
    <w:semiHidden/>
    <w:unhideWhenUsed/>
    <w:rsid w:val="00B0715E"/>
    <w:rPr>
      <w:sz w:val="20"/>
    </w:rPr>
  </w:style>
  <w:style w:type="character" w:customStyle="1" w:styleId="FootnoteTextChar">
    <w:name w:val="Footnote Text Char"/>
    <w:basedOn w:val="DefaultParagraphFont"/>
    <w:link w:val="FootnoteText"/>
    <w:semiHidden/>
    <w:rsid w:val="00B0715E"/>
    <w:rPr>
      <w:rFonts w:ascii="Arial" w:hAnsi="Arial" w:cs="Arial"/>
      <w:snapToGrid w:val="0"/>
      <w:lang w:eastAsia="en-US"/>
    </w:rPr>
  </w:style>
  <w:style w:type="character" w:styleId="FootnoteReference">
    <w:name w:val="footnote reference"/>
    <w:basedOn w:val="DefaultParagraphFont"/>
    <w:unhideWhenUsed/>
    <w:rsid w:val="00B0715E"/>
    <w:rPr>
      <w:vertAlign w:val="superscript"/>
    </w:rPr>
  </w:style>
  <w:style w:type="paragraph" w:customStyle="1" w:styleId="TableHeadingRow">
    <w:name w:val="TableHeadingRow"/>
    <w:basedOn w:val="Normal"/>
    <w:uiPriority w:val="3"/>
    <w:qFormat/>
    <w:rsid w:val="001628C3"/>
    <w:pPr>
      <w:keepNext/>
      <w:widowControl/>
      <w:spacing w:before="20" w:after="20"/>
      <w:jc w:val="left"/>
    </w:pPr>
    <w:rPr>
      <w:rFonts w:ascii="Calibri" w:hAnsi="Calibri" w:cstheme="minorHAnsi"/>
      <w:b/>
      <w:snapToGrid/>
      <w:sz w:val="20"/>
    </w:rPr>
  </w:style>
  <w:style w:type="paragraph" w:customStyle="1" w:styleId="Tablename0">
    <w:name w:val="Table name"/>
    <w:basedOn w:val="Normal"/>
    <w:link w:val="TablenameChar"/>
    <w:qFormat/>
    <w:rsid w:val="00B65856"/>
    <w:pPr>
      <w:keepNext/>
    </w:pPr>
    <w:rPr>
      <w:rFonts w:cs="Times New Roman"/>
      <w:b/>
      <w:sz w:val="20"/>
      <w:lang w:val="x-none"/>
    </w:rPr>
  </w:style>
  <w:style w:type="character" w:customStyle="1" w:styleId="TablenameChar">
    <w:name w:val="Table name Char"/>
    <w:link w:val="Tablename0"/>
    <w:rsid w:val="00B65856"/>
    <w:rPr>
      <w:rFonts w:ascii="Arial" w:hAnsi="Arial"/>
      <w:b/>
      <w:snapToGrid w:val="0"/>
      <w:lang w:val="x-none" w:eastAsia="en-US"/>
    </w:rPr>
  </w:style>
  <w:style w:type="paragraph" w:styleId="ListBullet">
    <w:name w:val="List Bullet"/>
    <w:basedOn w:val="Normal"/>
    <w:uiPriority w:val="4"/>
    <w:qFormat/>
    <w:rsid w:val="00094D26"/>
    <w:pPr>
      <w:widowControl/>
      <w:numPr>
        <w:numId w:val="13"/>
      </w:numPr>
      <w:spacing w:after="240" w:line="288" w:lineRule="auto"/>
      <w:contextualSpacing/>
    </w:pPr>
    <w:rPr>
      <w:rFonts w:ascii="Calibri" w:eastAsiaTheme="minorEastAsia" w:hAnsi="Calibri" w:cstheme="minorBidi"/>
      <w:snapToGrid/>
      <w:szCs w:val="22"/>
      <w:lang w:val="en-US" w:eastAsia="zh-CN"/>
    </w:rPr>
  </w:style>
  <w:style w:type="paragraph" w:customStyle="1" w:styleId="EndNoteBibliographyTitle">
    <w:name w:val="EndNote Bibliography Title"/>
    <w:basedOn w:val="Normal"/>
    <w:link w:val="EndNoteBibliographyTitleChar"/>
    <w:rsid w:val="00DD632C"/>
    <w:pPr>
      <w:jc w:val="center"/>
    </w:pPr>
    <w:rPr>
      <w:rFonts w:ascii="Arial Bold" w:hAnsi="Arial Bold"/>
      <w:noProof/>
      <w:lang w:val="en-US"/>
    </w:rPr>
  </w:style>
  <w:style w:type="character" w:customStyle="1" w:styleId="EndNoteBibliographyTitleChar">
    <w:name w:val="EndNote Bibliography Title Char"/>
    <w:basedOn w:val="DefaultParagraphFont"/>
    <w:link w:val="EndNoteBibliographyTitle"/>
    <w:rsid w:val="00DD632C"/>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DD632C"/>
    <w:pPr>
      <w:jc w:val="right"/>
    </w:pPr>
    <w:rPr>
      <w:rFonts w:ascii="Arial Bold" w:hAnsi="Arial Bold"/>
      <w:noProof/>
      <w:lang w:val="en-US"/>
    </w:rPr>
  </w:style>
  <w:style w:type="character" w:customStyle="1" w:styleId="EndNoteBibliographyChar">
    <w:name w:val="EndNote Bibliography Char"/>
    <w:basedOn w:val="DefaultParagraphFont"/>
    <w:link w:val="EndNoteBibliography"/>
    <w:rsid w:val="00DD632C"/>
    <w:rPr>
      <w:rFonts w:ascii="Arial Bold" w:hAnsi="Arial Bold" w:cs="Arial"/>
      <w:noProof/>
      <w:snapToGrid w:val="0"/>
      <w:sz w:val="22"/>
      <w:lang w:val="en-US" w:eastAsia="en-US"/>
    </w:rPr>
  </w:style>
  <w:style w:type="paragraph" w:customStyle="1" w:styleId="Default">
    <w:name w:val="Default"/>
    <w:rsid w:val="00E94D90"/>
    <w:pPr>
      <w:autoSpaceDE w:val="0"/>
      <w:autoSpaceDN w:val="0"/>
      <w:adjustRightInd w:val="0"/>
    </w:pPr>
    <w:rPr>
      <w:rFonts w:ascii="Arial" w:hAnsi="Arial" w:cs="Arial"/>
      <w:color w:val="000000"/>
      <w:sz w:val="24"/>
      <w:szCs w:val="24"/>
    </w:rPr>
  </w:style>
  <w:style w:type="character" w:customStyle="1" w:styleId="TabletextChar1">
    <w:name w:val="Table text Char1"/>
    <w:rsid w:val="00E94D90"/>
    <w:rPr>
      <w:rFonts w:ascii="Arial" w:eastAsia="Times New Roman" w:hAnsi="Arial" w:cs="Times New Roman"/>
      <w:sz w:val="20"/>
      <w:szCs w:val="20"/>
      <w:lang w:eastAsia="en-US"/>
    </w:rPr>
  </w:style>
  <w:style w:type="paragraph" w:customStyle="1" w:styleId="Tablenote">
    <w:name w:val="Table note"/>
    <w:basedOn w:val="Normal"/>
    <w:link w:val="TablenoteChar"/>
    <w:qFormat/>
    <w:rsid w:val="00E94D90"/>
    <w:pPr>
      <w:widowControl/>
      <w:spacing w:after="240"/>
      <w:contextualSpacing/>
    </w:pPr>
    <w:rPr>
      <w:rFonts w:ascii="Arial Narrow" w:eastAsiaTheme="minorEastAsia" w:hAnsi="Arial Narrow" w:cs="Calibri"/>
      <w:snapToGrid/>
      <w:color w:val="000000"/>
      <w:sz w:val="20"/>
      <w:szCs w:val="24"/>
    </w:rPr>
  </w:style>
  <w:style w:type="character" w:customStyle="1" w:styleId="TablenoteChar">
    <w:name w:val="Table note Char"/>
    <w:basedOn w:val="DefaultParagraphFont"/>
    <w:link w:val="Tablenote"/>
    <w:rsid w:val="00E94D90"/>
    <w:rPr>
      <w:rFonts w:ascii="Arial Narrow" w:eastAsiaTheme="minorEastAsia" w:hAnsi="Arial Narrow" w:cs="Calibri"/>
      <w:color w:val="000000"/>
      <w:szCs w:val="24"/>
      <w:lang w:eastAsia="en-US"/>
    </w:rPr>
  </w:style>
  <w:style w:type="paragraph" w:customStyle="1" w:styleId="TableText1">
    <w:name w:val="Table Text"/>
    <w:basedOn w:val="Normal"/>
    <w:link w:val="TableTextChar2"/>
    <w:qFormat/>
    <w:rsid w:val="00E94D90"/>
    <w:pPr>
      <w:widowControl/>
      <w:jc w:val="left"/>
    </w:pPr>
    <w:rPr>
      <w:rFonts w:cs="Times New Roman"/>
      <w:snapToGrid/>
      <w:sz w:val="20"/>
      <w:szCs w:val="22"/>
      <w:lang w:eastAsia="en-AU"/>
    </w:rPr>
  </w:style>
  <w:style w:type="character" w:customStyle="1" w:styleId="TableTextChar2">
    <w:name w:val="Table Text Char"/>
    <w:link w:val="TableText1"/>
    <w:rsid w:val="00E94D90"/>
    <w:rPr>
      <w:rFonts w:ascii="Arial" w:hAnsi="Arial"/>
      <w:szCs w:val="22"/>
    </w:rPr>
  </w:style>
  <w:style w:type="character" w:customStyle="1" w:styleId="ListParagraphChar">
    <w:name w:val="List Paragraph Char"/>
    <w:link w:val="ListParagraph"/>
    <w:uiPriority w:val="72"/>
    <w:locked/>
    <w:rsid w:val="00E94D90"/>
    <w:rPr>
      <w:rFonts w:ascii="Arial" w:hAnsi="Arial" w:cs="Arial"/>
      <w:snapToGrid w:val="0"/>
      <w:sz w:val="22"/>
      <w:lang w:eastAsia="en-US"/>
    </w:rPr>
  </w:style>
  <w:style w:type="paragraph" w:customStyle="1" w:styleId="TableFootnote">
    <w:name w:val="Table Footnote"/>
    <w:basedOn w:val="TableText1"/>
    <w:qFormat/>
    <w:rsid w:val="00E94D90"/>
    <w:rPr>
      <w:rFonts w:ascii="Arial Narrow" w:hAnsi="Arial Narrow" w:cs="Arial"/>
      <w:snapToGrid w:val="0"/>
      <w:sz w:val="18"/>
      <w:szCs w:val="20"/>
      <w:lang w:eastAsia="en-US"/>
    </w:rPr>
  </w:style>
  <w:style w:type="paragraph" w:customStyle="1" w:styleId="TableText1left">
    <w:name w:val="Table Text 1 (left)"/>
    <w:basedOn w:val="Normal"/>
    <w:link w:val="TableText1leftChar"/>
    <w:qFormat/>
    <w:rsid w:val="00DE7176"/>
    <w:pPr>
      <w:widowControl/>
      <w:spacing w:before="40" w:after="40"/>
      <w:jc w:val="left"/>
    </w:pPr>
    <w:rPr>
      <w:rFonts w:asciiTheme="minorHAnsi" w:eastAsia="SimSun" w:hAnsiTheme="minorHAnsi" w:cstheme="minorHAnsi"/>
      <w:snapToGrid/>
      <w:sz w:val="20"/>
      <w:lang w:val="en-GB"/>
    </w:rPr>
  </w:style>
  <w:style w:type="character" w:customStyle="1" w:styleId="TableText1leftChar">
    <w:name w:val="Table Text 1 (left) Char"/>
    <w:link w:val="TableText1left"/>
    <w:locked/>
    <w:rsid w:val="00DE7176"/>
    <w:rPr>
      <w:rFonts w:asciiTheme="minorHAnsi" w:eastAsia="SimSun" w:hAnsiTheme="minorHAnsi" w:cstheme="minorHAnsi"/>
      <w:lang w:val="en-GB"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B370C"/>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qFormat="1"/>
    <w:lsdException w:name="annotation reference" w:uiPriority="99" w:qFormat="1"/>
    <w:lsdException w:name="List Bullet" w:uiPriority="4"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9"/>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TableHeader"/>
    <w:link w:val="CaptionChar"/>
    <w:unhideWhenUsed/>
    <w:qFormat/>
    <w:rsid w:val="005C7F65"/>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rsid w:val="005C7F65"/>
    <w:rPr>
      <w:rFonts w:ascii="Arial Narrow" w:hAnsi="Arial Narrow" w:cs="Arial"/>
      <w:b/>
      <w:bCs/>
      <w:snapToGrid w:val="0"/>
      <w:szCs w:val="18"/>
      <w:lang w:eastAsia="en-US"/>
    </w:rPr>
  </w:style>
  <w:style w:type="paragraph" w:styleId="Title">
    <w:name w:val="Title"/>
    <w:basedOn w:val="Heading1"/>
    <w:next w:val="Normal"/>
    <w:link w:val="TitleChar"/>
    <w:uiPriority w:val="7"/>
    <w:rsid w:val="001F6690"/>
    <w:rPr>
      <w:caps w:val="0"/>
      <w:sz w:val="28"/>
    </w:rPr>
  </w:style>
  <w:style w:type="character" w:customStyle="1" w:styleId="TitleChar">
    <w:name w:val="Title Char"/>
    <w:basedOn w:val="DefaultParagraphFont"/>
    <w:link w:val="Title"/>
    <w:uiPriority w:val="7"/>
    <w:rsid w:val="001F6690"/>
    <w:rPr>
      <w:rFonts w:ascii="Arial Bold" w:hAnsi="Arial Bold" w:cs="Arial"/>
      <w:b/>
      <w:snapToGrid w:val="0"/>
      <w:sz w:val="28"/>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F03F8F"/>
    <w:pPr>
      <w:tabs>
        <w:tab w:val="left" w:pos="880"/>
        <w:tab w:val="right" w:leader="dot" w:pos="9016"/>
      </w:tabs>
      <w:spacing w:before="120"/>
      <w:ind w:left="220"/>
    </w:pPr>
    <w:rPr>
      <w:iCs/>
      <w:sz w:val="20"/>
    </w:rPr>
  </w:style>
  <w:style w:type="paragraph" w:styleId="TOC1">
    <w:name w:val="toc 1"/>
    <w:basedOn w:val="Normal"/>
    <w:next w:val="Normal"/>
    <w:autoRedefine/>
    <w:uiPriority w:val="39"/>
    <w:rsid w:val="00BB7FE4"/>
    <w:pPr>
      <w:tabs>
        <w:tab w:val="left" w:pos="440"/>
        <w:tab w:val="right" w:leader="dot" w:pos="9016"/>
      </w:tabs>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12610"/>
    <w:pPr>
      <w:numPr>
        <w:numId w:val="6"/>
      </w:numPr>
      <w:outlineLvl w:val="0"/>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StyleArial11pt">
    <w:name w:val="Style Arial 11 pt"/>
    <w:basedOn w:val="DefaultParagraphFont"/>
    <w:rsid w:val="007B5F46"/>
    <w:rPr>
      <w:rFonts w:ascii="Arial" w:hAnsi="Arial"/>
      <w:sz w:val="22"/>
    </w:rPr>
  </w:style>
  <w:style w:type="paragraph" w:customStyle="1" w:styleId="TableNotes">
    <w:name w:val="TableNotes"/>
    <w:basedOn w:val="Normal"/>
    <w:next w:val="Normal"/>
    <w:uiPriority w:val="3"/>
    <w:qFormat/>
    <w:rsid w:val="00EE7EDF"/>
    <w:pPr>
      <w:widowControl/>
      <w:tabs>
        <w:tab w:val="left" w:pos="1134"/>
      </w:tabs>
      <w:ind w:left="1134" w:hanging="1134"/>
      <w:jc w:val="left"/>
    </w:pPr>
    <w:rPr>
      <w:rFonts w:ascii="Calibri" w:eastAsiaTheme="minorEastAsia" w:hAnsi="Calibri" w:cstheme="minorBidi"/>
      <w:snapToGrid/>
      <w:sz w:val="18"/>
      <w:szCs w:val="18"/>
    </w:rPr>
  </w:style>
  <w:style w:type="character" w:customStyle="1" w:styleId="TableTextChar0">
    <w:name w:val="TableText Char"/>
    <w:basedOn w:val="DefaultParagraphFont"/>
    <w:link w:val="TableText0"/>
    <w:uiPriority w:val="3"/>
    <w:rsid w:val="00EE7EDF"/>
    <w:rPr>
      <w:rFonts w:ascii="Arial Narrow" w:hAnsi="Arial Narrow" w:cs="Arial Narrow"/>
      <w:lang w:eastAsia="en-US"/>
    </w:rPr>
  </w:style>
  <w:style w:type="paragraph" w:styleId="FootnoteText">
    <w:name w:val="footnote text"/>
    <w:basedOn w:val="Normal"/>
    <w:link w:val="FootnoteTextChar"/>
    <w:semiHidden/>
    <w:unhideWhenUsed/>
    <w:rsid w:val="00B0715E"/>
    <w:rPr>
      <w:sz w:val="20"/>
    </w:rPr>
  </w:style>
  <w:style w:type="character" w:customStyle="1" w:styleId="FootnoteTextChar">
    <w:name w:val="Footnote Text Char"/>
    <w:basedOn w:val="DefaultParagraphFont"/>
    <w:link w:val="FootnoteText"/>
    <w:semiHidden/>
    <w:rsid w:val="00B0715E"/>
    <w:rPr>
      <w:rFonts w:ascii="Arial" w:hAnsi="Arial" w:cs="Arial"/>
      <w:snapToGrid w:val="0"/>
      <w:lang w:eastAsia="en-US"/>
    </w:rPr>
  </w:style>
  <w:style w:type="character" w:styleId="FootnoteReference">
    <w:name w:val="footnote reference"/>
    <w:basedOn w:val="DefaultParagraphFont"/>
    <w:unhideWhenUsed/>
    <w:rsid w:val="00B0715E"/>
    <w:rPr>
      <w:vertAlign w:val="superscript"/>
    </w:rPr>
  </w:style>
  <w:style w:type="paragraph" w:customStyle="1" w:styleId="TableHeadingRow">
    <w:name w:val="TableHeadingRow"/>
    <w:basedOn w:val="Normal"/>
    <w:uiPriority w:val="3"/>
    <w:qFormat/>
    <w:rsid w:val="001628C3"/>
    <w:pPr>
      <w:keepNext/>
      <w:widowControl/>
      <w:spacing w:before="20" w:after="20"/>
      <w:jc w:val="left"/>
    </w:pPr>
    <w:rPr>
      <w:rFonts w:ascii="Calibri" w:hAnsi="Calibri" w:cstheme="minorHAnsi"/>
      <w:b/>
      <w:snapToGrid/>
      <w:sz w:val="20"/>
    </w:rPr>
  </w:style>
  <w:style w:type="paragraph" w:customStyle="1" w:styleId="Tablename0">
    <w:name w:val="Table name"/>
    <w:basedOn w:val="Normal"/>
    <w:link w:val="TablenameChar"/>
    <w:qFormat/>
    <w:rsid w:val="00B65856"/>
    <w:pPr>
      <w:keepNext/>
    </w:pPr>
    <w:rPr>
      <w:rFonts w:cs="Times New Roman"/>
      <w:b/>
      <w:sz w:val="20"/>
      <w:lang w:val="x-none"/>
    </w:rPr>
  </w:style>
  <w:style w:type="character" w:customStyle="1" w:styleId="TablenameChar">
    <w:name w:val="Table name Char"/>
    <w:link w:val="Tablename0"/>
    <w:rsid w:val="00B65856"/>
    <w:rPr>
      <w:rFonts w:ascii="Arial" w:hAnsi="Arial"/>
      <w:b/>
      <w:snapToGrid w:val="0"/>
      <w:lang w:val="x-none" w:eastAsia="en-US"/>
    </w:rPr>
  </w:style>
  <w:style w:type="paragraph" w:styleId="ListBullet">
    <w:name w:val="List Bullet"/>
    <w:basedOn w:val="Normal"/>
    <w:uiPriority w:val="4"/>
    <w:qFormat/>
    <w:rsid w:val="00094D26"/>
    <w:pPr>
      <w:widowControl/>
      <w:numPr>
        <w:numId w:val="13"/>
      </w:numPr>
      <w:spacing w:after="240" w:line="288" w:lineRule="auto"/>
      <w:contextualSpacing/>
    </w:pPr>
    <w:rPr>
      <w:rFonts w:ascii="Calibri" w:eastAsiaTheme="minorEastAsia" w:hAnsi="Calibri" w:cstheme="minorBidi"/>
      <w:snapToGrid/>
      <w:szCs w:val="22"/>
      <w:lang w:val="en-US" w:eastAsia="zh-CN"/>
    </w:rPr>
  </w:style>
  <w:style w:type="paragraph" w:customStyle="1" w:styleId="EndNoteBibliographyTitle">
    <w:name w:val="EndNote Bibliography Title"/>
    <w:basedOn w:val="Normal"/>
    <w:link w:val="EndNoteBibliographyTitleChar"/>
    <w:rsid w:val="00DD632C"/>
    <w:pPr>
      <w:jc w:val="center"/>
    </w:pPr>
    <w:rPr>
      <w:rFonts w:ascii="Arial Bold" w:hAnsi="Arial Bold"/>
      <w:noProof/>
      <w:lang w:val="en-US"/>
    </w:rPr>
  </w:style>
  <w:style w:type="character" w:customStyle="1" w:styleId="EndNoteBibliographyTitleChar">
    <w:name w:val="EndNote Bibliography Title Char"/>
    <w:basedOn w:val="DefaultParagraphFont"/>
    <w:link w:val="EndNoteBibliographyTitle"/>
    <w:rsid w:val="00DD632C"/>
    <w:rPr>
      <w:rFonts w:ascii="Arial Bold" w:hAnsi="Arial Bold" w:cs="Arial"/>
      <w:noProof/>
      <w:snapToGrid w:val="0"/>
      <w:sz w:val="22"/>
      <w:lang w:val="en-US" w:eastAsia="en-US"/>
    </w:rPr>
  </w:style>
  <w:style w:type="paragraph" w:customStyle="1" w:styleId="EndNoteBibliography">
    <w:name w:val="EndNote Bibliography"/>
    <w:basedOn w:val="Normal"/>
    <w:link w:val="EndNoteBibliographyChar"/>
    <w:rsid w:val="00DD632C"/>
    <w:pPr>
      <w:jc w:val="right"/>
    </w:pPr>
    <w:rPr>
      <w:rFonts w:ascii="Arial Bold" w:hAnsi="Arial Bold"/>
      <w:noProof/>
      <w:lang w:val="en-US"/>
    </w:rPr>
  </w:style>
  <w:style w:type="character" w:customStyle="1" w:styleId="EndNoteBibliographyChar">
    <w:name w:val="EndNote Bibliography Char"/>
    <w:basedOn w:val="DefaultParagraphFont"/>
    <w:link w:val="EndNoteBibliography"/>
    <w:rsid w:val="00DD632C"/>
    <w:rPr>
      <w:rFonts w:ascii="Arial Bold" w:hAnsi="Arial Bold" w:cs="Arial"/>
      <w:noProof/>
      <w:snapToGrid w:val="0"/>
      <w:sz w:val="22"/>
      <w:lang w:val="en-US" w:eastAsia="en-US"/>
    </w:rPr>
  </w:style>
  <w:style w:type="paragraph" w:customStyle="1" w:styleId="Default">
    <w:name w:val="Default"/>
    <w:rsid w:val="00E94D90"/>
    <w:pPr>
      <w:autoSpaceDE w:val="0"/>
      <w:autoSpaceDN w:val="0"/>
      <w:adjustRightInd w:val="0"/>
    </w:pPr>
    <w:rPr>
      <w:rFonts w:ascii="Arial" w:hAnsi="Arial" w:cs="Arial"/>
      <w:color w:val="000000"/>
      <w:sz w:val="24"/>
      <w:szCs w:val="24"/>
    </w:rPr>
  </w:style>
  <w:style w:type="character" w:customStyle="1" w:styleId="TabletextChar1">
    <w:name w:val="Table text Char1"/>
    <w:rsid w:val="00E94D90"/>
    <w:rPr>
      <w:rFonts w:ascii="Arial" w:eastAsia="Times New Roman" w:hAnsi="Arial" w:cs="Times New Roman"/>
      <w:sz w:val="20"/>
      <w:szCs w:val="20"/>
      <w:lang w:eastAsia="en-US"/>
    </w:rPr>
  </w:style>
  <w:style w:type="paragraph" w:customStyle="1" w:styleId="Tablenote">
    <w:name w:val="Table note"/>
    <w:basedOn w:val="Normal"/>
    <w:link w:val="TablenoteChar"/>
    <w:qFormat/>
    <w:rsid w:val="00E94D90"/>
    <w:pPr>
      <w:widowControl/>
      <w:spacing w:after="240"/>
      <w:contextualSpacing/>
    </w:pPr>
    <w:rPr>
      <w:rFonts w:ascii="Arial Narrow" w:eastAsiaTheme="minorEastAsia" w:hAnsi="Arial Narrow" w:cs="Calibri"/>
      <w:snapToGrid/>
      <w:color w:val="000000"/>
      <w:sz w:val="20"/>
      <w:szCs w:val="24"/>
    </w:rPr>
  </w:style>
  <w:style w:type="character" w:customStyle="1" w:styleId="TablenoteChar">
    <w:name w:val="Table note Char"/>
    <w:basedOn w:val="DefaultParagraphFont"/>
    <w:link w:val="Tablenote"/>
    <w:rsid w:val="00E94D90"/>
    <w:rPr>
      <w:rFonts w:ascii="Arial Narrow" w:eastAsiaTheme="minorEastAsia" w:hAnsi="Arial Narrow" w:cs="Calibri"/>
      <w:color w:val="000000"/>
      <w:szCs w:val="24"/>
      <w:lang w:eastAsia="en-US"/>
    </w:rPr>
  </w:style>
  <w:style w:type="paragraph" w:customStyle="1" w:styleId="TableText1">
    <w:name w:val="Table Text"/>
    <w:basedOn w:val="Normal"/>
    <w:link w:val="TableTextChar2"/>
    <w:qFormat/>
    <w:rsid w:val="00E94D90"/>
    <w:pPr>
      <w:widowControl/>
      <w:jc w:val="left"/>
    </w:pPr>
    <w:rPr>
      <w:rFonts w:cs="Times New Roman"/>
      <w:snapToGrid/>
      <w:sz w:val="20"/>
      <w:szCs w:val="22"/>
      <w:lang w:eastAsia="en-AU"/>
    </w:rPr>
  </w:style>
  <w:style w:type="character" w:customStyle="1" w:styleId="TableTextChar2">
    <w:name w:val="Table Text Char"/>
    <w:link w:val="TableText1"/>
    <w:rsid w:val="00E94D90"/>
    <w:rPr>
      <w:rFonts w:ascii="Arial" w:hAnsi="Arial"/>
      <w:szCs w:val="22"/>
    </w:rPr>
  </w:style>
  <w:style w:type="character" w:customStyle="1" w:styleId="ListParagraphChar">
    <w:name w:val="List Paragraph Char"/>
    <w:link w:val="ListParagraph"/>
    <w:uiPriority w:val="72"/>
    <w:locked/>
    <w:rsid w:val="00E94D90"/>
    <w:rPr>
      <w:rFonts w:ascii="Arial" w:hAnsi="Arial" w:cs="Arial"/>
      <w:snapToGrid w:val="0"/>
      <w:sz w:val="22"/>
      <w:lang w:eastAsia="en-US"/>
    </w:rPr>
  </w:style>
  <w:style w:type="paragraph" w:customStyle="1" w:styleId="TableFootnote">
    <w:name w:val="Table Footnote"/>
    <w:basedOn w:val="TableText1"/>
    <w:qFormat/>
    <w:rsid w:val="00E94D90"/>
    <w:rPr>
      <w:rFonts w:ascii="Arial Narrow" w:hAnsi="Arial Narrow" w:cs="Arial"/>
      <w:snapToGrid w:val="0"/>
      <w:sz w:val="18"/>
      <w:szCs w:val="20"/>
      <w:lang w:eastAsia="en-US"/>
    </w:rPr>
  </w:style>
  <w:style w:type="paragraph" w:customStyle="1" w:styleId="TableText1left">
    <w:name w:val="Table Text 1 (left)"/>
    <w:basedOn w:val="Normal"/>
    <w:link w:val="TableText1leftChar"/>
    <w:qFormat/>
    <w:rsid w:val="00DE7176"/>
    <w:pPr>
      <w:widowControl/>
      <w:spacing w:before="40" w:after="40"/>
      <w:jc w:val="left"/>
    </w:pPr>
    <w:rPr>
      <w:rFonts w:asciiTheme="minorHAnsi" w:eastAsia="SimSun" w:hAnsiTheme="minorHAnsi" w:cstheme="minorHAnsi"/>
      <w:snapToGrid/>
      <w:sz w:val="20"/>
      <w:lang w:val="en-GB"/>
    </w:rPr>
  </w:style>
  <w:style w:type="character" w:customStyle="1" w:styleId="TableText1leftChar">
    <w:name w:val="Table Text 1 (left) Char"/>
    <w:link w:val="TableText1left"/>
    <w:locked/>
    <w:rsid w:val="00DE7176"/>
    <w:rPr>
      <w:rFonts w:asciiTheme="minorHAnsi" w:eastAsia="SimSun" w:hAnsiTheme="minorHAnsi" w:cstheme="minorHAnsi"/>
      <w:lang w:val="en-GB"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B370C"/>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534166">
      <w:bodyDiv w:val="1"/>
      <w:marLeft w:val="0"/>
      <w:marRight w:val="0"/>
      <w:marTop w:val="0"/>
      <w:marBottom w:val="0"/>
      <w:divBdr>
        <w:top w:val="none" w:sz="0" w:space="0" w:color="auto"/>
        <w:left w:val="none" w:sz="0" w:space="0" w:color="auto"/>
        <w:bottom w:val="none" w:sz="0" w:space="0" w:color="auto"/>
        <w:right w:val="none" w:sz="0" w:space="0" w:color="auto"/>
      </w:divBdr>
    </w:div>
    <w:div w:id="370881235">
      <w:bodyDiv w:val="1"/>
      <w:marLeft w:val="0"/>
      <w:marRight w:val="0"/>
      <w:marTop w:val="0"/>
      <w:marBottom w:val="0"/>
      <w:divBdr>
        <w:top w:val="none" w:sz="0" w:space="0" w:color="auto"/>
        <w:left w:val="none" w:sz="0" w:space="0" w:color="auto"/>
        <w:bottom w:val="none" w:sz="0" w:space="0" w:color="auto"/>
        <w:right w:val="none" w:sz="0" w:space="0" w:color="auto"/>
      </w:divBdr>
    </w:div>
    <w:div w:id="827669547">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074936122">
      <w:bodyDiv w:val="1"/>
      <w:marLeft w:val="0"/>
      <w:marRight w:val="0"/>
      <w:marTop w:val="0"/>
      <w:marBottom w:val="0"/>
      <w:divBdr>
        <w:top w:val="none" w:sz="0" w:space="0" w:color="auto"/>
        <w:left w:val="none" w:sz="0" w:space="0" w:color="auto"/>
        <w:bottom w:val="none" w:sz="0" w:space="0" w:color="auto"/>
        <w:right w:val="none" w:sz="0" w:space="0" w:color="auto"/>
      </w:divBdr>
    </w:div>
    <w:div w:id="1297880511">
      <w:bodyDiv w:val="1"/>
      <w:marLeft w:val="0"/>
      <w:marRight w:val="0"/>
      <w:marTop w:val="0"/>
      <w:marBottom w:val="0"/>
      <w:divBdr>
        <w:top w:val="none" w:sz="0" w:space="0" w:color="auto"/>
        <w:left w:val="none" w:sz="0" w:space="0" w:color="auto"/>
        <w:bottom w:val="none" w:sz="0" w:space="0" w:color="auto"/>
        <w:right w:val="none" w:sz="0" w:space="0" w:color="auto"/>
      </w:divBdr>
    </w:div>
    <w:div w:id="1478255438">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969553920">
      <w:bodyDiv w:val="1"/>
      <w:marLeft w:val="0"/>
      <w:marRight w:val="0"/>
      <w:marTop w:val="0"/>
      <w:marBottom w:val="0"/>
      <w:divBdr>
        <w:top w:val="none" w:sz="0" w:space="0" w:color="auto"/>
        <w:left w:val="none" w:sz="0" w:space="0" w:color="auto"/>
        <w:bottom w:val="none" w:sz="0" w:space="0" w:color="auto"/>
        <w:right w:val="none" w:sz="0" w:space="0" w:color="auto"/>
      </w:divBdr>
    </w:div>
    <w:div w:id="2010326772">
      <w:bodyDiv w:val="1"/>
      <w:marLeft w:val="0"/>
      <w:marRight w:val="0"/>
      <w:marTop w:val="0"/>
      <w:marBottom w:val="0"/>
      <w:divBdr>
        <w:top w:val="none" w:sz="0" w:space="0" w:color="auto"/>
        <w:left w:val="none" w:sz="0" w:space="0" w:color="auto"/>
        <w:bottom w:val="none" w:sz="0" w:space="0" w:color="auto"/>
        <w:right w:val="none" w:sz="0" w:space="0" w:color="auto"/>
      </w:divBdr>
    </w:div>
    <w:div w:id="211682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5F18-2BE2-4288-A52B-AF51185C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7074</Words>
  <Characters>44025</Characters>
  <Application>Microsoft Office Word</Application>
  <DocSecurity>0</DocSecurity>
  <Lines>366</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2016-03-17T22:39:00Z</dcterms:created>
  <dcterms:modified xsi:type="dcterms:W3CDTF">2016-03-17T22:45:00Z</dcterms:modified>
</cp:coreProperties>
</file>