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D9" w:rsidRDefault="00250AAE" w:rsidP="00207D00">
      <w:pPr>
        <w:pStyle w:val="Heading1"/>
        <w:rPr>
          <w:sz w:val="28"/>
        </w:rPr>
      </w:pPr>
      <w:bookmarkStart w:id="0" w:name="_Toc427598082"/>
      <w:r>
        <w:rPr>
          <w:sz w:val="28"/>
        </w:rPr>
        <w:t>6</w:t>
      </w:r>
      <w:r w:rsidR="00433044">
        <w:rPr>
          <w:sz w:val="28"/>
        </w:rPr>
        <w:t>.</w:t>
      </w:r>
      <w:r w:rsidR="002000CB">
        <w:rPr>
          <w:sz w:val="28"/>
        </w:rPr>
        <w:t>0</w:t>
      </w:r>
      <w:r>
        <w:rPr>
          <w:sz w:val="28"/>
        </w:rPr>
        <w:t>3</w:t>
      </w:r>
      <w:r w:rsidR="00B60939" w:rsidRPr="00207D00">
        <w:rPr>
          <w:sz w:val="28"/>
        </w:rPr>
        <w:tab/>
      </w:r>
      <w:r w:rsidR="00C11312">
        <w:rPr>
          <w:sz w:val="28"/>
        </w:rPr>
        <w:t>A</w:t>
      </w:r>
      <w:r w:rsidR="00BA54B8">
        <w:rPr>
          <w:sz w:val="28"/>
        </w:rPr>
        <w:t>rsenic trioxide</w:t>
      </w:r>
    </w:p>
    <w:p w:rsidR="00790CD9" w:rsidRDefault="00BA54B8" w:rsidP="00790CD9">
      <w:pPr>
        <w:pStyle w:val="Heading1"/>
        <w:ind w:firstLine="0"/>
        <w:rPr>
          <w:sz w:val="28"/>
        </w:rPr>
      </w:pPr>
      <w:proofErr w:type="gramStart"/>
      <w:r>
        <w:rPr>
          <w:caps w:val="0"/>
          <w:sz w:val="28"/>
        </w:rPr>
        <w:t>injection</w:t>
      </w:r>
      <w:proofErr w:type="gramEnd"/>
      <w:r w:rsidR="00B60939" w:rsidRPr="00207D00">
        <w:rPr>
          <w:sz w:val="28"/>
        </w:rPr>
        <w:t xml:space="preserve">, </w:t>
      </w:r>
      <w:r>
        <w:rPr>
          <w:caps w:val="0"/>
          <w:sz w:val="28"/>
        </w:rPr>
        <w:t>10mg in 10mL</w:t>
      </w:r>
    </w:p>
    <w:p w:rsidR="00B60939" w:rsidRPr="00207D00" w:rsidRDefault="00BA54B8" w:rsidP="00087BA2">
      <w:pPr>
        <w:pStyle w:val="Heading1"/>
        <w:ind w:firstLine="0"/>
        <w:rPr>
          <w:sz w:val="28"/>
        </w:rPr>
      </w:pPr>
      <w:proofErr w:type="spellStart"/>
      <w:proofErr w:type="gramStart"/>
      <w:r>
        <w:rPr>
          <w:caps w:val="0"/>
          <w:sz w:val="28"/>
        </w:rPr>
        <w:t>Phenasen</w:t>
      </w:r>
      <w:proofErr w:type="spellEnd"/>
      <w:r w:rsidR="00B60939" w:rsidRPr="00207D00">
        <w:rPr>
          <w:sz w:val="28"/>
          <w:vertAlign w:val="superscript"/>
        </w:rPr>
        <w:t>®</w:t>
      </w:r>
      <w:r w:rsidR="00087BA2">
        <w:rPr>
          <w:sz w:val="28"/>
        </w:rPr>
        <w:t xml:space="preserve">, </w:t>
      </w:r>
      <w:proofErr w:type="spellStart"/>
      <w:r>
        <w:rPr>
          <w:caps w:val="0"/>
          <w:sz w:val="28"/>
        </w:rPr>
        <w:t>Phebra</w:t>
      </w:r>
      <w:bookmarkEnd w:id="0"/>
      <w:proofErr w:type="spellEnd"/>
      <w:r w:rsidR="0070014F">
        <w:rPr>
          <w:caps w:val="0"/>
          <w:sz w:val="28"/>
        </w:rPr>
        <w:t>.</w:t>
      </w:r>
      <w:proofErr w:type="gramEnd"/>
    </w:p>
    <w:p w:rsidR="00B60939" w:rsidRDefault="00B60939" w:rsidP="00207D00"/>
    <w:p w:rsidR="00FF1087" w:rsidRDefault="00FF1087">
      <w:pPr>
        <w:widowControl/>
        <w:jc w:val="left"/>
      </w:pPr>
    </w:p>
    <w:p w:rsidR="00810E08" w:rsidRPr="00B66174" w:rsidRDefault="00810E08" w:rsidP="00B66174">
      <w:pPr>
        <w:pStyle w:val="PBACHeading1"/>
      </w:pPr>
      <w:bookmarkStart w:id="1" w:name="_Toc427598084"/>
      <w:r w:rsidRPr="00B66174">
        <w:t>Purpose of Application</w:t>
      </w:r>
      <w:bookmarkEnd w:id="1"/>
    </w:p>
    <w:p w:rsidR="00810E08" w:rsidRPr="00882085" w:rsidRDefault="00810E08" w:rsidP="00810E08">
      <w:pPr>
        <w:rPr>
          <w:szCs w:val="22"/>
        </w:rPr>
      </w:pPr>
    </w:p>
    <w:p w:rsidR="00FF7B84" w:rsidRPr="00864133" w:rsidRDefault="00FF7B84" w:rsidP="002969CC">
      <w:pPr>
        <w:pStyle w:val="ListParagraph"/>
        <w:widowControl/>
        <w:numPr>
          <w:ilvl w:val="1"/>
          <w:numId w:val="3"/>
        </w:numPr>
        <w:rPr>
          <w:szCs w:val="22"/>
        </w:rPr>
      </w:pPr>
      <w:r>
        <w:rPr>
          <w:szCs w:val="22"/>
        </w:rPr>
        <w:t xml:space="preserve">Arsenic trioxide (ATO) is currently listed on the PBS as an Authority Required (STREAMLINED) benefit for the treatment of patients with refractory or relapsed </w:t>
      </w:r>
      <w:r>
        <w:t xml:space="preserve">acute </w:t>
      </w:r>
      <w:proofErr w:type="spellStart"/>
      <w:r>
        <w:t>promyelocytic</w:t>
      </w:r>
      <w:proofErr w:type="spellEnd"/>
      <w:r>
        <w:t xml:space="preserve"> leukaemia (APL) who have not previously received ATO at induction.</w:t>
      </w:r>
    </w:p>
    <w:p w:rsidR="00FF7B84" w:rsidRPr="00864133" w:rsidRDefault="00FF7B84" w:rsidP="00FF7B84">
      <w:pPr>
        <w:pStyle w:val="ListParagraph"/>
        <w:widowControl/>
        <w:rPr>
          <w:szCs w:val="22"/>
        </w:rPr>
      </w:pPr>
    </w:p>
    <w:p w:rsidR="00FF7B84" w:rsidRPr="000B2900" w:rsidRDefault="00FF7B84" w:rsidP="002969CC">
      <w:pPr>
        <w:pStyle w:val="ListParagraph"/>
        <w:widowControl/>
        <w:numPr>
          <w:ilvl w:val="1"/>
          <w:numId w:val="3"/>
        </w:numPr>
        <w:rPr>
          <w:szCs w:val="22"/>
        </w:rPr>
      </w:pPr>
      <w:r>
        <w:t xml:space="preserve">The sponsor sought an extension of the current PBS listing for ATO to permit its use as a first-line treatment of APL. </w:t>
      </w:r>
      <w:r w:rsidRPr="00C14E13">
        <w:t>The submission claimed that in Australia</w:t>
      </w:r>
      <w:r>
        <w:rPr>
          <w:i/>
        </w:rPr>
        <w:t xml:space="preserve"> </w:t>
      </w:r>
      <w:proofErr w:type="spellStart"/>
      <w:r w:rsidRPr="00C14E13">
        <w:t>ATO+ATRA±chemotherapy</w:t>
      </w:r>
      <w:proofErr w:type="spellEnd"/>
      <w:r w:rsidRPr="00C14E13">
        <w:t xml:space="preserve"> was already used first-line to treat APL and so was seeking reimbursement for the use of ATO to treat this indication.</w:t>
      </w:r>
    </w:p>
    <w:p w:rsidR="000B2900" w:rsidRDefault="000B2900" w:rsidP="000B2900">
      <w:pPr>
        <w:widowControl/>
        <w:rPr>
          <w:szCs w:val="22"/>
        </w:rPr>
      </w:pPr>
    </w:p>
    <w:p w:rsidR="00DC38AB" w:rsidRPr="000B2900" w:rsidRDefault="00DC38AB" w:rsidP="000B2900">
      <w:pPr>
        <w:widowControl/>
        <w:rPr>
          <w:szCs w:val="22"/>
        </w:rPr>
      </w:pPr>
    </w:p>
    <w:p w:rsidR="00810E08" w:rsidRPr="00407F2D" w:rsidRDefault="00810E08" w:rsidP="00B66174">
      <w:pPr>
        <w:pStyle w:val="PBACHeading1"/>
      </w:pPr>
      <w:bookmarkStart w:id="2" w:name="_Toc427598085"/>
      <w:r w:rsidRPr="00407F2D">
        <w:t>Requested listing</w:t>
      </w:r>
      <w:bookmarkEnd w:id="2"/>
    </w:p>
    <w:p w:rsidR="00810E08" w:rsidRPr="00882085" w:rsidRDefault="00810E08" w:rsidP="00810E08"/>
    <w:p w:rsidR="00810E08" w:rsidRPr="00A81673" w:rsidRDefault="00810E08" w:rsidP="002969CC">
      <w:pPr>
        <w:pStyle w:val="ListParagraph"/>
        <w:widowControl/>
        <w:numPr>
          <w:ilvl w:val="1"/>
          <w:numId w:val="3"/>
        </w:numPr>
        <w:rPr>
          <w:szCs w:val="22"/>
        </w:rPr>
      </w:pPr>
      <w:r>
        <w:t xml:space="preserve">The requested listing was: </w:t>
      </w:r>
    </w:p>
    <w:tbl>
      <w:tblPr>
        <w:tblW w:w="4566" w:type="pct"/>
        <w:tblInd w:w="784" w:type="dxa"/>
        <w:tblCellMar>
          <w:left w:w="28" w:type="dxa"/>
          <w:right w:w="28" w:type="dxa"/>
        </w:tblCellMar>
        <w:tblLook w:val="0000" w:firstRow="0" w:lastRow="0" w:firstColumn="0" w:lastColumn="0" w:noHBand="0" w:noVBand="0"/>
      </w:tblPr>
      <w:tblGrid>
        <w:gridCol w:w="832"/>
        <w:gridCol w:w="1687"/>
        <w:gridCol w:w="572"/>
        <w:gridCol w:w="876"/>
        <w:gridCol w:w="1782"/>
        <w:gridCol w:w="1059"/>
        <w:gridCol w:w="1486"/>
      </w:tblGrid>
      <w:tr w:rsidR="00810E08" w:rsidRPr="00A939CD" w:rsidTr="00752277">
        <w:trPr>
          <w:cantSplit/>
          <w:trHeight w:val="471"/>
        </w:trPr>
        <w:tc>
          <w:tcPr>
            <w:tcW w:w="1519" w:type="pct"/>
            <w:gridSpan w:val="2"/>
            <w:tcBorders>
              <w:bottom w:val="single" w:sz="4" w:space="0" w:color="auto"/>
            </w:tcBorders>
          </w:tcPr>
          <w:p w:rsidR="00810E08" w:rsidRDefault="00810E08" w:rsidP="00752277">
            <w:pPr>
              <w:keepNext/>
              <w:rPr>
                <w:sz w:val="20"/>
              </w:rPr>
            </w:pPr>
            <w:r>
              <w:rPr>
                <w:sz w:val="20"/>
              </w:rPr>
              <w:t>Name, Restriction,</w:t>
            </w:r>
          </w:p>
          <w:p w:rsidR="00810E08" w:rsidRDefault="00810E08" w:rsidP="00752277">
            <w:pPr>
              <w:keepNext/>
              <w:rPr>
                <w:sz w:val="20"/>
              </w:rPr>
            </w:pPr>
            <w:r>
              <w:rPr>
                <w:sz w:val="20"/>
              </w:rPr>
              <w:t>Manner of administration and form</w:t>
            </w:r>
          </w:p>
        </w:tc>
        <w:tc>
          <w:tcPr>
            <w:tcW w:w="345" w:type="pct"/>
            <w:tcBorders>
              <w:bottom w:val="single" w:sz="4" w:space="0" w:color="auto"/>
            </w:tcBorders>
          </w:tcPr>
          <w:p w:rsidR="00810E08" w:rsidRDefault="00810E08" w:rsidP="00752277">
            <w:pPr>
              <w:keepNext/>
              <w:jc w:val="center"/>
              <w:rPr>
                <w:sz w:val="20"/>
              </w:rPr>
            </w:pPr>
            <w:r>
              <w:rPr>
                <w:sz w:val="20"/>
              </w:rPr>
              <w:t>Max.</w:t>
            </w:r>
          </w:p>
          <w:p w:rsidR="00810E08" w:rsidRDefault="00885148" w:rsidP="00752277">
            <w:pPr>
              <w:keepNext/>
              <w:jc w:val="center"/>
              <w:rPr>
                <w:sz w:val="20"/>
              </w:rPr>
            </w:pPr>
            <w:proofErr w:type="spellStart"/>
            <w:r>
              <w:rPr>
                <w:sz w:val="20"/>
              </w:rPr>
              <w:t>Amt</w:t>
            </w:r>
            <w:proofErr w:type="spellEnd"/>
          </w:p>
        </w:tc>
        <w:tc>
          <w:tcPr>
            <w:tcW w:w="528" w:type="pct"/>
            <w:tcBorders>
              <w:bottom w:val="single" w:sz="4" w:space="0" w:color="auto"/>
            </w:tcBorders>
          </w:tcPr>
          <w:p w:rsidR="00810E08" w:rsidRDefault="00810E08" w:rsidP="00752277">
            <w:pPr>
              <w:keepNext/>
              <w:jc w:val="center"/>
              <w:rPr>
                <w:sz w:val="20"/>
              </w:rPr>
            </w:pPr>
            <w:r>
              <w:rPr>
                <w:sz w:val="20"/>
              </w:rPr>
              <w:t>№.of</w:t>
            </w:r>
          </w:p>
          <w:p w:rsidR="00810E08" w:rsidRDefault="00810E08" w:rsidP="00752277">
            <w:pPr>
              <w:keepNext/>
              <w:jc w:val="center"/>
              <w:rPr>
                <w:sz w:val="20"/>
              </w:rPr>
            </w:pPr>
            <w:r>
              <w:rPr>
                <w:sz w:val="20"/>
              </w:rPr>
              <w:t>Rpts</w:t>
            </w:r>
          </w:p>
        </w:tc>
        <w:tc>
          <w:tcPr>
            <w:tcW w:w="1074" w:type="pct"/>
            <w:tcBorders>
              <w:bottom w:val="single" w:sz="4" w:space="0" w:color="auto"/>
            </w:tcBorders>
          </w:tcPr>
          <w:p w:rsidR="00810E08" w:rsidRDefault="00810E08" w:rsidP="00752277">
            <w:pPr>
              <w:keepNext/>
              <w:jc w:val="center"/>
              <w:rPr>
                <w:sz w:val="20"/>
              </w:rPr>
            </w:pPr>
            <w:r>
              <w:rPr>
                <w:sz w:val="20"/>
              </w:rPr>
              <w:t xml:space="preserve">Dispensed Price for Max. </w:t>
            </w:r>
            <w:proofErr w:type="spellStart"/>
            <w:r>
              <w:rPr>
                <w:sz w:val="20"/>
              </w:rPr>
              <w:t>Amt</w:t>
            </w:r>
            <w:proofErr w:type="spellEnd"/>
          </w:p>
        </w:tc>
        <w:tc>
          <w:tcPr>
            <w:tcW w:w="1533" w:type="pct"/>
            <w:gridSpan w:val="2"/>
            <w:tcBorders>
              <w:bottom w:val="single" w:sz="4" w:space="0" w:color="auto"/>
            </w:tcBorders>
          </w:tcPr>
          <w:p w:rsidR="00810E08" w:rsidRDefault="00810E08" w:rsidP="00752277">
            <w:pPr>
              <w:keepNext/>
              <w:jc w:val="center"/>
              <w:rPr>
                <w:sz w:val="20"/>
                <w:lang w:val="fr-FR"/>
              </w:rPr>
            </w:pPr>
            <w:r>
              <w:rPr>
                <w:sz w:val="20"/>
              </w:rPr>
              <w:t>Proprietary Name and Manufacturer</w:t>
            </w:r>
          </w:p>
        </w:tc>
      </w:tr>
      <w:tr w:rsidR="00810E08" w:rsidRPr="00A939CD" w:rsidTr="00752277">
        <w:trPr>
          <w:cantSplit/>
          <w:trHeight w:val="577"/>
        </w:trPr>
        <w:tc>
          <w:tcPr>
            <w:tcW w:w="1519" w:type="pct"/>
            <w:gridSpan w:val="2"/>
          </w:tcPr>
          <w:p w:rsidR="00810E08" w:rsidRDefault="00810E08" w:rsidP="00752277">
            <w:pPr>
              <w:keepNext/>
              <w:rPr>
                <w:sz w:val="20"/>
              </w:rPr>
            </w:pPr>
            <w:r>
              <w:rPr>
                <w:smallCaps/>
                <w:sz w:val="20"/>
              </w:rPr>
              <w:t>Arsenic trioxide</w:t>
            </w:r>
          </w:p>
          <w:p w:rsidR="00810E08" w:rsidRDefault="00810E08" w:rsidP="00752277">
            <w:pPr>
              <w:keepNext/>
              <w:rPr>
                <w:sz w:val="20"/>
              </w:rPr>
            </w:pPr>
            <w:r>
              <w:rPr>
                <w:sz w:val="20"/>
              </w:rPr>
              <w:t>10mg/ml injection, 10x10mL vials</w:t>
            </w:r>
          </w:p>
        </w:tc>
        <w:tc>
          <w:tcPr>
            <w:tcW w:w="345" w:type="pct"/>
          </w:tcPr>
          <w:p w:rsidR="00810E08" w:rsidRDefault="00810E08" w:rsidP="00752277">
            <w:pPr>
              <w:keepNext/>
              <w:jc w:val="center"/>
              <w:rPr>
                <w:sz w:val="20"/>
              </w:rPr>
            </w:pPr>
          </w:p>
          <w:p w:rsidR="00810E08" w:rsidRDefault="00810E08" w:rsidP="00752277">
            <w:pPr>
              <w:keepNext/>
              <w:jc w:val="center"/>
              <w:rPr>
                <w:sz w:val="20"/>
              </w:rPr>
            </w:pPr>
            <w:r>
              <w:rPr>
                <w:sz w:val="20"/>
              </w:rPr>
              <w:t>18mg</w:t>
            </w:r>
          </w:p>
        </w:tc>
        <w:tc>
          <w:tcPr>
            <w:tcW w:w="528" w:type="pct"/>
          </w:tcPr>
          <w:p w:rsidR="00810E08" w:rsidRDefault="00810E08" w:rsidP="00752277">
            <w:pPr>
              <w:keepNext/>
              <w:jc w:val="center"/>
              <w:rPr>
                <w:sz w:val="20"/>
              </w:rPr>
            </w:pPr>
          </w:p>
          <w:p w:rsidR="00810E08" w:rsidRDefault="00810E08" w:rsidP="00752277">
            <w:pPr>
              <w:keepNext/>
              <w:jc w:val="center"/>
              <w:rPr>
                <w:strike/>
                <w:sz w:val="20"/>
              </w:rPr>
            </w:pPr>
            <w:r w:rsidRPr="00E10A68">
              <w:rPr>
                <w:strike/>
                <w:sz w:val="20"/>
              </w:rPr>
              <w:t>120</w:t>
            </w:r>
          </w:p>
          <w:p w:rsidR="00E10A68" w:rsidRPr="00E10A68" w:rsidRDefault="00E10A68" w:rsidP="00752277">
            <w:pPr>
              <w:keepNext/>
              <w:jc w:val="center"/>
              <w:rPr>
                <w:i/>
                <w:sz w:val="20"/>
              </w:rPr>
            </w:pPr>
            <w:r>
              <w:rPr>
                <w:i/>
                <w:sz w:val="20"/>
              </w:rPr>
              <w:t>140</w:t>
            </w:r>
          </w:p>
        </w:tc>
        <w:tc>
          <w:tcPr>
            <w:tcW w:w="1074" w:type="pct"/>
          </w:tcPr>
          <w:p w:rsidR="00810E08" w:rsidRDefault="00810E08" w:rsidP="00752277">
            <w:pPr>
              <w:keepNext/>
              <w:jc w:val="center"/>
              <w:rPr>
                <w:sz w:val="20"/>
              </w:rPr>
            </w:pPr>
          </w:p>
          <w:p w:rsidR="00810E08" w:rsidRDefault="00810E08" w:rsidP="00752277">
            <w:pPr>
              <w:keepNext/>
              <w:jc w:val="center"/>
              <w:rPr>
                <w:strike/>
                <w:sz w:val="20"/>
              </w:rPr>
            </w:pPr>
            <w:r w:rsidRPr="00E10A68">
              <w:rPr>
                <w:strike/>
                <w:sz w:val="20"/>
              </w:rPr>
              <w:t>$</w:t>
            </w:r>
            <w:r w:rsidR="008861FF">
              <w:rPr>
                <w:strike/>
                <w:noProof/>
                <w:color w:val="000000"/>
                <w:sz w:val="20"/>
                <w:highlight w:val="black"/>
              </w:rPr>
              <w:t>'''''''''''''''''</w:t>
            </w:r>
            <w:r w:rsidRPr="00E10A68">
              <w:rPr>
                <w:strike/>
                <w:sz w:val="20"/>
              </w:rPr>
              <w:t xml:space="preserve"> </w:t>
            </w:r>
          </w:p>
          <w:p w:rsidR="00E10A68" w:rsidRDefault="00E10A68" w:rsidP="00752277">
            <w:pPr>
              <w:keepNext/>
              <w:jc w:val="center"/>
              <w:rPr>
                <w:i/>
                <w:sz w:val="20"/>
              </w:rPr>
            </w:pPr>
            <w:r w:rsidRPr="00E10A68">
              <w:rPr>
                <w:i/>
                <w:sz w:val="20"/>
              </w:rPr>
              <w:t>$</w:t>
            </w:r>
            <w:r w:rsidR="008861FF">
              <w:rPr>
                <w:i/>
                <w:noProof/>
                <w:color w:val="000000"/>
                <w:sz w:val="20"/>
                <w:highlight w:val="black"/>
              </w:rPr>
              <w:t>''''''''''''''''</w:t>
            </w:r>
            <w:r>
              <w:rPr>
                <w:i/>
                <w:sz w:val="20"/>
              </w:rPr>
              <w:t xml:space="preserve"> pub </w:t>
            </w:r>
            <w:proofErr w:type="spellStart"/>
            <w:r>
              <w:rPr>
                <w:i/>
                <w:sz w:val="20"/>
              </w:rPr>
              <w:t>hosp</w:t>
            </w:r>
            <w:proofErr w:type="spellEnd"/>
          </w:p>
          <w:p w:rsidR="00E10A68" w:rsidRDefault="00E10A68" w:rsidP="00752277">
            <w:pPr>
              <w:keepNext/>
              <w:jc w:val="center"/>
              <w:rPr>
                <w:i/>
                <w:sz w:val="20"/>
              </w:rPr>
            </w:pPr>
            <w:r>
              <w:rPr>
                <w:i/>
                <w:sz w:val="20"/>
              </w:rPr>
              <w:t>$</w:t>
            </w:r>
            <w:r w:rsidR="008861FF">
              <w:rPr>
                <w:i/>
                <w:noProof/>
                <w:color w:val="000000"/>
                <w:sz w:val="20"/>
                <w:highlight w:val="black"/>
              </w:rPr>
              <w:t>'''''''''''''''''</w:t>
            </w:r>
            <w:r>
              <w:rPr>
                <w:i/>
                <w:sz w:val="20"/>
              </w:rPr>
              <w:t xml:space="preserve"> </w:t>
            </w:r>
            <w:proofErr w:type="spellStart"/>
            <w:r>
              <w:rPr>
                <w:i/>
                <w:sz w:val="20"/>
              </w:rPr>
              <w:t>priv</w:t>
            </w:r>
            <w:proofErr w:type="spellEnd"/>
            <w:r>
              <w:rPr>
                <w:i/>
                <w:sz w:val="20"/>
              </w:rPr>
              <w:t xml:space="preserve"> </w:t>
            </w:r>
            <w:proofErr w:type="spellStart"/>
            <w:r>
              <w:rPr>
                <w:i/>
                <w:sz w:val="20"/>
              </w:rPr>
              <w:t>hosp</w:t>
            </w:r>
            <w:proofErr w:type="spellEnd"/>
          </w:p>
          <w:p w:rsidR="005169F5" w:rsidRPr="00E10A68" w:rsidRDefault="005169F5" w:rsidP="00752277">
            <w:pPr>
              <w:keepNext/>
              <w:jc w:val="center"/>
              <w:rPr>
                <w:i/>
                <w:sz w:val="20"/>
              </w:rPr>
            </w:pPr>
          </w:p>
        </w:tc>
        <w:tc>
          <w:tcPr>
            <w:tcW w:w="638" w:type="pct"/>
          </w:tcPr>
          <w:p w:rsidR="00810E08" w:rsidRPr="00935198" w:rsidRDefault="00810E08" w:rsidP="00752277">
            <w:pPr>
              <w:keepNext/>
              <w:jc w:val="center"/>
              <w:rPr>
                <w:smallCaps/>
                <w:sz w:val="20"/>
                <w:vertAlign w:val="superscript"/>
              </w:rPr>
            </w:pPr>
            <w:proofErr w:type="spellStart"/>
            <w:r>
              <w:rPr>
                <w:smallCaps/>
                <w:sz w:val="20"/>
              </w:rPr>
              <w:t>Phenasen</w:t>
            </w:r>
            <w:proofErr w:type="spellEnd"/>
            <w:r>
              <w:rPr>
                <w:smallCaps/>
                <w:sz w:val="20"/>
                <w:vertAlign w:val="superscript"/>
              </w:rPr>
              <w:t>®</w:t>
            </w:r>
          </w:p>
        </w:tc>
        <w:tc>
          <w:tcPr>
            <w:tcW w:w="895" w:type="pct"/>
          </w:tcPr>
          <w:p w:rsidR="00810E08" w:rsidRDefault="00810E08" w:rsidP="00752277">
            <w:pPr>
              <w:keepNext/>
              <w:jc w:val="center"/>
              <w:rPr>
                <w:sz w:val="20"/>
              </w:rPr>
            </w:pPr>
            <w:proofErr w:type="spellStart"/>
            <w:r>
              <w:rPr>
                <w:sz w:val="20"/>
              </w:rPr>
              <w:t>Phebra</w:t>
            </w:r>
            <w:proofErr w:type="spellEnd"/>
          </w:p>
        </w:tc>
      </w:tr>
      <w:tr w:rsidR="00810E08" w:rsidRPr="00A30A33" w:rsidTr="00752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810E08" w:rsidRPr="00A30A33" w:rsidRDefault="00810E08" w:rsidP="00752277">
            <w:pPr>
              <w:snapToGrid w:val="0"/>
              <w:spacing w:line="20" w:lineRule="atLeast"/>
              <w:rPr>
                <w:lang w:eastAsia="en-AU"/>
              </w:rPr>
            </w:pPr>
            <w:r w:rsidRPr="00A30A33">
              <w:rPr>
                <w:rFonts w:ascii="Arial Narrow" w:hAnsi="Arial Narrow"/>
                <w:b/>
                <w:bCs/>
                <w:sz w:val="20"/>
                <w:lang w:eastAsia="en-AU"/>
              </w:rPr>
              <w:t xml:space="preserve">Treatment phase: </w:t>
            </w:r>
            <w:r>
              <w:rPr>
                <w:rFonts w:ascii="Arial Narrow" w:hAnsi="Arial Narrow"/>
                <w:b/>
                <w:bCs/>
                <w:sz w:val="20"/>
                <w:lang w:eastAsia="en-AU"/>
              </w:rPr>
              <w:t>Induction and consolidation</w:t>
            </w:r>
          </w:p>
        </w:tc>
      </w:tr>
      <w:tr w:rsidR="00810E08" w:rsidRPr="00487911" w:rsidTr="00752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2" w:type="pct"/>
            <w:tcBorders>
              <w:top w:val="single" w:sz="4" w:space="0" w:color="auto"/>
              <w:left w:val="single" w:sz="4" w:space="0" w:color="auto"/>
              <w:bottom w:val="single" w:sz="4" w:space="0" w:color="auto"/>
              <w:right w:val="single" w:sz="4" w:space="0" w:color="auto"/>
            </w:tcBorders>
            <w:hideMark/>
          </w:tcPr>
          <w:p w:rsidR="00810E08" w:rsidRPr="00487911" w:rsidRDefault="00810E08" w:rsidP="00752277">
            <w:pPr>
              <w:pStyle w:val="Tabletext"/>
            </w:pPr>
            <w:r w:rsidRPr="00487911">
              <w:t>Condition</w:t>
            </w:r>
          </w:p>
        </w:tc>
        <w:tc>
          <w:tcPr>
            <w:tcW w:w="4498" w:type="pct"/>
            <w:gridSpan w:val="6"/>
            <w:tcBorders>
              <w:top w:val="single" w:sz="4" w:space="0" w:color="auto"/>
              <w:left w:val="single" w:sz="4" w:space="0" w:color="auto"/>
              <w:bottom w:val="single" w:sz="4" w:space="0" w:color="auto"/>
              <w:right w:val="single" w:sz="4" w:space="0" w:color="auto"/>
            </w:tcBorders>
          </w:tcPr>
          <w:p w:rsidR="00810E08" w:rsidRPr="00487911" w:rsidRDefault="00810E08" w:rsidP="00752277">
            <w:pPr>
              <w:pStyle w:val="Tabletext"/>
            </w:pPr>
            <w:r w:rsidRPr="00487911">
              <w:t xml:space="preserve">Acute </w:t>
            </w:r>
            <w:proofErr w:type="spellStart"/>
            <w:r>
              <w:t>p</w:t>
            </w:r>
            <w:r w:rsidRPr="00487911">
              <w:t>romyelocytic</w:t>
            </w:r>
            <w:proofErr w:type="spellEnd"/>
            <w:r w:rsidRPr="00487911">
              <w:t xml:space="preserve"> leukaemia</w:t>
            </w:r>
          </w:p>
        </w:tc>
      </w:tr>
      <w:tr w:rsidR="00810E08" w:rsidRPr="00A30A33" w:rsidTr="00752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2" w:type="pct"/>
            <w:tcBorders>
              <w:top w:val="single" w:sz="4" w:space="0" w:color="auto"/>
              <w:left w:val="single" w:sz="4" w:space="0" w:color="auto"/>
              <w:bottom w:val="single" w:sz="4" w:space="0" w:color="auto"/>
              <w:right w:val="single" w:sz="4" w:space="0" w:color="auto"/>
            </w:tcBorders>
            <w:hideMark/>
          </w:tcPr>
          <w:p w:rsidR="00810E08" w:rsidRPr="00A30A33" w:rsidRDefault="00810E08" w:rsidP="00752277">
            <w:pPr>
              <w:pStyle w:val="Tabletext"/>
              <w:rPr>
                <w:rFonts w:ascii="Arial" w:hAnsi="Arial"/>
                <w:sz w:val="22"/>
                <w:lang w:eastAsia="en-AU"/>
              </w:rPr>
            </w:pPr>
            <w:r w:rsidRPr="00A30A33">
              <w:rPr>
                <w:lang w:eastAsia="en-AU"/>
              </w:rPr>
              <w:t>Restriction</w:t>
            </w:r>
          </w:p>
        </w:tc>
        <w:tc>
          <w:tcPr>
            <w:tcW w:w="4498" w:type="pct"/>
            <w:gridSpan w:val="6"/>
            <w:tcBorders>
              <w:top w:val="single" w:sz="4" w:space="0" w:color="auto"/>
              <w:left w:val="single" w:sz="4" w:space="0" w:color="auto"/>
              <w:bottom w:val="single" w:sz="4" w:space="0" w:color="auto"/>
              <w:right w:val="single" w:sz="4" w:space="0" w:color="auto"/>
            </w:tcBorders>
          </w:tcPr>
          <w:p w:rsidR="00810E08" w:rsidRPr="00A30A33" w:rsidRDefault="00810E08" w:rsidP="00752277">
            <w:pPr>
              <w:pStyle w:val="Tabletext"/>
              <w:rPr>
                <w:rFonts w:ascii="Arial" w:hAnsi="Arial"/>
                <w:sz w:val="22"/>
                <w:lang w:eastAsia="en-AU"/>
              </w:rPr>
            </w:pPr>
            <w:r>
              <w:rPr>
                <w:lang w:eastAsia="en-AU"/>
              </w:rPr>
              <w:t>Authority Required (STREAMLINED)</w:t>
            </w:r>
          </w:p>
        </w:tc>
      </w:tr>
    </w:tbl>
    <w:p w:rsidR="00810E08" w:rsidRPr="00B50DB8" w:rsidRDefault="00810E08" w:rsidP="00810E08">
      <w:pPr>
        <w:pStyle w:val="ListParagraph"/>
        <w:widowControl/>
        <w:rPr>
          <w:szCs w:val="22"/>
        </w:rPr>
      </w:pPr>
    </w:p>
    <w:p w:rsidR="00AC6356" w:rsidRDefault="00AC6356" w:rsidP="00AC6356">
      <w:pPr>
        <w:pStyle w:val="ListParagraph"/>
        <w:widowControl/>
        <w:rPr>
          <w:i/>
        </w:rPr>
      </w:pPr>
    </w:p>
    <w:p w:rsidR="008349D9" w:rsidRPr="00E037BA" w:rsidRDefault="008349D9" w:rsidP="008349D9">
      <w:pPr>
        <w:pStyle w:val="ListParagraph"/>
        <w:widowControl/>
        <w:numPr>
          <w:ilvl w:val="1"/>
          <w:numId w:val="3"/>
        </w:numPr>
        <w:rPr>
          <w:szCs w:val="22"/>
        </w:rPr>
      </w:pPr>
      <w:r w:rsidRPr="00C14E13">
        <w:t xml:space="preserve">The requested listing did not restrict the use of ATO in patients with relapsed APL to those who had </w:t>
      </w:r>
      <w:r w:rsidRPr="00E037BA">
        <w:rPr>
          <w:u w:val="single"/>
        </w:rPr>
        <w:t>not</w:t>
      </w:r>
      <w:r w:rsidRPr="00C14E13">
        <w:t xml:space="preserve"> received arsenic prior (naïve) to induction; this is a requirement of the current PBS listing of ATO. </w:t>
      </w:r>
      <w:r w:rsidR="00247D66" w:rsidRPr="00C14E13">
        <w:t xml:space="preserve">The submission did not provide any evidence to substantiate the effectiveness of these regimens in patients with prior experience of ATO, although </w:t>
      </w:r>
      <w:r w:rsidRPr="00C14E13">
        <w:t xml:space="preserve">the current National Comprehensive Cancer Network (NCCN) guidelines for APL recommend ATO as part of therapy following </w:t>
      </w:r>
      <w:r w:rsidR="00965531" w:rsidRPr="00C14E13">
        <w:t xml:space="preserve">first </w:t>
      </w:r>
      <w:r w:rsidRPr="00C14E13">
        <w:t xml:space="preserve">relapse, </w:t>
      </w:r>
      <w:r w:rsidR="0014737F" w:rsidRPr="00C14E13">
        <w:t xml:space="preserve">irrespective </w:t>
      </w:r>
      <w:r w:rsidRPr="00C14E13">
        <w:t>of prior exposure to ATO</w:t>
      </w:r>
      <w:r w:rsidR="00B461EA" w:rsidRPr="00C14E13">
        <w:t>.</w:t>
      </w:r>
      <w:r w:rsidR="00AC6356" w:rsidRPr="00C14E13">
        <w:t xml:space="preserve"> </w:t>
      </w:r>
    </w:p>
    <w:p w:rsidR="00E037BA" w:rsidRPr="00E037BA" w:rsidRDefault="00E037BA" w:rsidP="00E037BA">
      <w:pPr>
        <w:pStyle w:val="ListParagraph"/>
        <w:widowControl/>
        <w:rPr>
          <w:szCs w:val="22"/>
        </w:rPr>
      </w:pPr>
    </w:p>
    <w:p w:rsidR="00AA6A5A" w:rsidRPr="00C14E13" w:rsidRDefault="00AA6A5A" w:rsidP="002969CC">
      <w:pPr>
        <w:pStyle w:val="ListParagraph"/>
        <w:widowControl/>
        <w:numPr>
          <w:ilvl w:val="1"/>
          <w:numId w:val="3"/>
        </w:numPr>
        <w:rPr>
          <w:szCs w:val="22"/>
        </w:rPr>
      </w:pPr>
      <w:r w:rsidRPr="00C14E13">
        <w:t xml:space="preserve">The maximum amount of 18mg is sufficient for a daily infusion of 0.15mg/kg/day for patients up to 120kg. The submission stated that 120 repeats </w:t>
      </w:r>
      <w:proofErr w:type="gramStart"/>
      <w:r w:rsidRPr="00C14E13">
        <w:t>was</w:t>
      </w:r>
      <w:proofErr w:type="gramEnd"/>
      <w:r w:rsidRPr="00C14E13">
        <w:t xml:space="preserve"> sufficient to complete induction and consolidation therapy. However, according to the PI, it appears that patients could receive up to 140 days of ATO treatment (low-intermediate risk patients, up to 60 days induction + 80 days consolidation).  </w:t>
      </w:r>
      <w:r w:rsidR="00E10A68" w:rsidRPr="00187C6F">
        <w:t>The PSCR (p4) request</w:t>
      </w:r>
      <w:r w:rsidR="00187C6F" w:rsidRPr="00187C6F">
        <w:t>ed</w:t>
      </w:r>
      <w:r w:rsidR="00E10A68" w:rsidRPr="00187C6F">
        <w:t xml:space="preserve"> that the maximum number of repeats be increased to 140.</w:t>
      </w:r>
    </w:p>
    <w:p w:rsidR="00AA6A5A" w:rsidRPr="00AA6A5A" w:rsidRDefault="00AA6A5A" w:rsidP="00AA6A5A">
      <w:pPr>
        <w:pStyle w:val="ListParagraph"/>
        <w:rPr>
          <w:i/>
          <w:szCs w:val="22"/>
        </w:rPr>
      </w:pPr>
    </w:p>
    <w:p w:rsidR="008349D9" w:rsidRPr="00C14E13" w:rsidRDefault="008349D9" w:rsidP="002969CC">
      <w:pPr>
        <w:pStyle w:val="ListParagraph"/>
        <w:widowControl/>
        <w:numPr>
          <w:ilvl w:val="1"/>
          <w:numId w:val="3"/>
        </w:numPr>
        <w:rPr>
          <w:szCs w:val="22"/>
        </w:rPr>
      </w:pPr>
      <w:r w:rsidRPr="00C14E13">
        <w:rPr>
          <w:szCs w:val="22"/>
        </w:rPr>
        <w:t xml:space="preserve">The </w:t>
      </w:r>
      <w:r w:rsidR="00525CB9">
        <w:rPr>
          <w:szCs w:val="22"/>
        </w:rPr>
        <w:t xml:space="preserve">ESC noted that the </w:t>
      </w:r>
      <w:r w:rsidRPr="00C14E13">
        <w:rPr>
          <w:szCs w:val="22"/>
        </w:rPr>
        <w:t>requested PBS listing wa</w:t>
      </w:r>
      <w:r w:rsidR="000A1052" w:rsidRPr="00C14E13">
        <w:rPr>
          <w:szCs w:val="22"/>
        </w:rPr>
        <w:t>s broader than the</w:t>
      </w:r>
      <w:r w:rsidRPr="00C14E13">
        <w:rPr>
          <w:szCs w:val="22"/>
        </w:rPr>
        <w:t xml:space="preserve"> TGA indication</w:t>
      </w:r>
      <w:r w:rsidR="00AC6356" w:rsidRPr="00C14E13">
        <w:rPr>
          <w:szCs w:val="22"/>
        </w:rPr>
        <w:t>:</w:t>
      </w:r>
      <w:r w:rsidRPr="00C14E13">
        <w:rPr>
          <w:szCs w:val="22"/>
        </w:rPr>
        <w:t xml:space="preserve">  </w:t>
      </w:r>
    </w:p>
    <w:p w:rsidR="00AC6356" w:rsidRPr="00C14E13" w:rsidRDefault="00AC6356" w:rsidP="002969CC">
      <w:pPr>
        <w:pStyle w:val="ListParagraph"/>
        <w:widowControl/>
        <w:numPr>
          <w:ilvl w:val="0"/>
          <w:numId w:val="7"/>
        </w:numPr>
        <w:rPr>
          <w:szCs w:val="22"/>
        </w:rPr>
      </w:pPr>
      <w:r w:rsidRPr="00C14E13">
        <w:rPr>
          <w:szCs w:val="22"/>
        </w:rPr>
        <w:lastRenderedPageBreak/>
        <w:t xml:space="preserve">The TGA-approved PI states that the patient’s APL must be characterised by the presence of the </w:t>
      </w:r>
      <w:proofErr w:type="gramStart"/>
      <w:r w:rsidRPr="00C14E13">
        <w:rPr>
          <w:szCs w:val="22"/>
        </w:rPr>
        <w:t>t(</w:t>
      </w:r>
      <w:proofErr w:type="gramEnd"/>
      <w:r w:rsidRPr="00C14E13">
        <w:rPr>
          <w:szCs w:val="22"/>
        </w:rPr>
        <w:t xml:space="preserve">15:17) translocation or PML/RAR-α gene expression. </w:t>
      </w:r>
      <w:r w:rsidRPr="00C14E13">
        <w:t xml:space="preserve">The submission stated that the requirement for the </w:t>
      </w:r>
      <w:proofErr w:type="gramStart"/>
      <w:r w:rsidRPr="00C14E13">
        <w:t>t(</w:t>
      </w:r>
      <w:proofErr w:type="gramEnd"/>
      <w:r w:rsidRPr="00C14E13">
        <w:t>15:17) translocation or PML/RAR-α gene expression has been omitted from the proposed listing because APL typically presents as a medical emergency and, thus, treatment is commenced immediately upon clinical and cytological diagnosis of APL. This is not an issue for previously untreated patients with high risk APL, in whom ATO commences on day 9 of treatment, and so genetic diagnosis could be confirmed prior to commencement of ATO. In contrast, patients with low-intermediate risk APL commence both ATO and ATRA immediately, based on morphological diagnosis; this is likely to result in inappropriate initiation of ATO treatment in some PML/RAR-α negative patients, although morphological diagnosis of</w:t>
      </w:r>
      <w:r w:rsidRPr="00EC2D85">
        <w:rPr>
          <w:i/>
        </w:rPr>
        <w:t xml:space="preserve"> </w:t>
      </w:r>
      <w:proofErr w:type="spellStart"/>
      <w:r w:rsidRPr="00C14E13">
        <w:t>hypergranular</w:t>
      </w:r>
      <w:proofErr w:type="spellEnd"/>
      <w:r w:rsidRPr="00C14E13">
        <w:t xml:space="preserve"> (typical) APL has been reported to be highly predictive of underlying PML/RAR-α rearrangements.</w:t>
      </w:r>
    </w:p>
    <w:p w:rsidR="008349D9" w:rsidRPr="00C14E13" w:rsidRDefault="00AC6356" w:rsidP="002969CC">
      <w:pPr>
        <w:pStyle w:val="ListParagraph"/>
        <w:widowControl/>
        <w:numPr>
          <w:ilvl w:val="0"/>
          <w:numId w:val="7"/>
        </w:numPr>
        <w:rPr>
          <w:szCs w:val="22"/>
        </w:rPr>
      </w:pPr>
      <w:r w:rsidRPr="00C14E13">
        <w:t>The dosage recommendations in the TGA-approved PI indicate that, in previously untreated patients with low-intermediate risk APL, ATO should be used in combination with ATRA, while in previously untreated patients with high risk APL, ATO should be administered in combination with ATRA, chemotherapy  and prednisolone</w:t>
      </w:r>
      <w:r w:rsidRPr="00C14E13">
        <w:rPr>
          <w:szCs w:val="22"/>
        </w:rPr>
        <w:t>. The submission correctly noted that ATRA is not available through the PBS.</w:t>
      </w:r>
    </w:p>
    <w:p w:rsidR="008349D9" w:rsidRPr="00C14E13" w:rsidRDefault="008349D9" w:rsidP="008349D9">
      <w:pPr>
        <w:pStyle w:val="ListParagraph"/>
        <w:widowControl/>
        <w:rPr>
          <w:szCs w:val="22"/>
        </w:rPr>
      </w:pPr>
    </w:p>
    <w:p w:rsidR="008349D9" w:rsidRPr="00A5308C" w:rsidRDefault="008349D9" w:rsidP="002969CC">
      <w:pPr>
        <w:pStyle w:val="ListParagraph"/>
        <w:widowControl/>
        <w:numPr>
          <w:ilvl w:val="1"/>
          <w:numId w:val="3"/>
        </w:numPr>
        <w:rPr>
          <w:szCs w:val="22"/>
        </w:rPr>
      </w:pPr>
      <w:r w:rsidRPr="00C14E13">
        <w:t>The</w:t>
      </w:r>
      <w:r w:rsidR="00525CB9">
        <w:t xml:space="preserve"> ESC noted that the</w:t>
      </w:r>
      <w:r w:rsidRPr="00C14E13">
        <w:t xml:space="preserve"> proposed restriction did not contain any criteria regarding the maximum duration of induction therapy, nor did it state that therapy should be discontinued if </w:t>
      </w:r>
      <w:proofErr w:type="spellStart"/>
      <w:r w:rsidRPr="00C14E13">
        <w:t>haematologic</w:t>
      </w:r>
      <w:proofErr w:type="spellEnd"/>
      <w:r w:rsidRPr="00C14E13">
        <w:t xml:space="preserve"> complete remission is not obtained by the end of this induction period</w:t>
      </w:r>
      <w:r w:rsidR="00766670">
        <w:t>.</w:t>
      </w:r>
      <w:r w:rsidRPr="00C14E13">
        <w:t xml:space="preserve"> </w:t>
      </w:r>
    </w:p>
    <w:p w:rsidR="008349D9" w:rsidRPr="00F84549" w:rsidRDefault="008349D9" w:rsidP="008349D9">
      <w:pPr>
        <w:pStyle w:val="ListParagraph"/>
        <w:widowControl/>
        <w:rPr>
          <w:szCs w:val="22"/>
        </w:rPr>
      </w:pPr>
    </w:p>
    <w:p w:rsidR="008349D9" w:rsidRPr="00C14E13" w:rsidRDefault="000A1052" w:rsidP="002969CC">
      <w:pPr>
        <w:pStyle w:val="ListParagraph"/>
        <w:widowControl/>
        <w:numPr>
          <w:ilvl w:val="1"/>
          <w:numId w:val="3"/>
        </w:numPr>
        <w:rPr>
          <w:szCs w:val="22"/>
        </w:rPr>
      </w:pPr>
      <w:r w:rsidRPr="00C14E13">
        <w:t>The dosage and administration recommendations in the ATO PI do not provide detailed recommendations regarding the dosage regimen for ATRA when used in combination with ATO, nor does it provide any recommendations regarding the concomitant use of chemother</w:t>
      </w:r>
      <w:r w:rsidR="00BC1669">
        <w:t>apy in treatment consolidation.</w:t>
      </w:r>
    </w:p>
    <w:p w:rsidR="008349D9" w:rsidRPr="00C14E13" w:rsidRDefault="008349D9" w:rsidP="008349D9">
      <w:pPr>
        <w:widowControl/>
        <w:rPr>
          <w:szCs w:val="22"/>
        </w:rPr>
      </w:pPr>
    </w:p>
    <w:p w:rsidR="00FB14B1" w:rsidRDefault="00FB14B1" w:rsidP="00187C6F">
      <w:pPr>
        <w:pStyle w:val="ListParagraph"/>
        <w:ind w:left="709"/>
        <w:rPr>
          <w:i/>
          <w:szCs w:val="22"/>
        </w:rPr>
      </w:pPr>
      <w:r w:rsidRPr="00187C6F">
        <w:rPr>
          <w:i/>
          <w:szCs w:val="22"/>
        </w:rPr>
        <w:t>For more detail on PBAC’s view, see section 7 “PBAC outcome”</w:t>
      </w:r>
      <w:r w:rsidR="00124EAF">
        <w:rPr>
          <w:i/>
          <w:szCs w:val="22"/>
        </w:rPr>
        <w:t>.</w:t>
      </w:r>
    </w:p>
    <w:p w:rsidR="00FB14B1" w:rsidRDefault="00FB14B1" w:rsidP="00810E08"/>
    <w:p w:rsidR="008349D9" w:rsidRPr="00882085" w:rsidRDefault="008349D9" w:rsidP="00810E08"/>
    <w:p w:rsidR="00810E08" w:rsidRPr="003C314E" w:rsidRDefault="00810E08" w:rsidP="00B66174">
      <w:pPr>
        <w:pStyle w:val="PBACHeading1"/>
      </w:pPr>
      <w:bookmarkStart w:id="3" w:name="_Toc427598086"/>
      <w:r w:rsidRPr="003C314E">
        <w:t>Background</w:t>
      </w:r>
      <w:bookmarkEnd w:id="3"/>
    </w:p>
    <w:p w:rsidR="00810E08" w:rsidRPr="003C314E" w:rsidRDefault="00810E08" w:rsidP="00810E08">
      <w:pPr>
        <w:rPr>
          <w:szCs w:val="22"/>
        </w:rPr>
      </w:pPr>
    </w:p>
    <w:p w:rsidR="000A1052" w:rsidRPr="003C314E" w:rsidRDefault="00C14E13" w:rsidP="002969CC">
      <w:pPr>
        <w:pStyle w:val="ListParagraph"/>
        <w:widowControl/>
        <w:numPr>
          <w:ilvl w:val="1"/>
          <w:numId w:val="3"/>
        </w:numPr>
        <w:rPr>
          <w:color w:val="000000" w:themeColor="text1"/>
        </w:rPr>
      </w:pPr>
      <w:r w:rsidRPr="0040408C">
        <w:rPr>
          <w:color w:val="000000" w:themeColor="text1"/>
          <w:szCs w:val="22"/>
        </w:rPr>
        <w:t>TGA status</w:t>
      </w:r>
      <w:r w:rsidR="00087BA2" w:rsidRPr="0040408C">
        <w:rPr>
          <w:color w:val="000000" w:themeColor="text1"/>
          <w:szCs w:val="22"/>
        </w:rPr>
        <w:t xml:space="preserve"> at time of PBAC consideration</w:t>
      </w:r>
      <w:r w:rsidRPr="0040408C">
        <w:rPr>
          <w:color w:val="000000" w:themeColor="text1"/>
          <w:szCs w:val="22"/>
        </w:rPr>
        <w:t>:</w:t>
      </w:r>
      <w:r w:rsidRPr="003C314E">
        <w:rPr>
          <w:color w:val="000000" w:themeColor="text1"/>
          <w:szCs w:val="22"/>
        </w:rPr>
        <w:t xml:space="preserve"> </w:t>
      </w:r>
      <w:r w:rsidR="000A1052" w:rsidRPr="003C314E">
        <w:rPr>
          <w:color w:val="000000" w:themeColor="text1"/>
          <w:szCs w:val="22"/>
        </w:rPr>
        <w:t xml:space="preserve">ATO was registered on 24 August 2015, for the induction of remission and consolidation in patients with previously untreated APL, in combination with ATRA and/or chemotherapy and whose APL is characterised by the presence of the </w:t>
      </w:r>
      <w:proofErr w:type="gramStart"/>
      <w:r w:rsidR="000A1052" w:rsidRPr="003C314E">
        <w:rPr>
          <w:color w:val="000000" w:themeColor="text1"/>
          <w:szCs w:val="22"/>
        </w:rPr>
        <w:t>t(</w:t>
      </w:r>
      <w:proofErr w:type="gramEnd"/>
      <w:r w:rsidR="000A1052" w:rsidRPr="003C314E">
        <w:rPr>
          <w:color w:val="000000" w:themeColor="text1"/>
          <w:szCs w:val="22"/>
        </w:rPr>
        <w:t>15:17) translocation or PML/RAR-alpha gene expression.</w:t>
      </w:r>
    </w:p>
    <w:p w:rsidR="00825C47" w:rsidRPr="008807FC" w:rsidRDefault="00825C47" w:rsidP="00825C47">
      <w:pPr>
        <w:pStyle w:val="ListParagraph"/>
        <w:widowControl/>
        <w:rPr>
          <w:szCs w:val="22"/>
        </w:rPr>
      </w:pPr>
    </w:p>
    <w:p w:rsidR="00825C47" w:rsidRDefault="00825C47" w:rsidP="002969CC">
      <w:pPr>
        <w:pStyle w:val="ListParagraph"/>
        <w:widowControl/>
        <w:numPr>
          <w:ilvl w:val="1"/>
          <w:numId w:val="3"/>
        </w:numPr>
        <w:rPr>
          <w:szCs w:val="22"/>
        </w:rPr>
      </w:pPr>
      <w:r>
        <w:rPr>
          <w:szCs w:val="22"/>
        </w:rPr>
        <w:t xml:space="preserve">At the March 2009 PBAC Meeting, ATO was recommended for Authority Required PBS listing for induction and consolidation treatment of relapsed APL (characterised by the presence of the </w:t>
      </w:r>
      <w:proofErr w:type="gramStart"/>
      <w:r>
        <w:rPr>
          <w:szCs w:val="22"/>
        </w:rPr>
        <w:t>t(</w:t>
      </w:r>
      <w:proofErr w:type="gramEnd"/>
      <w:r>
        <w:rPr>
          <w:szCs w:val="22"/>
        </w:rPr>
        <w:t xml:space="preserve">15:17) translocation or PML/RAR-α fusion gene transcript) in a patient who has not been previously treated with arsenic at induction. </w:t>
      </w:r>
    </w:p>
    <w:p w:rsidR="00825C47" w:rsidRDefault="00825C47" w:rsidP="00825C47">
      <w:pPr>
        <w:pStyle w:val="ListParagraph"/>
        <w:widowControl/>
        <w:rPr>
          <w:szCs w:val="22"/>
        </w:rPr>
      </w:pPr>
    </w:p>
    <w:p w:rsidR="00825C47" w:rsidRDefault="00825C47" w:rsidP="002969CC">
      <w:pPr>
        <w:pStyle w:val="ListParagraph"/>
        <w:widowControl/>
        <w:numPr>
          <w:ilvl w:val="1"/>
          <w:numId w:val="3"/>
        </w:numPr>
        <w:rPr>
          <w:szCs w:val="22"/>
        </w:rPr>
      </w:pPr>
      <w:r>
        <w:rPr>
          <w:szCs w:val="22"/>
        </w:rPr>
        <w:t>In patients with relapsed APL</w:t>
      </w:r>
      <w:r w:rsidRPr="002A3D5C">
        <w:rPr>
          <w:szCs w:val="22"/>
        </w:rPr>
        <w:t xml:space="preserve">, the relapse-free survival at two years </w:t>
      </w:r>
      <w:r>
        <w:rPr>
          <w:szCs w:val="22"/>
        </w:rPr>
        <w:t>following</w:t>
      </w:r>
      <w:r w:rsidRPr="002A3D5C">
        <w:rPr>
          <w:szCs w:val="22"/>
        </w:rPr>
        <w:t xml:space="preserve"> treat</w:t>
      </w:r>
      <w:r>
        <w:rPr>
          <w:szCs w:val="22"/>
        </w:rPr>
        <w:t>ment</w:t>
      </w:r>
      <w:r w:rsidRPr="002A3D5C">
        <w:rPr>
          <w:szCs w:val="22"/>
        </w:rPr>
        <w:t xml:space="preserve"> with ATO </w:t>
      </w:r>
      <w:r w:rsidR="00247D66">
        <w:rPr>
          <w:szCs w:val="22"/>
        </w:rPr>
        <w:t xml:space="preserve">monotherapy </w:t>
      </w:r>
      <w:r w:rsidRPr="002A3D5C">
        <w:rPr>
          <w:szCs w:val="22"/>
        </w:rPr>
        <w:t xml:space="preserve">was 70% (95% confidence interval (CI): 54%, 84%), compared to 46% in patients treated with </w:t>
      </w:r>
      <w:proofErr w:type="spellStart"/>
      <w:r w:rsidRPr="002A3D5C">
        <w:rPr>
          <w:szCs w:val="22"/>
        </w:rPr>
        <w:t>ATRA+chemotherapy</w:t>
      </w:r>
      <w:proofErr w:type="spellEnd"/>
      <w:r w:rsidRPr="002A3D5C">
        <w:rPr>
          <w:szCs w:val="22"/>
        </w:rPr>
        <w:t>.</w:t>
      </w:r>
      <w:r>
        <w:rPr>
          <w:i/>
          <w:szCs w:val="22"/>
        </w:rPr>
        <w:t xml:space="preserve"> </w:t>
      </w:r>
      <w:r>
        <w:rPr>
          <w:szCs w:val="22"/>
        </w:rPr>
        <w:t xml:space="preserve">The PBAC recommended listing of ATO for patients with relapsed APL on the basis of high </w:t>
      </w:r>
      <w:r>
        <w:rPr>
          <w:szCs w:val="22"/>
        </w:rPr>
        <w:lastRenderedPageBreak/>
        <w:t>clinical need and uncertain but acceptable cost-effectiveness compared with ATRA and intensive chemotherapy. The PBAC noted that ATO is a highly toxic drug that must be given following strict protocols in specialised units but that when delivered in such a fashion, its toxicities are clinically acceptable for the benefits achieved, including survival gains.</w:t>
      </w:r>
    </w:p>
    <w:p w:rsidR="00825C47" w:rsidRPr="002725FF" w:rsidRDefault="00825C47" w:rsidP="00825C47">
      <w:pPr>
        <w:pStyle w:val="ListParagraph"/>
        <w:widowControl/>
        <w:rPr>
          <w:szCs w:val="22"/>
        </w:rPr>
      </w:pPr>
    </w:p>
    <w:p w:rsidR="00825C47" w:rsidRPr="00C14E13" w:rsidRDefault="00825C47" w:rsidP="002969CC">
      <w:pPr>
        <w:pStyle w:val="ListParagraph"/>
        <w:widowControl/>
        <w:numPr>
          <w:ilvl w:val="1"/>
          <w:numId w:val="3"/>
        </w:numPr>
        <w:rPr>
          <w:szCs w:val="22"/>
        </w:rPr>
      </w:pPr>
      <w:r w:rsidRPr="00C14E13">
        <w:rPr>
          <w:szCs w:val="22"/>
        </w:rPr>
        <w:t xml:space="preserve">This is the first submission to the PBAC for </w:t>
      </w:r>
      <w:proofErr w:type="spellStart"/>
      <w:r w:rsidRPr="00C14E13">
        <w:rPr>
          <w:szCs w:val="22"/>
        </w:rPr>
        <w:t>ATO+ATRA±chemotherapy</w:t>
      </w:r>
      <w:proofErr w:type="spellEnd"/>
      <w:r w:rsidRPr="00C14E13">
        <w:rPr>
          <w:szCs w:val="22"/>
        </w:rPr>
        <w:t xml:space="preserve"> for the induction of remission and treatment consolidation in patients with previously untreated APL.</w:t>
      </w:r>
    </w:p>
    <w:p w:rsidR="00FB14B1" w:rsidRDefault="00FB14B1" w:rsidP="00810E08"/>
    <w:p w:rsidR="00525CB9" w:rsidRPr="00882085" w:rsidRDefault="00525CB9" w:rsidP="00810E08"/>
    <w:p w:rsidR="00810E08" w:rsidRPr="00407F2D" w:rsidRDefault="00810E08" w:rsidP="00B66174">
      <w:pPr>
        <w:pStyle w:val="PBACHeading1"/>
      </w:pPr>
      <w:bookmarkStart w:id="4" w:name="_Toc427598087"/>
      <w:r w:rsidRPr="00407F2D">
        <w:t>Clinical place for the proposed therapy</w:t>
      </w:r>
      <w:bookmarkEnd w:id="4"/>
    </w:p>
    <w:p w:rsidR="00810E08" w:rsidRPr="00882085" w:rsidRDefault="00810E08" w:rsidP="00810E08">
      <w:pPr>
        <w:rPr>
          <w:szCs w:val="22"/>
        </w:rPr>
      </w:pPr>
    </w:p>
    <w:p w:rsidR="00651C92" w:rsidRPr="006F0777" w:rsidRDefault="00651C92" w:rsidP="002969CC">
      <w:pPr>
        <w:pStyle w:val="ListParagraph"/>
        <w:widowControl/>
        <w:numPr>
          <w:ilvl w:val="1"/>
          <w:numId w:val="3"/>
        </w:numPr>
        <w:rPr>
          <w:szCs w:val="22"/>
        </w:rPr>
      </w:pPr>
      <w:r w:rsidRPr="006F0777">
        <w:t xml:space="preserve">APL is a subtype of acute myeloid leukaemia (AML). It </w:t>
      </w:r>
      <w:r>
        <w:t>occur</w:t>
      </w:r>
      <w:r w:rsidRPr="006F0777">
        <w:t>s</w:t>
      </w:r>
      <w:r>
        <w:t xml:space="preserve"> in</w:t>
      </w:r>
      <w:r w:rsidRPr="006F0777">
        <w:t xml:space="preserve"> 5-15% of all AML diagnoses. APL usually presents as a medical emergency with a high rate of early mortality, due mainly to haemorrhagic complications. Symptoms include bruising and bleeding (caused by thrombocytopenia or coagulopathy), fever and infection (due to </w:t>
      </w:r>
      <w:proofErr w:type="spellStart"/>
      <w:r w:rsidRPr="006F0777">
        <w:t>leukopaenia</w:t>
      </w:r>
      <w:proofErr w:type="spellEnd"/>
      <w:r w:rsidRPr="006F0777">
        <w:t xml:space="preserve">) and fatigue, and dyspnoea (due to anaemia). </w:t>
      </w:r>
    </w:p>
    <w:p w:rsidR="00651C92" w:rsidRPr="006F0777" w:rsidRDefault="00651C92" w:rsidP="00651C92">
      <w:pPr>
        <w:pStyle w:val="ListParagraph"/>
        <w:widowControl/>
        <w:rPr>
          <w:szCs w:val="22"/>
        </w:rPr>
      </w:pPr>
    </w:p>
    <w:p w:rsidR="00651C92" w:rsidRPr="006F0777" w:rsidRDefault="00651C92" w:rsidP="002969CC">
      <w:pPr>
        <w:pStyle w:val="ListParagraph"/>
        <w:widowControl/>
        <w:numPr>
          <w:ilvl w:val="1"/>
          <w:numId w:val="3"/>
        </w:numPr>
        <w:rPr>
          <w:szCs w:val="22"/>
        </w:rPr>
      </w:pPr>
      <w:r w:rsidRPr="006F0777">
        <w:t>In the past, APL was associated with a very high risk of early mortality due to haemorrhage. However, after the introduction of the differentiating agent ATRA, APL became the most curable of all of the AML subtypes</w:t>
      </w:r>
      <w:r>
        <w:t>.</w:t>
      </w:r>
      <w:r w:rsidRPr="006F0777">
        <w:t xml:space="preserve"> </w:t>
      </w:r>
    </w:p>
    <w:p w:rsidR="00651C92" w:rsidRPr="006F0777" w:rsidRDefault="00651C92" w:rsidP="00651C92">
      <w:pPr>
        <w:pStyle w:val="ListParagraph"/>
        <w:rPr>
          <w:szCs w:val="22"/>
        </w:rPr>
      </w:pPr>
    </w:p>
    <w:p w:rsidR="00651C92" w:rsidRPr="000557F3" w:rsidRDefault="00651C92" w:rsidP="002969CC">
      <w:pPr>
        <w:pStyle w:val="ListParagraph"/>
        <w:widowControl/>
        <w:numPr>
          <w:ilvl w:val="1"/>
          <w:numId w:val="3"/>
        </w:numPr>
        <w:rPr>
          <w:szCs w:val="22"/>
        </w:rPr>
      </w:pPr>
      <w:r>
        <w:t xml:space="preserve">The submission proposed ATO in combination with </w:t>
      </w:r>
      <w:proofErr w:type="spellStart"/>
      <w:r>
        <w:t>ATRA±chemotherapy</w:t>
      </w:r>
      <w:proofErr w:type="spellEnd"/>
      <w:r>
        <w:t xml:space="preserve"> as an alternative treatment of newly diagnosed APL. </w:t>
      </w:r>
    </w:p>
    <w:p w:rsidR="00810E08" w:rsidRDefault="00810E08" w:rsidP="00810E08">
      <w:pPr>
        <w:pStyle w:val="Header"/>
        <w:rPr>
          <w:szCs w:val="22"/>
        </w:rPr>
      </w:pPr>
    </w:p>
    <w:p w:rsidR="00810E08" w:rsidRPr="00407F2D" w:rsidRDefault="00810E08" w:rsidP="00B66174">
      <w:pPr>
        <w:pStyle w:val="PBACHeading1"/>
      </w:pPr>
      <w:bookmarkStart w:id="5" w:name="_Toc427598088"/>
      <w:r w:rsidRPr="00407F2D">
        <w:t>Comparator</w:t>
      </w:r>
      <w:bookmarkEnd w:id="5"/>
    </w:p>
    <w:p w:rsidR="00810E08" w:rsidRPr="00882085" w:rsidRDefault="00810E08" w:rsidP="00810E08"/>
    <w:p w:rsidR="00890CE6" w:rsidRPr="00C14E13" w:rsidRDefault="00810E08" w:rsidP="002969CC">
      <w:pPr>
        <w:pStyle w:val="ListParagraph"/>
        <w:widowControl/>
        <w:numPr>
          <w:ilvl w:val="1"/>
          <w:numId w:val="3"/>
        </w:numPr>
        <w:rPr>
          <w:szCs w:val="22"/>
        </w:rPr>
      </w:pPr>
      <w:r w:rsidRPr="00C14E13">
        <w:t xml:space="preserve">The submission nominated </w:t>
      </w:r>
      <w:proofErr w:type="spellStart"/>
      <w:r w:rsidRPr="00C14E13">
        <w:t>ATRA+chemotherapy</w:t>
      </w:r>
      <w:proofErr w:type="spellEnd"/>
      <w:r w:rsidRPr="00C14E13">
        <w:t xml:space="preserve"> as the main comparator in previously untreated patients with APL, regardless of risk classification. </w:t>
      </w:r>
      <w:r w:rsidR="00270782" w:rsidRPr="00C14E13">
        <w:t>ATRA is not currently listed on the PBS.</w:t>
      </w:r>
    </w:p>
    <w:p w:rsidR="00810E08" w:rsidRPr="00C14E13" w:rsidRDefault="00810E08" w:rsidP="00810E08">
      <w:pPr>
        <w:pStyle w:val="ListParagraph"/>
        <w:widowControl/>
        <w:rPr>
          <w:szCs w:val="22"/>
        </w:rPr>
      </w:pPr>
    </w:p>
    <w:p w:rsidR="00F40789" w:rsidRPr="00C14E13" w:rsidRDefault="00F40789" w:rsidP="002969CC">
      <w:pPr>
        <w:pStyle w:val="ListParagraph"/>
        <w:widowControl/>
        <w:numPr>
          <w:ilvl w:val="1"/>
          <w:numId w:val="3"/>
        </w:numPr>
        <w:rPr>
          <w:szCs w:val="22"/>
        </w:rPr>
      </w:pPr>
      <w:r w:rsidRPr="00C14E13">
        <w:t>The</w:t>
      </w:r>
      <w:r w:rsidR="00525CB9">
        <w:t xml:space="preserve"> ESC noted that the</w:t>
      </w:r>
      <w:r w:rsidRPr="00C14E13">
        <w:t xml:space="preserve">re are a number of </w:t>
      </w:r>
      <w:proofErr w:type="spellStart"/>
      <w:r w:rsidRPr="00C14E13">
        <w:t>ATRA+chemotherapy</w:t>
      </w:r>
      <w:proofErr w:type="spellEnd"/>
      <w:r w:rsidRPr="00C14E13">
        <w:t xml:space="preserve"> induction and consolidation regimens recommended in clinical guidelines and the published literature for the first-line treatment of patients with APL</w:t>
      </w:r>
      <w:r w:rsidRPr="00C14E13">
        <w:rPr>
          <w:rStyle w:val="FootnoteReference"/>
        </w:rPr>
        <w:footnoteReference w:id="1"/>
      </w:r>
      <w:r w:rsidRPr="00C14E13">
        <w:t xml:space="preserve">. While the chemotherapy component in all NCCN-recommended regimens is </w:t>
      </w:r>
      <w:proofErr w:type="spellStart"/>
      <w:r w:rsidRPr="00C14E13">
        <w:t>anthracycline</w:t>
      </w:r>
      <w:proofErr w:type="spellEnd"/>
      <w:r w:rsidRPr="00C14E13">
        <w:t xml:space="preserve">-based, there are no definitive data to suggest the superiority of one </w:t>
      </w:r>
      <w:proofErr w:type="spellStart"/>
      <w:r w:rsidRPr="00C14E13">
        <w:t>anthracycline</w:t>
      </w:r>
      <w:proofErr w:type="spellEnd"/>
      <w:r w:rsidRPr="00C14E13">
        <w:t xml:space="preserve"> over another, and no clear consensus on the role of other chemotherapeutic agents, such as </w:t>
      </w:r>
      <w:proofErr w:type="spellStart"/>
      <w:r w:rsidRPr="00C14E13">
        <w:t>cytarabine</w:t>
      </w:r>
      <w:proofErr w:type="spellEnd"/>
      <w:r w:rsidRPr="00C14E13">
        <w:t xml:space="preserve"> and </w:t>
      </w:r>
      <w:proofErr w:type="spellStart"/>
      <w:r w:rsidRPr="00C14E13">
        <w:t>mitozantrone</w:t>
      </w:r>
      <w:proofErr w:type="spellEnd"/>
      <w:r w:rsidRPr="00C14E13">
        <w:rPr>
          <w:rStyle w:val="FootnoteReference"/>
        </w:rPr>
        <w:footnoteReference w:id="2"/>
      </w:r>
      <w:r w:rsidRPr="00C14E13">
        <w:t xml:space="preserve">. </w:t>
      </w:r>
    </w:p>
    <w:p w:rsidR="00810E08" w:rsidRPr="00371730" w:rsidRDefault="00810E08" w:rsidP="00810E08">
      <w:pPr>
        <w:pStyle w:val="ListParagraph"/>
        <w:rPr>
          <w:szCs w:val="22"/>
        </w:rPr>
      </w:pPr>
    </w:p>
    <w:p w:rsidR="004A5E67" w:rsidRPr="00C14E13" w:rsidRDefault="004A5E67" w:rsidP="002969CC">
      <w:pPr>
        <w:pStyle w:val="ListParagraph"/>
        <w:widowControl/>
        <w:numPr>
          <w:ilvl w:val="1"/>
          <w:numId w:val="3"/>
        </w:numPr>
        <w:rPr>
          <w:szCs w:val="22"/>
        </w:rPr>
      </w:pPr>
      <w:r w:rsidRPr="00C14E13">
        <w:t xml:space="preserve">The submission stated that the regimen of </w:t>
      </w:r>
      <w:proofErr w:type="spellStart"/>
      <w:r w:rsidRPr="00C14E13">
        <w:t>ATRA+chemotherapy</w:t>
      </w:r>
      <w:proofErr w:type="spellEnd"/>
      <w:r w:rsidRPr="00C14E13">
        <w:t xml:space="preserve"> most recently used in Australia to treat newly-diagnosed patients was the regimen used in the Australasian Leukaemia and Lymphoma Group (ALLG) single-arm study APML3. The APML3 regimen was used as the comparator in the economic model presented </w:t>
      </w:r>
      <w:r w:rsidRPr="00C14E13">
        <w:lastRenderedPageBreak/>
        <w:t xml:space="preserve">in Section D of the submission. The APML3 study was completed in March 2007, with the last patient recruited in October 2002. Patients in APML3 had either low-intermediate risk or high risk APL and the induction regimen was based on the </w:t>
      </w:r>
      <w:proofErr w:type="spellStart"/>
      <w:r w:rsidRPr="00C14E13">
        <w:t>ATRA+idarubicin</w:t>
      </w:r>
      <w:proofErr w:type="spellEnd"/>
      <w:r w:rsidRPr="00C14E13">
        <w:t xml:space="preserve"> (AIDA) 0493 protocol</w:t>
      </w:r>
      <w:r w:rsidRPr="00C14E13">
        <w:rPr>
          <w:rStyle w:val="FootnoteReference"/>
        </w:rPr>
        <w:footnoteReference w:id="3"/>
      </w:r>
      <w:r w:rsidRPr="00C14E13">
        <w:t xml:space="preserve">. However, the APML3 regimen was notable for the use of ATRA monotherapy, without concurrent chemotherapy, throughout the consolidation phase. This consolidation regimen is less intensive than the </w:t>
      </w:r>
      <w:proofErr w:type="spellStart"/>
      <w:r w:rsidR="00371730" w:rsidRPr="00C14E13">
        <w:t>ATRA+chemotherapy</w:t>
      </w:r>
      <w:proofErr w:type="spellEnd"/>
      <w:r w:rsidR="00371730" w:rsidRPr="00C14E13">
        <w:t xml:space="preserve"> regimens recommended in the current NCCN guidelines. Therefore, it was unclear whether the treatment protocol in APML3 was representative of the </w:t>
      </w:r>
      <w:proofErr w:type="spellStart"/>
      <w:r w:rsidR="00371730" w:rsidRPr="00C14E13">
        <w:t>ATRA+chemotherapy</w:t>
      </w:r>
      <w:proofErr w:type="spellEnd"/>
      <w:r w:rsidR="00371730" w:rsidRPr="00C14E13">
        <w:t xml:space="preserve"> regimens likely to be used in current Australian clinical practice in the absence of ATO, and the economic evaluation in the</w:t>
      </w:r>
      <w:r w:rsidR="00371730" w:rsidRPr="00371730">
        <w:rPr>
          <w:i/>
        </w:rPr>
        <w:t xml:space="preserve"> </w:t>
      </w:r>
      <w:r w:rsidR="00371730" w:rsidRPr="00C14E13">
        <w:t>submission may reflect the cost-effectiveness of ATO relative to an outdated comparator.</w:t>
      </w:r>
    </w:p>
    <w:p w:rsidR="004A5E67" w:rsidRPr="00C14E13" w:rsidRDefault="004A5E67" w:rsidP="004A5E67">
      <w:pPr>
        <w:pStyle w:val="ListParagraph"/>
      </w:pPr>
    </w:p>
    <w:p w:rsidR="00B60939" w:rsidRPr="003C314E" w:rsidRDefault="004D38FF" w:rsidP="00DF5D2B">
      <w:pPr>
        <w:pStyle w:val="ListParagraph"/>
        <w:widowControl/>
        <w:numPr>
          <w:ilvl w:val="1"/>
          <w:numId w:val="3"/>
        </w:numPr>
        <w:rPr>
          <w:szCs w:val="22"/>
        </w:rPr>
      </w:pPr>
      <w:r w:rsidRPr="00C14E13">
        <w:t xml:space="preserve">While the </w:t>
      </w:r>
      <w:r w:rsidR="00525CB9">
        <w:t xml:space="preserve">ESC considered that the </w:t>
      </w:r>
      <w:r w:rsidRPr="00C14E13">
        <w:t xml:space="preserve">submission’s nomination of </w:t>
      </w:r>
      <w:proofErr w:type="spellStart"/>
      <w:r w:rsidRPr="00C14E13">
        <w:t>ATRA+chemotherapy</w:t>
      </w:r>
      <w:proofErr w:type="spellEnd"/>
      <w:r w:rsidRPr="00C14E13">
        <w:t xml:space="preserve"> as the comparator </w:t>
      </w:r>
      <w:r w:rsidR="00525CB9">
        <w:t>wa</w:t>
      </w:r>
      <w:r w:rsidRPr="00C14E13">
        <w:t xml:space="preserve">s appropriate, </w:t>
      </w:r>
      <w:r w:rsidR="00525CB9">
        <w:t xml:space="preserve">it noted that the </w:t>
      </w:r>
      <w:proofErr w:type="spellStart"/>
      <w:r w:rsidRPr="00C14E13">
        <w:t>t</w:t>
      </w:r>
      <w:r w:rsidR="004A5E67" w:rsidRPr="00C14E13">
        <w:t>he</w:t>
      </w:r>
      <w:proofErr w:type="spellEnd"/>
      <w:r w:rsidR="004A5E67" w:rsidRPr="00C14E13">
        <w:t xml:space="preserve"> </w:t>
      </w:r>
      <w:proofErr w:type="spellStart"/>
      <w:r w:rsidR="004A5E67" w:rsidRPr="00C14E13">
        <w:t>ATRA+chemotherapy</w:t>
      </w:r>
      <w:proofErr w:type="spellEnd"/>
      <w:r w:rsidR="004A5E67" w:rsidRPr="00C14E13">
        <w:t xml:space="preserve"> regimens recommended in current clinical guidelines for APL, including the comparator regimen in Lo-Coco 2013 (which was used as key evidence in Section B</w:t>
      </w:r>
      <w:r w:rsidR="003C314E">
        <w:t xml:space="preserve"> of the submission</w:t>
      </w:r>
      <w:r w:rsidR="004A5E67" w:rsidRPr="00C14E13">
        <w:t xml:space="preserve">), may be more appropriate comparators than the </w:t>
      </w:r>
      <w:r w:rsidR="00956B1A" w:rsidRPr="00C14E13">
        <w:t>comparator</w:t>
      </w:r>
      <w:r w:rsidR="004A5E67" w:rsidRPr="00C14E13">
        <w:t xml:space="preserve"> regimen </w:t>
      </w:r>
      <w:r w:rsidR="009648D9" w:rsidRPr="00C14E13">
        <w:t xml:space="preserve">(APML3) </w:t>
      </w:r>
      <w:r w:rsidR="004A5E67" w:rsidRPr="00C14E13">
        <w:t>used in the submission’s economic evaluation.</w:t>
      </w:r>
      <w:r w:rsidRPr="00C14E13">
        <w:t xml:space="preserve"> </w:t>
      </w:r>
    </w:p>
    <w:p w:rsidR="001C2A41" w:rsidRDefault="001C2A41" w:rsidP="001C2A41">
      <w:pPr>
        <w:rPr>
          <w:szCs w:val="22"/>
        </w:rPr>
      </w:pPr>
    </w:p>
    <w:p w:rsidR="00FB14B1" w:rsidRPr="007C028C" w:rsidRDefault="00FB14B1" w:rsidP="007C028C">
      <w:pPr>
        <w:pStyle w:val="ListParagraph"/>
        <w:ind w:left="709"/>
        <w:rPr>
          <w:i/>
          <w:szCs w:val="22"/>
        </w:rPr>
      </w:pPr>
      <w:r w:rsidRPr="00187C6F">
        <w:rPr>
          <w:i/>
          <w:szCs w:val="22"/>
        </w:rPr>
        <w:t>For more detail on PBAC’s view, see section 7 “PBAC outcome”</w:t>
      </w:r>
      <w:r w:rsidR="00124EAF">
        <w:rPr>
          <w:i/>
          <w:szCs w:val="22"/>
        </w:rPr>
        <w:t>.</w:t>
      </w:r>
    </w:p>
    <w:p w:rsidR="00FF1087" w:rsidRPr="00F4084A" w:rsidRDefault="00FF1087" w:rsidP="001C2A41">
      <w:pPr>
        <w:rPr>
          <w:szCs w:val="22"/>
        </w:rPr>
      </w:pPr>
    </w:p>
    <w:p w:rsidR="001C2A41" w:rsidRPr="00407F2D" w:rsidRDefault="0070014F" w:rsidP="00B66174">
      <w:pPr>
        <w:pStyle w:val="PBACHeading1"/>
      </w:pPr>
      <w:bookmarkStart w:id="6" w:name="_Toc427598089"/>
      <w:r>
        <w:t>PBAC c</w:t>
      </w:r>
      <w:r w:rsidR="001C2A41" w:rsidRPr="00407F2D">
        <w:t>onsideration of the evidence</w:t>
      </w:r>
      <w:bookmarkEnd w:id="6"/>
    </w:p>
    <w:p w:rsidR="001C2A41" w:rsidRPr="00A34B61" w:rsidRDefault="001C2A41" w:rsidP="001C2A41">
      <w:pPr>
        <w:rPr>
          <w:sz w:val="18"/>
          <w:szCs w:val="18"/>
        </w:rPr>
      </w:pPr>
    </w:p>
    <w:p w:rsidR="00FB14B1" w:rsidRPr="00187C6F" w:rsidRDefault="00FB14B1" w:rsidP="00187C6F">
      <w:pPr>
        <w:spacing w:after="200" w:line="276" w:lineRule="auto"/>
        <w:rPr>
          <w:b/>
          <w:bCs/>
          <w:szCs w:val="22"/>
        </w:rPr>
      </w:pPr>
      <w:bookmarkStart w:id="7" w:name="_Toc427598090"/>
      <w:r w:rsidRPr="00187C6F">
        <w:rPr>
          <w:b/>
          <w:bCs/>
          <w:szCs w:val="22"/>
        </w:rPr>
        <w:t>Sponsor hearing</w:t>
      </w:r>
    </w:p>
    <w:p w:rsidR="00FB14B1" w:rsidRPr="00187C6F" w:rsidRDefault="00187C6F" w:rsidP="00187C6F">
      <w:pPr>
        <w:numPr>
          <w:ilvl w:val="1"/>
          <w:numId w:val="3"/>
        </w:numPr>
        <w:contextualSpacing/>
        <w:rPr>
          <w:bCs/>
          <w:szCs w:val="22"/>
        </w:rPr>
      </w:pPr>
      <w:r w:rsidRPr="00187C6F">
        <w:rPr>
          <w:bCs/>
          <w:szCs w:val="22"/>
        </w:rPr>
        <w:t xml:space="preserve">There was no hearing for this item. </w:t>
      </w:r>
    </w:p>
    <w:p w:rsidR="00187C6F" w:rsidRPr="00187C6F" w:rsidRDefault="00187C6F" w:rsidP="00187C6F">
      <w:pPr>
        <w:ind w:left="720"/>
        <w:contextualSpacing/>
        <w:rPr>
          <w:bCs/>
          <w:szCs w:val="22"/>
        </w:rPr>
      </w:pPr>
    </w:p>
    <w:p w:rsidR="00FB14B1" w:rsidRPr="00187C6F" w:rsidRDefault="00FB14B1" w:rsidP="00187C6F">
      <w:pPr>
        <w:spacing w:after="200" w:line="276" w:lineRule="auto"/>
        <w:rPr>
          <w:b/>
          <w:bCs/>
          <w:szCs w:val="22"/>
        </w:rPr>
      </w:pPr>
      <w:r w:rsidRPr="00187C6F">
        <w:rPr>
          <w:b/>
          <w:bCs/>
          <w:szCs w:val="22"/>
        </w:rPr>
        <w:t>Consumer comments</w:t>
      </w:r>
    </w:p>
    <w:p w:rsidR="00FB14B1" w:rsidRPr="00525CB9" w:rsidRDefault="00187C6F" w:rsidP="00187C6F">
      <w:pPr>
        <w:numPr>
          <w:ilvl w:val="1"/>
          <w:numId w:val="3"/>
        </w:numPr>
        <w:contextualSpacing/>
      </w:pPr>
      <w:r w:rsidRPr="00187C6F">
        <w:rPr>
          <w:bCs/>
          <w:szCs w:val="22"/>
        </w:rPr>
        <w:t xml:space="preserve">The PBAC noted that no consumer comments were received for this item. </w:t>
      </w:r>
    </w:p>
    <w:p w:rsidR="00525CB9" w:rsidRDefault="00525CB9" w:rsidP="00525CB9">
      <w:pPr>
        <w:ind w:left="720"/>
        <w:contextualSpacing/>
        <w:rPr>
          <w:bCs/>
          <w:szCs w:val="22"/>
        </w:rPr>
      </w:pPr>
    </w:p>
    <w:p w:rsidR="001C2A41" w:rsidRPr="00FF1087" w:rsidRDefault="001C2A41" w:rsidP="001C2A41">
      <w:pPr>
        <w:pStyle w:val="Heading2"/>
      </w:pPr>
      <w:r w:rsidRPr="00FF1087">
        <w:t>Clinical trials</w:t>
      </w:r>
      <w:bookmarkEnd w:id="7"/>
    </w:p>
    <w:p w:rsidR="001C2A41" w:rsidRPr="00A34B61" w:rsidRDefault="001C2A41" w:rsidP="001C2A41">
      <w:pPr>
        <w:rPr>
          <w:sz w:val="18"/>
          <w:szCs w:val="18"/>
        </w:rPr>
      </w:pPr>
    </w:p>
    <w:p w:rsidR="00B71A51" w:rsidRDefault="00B71A51" w:rsidP="002969CC">
      <w:pPr>
        <w:pStyle w:val="ListParagraph"/>
        <w:widowControl/>
        <w:numPr>
          <w:ilvl w:val="1"/>
          <w:numId w:val="3"/>
        </w:numPr>
      </w:pPr>
      <w:r>
        <w:t xml:space="preserve">The submission was based on two head-to-head randomised controlled trials (RCTs) comparing </w:t>
      </w:r>
      <w:proofErr w:type="spellStart"/>
      <w:r>
        <w:t>ATO+ATRA±chemotherapy</w:t>
      </w:r>
      <w:proofErr w:type="spellEnd"/>
      <w:r>
        <w:t xml:space="preserve"> to </w:t>
      </w:r>
      <w:proofErr w:type="spellStart"/>
      <w:r>
        <w:t>ATRA+chemotherapy</w:t>
      </w:r>
      <w:proofErr w:type="spellEnd"/>
      <w:r>
        <w:t>:</w:t>
      </w:r>
    </w:p>
    <w:p w:rsidR="00B71A51" w:rsidRDefault="00B71A51" w:rsidP="002969CC">
      <w:pPr>
        <w:pStyle w:val="ListParagraph"/>
        <w:numPr>
          <w:ilvl w:val="0"/>
          <w:numId w:val="4"/>
        </w:numPr>
        <w:tabs>
          <w:tab w:val="left" w:pos="709"/>
        </w:tabs>
        <w:ind w:left="1134" w:hanging="392"/>
      </w:pPr>
      <w:r>
        <w:t>Lo-Coco 2013: a multicentre, open-label randomised, non-inferiority trial, comparing:</w:t>
      </w:r>
    </w:p>
    <w:p w:rsidR="00B71A51" w:rsidRDefault="00B71A51" w:rsidP="002969CC">
      <w:pPr>
        <w:pStyle w:val="ListParagraph"/>
        <w:numPr>
          <w:ilvl w:val="1"/>
          <w:numId w:val="4"/>
        </w:numPr>
        <w:tabs>
          <w:tab w:val="left" w:pos="709"/>
        </w:tabs>
        <w:ind w:left="1418" w:hanging="270"/>
      </w:pPr>
      <w:r>
        <w:t>ATO+ATRA, for both induction and consolidation therapy (with no maintenance therapy), and</w:t>
      </w:r>
    </w:p>
    <w:p w:rsidR="00B71A51" w:rsidRDefault="00B71A51" w:rsidP="002969CC">
      <w:pPr>
        <w:pStyle w:val="ListParagraph"/>
        <w:numPr>
          <w:ilvl w:val="1"/>
          <w:numId w:val="4"/>
        </w:numPr>
        <w:tabs>
          <w:tab w:val="left" w:pos="709"/>
        </w:tabs>
        <w:ind w:left="1418" w:hanging="270"/>
      </w:pPr>
      <w:proofErr w:type="spellStart"/>
      <w:r>
        <w:t>ATRA+chemotherapy</w:t>
      </w:r>
      <w:proofErr w:type="spellEnd"/>
      <w:r>
        <w:t xml:space="preserve"> for both induction and consolidation therapy, followed by </w:t>
      </w:r>
      <w:proofErr w:type="spellStart"/>
      <w:r>
        <w:t>ATRA+chemotherapy</w:t>
      </w:r>
      <w:proofErr w:type="spellEnd"/>
      <w:r>
        <w:t xml:space="preserve"> maintenance therapy,</w:t>
      </w:r>
    </w:p>
    <w:p w:rsidR="00B71A51" w:rsidRDefault="00B71A51" w:rsidP="00B71A51">
      <w:pPr>
        <w:pStyle w:val="ListParagraph"/>
        <w:tabs>
          <w:tab w:val="left" w:pos="709"/>
        </w:tabs>
        <w:ind w:left="1134"/>
      </w:pPr>
      <w:proofErr w:type="gramStart"/>
      <w:r>
        <w:t>in</w:t>
      </w:r>
      <w:proofErr w:type="gramEnd"/>
      <w:r>
        <w:t xml:space="preserve"> newly diagnosed patients with low-intermediate risk APL; and </w:t>
      </w:r>
    </w:p>
    <w:p w:rsidR="00B71A51" w:rsidRDefault="00B71A51" w:rsidP="002969CC">
      <w:pPr>
        <w:pStyle w:val="ListParagraph"/>
        <w:numPr>
          <w:ilvl w:val="0"/>
          <w:numId w:val="4"/>
        </w:numPr>
        <w:tabs>
          <w:tab w:val="left" w:pos="709"/>
        </w:tabs>
        <w:ind w:left="1134" w:hanging="392"/>
      </w:pPr>
      <w:r>
        <w:t xml:space="preserve">Shen 2004: a single-centre RCT comparing: </w:t>
      </w:r>
    </w:p>
    <w:p w:rsidR="00B71A51" w:rsidRDefault="00B71A51" w:rsidP="002969CC">
      <w:pPr>
        <w:pStyle w:val="ListParagraph"/>
        <w:numPr>
          <w:ilvl w:val="1"/>
          <w:numId w:val="4"/>
        </w:numPr>
        <w:tabs>
          <w:tab w:val="left" w:pos="709"/>
        </w:tabs>
      </w:pPr>
      <w:proofErr w:type="spellStart"/>
      <w:r>
        <w:t>ATO+ATRA±chemotherapy</w:t>
      </w:r>
      <w:proofErr w:type="spellEnd"/>
      <w:r>
        <w:t xml:space="preserve"> induction therapy, chemotherapy consolidation therapy and </w:t>
      </w:r>
      <w:proofErr w:type="spellStart"/>
      <w:r>
        <w:t>ATO+ATRA±chemotherapy</w:t>
      </w:r>
      <w:proofErr w:type="spellEnd"/>
      <w:r>
        <w:t xml:space="preserve"> maintenance therapy, and</w:t>
      </w:r>
    </w:p>
    <w:p w:rsidR="00B71A51" w:rsidRDefault="00B71A51" w:rsidP="002969CC">
      <w:pPr>
        <w:pStyle w:val="ListParagraph"/>
        <w:numPr>
          <w:ilvl w:val="1"/>
          <w:numId w:val="4"/>
        </w:numPr>
        <w:tabs>
          <w:tab w:val="left" w:pos="709"/>
        </w:tabs>
      </w:pPr>
      <w:proofErr w:type="spellStart"/>
      <w:r>
        <w:t>ATRA±chemotherapy</w:t>
      </w:r>
      <w:proofErr w:type="spellEnd"/>
      <w:r>
        <w:t xml:space="preserve"> induction therapy, chemotherapy consolidation therapy and </w:t>
      </w:r>
      <w:proofErr w:type="spellStart"/>
      <w:r>
        <w:t>ATRA+chemotherapy</w:t>
      </w:r>
      <w:proofErr w:type="spellEnd"/>
      <w:r>
        <w:t xml:space="preserve"> maintenance therapy, and </w:t>
      </w:r>
    </w:p>
    <w:p w:rsidR="00B71A51" w:rsidRDefault="00B71A51" w:rsidP="002969CC">
      <w:pPr>
        <w:pStyle w:val="ListParagraph"/>
        <w:numPr>
          <w:ilvl w:val="1"/>
          <w:numId w:val="4"/>
        </w:numPr>
        <w:tabs>
          <w:tab w:val="left" w:pos="709"/>
        </w:tabs>
      </w:pPr>
      <w:proofErr w:type="spellStart"/>
      <w:r>
        <w:lastRenderedPageBreak/>
        <w:t>ATO±chemotherapy</w:t>
      </w:r>
      <w:proofErr w:type="spellEnd"/>
      <w:r>
        <w:t xml:space="preserve"> for induction, with chemotherapy consolidation therapy and </w:t>
      </w:r>
      <w:proofErr w:type="spellStart"/>
      <w:r>
        <w:t>ATO+chemotherapy</w:t>
      </w:r>
      <w:proofErr w:type="spellEnd"/>
      <w:r>
        <w:t xml:space="preserve"> maintenance therapy,</w:t>
      </w:r>
    </w:p>
    <w:p w:rsidR="00B71A51" w:rsidRPr="00B50DB8" w:rsidRDefault="00B71A51" w:rsidP="00B71A51">
      <w:pPr>
        <w:pStyle w:val="ListParagraph"/>
        <w:widowControl/>
        <w:ind w:firstLine="360"/>
        <w:rPr>
          <w:szCs w:val="22"/>
        </w:rPr>
      </w:pPr>
      <w:proofErr w:type="gramStart"/>
      <w:r>
        <w:t>in</w:t>
      </w:r>
      <w:proofErr w:type="gramEnd"/>
      <w:r>
        <w:t xml:space="preserve"> newly diagnosed patients with both low-intermediate and high risk APL.</w:t>
      </w:r>
    </w:p>
    <w:p w:rsidR="001C2A41" w:rsidRPr="00A34B61" w:rsidRDefault="001C2A41" w:rsidP="001C2A41">
      <w:pPr>
        <w:widowControl/>
        <w:rPr>
          <w:sz w:val="18"/>
          <w:szCs w:val="18"/>
        </w:rPr>
      </w:pPr>
    </w:p>
    <w:p w:rsidR="006530B1" w:rsidRPr="00C14E13" w:rsidRDefault="006530B1" w:rsidP="002969CC">
      <w:pPr>
        <w:pStyle w:val="ListParagraph"/>
        <w:widowControl/>
        <w:numPr>
          <w:ilvl w:val="1"/>
          <w:numId w:val="3"/>
        </w:numPr>
        <w:rPr>
          <w:szCs w:val="22"/>
        </w:rPr>
      </w:pPr>
      <w:r w:rsidRPr="00C14E13">
        <w:t>The ATO+ATRA regimen used in Lo-Coco 2013 is consistent with the regimen proposed in Section A.3 of the submission for previously untreated patients with low-intermediate risk APL. It was the key evidence presented for this patient subgroup.</w:t>
      </w:r>
    </w:p>
    <w:p w:rsidR="001C2A41" w:rsidRPr="00C14E13" w:rsidRDefault="001C2A41" w:rsidP="001C2A41">
      <w:pPr>
        <w:pStyle w:val="ListParagraph"/>
        <w:widowControl/>
        <w:rPr>
          <w:sz w:val="18"/>
          <w:szCs w:val="18"/>
        </w:rPr>
      </w:pPr>
    </w:p>
    <w:p w:rsidR="00B6130E" w:rsidRPr="00C14E13" w:rsidRDefault="00B6130E" w:rsidP="002969CC">
      <w:pPr>
        <w:pStyle w:val="ListParagraph"/>
        <w:widowControl/>
        <w:numPr>
          <w:ilvl w:val="1"/>
          <w:numId w:val="3"/>
        </w:numPr>
        <w:rPr>
          <w:szCs w:val="22"/>
        </w:rPr>
      </w:pPr>
      <w:r w:rsidRPr="00C14E13">
        <w:t xml:space="preserve">Shen 2004 was not presented in </w:t>
      </w:r>
      <w:r w:rsidRPr="003C314E">
        <w:t>the Commentary</w:t>
      </w:r>
      <w:r w:rsidRPr="00C14E13">
        <w:t xml:space="preserve"> </w:t>
      </w:r>
      <w:r w:rsidR="00F55082" w:rsidRPr="00C14E13">
        <w:t>as the treatment regimens</w:t>
      </w:r>
      <w:r w:rsidR="00B461EA" w:rsidRPr="00C14E13">
        <w:t>, including the doses of</w:t>
      </w:r>
      <w:r w:rsidR="00F55082" w:rsidRPr="00C14E13">
        <w:t xml:space="preserve"> ATRA and ATO</w:t>
      </w:r>
      <w:r w:rsidR="00B461EA" w:rsidRPr="00C14E13">
        <w:t xml:space="preserve">, </w:t>
      </w:r>
      <w:r w:rsidRPr="00C14E13">
        <w:t>were not consistent with either the regimens proposed in the submission, or with current Australian practice, as acknowledged in the submission.</w:t>
      </w:r>
      <w:r w:rsidR="00F55082" w:rsidRPr="00C14E13">
        <w:t xml:space="preserve"> </w:t>
      </w:r>
    </w:p>
    <w:p w:rsidR="001C2A41" w:rsidRPr="00A34B61" w:rsidRDefault="001C2A41" w:rsidP="001C2A41">
      <w:pPr>
        <w:pStyle w:val="ListParagraph"/>
        <w:widowControl/>
        <w:rPr>
          <w:sz w:val="18"/>
          <w:szCs w:val="18"/>
        </w:rPr>
      </w:pPr>
    </w:p>
    <w:p w:rsidR="001C2A41" w:rsidRPr="00771D4A" w:rsidRDefault="001C2A41" w:rsidP="002969CC">
      <w:pPr>
        <w:pStyle w:val="ListParagraph"/>
        <w:widowControl/>
        <w:numPr>
          <w:ilvl w:val="1"/>
          <w:numId w:val="3"/>
        </w:numPr>
        <w:rPr>
          <w:szCs w:val="22"/>
        </w:rPr>
      </w:pPr>
      <w:r>
        <w:rPr>
          <w:szCs w:val="22"/>
        </w:rPr>
        <w:t>T</w:t>
      </w:r>
      <w:r w:rsidR="00920E38">
        <w:rPr>
          <w:szCs w:val="22"/>
        </w:rPr>
        <w:t>wo</w:t>
      </w:r>
      <w:r w:rsidRPr="00771D4A">
        <w:rPr>
          <w:szCs w:val="22"/>
        </w:rPr>
        <w:t xml:space="preserve"> Australian studies</w:t>
      </w:r>
      <w:r w:rsidR="00920E38">
        <w:rPr>
          <w:szCs w:val="22"/>
        </w:rPr>
        <w:t xml:space="preserve"> were presented as supporting evidence in the submission</w:t>
      </w:r>
      <w:r w:rsidRPr="00771D4A">
        <w:rPr>
          <w:szCs w:val="22"/>
        </w:rPr>
        <w:t>:</w:t>
      </w:r>
    </w:p>
    <w:p w:rsidR="001C2A41" w:rsidRPr="00771D4A" w:rsidRDefault="001C2A41" w:rsidP="002969CC">
      <w:pPr>
        <w:pStyle w:val="ListParagraph"/>
        <w:numPr>
          <w:ilvl w:val="0"/>
          <w:numId w:val="4"/>
        </w:numPr>
        <w:tabs>
          <w:tab w:val="left" w:pos="709"/>
        </w:tabs>
        <w:ind w:left="1134" w:hanging="392"/>
        <w:rPr>
          <w:szCs w:val="22"/>
        </w:rPr>
      </w:pPr>
      <w:r w:rsidRPr="00771D4A">
        <w:rPr>
          <w:szCs w:val="22"/>
        </w:rPr>
        <w:t xml:space="preserve">APML4: a single-arm study assessing </w:t>
      </w:r>
      <w:proofErr w:type="spellStart"/>
      <w:r w:rsidRPr="00771D4A">
        <w:rPr>
          <w:szCs w:val="22"/>
        </w:rPr>
        <w:t>ATO+ATRA+chemotherapy</w:t>
      </w:r>
      <w:proofErr w:type="spellEnd"/>
      <w:r w:rsidRPr="00771D4A">
        <w:rPr>
          <w:szCs w:val="22"/>
        </w:rPr>
        <w:t xml:space="preserve"> induction, ATO</w:t>
      </w:r>
      <w:r w:rsidR="00920E38">
        <w:rPr>
          <w:szCs w:val="22"/>
        </w:rPr>
        <w:t>+ATRA</w:t>
      </w:r>
      <w:r w:rsidRPr="00771D4A">
        <w:rPr>
          <w:szCs w:val="22"/>
        </w:rPr>
        <w:t xml:space="preserve"> consolidation therapy, and </w:t>
      </w:r>
      <w:proofErr w:type="spellStart"/>
      <w:r w:rsidRPr="00771D4A">
        <w:rPr>
          <w:szCs w:val="22"/>
        </w:rPr>
        <w:t>ATRA+chemotherapy</w:t>
      </w:r>
      <w:proofErr w:type="spellEnd"/>
      <w:r w:rsidRPr="00771D4A">
        <w:rPr>
          <w:szCs w:val="22"/>
        </w:rPr>
        <w:t xml:space="preserve"> maintenance therapy, in newly diagnosed patients with </w:t>
      </w:r>
      <w:r w:rsidR="00920E38">
        <w:rPr>
          <w:szCs w:val="22"/>
        </w:rPr>
        <w:t>either</w:t>
      </w:r>
      <w:r w:rsidRPr="00771D4A">
        <w:rPr>
          <w:szCs w:val="22"/>
        </w:rPr>
        <w:t xml:space="preserve"> low-intermediate and high risk APL</w:t>
      </w:r>
      <w:r w:rsidR="006E18C1">
        <w:rPr>
          <w:szCs w:val="22"/>
        </w:rPr>
        <w:t>;</w:t>
      </w:r>
      <w:r w:rsidR="00920E38" w:rsidRPr="00920E38">
        <w:rPr>
          <w:szCs w:val="22"/>
        </w:rPr>
        <w:t xml:space="preserve"> </w:t>
      </w:r>
      <w:r w:rsidRPr="00771D4A">
        <w:rPr>
          <w:szCs w:val="22"/>
        </w:rPr>
        <w:t>and</w:t>
      </w:r>
    </w:p>
    <w:p w:rsidR="001C2A41" w:rsidRPr="00951B9A" w:rsidRDefault="001C2A41" w:rsidP="002969CC">
      <w:pPr>
        <w:pStyle w:val="ListParagraph"/>
        <w:numPr>
          <w:ilvl w:val="0"/>
          <w:numId w:val="4"/>
        </w:numPr>
        <w:tabs>
          <w:tab w:val="left" w:pos="709"/>
        </w:tabs>
        <w:ind w:left="1134" w:hanging="392"/>
        <w:rPr>
          <w:szCs w:val="22"/>
        </w:rPr>
      </w:pPr>
      <w:r w:rsidRPr="00951B9A">
        <w:rPr>
          <w:szCs w:val="22"/>
        </w:rPr>
        <w:t xml:space="preserve">APML3: a single-arm study assessing </w:t>
      </w:r>
      <w:proofErr w:type="spellStart"/>
      <w:r w:rsidRPr="00951B9A">
        <w:rPr>
          <w:szCs w:val="22"/>
        </w:rPr>
        <w:t>ATRA+chemotherapy</w:t>
      </w:r>
      <w:proofErr w:type="spellEnd"/>
      <w:r w:rsidRPr="00951B9A">
        <w:rPr>
          <w:szCs w:val="22"/>
        </w:rPr>
        <w:t xml:space="preserve"> induction, ATRA monotherapy for consolidation, and </w:t>
      </w:r>
      <w:proofErr w:type="spellStart"/>
      <w:r w:rsidRPr="00951B9A">
        <w:rPr>
          <w:szCs w:val="22"/>
        </w:rPr>
        <w:t>ATRA+chemotherapy</w:t>
      </w:r>
      <w:proofErr w:type="spellEnd"/>
      <w:r w:rsidRPr="00951B9A">
        <w:rPr>
          <w:szCs w:val="22"/>
        </w:rPr>
        <w:t xml:space="preserve"> maintenance therapy, in newly diagnosed patients with </w:t>
      </w:r>
      <w:r w:rsidR="00920E38">
        <w:rPr>
          <w:szCs w:val="22"/>
        </w:rPr>
        <w:t>either</w:t>
      </w:r>
      <w:r w:rsidRPr="00951B9A">
        <w:rPr>
          <w:szCs w:val="22"/>
        </w:rPr>
        <w:t xml:space="preserve"> low-intermediate and high risk APL. </w:t>
      </w:r>
      <w:r w:rsidR="006E18C1">
        <w:rPr>
          <w:szCs w:val="22"/>
        </w:rPr>
        <w:t>APML3 was used as a c</w:t>
      </w:r>
      <w:r w:rsidR="00F55082">
        <w:rPr>
          <w:szCs w:val="22"/>
        </w:rPr>
        <w:t>omparator for APML4</w:t>
      </w:r>
      <w:r w:rsidR="006E18C1">
        <w:rPr>
          <w:szCs w:val="22"/>
        </w:rPr>
        <w:t>.</w:t>
      </w:r>
    </w:p>
    <w:p w:rsidR="001C2A41" w:rsidRPr="00951B9A" w:rsidRDefault="001C2A41" w:rsidP="001C2A41">
      <w:pPr>
        <w:pStyle w:val="ListParagraph"/>
        <w:widowControl/>
        <w:rPr>
          <w:szCs w:val="22"/>
        </w:rPr>
      </w:pPr>
    </w:p>
    <w:p w:rsidR="001C2A41" w:rsidRPr="00C14E13" w:rsidRDefault="001C2A41" w:rsidP="002969CC">
      <w:pPr>
        <w:pStyle w:val="ListParagraph"/>
        <w:widowControl/>
        <w:numPr>
          <w:ilvl w:val="1"/>
          <w:numId w:val="3"/>
        </w:numPr>
        <w:rPr>
          <w:szCs w:val="22"/>
        </w:rPr>
      </w:pPr>
      <w:r w:rsidRPr="00C14E13">
        <w:t>The regimen used in APML4 was not simply the addition of ATO to the APML3 regimen; the use of ATRA and chemotherapy differed between the two regimens in both the induction and consolidation phases.</w:t>
      </w:r>
    </w:p>
    <w:p w:rsidR="001C2A41" w:rsidRPr="00951B9A" w:rsidRDefault="001C2A41" w:rsidP="001C2A41">
      <w:pPr>
        <w:pStyle w:val="ListParagraph"/>
        <w:widowControl/>
        <w:rPr>
          <w:szCs w:val="22"/>
        </w:rPr>
      </w:pPr>
    </w:p>
    <w:p w:rsidR="00920E38" w:rsidRPr="00790CD9" w:rsidRDefault="00920E38" w:rsidP="002969CC">
      <w:pPr>
        <w:pStyle w:val="ListParagraph"/>
        <w:widowControl/>
        <w:numPr>
          <w:ilvl w:val="1"/>
          <w:numId w:val="3"/>
        </w:numPr>
        <w:rPr>
          <w:szCs w:val="22"/>
        </w:rPr>
      </w:pPr>
      <w:r w:rsidRPr="00790CD9">
        <w:t xml:space="preserve">The </w:t>
      </w:r>
      <w:proofErr w:type="spellStart"/>
      <w:r w:rsidRPr="00790CD9">
        <w:t>ATO+ATRA+chemotherapy</w:t>
      </w:r>
      <w:proofErr w:type="spellEnd"/>
      <w:r w:rsidRPr="00790CD9">
        <w:t xml:space="preserve"> regimen used in APML4 is consistent with the regimen proposed in the submission for previously untreated patients with high risk APL. It was the only evidence presented in the submission for this regimen and this patient subgroup. 23 (18.5%) of the patients in APML4 were high risk.</w:t>
      </w:r>
    </w:p>
    <w:p w:rsidR="001C2A41" w:rsidRPr="00951B9A" w:rsidRDefault="001C2A41" w:rsidP="001C2A41">
      <w:pPr>
        <w:pStyle w:val="ListParagraph"/>
        <w:widowControl/>
        <w:rPr>
          <w:szCs w:val="22"/>
        </w:rPr>
      </w:pPr>
    </w:p>
    <w:p w:rsidR="001C2A41" w:rsidRDefault="00920E38" w:rsidP="002969CC">
      <w:pPr>
        <w:pStyle w:val="ListParagraph"/>
        <w:widowControl/>
        <w:numPr>
          <w:ilvl w:val="1"/>
          <w:numId w:val="3"/>
        </w:numPr>
      </w:pPr>
      <w:r w:rsidRPr="00790CD9">
        <w:t xml:space="preserve">The initial treatment protocol in APML3 did not include maintenance therapy but was amended during the study to include 2 years of maintenance therapy. The submission presents outcomes for the </w:t>
      </w:r>
      <w:r w:rsidRPr="00790CD9">
        <w:rPr>
          <w:u w:val="single"/>
        </w:rPr>
        <w:t>subgroup</w:t>
      </w:r>
      <w:r w:rsidRPr="00790CD9">
        <w:t xml:space="preserve"> of patients recruited after the protocol amendment in order to indirectly (unadjusted) compare with APML4. 70/101 (69.3%) of patients in APLM3 were recruited subsequent to the protocol amendment introducing maintenance therapy. Of these, 15 (21.4%) were high risk patients.</w:t>
      </w:r>
    </w:p>
    <w:p w:rsidR="003C314E" w:rsidRDefault="003C314E" w:rsidP="003C314E">
      <w:pPr>
        <w:pStyle w:val="ListParagraph"/>
      </w:pPr>
    </w:p>
    <w:p w:rsidR="003C314E" w:rsidRPr="002F18CF" w:rsidRDefault="003C314E" w:rsidP="002969CC">
      <w:pPr>
        <w:pStyle w:val="ListParagraph"/>
        <w:widowControl/>
        <w:numPr>
          <w:ilvl w:val="1"/>
          <w:numId w:val="3"/>
        </w:numPr>
      </w:pPr>
      <w:r w:rsidRPr="002F18CF">
        <w:t>T</w:t>
      </w:r>
      <w:r w:rsidR="00227DE7" w:rsidRPr="002F18CF">
        <w:t xml:space="preserve">he ESC </w:t>
      </w:r>
      <w:r w:rsidR="00512F34" w:rsidRPr="002F18CF">
        <w:t>acknowledged</w:t>
      </w:r>
      <w:r w:rsidR="00227DE7" w:rsidRPr="002F18CF">
        <w:t xml:space="preserve"> that t</w:t>
      </w:r>
      <w:r w:rsidRPr="002F18CF">
        <w:t>wo additional publications were presented in the PSCR (p2):</w:t>
      </w:r>
    </w:p>
    <w:p w:rsidR="003C314E" w:rsidRPr="002F18CF" w:rsidRDefault="003C314E" w:rsidP="003C314E">
      <w:pPr>
        <w:pStyle w:val="ListParagraph"/>
        <w:widowControl/>
        <w:numPr>
          <w:ilvl w:val="0"/>
          <w:numId w:val="13"/>
        </w:numPr>
        <w:ind w:left="1134"/>
      </w:pPr>
      <w:proofErr w:type="spellStart"/>
      <w:r w:rsidRPr="002F18CF">
        <w:t>Iland</w:t>
      </w:r>
      <w:proofErr w:type="spellEnd"/>
      <w:r w:rsidRPr="002F18CF">
        <w:t xml:space="preserve"> et al 2015 present a comparison of results for sub-groups of low-intermediate and high risk patients recruited to the APML studies</w:t>
      </w:r>
      <w:r w:rsidR="00227DE7" w:rsidRPr="002F18CF">
        <w:t xml:space="preserve"> (see Table 2, PSCR p5)</w:t>
      </w:r>
      <w:r w:rsidRPr="002F18CF">
        <w:t xml:space="preserve">; and </w:t>
      </w:r>
    </w:p>
    <w:p w:rsidR="003C314E" w:rsidRPr="002F18CF" w:rsidRDefault="003C314E" w:rsidP="003C314E">
      <w:pPr>
        <w:pStyle w:val="ListParagraph"/>
        <w:widowControl/>
        <w:numPr>
          <w:ilvl w:val="0"/>
          <w:numId w:val="13"/>
        </w:numPr>
        <w:ind w:left="1134"/>
      </w:pPr>
      <w:r w:rsidRPr="002F18CF">
        <w:t xml:space="preserve">Burnett et al </w:t>
      </w:r>
      <w:r w:rsidR="001621B4" w:rsidRPr="002F18CF">
        <w:t xml:space="preserve">2015 </w:t>
      </w:r>
      <w:r w:rsidRPr="002F18CF">
        <w:t>(Lancet Oncology) has a similar design to the trial reported by Lo-Coco 2013 and includes high risk patients</w:t>
      </w:r>
      <w:r w:rsidR="00227DE7" w:rsidRPr="002F18CF">
        <w:t xml:space="preserve"> (see Table 3, PSCR p6)</w:t>
      </w:r>
      <w:r w:rsidRPr="002F18CF">
        <w:t>.</w:t>
      </w:r>
    </w:p>
    <w:p w:rsidR="00A34B61" w:rsidRPr="002F18CF" w:rsidRDefault="00227DE7" w:rsidP="00227DE7">
      <w:pPr>
        <w:widowControl/>
        <w:ind w:left="720"/>
        <w:jc w:val="left"/>
        <w:rPr>
          <w:szCs w:val="22"/>
        </w:rPr>
      </w:pPr>
      <w:r w:rsidRPr="002F18CF">
        <w:rPr>
          <w:szCs w:val="22"/>
        </w:rPr>
        <w:t xml:space="preserve">The results reported in both publications suggest that the </w:t>
      </w:r>
      <w:r w:rsidR="00512F34" w:rsidRPr="002F18CF">
        <w:rPr>
          <w:szCs w:val="22"/>
        </w:rPr>
        <w:t>relative treatment benefit of adding ATO to the treatment regimen in high risk patients appears to be consistent with that observed in the low-intermediate risk subgroup. These new publications have not been evaluated, but likely have the same limitations as the discussed for the evidence presented in the submission.</w:t>
      </w:r>
    </w:p>
    <w:p w:rsidR="00227DE7" w:rsidRPr="00227DE7" w:rsidRDefault="00227DE7" w:rsidP="00227DE7">
      <w:pPr>
        <w:widowControl/>
        <w:ind w:left="720"/>
        <w:jc w:val="left"/>
        <w:rPr>
          <w:i/>
          <w:szCs w:val="22"/>
        </w:rPr>
      </w:pPr>
    </w:p>
    <w:p w:rsidR="00693029" w:rsidRDefault="00693029" w:rsidP="002969CC">
      <w:pPr>
        <w:pStyle w:val="ListParagraph"/>
        <w:widowControl/>
        <w:numPr>
          <w:ilvl w:val="1"/>
          <w:numId w:val="3"/>
        </w:numPr>
        <w:rPr>
          <w:szCs w:val="22"/>
        </w:rPr>
      </w:pPr>
      <w:r w:rsidRPr="00B50DB8">
        <w:rPr>
          <w:szCs w:val="22"/>
        </w:rPr>
        <w:t xml:space="preserve">Details of the trials </w:t>
      </w:r>
      <w:r>
        <w:rPr>
          <w:szCs w:val="22"/>
        </w:rPr>
        <w:t xml:space="preserve">and single-arm studies </w:t>
      </w:r>
      <w:r w:rsidRPr="00B50DB8">
        <w:rPr>
          <w:szCs w:val="22"/>
        </w:rPr>
        <w:t>presented in the submission are provided in the table below.</w:t>
      </w:r>
    </w:p>
    <w:p w:rsidR="005169F5" w:rsidRDefault="005169F5">
      <w:pPr>
        <w:widowControl/>
        <w:jc w:val="left"/>
        <w:rPr>
          <w:rFonts w:ascii="Arial Narrow" w:hAnsi="Arial Narrow"/>
          <w:b/>
          <w:sz w:val="20"/>
        </w:rPr>
      </w:pPr>
    </w:p>
    <w:p w:rsidR="001C2A41" w:rsidRDefault="001C2A41" w:rsidP="001C2A41">
      <w:pPr>
        <w:pStyle w:val="TableHeader"/>
        <w:ind w:firstLine="720"/>
      </w:pPr>
      <w:r w:rsidRPr="005C7F65">
        <w:t xml:space="preserve">Table </w:t>
      </w:r>
      <w:r>
        <w:t>1</w:t>
      </w:r>
      <w:r w:rsidRPr="005C7F65">
        <w:t>: Trials</w:t>
      </w:r>
      <w:r>
        <w:t xml:space="preserve">, </w:t>
      </w:r>
      <w:r w:rsidR="0061773E">
        <w:t>single-arm studies</w:t>
      </w:r>
      <w:r w:rsidR="0061773E" w:rsidRPr="005C7F65">
        <w:t xml:space="preserve"> </w:t>
      </w:r>
      <w:r w:rsidRPr="005C7F65">
        <w:t>and associated reports presented in the submission</w:t>
      </w:r>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1"/>
        <w:gridCol w:w="3564"/>
        <w:gridCol w:w="3784"/>
      </w:tblGrid>
      <w:tr w:rsidR="001C2A41" w:rsidRPr="004E2ADC" w:rsidTr="0014066D">
        <w:trPr>
          <w:tblHeader/>
        </w:trPr>
        <w:tc>
          <w:tcPr>
            <w:tcW w:w="594" w:type="pct"/>
          </w:tcPr>
          <w:p w:rsidR="001C2A41" w:rsidRPr="004E2ADC" w:rsidRDefault="001C2A41" w:rsidP="00752277">
            <w:pPr>
              <w:jc w:val="left"/>
              <w:rPr>
                <w:rFonts w:ascii="Arial Narrow" w:hAnsi="Arial Narrow"/>
                <w:b/>
                <w:sz w:val="20"/>
              </w:rPr>
            </w:pPr>
            <w:r w:rsidRPr="004E2ADC">
              <w:rPr>
                <w:rFonts w:ascii="Arial Narrow" w:hAnsi="Arial Narrow"/>
                <w:b/>
                <w:sz w:val="20"/>
              </w:rPr>
              <w:t>Trial ID</w:t>
            </w:r>
          </w:p>
        </w:tc>
        <w:tc>
          <w:tcPr>
            <w:tcW w:w="2137" w:type="pct"/>
          </w:tcPr>
          <w:p w:rsidR="001C2A41" w:rsidRPr="004E2ADC" w:rsidRDefault="001C2A41" w:rsidP="00752277">
            <w:pPr>
              <w:jc w:val="center"/>
              <w:rPr>
                <w:rFonts w:ascii="Arial Narrow" w:hAnsi="Arial Narrow"/>
                <w:b/>
                <w:sz w:val="20"/>
              </w:rPr>
            </w:pPr>
            <w:r w:rsidRPr="004E2ADC">
              <w:rPr>
                <w:rFonts w:ascii="Arial Narrow" w:hAnsi="Arial Narrow"/>
                <w:b/>
                <w:sz w:val="20"/>
              </w:rPr>
              <w:t>Protocol title/ Publication title</w:t>
            </w:r>
          </w:p>
        </w:tc>
        <w:tc>
          <w:tcPr>
            <w:tcW w:w="2269" w:type="pct"/>
          </w:tcPr>
          <w:p w:rsidR="001C2A41" w:rsidRPr="004E2ADC" w:rsidRDefault="001C2A41" w:rsidP="00752277">
            <w:pPr>
              <w:jc w:val="center"/>
              <w:rPr>
                <w:rFonts w:ascii="Arial Narrow" w:hAnsi="Arial Narrow"/>
                <w:b/>
                <w:sz w:val="20"/>
              </w:rPr>
            </w:pPr>
            <w:r w:rsidRPr="004E2ADC">
              <w:rPr>
                <w:rFonts w:ascii="Arial Narrow" w:hAnsi="Arial Narrow"/>
                <w:b/>
                <w:sz w:val="20"/>
              </w:rPr>
              <w:t>Publication citation</w:t>
            </w:r>
          </w:p>
        </w:tc>
      </w:tr>
      <w:tr w:rsidR="001C2A41" w:rsidRPr="004E2ADC" w:rsidTr="00752277">
        <w:tc>
          <w:tcPr>
            <w:tcW w:w="5000" w:type="pct"/>
            <w:gridSpan w:val="3"/>
            <w:tcBorders>
              <w:bottom w:val="single" w:sz="4" w:space="0" w:color="auto"/>
            </w:tcBorders>
          </w:tcPr>
          <w:p w:rsidR="001C2A41" w:rsidRPr="004E2ADC" w:rsidRDefault="001C2A41" w:rsidP="00752277">
            <w:pPr>
              <w:jc w:val="left"/>
              <w:rPr>
                <w:rFonts w:ascii="Arial Narrow" w:hAnsi="Arial Narrow"/>
                <w:b/>
                <w:sz w:val="20"/>
              </w:rPr>
            </w:pPr>
            <w:r w:rsidRPr="004E2ADC">
              <w:rPr>
                <w:rFonts w:ascii="Arial Narrow" w:hAnsi="Arial Narrow"/>
                <w:b/>
                <w:sz w:val="20"/>
              </w:rPr>
              <w:t>Direct randomised trial(s)</w:t>
            </w:r>
          </w:p>
        </w:tc>
      </w:tr>
      <w:tr w:rsidR="001C2A41" w:rsidRPr="004E2ADC" w:rsidTr="00752277">
        <w:tc>
          <w:tcPr>
            <w:tcW w:w="594" w:type="pct"/>
            <w:tcBorders>
              <w:bottom w:val="nil"/>
            </w:tcBorders>
          </w:tcPr>
          <w:p w:rsidR="001C2A41" w:rsidRPr="004E2ADC" w:rsidRDefault="001C2A41" w:rsidP="00752277">
            <w:pPr>
              <w:spacing w:after="60"/>
              <w:jc w:val="left"/>
              <w:rPr>
                <w:rFonts w:ascii="Arial Narrow" w:hAnsi="Arial Narrow"/>
                <w:sz w:val="20"/>
              </w:rPr>
            </w:pPr>
            <w:r>
              <w:rPr>
                <w:rFonts w:ascii="Arial Narrow" w:hAnsi="Arial Narrow"/>
                <w:sz w:val="20"/>
              </w:rPr>
              <w:t>Lo-Coco 2013</w:t>
            </w:r>
          </w:p>
        </w:tc>
        <w:tc>
          <w:tcPr>
            <w:tcW w:w="2137" w:type="pct"/>
            <w:tcBorders>
              <w:bottom w:val="nil"/>
            </w:tcBorders>
          </w:tcPr>
          <w:p w:rsidR="001C2A41" w:rsidRPr="00F95FDC" w:rsidRDefault="001C2A41" w:rsidP="00752277">
            <w:pPr>
              <w:spacing w:after="60"/>
              <w:jc w:val="left"/>
              <w:rPr>
                <w:rFonts w:ascii="Arial Narrow" w:hAnsi="Arial Narrow"/>
                <w:sz w:val="20"/>
              </w:rPr>
            </w:pPr>
            <w:r>
              <w:rPr>
                <w:rFonts w:ascii="Arial Narrow" w:hAnsi="Arial Narrow"/>
                <w:sz w:val="20"/>
              </w:rPr>
              <w:t xml:space="preserve">Lo-Coco F, </w:t>
            </w:r>
            <w:proofErr w:type="spellStart"/>
            <w:r>
              <w:rPr>
                <w:rFonts w:ascii="Arial Narrow" w:hAnsi="Arial Narrow"/>
                <w:sz w:val="20"/>
              </w:rPr>
              <w:t>Avvisati</w:t>
            </w:r>
            <w:proofErr w:type="spellEnd"/>
            <w:r>
              <w:rPr>
                <w:rFonts w:ascii="Arial Narrow" w:hAnsi="Arial Narrow"/>
                <w:sz w:val="20"/>
              </w:rPr>
              <w:t xml:space="preserve"> M, </w:t>
            </w:r>
            <w:proofErr w:type="spellStart"/>
            <w:r>
              <w:rPr>
                <w:rFonts w:ascii="Arial Narrow" w:hAnsi="Arial Narrow"/>
                <w:sz w:val="20"/>
              </w:rPr>
              <w:t>Vignetti</w:t>
            </w:r>
            <w:proofErr w:type="spellEnd"/>
            <w:r>
              <w:rPr>
                <w:rFonts w:ascii="Arial Narrow" w:hAnsi="Arial Narrow"/>
                <w:sz w:val="20"/>
              </w:rPr>
              <w:t xml:space="preserve"> C, </w:t>
            </w:r>
            <w:r>
              <w:rPr>
                <w:rFonts w:ascii="Arial Narrow" w:hAnsi="Arial Narrow"/>
                <w:i/>
                <w:sz w:val="20"/>
              </w:rPr>
              <w:t>et al.</w:t>
            </w:r>
            <w:r>
              <w:rPr>
                <w:rFonts w:ascii="Arial Narrow" w:hAnsi="Arial Narrow"/>
                <w:sz w:val="20"/>
              </w:rPr>
              <w:t xml:space="preserve"> Retinoic acid and arsenic trioxide for acute </w:t>
            </w:r>
            <w:proofErr w:type="spellStart"/>
            <w:r>
              <w:rPr>
                <w:rFonts w:ascii="Arial Narrow" w:hAnsi="Arial Narrow"/>
                <w:sz w:val="20"/>
              </w:rPr>
              <w:t>promyelocytic</w:t>
            </w:r>
            <w:proofErr w:type="spellEnd"/>
            <w:r>
              <w:rPr>
                <w:rFonts w:ascii="Arial Narrow" w:hAnsi="Arial Narrow"/>
                <w:sz w:val="20"/>
              </w:rPr>
              <w:t xml:space="preserve"> </w:t>
            </w:r>
            <w:r w:rsidR="00AA6A5A">
              <w:rPr>
                <w:rFonts w:ascii="Arial Narrow" w:hAnsi="Arial Narrow"/>
                <w:sz w:val="20"/>
              </w:rPr>
              <w:t>leukaemia</w:t>
            </w:r>
            <w:r>
              <w:rPr>
                <w:rFonts w:ascii="Arial Narrow" w:hAnsi="Arial Narrow"/>
                <w:sz w:val="20"/>
              </w:rPr>
              <w:t>.</w:t>
            </w:r>
          </w:p>
        </w:tc>
        <w:tc>
          <w:tcPr>
            <w:tcW w:w="2269" w:type="pct"/>
            <w:tcBorders>
              <w:bottom w:val="nil"/>
            </w:tcBorders>
          </w:tcPr>
          <w:p w:rsidR="001C2A41" w:rsidRPr="00F95FDC" w:rsidRDefault="001C2A41" w:rsidP="00752277">
            <w:pPr>
              <w:spacing w:after="60"/>
              <w:jc w:val="left"/>
              <w:rPr>
                <w:rFonts w:ascii="Arial Narrow" w:hAnsi="Arial Narrow"/>
                <w:sz w:val="20"/>
              </w:rPr>
            </w:pPr>
            <w:r>
              <w:rPr>
                <w:rFonts w:ascii="Arial Narrow" w:hAnsi="Arial Narrow"/>
                <w:i/>
                <w:sz w:val="20"/>
              </w:rPr>
              <w:t>New England Journal of Medicine</w:t>
            </w:r>
            <w:r>
              <w:rPr>
                <w:rFonts w:ascii="Arial Narrow" w:hAnsi="Arial Narrow"/>
                <w:sz w:val="20"/>
              </w:rPr>
              <w:t xml:space="preserve"> 2013; 369 (2):111-121.</w:t>
            </w:r>
          </w:p>
        </w:tc>
      </w:tr>
      <w:tr w:rsidR="001C2A41" w:rsidRPr="004E2ADC" w:rsidTr="00752277">
        <w:tc>
          <w:tcPr>
            <w:tcW w:w="594" w:type="pct"/>
            <w:tcBorders>
              <w:top w:val="nil"/>
              <w:bottom w:val="nil"/>
            </w:tcBorders>
          </w:tcPr>
          <w:p w:rsidR="001C2A41" w:rsidRDefault="001C2A41" w:rsidP="00752277">
            <w:pPr>
              <w:spacing w:after="60"/>
              <w:jc w:val="left"/>
              <w:rPr>
                <w:rFonts w:ascii="Arial Narrow" w:hAnsi="Arial Narrow"/>
                <w:sz w:val="20"/>
              </w:rPr>
            </w:pPr>
          </w:p>
        </w:tc>
        <w:tc>
          <w:tcPr>
            <w:tcW w:w="2137" w:type="pct"/>
            <w:tcBorders>
              <w:top w:val="nil"/>
              <w:bottom w:val="nil"/>
            </w:tcBorders>
          </w:tcPr>
          <w:p w:rsidR="001C2A41" w:rsidRDefault="001C2A41" w:rsidP="00752277">
            <w:pPr>
              <w:spacing w:after="60"/>
              <w:jc w:val="left"/>
              <w:rPr>
                <w:rFonts w:ascii="Arial Narrow" w:hAnsi="Arial Narrow"/>
                <w:sz w:val="20"/>
              </w:rPr>
            </w:pPr>
            <w:proofErr w:type="spellStart"/>
            <w:r>
              <w:rPr>
                <w:rFonts w:ascii="Arial Narrow" w:hAnsi="Arial Narrow"/>
                <w:sz w:val="20"/>
              </w:rPr>
              <w:t>Efficace</w:t>
            </w:r>
            <w:proofErr w:type="spellEnd"/>
            <w:r>
              <w:rPr>
                <w:rFonts w:ascii="Arial Narrow" w:hAnsi="Arial Narrow"/>
                <w:sz w:val="20"/>
              </w:rPr>
              <w:t xml:space="preserve"> F, </w:t>
            </w:r>
            <w:proofErr w:type="spellStart"/>
            <w:r>
              <w:rPr>
                <w:rFonts w:ascii="Arial Narrow" w:hAnsi="Arial Narrow"/>
                <w:sz w:val="20"/>
              </w:rPr>
              <w:t>Mandelli</w:t>
            </w:r>
            <w:proofErr w:type="spellEnd"/>
            <w:r>
              <w:rPr>
                <w:rFonts w:ascii="Arial Narrow" w:hAnsi="Arial Narrow"/>
                <w:sz w:val="20"/>
              </w:rPr>
              <w:t xml:space="preserve"> F, </w:t>
            </w:r>
            <w:proofErr w:type="spellStart"/>
            <w:r>
              <w:rPr>
                <w:rFonts w:ascii="Arial Narrow" w:hAnsi="Arial Narrow"/>
                <w:sz w:val="20"/>
              </w:rPr>
              <w:t>Avvisati</w:t>
            </w:r>
            <w:proofErr w:type="spellEnd"/>
            <w:r>
              <w:rPr>
                <w:rFonts w:ascii="Arial Narrow" w:hAnsi="Arial Narrow"/>
                <w:sz w:val="20"/>
              </w:rPr>
              <w:t xml:space="preserve"> G, </w:t>
            </w:r>
            <w:r>
              <w:rPr>
                <w:rFonts w:ascii="Arial Narrow" w:hAnsi="Arial Narrow"/>
                <w:i/>
                <w:sz w:val="20"/>
              </w:rPr>
              <w:t>et al.</w:t>
            </w:r>
            <w:r>
              <w:rPr>
                <w:rFonts w:ascii="Arial Narrow" w:hAnsi="Arial Narrow"/>
                <w:sz w:val="20"/>
              </w:rPr>
              <w:t xml:space="preserve"> Randomized phase III trial </w:t>
            </w:r>
            <w:r w:rsidRPr="00F95FDC">
              <w:rPr>
                <w:rFonts w:ascii="Arial Narrow" w:hAnsi="Arial Narrow"/>
                <w:sz w:val="20"/>
              </w:rPr>
              <w:t xml:space="preserve">of retinoic acid and arsenic trioxide versus retinoic acid and chemotherapy in patients with acute </w:t>
            </w:r>
            <w:proofErr w:type="spellStart"/>
            <w:r w:rsidRPr="00F95FDC">
              <w:rPr>
                <w:rFonts w:ascii="Arial Narrow" w:hAnsi="Arial Narrow"/>
                <w:sz w:val="20"/>
              </w:rPr>
              <w:t>promyelocytic</w:t>
            </w:r>
            <w:proofErr w:type="spellEnd"/>
            <w:r w:rsidRPr="00F95FDC">
              <w:rPr>
                <w:rFonts w:ascii="Arial Narrow" w:hAnsi="Arial Narrow"/>
                <w:sz w:val="20"/>
              </w:rPr>
              <w:t xml:space="preserve"> </w:t>
            </w:r>
            <w:proofErr w:type="spellStart"/>
            <w:r w:rsidRPr="00F95FDC">
              <w:rPr>
                <w:rFonts w:ascii="Arial Narrow" w:hAnsi="Arial Narrow"/>
                <w:sz w:val="20"/>
              </w:rPr>
              <w:t>leukemia</w:t>
            </w:r>
            <w:proofErr w:type="spellEnd"/>
            <w:r w:rsidRPr="00F95FDC">
              <w:rPr>
                <w:rFonts w:ascii="Arial Narrow" w:hAnsi="Arial Narrow"/>
                <w:sz w:val="20"/>
              </w:rPr>
              <w:t>: health-related quality-of-life outcomes.</w:t>
            </w:r>
          </w:p>
        </w:tc>
        <w:tc>
          <w:tcPr>
            <w:tcW w:w="2269" w:type="pct"/>
            <w:tcBorders>
              <w:top w:val="nil"/>
              <w:bottom w:val="nil"/>
            </w:tcBorders>
          </w:tcPr>
          <w:p w:rsidR="001C2A41" w:rsidRPr="00F95FDC" w:rsidRDefault="001C2A41" w:rsidP="00752277">
            <w:pPr>
              <w:spacing w:after="60"/>
              <w:jc w:val="left"/>
              <w:rPr>
                <w:rFonts w:ascii="Arial Narrow" w:hAnsi="Arial Narrow"/>
                <w:sz w:val="20"/>
              </w:rPr>
            </w:pPr>
            <w:r>
              <w:rPr>
                <w:rFonts w:ascii="Arial Narrow" w:hAnsi="Arial Narrow"/>
                <w:i/>
                <w:sz w:val="20"/>
              </w:rPr>
              <w:t>Journal of Clinical Oncology</w:t>
            </w:r>
            <w:r>
              <w:rPr>
                <w:rFonts w:ascii="Arial Narrow" w:hAnsi="Arial Narrow"/>
                <w:sz w:val="20"/>
              </w:rPr>
              <w:t xml:space="preserve"> 2014; 32 (30):3406-3412.</w:t>
            </w:r>
          </w:p>
        </w:tc>
      </w:tr>
      <w:tr w:rsidR="001C2A41" w:rsidRPr="004E2ADC" w:rsidTr="00752277">
        <w:tc>
          <w:tcPr>
            <w:tcW w:w="594" w:type="pct"/>
            <w:tcBorders>
              <w:top w:val="nil"/>
            </w:tcBorders>
          </w:tcPr>
          <w:p w:rsidR="001C2A41" w:rsidRDefault="001C2A41" w:rsidP="00752277">
            <w:pPr>
              <w:jc w:val="left"/>
              <w:rPr>
                <w:rFonts w:ascii="Arial Narrow" w:hAnsi="Arial Narrow"/>
                <w:sz w:val="20"/>
              </w:rPr>
            </w:pPr>
          </w:p>
        </w:tc>
        <w:tc>
          <w:tcPr>
            <w:tcW w:w="2137" w:type="pct"/>
            <w:tcBorders>
              <w:top w:val="nil"/>
            </w:tcBorders>
          </w:tcPr>
          <w:p w:rsidR="001C2A41" w:rsidRDefault="001C2A41" w:rsidP="00752277">
            <w:pPr>
              <w:jc w:val="left"/>
              <w:rPr>
                <w:rFonts w:ascii="Arial Narrow" w:hAnsi="Arial Narrow"/>
                <w:sz w:val="20"/>
              </w:rPr>
            </w:pPr>
            <w:r>
              <w:rPr>
                <w:rFonts w:ascii="Arial Narrow" w:hAnsi="Arial Narrow"/>
                <w:sz w:val="20"/>
              </w:rPr>
              <w:t xml:space="preserve">Protocol APL0406: A randomised phase III study to compare arsenic (ATO) combined to ATRA versus standard ATRA and </w:t>
            </w:r>
            <w:proofErr w:type="spellStart"/>
            <w:r>
              <w:rPr>
                <w:rFonts w:ascii="Arial Narrow" w:hAnsi="Arial Narrow"/>
                <w:sz w:val="20"/>
              </w:rPr>
              <w:t>anthracycline</w:t>
            </w:r>
            <w:proofErr w:type="spellEnd"/>
            <w:r>
              <w:rPr>
                <w:rFonts w:ascii="Arial Narrow" w:hAnsi="Arial Narrow"/>
                <w:sz w:val="20"/>
              </w:rPr>
              <w:t xml:space="preserve">-based chemotherapy (AIDA regimen) for newly diagnosed, </w:t>
            </w:r>
            <w:proofErr w:type="spellStart"/>
            <w:r>
              <w:rPr>
                <w:rFonts w:ascii="Arial Narrow" w:hAnsi="Arial Narrow"/>
                <w:sz w:val="20"/>
              </w:rPr>
              <w:t>non high-risk</w:t>
            </w:r>
            <w:proofErr w:type="spellEnd"/>
            <w:r>
              <w:rPr>
                <w:rFonts w:ascii="Arial Narrow" w:hAnsi="Arial Narrow"/>
                <w:sz w:val="20"/>
              </w:rPr>
              <w:t xml:space="preserve"> acute </w:t>
            </w:r>
            <w:proofErr w:type="spellStart"/>
            <w:r>
              <w:rPr>
                <w:rFonts w:ascii="Arial Narrow" w:hAnsi="Arial Narrow"/>
                <w:sz w:val="20"/>
              </w:rPr>
              <w:t>promyelocytic</w:t>
            </w:r>
            <w:proofErr w:type="spellEnd"/>
            <w:r>
              <w:rPr>
                <w:rFonts w:ascii="Arial Narrow" w:hAnsi="Arial Narrow"/>
                <w:sz w:val="20"/>
              </w:rPr>
              <w:t xml:space="preserve"> </w:t>
            </w:r>
            <w:proofErr w:type="spellStart"/>
            <w:r>
              <w:rPr>
                <w:rFonts w:ascii="Arial Narrow" w:hAnsi="Arial Narrow"/>
                <w:sz w:val="20"/>
              </w:rPr>
              <w:t>leukemia</w:t>
            </w:r>
            <w:proofErr w:type="spellEnd"/>
            <w:r>
              <w:rPr>
                <w:rFonts w:ascii="Arial Narrow" w:hAnsi="Arial Narrow"/>
                <w:sz w:val="20"/>
              </w:rPr>
              <w:t>.</w:t>
            </w:r>
          </w:p>
        </w:tc>
        <w:tc>
          <w:tcPr>
            <w:tcW w:w="2269" w:type="pct"/>
            <w:tcBorders>
              <w:top w:val="nil"/>
            </w:tcBorders>
          </w:tcPr>
          <w:p w:rsidR="001C2A41" w:rsidRPr="00F95FDC" w:rsidRDefault="001C2A41" w:rsidP="00752277">
            <w:pPr>
              <w:jc w:val="left"/>
              <w:rPr>
                <w:rFonts w:ascii="Arial Narrow" w:hAnsi="Arial Narrow"/>
                <w:sz w:val="20"/>
              </w:rPr>
            </w:pPr>
            <w:r w:rsidRPr="00F95FDC">
              <w:rPr>
                <w:rFonts w:ascii="Arial Narrow" w:hAnsi="Arial Narrow"/>
                <w:sz w:val="20"/>
              </w:rPr>
              <w:t>February 2007</w:t>
            </w:r>
          </w:p>
        </w:tc>
      </w:tr>
      <w:tr w:rsidR="001C2A41" w:rsidRPr="004E2ADC" w:rsidTr="00752277">
        <w:tc>
          <w:tcPr>
            <w:tcW w:w="594" w:type="pct"/>
          </w:tcPr>
          <w:p w:rsidR="001C2A41" w:rsidRPr="004E2ADC" w:rsidRDefault="001C2A41" w:rsidP="00752277">
            <w:pPr>
              <w:jc w:val="left"/>
              <w:rPr>
                <w:rFonts w:ascii="Arial Narrow" w:hAnsi="Arial Narrow"/>
                <w:sz w:val="20"/>
              </w:rPr>
            </w:pPr>
            <w:r>
              <w:rPr>
                <w:rFonts w:ascii="Arial Narrow" w:hAnsi="Arial Narrow"/>
                <w:sz w:val="20"/>
              </w:rPr>
              <w:t>Shen 2004</w:t>
            </w:r>
          </w:p>
        </w:tc>
        <w:tc>
          <w:tcPr>
            <w:tcW w:w="2137" w:type="pct"/>
          </w:tcPr>
          <w:p w:rsidR="001C2A41" w:rsidRPr="007C024F" w:rsidRDefault="001C2A41" w:rsidP="00752277">
            <w:pPr>
              <w:jc w:val="left"/>
              <w:rPr>
                <w:rFonts w:ascii="Arial Narrow" w:hAnsi="Arial Narrow"/>
                <w:b/>
                <w:sz w:val="20"/>
              </w:rPr>
            </w:pPr>
            <w:r>
              <w:rPr>
                <w:rFonts w:ascii="Arial Narrow" w:hAnsi="Arial Narrow"/>
                <w:sz w:val="20"/>
              </w:rPr>
              <w:t xml:space="preserve">Shen ZX, Shi ZZ, Fang J </w:t>
            </w:r>
            <w:r>
              <w:rPr>
                <w:rFonts w:ascii="Arial Narrow" w:hAnsi="Arial Narrow"/>
                <w:i/>
                <w:sz w:val="20"/>
              </w:rPr>
              <w:t>et al.</w:t>
            </w:r>
            <w:r>
              <w:rPr>
                <w:rFonts w:ascii="Arial Narrow" w:hAnsi="Arial Narrow"/>
                <w:sz w:val="20"/>
              </w:rPr>
              <w:t xml:space="preserve"> </w:t>
            </w:r>
            <w:r w:rsidRPr="007C024F">
              <w:rPr>
                <w:rFonts w:ascii="Arial Narrow" w:hAnsi="Arial Narrow"/>
                <w:sz w:val="20"/>
              </w:rPr>
              <w:t>All-</w:t>
            </w:r>
            <w:r w:rsidRPr="007C024F">
              <w:rPr>
                <w:rFonts w:ascii="Arial Narrow" w:hAnsi="Arial Narrow"/>
                <w:i/>
                <w:sz w:val="20"/>
              </w:rPr>
              <w:t>trans</w:t>
            </w:r>
            <w:r w:rsidRPr="007C024F">
              <w:rPr>
                <w:rFonts w:ascii="Arial Narrow" w:hAnsi="Arial Narrow"/>
                <w:sz w:val="20"/>
              </w:rPr>
              <w:t xml:space="preserve"> retinoic acid/As</w:t>
            </w:r>
            <w:r w:rsidRPr="007C024F">
              <w:rPr>
                <w:rFonts w:ascii="Arial Narrow" w:hAnsi="Arial Narrow"/>
                <w:sz w:val="20"/>
                <w:vertAlign w:val="subscript"/>
              </w:rPr>
              <w:t>2</w:t>
            </w:r>
            <w:r w:rsidRPr="007C024F">
              <w:rPr>
                <w:rFonts w:ascii="Arial Narrow" w:hAnsi="Arial Narrow"/>
                <w:sz w:val="20"/>
              </w:rPr>
              <w:t>O</w:t>
            </w:r>
            <w:r w:rsidRPr="007C024F">
              <w:rPr>
                <w:rFonts w:ascii="Arial Narrow" w:hAnsi="Arial Narrow"/>
                <w:sz w:val="20"/>
                <w:vertAlign w:val="subscript"/>
              </w:rPr>
              <w:t>3</w:t>
            </w:r>
            <w:r w:rsidRPr="007C024F">
              <w:rPr>
                <w:rFonts w:ascii="Arial Narrow" w:hAnsi="Arial Narrow"/>
                <w:sz w:val="20"/>
              </w:rPr>
              <w:t xml:space="preserve"> combination yields a high quality remission and survival in newly diagnosed acute </w:t>
            </w:r>
            <w:proofErr w:type="spellStart"/>
            <w:r w:rsidRPr="007C024F">
              <w:rPr>
                <w:rFonts w:ascii="Arial Narrow" w:hAnsi="Arial Narrow"/>
                <w:sz w:val="20"/>
              </w:rPr>
              <w:t>promyelocytic</w:t>
            </w:r>
            <w:proofErr w:type="spellEnd"/>
            <w:r w:rsidRPr="007C024F">
              <w:rPr>
                <w:rFonts w:ascii="Arial Narrow" w:hAnsi="Arial Narrow"/>
                <w:sz w:val="20"/>
              </w:rPr>
              <w:t xml:space="preserve"> </w:t>
            </w:r>
            <w:proofErr w:type="spellStart"/>
            <w:r w:rsidRPr="007C024F">
              <w:rPr>
                <w:rFonts w:ascii="Arial Narrow" w:hAnsi="Arial Narrow"/>
                <w:sz w:val="20"/>
              </w:rPr>
              <w:t>leukemia</w:t>
            </w:r>
            <w:proofErr w:type="spellEnd"/>
            <w:r w:rsidRPr="007C024F">
              <w:rPr>
                <w:rFonts w:ascii="Arial Narrow" w:hAnsi="Arial Narrow"/>
                <w:sz w:val="20"/>
              </w:rPr>
              <w:t>.</w:t>
            </w:r>
          </w:p>
        </w:tc>
        <w:tc>
          <w:tcPr>
            <w:tcW w:w="2269" w:type="pct"/>
          </w:tcPr>
          <w:p w:rsidR="001C2A41" w:rsidRPr="007C024F" w:rsidRDefault="001C2A41" w:rsidP="00752277">
            <w:pPr>
              <w:jc w:val="left"/>
              <w:rPr>
                <w:rFonts w:ascii="Arial Narrow" w:hAnsi="Arial Narrow"/>
                <w:b/>
                <w:sz w:val="20"/>
              </w:rPr>
            </w:pPr>
            <w:r>
              <w:rPr>
                <w:rFonts w:ascii="Arial Narrow" w:hAnsi="Arial Narrow"/>
                <w:i/>
                <w:sz w:val="20"/>
              </w:rPr>
              <w:t>Proceedings of the National Academy of Science USA</w:t>
            </w:r>
            <w:r>
              <w:rPr>
                <w:rFonts w:ascii="Arial Narrow" w:hAnsi="Arial Narrow"/>
                <w:sz w:val="20"/>
              </w:rPr>
              <w:t xml:space="preserve"> 2004; 101 (15): 5328-5335.</w:t>
            </w:r>
          </w:p>
        </w:tc>
      </w:tr>
      <w:tr w:rsidR="001C2A41" w:rsidRPr="004E2ADC" w:rsidTr="00752277">
        <w:tc>
          <w:tcPr>
            <w:tcW w:w="5000" w:type="pct"/>
            <w:gridSpan w:val="3"/>
            <w:tcBorders>
              <w:bottom w:val="single" w:sz="4" w:space="0" w:color="auto"/>
            </w:tcBorders>
          </w:tcPr>
          <w:p w:rsidR="001C2A41" w:rsidRPr="004E2ADC" w:rsidRDefault="001C2A41" w:rsidP="00752277">
            <w:pPr>
              <w:jc w:val="left"/>
              <w:rPr>
                <w:rFonts w:ascii="Arial Narrow" w:hAnsi="Arial Narrow"/>
                <w:b/>
                <w:sz w:val="20"/>
              </w:rPr>
            </w:pPr>
            <w:r w:rsidRPr="004E2ADC">
              <w:rPr>
                <w:rFonts w:ascii="Arial Narrow" w:hAnsi="Arial Narrow"/>
                <w:b/>
                <w:sz w:val="20"/>
              </w:rPr>
              <w:t xml:space="preserve">Supplementary </w:t>
            </w:r>
            <w:r>
              <w:rPr>
                <w:rFonts w:ascii="Arial Narrow" w:hAnsi="Arial Narrow"/>
                <w:b/>
                <w:sz w:val="20"/>
              </w:rPr>
              <w:t>studies</w:t>
            </w:r>
          </w:p>
        </w:tc>
      </w:tr>
      <w:tr w:rsidR="001C2A41" w:rsidRPr="004E2ADC" w:rsidTr="00752277">
        <w:tc>
          <w:tcPr>
            <w:tcW w:w="594" w:type="pct"/>
            <w:tcBorders>
              <w:bottom w:val="nil"/>
            </w:tcBorders>
          </w:tcPr>
          <w:p w:rsidR="001C2A41" w:rsidRPr="004E2ADC" w:rsidRDefault="001C2A41" w:rsidP="00752277">
            <w:pPr>
              <w:spacing w:after="60"/>
              <w:jc w:val="left"/>
              <w:rPr>
                <w:rFonts w:ascii="Arial Narrow" w:hAnsi="Arial Narrow"/>
                <w:sz w:val="20"/>
              </w:rPr>
            </w:pPr>
            <w:r>
              <w:rPr>
                <w:rFonts w:ascii="Arial Narrow" w:hAnsi="Arial Narrow"/>
                <w:sz w:val="20"/>
              </w:rPr>
              <w:t>APML4</w:t>
            </w:r>
          </w:p>
        </w:tc>
        <w:tc>
          <w:tcPr>
            <w:tcW w:w="2137" w:type="pct"/>
            <w:tcBorders>
              <w:bottom w:val="nil"/>
            </w:tcBorders>
          </w:tcPr>
          <w:p w:rsidR="001C2A41" w:rsidRPr="004E2ADC" w:rsidRDefault="001C2A41" w:rsidP="00752277">
            <w:pPr>
              <w:spacing w:after="60"/>
              <w:jc w:val="left"/>
              <w:rPr>
                <w:rFonts w:ascii="Arial Narrow" w:hAnsi="Arial Narrow"/>
                <w:b/>
                <w:sz w:val="20"/>
              </w:rPr>
            </w:pPr>
            <w:r>
              <w:rPr>
                <w:rFonts w:ascii="Arial Narrow" w:hAnsi="Arial Narrow"/>
                <w:sz w:val="20"/>
              </w:rPr>
              <w:t xml:space="preserve">APML4 Clinical Study Report: </w:t>
            </w:r>
            <w:r w:rsidRPr="00E65F46">
              <w:rPr>
                <w:rFonts w:ascii="Arial Narrow" w:hAnsi="Arial Narrow"/>
                <w:sz w:val="20"/>
              </w:rPr>
              <w:t xml:space="preserve">A phase II trial in patients with previously untreated acute </w:t>
            </w:r>
            <w:proofErr w:type="spellStart"/>
            <w:r w:rsidRPr="00E65F46">
              <w:rPr>
                <w:rFonts w:ascii="Arial Narrow" w:hAnsi="Arial Narrow"/>
                <w:sz w:val="20"/>
              </w:rPr>
              <w:t>promyelocytic</w:t>
            </w:r>
            <w:proofErr w:type="spellEnd"/>
            <w:r w:rsidRPr="00E65F46">
              <w:rPr>
                <w:rFonts w:ascii="Arial Narrow" w:hAnsi="Arial Narrow"/>
                <w:sz w:val="20"/>
              </w:rPr>
              <w:t xml:space="preserve"> leukaemia to evaluate the effects of: (</w:t>
            </w:r>
            <w:proofErr w:type="spellStart"/>
            <w:r w:rsidRPr="00E65F46">
              <w:rPr>
                <w:rFonts w:ascii="Arial Narrow" w:hAnsi="Arial Narrow"/>
                <w:sz w:val="20"/>
              </w:rPr>
              <w:t>i</w:t>
            </w:r>
            <w:proofErr w:type="spellEnd"/>
            <w:r w:rsidRPr="00E65F46">
              <w:rPr>
                <w:rFonts w:ascii="Arial Narrow" w:hAnsi="Arial Narrow"/>
                <w:sz w:val="20"/>
              </w:rPr>
              <w:t xml:space="preserve">) adding arsenic trioxide to all-trans retinoic acid and </w:t>
            </w:r>
            <w:proofErr w:type="spellStart"/>
            <w:r w:rsidRPr="00E65F46">
              <w:rPr>
                <w:rFonts w:ascii="Arial Narrow" w:hAnsi="Arial Narrow"/>
                <w:sz w:val="20"/>
              </w:rPr>
              <w:t>idarubicin</w:t>
            </w:r>
            <w:proofErr w:type="spellEnd"/>
            <w:r w:rsidRPr="00E65F46">
              <w:rPr>
                <w:rFonts w:ascii="Arial Narrow" w:hAnsi="Arial Narrow"/>
                <w:sz w:val="20"/>
              </w:rPr>
              <w:t xml:space="preserve"> for remission induction; and (ii) adding arsenic trioxide to all-trans retinoic acid as consolidation</w:t>
            </w:r>
            <w:r w:rsidR="00A16DF0">
              <w:rPr>
                <w:rFonts w:ascii="Arial Narrow" w:hAnsi="Arial Narrow"/>
                <w:sz w:val="20"/>
              </w:rPr>
              <w:t>.</w:t>
            </w:r>
          </w:p>
        </w:tc>
        <w:tc>
          <w:tcPr>
            <w:tcW w:w="2269" w:type="pct"/>
            <w:tcBorders>
              <w:bottom w:val="nil"/>
            </w:tcBorders>
          </w:tcPr>
          <w:p w:rsidR="001C2A41" w:rsidRPr="004E2ADC" w:rsidRDefault="001C2A41" w:rsidP="00752277">
            <w:pPr>
              <w:spacing w:after="60"/>
              <w:jc w:val="left"/>
              <w:rPr>
                <w:rFonts w:ascii="Arial Narrow" w:hAnsi="Arial Narrow"/>
                <w:b/>
                <w:sz w:val="20"/>
              </w:rPr>
            </w:pPr>
            <w:r>
              <w:rPr>
                <w:rFonts w:ascii="Arial Narrow" w:hAnsi="Arial Narrow"/>
                <w:sz w:val="20"/>
              </w:rPr>
              <w:t>July 2014</w:t>
            </w:r>
          </w:p>
        </w:tc>
      </w:tr>
      <w:tr w:rsidR="001C2A41" w:rsidRPr="004E2ADC" w:rsidTr="00752277">
        <w:tc>
          <w:tcPr>
            <w:tcW w:w="594" w:type="pct"/>
            <w:tcBorders>
              <w:top w:val="nil"/>
              <w:bottom w:val="single" w:sz="4" w:space="0" w:color="auto"/>
            </w:tcBorders>
          </w:tcPr>
          <w:p w:rsidR="001C2A41" w:rsidRDefault="001C2A41" w:rsidP="00752277">
            <w:pPr>
              <w:jc w:val="left"/>
              <w:rPr>
                <w:rFonts w:ascii="Arial Narrow" w:hAnsi="Arial Narrow"/>
                <w:sz w:val="20"/>
              </w:rPr>
            </w:pPr>
          </w:p>
        </w:tc>
        <w:tc>
          <w:tcPr>
            <w:tcW w:w="2137" w:type="pct"/>
            <w:tcBorders>
              <w:top w:val="nil"/>
              <w:bottom w:val="single" w:sz="4" w:space="0" w:color="auto"/>
            </w:tcBorders>
          </w:tcPr>
          <w:p w:rsidR="001C2A41" w:rsidRDefault="001C2A41" w:rsidP="00752277">
            <w:pPr>
              <w:jc w:val="left"/>
              <w:rPr>
                <w:rFonts w:ascii="Arial Narrow" w:hAnsi="Arial Narrow"/>
                <w:sz w:val="20"/>
              </w:rPr>
            </w:pPr>
            <w:proofErr w:type="spellStart"/>
            <w:r w:rsidRPr="00E65F46">
              <w:rPr>
                <w:rFonts w:ascii="Arial Narrow" w:hAnsi="Arial Narrow"/>
                <w:sz w:val="20"/>
              </w:rPr>
              <w:t>Iland</w:t>
            </w:r>
            <w:proofErr w:type="spellEnd"/>
            <w:r w:rsidRPr="00E65F46">
              <w:rPr>
                <w:rFonts w:ascii="Arial Narrow" w:hAnsi="Arial Narrow"/>
                <w:sz w:val="20"/>
              </w:rPr>
              <w:t xml:space="preserve"> H</w:t>
            </w:r>
            <w:r>
              <w:rPr>
                <w:rFonts w:ascii="Arial Narrow" w:hAnsi="Arial Narrow"/>
                <w:sz w:val="20"/>
              </w:rPr>
              <w:t>.</w:t>
            </w:r>
            <w:r w:rsidRPr="00E65F46">
              <w:rPr>
                <w:rFonts w:ascii="Arial Narrow" w:hAnsi="Arial Narrow"/>
                <w:sz w:val="20"/>
              </w:rPr>
              <w:t xml:space="preserve">J, </w:t>
            </w:r>
            <w:proofErr w:type="spellStart"/>
            <w:r w:rsidRPr="00E65F46">
              <w:rPr>
                <w:rFonts w:ascii="Arial Narrow" w:hAnsi="Arial Narrow"/>
                <w:sz w:val="20"/>
              </w:rPr>
              <w:t>Bradstock</w:t>
            </w:r>
            <w:proofErr w:type="spellEnd"/>
            <w:r w:rsidRPr="00E65F46">
              <w:rPr>
                <w:rFonts w:ascii="Arial Narrow" w:hAnsi="Arial Narrow"/>
                <w:sz w:val="20"/>
              </w:rPr>
              <w:t xml:space="preserve"> K, Supple S</w:t>
            </w:r>
            <w:r>
              <w:rPr>
                <w:rFonts w:ascii="Arial Narrow" w:hAnsi="Arial Narrow"/>
                <w:sz w:val="20"/>
              </w:rPr>
              <w:t>.</w:t>
            </w:r>
            <w:r w:rsidRPr="00E65F46">
              <w:rPr>
                <w:rFonts w:ascii="Arial Narrow" w:hAnsi="Arial Narrow"/>
                <w:sz w:val="20"/>
              </w:rPr>
              <w:t>G,</w:t>
            </w:r>
            <w:r w:rsidRPr="00840DE8">
              <w:rPr>
                <w:rFonts w:ascii="Arial Narrow" w:hAnsi="Arial Narrow"/>
                <w:i/>
                <w:sz w:val="20"/>
              </w:rPr>
              <w:t xml:space="preserve"> et al. </w:t>
            </w:r>
            <w:r w:rsidRPr="00E65F46">
              <w:rPr>
                <w:rFonts w:ascii="Arial Narrow" w:hAnsi="Arial Narrow"/>
                <w:sz w:val="20"/>
              </w:rPr>
              <w:t xml:space="preserve">Australasian Leukaemia and Lymphoma Group. All-trans retinoic acid, </w:t>
            </w:r>
            <w:proofErr w:type="spellStart"/>
            <w:r w:rsidRPr="00E65F46">
              <w:rPr>
                <w:rFonts w:ascii="Arial Narrow" w:hAnsi="Arial Narrow"/>
                <w:sz w:val="20"/>
              </w:rPr>
              <w:t>idarubicin</w:t>
            </w:r>
            <w:proofErr w:type="spellEnd"/>
            <w:r w:rsidRPr="00E65F46">
              <w:rPr>
                <w:rFonts w:ascii="Arial Narrow" w:hAnsi="Arial Narrow"/>
                <w:sz w:val="20"/>
              </w:rPr>
              <w:t xml:space="preserve">, and IV arsenic trioxide as initial therapy in acute </w:t>
            </w:r>
            <w:proofErr w:type="spellStart"/>
            <w:r w:rsidRPr="00E65F46">
              <w:rPr>
                <w:rFonts w:ascii="Arial Narrow" w:hAnsi="Arial Narrow"/>
                <w:sz w:val="20"/>
              </w:rPr>
              <w:t>promyelocytic</w:t>
            </w:r>
            <w:proofErr w:type="spellEnd"/>
            <w:r w:rsidRPr="00E65F46">
              <w:rPr>
                <w:rFonts w:ascii="Arial Narrow" w:hAnsi="Arial Narrow"/>
                <w:sz w:val="20"/>
              </w:rPr>
              <w:t xml:space="preserve"> </w:t>
            </w:r>
            <w:proofErr w:type="spellStart"/>
            <w:r w:rsidRPr="00E65F46">
              <w:rPr>
                <w:rFonts w:ascii="Arial Narrow" w:hAnsi="Arial Narrow"/>
                <w:sz w:val="20"/>
              </w:rPr>
              <w:t>leukemia</w:t>
            </w:r>
            <w:proofErr w:type="spellEnd"/>
            <w:r w:rsidRPr="00E65F46">
              <w:rPr>
                <w:rFonts w:ascii="Arial Narrow" w:hAnsi="Arial Narrow"/>
                <w:sz w:val="20"/>
              </w:rPr>
              <w:t xml:space="preserve"> (APML4).</w:t>
            </w:r>
          </w:p>
        </w:tc>
        <w:tc>
          <w:tcPr>
            <w:tcW w:w="2269" w:type="pct"/>
            <w:tcBorders>
              <w:top w:val="nil"/>
              <w:bottom w:val="single" w:sz="4" w:space="0" w:color="auto"/>
            </w:tcBorders>
          </w:tcPr>
          <w:p w:rsidR="001C2A41" w:rsidRPr="00840DE8" w:rsidRDefault="001C2A41" w:rsidP="00752277">
            <w:pPr>
              <w:jc w:val="left"/>
              <w:rPr>
                <w:rFonts w:ascii="Arial Narrow" w:hAnsi="Arial Narrow"/>
                <w:sz w:val="20"/>
              </w:rPr>
            </w:pPr>
            <w:r>
              <w:rPr>
                <w:rFonts w:ascii="Arial Narrow" w:hAnsi="Arial Narrow"/>
                <w:i/>
                <w:sz w:val="20"/>
              </w:rPr>
              <w:t>Blood</w:t>
            </w:r>
            <w:r>
              <w:rPr>
                <w:rFonts w:ascii="Arial Narrow" w:hAnsi="Arial Narrow"/>
                <w:sz w:val="20"/>
              </w:rPr>
              <w:t xml:space="preserve"> 2012; 120 (8):1570-1580.</w:t>
            </w:r>
          </w:p>
        </w:tc>
      </w:tr>
      <w:tr w:rsidR="001C2A41" w:rsidRPr="004E2ADC" w:rsidTr="00752277">
        <w:tc>
          <w:tcPr>
            <w:tcW w:w="594" w:type="pct"/>
            <w:tcBorders>
              <w:bottom w:val="nil"/>
            </w:tcBorders>
          </w:tcPr>
          <w:p w:rsidR="001C2A41" w:rsidRPr="004E2ADC" w:rsidRDefault="001C2A41" w:rsidP="00752277">
            <w:pPr>
              <w:spacing w:after="60"/>
              <w:jc w:val="left"/>
              <w:rPr>
                <w:rFonts w:ascii="Arial Narrow" w:hAnsi="Arial Narrow"/>
                <w:sz w:val="20"/>
              </w:rPr>
            </w:pPr>
            <w:r>
              <w:rPr>
                <w:rFonts w:ascii="Arial Narrow" w:hAnsi="Arial Narrow"/>
                <w:sz w:val="20"/>
              </w:rPr>
              <w:t>APML3</w:t>
            </w:r>
          </w:p>
        </w:tc>
        <w:tc>
          <w:tcPr>
            <w:tcW w:w="2137" w:type="pct"/>
            <w:tcBorders>
              <w:bottom w:val="nil"/>
            </w:tcBorders>
          </w:tcPr>
          <w:p w:rsidR="001C2A41" w:rsidRPr="004E2ADC" w:rsidRDefault="001C2A41" w:rsidP="00A16DF0">
            <w:pPr>
              <w:spacing w:after="60"/>
              <w:jc w:val="left"/>
              <w:rPr>
                <w:rFonts w:ascii="Arial Narrow" w:hAnsi="Arial Narrow"/>
                <w:b/>
                <w:sz w:val="20"/>
              </w:rPr>
            </w:pPr>
            <w:r>
              <w:rPr>
                <w:rFonts w:ascii="Arial Narrow" w:hAnsi="Arial Narrow"/>
                <w:sz w:val="20"/>
              </w:rPr>
              <w:t xml:space="preserve">APML3 </w:t>
            </w:r>
            <w:r w:rsidR="00A16DF0">
              <w:rPr>
                <w:rFonts w:ascii="Arial Narrow" w:hAnsi="Arial Narrow"/>
                <w:sz w:val="20"/>
              </w:rPr>
              <w:t>Statistical</w:t>
            </w:r>
            <w:r>
              <w:rPr>
                <w:rFonts w:ascii="Arial Narrow" w:hAnsi="Arial Narrow"/>
                <w:sz w:val="20"/>
              </w:rPr>
              <w:t xml:space="preserve"> report. A phase II trial in patients with acute </w:t>
            </w:r>
            <w:proofErr w:type="spellStart"/>
            <w:r>
              <w:rPr>
                <w:rFonts w:ascii="Arial Narrow" w:hAnsi="Arial Narrow"/>
                <w:sz w:val="20"/>
              </w:rPr>
              <w:t>promyelocytic</w:t>
            </w:r>
            <w:proofErr w:type="spellEnd"/>
            <w:r>
              <w:rPr>
                <w:rFonts w:ascii="Arial Narrow" w:hAnsi="Arial Narrow"/>
                <w:sz w:val="20"/>
              </w:rPr>
              <w:t xml:space="preserve"> leukaemia to evaluate the effects of: all-trans retinoic acid combined with intensive </w:t>
            </w:r>
            <w:proofErr w:type="spellStart"/>
            <w:r>
              <w:rPr>
                <w:rFonts w:ascii="Arial Narrow" w:hAnsi="Arial Narrow"/>
                <w:sz w:val="20"/>
              </w:rPr>
              <w:t>idarubicin</w:t>
            </w:r>
            <w:proofErr w:type="spellEnd"/>
            <w:r>
              <w:rPr>
                <w:rFonts w:ascii="Arial Narrow" w:hAnsi="Arial Narrow"/>
                <w:sz w:val="20"/>
              </w:rPr>
              <w:t xml:space="preserve"> during induction and consolidation. Subsequent </w:t>
            </w:r>
            <w:r w:rsidR="00AA6A5A">
              <w:rPr>
                <w:rFonts w:ascii="Arial Narrow" w:hAnsi="Arial Narrow"/>
                <w:sz w:val="20"/>
              </w:rPr>
              <w:t>intermittent</w:t>
            </w:r>
            <w:r>
              <w:rPr>
                <w:rFonts w:ascii="Arial Narrow" w:hAnsi="Arial Narrow"/>
                <w:sz w:val="20"/>
              </w:rPr>
              <w:t xml:space="preserve"> all-trans retinoic acid. Molecular monitoring for evidence of incipient relapse</w:t>
            </w:r>
            <w:r w:rsidR="00A16DF0">
              <w:rPr>
                <w:rFonts w:ascii="Arial Narrow" w:hAnsi="Arial Narrow"/>
                <w:sz w:val="20"/>
              </w:rPr>
              <w:t>.</w:t>
            </w:r>
          </w:p>
        </w:tc>
        <w:tc>
          <w:tcPr>
            <w:tcW w:w="2269" w:type="pct"/>
            <w:tcBorders>
              <w:bottom w:val="nil"/>
            </w:tcBorders>
          </w:tcPr>
          <w:p w:rsidR="001C2A41" w:rsidRPr="004E2ADC" w:rsidRDefault="001C2A41" w:rsidP="00752277">
            <w:pPr>
              <w:spacing w:after="60"/>
              <w:jc w:val="left"/>
              <w:rPr>
                <w:rFonts w:ascii="Arial Narrow" w:hAnsi="Arial Narrow"/>
                <w:b/>
                <w:sz w:val="20"/>
              </w:rPr>
            </w:pPr>
            <w:r>
              <w:rPr>
                <w:rFonts w:ascii="Arial Narrow" w:hAnsi="Arial Narrow"/>
                <w:sz w:val="20"/>
              </w:rPr>
              <w:t>July 2007</w:t>
            </w:r>
          </w:p>
        </w:tc>
      </w:tr>
      <w:tr w:rsidR="001C2A41" w:rsidRPr="004E2ADC" w:rsidTr="00752277">
        <w:tc>
          <w:tcPr>
            <w:tcW w:w="594" w:type="pct"/>
            <w:tcBorders>
              <w:top w:val="nil"/>
            </w:tcBorders>
          </w:tcPr>
          <w:p w:rsidR="001C2A41" w:rsidRDefault="001C2A41" w:rsidP="00752277">
            <w:pPr>
              <w:jc w:val="left"/>
              <w:rPr>
                <w:rFonts w:ascii="Arial Narrow" w:hAnsi="Arial Narrow"/>
                <w:sz w:val="20"/>
              </w:rPr>
            </w:pPr>
          </w:p>
        </w:tc>
        <w:tc>
          <w:tcPr>
            <w:tcW w:w="2137" w:type="pct"/>
            <w:tcBorders>
              <w:top w:val="nil"/>
            </w:tcBorders>
          </w:tcPr>
          <w:p w:rsidR="001C2A41" w:rsidRDefault="001C2A41" w:rsidP="00752277">
            <w:pPr>
              <w:jc w:val="left"/>
              <w:rPr>
                <w:rFonts w:ascii="Arial Narrow" w:hAnsi="Arial Narrow"/>
                <w:sz w:val="20"/>
              </w:rPr>
            </w:pPr>
            <w:proofErr w:type="spellStart"/>
            <w:r w:rsidRPr="00D06E31">
              <w:rPr>
                <w:rFonts w:ascii="Arial Narrow" w:hAnsi="Arial Narrow"/>
                <w:sz w:val="20"/>
              </w:rPr>
              <w:t>Iland</w:t>
            </w:r>
            <w:proofErr w:type="spellEnd"/>
            <w:r w:rsidRPr="00D06E31">
              <w:rPr>
                <w:rFonts w:ascii="Arial Narrow" w:hAnsi="Arial Narrow"/>
                <w:sz w:val="20"/>
              </w:rPr>
              <w:t xml:space="preserve"> H, </w:t>
            </w:r>
            <w:proofErr w:type="spellStart"/>
            <w:r w:rsidRPr="00D06E31">
              <w:rPr>
                <w:rFonts w:ascii="Arial Narrow" w:hAnsi="Arial Narrow"/>
                <w:sz w:val="20"/>
              </w:rPr>
              <w:t>Bradstock</w:t>
            </w:r>
            <w:proofErr w:type="spellEnd"/>
            <w:r w:rsidRPr="00D06E31">
              <w:rPr>
                <w:rFonts w:ascii="Arial Narrow" w:hAnsi="Arial Narrow"/>
                <w:sz w:val="20"/>
              </w:rPr>
              <w:t xml:space="preserve"> K, Seymour J, </w:t>
            </w:r>
            <w:r w:rsidRPr="00D06E31">
              <w:rPr>
                <w:rFonts w:ascii="Arial Narrow" w:hAnsi="Arial Narrow"/>
                <w:i/>
                <w:sz w:val="20"/>
              </w:rPr>
              <w:t>et al</w:t>
            </w:r>
            <w:r w:rsidRPr="00D06E31">
              <w:rPr>
                <w:rFonts w:ascii="Arial Narrow" w:hAnsi="Arial Narrow"/>
                <w:sz w:val="20"/>
              </w:rPr>
              <w:t xml:space="preserve">. Australasian Leukaemia and Lymphoma Group. Results of the APML3 trial incorporating all-trans retinoic acid and </w:t>
            </w:r>
            <w:proofErr w:type="spellStart"/>
            <w:r w:rsidRPr="00D06E31">
              <w:rPr>
                <w:rFonts w:ascii="Arial Narrow" w:hAnsi="Arial Narrow"/>
                <w:sz w:val="20"/>
              </w:rPr>
              <w:t>idarubicin</w:t>
            </w:r>
            <w:proofErr w:type="spellEnd"/>
            <w:r w:rsidRPr="00D06E31">
              <w:rPr>
                <w:rFonts w:ascii="Arial Narrow" w:hAnsi="Arial Narrow"/>
                <w:sz w:val="20"/>
              </w:rPr>
              <w:t xml:space="preserve"> in both induction and consolidation as initial therapy for patients with acute </w:t>
            </w:r>
            <w:proofErr w:type="spellStart"/>
            <w:r w:rsidRPr="00D06E31">
              <w:rPr>
                <w:rFonts w:ascii="Arial Narrow" w:hAnsi="Arial Narrow"/>
                <w:sz w:val="20"/>
              </w:rPr>
              <w:t>promyelocytic</w:t>
            </w:r>
            <w:proofErr w:type="spellEnd"/>
            <w:r w:rsidRPr="00D06E31">
              <w:rPr>
                <w:rFonts w:ascii="Arial Narrow" w:hAnsi="Arial Narrow"/>
                <w:sz w:val="20"/>
              </w:rPr>
              <w:t xml:space="preserve"> </w:t>
            </w:r>
            <w:proofErr w:type="spellStart"/>
            <w:r w:rsidRPr="00D06E31">
              <w:rPr>
                <w:rFonts w:ascii="Arial Narrow" w:hAnsi="Arial Narrow"/>
                <w:sz w:val="20"/>
              </w:rPr>
              <w:t>leukemia</w:t>
            </w:r>
            <w:proofErr w:type="spellEnd"/>
            <w:r w:rsidRPr="00D06E31">
              <w:rPr>
                <w:rFonts w:ascii="Arial Narrow" w:hAnsi="Arial Narrow"/>
                <w:sz w:val="20"/>
              </w:rPr>
              <w:t>.</w:t>
            </w:r>
          </w:p>
        </w:tc>
        <w:tc>
          <w:tcPr>
            <w:tcW w:w="2269" w:type="pct"/>
            <w:tcBorders>
              <w:top w:val="nil"/>
            </w:tcBorders>
          </w:tcPr>
          <w:p w:rsidR="001C2A41" w:rsidRPr="00D06E31" w:rsidRDefault="001C2A41" w:rsidP="00752277">
            <w:pPr>
              <w:jc w:val="left"/>
              <w:rPr>
                <w:rFonts w:ascii="Arial Narrow" w:hAnsi="Arial Narrow"/>
                <w:sz w:val="20"/>
              </w:rPr>
            </w:pPr>
            <w:proofErr w:type="spellStart"/>
            <w:r>
              <w:rPr>
                <w:rFonts w:ascii="Arial Narrow" w:hAnsi="Arial Narrow"/>
                <w:i/>
                <w:sz w:val="20"/>
              </w:rPr>
              <w:t>Haematologica</w:t>
            </w:r>
            <w:proofErr w:type="spellEnd"/>
            <w:r>
              <w:rPr>
                <w:rFonts w:ascii="Arial Narrow" w:hAnsi="Arial Narrow"/>
                <w:sz w:val="20"/>
              </w:rPr>
              <w:t xml:space="preserve"> 2012; 97 (2):227-234.</w:t>
            </w:r>
          </w:p>
        </w:tc>
      </w:tr>
    </w:tbl>
    <w:p w:rsidR="001C2A41" w:rsidRPr="00FC4459" w:rsidRDefault="001C2A41" w:rsidP="001C2A41">
      <w:pPr>
        <w:pStyle w:val="TableFooter"/>
        <w:ind w:firstLine="720"/>
        <w:rPr>
          <w:rStyle w:val="CommentReference"/>
          <w:b w:val="0"/>
          <w:sz w:val="18"/>
          <w:szCs w:val="20"/>
        </w:rPr>
      </w:pPr>
      <w:r w:rsidRPr="00FC4459">
        <w:rPr>
          <w:rStyle w:val="CommentReference"/>
          <w:b w:val="0"/>
          <w:sz w:val="18"/>
          <w:szCs w:val="20"/>
        </w:rPr>
        <w:t>Source: Table B.2.3, p61 of the submission.</w:t>
      </w:r>
    </w:p>
    <w:p w:rsidR="001C2A41" w:rsidRPr="00FC4459" w:rsidRDefault="001C2A41" w:rsidP="001C2A41"/>
    <w:p w:rsidR="001C2A41" w:rsidRPr="00B50DB8" w:rsidRDefault="001C2A41" w:rsidP="002969CC">
      <w:pPr>
        <w:pStyle w:val="ListParagraph"/>
        <w:widowControl/>
        <w:numPr>
          <w:ilvl w:val="1"/>
          <w:numId w:val="3"/>
        </w:numPr>
        <w:rPr>
          <w:szCs w:val="22"/>
        </w:rPr>
      </w:pPr>
      <w:r w:rsidRPr="00B50DB8">
        <w:rPr>
          <w:szCs w:val="22"/>
        </w:rPr>
        <w:lastRenderedPageBreak/>
        <w:t xml:space="preserve">The key features of the </w:t>
      </w:r>
      <w:r>
        <w:rPr>
          <w:szCs w:val="22"/>
        </w:rPr>
        <w:t xml:space="preserve">relevant </w:t>
      </w:r>
      <w:r w:rsidRPr="00B50DB8">
        <w:rPr>
          <w:szCs w:val="22"/>
        </w:rPr>
        <w:t>direct randomised trial</w:t>
      </w:r>
      <w:r>
        <w:rPr>
          <w:szCs w:val="22"/>
        </w:rPr>
        <w:t xml:space="preserve"> and single-arm studies </w:t>
      </w:r>
      <w:r w:rsidRPr="00B50DB8">
        <w:rPr>
          <w:szCs w:val="22"/>
        </w:rPr>
        <w:t>are summarised in the table below.</w:t>
      </w:r>
    </w:p>
    <w:p w:rsidR="001C2A41" w:rsidRDefault="001C2A41" w:rsidP="001C2A41">
      <w:pPr>
        <w:widowControl/>
        <w:rPr>
          <w:szCs w:val="22"/>
        </w:rPr>
      </w:pPr>
    </w:p>
    <w:p w:rsidR="001C2A41" w:rsidRPr="005169F5" w:rsidRDefault="001C2A41" w:rsidP="002F18CF">
      <w:pPr>
        <w:widowControl/>
        <w:ind w:firstLine="720"/>
        <w:jc w:val="left"/>
        <w:rPr>
          <w:rFonts w:ascii="Arial Narrow" w:hAnsi="Arial Narrow"/>
          <w:b/>
          <w:sz w:val="20"/>
        </w:rPr>
      </w:pPr>
      <w:r w:rsidRPr="005169F5">
        <w:rPr>
          <w:rFonts w:ascii="Arial Narrow" w:hAnsi="Arial Narrow"/>
          <w:b/>
          <w:sz w:val="20"/>
        </w:rPr>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843"/>
        <w:gridCol w:w="991"/>
        <w:gridCol w:w="1417"/>
        <w:gridCol w:w="1133"/>
        <w:gridCol w:w="1117"/>
      </w:tblGrid>
      <w:tr w:rsidR="001C2A41" w:rsidRPr="00525CB9" w:rsidTr="00752277">
        <w:tc>
          <w:tcPr>
            <w:tcW w:w="679" w:type="pct"/>
            <w:shd w:val="clear" w:color="auto" w:fill="auto"/>
            <w:vAlign w:val="center"/>
          </w:tcPr>
          <w:p w:rsidR="001C2A41" w:rsidRPr="00525CB9" w:rsidRDefault="001C2A41" w:rsidP="00752277">
            <w:pPr>
              <w:jc w:val="left"/>
              <w:rPr>
                <w:rFonts w:ascii="Arial Narrow" w:hAnsi="Arial Narrow"/>
                <w:b/>
                <w:sz w:val="20"/>
                <w:lang w:val="en-US"/>
              </w:rPr>
            </w:pPr>
            <w:r w:rsidRPr="00525CB9">
              <w:rPr>
                <w:rFonts w:ascii="Arial Narrow" w:hAnsi="Arial Narrow"/>
                <w:b/>
                <w:sz w:val="20"/>
                <w:lang w:val="en-US"/>
              </w:rPr>
              <w:t>Trial</w:t>
            </w:r>
          </w:p>
        </w:tc>
        <w:tc>
          <w:tcPr>
            <w:tcW w:w="426" w:type="pct"/>
            <w:shd w:val="clear" w:color="auto" w:fill="auto"/>
            <w:vAlign w:val="center"/>
          </w:tcPr>
          <w:p w:rsidR="001C2A41" w:rsidRPr="00525CB9" w:rsidRDefault="001C2A41" w:rsidP="00752277">
            <w:pPr>
              <w:jc w:val="center"/>
              <w:rPr>
                <w:rFonts w:ascii="Arial Narrow" w:hAnsi="Arial Narrow"/>
                <w:b/>
                <w:sz w:val="20"/>
                <w:lang w:val="en-US"/>
              </w:rPr>
            </w:pPr>
            <w:r w:rsidRPr="00525CB9">
              <w:rPr>
                <w:rFonts w:ascii="Arial Narrow" w:hAnsi="Arial Narrow"/>
                <w:b/>
                <w:sz w:val="20"/>
                <w:lang w:val="en-US"/>
              </w:rPr>
              <w:t>N</w:t>
            </w:r>
          </w:p>
        </w:tc>
        <w:tc>
          <w:tcPr>
            <w:tcW w:w="1104" w:type="pct"/>
            <w:shd w:val="clear" w:color="auto" w:fill="auto"/>
            <w:vAlign w:val="center"/>
          </w:tcPr>
          <w:p w:rsidR="001C2A41" w:rsidRPr="00525CB9" w:rsidRDefault="001C2A41" w:rsidP="00752277">
            <w:pPr>
              <w:jc w:val="center"/>
              <w:rPr>
                <w:rFonts w:ascii="Arial Narrow" w:hAnsi="Arial Narrow"/>
                <w:b/>
                <w:sz w:val="20"/>
                <w:lang w:val="en-US"/>
              </w:rPr>
            </w:pPr>
            <w:r w:rsidRPr="00525CB9">
              <w:rPr>
                <w:rFonts w:ascii="Arial Narrow" w:hAnsi="Arial Narrow"/>
                <w:b/>
                <w:sz w:val="20"/>
                <w:lang w:val="en-US"/>
              </w:rPr>
              <w:t>Design/ duration</w:t>
            </w:r>
          </w:p>
        </w:tc>
        <w:tc>
          <w:tcPr>
            <w:tcW w:w="594" w:type="pct"/>
            <w:shd w:val="clear" w:color="auto" w:fill="auto"/>
            <w:vAlign w:val="center"/>
          </w:tcPr>
          <w:p w:rsidR="001C2A41" w:rsidRPr="00525CB9" w:rsidRDefault="001C2A41" w:rsidP="00752277">
            <w:pPr>
              <w:jc w:val="center"/>
              <w:rPr>
                <w:rFonts w:ascii="Arial Narrow" w:hAnsi="Arial Narrow"/>
                <w:b/>
                <w:sz w:val="20"/>
                <w:lang w:val="en-US"/>
              </w:rPr>
            </w:pPr>
            <w:r w:rsidRPr="00525CB9">
              <w:rPr>
                <w:rFonts w:ascii="Arial Narrow" w:hAnsi="Arial Narrow"/>
                <w:b/>
                <w:sz w:val="20"/>
                <w:lang w:val="en-US"/>
              </w:rPr>
              <w:t>Risk of bias</w:t>
            </w:r>
          </w:p>
        </w:tc>
        <w:tc>
          <w:tcPr>
            <w:tcW w:w="849" w:type="pct"/>
            <w:shd w:val="clear" w:color="auto" w:fill="auto"/>
            <w:vAlign w:val="center"/>
          </w:tcPr>
          <w:p w:rsidR="001C2A41" w:rsidRPr="00525CB9" w:rsidRDefault="001C2A41" w:rsidP="00752277">
            <w:pPr>
              <w:jc w:val="center"/>
              <w:rPr>
                <w:rFonts w:ascii="Arial Narrow" w:hAnsi="Arial Narrow"/>
                <w:b/>
                <w:sz w:val="20"/>
                <w:lang w:val="en-US"/>
              </w:rPr>
            </w:pPr>
            <w:r w:rsidRPr="00525CB9">
              <w:rPr>
                <w:rFonts w:ascii="Arial Narrow" w:hAnsi="Arial Narrow"/>
                <w:b/>
                <w:sz w:val="20"/>
                <w:lang w:val="en-US"/>
              </w:rPr>
              <w:t>Patient population</w:t>
            </w:r>
          </w:p>
        </w:tc>
        <w:tc>
          <w:tcPr>
            <w:tcW w:w="679" w:type="pct"/>
            <w:shd w:val="clear" w:color="auto" w:fill="auto"/>
            <w:vAlign w:val="center"/>
          </w:tcPr>
          <w:p w:rsidR="001C2A41" w:rsidRPr="00525CB9" w:rsidRDefault="001C2A41" w:rsidP="00752277">
            <w:pPr>
              <w:jc w:val="center"/>
              <w:rPr>
                <w:rFonts w:ascii="Arial Narrow" w:hAnsi="Arial Narrow"/>
                <w:b/>
                <w:sz w:val="20"/>
                <w:lang w:val="en-US"/>
              </w:rPr>
            </w:pPr>
            <w:r w:rsidRPr="00525CB9">
              <w:rPr>
                <w:rFonts w:ascii="Arial Narrow" w:hAnsi="Arial Narrow"/>
                <w:b/>
                <w:sz w:val="20"/>
                <w:lang w:val="en-US"/>
              </w:rPr>
              <w:t>Outcomes</w:t>
            </w:r>
          </w:p>
        </w:tc>
        <w:tc>
          <w:tcPr>
            <w:tcW w:w="669" w:type="pct"/>
            <w:shd w:val="clear" w:color="auto" w:fill="auto"/>
            <w:vAlign w:val="center"/>
          </w:tcPr>
          <w:p w:rsidR="001C2A41" w:rsidRPr="00525CB9" w:rsidRDefault="001C2A41" w:rsidP="00752277">
            <w:pPr>
              <w:jc w:val="center"/>
              <w:rPr>
                <w:rFonts w:ascii="Arial Narrow" w:hAnsi="Arial Narrow"/>
                <w:b/>
                <w:sz w:val="20"/>
                <w:lang w:val="en-US"/>
              </w:rPr>
            </w:pPr>
            <w:r w:rsidRPr="00525CB9">
              <w:rPr>
                <w:rFonts w:ascii="Arial Narrow" w:hAnsi="Arial Narrow"/>
                <w:b/>
                <w:sz w:val="20"/>
                <w:lang w:val="en-US"/>
              </w:rPr>
              <w:t>Use in modelled evaluation</w:t>
            </w:r>
          </w:p>
        </w:tc>
      </w:tr>
      <w:tr w:rsidR="001C2A41" w:rsidRPr="00525CB9" w:rsidTr="00752277">
        <w:tc>
          <w:tcPr>
            <w:tcW w:w="5000" w:type="pct"/>
            <w:gridSpan w:val="7"/>
            <w:shd w:val="clear" w:color="auto" w:fill="auto"/>
            <w:vAlign w:val="center"/>
          </w:tcPr>
          <w:p w:rsidR="001C2A41" w:rsidRPr="00525CB9" w:rsidRDefault="001C2A41" w:rsidP="00752277">
            <w:pPr>
              <w:jc w:val="left"/>
              <w:rPr>
                <w:rFonts w:ascii="Arial Narrow" w:hAnsi="Arial Narrow"/>
                <w:b/>
                <w:sz w:val="20"/>
                <w:lang w:val="en-US"/>
              </w:rPr>
            </w:pPr>
            <w:r w:rsidRPr="00525CB9">
              <w:rPr>
                <w:rFonts w:ascii="Arial Narrow" w:hAnsi="Arial Narrow"/>
                <w:b/>
                <w:sz w:val="20"/>
                <w:lang w:val="en-US"/>
              </w:rPr>
              <w:t xml:space="preserve">ATO+ATRA vs. </w:t>
            </w:r>
            <w:proofErr w:type="spellStart"/>
            <w:r w:rsidRPr="00525CB9">
              <w:rPr>
                <w:rFonts w:ascii="Arial Narrow" w:hAnsi="Arial Narrow"/>
                <w:b/>
                <w:sz w:val="20"/>
                <w:lang w:val="en-US"/>
              </w:rPr>
              <w:t>ATRA+chemotherapy</w:t>
            </w:r>
            <w:proofErr w:type="spellEnd"/>
          </w:p>
        </w:tc>
      </w:tr>
      <w:tr w:rsidR="001C2A41" w:rsidRPr="00525CB9" w:rsidTr="00752277">
        <w:tc>
          <w:tcPr>
            <w:tcW w:w="679" w:type="pct"/>
            <w:shd w:val="clear" w:color="auto" w:fill="auto"/>
            <w:vAlign w:val="center"/>
          </w:tcPr>
          <w:p w:rsidR="001C2A41" w:rsidRPr="00525CB9" w:rsidRDefault="001C2A41" w:rsidP="00752277">
            <w:pPr>
              <w:jc w:val="left"/>
              <w:rPr>
                <w:rFonts w:ascii="Arial Narrow" w:hAnsi="Arial Narrow"/>
                <w:sz w:val="20"/>
                <w:lang w:val="en-US"/>
              </w:rPr>
            </w:pPr>
            <w:r w:rsidRPr="00525CB9">
              <w:rPr>
                <w:rFonts w:ascii="Arial Narrow" w:hAnsi="Arial Narrow"/>
                <w:sz w:val="20"/>
                <w:lang w:val="en-US"/>
              </w:rPr>
              <w:t>Lo-Coco 2013</w:t>
            </w:r>
          </w:p>
        </w:tc>
        <w:tc>
          <w:tcPr>
            <w:tcW w:w="426"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156*</w:t>
            </w:r>
          </w:p>
        </w:tc>
        <w:tc>
          <w:tcPr>
            <w:tcW w:w="1104"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R, OL, MC</w:t>
            </w:r>
          </w:p>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34.4 months (range 0.5-55.8 months)</w:t>
            </w:r>
          </w:p>
        </w:tc>
        <w:tc>
          <w:tcPr>
            <w:tcW w:w="594"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Low</w:t>
            </w:r>
          </w:p>
        </w:tc>
        <w:tc>
          <w:tcPr>
            <w:tcW w:w="849"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Newly diagnosed low-intermediate risk APL</w:t>
            </w:r>
          </w:p>
        </w:tc>
        <w:tc>
          <w:tcPr>
            <w:tcW w:w="679"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Event-free survival rate at 2 years from diagnosis</w:t>
            </w:r>
          </w:p>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OS at 2 years</w:t>
            </w:r>
          </w:p>
        </w:tc>
        <w:tc>
          <w:tcPr>
            <w:tcW w:w="669"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Not used</w:t>
            </w:r>
          </w:p>
        </w:tc>
      </w:tr>
      <w:tr w:rsidR="001C2A41" w:rsidRPr="00525CB9" w:rsidTr="00752277">
        <w:tc>
          <w:tcPr>
            <w:tcW w:w="5000" w:type="pct"/>
            <w:gridSpan w:val="7"/>
            <w:shd w:val="clear" w:color="auto" w:fill="auto"/>
            <w:vAlign w:val="center"/>
          </w:tcPr>
          <w:p w:rsidR="001C2A41" w:rsidRPr="00525CB9" w:rsidRDefault="001C2A41" w:rsidP="00752277">
            <w:pPr>
              <w:jc w:val="left"/>
              <w:rPr>
                <w:rFonts w:ascii="Arial Narrow" w:hAnsi="Arial Narrow"/>
                <w:b/>
                <w:sz w:val="20"/>
                <w:lang w:val="en-US"/>
              </w:rPr>
            </w:pPr>
            <w:proofErr w:type="spellStart"/>
            <w:r w:rsidRPr="00525CB9">
              <w:rPr>
                <w:rFonts w:ascii="Arial Narrow" w:hAnsi="Arial Narrow"/>
                <w:b/>
                <w:sz w:val="20"/>
                <w:lang w:val="en-US"/>
              </w:rPr>
              <w:t>ATO+ATRA±chemotherapy</w:t>
            </w:r>
            <w:proofErr w:type="spellEnd"/>
            <w:r w:rsidRPr="00525CB9">
              <w:rPr>
                <w:rFonts w:ascii="Arial Narrow" w:hAnsi="Arial Narrow"/>
                <w:b/>
                <w:sz w:val="20"/>
                <w:lang w:val="en-US"/>
              </w:rPr>
              <w:t xml:space="preserve"> (APML4) vs. </w:t>
            </w:r>
            <w:proofErr w:type="spellStart"/>
            <w:r w:rsidRPr="00525CB9">
              <w:rPr>
                <w:rFonts w:ascii="Arial Narrow" w:hAnsi="Arial Narrow"/>
                <w:b/>
                <w:sz w:val="20"/>
                <w:lang w:val="en-US"/>
              </w:rPr>
              <w:t>ATRA+chemotherapy</w:t>
            </w:r>
            <w:proofErr w:type="spellEnd"/>
            <w:r w:rsidRPr="00525CB9">
              <w:rPr>
                <w:rFonts w:ascii="Arial Narrow" w:hAnsi="Arial Narrow"/>
                <w:b/>
                <w:sz w:val="20"/>
                <w:lang w:val="en-US"/>
              </w:rPr>
              <w:t xml:space="preserve"> (APML3)</w:t>
            </w:r>
          </w:p>
        </w:tc>
      </w:tr>
      <w:tr w:rsidR="001C2A41" w:rsidRPr="00525CB9" w:rsidTr="00752277">
        <w:tc>
          <w:tcPr>
            <w:tcW w:w="679" w:type="pct"/>
            <w:shd w:val="clear" w:color="auto" w:fill="auto"/>
            <w:vAlign w:val="center"/>
          </w:tcPr>
          <w:p w:rsidR="001C2A41" w:rsidRPr="00525CB9" w:rsidRDefault="001C2A41" w:rsidP="00752277">
            <w:pPr>
              <w:jc w:val="left"/>
              <w:rPr>
                <w:rFonts w:ascii="Arial Narrow" w:hAnsi="Arial Narrow"/>
                <w:sz w:val="20"/>
                <w:lang w:val="en-US"/>
              </w:rPr>
            </w:pPr>
            <w:r w:rsidRPr="00525CB9">
              <w:rPr>
                <w:rFonts w:ascii="Arial Narrow" w:hAnsi="Arial Narrow"/>
                <w:sz w:val="20"/>
                <w:lang w:val="en-US"/>
              </w:rPr>
              <w:t>APML4</w:t>
            </w:r>
          </w:p>
        </w:tc>
        <w:tc>
          <w:tcPr>
            <w:tcW w:w="426"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124**</w:t>
            </w:r>
          </w:p>
        </w:tc>
        <w:tc>
          <w:tcPr>
            <w:tcW w:w="1104"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Single-arm</w:t>
            </w:r>
          </w:p>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4.2 years (range 1 month to 7.3 years)</w:t>
            </w:r>
          </w:p>
        </w:tc>
        <w:tc>
          <w:tcPr>
            <w:tcW w:w="594"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High</w:t>
            </w:r>
          </w:p>
        </w:tc>
        <w:tc>
          <w:tcPr>
            <w:tcW w:w="849" w:type="pct"/>
            <w:shd w:val="clear" w:color="auto" w:fill="auto"/>
            <w:vAlign w:val="center"/>
          </w:tcPr>
          <w:p w:rsidR="001C2A41" w:rsidRPr="00525CB9" w:rsidRDefault="001C2A41" w:rsidP="006F10B4">
            <w:pPr>
              <w:jc w:val="center"/>
              <w:rPr>
                <w:rFonts w:ascii="Arial Narrow" w:hAnsi="Arial Narrow"/>
                <w:sz w:val="20"/>
                <w:lang w:val="en-US"/>
              </w:rPr>
            </w:pPr>
            <w:r w:rsidRPr="00525CB9">
              <w:rPr>
                <w:rFonts w:ascii="Arial Narrow" w:hAnsi="Arial Narrow"/>
                <w:sz w:val="20"/>
                <w:lang w:val="en-US"/>
              </w:rPr>
              <w:t xml:space="preserve">Newly diagnosed </w:t>
            </w:r>
            <w:r w:rsidR="00C34384" w:rsidRPr="00525CB9">
              <w:rPr>
                <w:rFonts w:ascii="Arial Narrow" w:hAnsi="Arial Narrow"/>
                <w:sz w:val="20"/>
                <w:lang w:val="en-US"/>
              </w:rPr>
              <w:t xml:space="preserve">low-intermediate </w:t>
            </w:r>
            <w:r w:rsidR="006F10B4" w:rsidRPr="00525CB9">
              <w:rPr>
                <w:rFonts w:ascii="Arial Narrow" w:hAnsi="Arial Narrow"/>
                <w:sz w:val="20"/>
                <w:lang w:val="en-US"/>
              </w:rPr>
              <w:t xml:space="preserve">and </w:t>
            </w:r>
            <w:r w:rsidR="00C34384" w:rsidRPr="00525CB9">
              <w:rPr>
                <w:rFonts w:ascii="Arial Narrow" w:hAnsi="Arial Narrow"/>
                <w:sz w:val="20"/>
                <w:lang w:val="en-US"/>
              </w:rPr>
              <w:t xml:space="preserve">high risk </w:t>
            </w:r>
            <w:r w:rsidRPr="00525CB9">
              <w:rPr>
                <w:rFonts w:ascii="Arial Narrow" w:hAnsi="Arial Narrow"/>
                <w:sz w:val="20"/>
                <w:lang w:val="en-US"/>
              </w:rPr>
              <w:t>APL</w:t>
            </w:r>
          </w:p>
        </w:tc>
        <w:tc>
          <w:tcPr>
            <w:tcW w:w="679" w:type="pct"/>
            <w:shd w:val="clear" w:color="auto" w:fill="auto"/>
            <w:vAlign w:val="center"/>
          </w:tcPr>
          <w:p w:rsidR="001C2A41" w:rsidRPr="00525CB9" w:rsidRDefault="0091337E" w:rsidP="00752277">
            <w:pPr>
              <w:jc w:val="center"/>
              <w:rPr>
                <w:rFonts w:ascii="Arial Narrow" w:hAnsi="Arial Narrow"/>
                <w:sz w:val="20"/>
                <w:lang w:val="en-US"/>
              </w:rPr>
            </w:pPr>
            <w:r w:rsidRPr="00525CB9">
              <w:rPr>
                <w:rFonts w:ascii="Arial Narrow" w:hAnsi="Arial Narrow"/>
                <w:sz w:val="20"/>
                <w:lang w:val="en-US"/>
              </w:rPr>
              <w:t>Event-free survival</w:t>
            </w:r>
            <w:r w:rsidR="001C2A41" w:rsidRPr="00525CB9">
              <w:rPr>
                <w:rFonts w:ascii="Arial Narrow" w:hAnsi="Arial Narrow"/>
                <w:sz w:val="20"/>
                <w:lang w:val="en-US"/>
              </w:rPr>
              <w:t xml:space="preserve"> and OS</w:t>
            </w:r>
          </w:p>
        </w:tc>
        <w:tc>
          <w:tcPr>
            <w:tcW w:w="669"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Used</w:t>
            </w:r>
          </w:p>
        </w:tc>
      </w:tr>
      <w:tr w:rsidR="001C2A41" w:rsidRPr="00525CB9" w:rsidTr="00752277">
        <w:tc>
          <w:tcPr>
            <w:tcW w:w="679" w:type="pct"/>
            <w:shd w:val="clear" w:color="auto" w:fill="auto"/>
            <w:vAlign w:val="center"/>
          </w:tcPr>
          <w:p w:rsidR="001C2A41" w:rsidRPr="00525CB9" w:rsidRDefault="001C2A41" w:rsidP="00752277">
            <w:pPr>
              <w:jc w:val="left"/>
              <w:rPr>
                <w:rFonts w:ascii="Arial Narrow" w:hAnsi="Arial Narrow"/>
                <w:sz w:val="20"/>
                <w:lang w:val="en-US"/>
              </w:rPr>
            </w:pPr>
            <w:r w:rsidRPr="00525CB9">
              <w:rPr>
                <w:rFonts w:ascii="Arial Narrow" w:hAnsi="Arial Narrow"/>
                <w:sz w:val="20"/>
                <w:lang w:val="en-US"/>
              </w:rPr>
              <w:t>APML3</w:t>
            </w:r>
          </w:p>
        </w:tc>
        <w:tc>
          <w:tcPr>
            <w:tcW w:w="426"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70***</w:t>
            </w:r>
          </w:p>
        </w:tc>
        <w:tc>
          <w:tcPr>
            <w:tcW w:w="1104"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Single-arm</w:t>
            </w:r>
          </w:p>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4.6 years</w:t>
            </w:r>
          </w:p>
        </w:tc>
        <w:tc>
          <w:tcPr>
            <w:tcW w:w="594"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High</w:t>
            </w:r>
          </w:p>
        </w:tc>
        <w:tc>
          <w:tcPr>
            <w:tcW w:w="849" w:type="pct"/>
            <w:shd w:val="clear" w:color="auto" w:fill="auto"/>
            <w:vAlign w:val="center"/>
          </w:tcPr>
          <w:p w:rsidR="001C2A41" w:rsidRPr="00525CB9" w:rsidRDefault="001C2A41" w:rsidP="006F10B4">
            <w:pPr>
              <w:jc w:val="center"/>
              <w:rPr>
                <w:rFonts w:ascii="Arial Narrow" w:hAnsi="Arial Narrow"/>
                <w:sz w:val="20"/>
                <w:lang w:val="en-US"/>
              </w:rPr>
            </w:pPr>
            <w:r w:rsidRPr="00525CB9">
              <w:rPr>
                <w:rFonts w:ascii="Arial Narrow" w:hAnsi="Arial Narrow"/>
                <w:sz w:val="20"/>
                <w:lang w:val="en-US"/>
              </w:rPr>
              <w:t xml:space="preserve">Newly diagnosed </w:t>
            </w:r>
            <w:r w:rsidR="00C34384" w:rsidRPr="00525CB9">
              <w:rPr>
                <w:rFonts w:ascii="Arial Narrow" w:hAnsi="Arial Narrow"/>
                <w:sz w:val="20"/>
                <w:lang w:val="en-US"/>
              </w:rPr>
              <w:t xml:space="preserve">low-intermediate </w:t>
            </w:r>
            <w:r w:rsidR="006F10B4" w:rsidRPr="00525CB9">
              <w:rPr>
                <w:rFonts w:ascii="Arial Narrow" w:hAnsi="Arial Narrow"/>
                <w:sz w:val="20"/>
                <w:lang w:val="en-US"/>
              </w:rPr>
              <w:t>and</w:t>
            </w:r>
            <w:r w:rsidR="00C34384" w:rsidRPr="00525CB9">
              <w:rPr>
                <w:rFonts w:ascii="Arial Narrow" w:hAnsi="Arial Narrow"/>
                <w:sz w:val="20"/>
                <w:lang w:val="en-US"/>
              </w:rPr>
              <w:t xml:space="preserve"> high risk APL</w:t>
            </w:r>
          </w:p>
        </w:tc>
        <w:tc>
          <w:tcPr>
            <w:tcW w:w="679" w:type="pct"/>
            <w:shd w:val="clear" w:color="auto" w:fill="auto"/>
            <w:vAlign w:val="center"/>
          </w:tcPr>
          <w:p w:rsidR="001C2A41" w:rsidRPr="00525CB9" w:rsidRDefault="0091337E" w:rsidP="00752277">
            <w:pPr>
              <w:jc w:val="center"/>
              <w:rPr>
                <w:rFonts w:ascii="Arial Narrow" w:hAnsi="Arial Narrow"/>
                <w:sz w:val="20"/>
                <w:lang w:val="en-US"/>
              </w:rPr>
            </w:pPr>
            <w:r w:rsidRPr="00525CB9">
              <w:rPr>
                <w:rFonts w:ascii="Arial Narrow" w:hAnsi="Arial Narrow"/>
                <w:sz w:val="20"/>
                <w:lang w:val="en-US"/>
              </w:rPr>
              <w:t>Event-free survival</w:t>
            </w:r>
            <w:r w:rsidR="001C2A41" w:rsidRPr="00525CB9">
              <w:rPr>
                <w:rFonts w:ascii="Arial Narrow" w:hAnsi="Arial Narrow"/>
                <w:sz w:val="20"/>
                <w:lang w:val="en-US"/>
              </w:rPr>
              <w:t xml:space="preserve"> and OS</w:t>
            </w:r>
          </w:p>
        </w:tc>
        <w:tc>
          <w:tcPr>
            <w:tcW w:w="669" w:type="pct"/>
            <w:shd w:val="clear" w:color="auto" w:fill="auto"/>
            <w:vAlign w:val="center"/>
          </w:tcPr>
          <w:p w:rsidR="001C2A41" w:rsidRPr="00525CB9" w:rsidRDefault="001C2A41" w:rsidP="00752277">
            <w:pPr>
              <w:jc w:val="center"/>
              <w:rPr>
                <w:rFonts w:ascii="Arial Narrow" w:hAnsi="Arial Narrow"/>
                <w:sz w:val="20"/>
                <w:lang w:val="en-US"/>
              </w:rPr>
            </w:pPr>
            <w:r w:rsidRPr="00525CB9">
              <w:rPr>
                <w:rFonts w:ascii="Arial Narrow" w:hAnsi="Arial Narrow"/>
                <w:sz w:val="20"/>
                <w:lang w:val="en-US"/>
              </w:rPr>
              <w:t>Used</w:t>
            </w:r>
          </w:p>
        </w:tc>
      </w:tr>
    </w:tbl>
    <w:p w:rsidR="001C2A41" w:rsidRPr="00525CB9" w:rsidRDefault="001C2A41" w:rsidP="001C2A41">
      <w:pPr>
        <w:pStyle w:val="TableFooter"/>
        <w:ind w:left="720"/>
      </w:pPr>
      <w:r w:rsidRPr="00525CB9">
        <w:t xml:space="preserve">MC=multi-centre; OL=open label; R=randomised; OS=overall survival; APL = acute </w:t>
      </w:r>
      <w:proofErr w:type="spellStart"/>
      <w:r w:rsidRPr="00525CB9">
        <w:t>promyelocytic</w:t>
      </w:r>
      <w:proofErr w:type="spellEnd"/>
      <w:r w:rsidRPr="00525CB9">
        <w:t xml:space="preserve"> leukaemia.</w:t>
      </w:r>
    </w:p>
    <w:p w:rsidR="00A213F2" w:rsidRPr="00525CB9" w:rsidRDefault="00A213F2" w:rsidP="00A213F2">
      <w:pPr>
        <w:pStyle w:val="TableFooter"/>
        <w:ind w:left="720"/>
      </w:pPr>
      <w:r w:rsidRPr="00525CB9">
        <w:t>* The submission stated that only 150 patients were included in the “ITT” analysis of the primary outcome, as 6 patients could not be evaluated at 24 months, either due to missing data or insufficient follow-up. Therefore, in the Commentary, it is referred to as the modified ITT analysis (</w:t>
      </w:r>
      <w:proofErr w:type="spellStart"/>
      <w:r w:rsidRPr="00525CB9">
        <w:t>mITT</w:t>
      </w:r>
      <w:proofErr w:type="spellEnd"/>
      <w:r w:rsidRPr="00525CB9">
        <w:t>)</w:t>
      </w:r>
    </w:p>
    <w:p w:rsidR="00A213F2" w:rsidRPr="00525CB9" w:rsidRDefault="00A213F2" w:rsidP="00A213F2">
      <w:pPr>
        <w:pStyle w:val="TableFooter"/>
        <w:ind w:left="720"/>
      </w:pPr>
      <w:r w:rsidRPr="00525CB9">
        <w:t>** Treatment regimens in APML4 are only consistent with those proposed for high risk APL. 23/124 (18.5%) were high risk patients. The results of this relevant subgroup were not presented.</w:t>
      </w:r>
    </w:p>
    <w:p w:rsidR="00A213F2" w:rsidRPr="00525CB9" w:rsidRDefault="00A213F2" w:rsidP="00A213F2">
      <w:pPr>
        <w:pStyle w:val="TableFooter"/>
        <w:ind w:left="720"/>
      </w:pPr>
      <w:r w:rsidRPr="00525CB9">
        <w:t>*** Patients who received maintenance therapy after a protocol amendment (70/101, 69%). Only 15/70 (21.4%) were high risk patients. The results of this relevant subgroup were not presented.</w:t>
      </w:r>
    </w:p>
    <w:p w:rsidR="00A213F2" w:rsidRPr="00525CB9" w:rsidRDefault="00A213F2" w:rsidP="00A213F2">
      <w:pPr>
        <w:pStyle w:val="TableFooter"/>
        <w:ind w:left="720"/>
      </w:pPr>
      <w:r w:rsidRPr="00525CB9">
        <w:t>Source: compiled during the evaluation</w:t>
      </w:r>
      <w:r w:rsidR="003F375A" w:rsidRPr="00525CB9">
        <w:t>.</w:t>
      </w:r>
    </w:p>
    <w:p w:rsidR="001C2A41" w:rsidRPr="0044258B" w:rsidRDefault="001C2A41" w:rsidP="001C2A41">
      <w:pPr>
        <w:pStyle w:val="ListParagraph"/>
        <w:widowControl/>
      </w:pPr>
    </w:p>
    <w:p w:rsidR="00A213F2" w:rsidRPr="00790CD9" w:rsidRDefault="00525CB9" w:rsidP="002969CC">
      <w:pPr>
        <w:pStyle w:val="ListParagraph"/>
        <w:widowControl/>
        <w:numPr>
          <w:ilvl w:val="1"/>
          <w:numId w:val="3"/>
        </w:numPr>
      </w:pPr>
      <w:r>
        <w:t>The ESC noted that, f</w:t>
      </w:r>
      <w:r w:rsidR="001C2A41" w:rsidRPr="00790CD9">
        <w:t>or low-intermediate risk patients, the overall risk of bias</w:t>
      </w:r>
      <w:r w:rsidR="004A6A19" w:rsidRPr="00790CD9">
        <w:t xml:space="preserve"> in Lo-Coco 2013 was low. </w:t>
      </w:r>
      <w:r w:rsidR="00A213F2" w:rsidRPr="00790CD9">
        <w:t xml:space="preserve">For high risk patients, there was no direct evidence available. The submission relied on an unadjusted indirect comparison of two single-arm studies so it was not certain whether the two populations were exchangeable. The </w:t>
      </w:r>
      <w:r>
        <w:t xml:space="preserve">ESC considered that the </w:t>
      </w:r>
      <w:r w:rsidR="00A213F2" w:rsidRPr="00790CD9">
        <w:t>relevance of the comparison was limited as:</w:t>
      </w:r>
    </w:p>
    <w:p w:rsidR="00A213F2" w:rsidRPr="00790CD9" w:rsidRDefault="00A213F2" w:rsidP="002969CC">
      <w:pPr>
        <w:pStyle w:val="ListParagraph"/>
        <w:numPr>
          <w:ilvl w:val="0"/>
          <w:numId w:val="6"/>
        </w:numPr>
        <w:ind w:left="993"/>
      </w:pPr>
      <w:r w:rsidRPr="00790CD9">
        <w:t>The results of the comparison between the high risk subgroup in APML4 (n=23) with the subgroup of high risk patients who received maintenance therapy in APML3 (n=15) were not presented;</w:t>
      </w:r>
    </w:p>
    <w:p w:rsidR="00A213F2" w:rsidRPr="00790CD9" w:rsidRDefault="00A213F2" w:rsidP="002969CC">
      <w:pPr>
        <w:pStyle w:val="ListParagraph"/>
        <w:numPr>
          <w:ilvl w:val="0"/>
          <w:numId w:val="6"/>
        </w:numPr>
        <w:ind w:left="993"/>
      </w:pPr>
      <w:r w:rsidRPr="00790CD9">
        <w:t>APML3 was unlikely to represent current clinical practice in Australia</w:t>
      </w:r>
      <w:r w:rsidR="00385191" w:rsidRPr="00790CD9">
        <w:t xml:space="preserve"> in the absence of ATO</w:t>
      </w:r>
      <w:r w:rsidRPr="00790CD9">
        <w:t>:</w:t>
      </w:r>
    </w:p>
    <w:p w:rsidR="00A213F2" w:rsidRPr="00790CD9" w:rsidRDefault="00A213F2" w:rsidP="002969CC">
      <w:pPr>
        <w:numPr>
          <w:ilvl w:val="1"/>
          <w:numId w:val="5"/>
        </w:numPr>
        <w:contextualSpacing/>
      </w:pPr>
      <w:r w:rsidRPr="00790CD9">
        <w:t xml:space="preserve">the treatment protocol was not consistent with clinical practice guidelines that recommend more intensive </w:t>
      </w:r>
      <w:proofErr w:type="spellStart"/>
      <w:r w:rsidRPr="00790CD9">
        <w:t>ATRA+chemotherapy</w:t>
      </w:r>
      <w:proofErr w:type="spellEnd"/>
      <w:r w:rsidRPr="00790CD9">
        <w:t xml:space="preserve"> regimens as best practice, especially in high risk patients (see Section A.4), and </w:t>
      </w:r>
    </w:p>
    <w:p w:rsidR="00A213F2" w:rsidRPr="00790CD9" w:rsidRDefault="00A64452" w:rsidP="002969CC">
      <w:pPr>
        <w:numPr>
          <w:ilvl w:val="1"/>
          <w:numId w:val="5"/>
        </w:numPr>
        <w:contextualSpacing/>
      </w:pPr>
      <w:proofErr w:type="gramStart"/>
      <w:r w:rsidRPr="00790CD9">
        <w:t>it</w:t>
      </w:r>
      <w:proofErr w:type="gramEnd"/>
      <w:r w:rsidRPr="00790CD9">
        <w:t xml:space="preserve"> </w:t>
      </w:r>
      <w:r w:rsidR="00A213F2" w:rsidRPr="00790CD9">
        <w:t>was probable that there have been improvements in supportive care, including haemostatic support, since APML3 was conducted</w:t>
      </w:r>
      <w:r w:rsidRPr="00790CD9">
        <w:t xml:space="preserve"> (the last patient was recruited in October 2002)</w:t>
      </w:r>
      <w:r w:rsidR="00A213F2" w:rsidRPr="00790CD9">
        <w:t xml:space="preserve"> (see Section B.4).</w:t>
      </w:r>
    </w:p>
    <w:p w:rsidR="001C2A41" w:rsidRPr="00790CD9" w:rsidRDefault="001C2A41" w:rsidP="00C25107">
      <w:pPr>
        <w:widowControl/>
      </w:pPr>
    </w:p>
    <w:p w:rsidR="00885E30" w:rsidRPr="00790CD9" w:rsidRDefault="00885E30" w:rsidP="002969CC">
      <w:pPr>
        <w:pStyle w:val="ListParagraph"/>
        <w:widowControl/>
        <w:numPr>
          <w:ilvl w:val="1"/>
          <w:numId w:val="3"/>
        </w:numPr>
      </w:pPr>
      <w:r w:rsidRPr="00790CD9">
        <w:t>Overall, results of the comparison of APML4 and APML3 had a high risk of bias and confounding, with limited applicability to current Australian clinical practice.</w:t>
      </w:r>
    </w:p>
    <w:p w:rsidR="001C2A41" w:rsidRDefault="001C2A41" w:rsidP="001C2A41">
      <w:pPr>
        <w:rPr>
          <w:szCs w:val="22"/>
        </w:rPr>
      </w:pPr>
    </w:p>
    <w:p w:rsidR="00EC64D8" w:rsidRDefault="00525CB9" w:rsidP="00124EAF">
      <w:pPr>
        <w:ind w:firstLine="720"/>
        <w:rPr>
          <w:szCs w:val="22"/>
        </w:rPr>
      </w:pPr>
      <w:r w:rsidRPr="00187C6F">
        <w:rPr>
          <w:i/>
          <w:szCs w:val="22"/>
        </w:rPr>
        <w:t>For more detail on PBAC’s view, see section 7 “PBAC outcome”</w:t>
      </w:r>
      <w:r w:rsidR="00124EAF">
        <w:rPr>
          <w:i/>
          <w:szCs w:val="22"/>
        </w:rPr>
        <w:t>.</w:t>
      </w:r>
    </w:p>
    <w:p w:rsidR="00525CB9" w:rsidRDefault="00525CB9" w:rsidP="001C2A41">
      <w:pPr>
        <w:rPr>
          <w:szCs w:val="22"/>
        </w:rPr>
      </w:pPr>
    </w:p>
    <w:p w:rsidR="00525CB9" w:rsidRPr="00882085" w:rsidRDefault="00525CB9" w:rsidP="001C2A41">
      <w:pPr>
        <w:rPr>
          <w:szCs w:val="22"/>
        </w:rPr>
      </w:pPr>
    </w:p>
    <w:p w:rsidR="005169F5" w:rsidRDefault="005169F5">
      <w:pPr>
        <w:widowControl/>
        <w:jc w:val="left"/>
        <w:rPr>
          <w:b/>
        </w:rPr>
      </w:pPr>
      <w:bookmarkStart w:id="8" w:name="_Toc427598091"/>
      <w:r>
        <w:rPr>
          <w:b/>
        </w:rPr>
        <w:br w:type="page"/>
      </w:r>
    </w:p>
    <w:p w:rsidR="001C2A41" w:rsidRPr="002F18CF" w:rsidRDefault="001C2A41" w:rsidP="002F18CF">
      <w:pPr>
        <w:widowControl/>
        <w:jc w:val="left"/>
        <w:rPr>
          <w:b/>
          <w:i/>
        </w:rPr>
      </w:pPr>
      <w:r w:rsidRPr="002F18CF">
        <w:rPr>
          <w:b/>
        </w:rPr>
        <w:lastRenderedPageBreak/>
        <w:t>Comparative effectiveness</w:t>
      </w:r>
      <w:bookmarkEnd w:id="8"/>
    </w:p>
    <w:p w:rsidR="001C2A41" w:rsidRDefault="001C2A41" w:rsidP="001C2A41">
      <w:pPr>
        <w:rPr>
          <w:szCs w:val="22"/>
        </w:rPr>
      </w:pPr>
    </w:p>
    <w:p w:rsidR="001C2A41" w:rsidRPr="0093387E" w:rsidRDefault="001C2A41" w:rsidP="001C2A41">
      <w:pPr>
        <w:rPr>
          <w:szCs w:val="22"/>
          <w:u w:val="single"/>
        </w:rPr>
      </w:pPr>
      <w:r w:rsidRPr="0093387E">
        <w:rPr>
          <w:szCs w:val="22"/>
          <w:u w:val="single"/>
        </w:rPr>
        <w:t>Low-intermediate risk APL</w:t>
      </w:r>
    </w:p>
    <w:p w:rsidR="001C2A41" w:rsidRPr="00882085" w:rsidRDefault="001C2A41" w:rsidP="001C2A41">
      <w:pPr>
        <w:rPr>
          <w:szCs w:val="22"/>
        </w:rPr>
      </w:pPr>
    </w:p>
    <w:p w:rsidR="001C2A41" w:rsidRDefault="001C2A41" w:rsidP="002969CC">
      <w:pPr>
        <w:pStyle w:val="ListParagraph"/>
        <w:widowControl/>
        <w:numPr>
          <w:ilvl w:val="1"/>
          <w:numId w:val="3"/>
        </w:numPr>
        <w:rPr>
          <w:szCs w:val="22"/>
        </w:rPr>
      </w:pPr>
      <w:r>
        <w:rPr>
          <w:szCs w:val="22"/>
        </w:rPr>
        <w:t>The results of Lo-Coco 2013 are summarised below.</w:t>
      </w:r>
    </w:p>
    <w:p w:rsidR="001C2A41" w:rsidRDefault="001C2A41" w:rsidP="001C2A41">
      <w:pPr>
        <w:pStyle w:val="ListParagraph"/>
        <w:widowControl/>
        <w:rPr>
          <w:szCs w:val="22"/>
        </w:rPr>
      </w:pPr>
    </w:p>
    <w:p w:rsidR="001C2A41" w:rsidRDefault="001C2A41" w:rsidP="001C2A41">
      <w:pPr>
        <w:pStyle w:val="Caption"/>
        <w:ind w:firstLine="720"/>
      </w:pPr>
      <w:r>
        <w:t>Table 3: Main results from Lo-Coco 2013 for patients with low-intermediate risk APL</w:t>
      </w:r>
    </w:p>
    <w:tbl>
      <w:tblPr>
        <w:tblStyle w:val="TableGrid"/>
        <w:tblW w:w="4480" w:type="pct"/>
        <w:tblInd w:w="836" w:type="dxa"/>
        <w:tblLook w:val="04A0" w:firstRow="1" w:lastRow="0" w:firstColumn="1" w:lastColumn="0" w:noHBand="0" w:noVBand="1"/>
        <w:tblCaption w:val="Table 3 - results from Lo-Coco 2013 for patients with low-intermediate risk APL"/>
      </w:tblPr>
      <w:tblGrid>
        <w:gridCol w:w="2154"/>
        <w:gridCol w:w="1474"/>
        <w:gridCol w:w="1474"/>
        <w:gridCol w:w="1592"/>
        <w:gridCol w:w="1587"/>
      </w:tblGrid>
      <w:tr w:rsidR="001C2A41" w:rsidRPr="00525CB9" w:rsidTr="00BC1669">
        <w:trPr>
          <w:tblHeader/>
        </w:trPr>
        <w:tc>
          <w:tcPr>
            <w:tcW w:w="1301" w:type="pct"/>
          </w:tcPr>
          <w:p w:rsidR="001C2A41" w:rsidRPr="00525CB9" w:rsidRDefault="001C2A41" w:rsidP="00752277">
            <w:pPr>
              <w:pStyle w:val="Tabletext"/>
              <w:rPr>
                <w:b/>
              </w:rPr>
            </w:pPr>
          </w:p>
        </w:tc>
        <w:tc>
          <w:tcPr>
            <w:tcW w:w="890" w:type="pct"/>
          </w:tcPr>
          <w:p w:rsidR="001C2A41" w:rsidRPr="00525CB9" w:rsidRDefault="001C2A41" w:rsidP="00752277">
            <w:pPr>
              <w:pStyle w:val="Tabletext"/>
              <w:jc w:val="center"/>
              <w:rPr>
                <w:b/>
              </w:rPr>
            </w:pPr>
            <w:r w:rsidRPr="00525CB9">
              <w:rPr>
                <w:b/>
              </w:rPr>
              <w:t>ATO+ATRA</w:t>
            </w:r>
          </w:p>
          <w:p w:rsidR="001C2A41" w:rsidRPr="00525CB9" w:rsidRDefault="001C2A41" w:rsidP="00752277">
            <w:pPr>
              <w:pStyle w:val="Tabletext"/>
              <w:jc w:val="center"/>
              <w:rPr>
                <w:b/>
              </w:rPr>
            </w:pPr>
            <w:proofErr w:type="gramStart"/>
            <w:r w:rsidRPr="00525CB9">
              <w:rPr>
                <w:b/>
              </w:rPr>
              <w:t>n/N</w:t>
            </w:r>
            <w:proofErr w:type="gramEnd"/>
            <w:r w:rsidRPr="00525CB9">
              <w:rPr>
                <w:b/>
              </w:rPr>
              <w:t xml:space="preserve"> (%)</w:t>
            </w:r>
          </w:p>
          <w:p w:rsidR="001C2A41" w:rsidRPr="00525CB9" w:rsidRDefault="001C2A41" w:rsidP="00752277">
            <w:pPr>
              <w:pStyle w:val="Tabletext"/>
              <w:jc w:val="center"/>
              <w:rPr>
                <w:b/>
              </w:rPr>
            </w:pPr>
            <w:r w:rsidRPr="00525CB9">
              <w:rPr>
                <w:b/>
              </w:rPr>
              <w:t>N=77</w:t>
            </w:r>
          </w:p>
        </w:tc>
        <w:tc>
          <w:tcPr>
            <w:tcW w:w="890" w:type="pct"/>
          </w:tcPr>
          <w:p w:rsidR="001C2A41" w:rsidRPr="00525CB9" w:rsidRDefault="001C2A41" w:rsidP="00752277">
            <w:pPr>
              <w:pStyle w:val="Tabletext"/>
              <w:jc w:val="center"/>
              <w:rPr>
                <w:b/>
              </w:rPr>
            </w:pPr>
            <w:proofErr w:type="spellStart"/>
            <w:r w:rsidRPr="00525CB9">
              <w:rPr>
                <w:b/>
              </w:rPr>
              <w:t>ATRA+Chemo</w:t>
            </w:r>
            <w:proofErr w:type="spellEnd"/>
          </w:p>
          <w:p w:rsidR="001C2A41" w:rsidRPr="00525CB9" w:rsidRDefault="001C2A41" w:rsidP="00752277">
            <w:pPr>
              <w:pStyle w:val="Tabletext"/>
              <w:jc w:val="center"/>
              <w:rPr>
                <w:b/>
              </w:rPr>
            </w:pPr>
            <w:proofErr w:type="gramStart"/>
            <w:r w:rsidRPr="00525CB9">
              <w:rPr>
                <w:b/>
              </w:rPr>
              <w:t>n/N</w:t>
            </w:r>
            <w:proofErr w:type="gramEnd"/>
            <w:r w:rsidRPr="00525CB9">
              <w:rPr>
                <w:b/>
              </w:rPr>
              <w:t xml:space="preserve"> (%)</w:t>
            </w:r>
          </w:p>
          <w:p w:rsidR="001C2A41" w:rsidRPr="00525CB9" w:rsidRDefault="001C2A41" w:rsidP="00752277">
            <w:pPr>
              <w:pStyle w:val="Tabletext"/>
              <w:jc w:val="center"/>
              <w:rPr>
                <w:b/>
              </w:rPr>
            </w:pPr>
            <w:r w:rsidRPr="00525CB9">
              <w:rPr>
                <w:b/>
              </w:rPr>
              <w:t>N=79</w:t>
            </w:r>
          </w:p>
        </w:tc>
        <w:tc>
          <w:tcPr>
            <w:tcW w:w="961" w:type="pct"/>
          </w:tcPr>
          <w:p w:rsidR="001C2A41" w:rsidRPr="00525CB9" w:rsidRDefault="001C2A41" w:rsidP="00752277">
            <w:pPr>
              <w:pStyle w:val="Tabletext"/>
              <w:jc w:val="center"/>
              <w:rPr>
                <w:b/>
              </w:rPr>
            </w:pPr>
            <w:r w:rsidRPr="00525CB9">
              <w:rPr>
                <w:b/>
              </w:rPr>
              <w:t>Absolute difference</w:t>
            </w:r>
          </w:p>
          <w:p w:rsidR="001C2A41" w:rsidRPr="00525CB9" w:rsidRDefault="001C2A41" w:rsidP="00752277">
            <w:pPr>
              <w:pStyle w:val="Tabletext"/>
              <w:jc w:val="center"/>
              <w:rPr>
                <w:b/>
              </w:rPr>
            </w:pPr>
            <w:r w:rsidRPr="00525CB9">
              <w:rPr>
                <w:b/>
              </w:rPr>
              <w:t>(95% CI)</w:t>
            </w:r>
          </w:p>
        </w:tc>
        <w:tc>
          <w:tcPr>
            <w:tcW w:w="958" w:type="pct"/>
          </w:tcPr>
          <w:p w:rsidR="001C2A41" w:rsidRPr="00525CB9" w:rsidRDefault="001C2A41" w:rsidP="00752277">
            <w:pPr>
              <w:pStyle w:val="Tabletext"/>
              <w:jc w:val="center"/>
              <w:rPr>
                <w:b/>
              </w:rPr>
            </w:pPr>
            <w:r w:rsidRPr="00525CB9">
              <w:rPr>
                <w:b/>
              </w:rPr>
              <w:t>Relative risk</w:t>
            </w:r>
          </w:p>
          <w:p w:rsidR="001C2A41" w:rsidRPr="00525CB9" w:rsidRDefault="001C2A41" w:rsidP="00752277">
            <w:pPr>
              <w:pStyle w:val="Tabletext"/>
              <w:jc w:val="center"/>
              <w:rPr>
                <w:b/>
              </w:rPr>
            </w:pPr>
            <w:r w:rsidRPr="00525CB9">
              <w:rPr>
                <w:b/>
              </w:rPr>
              <w:t>(95%CI)</w:t>
            </w:r>
          </w:p>
        </w:tc>
      </w:tr>
      <w:tr w:rsidR="001C2A41" w:rsidRPr="00525CB9" w:rsidTr="00752277">
        <w:tc>
          <w:tcPr>
            <w:tcW w:w="5000" w:type="pct"/>
            <w:gridSpan w:val="5"/>
          </w:tcPr>
          <w:p w:rsidR="001C2A41" w:rsidRPr="00525CB9" w:rsidRDefault="001C2A41" w:rsidP="00752277">
            <w:pPr>
              <w:pStyle w:val="Tabletext"/>
            </w:pPr>
            <w:r w:rsidRPr="00525CB9">
              <w:rPr>
                <w:b/>
              </w:rPr>
              <w:t>Effectiveness of induction therapy</w:t>
            </w:r>
          </w:p>
        </w:tc>
      </w:tr>
      <w:tr w:rsidR="001C2A41" w:rsidRPr="00525CB9" w:rsidTr="00752277">
        <w:tc>
          <w:tcPr>
            <w:tcW w:w="1301" w:type="pct"/>
          </w:tcPr>
          <w:p w:rsidR="001C2A41" w:rsidRPr="00525CB9" w:rsidRDefault="001C2A41" w:rsidP="00752277">
            <w:pPr>
              <w:pStyle w:val="Tabletext"/>
            </w:pPr>
            <w:r w:rsidRPr="00525CB9">
              <w:t>HCR after induction</w:t>
            </w:r>
          </w:p>
        </w:tc>
        <w:tc>
          <w:tcPr>
            <w:tcW w:w="890" w:type="pct"/>
          </w:tcPr>
          <w:p w:rsidR="001C2A41" w:rsidRPr="00525CB9" w:rsidRDefault="001C2A41" w:rsidP="00752277">
            <w:pPr>
              <w:pStyle w:val="Tabletext"/>
              <w:jc w:val="center"/>
            </w:pPr>
            <w:r w:rsidRPr="00525CB9">
              <w:t>77/77 (100%)</w:t>
            </w:r>
          </w:p>
        </w:tc>
        <w:tc>
          <w:tcPr>
            <w:tcW w:w="890" w:type="pct"/>
          </w:tcPr>
          <w:p w:rsidR="001C2A41" w:rsidRPr="00525CB9" w:rsidRDefault="001C2A41" w:rsidP="00752277">
            <w:pPr>
              <w:pStyle w:val="Tabletext"/>
              <w:jc w:val="center"/>
            </w:pPr>
            <w:r w:rsidRPr="00525CB9">
              <w:t>75/79 (94.9%)</w:t>
            </w:r>
          </w:p>
        </w:tc>
        <w:tc>
          <w:tcPr>
            <w:tcW w:w="961" w:type="pct"/>
          </w:tcPr>
          <w:p w:rsidR="001C2A41" w:rsidRPr="00525CB9" w:rsidRDefault="001C2A41" w:rsidP="00752277">
            <w:pPr>
              <w:pStyle w:val="Tabletext"/>
              <w:jc w:val="center"/>
            </w:pPr>
            <w:r w:rsidRPr="00525CB9">
              <w:t>5.1%</w:t>
            </w:r>
          </w:p>
          <w:p w:rsidR="001C2A41" w:rsidRPr="00525CB9" w:rsidRDefault="001C2A41" w:rsidP="00752277">
            <w:pPr>
              <w:pStyle w:val="Tabletext"/>
              <w:jc w:val="center"/>
            </w:pPr>
            <w:r w:rsidRPr="00525CB9">
              <w:t>(0.2%, 9.9%)</w:t>
            </w:r>
          </w:p>
        </w:tc>
        <w:tc>
          <w:tcPr>
            <w:tcW w:w="958" w:type="pct"/>
          </w:tcPr>
          <w:p w:rsidR="001C2A41" w:rsidRPr="00525CB9" w:rsidRDefault="001C2A41" w:rsidP="00752277">
            <w:pPr>
              <w:pStyle w:val="Tabletext"/>
              <w:jc w:val="center"/>
            </w:pPr>
            <w:r w:rsidRPr="00525CB9">
              <w:t>1.05</w:t>
            </w:r>
          </w:p>
          <w:p w:rsidR="001C2A41" w:rsidRPr="00525CB9" w:rsidRDefault="001C2A41" w:rsidP="00752277">
            <w:pPr>
              <w:pStyle w:val="Tabletext"/>
              <w:jc w:val="center"/>
            </w:pPr>
            <w:r w:rsidRPr="00525CB9">
              <w:t>(1.00, 1.11)</w:t>
            </w:r>
          </w:p>
        </w:tc>
      </w:tr>
      <w:tr w:rsidR="001C2A41" w:rsidRPr="00525CB9" w:rsidTr="00752277">
        <w:tc>
          <w:tcPr>
            <w:tcW w:w="5000" w:type="pct"/>
            <w:gridSpan w:val="5"/>
          </w:tcPr>
          <w:p w:rsidR="001C2A41" w:rsidRPr="00525CB9" w:rsidRDefault="001C2A41" w:rsidP="00752277">
            <w:pPr>
              <w:pStyle w:val="Tabletext"/>
            </w:pPr>
            <w:r w:rsidRPr="00525CB9">
              <w:rPr>
                <w:b/>
              </w:rPr>
              <w:t>Event-free survival rate at 2 year*</w:t>
            </w:r>
          </w:p>
        </w:tc>
      </w:tr>
      <w:tr w:rsidR="001C2A41" w:rsidRPr="00525CB9" w:rsidTr="00752277">
        <w:tc>
          <w:tcPr>
            <w:tcW w:w="1301" w:type="pct"/>
          </w:tcPr>
          <w:p w:rsidR="001C2A41" w:rsidRPr="00525CB9" w:rsidRDefault="001C2A41" w:rsidP="00752277">
            <w:pPr>
              <w:pStyle w:val="Tabletext"/>
              <w:ind w:left="142"/>
              <w:rPr>
                <w:vertAlign w:val="superscript"/>
              </w:rPr>
            </w:pPr>
            <w:proofErr w:type="spellStart"/>
            <w:r w:rsidRPr="00525CB9">
              <w:t>mITT</w:t>
            </w:r>
            <w:r w:rsidRPr="00525CB9">
              <w:rPr>
                <w:vertAlign w:val="superscript"/>
              </w:rPr>
              <w:t>a</w:t>
            </w:r>
            <w:proofErr w:type="spellEnd"/>
          </w:p>
        </w:tc>
        <w:tc>
          <w:tcPr>
            <w:tcW w:w="890" w:type="pct"/>
          </w:tcPr>
          <w:p w:rsidR="001C2A41" w:rsidRPr="00525CB9" w:rsidRDefault="001C2A41" w:rsidP="00752277">
            <w:pPr>
              <w:pStyle w:val="Tabletext"/>
              <w:jc w:val="center"/>
            </w:pPr>
            <w:r w:rsidRPr="00525CB9">
              <w:t>72/74 (97.3%)</w:t>
            </w:r>
          </w:p>
        </w:tc>
        <w:tc>
          <w:tcPr>
            <w:tcW w:w="890" w:type="pct"/>
          </w:tcPr>
          <w:p w:rsidR="001C2A41" w:rsidRPr="00525CB9" w:rsidRDefault="001C2A41" w:rsidP="00752277">
            <w:pPr>
              <w:pStyle w:val="Tabletext"/>
              <w:jc w:val="center"/>
            </w:pPr>
            <w:r w:rsidRPr="00525CB9">
              <w:t>65/76 (85.5%)</w:t>
            </w:r>
          </w:p>
        </w:tc>
        <w:tc>
          <w:tcPr>
            <w:tcW w:w="961" w:type="pct"/>
          </w:tcPr>
          <w:p w:rsidR="001C2A41" w:rsidRPr="00525CB9" w:rsidRDefault="001C2A41" w:rsidP="00752277">
            <w:pPr>
              <w:pStyle w:val="Tabletext"/>
              <w:jc w:val="center"/>
            </w:pPr>
            <w:r w:rsidRPr="00525CB9">
              <w:t>11.8%</w:t>
            </w:r>
          </w:p>
          <w:p w:rsidR="001C2A41" w:rsidRPr="00525CB9" w:rsidRDefault="001C2A41" w:rsidP="00752277">
            <w:pPr>
              <w:pStyle w:val="Tabletext"/>
              <w:jc w:val="center"/>
            </w:pPr>
            <w:r w:rsidRPr="00525CB9">
              <w:t>(3.0%, 20.5%)</w:t>
            </w:r>
          </w:p>
        </w:tc>
        <w:tc>
          <w:tcPr>
            <w:tcW w:w="958" w:type="pct"/>
          </w:tcPr>
          <w:p w:rsidR="001C2A41" w:rsidRPr="00525CB9" w:rsidRDefault="001C2A41" w:rsidP="00752277">
            <w:pPr>
              <w:pStyle w:val="Tabletext"/>
              <w:jc w:val="center"/>
            </w:pPr>
            <w:r w:rsidRPr="00525CB9">
              <w:t>1.14</w:t>
            </w:r>
          </w:p>
          <w:p w:rsidR="001C2A41" w:rsidRPr="00525CB9" w:rsidRDefault="001C2A41" w:rsidP="00752277">
            <w:pPr>
              <w:pStyle w:val="Tabletext"/>
              <w:jc w:val="center"/>
            </w:pPr>
            <w:r w:rsidRPr="00525CB9">
              <w:t>(1.03, 1.26)</w:t>
            </w:r>
          </w:p>
        </w:tc>
      </w:tr>
      <w:tr w:rsidR="001C2A41" w:rsidRPr="00525CB9" w:rsidTr="00752277">
        <w:tc>
          <w:tcPr>
            <w:tcW w:w="1301" w:type="pct"/>
          </w:tcPr>
          <w:p w:rsidR="001C2A41" w:rsidRPr="00525CB9" w:rsidRDefault="001C2A41" w:rsidP="00752277">
            <w:pPr>
              <w:pStyle w:val="Tabletext"/>
              <w:ind w:left="142"/>
            </w:pPr>
            <w:r w:rsidRPr="00525CB9">
              <w:t>PP</w:t>
            </w:r>
          </w:p>
        </w:tc>
        <w:tc>
          <w:tcPr>
            <w:tcW w:w="890" w:type="pct"/>
          </w:tcPr>
          <w:p w:rsidR="001C2A41" w:rsidRPr="00525CB9" w:rsidRDefault="001C2A41" w:rsidP="00752277">
            <w:pPr>
              <w:pStyle w:val="Tabletext"/>
              <w:jc w:val="center"/>
            </w:pPr>
            <w:r w:rsidRPr="00525CB9">
              <w:t>64/66 (97.0%)</w:t>
            </w:r>
          </w:p>
        </w:tc>
        <w:tc>
          <w:tcPr>
            <w:tcW w:w="890" w:type="pct"/>
          </w:tcPr>
          <w:p w:rsidR="001C2A41" w:rsidRPr="00525CB9" w:rsidRDefault="001C2A41" w:rsidP="00752277">
            <w:pPr>
              <w:pStyle w:val="Tabletext"/>
              <w:jc w:val="center"/>
            </w:pPr>
            <w:r w:rsidRPr="00525CB9">
              <w:t>61/72 (84.7%)</w:t>
            </w:r>
          </w:p>
        </w:tc>
        <w:tc>
          <w:tcPr>
            <w:tcW w:w="961" w:type="pct"/>
          </w:tcPr>
          <w:p w:rsidR="001C2A41" w:rsidRPr="00525CB9" w:rsidRDefault="001C2A41" w:rsidP="00752277">
            <w:pPr>
              <w:pStyle w:val="Tabletext"/>
              <w:jc w:val="center"/>
            </w:pPr>
            <w:r w:rsidRPr="00525CB9">
              <w:t>12.2%</w:t>
            </w:r>
          </w:p>
          <w:p w:rsidR="001C2A41" w:rsidRPr="00525CB9" w:rsidRDefault="001C2A41" w:rsidP="00752277">
            <w:pPr>
              <w:pStyle w:val="Tabletext"/>
              <w:jc w:val="center"/>
            </w:pPr>
            <w:r w:rsidRPr="00525CB9">
              <w:t>(3.0%, 21.5%)</w:t>
            </w:r>
          </w:p>
        </w:tc>
        <w:tc>
          <w:tcPr>
            <w:tcW w:w="958" w:type="pct"/>
          </w:tcPr>
          <w:p w:rsidR="001C2A41" w:rsidRPr="00525CB9" w:rsidRDefault="001C2A41" w:rsidP="00752277">
            <w:pPr>
              <w:pStyle w:val="Tabletext"/>
              <w:jc w:val="center"/>
            </w:pPr>
            <w:r w:rsidRPr="00525CB9">
              <w:t>1.14</w:t>
            </w:r>
          </w:p>
          <w:p w:rsidR="001C2A41" w:rsidRPr="00525CB9" w:rsidRDefault="001C2A41" w:rsidP="00752277">
            <w:pPr>
              <w:pStyle w:val="Tabletext"/>
              <w:jc w:val="center"/>
            </w:pPr>
            <w:r w:rsidRPr="00525CB9">
              <w:t>(1.03, 1.27)</w:t>
            </w:r>
          </w:p>
        </w:tc>
      </w:tr>
      <w:tr w:rsidR="001C2A41" w:rsidRPr="00525CB9" w:rsidTr="00752277">
        <w:tc>
          <w:tcPr>
            <w:tcW w:w="1301" w:type="pct"/>
          </w:tcPr>
          <w:p w:rsidR="001C2A41" w:rsidRPr="00525CB9" w:rsidRDefault="001C2A41" w:rsidP="00752277">
            <w:pPr>
              <w:pStyle w:val="Tabletext"/>
            </w:pPr>
            <w:r w:rsidRPr="00525CB9">
              <w:t>Sensitivity analyses</w:t>
            </w:r>
          </w:p>
        </w:tc>
        <w:tc>
          <w:tcPr>
            <w:tcW w:w="890" w:type="pct"/>
          </w:tcPr>
          <w:p w:rsidR="001C2A41" w:rsidRPr="00525CB9" w:rsidRDefault="001C2A41" w:rsidP="00752277">
            <w:pPr>
              <w:pStyle w:val="Tabletext"/>
              <w:jc w:val="center"/>
            </w:pPr>
          </w:p>
        </w:tc>
        <w:tc>
          <w:tcPr>
            <w:tcW w:w="890" w:type="pct"/>
          </w:tcPr>
          <w:p w:rsidR="001C2A41" w:rsidRPr="00525CB9" w:rsidRDefault="001C2A41" w:rsidP="00752277">
            <w:pPr>
              <w:pStyle w:val="Tabletext"/>
              <w:jc w:val="center"/>
            </w:pPr>
          </w:p>
        </w:tc>
        <w:tc>
          <w:tcPr>
            <w:tcW w:w="961" w:type="pct"/>
          </w:tcPr>
          <w:p w:rsidR="001C2A41" w:rsidRPr="00525CB9" w:rsidRDefault="001C2A41" w:rsidP="00752277">
            <w:pPr>
              <w:pStyle w:val="Tabletext"/>
              <w:jc w:val="center"/>
            </w:pPr>
          </w:p>
        </w:tc>
        <w:tc>
          <w:tcPr>
            <w:tcW w:w="958" w:type="pct"/>
          </w:tcPr>
          <w:p w:rsidR="001C2A41" w:rsidRPr="00525CB9" w:rsidRDefault="001C2A41" w:rsidP="00752277">
            <w:pPr>
              <w:pStyle w:val="Tabletext"/>
              <w:jc w:val="center"/>
            </w:pPr>
          </w:p>
        </w:tc>
      </w:tr>
      <w:tr w:rsidR="001C2A41" w:rsidRPr="00525CB9" w:rsidTr="00752277">
        <w:tc>
          <w:tcPr>
            <w:tcW w:w="1301" w:type="pct"/>
          </w:tcPr>
          <w:p w:rsidR="001C2A41" w:rsidRPr="00525CB9" w:rsidRDefault="001C2A41" w:rsidP="00752277">
            <w:pPr>
              <w:pStyle w:val="Tabletext"/>
              <w:ind w:left="142"/>
            </w:pPr>
            <w:proofErr w:type="spellStart"/>
            <w:r w:rsidRPr="00525CB9">
              <w:t>i</w:t>
            </w:r>
            <w:proofErr w:type="spellEnd"/>
            <w:r w:rsidRPr="00525CB9">
              <w:t>) negative outcome</w:t>
            </w:r>
          </w:p>
        </w:tc>
        <w:tc>
          <w:tcPr>
            <w:tcW w:w="890" w:type="pct"/>
          </w:tcPr>
          <w:p w:rsidR="001C2A41" w:rsidRPr="00525CB9" w:rsidRDefault="001C2A41" w:rsidP="00752277">
            <w:pPr>
              <w:pStyle w:val="Tabletext"/>
              <w:jc w:val="center"/>
            </w:pPr>
            <w:r w:rsidRPr="00525CB9">
              <w:t>72/77 (93.5%)</w:t>
            </w:r>
          </w:p>
        </w:tc>
        <w:tc>
          <w:tcPr>
            <w:tcW w:w="890" w:type="pct"/>
          </w:tcPr>
          <w:p w:rsidR="001C2A41" w:rsidRPr="00525CB9" w:rsidRDefault="001C2A41" w:rsidP="00752277">
            <w:pPr>
              <w:pStyle w:val="Tabletext"/>
              <w:jc w:val="center"/>
            </w:pPr>
            <w:r w:rsidRPr="00525CB9">
              <w:t>65/79 (82.3%)</w:t>
            </w:r>
          </w:p>
        </w:tc>
        <w:tc>
          <w:tcPr>
            <w:tcW w:w="961" w:type="pct"/>
          </w:tcPr>
          <w:p w:rsidR="001C2A41" w:rsidRPr="00525CB9" w:rsidRDefault="001C2A41" w:rsidP="00752277">
            <w:pPr>
              <w:pStyle w:val="Tabletext"/>
              <w:jc w:val="center"/>
            </w:pPr>
            <w:r w:rsidRPr="00525CB9">
              <w:t>11.2%</w:t>
            </w:r>
          </w:p>
          <w:p w:rsidR="001C2A41" w:rsidRPr="00525CB9" w:rsidRDefault="001C2A41" w:rsidP="00752277">
            <w:pPr>
              <w:pStyle w:val="Tabletext"/>
              <w:jc w:val="center"/>
            </w:pPr>
            <w:r w:rsidRPr="00525CB9">
              <w:t>(1.2%, 21.3%)</w:t>
            </w:r>
          </w:p>
        </w:tc>
        <w:tc>
          <w:tcPr>
            <w:tcW w:w="958" w:type="pct"/>
          </w:tcPr>
          <w:p w:rsidR="001C2A41" w:rsidRPr="00525CB9" w:rsidRDefault="001C2A41" w:rsidP="00752277">
            <w:pPr>
              <w:pStyle w:val="Tabletext"/>
              <w:jc w:val="center"/>
            </w:pPr>
            <w:r w:rsidRPr="00525CB9">
              <w:t>1.14</w:t>
            </w:r>
          </w:p>
          <w:p w:rsidR="001C2A41" w:rsidRPr="00525CB9" w:rsidRDefault="001C2A41" w:rsidP="00752277">
            <w:pPr>
              <w:pStyle w:val="Tabletext"/>
              <w:jc w:val="center"/>
            </w:pPr>
            <w:r w:rsidRPr="00525CB9">
              <w:t>(1.01, 1.28)</w:t>
            </w:r>
          </w:p>
        </w:tc>
      </w:tr>
      <w:tr w:rsidR="001C2A41" w:rsidRPr="00525CB9" w:rsidTr="00752277">
        <w:tc>
          <w:tcPr>
            <w:tcW w:w="1301" w:type="pct"/>
          </w:tcPr>
          <w:p w:rsidR="001C2A41" w:rsidRPr="00525CB9" w:rsidRDefault="001C2A41" w:rsidP="00752277">
            <w:pPr>
              <w:pStyle w:val="Tabletext"/>
              <w:ind w:left="142"/>
            </w:pPr>
            <w:r w:rsidRPr="00525CB9">
              <w:t>ii) positive outcome</w:t>
            </w:r>
          </w:p>
        </w:tc>
        <w:tc>
          <w:tcPr>
            <w:tcW w:w="890" w:type="pct"/>
          </w:tcPr>
          <w:p w:rsidR="001C2A41" w:rsidRPr="00525CB9" w:rsidRDefault="001C2A41" w:rsidP="00752277">
            <w:pPr>
              <w:pStyle w:val="Tabletext"/>
              <w:jc w:val="center"/>
            </w:pPr>
            <w:r w:rsidRPr="00525CB9">
              <w:t>75/77 (97.4%)</w:t>
            </w:r>
          </w:p>
        </w:tc>
        <w:tc>
          <w:tcPr>
            <w:tcW w:w="890" w:type="pct"/>
          </w:tcPr>
          <w:p w:rsidR="001C2A41" w:rsidRPr="00525CB9" w:rsidRDefault="001C2A41" w:rsidP="00752277">
            <w:pPr>
              <w:pStyle w:val="Tabletext"/>
              <w:jc w:val="center"/>
            </w:pPr>
            <w:r w:rsidRPr="00525CB9">
              <w:t>68/79 (86.1%)</w:t>
            </w:r>
          </w:p>
        </w:tc>
        <w:tc>
          <w:tcPr>
            <w:tcW w:w="961" w:type="pct"/>
          </w:tcPr>
          <w:p w:rsidR="001C2A41" w:rsidRPr="00525CB9" w:rsidRDefault="001C2A41" w:rsidP="00752277">
            <w:pPr>
              <w:pStyle w:val="Tabletext"/>
              <w:jc w:val="center"/>
            </w:pPr>
            <w:r w:rsidRPr="00525CB9">
              <w:t>11.3%</w:t>
            </w:r>
          </w:p>
          <w:p w:rsidR="001C2A41" w:rsidRPr="00525CB9" w:rsidRDefault="001C2A41" w:rsidP="00752277">
            <w:pPr>
              <w:pStyle w:val="Tabletext"/>
              <w:jc w:val="center"/>
            </w:pPr>
            <w:r w:rsidRPr="00525CB9">
              <w:t>(2.9%, 19.7%)</w:t>
            </w:r>
          </w:p>
        </w:tc>
        <w:tc>
          <w:tcPr>
            <w:tcW w:w="958" w:type="pct"/>
          </w:tcPr>
          <w:p w:rsidR="001C2A41" w:rsidRPr="00525CB9" w:rsidRDefault="001C2A41" w:rsidP="00752277">
            <w:pPr>
              <w:pStyle w:val="Tabletext"/>
              <w:jc w:val="center"/>
            </w:pPr>
            <w:r w:rsidRPr="00525CB9">
              <w:t>1.13</w:t>
            </w:r>
          </w:p>
          <w:p w:rsidR="001C2A41" w:rsidRPr="00525CB9" w:rsidRDefault="001C2A41" w:rsidP="00752277">
            <w:pPr>
              <w:pStyle w:val="Tabletext"/>
              <w:jc w:val="center"/>
            </w:pPr>
            <w:r w:rsidRPr="00525CB9">
              <w:t>(1.03, 1.25)</w:t>
            </w:r>
          </w:p>
        </w:tc>
      </w:tr>
      <w:tr w:rsidR="001C2A41" w:rsidRPr="00525CB9" w:rsidTr="00752277">
        <w:tc>
          <w:tcPr>
            <w:tcW w:w="1301" w:type="pct"/>
          </w:tcPr>
          <w:p w:rsidR="001C2A41" w:rsidRPr="00525CB9" w:rsidRDefault="001C2A41" w:rsidP="00752277">
            <w:pPr>
              <w:pStyle w:val="Tabletext"/>
              <w:ind w:left="142"/>
            </w:pPr>
            <w:r w:rsidRPr="00525CB9">
              <w:t>iii) negative ATO+ATRA</w:t>
            </w:r>
          </w:p>
          <w:p w:rsidR="001C2A41" w:rsidRPr="00525CB9" w:rsidRDefault="001C2A41" w:rsidP="00752277">
            <w:pPr>
              <w:pStyle w:val="Tabletext"/>
              <w:ind w:left="284"/>
            </w:pPr>
            <w:r w:rsidRPr="00525CB9">
              <w:t xml:space="preserve">positive </w:t>
            </w:r>
            <w:proofErr w:type="spellStart"/>
            <w:r w:rsidRPr="00525CB9">
              <w:t>ATRA+chemo</w:t>
            </w:r>
            <w:proofErr w:type="spellEnd"/>
          </w:p>
        </w:tc>
        <w:tc>
          <w:tcPr>
            <w:tcW w:w="890" w:type="pct"/>
          </w:tcPr>
          <w:p w:rsidR="001C2A41" w:rsidRPr="00525CB9" w:rsidRDefault="001C2A41" w:rsidP="00752277">
            <w:pPr>
              <w:pStyle w:val="Tabletext"/>
              <w:jc w:val="center"/>
            </w:pPr>
            <w:r w:rsidRPr="00525CB9">
              <w:t>72/77 (93.5%)</w:t>
            </w:r>
          </w:p>
        </w:tc>
        <w:tc>
          <w:tcPr>
            <w:tcW w:w="890" w:type="pct"/>
          </w:tcPr>
          <w:p w:rsidR="001C2A41" w:rsidRPr="00525CB9" w:rsidRDefault="001C2A41" w:rsidP="00752277">
            <w:pPr>
              <w:pStyle w:val="Tabletext"/>
              <w:jc w:val="center"/>
            </w:pPr>
            <w:r w:rsidRPr="00525CB9">
              <w:t>68/79 (86.1%)</w:t>
            </w:r>
          </w:p>
        </w:tc>
        <w:tc>
          <w:tcPr>
            <w:tcW w:w="961" w:type="pct"/>
          </w:tcPr>
          <w:p w:rsidR="001C2A41" w:rsidRPr="00525CB9" w:rsidRDefault="001C2A41" w:rsidP="00752277">
            <w:pPr>
              <w:pStyle w:val="Tabletext"/>
              <w:tabs>
                <w:tab w:val="left" w:pos="240"/>
              </w:tabs>
              <w:jc w:val="center"/>
            </w:pPr>
            <w:r w:rsidRPr="00525CB9">
              <w:t>7.4%</w:t>
            </w:r>
          </w:p>
          <w:p w:rsidR="001C2A41" w:rsidRPr="00525CB9" w:rsidRDefault="001C2A41" w:rsidP="00752277">
            <w:pPr>
              <w:pStyle w:val="Tabletext"/>
              <w:tabs>
                <w:tab w:val="left" w:pos="240"/>
              </w:tabs>
              <w:jc w:val="center"/>
            </w:pPr>
            <w:r w:rsidRPr="00525CB9">
              <w:t>(-2.0%, 16.8%)</w:t>
            </w:r>
          </w:p>
        </w:tc>
        <w:tc>
          <w:tcPr>
            <w:tcW w:w="958" w:type="pct"/>
          </w:tcPr>
          <w:p w:rsidR="001C2A41" w:rsidRPr="00525CB9" w:rsidRDefault="001C2A41" w:rsidP="00752277">
            <w:pPr>
              <w:pStyle w:val="Tabletext"/>
              <w:jc w:val="center"/>
            </w:pPr>
            <w:r w:rsidRPr="00525CB9">
              <w:t>1.09</w:t>
            </w:r>
          </w:p>
          <w:p w:rsidR="001C2A41" w:rsidRPr="00525CB9" w:rsidRDefault="001C2A41" w:rsidP="00752277">
            <w:pPr>
              <w:pStyle w:val="Tabletext"/>
              <w:jc w:val="center"/>
            </w:pPr>
            <w:r w:rsidRPr="00525CB9">
              <w:t>(0.98, 1.21)</w:t>
            </w:r>
          </w:p>
        </w:tc>
      </w:tr>
      <w:tr w:rsidR="001C2A41" w:rsidRPr="00525CB9" w:rsidTr="00752277">
        <w:tc>
          <w:tcPr>
            <w:tcW w:w="1301" w:type="pct"/>
          </w:tcPr>
          <w:p w:rsidR="001C2A41" w:rsidRPr="00525CB9" w:rsidRDefault="001C2A41" w:rsidP="00752277">
            <w:pPr>
              <w:pStyle w:val="Tabletext"/>
              <w:rPr>
                <w:vertAlign w:val="superscript"/>
              </w:rPr>
            </w:pPr>
            <w:r w:rsidRPr="00525CB9">
              <w:t>Event-free survival over entire follow-up (ITT)</w:t>
            </w:r>
            <w:r w:rsidRPr="00525CB9">
              <w:rPr>
                <w:vertAlign w:val="superscript"/>
              </w:rPr>
              <w:t>b</w:t>
            </w:r>
          </w:p>
        </w:tc>
        <w:tc>
          <w:tcPr>
            <w:tcW w:w="890" w:type="pct"/>
          </w:tcPr>
          <w:p w:rsidR="001C2A41" w:rsidRPr="00525CB9" w:rsidRDefault="001C2A41" w:rsidP="00752277">
            <w:pPr>
              <w:pStyle w:val="Tabletext"/>
              <w:jc w:val="center"/>
            </w:pPr>
            <w:r w:rsidRPr="00525CB9">
              <w:t>71/77 (92.2%)</w:t>
            </w:r>
          </w:p>
        </w:tc>
        <w:tc>
          <w:tcPr>
            <w:tcW w:w="890" w:type="pct"/>
          </w:tcPr>
          <w:p w:rsidR="001C2A41" w:rsidRPr="00525CB9" w:rsidRDefault="001C2A41" w:rsidP="00752277">
            <w:pPr>
              <w:pStyle w:val="Tabletext"/>
              <w:jc w:val="center"/>
            </w:pPr>
            <w:r w:rsidRPr="00525CB9">
              <w:t>64/79 (81.0%)</w:t>
            </w:r>
          </w:p>
        </w:tc>
        <w:tc>
          <w:tcPr>
            <w:tcW w:w="961" w:type="pct"/>
          </w:tcPr>
          <w:p w:rsidR="001C2A41" w:rsidRPr="00525CB9" w:rsidRDefault="001C2A41" w:rsidP="00752277">
            <w:pPr>
              <w:pStyle w:val="Tabletext"/>
              <w:tabs>
                <w:tab w:val="left" w:pos="240"/>
              </w:tabs>
              <w:jc w:val="center"/>
            </w:pPr>
            <w:r w:rsidRPr="00525CB9">
              <w:t>11.2%</w:t>
            </w:r>
          </w:p>
          <w:p w:rsidR="001C2A41" w:rsidRPr="00525CB9" w:rsidRDefault="001C2A41" w:rsidP="00752277">
            <w:pPr>
              <w:pStyle w:val="Tabletext"/>
              <w:tabs>
                <w:tab w:val="left" w:pos="240"/>
              </w:tabs>
              <w:jc w:val="center"/>
            </w:pPr>
            <w:r w:rsidRPr="00525CB9">
              <w:t>(0.7%, 21.7%)</w:t>
            </w:r>
          </w:p>
        </w:tc>
        <w:tc>
          <w:tcPr>
            <w:tcW w:w="958" w:type="pct"/>
          </w:tcPr>
          <w:p w:rsidR="001C2A41" w:rsidRPr="00525CB9" w:rsidRDefault="001C2A41" w:rsidP="00752277">
            <w:pPr>
              <w:pStyle w:val="Tabletext"/>
              <w:jc w:val="center"/>
            </w:pPr>
            <w:r w:rsidRPr="00525CB9">
              <w:t>1.14</w:t>
            </w:r>
          </w:p>
          <w:p w:rsidR="001C2A41" w:rsidRPr="00525CB9" w:rsidRDefault="001C2A41" w:rsidP="00752277">
            <w:pPr>
              <w:pStyle w:val="Tabletext"/>
              <w:jc w:val="center"/>
            </w:pPr>
            <w:r w:rsidRPr="00525CB9">
              <w:t>(1.00, 1.29)</w:t>
            </w:r>
          </w:p>
        </w:tc>
      </w:tr>
      <w:tr w:rsidR="001C2A41" w:rsidRPr="00525CB9" w:rsidTr="00752277">
        <w:tc>
          <w:tcPr>
            <w:tcW w:w="5000" w:type="pct"/>
            <w:gridSpan w:val="5"/>
            <w:tcBorders>
              <w:bottom w:val="single" w:sz="4" w:space="0" w:color="auto"/>
            </w:tcBorders>
          </w:tcPr>
          <w:p w:rsidR="001C2A41" w:rsidRPr="00525CB9" w:rsidRDefault="001C2A41" w:rsidP="00752277">
            <w:pPr>
              <w:pStyle w:val="Tabletext"/>
            </w:pPr>
            <w:r w:rsidRPr="00525CB9">
              <w:rPr>
                <w:b/>
              </w:rPr>
              <w:t>Secondary outcomes</w:t>
            </w:r>
          </w:p>
        </w:tc>
      </w:tr>
      <w:tr w:rsidR="001C2A41" w:rsidRPr="00525CB9" w:rsidTr="00752277">
        <w:tc>
          <w:tcPr>
            <w:tcW w:w="1301" w:type="pct"/>
            <w:tcBorders>
              <w:bottom w:val="single" w:sz="4" w:space="0" w:color="auto"/>
            </w:tcBorders>
          </w:tcPr>
          <w:p w:rsidR="001C2A41" w:rsidRPr="00525CB9" w:rsidRDefault="001C2A41" w:rsidP="00752277">
            <w:pPr>
              <w:pStyle w:val="Tabletext"/>
            </w:pPr>
            <w:r w:rsidRPr="00525CB9">
              <w:t>Overall survival rate at 2 years</w:t>
            </w:r>
          </w:p>
        </w:tc>
        <w:tc>
          <w:tcPr>
            <w:tcW w:w="890" w:type="pct"/>
            <w:tcBorders>
              <w:bottom w:val="single" w:sz="4" w:space="0" w:color="auto"/>
            </w:tcBorders>
          </w:tcPr>
          <w:p w:rsidR="001C2A41" w:rsidRPr="00525CB9" w:rsidRDefault="001C2A41" w:rsidP="00752277">
            <w:pPr>
              <w:pStyle w:val="Tabletext"/>
              <w:jc w:val="center"/>
            </w:pPr>
            <w:r w:rsidRPr="00525CB9">
              <w:t>76/77 (98.7%)</w:t>
            </w:r>
          </w:p>
        </w:tc>
        <w:tc>
          <w:tcPr>
            <w:tcW w:w="890" w:type="pct"/>
            <w:tcBorders>
              <w:bottom w:val="single" w:sz="4" w:space="0" w:color="auto"/>
            </w:tcBorders>
          </w:tcPr>
          <w:p w:rsidR="001C2A41" w:rsidRPr="00525CB9" w:rsidRDefault="001C2A41" w:rsidP="00752277">
            <w:pPr>
              <w:pStyle w:val="Tabletext"/>
              <w:jc w:val="center"/>
            </w:pPr>
            <w:r w:rsidRPr="00525CB9">
              <w:t>72/79 (91.1%)</w:t>
            </w:r>
          </w:p>
        </w:tc>
        <w:tc>
          <w:tcPr>
            <w:tcW w:w="961" w:type="pct"/>
            <w:tcBorders>
              <w:bottom w:val="single" w:sz="4" w:space="0" w:color="auto"/>
            </w:tcBorders>
          </w:tcPr>
          <w:p w:rsidR="001C2A41" w:rsidRPr="00525CB9" w:rsidRDefault="001C2A41" w:rsidP="00752277">
            <w:pPr>
              <w:pStyle w:val="Tabletext"/>
              <w:jc w:val="center"/>
            </w:pPr>
            <w:r w:rsidRPr="00525CB9">
              <w:t>7.6%</w:t>
            </w:r>
          </w:p>
          <w:p w:rsidR="001C2A41" w:rsidRPr="00525CB9" w:rsidRDefault="001C2A41" w:rsidP="00752277">
            <w:pPr>
              <w:pStyle w:val="Tabletext"/>
              <w:jc w:val="center"/>
            </w:pPr>
            <w:r w:rsidRPr="00525CB9">
              <w:t>(0.8%, 14.3%)</w:t>
            </w:r>
          </w:p>
        </w:tc>
        <w:tc>
          <w:tcPr>
            <w:tcW w:w="958" w:type="pct"/>
            <w:tcBorders>
              <w:bottom w:val="single" w:sz="4" w:space="0" w:color="auto"/>
            </w:tcBorders>
          </w:tcPr>
          <w:p w:rsidR="001C2A41" w:rsidRPr="00525CB9" w:rsidRDefault="001C2A41" w:rsidP="00752277">
            <w:pPr>
              <w:pStyle w:val="Tabletext"/>
              <w:jc w:val="center"/>
            </w:pPr>
            <w:r w:rsidRPr="00525CB9">
              <w:t>1.08</w:t>
            </w:r>
          </w:p>
          <w:p w:rsidR="001C2A41" w:rsidRPr="00525CB9" w:rsidRDefault="001C2A41" w:rsidP="00752277">
            <w:pPr>
              <w:pStyle w:val="Tabletext"/>
              <w:jc w:val="center"/>
            </w:pPr>
            <w:r w:rsidRPr="00525CB9">
              <w:t>(1.01, 1.17)</w:t>
            </w:r>
          </w:p>
        </w:tc>
      </w:tr>
      <w:tr w:rsidR="001C2A41" w:rsidRPr="00525CB9" w:rsidTr="00752277">
        <w:tc>
          <w:tcPr>
            <w:tcW w:w="1301" w:type="pct"/>
            <w:tcBorders>
              <w:bottom w:val="nil"/>
            </w:tcBorders>
          </w:tcPr>
          <w:p w:rsidR="001C2A41" w:rsidRPr="00525CB9" w:rsidRDefault="001C2A41" w:rsidP="00752277">
            <w:pPr>
              <w:pStyle w:val="Tabletext"/>
            </w:pPr>
            <w:r w:rsidRPr="00525CB9">
              <w:t>Relapse rate</w:t>
            </w:r>
          </w:p>
          <w:p w:rsidR="001C2A41" w:rsidRPr="00525CB9" w:rsidRDefault="001C2A41" w:rsidP="00752277">
            <w:pPr>
              <w:pStyle w:val="Tabletext"/>
              <w:ind w:left="142"/>
            </w:pPr>
            <w:r w:rsidRPr="00525CB9">
              <w:t>At 2 years</w:t>
            </w:r>
          </w:p>
        </w:tc>
        <w:tc>
          <w:tcPr>
            <w:tcW w:w="890" w:type="pct"/>
            <w:tcBorders>
              <w:bottom w:val="nil"/>
            </w:tcBorders>
          </w:tcPr>
          <w:p w:rsidR="001C2A41" w:rsidRPr="00525CB9" w:rsidRDefault="001C2A41" w:rsidP="00752277">
            <w:pPr>
              <w:pStyle w:val="Tabletext"/>
              <w:jc w:val="center"/>
            </w:pPr>
          </w:p>
          <w:p w:rsidR="001C2A41" w:rsidRPr="00525CB9" w:rsidRDefault="001C2A41" w:rsidP="00752277">
            <w:pPr>
              <w:pStyle w:val="Tabletext"/>
              <w:jc w:val="center"/>
            </w:pPr>
            <w:r w:rsidRPr="00525CB9">
              <w:t>1/77 (1.3%)</w:t>
            </w:r>
          </w:p>
        </w:tc>
        <w:tc>
          <w:tcPr>
            <w:tcW w:w="890" w:type="pct"/>
            <w:tcBorders>
              <w:bottom w:val="nil"/>
            </w:tcBorders>
          </w:tcPr>
          <w:p w:rsidR="001C2A41" w:rsidRPr="00525CB9" w:rsidRDefault="001C2A41" w:rsidP="00752277">
            <w:pPr>
              <w:pStyle w:val="Tabletext"/>
              <w:jc w:val="center"/>
            </w:pPr>
          </w:p>
          <w:p w:rsidR="001C2A41" w:rsidRPr="00525CB9" w:rsidRDefault="001C2A41" w:rsidP="00752277">
            <w:pPr>
              <w:pStyle w:val="Tabletext"/>
              <w:jc w:val="center"/>
            </w:pPr>
            <w:r w:rsidRPr="00525CB9">
              <w:t>4/79 (5.1%)</w:t>
            </w:r>
          </w:p>
        </w:tc>
        <w:tc>
          <w:tcPr>
            <w:tcW w:w="961" w:type="pct"/>
            <w:tcBorders>
              <w:bottom w:val="nil"/>
            </w:tcBorders>
          </w:tcPr>
          <w:p w:rsidR="001C2A41" w:rsidRPr="00525CB9" w:rsidRDefault="001C2A41" w:rsidP="00752277">
            <w:pPr>
              <w:pStyle w:val="Tabletext"/>
              <w:jc w:val="center"/>
            </w:pPr>
          </w:p>
        </w:tc>
        <w:tc>
          <w:tcPr>
            <w:tcW w:w="958" w:type="pct"/>
            <w:tcBorders>
              <w:bottom w:val="nil"/>
            </w:tcBorders>
          </w:tcPr>
          <w:p w:rsidR="001C2A41" w:rsidRPr="00525CB9" w:rsidRDefault="001C2A41" w:rsidP="00752277">
            <w:pPr>
              <w:pStyle w:val="Tabletext"/>
              <w:jc w:val="center"/>
            </w:pPr>
          </w:p>
        </w:tc>
      </w:tr>
      <w:tr w:rsidR="001C2A41" w:rsidRPr="00525CB9" w:rsidTr="00752277">
        <w:tc>
          <w:tcPr>
            <w:tcW w:w="1301" w:type="pct"/>
            <w:tcBorders>
              <w:top w:val="nil"/>
            </w:tcBorders>
          </w:tcPr>
          <w:p w:rsidR="001C2A41" w:rsidRPr="00525CB9" w:rsidRDefault="001C2A41" w:rsidP="00752277">
            <w:pPr>
              <w:pStyle w:val="Tabletext"/>
              <w:ind w:left="142"/>
              <w:rPr>
                <w:vertAlign w:val="superscript"/>
              </w:rPr>
            </w:pPr>
            <w:r w:rsidRPr="00525CB9">
              <w:t>Over entire follow-</w:t>
            </w:r>
            <w:proofErr w:type="spellStart"/>
            <w:r w:rsidRPr="00525CB9">
              <w:t>up</w:t>
            </w:r>
            <w:r w:rsidRPr="00525CB9">
              <w:rPr>
                <w:vertAlign w:val="superscript"/>
              </w:rPr>
              <w:t>b</w:t>
            </w:r>
            <w:proofErr w:type="spellEnd"/>
          </w:p>
        </w:tc>
        <w:tc>
          <w:tcPr>
            <w:tcW w:w="890" w:type="pct"/>
            <w:tcBorders>
              <w:top w:val="nil"/>
            </w:tcBorders>
          </w:tcPr>
          <w:p w:rsidR="001C2A41" w:rsidRPr="00525CB9" w:rsidRDefault="001C2A41" w:rsidP="00752277">
            <w:pPr>
              <w:pStyle w:val="Tabletext"/>
              <w:jc w:val="center"/>
            </w:pPr>
            <w:r w:rsidRPr="00525CB9">
              <w:t>2/77 (2.6%)</w:t>
            </w:r>
          </w:p>
        </w:tc>
        <w:tc>
          <w:tcPr>
            <w:tcW w:w="890" w:type="pct"/>
            <w:tcBorders>
              <w:top w:val="nil"/>
            </w:tcBorders>
          </w:tcPr>
          <w:p w:rsidR="001C2A41" w:rsidRPr="00525CB9" w:rsidRDefault="001C2A41" w:rsidP="00752277">
            <w:pPr>
              <w:pStyle w:val="Tabletext"/>
              <w:jc w:val="center"/>
            </w:pPr>
            <w:r w:rsidRPr="00525CB9">
              <w:t>5/79 (6.3%)</w:t>
            </w:r>
          </w:p>
        </w:tc>
        <w:tc>
          <w:tcPr>
            <w:tcW w:w="961" w:type="pct"/>
            <w:tcBorders>
              <w:top w:val="nil"/>
            </w:tcBorders>
          </w:tcPr>
          <w:p w:rsidR="001C2A41" w:rsidRPr="00525CB9" w:rsidRDefault="001C2A41" w:rsidP="00752277">
            <w:pPr>
              <w:pStyle w:val="Tabletext"/>
              <w:jc w:val="center"/>
            </w:pPr>
          </w:p>
        </w:tc>
        <w:tc>
          <w:tcPr>
            <w:tcW w:w="958" w:type="pct"/>
            <w:tcBorders>
              <w:top w:val="nil"/>
            </w:tcBorders>
          </w:tcPr>
          <w:p w:rsidR="001C2A41" w:rsidRPr="00525CB9" w:rsidRDefault="001C2A41" w:rsidP="00752277">
            <w:pPr>
              <w:pStyle w:val="Tabletext"/>
              <w:jc w:val="center"/>
            </w:pPr>
          </w:p>
        </w:tc>
      </w:tr>
    </w:tbl>
    <w:p w:rsidR="001C2A41" w:rsidRDefault="001C2A41" w:rsidP="001C2A41">
      <w:pPr>
        <w:pStyle w:val="TableFooter"/>
        <w:ind w:left="710"/>
      </w:pPr>
      <w:r w:rsidRPr="002829F6">
        <w:t xml:space="preserve">ATO = arsenic trioxide; ATRA = all-trans retinoic acid; CI = confidence interval; HCR = </w:t>
      </w:r>
      <w:proofErr w:type="spellStart"/>
      <w:r w:rsidRPr="002829F6">
        <w:t>haematologic</w:t>
      </w:r>
      <w:proofErr w:type="spellEnd"/>
      <w:r w:rsidRPr="002829F6">
        <w:t xml:space="preserve"> complete remission; </w:t>
      </w:r>
      <w:proofErr w:type="spellStart"/>
      <w:r w:rsidRPr="002829F6">
        <w:t>mITT</w:t>
      </w:r>
      <w:proofErr w:type="spellEnd"/>
      <w:r w:rsidRPr="002829F6">
        <w:t xml:space="preserve"> = modif</w:t>
      </w:r>
      <w:r w:rsidR="009A6341">
        <w:t>ied intention-to-treat; PP = per</w:t>
      </w:r>
      <w:r w:rsidRPr="002829F6">
        <w:t xml:space="preserve"> protocol</w:t>
      </w:r>
    </w:p>
    <w:p w:rsidR="00E75F53" w:rsidRPr="000B2900" w:rsidRDefault="00E75F53" w:rsidP="001C2A41">
      <w:pPr>
        <w:pStyle w:val="TableFooter"/>
        <w:ind w:left="710"/>
      </w:pPr>
      <w:proofErr w:type="spellStart"/>
      <w:r w:rsidRPr="000B2900">
        <w:t>Haematologic</w:t>
      </w:r>
      <w:proofErr w:type="spellEnd"/>
      <w:r w:rsidRPr="000B2900">
        <w:t xml:space="preserve"> complete remission </w:t>
      </w:r>
      <w:r w:rsidR="00151E18" w:rsidRPr="000B2900">
        <w:t xml:space="preserve">was defined as &lt;5% blasts in an aspirate sample with marrow spicules and with a count of at least 200 nucleated cells, no blasts with Auer rods or persistence of </w:t>
      </w:r>
      <w:proofErr w:type="spellStart"/>
      <w:r w:rsidR="00151E18" w:rsidRPr="000B2900">
        <w:t>extramedullary</w:t>
      </w:r>
      <w:proofErr w:type="spellEnd"/>
      <w:r w:rsidR="00151E18" w:rsidRPr="000B2900">
        <w:t xml:space="preserve"> disease (see Table B.5.2).</w:t>
      </w:r>
    </w:p>
    <w:p w:rsidR="001C2A41" w:rsidRPr="000B2900" w:rsidRDefault="001C2A41" w:rsidP="001C2A41">
      <w:pPr>
        <w:pStyle w:val="TableFooter"/>
        <w:ind w:left="852" w:hanging="142"/>
      </w:pPr>
      <w:proofErr w:type="gramStart"/>
      <w:r w:rsidRPr="000B2900">
        <w:rPr>
          <w:vertAlign w:val="superscript"/>
        </w:rPr>
        <w:t>a</w:t>
      </w:r>
      <w:proofErr w:type="gramEnd"/>
      <w:r w:rsidRPr="000B2900">
        <w:t xml:space="preserve"> </w:t>
      </w:r>
      <w:proofErr w:type="spellStart"/>
      <w:r w:rsidRPr="000B2900">
        <w:t>mITT</w:t>
      </w:r>
      <w:proofErr w:type="spellEnd"/>
      <w:r w:rsidRPr="000B2900">
        <w:t>: all patients with results available at 2 years, comparing groups according to assigned treatment</w:t>
      </w:r>
    </w:p>
    <w:p w:rsidR="001C2A41" w:rsidRPr="000B2900" w:rsidRDefault="001C2A41" w:rsidP="001C2A41">
      <w:pPr>
        <w:pStyle w:val="TableFooter"/>
        <w:ind w:left="852" w:hanging="142"/>
      </w:pPr>
      <w:proofErr w:type="gramStart"/>
      <w:r w:rsidRPr="000B2900">
        <w:rPr>
          <w:vertAlign w:val="superscript"/>
        </w:rPr>
        <w:t>b</w:t>
      </w:r>
      <w:proofErr w:type="gramEnd"/>
      <w:r w:rsidRPr="000B2900">
        <w:t xml:space="preserve"> Median follow-up 34.4 months (range 0.5-55.8 months). Two patients relapsed later than 2 years after diagnosis.</w:t>
      </w:r>
    </w:p>
    <w:p w:rsidR="001C2A41" w:rsidRPr="000B2900" w:rsidRDefault="001C2A41" w:rsidP="001C2A41">
      <w:pPr>
        <w:pStyle w:val="TableFooter"/>
        <w:ind w:left="728" w:hanging="14"/>
      </w:pPr>
      <w:r w:rsidRPr="000B2900">
        <w:t xml:space="preserve">Sensitivity analyses were performed during the evaluation, as described in Lo-Coco 2013: </w:t>
      </w:r>
      <w:proofErr w:type="spellStart"/>
      <w:r w:rsidRPr="000B2900">
        <w:t>i</w:t>
      </w:r>
      <w:proofErr w:type="spellEnd"/>
      <w:r w:rsidRPr="000B2900">
        <w:t xml:space="preserve">) assuming a poor outcome in patients with missing data; ii) assuming a favourable outcome for all patients with missing data; iii) assuming a poor outcome for patients in the ATO+ATRA group and a favourable outcome for patients in the </w:t>
      </w:r>
      <w:proofErr w:type="spellStart"/>
      <w:r w:rsidRPr="000B2900">
        <w:t>ATRA+chemotherapy</w:t>
      </w:r>
      <w:proofErr w:type="spellEnd"/>
      <w:r w:rsidRPr="000B2900">
        <w:t xml:space="preserve"> group.</w:t>
      </w:r>
    </w:p>
    <w:p w:rsidR="001C2A41" w:rsidRPr="000B2900" w:rsidRDefault="001C2A41" w:rsidP="001C2A41">
      <w:pPr>
        <w:pStyle w:val="TableFooter"/>
        <w:ind w:left="710"/>
      </w:pPr>
      <w:r w:rsidRPr="000B2900">
        <w:t>Figures in italics were calculated during the evaluation.</w:t>
      </w:r>
    </w:p>
    <w:p w:rsidR="001C2A41" w:rsidRPr="00763716" w:rsidRDefault="001C2A41" w:rsidP="001C2A41">
      <w:pPr>
        <w:pStyle w:val="TableFooter"/>
        <w:ind w:left="710"/>
      </w:pPr>
      <w:r>
        <w:rPr>
          <w:i/>
        </w:rPr>
        <w:t xml:space="preserve">* </w:t>
      </w:r>
      <w:r w:rsidRPr="00763716">
        <w:t xml:space="preserve">The log-rank test for the difference in event-free survival curves indicated the superiority of ATO+ATRA over </w:t>
      </w:r>
      <w:proofErr w:type="spellStart"/>
      <w:r w:rsidRPr="00763716">
        <w:t>ATRA+chemotherapy</w:t>
      </w:r>
      <w:proofErr w:type="spellEnd"/>
      <w:r w:rsidRPr="00763716">
        <w:t xml:space="preserve"> (p=0.02)</w:t>
      </w:r>
    </w:p>
    <w:p w:rsidR="001C2A41" w:rsidRPr="00FC1659" w:rsidRDefault="001C2A41" w:rsidP="001C2A41">
      <w:pPr>
        <w:pStyle w:val="TableFooter"/>
        <w:ind w:firstLine="710"/>
        <w:rPr>
          <w:szCs w:val="22"/>
        </w:rPr>
      </w:pPr>
      <w:r>
        <w:t>Source: Lo-Coco 2013</w:t>
      </w:r>
    </w:p>
    <w:p w:rsidR="00524351" w:rsidRPr="00FD5D0E" w:rsidRDefault="00F50886" w:rsidP="00F50886">
      <w:pPr>
        <w:pStyle w:val="ListParagraph"/>
        <w:widowControl/>
        <w:tabs>
          <w:tab w:val="left" w:pos="7770"/>
        </w:tabs>
        <w:rPr>
          <w:szCs w:val="22"/>
        </w:rPr>
      </w:pPr>
      <w:r>
        <w:rPr>
          <w:szCs w:val="22"/>
        </w:rPr>
        <w:tab/>
      </w:r>
    </w:p>
    <w:p w:rsidR="009A6341" w:rsidRPr="00790CD9" w:rsidRDefault="009A6341" w:rsidP="002969CC">
      <w:pPr>
        <w:pStyle w:val="ListParagraph"/>
        <w:widowControl/>
        <w:numPr>
          <w:ilvl w:val="1"/>
          <w:numId w:val="3"/>
        </w:numPr>
        <w:rPr>
          <w:szCs w:val="22"/>
        </w:rPr>
      </w:pPr>
      <w:r w:rsidRPr="00790CD9">
        <w:t>The results of both the modified intention-to-treat (</w:t>
      </w:r>
      <w:proofErr w:type="spellStart"/>
      <w:r w:rsidRPr="00790CD9">
        <w:t>mITT</w:t>
      </w:r>
      <w:proofErr w:type="spellEnd"/>
      <w:r w:rsidRPr="00790CD9">
        <w:t xml:space="preserve">) and the per protocol (PP) analyses indicated that ATO+ATRA was statistically superior to </w:t>
      </w:r>
      <w:proofErr w:type="spellStart"/>
      <w:r w:rsidRPr="00790CD9">
        <w:t>ATRA+chemotherapy</w:t>
      </w:r>
      <w:proofErr w:type="spellEnd"/>
      <w:r w:rsidRPr="00790CD9">
        <w:t xml:space="preserve"> in terms of the event-free survival rate at 2 years after diagnosis in previously untreated patients with low-intermediate APL, when administered in accordance with the regimens used in Lo-Coco 2013. </w:t>
      </w:r>
      <w:r w:rsidR="00E75F53" w:rsidRPr="00790CD9">
        <w:t>Given that the pre-specified non-inferiority margin was an absolute difference of 5%, t</w:t>
      </w:r>
      <w:r w:rsidRPr="00790CD9">
        <w:t>he estimated treatment effect (12%) was also likely to be clinically important.</w:t>
      </w:r>
    </w:p>
    <w:p w:rsidR="00524351" w:rsidRPr="00790CD9" w:rsidRDefault="00524351" w:rsidP="00524351">
      <w:pPr>
        <w:pStyle w:val="ListParagraph"/>
        <w:widowControl/>
        <w:rPr>
          <w:szCs w:val="22"/>
        </w:rPr>
      </w:pPr>
    </w:p>
    <w:p w:rsidR="00524351" w:rsidRPr="0093387E" w:rsidRDefault="00524351" w:rsidP="00524351">
      <w:pPr>
        <w:widowControl/>
        <w:rPr>
          <w:szCs w:val="22"/>
          <w:u w:val="single"/>
        </w:rPr>
      </w:pPr>
      <w:r w:rsidRPr="0093387E">
        <w:rPr>
          <w:szCs w:val="22"/>
          <w:u w:val="single"/>
        </w:rPr>
        <w:lastRenderedPageBreak/>
        <w:t>High risk APL</w:t>
      </w:r>
    </w:p>
    <w:p w:rsidR="00524351" w:rsidRDefault="00524351" w:rsidP="00524351">
      <w:pPr>
        <w:pStyle w:val="ListParagraph"/>
        <w:widowControl/>
        <w:rPr>
          <w:szCs w:val="22"/>
        </w:rPr>
      </w:pPr>
    </w:p>
    <w:p w:rsidR="009A6341" w:rsidRDefault="009A6341" w:rsidP="002969CC">
      <w:pPr>
        <w:pStyle w:val="ListParagraph"/>
        <w:widowControl/>
        <w:numPr>
          <w:ilvl w:val="1"/>
          <w:numId w:val="3"/>
        </w:numPr>
        <w:rPr>
          <w:szCs w:val="22"/>
        </w:rPr>
      </w:pPr>
      <w:r w:rsidRPr="001F0660">
        <w:rPr>
          <w:szCs w:val="22"/>
        </w:rPr>
        <w:t>The results of</w:t>
      </w:r>
      <w:r w:rsidR="008967C8">
        <w:rPr>
          <w:szCs w:val="22"/>
        </w:rPr>
        <w:t xml:space="preserve"> the</w:t>
      </w:r>
      <w:r w:rsidRPr="001F0660">
        <w:rPr>
          <w:szCs w:val="22"/>
        </w:rPr>
        <w:t xml:space="preserve"> </w:t>
      </w:r>
      <w:r w:rsidRPr="00E75F53">
        <w:rPr>
          <w:szCs w:val="22"/>
        </w:rPr>
        <w:t>single-arm</w:t>
      </w:r>
      <w:r w:rsidR="008967C8">
        <w:rPr>
          <w:szCs w:val="22"/>
        </w:rPr>
        <w:t xml:space="preserve"> studies </w:t>
      </w:r>
      <w:r w:rsidRPr="001F0660">
        <w:rPr>
          <w:szCs w:val="22"/>
        </w:rPr>
        <w:t xml:space="preserve">APML4 and APML3 are presented </w:t>
      </w:r>
      <w:r w:rsidR="00E75F53">
        <w:rPr>
          <w:szCs w:val="22"/>
        </w:rPr>
        <w:t>below</w:t>
      </w:r>
      <w:r w:rsidRPr="001F0660">
        <w:rPr>
          <w:szCs w:val="22"/>
        </w:rPr>
        <w:t xml:space="preserve">. </w:t>
      </w:r>
    </w:p>
    <w:p w:rsidR="00E75F53" w:rsidRDefault="00E75F53" w:rsidP="00E75F53">
      <w:pPr>
        <w:pStyle w:val="ListParagraph"/>
        <w:widowControl/>
        <w:rPr>
          <w:szCs w:val="22"/>
        </w:rPr>
      </w:pPr>
    </w:p>
    <w:p w:rsidR="00E75F53" w:rsidRDefault="00E75F53" w:rsidP="00E06C89">
      <w:pPr>
        <w:pStyle w:val="Caption"/>
        <w:ind w:left="709"/>
      </w:pPr>
      <w:r>
        <w:t>Table 4: Main results from the single-arm studies APML4 and APML3</w:t>
      </w:r>
    </w:p>
    <w:tbl>
      <w:tblPr>
        <w:tblStyle w:val="TableGrid"/>
        <w:tblW w:w="4524" w:type="pct"/>
        <w:tblInd w:w="817" w:type="dxa"/>
        <w:tblLayout w:type="fixed"/>
        <w:tblLook w:val="04A0" w:firstRow="1" w:lastRow="0" w:firstColumn="1" w:lastColumn="0" w:noHBand="0" w:noVBand="1"/>
        <w:tblCaption w:val="Results of Single-arm studies APML4 and APML3 "/>
      </w:tblPr>
      <w:tblGrid>
        <w:gridCol w:w="2722"/>
        <w:gridCol w:w="1813"/>
        <w:gridCol w:w="1845"/>
        <w:gridCol w:w="1982"/>
      </w:tblGrid>
      <w:tr w:rsidR="00E75F53" w:rsidRPr="00525CB9" w:rsidTr="00BC1669">
        <w:trPr>
          <w:tblHeader/>
        </w:trPr>
        <w:tc>
          <w:tcPr>
            <w:tcW w:w="1628" w:type="pct"/>
            <w:vMerge w:val="restart"/>
          </w:tcPr>
          <w:p w:rsidR="00E75F53" w:rsidRPr="00525CB9" w:rsidRDefault="00E75F53" w:rsidP="0014737F">
            <w:pPr>
              <w:pStyle w:val="Tabletext"/>
              <w:rPr>
                <w:b/>
              </w:rPr>
            </w:pPr>
          </w:p>
        </w:tc>
        <w:tc>
          <w:tcPr>
            <w:tcW w:w="2187" w:type="pct"/>
            <w:gridSpan w:val="2"/>
          </w:tcPr>
          <w:p w:rsidR="00E75F53" w:rsidRPr="00525CB9" w:rsidRDefault="00E75F53" w:rsidP="0014737F">
            <w:pPr>
              <w:pStyle w:val="Tabletext"/>
              <w:jc w:val="center"/>
              <w:rPr>
                <w:b/>
              </w:rPr>
            </w:pPr>
            <w:r w:rsidRPr="00525CB9">
              <w:rPr>
                <w:b/>
              </w:rPr>
              <w:t xml:space="preserve">APML4 </w:t>
            </w:r>
          </w:p>
          <w:p w:rsidR="00E75F53" w:rsidRPr="00525CB9" w:rsidRDefault="00E75F53" w:rsidP="0014737F">
            <w:pPr>
              <w:pStyle w:val="Tabletext"/>
              <w:jc w:val="center"/>
              <w:rPr>
                <w:b/>
              </w:rPr>
            </w:pPr>
            <w:proofErr w:type="spellStart"/>
            <w:r w:rsidRPr="00525CB9">
              <w:rPr>
                <w:b/>
              </w:rPr>
              <w:t>ATO+ATRA+chemotherapy</w:t>
            </w:r>
            <w:proofErr w:type="spellEnd"/>
          </w:p>
        </w:tc>
        <w:tc>
          <w:tcPr>
            <w:tcW w:w="1185" w:type="pct"/>
          </w:tcPr>
          <w:p w:rsidR="00E75F53" w:rsidRPr="00525CB9" w:rsidRDefault="00E75F53" w:rsidP="0014737F">
            <w:pPr>
              <w:pStyle w:val="Tabletext"/>
              <w:jc w:val="center"/>
              <w:rPr>
                <w:b/>
              </w:rPr>
            </w:pPr>
            <w:r w:rsidRPr="00525CB9">
              <w:rPr>
                <w:b/>
              </w:rPr>
              <w:t>APML3</w:t>
            </w:r>
          </w:p>
          <w:p w:rsidR="00E75F53" w:rsidRPr="00525CB9" w:rsidRDefault="00E75F53" w:rsidP="0014737F">
            <w:pPr>
              <w:pStyle w:val="Tabletext"/>
              <w:jc w:val="center"/>
              <w:rPr>
                <w:b/>
              </w:rPr>
            </w:pPr>
            <w:proofErr w:type="spellStart"/>
            <w:r w:rsidRPr="00525CB9">
              <w:rPr>
                <w:b/>
              </w:rPr>
              <w:t>ATRA+chemotherapy</w:t>
            </w:r>
            <w:proofErr w:type="spellEnd"/>
          </w:p>
        </w:tc>
      </w:tr>
      <w:tr w:rsidR="00E06C89" w:rsidRPr="00525CB9" w:rsidTr="00BC1669">
        <w:trPr>
          <w:tblHeader/>
        </w:trPr>
        <w:tc>
          <w:tcPr>
            <w:tcW w:w="1628" w:type="pct"/>
            <w:vMerge/>
          </w:tcPr>
          <w:p w:rsidR="00E75F53" w:rsidRPr="00525CB9" w:rsidRDefault="00E75F53" w:rsidP="0014737F">
            <w:pPr>
              <w:pStyle w:val="Tabletext"/>
              <w:rPr>
                <w:b/>
              </w:rPr>
            </w:pPr>
          </w:p>
        </w:tc>
        <w:tc>
          <w:tcPr>
            <w:tcW w:w="1084" w:type="pct"/>
          </w:tcPr>
          <w:p w:rsidR="00E75F53" w:rsidRPr="00525CB9" w:rsidRDefault="00E75F53" w:rsidP="0014737F">
            <w:pPr>
              <w:pStyle w:val="Tabletext"/>
              <w:jc w:val="center"/>
              <w:rPr>
                <w:b/>
              </w:rPr>
            </w:pPr>
            <w:r w:rsidRPr="00525CB9">
              <w:rPr>
                <w:b/>
              </w:rPr>
              <w:t>ITT</w:t>
            </w:r>
          </w:p>
          <w:p w:rsidR="00E75F53" w:rsidRPr="00525CB9" w:rsidRDefault="00E75F53" w:rsidP="0014737F">
            <w:pPr>
              <w:pStyle w:val="Tabletext"/>
              <w:jc w:val="center"/>
              <w:rPr>
                <w:b/>
              </w:rPr>
            </w:pPr>
            <w:proofErr w:type="gramStart"/>
            <w:r w:rsidRPr="00525CB9">
              <w:rPr>
                <w:b/>
              </w:rPr>
              <w:t>n/N</w:t>
            </w:r>
            <w:proofErr w:type="gramEnd"/>
            <w:r w:rsidRPr="00525CB9">
              <w:rPr>
                <w:b/>
              </w:rPr>
              <w:t xml:space="preserve"> (%)</w:t>
            </w:r>
          </w:p>
          <w:p w:rsidR="00E75F53" w:rsidRPr="00525CB9" w:rsidRDefault="00E75F53" w:rsidP="0014737F">
            <w:pPr>
              <w:pStyle w:val="Tabletext"/>
              <w:jc w:val="center"/>
              <w:rPr>
                <w:b/>
              </w:rPr>
            </w:pPr>
            <w:r w:rsidRPr="00525CB9">
              <w:rPr>
                <w:b/>
              </w:rPr>
              <w:t>[95%CI]</w:t>
            </w:r>
          </w:p>
        </w:tc>
        <w:tc>
          <w:tcPr>
            <w:tcW w:w="1103" w:type="pct"/>
          </w:tcPr>
          <w:p w:rsidR="00E75F53" w:rsidRPr="00525CB9" w:rsidRDefault="00E75F53" w:rsidP="0014737F">
            <w:pPr>
              <w:pStyle w:val="Tabletext"/>
              <w:jc w:val="center"/>
              <w:rPr>
                <w:b/>
              </w:rPr>
            </w:pPr>
            <w:r w:rsidRPr="00525CB9">
              <w:rPr>
                <w:b/>
              </w:rPr>
              <w:t>High-risk subgroup</w:t>
            </w:r>
          </w:p>
          <w:p w:rsidR="00E75F53" w:rsidRPr="00525CB9" w:rsidRDefault="00E75F53" w:rsidP="0014737F">
            <w:pPr>
              <w:pStyle w:val="Tabletext"/>
              <w:jc w:val="center"/>
              <w:rPr>
                <w:b/>
              </w:rPr>
            </w:pPr>
            <w:proofErr w:type="gramStart"/>
            <w:r w:rsidRPr="00525CB9">
              <w:rPr>
                <w:b/>
              </w:rPr>
              <w:t>n/N</w:t>
            </w:r>
            <w:proofErr w:type="gramEnd"/>
            <w:r w:rsidRPr="00525CB9">
              <w:rPr>
                <w:b/>
              </w:rPr>
              <w:t xml:space="preserve"> (%)</w:t>
            </w:r>
          </w:p>
          <w:p w:rsidR="00E75F53" w:rsidRPr="00525CB9" w:rsidRDefault="00E75F53" w:rsidP="0014737F">
            <w:pPr>
              <w:pStyle w:val="Tabletext"/>
              <w:jc w:val="center"/>
              <w:rPr>
                <w:b/>
              </w:rPr>
            </w:pPr>
            <w:r w:rsidRPr="00525CB9">
              <w:rPr>
                <w:b/>
              </w:rPr>
              <w:t>[95%CI]</w:t>
            </w:r>
          </w:p>
        </w:tc>
        <w:tc>
          <w:tcPr>
            <w:tcW w:w="1185" w:type="pct"/>
          </w:tcPr>
          <w:p w:rsidR="00E75F53" w:rsidRPr="00525CB9" w:rsidRDefault="00E75F53" w:rsidP="0014737F">
            <w:pPr>
              <w:pStyle w:val="Tabletext"/>
              <w:jc w:val="center"/>
              <w:rPr>
                <w:b/>
              </w:rPr>
            </w:pPr>
            <w:r w:rsidRPr="00525CB9">
              <w:rPr>
                <w:b/>
              </w:rPr>
              <w:t>Maintenance subgroup</w:t>
            </w:r>
          </w:p>
          <w:p w:rsidR="00E75F53" w:rsidRPr="00525CB9" w:rsidRDefault="00E75F53" w:rsidP="0014737F">
            <w:pPr>
              <w:pStyle w:val="Tabletext"/>
              <w:jc w:val="center"/>
              <w:rPr>
                <w:b/>
              </w:rPr>
            </w:pPr>
            <w:proofErr w:type="gramStart"/>
            <w:r w:rsidRPr="00525CB9">
              <w:rPr>
                <w:b/>
              </w:rPr>
              <w:t>n/N</w:t>
            </w:r>
            <w:proofErr w:type="gramEnd"/>
            <w:r w:rsidRPr="00525CB9">
              <w:rPr>
                <w:b/>
              </w:rPr>
              <w:t xml:space="preserve"> (%)</w:t>
            </w:r>
          </w:p>
          <w:p w:rsidR="00E75F53" w:rsidRPr="00525CB9" w:rsidRDefault="00E75F53" w:rsidP="0014737F">
            <w:pPr>
              <w:pStyle w:val="Tabletext"/>
              <w:jc w:val="center"/>
              <w:rPr>
                <w:b/>
              </w:rPr>
            </w:pPr>
            <w:r w:rsidRPr="00525CB9">
              <w:rPr>
                <w:b/>
              </w:rPr>
              <w:t>[95%CI]</w:t>
            </w:r>
          </w:p>
        </w:tc>
      </w:tr>
      <w:tr w:rsidR="00E06C89" w:rsidRPr="00525CB9" w:rsidTr="00525CB9">
        <w:tc>
          <w:tcPr>
            <w:tcW w:w="1628" w:type="pct"/>
          </w:tcPr>
          <w:p w:rsidR="00E75F53" w:rsidRPr="00525CB9" w:rsidRDefault="00E75F53" w:rsidP="0014737F">
            <w:pPr>
              <w:pStyle w:val="Tabletext"/>
            </w:pPr>
            <w:r w:rsidRPr="00525CB9">
              <w:t>Proportion of high risk patients</w:t>
            </w:r>
          </w:p>
        </w:tc>
        <w:tc>
          <w:tcPr>
            <w:tcW w:w="1084" w:type="pct"/>
          </w:tcPr>
          <w:p w:rsidR="00E75F53" w:rsidRPr="00525CB9" w:rsidRDefault="00E75F53" w:rsidP="0014737F">
            <w:pPr>
              <w:pStyle w:val="Tabletext"/>
              <w:jc w:val="center"/>
            </w:pPr>
            <w:r w:rsidRPr="00525CB9">
              <w:t>23/124 (18.5%)</w:t>
            </w:r>
          </w:p>
        </w:tc>
        <w:tc>
          <w:tcPr>
            <w:tcW w:w="1103" w:type="pct"/>
          </w:tcPr>
          <w:p w:rsidR="00E75F53" w:rsidRPr="00525CB9" w:rsidRDefault="00E75F53" w:rsidP="0014737F">
            <w:pPr>
              <w:pStyle w:val="Tabletext"/>
              <w:jc w:val="center"/>
            </w:pPr>
          </w:p>
        </w:tc>
        <w:tc>
          <w:tcPr>
            <w:tcW w:w="1185" w:type="pct"/>
          </w:tcPr>
          <w:p w:rsidR="00E75F53" w:rsidRPr="00525CB9" w:rsidRDefault="00E75F53" w:rsidP="0014737F">
            <w:pPr>
              <w:pStyle w:val="Tabletext"/>
              <w:jc w:val="center"/>
            </w:pPr>
            <w:r w:rsidRPr="00525CB9">
              <w:t>15/70 (21.4%)</w:t>
            </w:r>
          </w:p>
        </w:tc>
      </w:tr>
      <w:tr w:rsidR="00E06C89" w:rsidRPr="00525CB9" w:rsidTr="00525CB9">
        <w:tc>
          <w:tcPr>
            <w:tcW w:w="1628" w:type="pct"/>
            <w:tcBorders>
              <w:bottom w:val="single" w:sz="4" w:space="0" w:color="auto"/>
            </w:tcBorders>
          </w:tcPr>
          <w:p w:rsidR="00E75F53" w:rsidRPr="00525CB9" w:rsidRDefault="00E75F53" w:rsidP="0014737F">
            <w:pPr>
              <w:pStyle w:val="Tabletext"/>
            </w:pPr>
            <w:r w:rsidRPr="00525CB9">
              <w:t>HCR after induction</w:t>
            </w:r>
          </w:p>
        </w:tc>
        <w:tc>
          <w:tcPr>
            <w:tcW w:w="1084" w:type="pct"/>
            <w:tcBorders>
              <w:bottom w:val="single" w:sz="4" w:space="0" w:color="auto"/>
            </w:tcBorders>
          </w:tcPr>
          <w:p w:rsidR="00E75F53" w:rsidRPr="00525CB9" w:rsidRDefault="00E75F53" w:rsidP="0014737F">
            <w:pPr>
              <w:pStyle w:val="Tabletext"/>
              <w:jc w:val="center"/>
            </w:pPr>
            <w:r w:rsidRPr="00525CB9">
              <w:t>112/124 (90.3%)</w:t>
            </w:r>
          </w:p>
          <w:p w:rsidR="00E75F53" w:rsidRPr="00525CB9" w:rsidRDefault="00E75F53" w:rsidP="0014737F">
            <w:pPr>
              <w:pStyle w:val="Tabletext"/>
              <w:jc w:val="center"/>
            </w:pPr>
            <w:r w:rsidRPr="00525CB9">
              <w:t>[83.7%, 94.9%]</w:t>
            </w:r>
          </w:p>
        </w:tc>
        <w:tc>
          <w:tcPr>
            <w:tcW w:w="1103" w:type="pct"/>
            <w:tcBorders>
              <w:bottom w:val="single" w:sz="4" w:space="0" w:color="auto"/>
            </w:tcBorders>
          </w:tcPr>
          <w:p w:rsidR="00E75F53" w:rsidRPr="00525CB9" w:rsidRDefault="00E75F53" w:rsidP="0014737F">
            <w:pPr>
              <w:pStyle w:val="Tabletext"/>
              <w:jc w:val="center"/>
            </w:pPr>
            <w:r w:rsidRPr="00525CB9">
              <w:t>NR</w:t>
            </w:r>
          </w:p>
        </w:tc>
        <w:tc>
          <w:tcPr>
            <w:tcW w:w="1185" w:type="pct"/>
            <w:tcBorders>
              <w:bottom w:val="single" w:sz="4" w:space="0" w:color="auto"/>
            </w:tcBorders>
          </w:tcPr>
          <w:p w:rsidR="00E75F53" w:rsidRPr="00525CB9" w:rsidRDefault="00E75F53" w:rsidP="0014737F">
            <w:pPr>
              <w:pStyle w:val="Tabletext"/>
              <w:jc w:val="center"/>
            </w:pPr>
            <w:r w:rsidRPr="00525CB9">
              <w:t>64/70 (91.4%)</w:t>
            </w:r>
          </w:p>
          <w:p w:rsidR="00E75F53" w:rsidRPr="00525CB9" w:rsidRDefault="00E75F53" w:rsidP="0014737F">
            <w:pPr>
              <w:pStyle w:val="Tabletext"/>
              <w:jc w:val="center"/>
            </w:pPr>
            <w:r w:rsidRPr="00525CB9">
              <w:t>[82.3%, 96.8%]</w:t>
            </w:r>
          </w:p>
        </w:tc>
      </w:tr>
      <w:tr w:rsidR="00E06C89" w:rsidRPr="00525CB9" w:rsidTr="00525CB9">
        <w:tc>
          <w:tcPr>
            <w:tcW w:w="1628" w:type="pct"/>
            <w:tcBorders>
              <w:bottom w:val="nil"/>
            </w:tcBorders>
          </w:tcPr>
          <w:p w:rsidR="00E75F53" w:rsidRPr="00525CB9" w:rsidRDefault="00E75F53" w:rsidP="0014737F">
            <w:pPr>
              <w:pStyle w:val="Tabletext"/>
            </w:pPr>
            <w:r w:rsidRPr="00525CB9">
              <w:t>Event-free survival rate at 2 years</w:t>
            </w:r>
          </w:p>
        </w:tc>
        <w:tc>
          <w:tcPr>
            <w:tcW w:w="1084" w:type="pct"/>
            <w:tcBorders>
              <w:bottom w:val="nil"/>
            </w:tcBorders>
          </w:tcPr>
          <w:p w:rsidR="00E75F53" w:rsidRPr="00525CB9" w:rsidRDefault="00E75F53" w:rsidP="0014737F">
            <w:pPr>
              <w:pStyle w:val="Tabletext"/>
              <w:jc w:val="center"/>
            </w:pPr>
          </w:p>
        </w:tc>
        <w:tc>
          <w:tcPr>
            <w:tcW w:w="1103" w:type="pct"/>
            <w:tcBorders>
              <w:bottom w:val="nil"/>
            </w:tcBorders>
          </w:tcPr>
          <w:p w:rsidR="00E75F53" w:rsidRPr="00525CB9" w:rsidRDefault="00E75F53" w:rsidP="0014737F">
            <w:pPr>
              <w:pStyle w:val="Tabletext"/>
              <w:jc w:val="center"/>
            </w:pPr>
          </w:p>
        </w:tc>
        <w:tc>
          <w:tcPr>
            <w:tcW w:w="1185" w:type="pct"/>
            <w:tcBorders>
              <w:bottom w:val="nil"/>
            </w:tcBorders>
          </w:tcPr>
          <w:p w:rsidR="00E75F53" w:rsidRPr="00525CB9" w:rsidRDefault="00E75F53" w:rsidP="0014737F">
            <w:pPr>
              <w:pStyle w:val="Tabletext"/>
              <w:jc w:val="center"/>
            </w:pPr>
          </w:p>
        </w:tc>
      </w:tr>
      <w:tr w:rsidR="00E06C89" w:rsidRPr="00525CB9" w:rsidTr="00525CB9">
        <w:tc>
          <w:tcPr>
            <w:tcW w:w="1628" w:type="pct"/>
            <w:tcBorders>
              <w:top w:val="nil"/>
              <w:bottom w:val="nil"/>
            </w:tcBorders>
          </w:tcPr>
          <w:p w:rsidR="00E75F53" w:rsidRPr="00525CB9" w:rsidRDefault="00E75F53" w:rsidP="0014737F">
            <w:pPr>
              <w:pStyle w:val="Tabletext"/>
              <w:ind w:left="284"/>
              <w:rPr>
                <w:vertAlign w:val="superscript"/>
              </w:rPr>
            </w:pPr>
            <w:r w:rsidRPr="00525CB9">
              <w:t xml:space="preserve">Original </w:t>
            </w:r>
            <w:proofErr w:type="spellStart"/>
            <w:r w:rsidRPr="00525CB9">
              <w:t>definition</w:t>
            </w:r>
            <w:r w:rsidRPr="00525CB9">
              <w:rPr>
                <w:vertAlign w:val="superscript"/>
              </w:rPr>
              <w:t>a</w:t>
            </w:r>
            <w:proofErr w:type="spellEnd"/>
          </w:p>
        </w:tc>
        <w:tc>
          <w:tcPr>
            <w:tcW w:w="1084" w:type="pct"/>
            <w:tcBorders>
              <w:top w:val="nil"/>
              <w:bottom w:val="nil"/>
            </w:tcBorders>
          </w:tcPr>
          <w:p w:rsidR="00E75F53" w:rsidRPr="00525CB9" w:rsidRDefault="00E75F53" w:rsidP="0014737F">
            <w:pPr>
              <w:pStyle w:val="Tabletext"/>
              <w:jc w:val="center"/>
            </w:pPr>
            <w:r w:rsidRPr="00525CB9">
              <w:t>109/124 (87.9%)</w:t>
            </w:r>
          </w:p>
          <w:p w:rsidR="00E75F53" w:rsidRPr="00525CB9" w:rsidRDefault="00E75F53" w:rsidP="0014737F">
            <w:pPr>
              <w:pStyle w:val="Tabletext"/>
              <w:spacing w:after="40"/>
              <w:jc w:val="center"/>
            </w:pPr>
            <w:r w:rsidRPr="00525CB9">
              <w:t>[80.8%, 93.1%]</w:t>
            </w:r>
          </w:p>
        </w:tc>
        <w:tc>
          <w:tcPr>
            <w:tcW w:w="1103" w:type="pct"/>
            <w:tcBorders>
              <w:top w:val="nil"/>
              <w:bottom w:val="nil"/>
            </w:tcBorders>
          </w:tcPr>
          <w:p w:rsidR="00E75F53" w:rsidRPr="00525CB9" w:rsidRDefault="00E75F53" w:rsidP="0014737F">
            <w:pPr>
              <w:pStyle w:val="Tabletext"/>
              <w:jc w:val="center"/>
            </w:pPr>
            <w:r w:rsidRPr="00525CB9">
              <w:t>18/23 (78.3%)</w:t>
            </w:r>
          </w:p>
          <w:p w:rsidR="00E75F53" w:rsidRPr="00525CB9" w:rsidRDefault="00E75F53" w:rsidP="0014737F">
            <w:pPr>
              <w:pStyle w:val="Tabletext"/>
              <w:jc w:val="center"/>
            </w:pPr>
            <w:r w:rsidRPr="00525CB9">
              <w:t>[56.3%, 92.5%]</w:t>
            </w:r>
          </w:p>
        </w:tc>
        <w:tc>
          <w:tcPr>
            <w:tcW w:w="1185" w:type="pct"/>
            <w:tcBorders>
              <w:top w:val="nil"/>
              <w:bottom w:val="nil"/>
            </w:tcBorders>
          </w:tcPr>
          <w:p w:rsidR="00E75F53" w:rsidRPr="00525CB9" w:rsidRDefault="00E75F53" w:rsidP="0014737F">
            <w:pPr>
              <w:pStyle w:val="Tabletext"/>
              <w:jc w:val="center"/>
            </w:pPr>
            <w:r w:rsidRPr="00525CB9">
              <w:t>52/70 (74.3%)</w:t>
            </w:r>
          </w:p>
          <w:p w:rsidR="00E75F53" w:rsidRPr="00525CB9" w:rsidRDefault="00E75F53" w:rsidP="0014737F">
            <w:pPr>
              <w:pStyle w:val="Tabletext"/>
              <w:jc w:val="center"/>
            </w:pPr>
            <w:r w:rsidRPr="00525CB9">
              <w:t>[62.4%, 84.0%]</w:t>
            </w:r>
          </w:p>
        </w:tc>
      </w:tr>
      <w:tr w:rsidR="00E06C89" w:rsidRPr="00525CB9" w:rsidTr="00525CB9">
        <w:tc>
          <w:tcPr>
            <w:tcW w:w="1628" w:type="pct"/>
            <w:tcBorders>
              <w:top w:val="nil"/>
            </w:tcBorders>
          </w:tcPr>
          <w:p w:rsidR="00E75F53" w:rsidRPr="00525CB9" w:rsidRDefault="00E75F53" w:rsidP="0014737F">
            <w:pPr>
              <w:pStyle w:val="Tabletext"/>
              <w:ind w:left="284"/>
              <w:rPr>
                <w:vertAlign w:val="superscript"/>
              </w:rPr>
            </w:pPr>
            <w:r w:rsidRPr="00525CB9">
              <w:t xml:space="preserve">Alternative </w:t>
            </w:r>
            <w:proofErr w:type="spellStart"/>
            <w:r w:rsidRPr="00525CB9">
              <w:t>definition</w:t>
            </w:r>
            <w:r w:rsidRPr="00525CB9">
              <w:rPr>
                <w:vertAlign w:val="superscript"/>
              </w:rPr>
              <w:t>b</w:t>
            </w:r>
            <w:proofErr w:type="spellEnd"/>
          </w:p>
        </w:tc>
        <w:tc>
          <w:tcPr>
            <w:tcW w:w="1084" w:type="pct"/>
            <w:tcBorders>
              <w:top w:val="nil"/>
            </w:tcBorders>
          </w:tcPr>
          <w:p w:rsidR="00E75F53" w:rsidRPr="00525CB9" w:rsidRDefault="00E75F53" w:rsidP="0014737F">
            <w:pPr>
              <w:pStyle w:val="Tabletext"/>
              <w:jc w:val="center"/>
            </w:pPr>
            <w:r w:rsidRPr="00525CB9">
              <w:t>114/124 (91.9%)</w:t>
            </w:r>
          </w:p>
          <w:p w:rsidR="00E75F53" w:rsidRPr="00525CB9" w:rsidRDefault="00E75F53" w:rsidP="0014737F">
            <w:pPr>
              <w:pStyle w:val="Tabletext"/>
              <w:jc w:val="center"/>
            </w:pPr>
            <w:r w:rsidRPr="00525CB9">
              <w:t>[85.7%, 96.1%]</w:t>
            </w:r>
          </w:p>
        </w:tc>
        <w:tc>
          <w:tcPr>
            <w:tcW w:w="1103" w:type="pct"/>
            <w:tcBorders>
              <w:top w:val="nil"/>
            </w:tcBorders>
          </w:tcPr>
          <w:p w:rsidR="00E75F53" w:rsidRPr="00525CB9" w:rsidRDefault="00E75F53" w:rsidP="0014737F">
            <w:pPr>
              <w:pStyle w:val="Tabletext"/>
              <w:jc w:val="center"/>
            </w:pPr>
            <w:r w:rsidRPr="00525CB9">
              <w:t>19/23 (82.6%)</w:t>
            </w:r>
          </w:p>
          <w:p w:rsidR="00E75F53" w:rsidRPr="00525CB9" w:rsidRDefault="00E75F53" w:rsidP="0014737F">
            <w:pPr>
              <w:pStyle w:val="Tabletext"/>
              <w:jc w:val="center"/>
            </w:pPr>
            <w:r w:rsidRPr="00525CB9">
              <w:t>[61.2%, 95.0%]</w:t>
            </w:r>
          </w:p>
        </w:tc>
        <w:tc>
          <w:tcPr>
            <w:tcW w:w="1185" w:type="pct"/>
            <w:tcBorders>
              <w:top w:val="nil"/>
            </w:tcBorders>
          </w:tcPr>
          <w:p w:rsidR="00E75F53" w:rsidRPr="00525CB9" w:rsidRDefault="00E75F53" w:rsidP="0014737F">
            <w:pPr>
              <w:pStyle w:val="Tabletext"/>
              <w:jc w:val="center"/>
            </w:pPr>
            <w:r w:rsidRPr="00525CB9">
              <w:t>55/70 (78.6%)</w:t>
            </w:r>
          </w:p>
          <w:p w:rsidR="00E75F53" w:rsidRPr="00525CB9" w:rsidRDefault="00E75F53" w:rsidP="0014737F">
            <w:pPr>
              <w:pStyle w:val="Tabletext"/>
              <w:jc w:val="center"/>
            </w:pPr>
            <w:r w:rsidRPr="00525CB9">
              <w:t>[67.1%, 87.5%]</w:t>
            </w:r>
          </w:p>
        </w:tc>
      </w:tr>
      <w:tr w:rsidR="00E06C89" w:rsidRPr="00525CB9" w:rsidTr="00525CB9">
        <w:tc>
          <w:tcPr>
            <w:tcW w:w="1628" w:type="pct"/>
          </w:tcPr>
          <w:p w:rsidR="00E75F53" w:rsidRPr="00525CB9" w:rsidRDefault="00E75F53" w:rsidP="0014737F">
            <w:pPr>
              <w:pStyle w:val="Tabletext"/>
              <w:rPr>
                <w:vertAlign w:val="superscript"/>
              </w:rPr>
            </w:pPr>
            <w:r w:rsidRPr="00525CB9">
              <w:t>Overall survival rate at 2 years</w:t>
            </w:r>
          </w:p>
        </w:tc>
        <w:tc>
          <w:tcPr>
            <w:tcW w:w="1084" w:type="pct"/>
          </w:tcPr>
          <w:p w:rsidR="00E75F53" w:rsidRPr="00525CB9" w:rsidRDefault="00E75F53" w:rsidP="0014737F">
            <w:pPr>
              <w:pStyle w:val="Tabletext"/>
              <w:jc w:val="center"/>
            </w:pPr>
            <w:r w:rsidRPr="00525CB9">
              <w:t>117/124 (94.4%)</w:t>
            </w:r>
          </w:p>
          <w:p w:rsidR="00E75F53" w:rsidRPr="00525CB9" w:rsidRDefault="00E75F53" w:rsidP="0014737F">
            <w:pPr>
              <w:pStyle w:val="Tabletext"/>
              <w:jc w:val="center"/>
            </w:pPr>
            <w:r w:rsidRPr="00525CB9">
              <w:t>[88.7%, 97.7%]</w:t>
            </w:r>
          </w:p>
        </w:tc>
        <w:tc>
          <w:tcPr>
            <w:tcW w:w="1103" w:type="pct"/>
          </w:tcPr>
          <w:p w:rsidR="00E75F53" w:rsidRPr="00525CB9" w:rsidRDefault="00E75F53" w:rsidP="0014737F">
            <w:pPr>
              <w:pStyle w:val="Tabletext"/>
              <w:jc w:val="center"/>
            </w:pPr>
            <w:r w:rsidRPr="00525CB9">
              <w:t>20/23 (87.0%)</w:t>
            </w:r>
          </w:p>
          <w:p w:rsidR="00E75F53" w:rsidRPr="00525CB9" w:rsidRDefault="00E75F53" w:rsidP="0014737F">
            <w:pPr>
              <w:pStyle w:val="Tabletext"/>
              <w:jc w:val="center"/>
            </w:pPr>
            <w:r w:rsidRPr="00525CB9">
              <w:t>[66.4%, 97.2%]</w:t>
            </w:r>
          </w:p>
        </w:tc>
        <w:tc>
          <w:tcPr>
            <w:tcW w:w="1185" w:type="pct"/>
          </w:tcPr>
          <w:p w:rsidR="00E75F53" w:rsidRPr="00525CB9" w:rsidRDefault="00E75F53" w:rsidP="0014737F">
            <w:pPr>
              <w:pStyle w:val="Tabletext"/>
              <w:jc w:val="center"/>
            </w:pPr>
            <w:r w:rsidRPr="00525CB9">
              <w:t>63/70 (90.0%)</w:t>
            </w:r>
          </w:p>
          <w:p w:rsidR="00E75F53" w:rsidRPr="00525CB9" w:rsidRDefault="00E75F53" w:rsidP="0014737F">
            <w:pPr>
              <w:pStyle w:val="Tabletext"/>
              <w:jc w:val="center"/>
            </w:pPr>
            <w:r w:rsidRPr="00525CB9">
              <w:t>[80.5%, 95.9%]</w:t>
            </w:r>
          </w:p>
        </w:tc>
      </w:tr>
    </w:tbl>
    <w:p w:rsidR="00E75F53" w:rsidRPr="000B2900" w:rsidRDefault="00E75F53" w:rsidP="00E06C89">
      <w:pPr>
        <w:pStyle w:val="TableFooter"/>
        <w:ind w:left="709"/>
      </w:pPr>
      <w:r w:rsidRPr="000B2900">
        <w:t>ATO = arsenic trioxide; ATRA = all-trans retinoic acid; CI = confidence interval;</w:t>
      </w:r>
      <w:r w:rsidR="0005104E" w:rsidRPr="000B2900">
        <w:t xml:space="preserve"> HCR = </w:t>
      </w:r>
      <w:proofErr w:type="spellStart"/>
      <w:r w:rsidR="0005104E" w:rsidRPr="000B2900">
        <w:t>haematologic</w:t>
      </w:r>
      <w:proofErr w:type="spellEnd"/>
      <w:r w:rsidR="0005104E" w:rsidRPr="000B2900">
        <w:t xml:space="preserve"> complete remission;</w:t>
      </w:r>
      <w:r w:rsidRPr="000B2900">
        <w:t xml:space="preserve"> ITT = intention-to-treat; NR = not reported</w:t>
      </w:r>
    </w:p>
    <w:p w:rsidR="00E75F53" w:rsidRDefault="00E75F53" w:rsidP="00E06C89">
      <w:pPr>
        <w:pStyle w:val="TableFooter"/>
        <w:ind w:left="851" w:hanging="142"/>
      </w:pPr>
      <w:proofErr w:type="gramStart"/>
      <w:r>
        <w:rPr>
          <w:vertAlign w:val="superscript"/>
        </w:rPr>
        <w:t>a</w:t>
      </w:r>
      <w:proofErr w:type="gramEnd"/>
      <w:r>
        <w:t xml:space="preserve"> Patients with unacceptable toxicity during induction or who withdrew consent during induction were counted as treatment failures.</w:t>
      </w:r>
    </w:p>
    <w:p w:rsidR="00E75F53" w:rsidRPr="000B2900" w:rsidRDefault="00E75F53" w:rsidP="00E06C89">
      <w:pPr>
        <w:pStyle w:val="TableFooter"/>
        <w:ind w:left="851" w:hanging="142"/>
      </w:pPr>
      <w:proofErr w:type="gramStart"/>
      <w:r>
        <w:rPr>
          <w:vertAlign w:val="superscript"/>
        </w:rPr>
        <w:t>b</w:t>
      </w:r>
      <w:proofErr w:type="gramEnd"/>
      <w:r>
        <w:t xml:space="preserve"> </w:t>
      </w:r>
      <w:r w:rsidRPr="000B2900">
        <w:t xml:space="preserve">Patients with unacceptable toxicity during induction or who withdrew consent during induction were not considered treatment failures provided a subsequent response assessment documented HCR. This applied to 9 patients, 4 of whom subsequently had an event, and 5 who were censored at the end of induction treatment, and not counted as treatment failures.  </w:t>
      </w:r>
    </w:p>
    <w:p w:rsidR="00151E18" w:rsidRPr="000B2900" w:rsidRDefault="00151E18" w:rsidP="00E06C89">
      <w:pPr>
        <w:pStyle w:val="TableFooter"/>
        <w:ind w:left="851" w:hanging="142"/>
      </w:pPr>
      <w:proofErr w:type="spellStart"/>
      <w:r w:rsidRPr="000B2900">
        <w:t>Haematologic</w:t>
      </w:r>
      <w:proofErr w:type="spellEnd"/>
      <w:r w:rsidRPr="000B2900">
        <w:t xml:space="preserve"> complete remission was defined as absence of symptoms and signs of leukaemia, neutrophil count≥1.0x10</w:t>
      </w:r>
      <w:r w:rsidRPr="000B2900">
        <w:rPr>
          <w:vertAlign w:val="superscript"/>
        </w:rPr>
        <w:t>9</w:t>
      </w:r>
      <w:r w:rsidRPr="000B2900">
        <w:t>/L and absence of abnormal cells in the peripheral blood differential, platelet count ≥</w:t>
      </w:r>
      <w:r w:rsidR="007C7E01" w:rsidRPr="000B2900">
        <w:t>100x</w:t>
      </w:r>
      <w:r w:rsidRPr="000B2900">
        <w:t>10</w:t>
      </w:r>
      <w:r w:rsidRPr="000B2900">
        <w:rPr>
          <w:vertAlign w:val="superscript"/>
        </w:rPr>
        <w:t>9</w:t>
      </w:r>
      <w:r w:rsidRPr="000B2900">
        <w:t xml:space="preserve">/L, disappearance from bone marrow of abnormal cells and return of active normal </w:t>
      </w:r>
      <w:proofErr w:type="spellStart"/>
      <w:r w:rsidRPr="000B2900">
        <w:t>haemopoiesis</w:t>
      </w:r>
      <w:proofErr w:type="spellEnd"/>
      <w:r w:rsidRPr="000B2900">
        <w:t xml:space="preserve"> (see Table B.5.2).</w:t>
      </w:r>
    </w:p>
    <w:p w:rsidR="00E75F53" w:rsidRPr="000B2900" w:rsidRDefault="00E75F53" w:rsidP="00E06C89">
      <w:pPr>
        <w:pStyle w:val="TableFooter"/>
        <w:ind w:left="851" w:hanging="142"/>
      </w:pPr>
      <w:r w:rsidRPr="000B2900">
        <w:t xml:space="preserve">Note: In APML4 the median follow-up time at closeout date was 4.2 years (range 1 month to 7.3 years) p7 APML4 CSR; in APML3, the estimated median potential follow-up using the reverse Kaplan-Meier method was 4.6 years (p229, </w:t>
      </w:r>
      <w:proofErr w:type="spellStart"/>
      <w:r w:rsidRPr="000B2900">
        <w:t>Iland</w:t>
      </w:r>
      <w:proofErr w:type="spellEnd"/>
      <w:r w:rsidRPr="000B2900">
        <w:t xml:space="preserve"> et al 2012)</w:t>
      </w:r>
    </w:p>
    <w:p w:rsidR="00E75F53" w:rsidRPr="000B2900" w:rsidRDefault="00E75F53" w:rsidP="00E06C89">
      <w:pPr>
        <w:pStyle w:val="TableFooter"/>
        <w:ind w:left="709"/>
      </w:pPr>
      <w:r w:rsidRPr="000B2900">
        <w:t>Binomial exact 95%CIs were calculated during the evaluation (in STATA)</w:t>
      </w:r>
    </w:p>
    <w:p w:rsidR="00E75F53" w:rsidRPr="000B2900" w:rsidRDefault="00E75F53" w:rsidP="00E06C89">
      <w:pPr>
        <w:pStyle w:val="TableFooter"/>
        <w:ind w:left="709"/>
      </w:pPr>
      <w:r w:rsidRPr="000B2900">
        <w:t>Source: Table B.6.1, p79. Figure B.6.3 and Table B.6.3, p82 of the submission, Table 20 p43, Table 21 p44, Table 22 p46, Table 24 p46, Table 23 p47, Table 25 p50, Table 28 p63, Figure 32 p65, and Figure 33 p65 APML4 Statistical report</w:t>
      </w:r>
    </w:p>
    <w:p w:rsidR="00241685" w:rsidRDefault="00241685" w:rsidP="00241685">
      <w:pPr>
        <w:pStyle w:val="ListParagraph"/>
        <w:widowControl/>
        <w:rPr>
          <w:szCs w:val="22"/>
        </w:rPr>
      </w:pPr>
    </w:p>
    <w:p w:rsidR="009A6341" w:rsidRPr="002F18CF" w:rsidRDefault="009A6341" w:rsidP="002969CC">
      <w:pPr>
        <w:pStyle w:val="ListParagraph"/>
        <w:widowControl/>
        <w:numPr>
          <w:ilvl w:val="1"/>
          <w:numId w:val="3"/>
        </w:numPr>
        <w:rPr>
          <w:szCs w:val="22"/>
        </w:rPr>
      </w:pPr>
      <w:r w:rsidRPr="00790CD9">
        <w:rPr>
          <w:szCs w:val="22"/>
        </w:rPr>
        <w:t xml:space="preserve">The submission presented a comparison of the results for the intention-to treat (ITT) population of APML4 (both low-intermediate and high risk) with those for the subgroup of patients in APML3 who received maintenance therapy. Given the unadjusted indirect nature of the comparison, the considerable risk of confounding and bias, and the overlap in the exact binomial 95% confidence intervals, it was not possible to draw any conclusions regarding the comparative effectiveness of the </w:t>
      </w:r>
      <w:proofErr w:type="spellStart"/>
      <w:r w:rsidRPr="00790CD9">
        <w:rPr>
          <w:szCs w:val="22"/>
        </w:rPr>
        <w:t>ATO+ATRA+chemotherapy</w:t>
      </w:r>
      <w:proofErr w:type="spellEnd"/>
      <w:r w:rsidRPr="00790CD9">
        <w:rPr>
          <w:szCs w:val="22"/>
        </w:rPr>
        <w:t xml:space="preserve"> regimen (proposed in the submission for high risk APL) and </w:t>
      </w:r>
      <w:proofErr w:type="spellStart"/>
      <w:r w:rsidRPr="00790CD9">
        <w:rPr>
          <w:szCs w:val="22"/>
        </w:rPr>
        <w:t>ATRA+chemotherapy</w:t>
      </w:r>
      <w:proofErr w:type="spellEnd"/>
      <w:r w:rsidRPr="00790CD9">
        <w:rPr>
          <w:szCs w:val="22"/>
        </w:rPr>
        <w:t xml:space="preserve"> (including maintenance therapy, as used in APML3) in patients with APL.</w:t>
      </w:r>
      <w:r w:rsidR="00512F34">
        <w:rPr>
          <w:szCs w:val="22"/>
        </w:rPr>
        <w:t xml:space="preserve"> </w:t>
      </w:r>
      <w:r w:rsidR="00512F34" w:rsidRPr="002F18CF">
        <w:rPr>
          <w:szCs w:val="22"/>
        </w:rPr>
        <w:t>As noted above, the PSCR (p2) provided some evidence to suggest that the relative treatment benefit in high-risk patients may be consistent with that observed in low-intermediate risk patients</w:t>
      </w:r>
      <w:r w:rsidR="00052F15" w:rsidRPr="002F18CF">
        <w:rPr>
          <w:szCs w:val="22"/>
        </w:rPr>
        <w:t xml:space="preserve">: </w:t>
      </w:r>
    </w:p>
    <w:p w:rsidR="002F18CF" w:rsidRDefault="002F18CF" w:rsidP="007C028C">
      <w:pPr>
        <w:widowControl/>
        <w:jc w:val="left"/>
        <w:rPr>
          <w:szCs w:val="22"/>
        </w:rPr>
      </w:pPr>
    </w:p>
    <w:p w:rsidR="00052F15" w:rsidRPr="002F18CF" w:rsidRDefault="00052F15" w:rsidP="002F18CF">
      <w:pPr>
        <w:widowControl/>
        <w:ind w:firstLine="720"/>
        <w:jc w:val="left"/>
        <w:rPr>
          <w:szCs w:val="22"/>
        </w:rPr>
      </w:pPr>
      <w:r>
        <w:rPr>
          <w:rFonts w:ascii="Arial Narrow" w:hAnsi="Arial Narrow"/>
          <w:b/>
          <w:sz w:val="20"/>
        </w:rPr>
        <w:t xml:space="preserve">Table 5: </w:t>
      </w:r>
      <w:r w:rsidRPr="00052F15">
        <w:rPr>
          <w:rFonts w:ascii="Arial Narrow" w:hAnsi="Arial Narrow"/>
          <w:b/>
          <w:sz w:val="20"/>
        </w:rPr>
        <w:t>Key results of the AML17 trial (reported by Burnett et al, in press)</w:t>
      </w:r>
    </w:p>
    <w:tbl>
      <w:tblPr>
        <w:tblStyle w:val="TableGrid"/>
        <w:tblW w:w="0" w:type="auto"/>
        <w:tblInd w:w="817" w:type="dxa"/>
        <w:shd w:val="clear" w:color="auto" w:fill="FFFFFF" w:themeFill="background1"/>
        <w:tblLook w:val="04A0" w:firstRow="1" w:lastRow="0" w:firstColumn="1" w:lastColumn="0" w:noHBand="0" w:noVBand="1"/>
        <w:tblCaption w:val="Results of the AML17 trial reported by Burnett et al"/>
      </w:tblPr>
      <w:tblGrid>
        <w:gridCol w:w="2268"/>
        <w:gridCol w:w="1843"/>
        <w:gridCol w:w="1559"/>
        <w:gridCol w:w="1985"/>
        <w:gridCol w:w="770"/>
      </w:tblGrid>
      <w:tr w:rsidR="00052F15" w:rsidRPr="00052F15" w:rsidTr="00BC1669">
        <w:trPr>
          <w:tblHeader/>
        </w:trPr>
        <w:tc>
          <w:tcPr>
            <w:tcW w:w="2268" w:type="dxa"/>
            <w:shd w:val="clear" w:color="auto" w:fill="FFFFFF" w:themeFill="background1"/>
          </w:tcPr>
          <w:p w:rsidR="00052F15" w:rsidRPr="00052F15" w:rsidRDefault="00052F15" w:rsidP="00052F15">
            <w:pPr>
              <w:rPr>
                <w:rFonts w:ascii="Arial Narrow" w:hAnsi="Arial Narrow"/>
                <w:b/>
                <w:sz w:val="20"/>
              </w:rPr>
            </w:pPr>
            <w:r w:rsidRPr="00052F15">
              <w:rPr>
                <w:rFonts w:ascii="Arial Narrow" w:hAnsi="Arial Narrow"/>
                <w:b/>
                <w:sz w:val="20"/>
              </w:rPr>
              <w:t>Outcome</w:t>
            </w:r>
          </w:p>
        </w:tc>
        <w:tc>
          <w:tcPr>
            <w:tcW w:w="1843" w:type="dxa"/>
            <w:shd w:val="clear" w:color="auto" w:fill="FFFFFF" w:themeFill="background1"/>
            <w:vAlign w:val="center"/>
          </w:tcPr>
          <w:p w:rsidR="00052F15" w:rsidRPr="00052F15" w:rsidRDefault="00052F15" w:rsidP="00052F15">
            <w:pPr>
              <w:jc w:val="center"/>
              <w:rPr>
                <w:rFonts w:ascii="Arial Narrow" w:hAnsi="Arial Narrow"/>
                <w:b/>
                <w:sz w:val="20"/>
              </w:rPr>
            </w:pPr>
            <w:r w:rsidRPr="00052F15">
              <w:rPr>
                <w:rFonts w:ascii="Arial Narrow" w:hAnsi="Arial Narrow"/>
                <w:b/>
                <w:sz w:val="20"/>
              </w:rPr>
              <w:t xml:space="preserve">ATRA + </w:t>
            </w:r>
            <w:proofErr w:type="spellStart"/>
            <w:r w:rsidRPr="00052F15">
              <w:rPr>
                <w:rFonts w:ascii="Arial Narrow" w:hAnsi="Arial Narrow"/>
                <w:b/>
                <w:sz w:val="20"/>
              </w:rPr>
              <w:t>idarubicin</w:t>
            </w:r>
            <w:proofErr w:type="spellEnd"/>
          </w:p>
          <w:p w:rsidR="00052F15" w:rsidRPr="00052F15" w:rsidRDefault="00052F15" w:rsidP="00052F15">
            <w:pPr>
              <w:jc w:val="center"/>
              <w:rPr>
                <w:rFonts w:ascii="Arial Narrow" w:hAnsi="Arial Narrow"/>
                <w:b/>
                <w:sz w:val="20"/>
              </w:rPr>
            </w:pPr>
            <w:r w:rsidRPr="00052F15">
              <w:rPr>
                <w:rFonts w:ascii="Arial Narrow" w:hAnsi="Arial Narrow"/>
                <w:b/>
                <w:sz w:val="20"/>
              </w:rPr>
              <w:t>N=119</w:t>
            </w:r>
          </w:p>
        </w:tc>
        <w:tc>
          <w:tcPr>
            <w:tcW w:w="1559" w:type="dxa"/>
            <w:shd w:val="clear" w:color="auto" w:fill="FFFFFF" w:themeFill="background1"/>
            <w:vAlign w:val="center"/>
          </w:tcPr>
          <w:p w:rsidR="00052F15" w:rsidRPr="00052F15" w:rsidRDefault="00052F15" w:rsidP="00052F15">
            <w:pPr>
              <w:jc w:val="center"/>
              <w:rPr>
                <w:rFonts w:ascii="Arial Narrow" w:hAnsi="Arial Narrow"/>
                <w:b/>
                <w:sz w:val="20"/>
              </w:rPr>
            </w:pPr>
            <w:r w:rsidRPr="00052F15">
              <w:rPr>
                <w:rFonts w:ascii="Arial Narrow" w:hAnsi="Arial Narrow"/>
                <w:b/>
                <w:sz w:val="20"/>
              </w:rPr>
              <w:t>ATO + ATRA</w:t>
            </w:r>
          </w:p>
          <w:p w:rsidR="00052F15" w:rsidRPr="00052F15" w:rsidRDefault="00052F15" w:rsidP="00052F15">
            <w:pPr>
              <w:jc w:val="center"/>
              <w:rPr>
                <w:rFonts w:ascii="Arial Narrow" w:hAnsi="Arial Narrow"/>
                <w:b/>
                <w:sz w:val="20"/>
              </w:rPr>
            </w:pPr>
            <w:r w:rsidRPr="00052F15">
              <w:rPr>
                <w:rFonts w:ascii="Arial Narrow" w:hAnsi="Arial Narrow"/>
                <w:b/>
                <w:sz w:val="20"/>
              </w:rPr>
              <w:t>N=116</w:t>
            </w:r>
          </w:p>
        </w:tc>
        <w:tc>
          <w:tcPr>
            <w:tcW w:w="1985" w:type="dxa"/>
            <w:shd w:val="clear" w:color="auto" w:fill="FFFFFF" w:themeFill="background1"/>
            <w:vAlign w:val="center"/>
          </w:tcPr>
          <w:p w:rsidR="00052F15" w:rsidRPr="00052F15" w:rsidRDefault="00052F15" w:rsidP="00052F15">
            <w:pPr>
              <w:jc w:val="center"/>
              <w:rPr>
                <w:rFonts w:ascii="Arial Narrow" w:hAnsi="Arial Narrow"/>
                <w:b/>
                <w:sz w:val="20"/>
              </w:rPr>
            </w:pPr>
            <w:r w:rsidRPr="00052F15">
              <w:rPr>
                <w:rFonts w:ascii="Arial Narrow" w:hAnsi="Arial Narrow"/>
                <w:b/>
                <w:sz w:val="20"/>
              </w:rPr>
              <w:t>OR/HR (95% CI)</w:t>
            </w:r>
          </w:p>
        </w:tc>
        <w:tc>
          <w:tcPr>
            <w:tcW w:w="770" w:type="dxa"/>
            <w:shd w:val="clear" w:color="auto" w:fill="FFFFFF" w:themeFill="background1"/>
            <w:vAlign w:val="center"/>
          </w:tcPr>
          <w:p w:rsidR="00052F15" w:rsidRPr="00052F15" w:rsidRDefault="00052F15" w:rsidP="00052F15">
            <w:pPr>
              <w:ind w:left="-108" w:right="-46"/>
              <w:jc w:val="center"/>
              <w:rPr>
                <w:rFonts w:ascii="Arial Narrow" w:hAnsi="Arial Narrow"/>
                <w:b/>
                <w:sz w:val="20"/>
              </w:rPr>
            </w:pPr>
            <w:r w:rsidRPr="00052F15">
              <w:rPr>
                <w:rFonts w:ascii="Arial Narrow" w:hAnsi="Arial Narrow"/>
                <w:b/>
                <w:sz w:val="20"/>
              </w:rPr>
              <w:t>p-value</w:t>
            </w:r>
          </w:p>
        </w:tc>
      </w:tr>
      <w:tr w:rsidR="00052F15" w:rsidRPr="00052F15" w:rsidTr="005169F5">
        <w:tc>
          <w:tcPr>
            <w:tcW w:w="2268" w:type="dxa"/>
            <w:shd w:val="clear" w:color="auto" w:fill="FFFFFF" w:themeFill="background1"/>
          </w:tcPr>
          <w:p w:rsidR="00052F15" w:rsidRPr="00052F15" w:rsidRDefault="00052F15" w:rsidP="00052F15">
            <w:pPr>
              <w:rPr>
                <w:rFonts w:ascii="Arial Narrow" w:hAnsi="Arial Narrow"/>
                <w:sz w:val="20"/>
              </w:rPr>
            </w:pPr>
            <w:r w:rsidRPr="00052F15">
              <w:rPr>
                <w:rFonts w:ascii="Arial Narrow" w:hAnsi="Arial Narrow"/>
                <w:sz w:val="20"/>
              </w:rPr>
              <w:t>Complete remission</w:t>
            </w:r>
          </w:p>
        </w:tc>
        <w:tc>
          <w:tcPr>
            <w:tcW w:w="1843"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106 (89%)</w:t>
            </w:r>
          </w:p>
        </w:tc>
        <w:tc>
          <w:tcPr>
            <w:tcW w:w="1559"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109 (94%)</w:t>
            </w:r>
          </w:p>
        </w:tc>
        <w:tc>
          <w:tcPr>
            <w:tcW w:w="1985"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OR: 0.54 (0.21 – 1.34)</w:t>
            </w:r>
          </w:p>
        </w:tc>
        <w:tc>
          <w:tcPr>
            <w:tcW w:w="770"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0.18</w:t>
            </w:r>
          </w:p>
        </w:tc>
      </w:tr>
      <w:tr w:rsidR="00052F15" w:rsidRPr="00052F15" w:rsidTr="005169F5">
        <w:tc>
          <w:tcPr>
            <w:tcW w:w="2268" w:type="dxa"/>
            <w:shd w:val="clear" w:color="auto" w:fill="FFFFFF" w:themeFill="background1"/>
          </w:tcPr>
          <w:p w:rsidR="00052F15" w:rsidRPr="00052F15" w:rsidRDefault="00052F15" w:rsidP="00052F15">
            <w:pPr>
              <w:rPr>
                <w:rFonts w:ascii="Arial Narrow" w:hAnsi="Arial Narrow"/>
                <w:sz w:val="20"/>
              </w:rPr>
            </w:pPr>
            <w:r w:rsidRPr="00052F15">
              <w:rPr>
                <w:rFonts w:ascii="Arial Narrow" w:hAnsi="Arial Narrow"/>
                <w:sz w:val="20"/>
              </w:rPr>
              <w:t xml:space="preserve">Confirmed molecular </w:t>
            </w:r>
            <w:r w:rsidRPr="00052F15">
              <w:rPr>
                <w:rFonts w:ascii="Arial Narrow" w:hAnsi="Arial Narrow"/>
                <w:sz w:val="20"/>
              </w:rPr>
              <w:lastRenderedPageBreak/>
              <w:t>negativity</w:t>
            </w:r>
          </w:p>
        </w:tc>
        <w:tc>
          <w:tcPr>
            <w:tcW w:w="1843"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lastRenderedPageBreak/>
              <w:t>105 (88%)</w:t>
            </w:r>
          </w:p>
        </w:tc>
        <w:tc>
          <w:tcPr>
            <w:tcW w:w="1559"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106 (91%)</w:t>
            </w:r>
          </w:p>
        </w:tc>
        <w:tc>
          <w:tcPr>
            <w:tcW w:w="1985"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OR: 0.71 (0.31 – 1.65)</w:t>
            </w:r>
          </w:p>
        </w:tc>
        <w:tc>
          <w:tcPr>
            <w:tcW w:w="770"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0.43</w:t>
            </w:r>
          </w:p>
        </w:tc>
      </w:tr>
      <w:tr w:rsidR="00052F15" w:rsidRPr="00052F15" w:rsidTr="005169F5">
        <w:tc>
          <w:tcPr>
            <w:tcW w:w="2268" w:type="dxa"/>
            <w:shd w:val="clear" w:color="auto" w:fill="FFFFFF" w:themeFill="background1"/>
          </w:tcPr>
          <w:p w:rsidR="00052F15" w:rsidRPr="00052F15" w:rsidRDefault="00052F15" w:rsidP="00052F15">
            <w:pPr>
              <w:rPr>
                <w:rFonts w:ascii="Arial Narrow" w:hAnsi="Arial Narrow"/>
                <w:sz w:val="20"/>
              </w:rPr>
            </w:pPr>
          </w:p>
          <w:p w:rsidR="00052F15" w:rsidRPr="00052F15" w:rsidRDefault="00052F15" w:rsidP="00052F15">
            <w:pPr>
              <w:rPr>
                <w:rFonts w:ascii="Arial Narrow" w:hAnsi="Arial Narrow"/>
                <w:sz w:val="20"/>
              </w:rPr>
            </w:pPr>
            <w:r w:rsidRPr="00052F15">
              <w:rPr>
                <w:rFonts w:ascii="Arial Narrow" w:hAnsi="Arial Narrow"/>
                <w:sz w:val="20"/>
              </w:rPr>
              <w:t>4-year event-free survival</w:t>
            </w:r>
          </w:p>
          <w:p w:rsidR="00052F15" w:rsidRPr="00052F15" w:rsidRDefault="00052F15" w:rsidP="00052F15">
            <w:pPr>
              <w:pStyle w:val="ListParagraph"/>
              <w:widowControl/>
              <w:numPr>
                <w:ilvl w:val="0"/>
                <w:numId w:val="14"/>
              </w:numPr>
              <w:spacing w:line="264" w:lineRule="auto"/>
              <w:ind w:left="176" w:hanging="176"/>
              <w:jc w:val="left"/>
              <w:rPr>
                <w:rFonts w:ascii="Arial Narrow" w:hAnsi="Arial Narrow"/>
                <w:sz w:val="20"/>
              </w:rPr>
            </w:pPr>
            <w:r w:rsidRPr="00052F15">
              <w:rPr>
                <w:rFonts w:ascii="Arial Narrow" w:hAnsi="Arial Narrow"/>
                <w:sz w:val="20"/>
              </w:rPr>
              <w:t>High risk patients</w:t>
            </w:r>
          </w:p>
          <w:p w:rsidR="00052F15" w:rsidRPr="00052F15" w:rsidRDefault="00052F15" w:rsidP="00052F15">
            <w:pPr>
              <w:pStyle w:val="ListParagraph"/>
              <w:widowControl/>
              <w:numPr>
                <w:ilvl w:val="0"/>
                <w:numId w:val="14"/>
              </w:numPr>
              <w:spacing w:line="264" w:lineRule="auto"/>
              <w:ind w:left="176" w:hanging="176"/>
              <w:jc w:val="left"/>
              <w:rPr>
                <w:rFonts w:ascii="Arial Narrow" w:hAnsi="Arial Narrow"/>
                <w:sz w:val="20"/>
              </w:rPr>
            </w:pPr>
            <w:r w:rsidRPr="00052F15">
              <w:rPr>
                <w:rFonts w:ascii="Arial Narrow" w:hAnsi="Arial Narrow"/>
                <w:sz w:val="20"/>
              </w:rPr>
              <w:t>Low-intermediate risk patients</w:t>
            </w:r>
          </w:p>
        </w:tc>
        <w:tc>
          <w:tcPr>
            <w:tcW w:w="1843"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70% (56% – 80%)</w:t>
            </w:r>
          </w:p>
          <w:p w:rsidR="00052F15" w:rsidRPr="00052F15" w:rsidRDefault="00052F15" w:rsidP="00052F15">
            <w:pPr>
              <w:jc w:val="center"/>
              <w:rPr>
                <w:rFonts w:ascii="Arial Narrow" w:hAnsi="Arial Narrow"/>
                <w:sz w:val="20"/>
              </w:rPr>
            </w:pPr>
            <w:r w:rsidRPr="00052F15">
              <w:rPr>
                <w:rFonts w:ascii="Arial Narrow" w:hAnsi="Arial Narrow"/>
                <w:sz w:val="20"/>
              </w:rPr>
              <w:t>64% (42% - 79%)</w:t>
            </w:r>
          </w:p>
          <w:p w:rsidR="00052F15" w:rsidRPr="00052F15" w:rsidRDefault="00052F15" w:rsidP="00052F15">
            <w:pPr>
              <w:jc w:val="center"/>
              <w:rPr>
                <w:rFonts w:ascii="Arial Narrow" w:hAnsi="Arial Narrow"/>
                <w:sz w:val="20"/>
              </w:rPr>
            </w:pPr>
            <w:r w:rsidRPr="00052F15">
              <w:rPr>
                <w:rFonts w:ascii="Arial Narrow" w:hAnsi="Arial Narrow"/>
                <w:sz w:val="20"/>
              </w:rPr>
              <w:t>71% (55% - 83%)</w:t>
            </w:r>
          </w:p>
        </w:tc>
        <w:tc>
          <w:tcPr>
            <w:tcW w:w="1559"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91% (84% - 95%)</w:t>
            </w:r>
          </w:p>
          <w:p w:rsidR="00052F15" w:rsidRPr="00052F15" w:rsidRDefault="00052F15" w:rsidP="00052F15">
            <w:pPr>
              <w:jc w:val="center"/>
              <w:rPr>
                <w:rFonts w:ascii="Arial Narrow" w:hAnsi="Arial Narrow"/>
                <w:sz w:val="20"/>
              </w:rPr>
            </w:pPr>
            <w:r w:rsidRPr="00052F15">
              <w:rPr>
                <w:rFonts w:ascii="Arial Narrow" w:hAnsi="Arial Narrow"/>
                <w:sz w:val="20"/>
              </w:rPr>
              <w:t>87% (68% - 95%)</w:t>
            </w:r>
          </w:p>
          <w:p w:rsidR="00052F15" w:rsidRPr="00052F15" w:rsidRDefault="00052F15" w:rsidP="00052F15">
            <w:pPr>
              <w:jc w:val="center"/>
              <w:rPr>
                <w:rFonts w:ascii="Arial Narrow" w:hAnsi="Arial Narrow"/>
                <w:sz w:val="20"/>
              </w:rPr>
            </w:pPr>
            <w:r w:rsidRPr="00052F15">
              <w:rPr>
                <w:rFonts w:ascii="Arial Narrow" w:hAnsi="Arial Narrow"/>
                <w:sz w:val="20"/>
              </w:rPr>
              <w:t>92% (84% - 97%)</w:t>
            </w:r>
          </w:p>
        </w:tc>
        <w:tc>
          <w:tcPr>
            <w:tcW w:w="1985"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HR: 0.35 (0.18 – 0.68)</w:t>
            </w:r>
          </w:p>
          <w:p w:rsidR="00052F15" w:rsidRPr="00052F15" w:rsidRDefault="00052F15" w:rsidP="00052F15">
            <w:pPr>
              <w:jc w:val="center"/>
              <w:rPr>
                <w:rFonts w:ascii="Arial Narrow" w:hAnsi="Arial Narrow"/>
                <w:sz w:val="20"/>
              </w:rPr>
            </w:pPr>
            <w:r w:rsidRPr="00052F15">
              <w:rPr>
                <w:rFonts w:ascii="Arial Narrow" w:hAnsi="Arial Narrow"/>
                <w:sz w:val="20"/>
              </w:rPr>
              <w:t>HR: 0.34 (0.11 – 1.08)</w:t>
            </w:r>
          </w:p>
          <w:p w:rsidR="00052F15" w:rsidRPr="00052F15" w:rsidRDefault="00052F15" w:rsidP="00052F15">
            <w:pPr>
              <w:jc w:val="center"/>
              <w:rPr>
                <w:rFonts w:ascii="Arial Narrow" w:hAnsi="Arial Narrow"/>
                <w:sz w:val="20"/>
              </w:rPr>
            </w:pPr>
            <w:r w:rsidRPr="00052F15">
              <w:rPr>
                <w:rFonts w:ascii="Arial Narrow" w:hAnsi="Arial Narrow"/>
                <w:sz w:val="20"/>
              </w:rPr>
              <w:t>HR: 0.34 (0.15 – 0.75)</w:t>
            </w:r>
          </w:p>
        </w:tc>
        <w:tc>
          <w:tcPr>
            <w:tcW w:w="770"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0.002</w:t>
            </w:r>
          </w:p>
          <w:p w:rsidR="00052F15" w:rsidRPr="00052F15" w:rsidRDefault="00052F15" w:rsidP="00052F15">
            <w:pPr>
              <w:jc w:val="center"/>
              <w:rPr>
                <w:rFonts w:ascii="Arial Narrow" w:hAnsi="Arial Narrow"/>
                <w:sz w:val="20"/>
              </w:rPr>
            </w:pPr>
            <w:r w:rsidRPr="00052F15">
              <w:rPr>
                <w:rFonts w:ascii="Arial Narrow" w:hAnsi="Arial Narrow"/>
                <w:sz w:val="20"/>
              </w:rPr>
              <w:t>0.07</w:t>
            </w:r>
          </w:p>
          <w:p w:rsidR="00052F15" w:rsidRPr="00052F15" w:rsidRDefault="00052F15" w:rsidP="00052F15">
            <w:pPr>
              <w:jc w:val="center"/>
              <w:rPr>
                <w:rFonts w:ascii="Arial Narrow" w:hAnsi="Arial Narrow"/>
                <w:sz w:val="20"/>
              </w:rPr>
            </w:pPr>
            <w:r w:rsidRPr="00052F15">
              <w:rPr>
                <w:rFonts w:ascii="Arial Narrow" w:hAnsi="Arial Narrow"/>
                <w:sz w:val="20"/>
              </w:rPr>
              <w:t>0.008</w:t>
            </w:r>
          </w:p>
        </w:tc>
      </w:tr>
      <w:tr w:rsidR="00052F15" w:rsidRPr="00052F15" w:rsidTr="005169F5">
        <w:tc>
          <w:tcPr>
            <w:tcW w:w="2268" w:type="dxa"/>
            <w:shd w:val="clear" w:color="auto" w:fill="FFFFFF" w:themeFill="background1"/>
          </w:tcPr>
          <w:p w:rsidR="00052F15" w:rsidRPr="00052F15" w:rsidRDefault="00052F15" w:rsidP="00052F15">
            <w:pPr>
              <w:rPr>
                <w:rFonts w:ascii="Arial Narrow" w:hAnsi="Arial Narrow"/>
                <w:sz w:val="20"/>
              </w:rPr>
            </w:pPr>
          </w:p>
          <w:p w:rsidR="00052F15" w:rsidRPr="00052F15" w:rsidRDefault="00052F15" w:rsidP="00052F15">
            <w:pPr>
              <w:rPr>
                <w:rFonts w:ascii="Arial Narrow" w:hAnsi="Arial Narrow"/>
                <w:sz w:val="20"/>
              </w:rPr>
            </w:pPr>
            <w:r w:rsidRPr="00052F15">
              <w:rPr>
                <w:rFonts w:ascii="Arial Narrow" w:hAnsi="Arial Narrow"/>
                <w:sz w:val="20"/>
              </w:rPr>
              <w:t xml:space="preserve">4-year overall survival </w:t>
            </w:r>
          </w:p>
          <w:p w:rsidR="00052F15" w:rsidRPr="00052F15" w:rsidRDefault="00052F15" w:rsidP="00052F15">
            <w:pPr>
              <w:pStyle w:val="ListParagraph"/>
              <w:widowControl/>
              <w:numPr>
                <w:ilvl w:val="0"/>
                <w:numId w:val="14"/>
              </w:numPr>
              <w:spacing w:line="264" w:lineRule="auto"/>
              <w:ind w:left="176" w:hanging="176"/>
              <w:jc w:val="left"/>
              <w:rPr>
                <w:rFonts w:ascii="Arial Narrow" w:hAnsi="Arial Narrow"/>
                <w:sz w:val="20"/>
              </w:rPr>
            </w:pPr>
            <w:r w:rsidRPr="00052F15">
              <w:rPr>
                <w:rFonts w:ascii="Arial Narrow" w:hAnsi="Arial Narrow"/>
                <w:sz w:val="20"/>
              </w:rPr>
              <w:t>High risk patients</w:t>
            </w:r>
          </w:p>
          <w:p w:rsidR="00052F15" w:rsidRPr="00052F15" w:rsidRDefault="00052F15" w:rsidP="00052F15">
            <w:pPr>
              <w:pStyle w:val="ListParagraph"/>
              <w:widowControl/>
              <w:numPr>
                <w:ilvl w:val="0"/>
                <w:numId w:val="14"/>
              </w:numPr>
              <w:spacing w:line="264" w:lineRule="auto"/>
              <w:ind w:left="176" w:hanging="176"/>
              <w:jc w:val="left"/>
              <w:rPr>
                <w:rFonts w:ascii="Arial Narrow" w:hAnsi="Arial Narrow"/>
                <w:sz w:val="20"/>
              </w:rPr>
            </w:pPr>
            <w:r w:rsidRPr="00052F15">
              <w:rPr>
                <w:rFonts w:ascii="Arial Narrow" w:hAnsi="Arial Narrow"/>
                <w:sz w:val="20"/>
              </w:rPr>
              <w:t>Low-intermediate risk patients</w:t>
            </w:r>
          </w:p>
        </w:tc>
        <w:tc>
          <w:tcPr>
            <w:tcW w:w="1843"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89% (81% - 93%)</w:t>
            </w:r>
          </w:p>
          <w:p w:rsidR="00052F15" w:rsidRPr="00052F15" w:rsidRDefault="00052F15" w:rsidP="00052F15">
            <w:pPr>
              <w:jc w:val="center"/>
              <w:rPr>
                <w:rFonts w:ascii="Arial Narrow" w:hAnsi="Arial Narrow"/>
                <w:sz w:val="20"/>
              </w:rPr>
            </w:pPr>
            <w:r w:rsidRPr="00052F15">
              <w:rPr>
                <w:rFonts w:ascii="Arial Narrow" w:hAnsi="Arial Narrow"/>
                <w:sz w:val="20"/>
              </w:rPr>
              <w:t>84% (63% - 95%)</w:t>
            </w:r>
          </w:p>
          <w:p w:rsidR="00052F15" w:rsidRPr="00052F15" w:rsidRDefault="00052F15" w:rsidP="00052F15">
            <w:pPr>
              <w:jc w:val="center"/>
              <w:rPr>
                <w:rFonts w:ascii="Arial Narrow" w:hAnsi="Arial Narrow"/>
                <w:sz w:val="20"/>
              </w:rPr>
            </w:pPr>
            <w:r w:rsidRPr="00052F15">
              <w:rPr>
                <w:rFonts w:ascii="Arial Narrow" w:hAnsi="Arial Narrow"/>
                <w:sz w:val="20"/>
              </w:rPr>
              <w:t>90% (81% - 95%)</w:t>
            </w:r>
          </w:p>
        </w:tc>
        <w:tc>
          <w:tcPr>
            <w:tcW w:w="1559"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93% (86%-96%)</w:t>
            </w:r>
          </w:p>
          <w:p w:rsidR="00052F15" w:rsidRPr="00052F15" w:rsidRDefault="00052F15" w:rsidP="00052F15">
            <w:pPr>
              <w:jc w:val="center"/>
              <w:rPr>
                <w:rFonts w:ascii="Arial Narrow" w:hAnsi="Arial Narrow"/>
                <w:sz w:val="20"/>
              </w:rPr>
            </w:pPr>
            <w:r w:rsidRPr="00052F15">
              <w:rPr>
                <w:rFonts w:ascii="Arial Narrow" w:hAnsi="Arial Narrow"/>
                <w:sz w:val="20"/>
              </w:rPr>
              <w:t>87% (68% - 95%)</w:t>
            </w:r>
          </w:p>
          <w:p w:rsidR="00052F15" w:rsidRPr="00052F15" w:rsidRDefault="00052F15" w:rsidP="00052F15">
            <w:pPr>
              <w:jc w:val="center"/>
              <w:rPr>
                <w:rFonts w:ascii="Arial Narrow" w:hAnsi="Arial Narrow"/>
                <w:sz w:val="20"/>
              </w:rPr>
            </w:pPr>
            <w:r w:rsidRPr="00052F15">
              <w:rPr>
                <w:rFonts w:ascii="Arial Narrow" w:hAnsi="Arial Narrow"/>
                <w:sz w:val="20"/>
              </w:rPr>
              <w:t>95% (86% - 98%)</w:t>
            </w:r>
          </w:p>
        </w:tc>
        <w:tc>
          <w:tcPr>
            <w:tcW w:w="1985"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HR: 0.60 (0.26 – 1.42)</w:t>
            </w:r>
          </w:p>
          <w:p w:rsidR="00052F15" w:rsidRPr="00052F15" w:rsidRDefault="00052F15" w:rsidP="00052F15">
            <w:pPr>
              <w:jc w:val="center"/>
              <w:rPr>
                <w:rFonts w:ascii="Arial Narrow" w:hAnsi="Arial Narrow"/>
                <w:sz w:val="20"/>
              </w:rPr>
            </w:pPr>
            <w:r w:rsidRPr="00052F15">
              <w:rPr>
                <w:rFonts w:ascii="Arial Narrow" w:hAnsi="Arial Narrow"/>
                <w:sz w:val="20"/>
              </w:rPr>
              <w:t>NR</w:t>
            </w:r>
          </w:p>
          <w:p w:rsidR="00052F15" w:rsidRPr="00052F15" w:rsidRDefault="00052F15" w:rsidP="00052F15">
            <w:pPr>
              <w:jc w:val="center"/>
              <w:rPr>
                <w:rFonts w:ascii="Arial Narrow" w:hAnsi="Arial Narrow"/>
                <w:sz w:val="20"/>
              </w:rPr>
            </w:pPr>
            <w:r w:rsidRPr="00052F15">
              <w:rPr>
                <w:rFonts w:ascii="Arial Narrow" w:hAnsi="Arial Narrow"/>
                <w:sz w:val="20"/>
              </w:rPr>
              <w:t>NR</w:t>
            </w:r>
          </w:p>
        </w:tc>
        <w:tc>
          <w:tcPr>
            <w:tcW w:w="770" w:type="dxa"/>
            <w:shd w:val="clear" w:color="auto" w:fill="FFFFFF" w:themeFill="background1"/>
            <w:vAlign w:val="center"/>
          </w:tcPr>
          <w:p w:rsidR="00052F15" w:rsidRPr="00052F15" w:rsidRDefault="00052F15" w:rsidP="00052F15">
            <w:pPr>
              <w:jc w:val="center"/>
              <w:rPr>
                <w:rFonts w:ascii="Arial Narrow" w:hAnsi="Arial Narrow"/>
                <w:sz w:val="20"/>
              </w:rPr>
            </w:pPr>
            <w:r w:rsidRPr="00052F15">
              <w:rPr>
                <w:rFonts w:ascii="Arial Narrow" w:hAnsi="Arial Narrow"/>
                <w:sz w:val="20"/>
              </w:rPr>
              <w:t>0.25</w:t>
            </w:r>
          </w:p>
          <w:p w:rsidR="00052F15" w:rsidRPr="00052F15" w:rsidRDefault="00052F15" w:rsidP="00052F15">
            <w:pPr>
              <w:jc w:val="center"/>
              <w:rPr>
                <w:rFonts w:ascii="Arial Narrow" w:hAnsi="Arial Narrow"/>
                <w:sz w:val="20"/>
              </w:rPr>
            </w:pPr>
            <w:r w:rsidRPr="00052F15">
              <w:rPr>
                <w:rFonts w:ascii="Arial Narrow" w:hAnsi="Arial Narrow"/>
                <w:sz w:val="20"/>
              </w:rPr>
              <w:t>NR</w:t>
            </w:r>
          </w:p>
          <w:p w:rsidR="00052F15" w:rsidRPr="00052F15" w:rsidRDefault="00052F15" w:rsidP="00052F15">
            <w:pPr>
              <w:jc w:val="center"/>
              <w:rPr>
                <w:rFonts w:ascii="Arial Narrow" w:hAnsi="Arial Narrow"/>
                <w:sz w:val="20"/>
              </w:rPr>
            </w:pPr>
            <w:r w:rsidRPr="00052F15">
              <w:rPr>
                <w:rFonts w:ascii="Arial Narrow" w:hAnsi="Arial Narrow"/>
                <w:sz w:val="20"/>
              </w:rPr>
              <w:t>NR</w:t>
            </w:r>
          </w:p>
        </w:tc>
      </w:tr>
    </w:tbl>
    <w:p w:rsidR="00524351" w:rsidRDefault="00052F15" w:rsidP="00052F15">
      <w:pPr>
        <w:widowControl/>
        <w:ind w:firstLine="720"/>
        <w:jc w:val="left"/>
        <w:rPr>
          <w:rFonts w:ascii="Arial Narrow" w:hAnsi="Arial Narrow"/>
          <w:i/>
          <w:sz w:val="20"/>
        </w:rPr>
      </w:pPr>
      <w:r w:rsidRPr="00052F15">
        <w:rPr>
          <w:rFonts w:ascii="Arial Narrow" w:hAnsi="Arial Narrow"/>
          <w:i/>
          <w:sz w:val="20"/>
        </w:rPr>
        <w:t>Source: Table 3, PSCR p6</w:t>
      </w:r>
    </w:p>
    <w:p w:rsidR="00052F15" w:rsidRPr="00052F15" w:rsidRDefault="00052F15" w:rsidP="00052F15">
      <w:pPr>
        <w:widowControl/>
        <w:jc w:val="left"/>
        <w:rPr>
          <w:rFonts w:ascii="Arial Narrow" w:hAnsi="Arial Narrow"/>
          <w:i/>
          <w:sz w:val="20"/>
        </w:rPr>
      </w:pPr>
    </w:p>
    <w:p w:rsidR="00524351" w:rsidRPr="00FF1087" w:rsidRDefault="00524351" w:rsidP="00524351">
      <w:pPr>
        <w:pStyle w:val="Heading2"/>
      </w:pPr>
      <w:bookmarkStart w:id="9" w:name="_Toc427598092"/>
      <w:r w:rsidRPr="00FF1087">
        <w:t>Comparative harms</w:t>
      </w:r>
      <w:bookmarkEnd w:id="9"/>
    </w:p>
    <w:p w:rsidR="00524351" w:rsidRPr="00882085" w:rsidRDefault="00524351" w:rsidP="00524351">
      <w:pPr>
        <w:ind w:left="720" w:hanging="720"/>
        <w:rPr>
          <w:szCs w:val="22"/>
        </w:rPr>
      </w:pPr>
    </w:p>
    <w:p w:rsidR="00D37BD7" w:rsidRDefault="00D37BD7" w:rsidP="002969CC">
      <w:pPr>
        <w:pStyle w:val="ListParagraph"/>
        <w:widowControl/>
        <w:numPr>
          <w:ilvl w:val="1"/>
          <w:numId w:val="3"/>
        </w:numPr>
        <w:rPr>
          <w:szCs w:val="22"/>
        </w:rPr>
      </w:pPr>
      <w:r>
        <w:rPr>
          <w:szCs w:val="22"/>
        </w:rPr>
        <w:t>The key safety data from Lo-Coco 2013 and APML4 are summarised below.</w:t>
      </w:r>
    </w:p>
    <w:p w:rsidR="00D37BD7" w:rsidRDefault="00D37BD7" w:rsidP="00D37BD7">
      <w:pPr>
        <w:pStyle w:val="ListParagraph"/>
        <w:widowControl/>
        <w:rPr>
          <w:szCs w:val="22"/>
        </w:rPr>
      </w:pPr>
    </w:p>
    <w:p w:rsidR="00D37BD7" w:rsidRPr="005C7F65" w:rsidRDefault="00D37BD7" w:rsidP="00D37BD7">
      <w:pPr>
        <w:pStyle w:val="Caption"/>
        <w:ind w:firstLine="720"/>
      </w:pPr>
      <w:r>
        <w:t xml:space="preserve">Table 6: </w:t>
      </w:r>
      <w:r w:rsidRPr="005C7F65">
        <w:t xml:space="preserve">Summary of key adverse events in </w:t>
      </w:r>
      <w:r>
        <w:t>Lo-Coco 2013 and APML4</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49"/>
        <w:gridCol w:w="1843"/>
        <w:gridCol w:w="1845"/>
        <w:gridCol w:w="2126"/>
      </w:tblGrid>
      <w:tr w:rsidR="00D37BD7" w:rsidRPr="004E2ADC" w:rsidTr="008F0903">
        <w:trPr>
          <w:tblHeader/>
        </w:trPr>
        <w:tc>
          <w:tcPr>
            <w:tcW w:w="1524" w:type="pct"/>
            <w:vAlign w:val="center"/>
          </w:tcPr>
          <w:p w:rsidR="00D37BD7" w:rsidRPr="004E2ADC" w:rsidRDefault="00D37BD7" w:rsidP="00BA7ECC">
            <w:pPr>
              <w:tabs>
                <w:tab w:val="left" w:pos="150"/>
              </w:tabs>
              <w:jc w:val="left"/>
              <w:rPr>
                <w:rFonts w:ascii="Arial Narrow" w:hAnsi="Arial Narrow"/>
                <w:sz w:val="20"/>
              </w:rPr>
            </w:pPr>
            <w:r w:rsidRPr="004E2ADC">
              <w:rPr>
                <w:rFonts w:ascii="Arial Narrow" w:hAnsi="Arial Narrow"/>
                <w:b/>
                <w:sz w:val="20"/>
              </w:rPr>
              <w:t>Trial ID</w:t>
            </w:r>
          </w:p>
        </w:tc>
        <w:tc>
          <w:tcPr>
            <w:tcW w:w="2205" w:type="pct"/>
            <w:gridSpan w:val="2"/>
            <w:vAlign w:val="center"/>
          </w:tcPr>
          <w:p w:rsidR="00D37BD7" w:rsidRDefault="00D37BD7" w:rsidP="00BA7ECC">
            <w:pPr>
              <w:jc w:val="center"/>
              <w:rPr>
                <w:rFonts w:ascii="Arial Narrow" w:hAnsi="Arial Narrow"/>
                <w:b/>
                <w:sz w:val="20"/>
              </w:rPr>
            </w:pPr>
            <w:r w:rsidRPr="00120B44">
              <w:rPr>
                <w:rFonts w:ascii="Arial Narrow" w:hAnsi="Arial Narrow"/>
                <w:b/>
                <w:sz w:val="20"/>
              </w:rPr>
              <w:t>Lo-Coco 2013</w:t>
            </w:r>
          </w:p>
          <w:p w:rsidR="00D37BD7" w:rsidRPr="004E2ADC" w:rsidRDefault="00D37BD7" w:rsidP="00BA7ECC">
            <w:pPr>
              <w:jc w:val="center"/>
              <w:rPr>
                <w:rFonts w:ascii="Arial Narrow" w:hAnsi="Arial Narrow"/>
                <w:sz w:val="20"/>
              </w:rPr>
            </w:pPr>
            <w:r>
              <w:rPr>
                <w:rFonts w:ascii="Arial Narrow" w:hAnsi="Arial Narrow"/>
                <w:b/>
                <w:sz w:val="20"/>
              </w:rPr>
              <w:t>(low-intermediate risk APL)</w:t>
            </w:r>
          </w:p>
        </w:tc>
        <w:tc>
          <w:tcPr>
            <w:tcW w:w="1271" w:type="pct"/>
            <w:vAlign w:val="center"/>
          </w:tcPr>
          <w:p w:rsidR="00D37BD7" w:rsidRDefault="00D37BD7" w:rsidP="00BA7ECC">
            <w:pPr>
              <w:jc w:val="center"/>
              <w:rPr>
                <w:rFonts w:ascii="Arial Narrow" w:hAnsi="Arial Narrow"/>
                <w:b/>
                <w:sz w:val="20"/>
              </w:rPr>
            </w:pPr>
            <w:r>
              <w:rPr>
                <w:rFonts w:ascii="Arial Narrow" w:hAnsi="Arial Narrow"/>
                <w:b/>
                <w:sz w:val="20"/>
              </w:rPr>
              <w:t>APML4</w:t>
            </w:r>
          </w:p>
          <w:p w:rsidR="00D37BD7" w:rsidRPr="004E2ADC" w:rsidRDefault="00D37BD7" w:rsidP="00BA7ECC">
            <w:pPr>
              <w:jc w:val="center"/>
              <w:rPr>
                <w:rFonts w:ascii="Arial Narrow" w:hAnsi="Arial Narrow"/>
                <w:sz w:val="20"/>
              </w:rPr>
            </w:pPr>
            <w:r>
              <w:rPr>
                <w:rFonts w:ascii="Arial Narrow" w:hAnsi="Arial Narrow"/>
                <w:b/>
                <w:sz w:val="20"/>
              </w:rPr>
              <w:t>(low-intermediate risk and high risk APL)</w:t>
            </w:r>
          </w:p>
        </w:tc>
      </w:tr>
      <w:tr w:rsidR="00D37BD7" w:rsidRPr="004E2ADC" w:rsidTr="008F0903">
        <w:trPr>
          <w:tblHeader/>
        </w:trPr>
        <w:tc>
          <w:tcPr>
            <w:tcW w:w="1524" w:type="pct"/>
            <w:vAlign w:val="center"/>
          </w:tcPr>
          <w:p w:rsidR="00D37BD7" w:rsidRPr="004E2ADC" w:rsidRDefault="00D37BD7" w:rsidP="00BA7ECC">
            <w:pPr>
              <w:tabs>
                <w:tab w:val="left" w:pos="150"/>
              </w:tabs>
              <w:jc w:val="left"/>
              <w:rPr>
                <w:rFonts w:ascii="Arial Narrow" w:hAnsi="Arial Narrow"/>
                <w:b/>
                <w:sz w:val="20"/>
              </w:rPr>
            </w:pPr>
          </w:p>
        </w:tc>
        <w:tc>
          <w:tcPr>
            <w:tcW w:w="1102" w:type="pct"/>
            <w:vAlign w:val="center"/>
          </w:tcPr>
          <w:p w:rsidR="00D37BD7" w:rsidRDefault="00D37BD7" w:rsidP="00BA7ECC">
            <w:pPr>
              <w:jc w:val="center"/>
              <w:rPr>
                <w:rFonts w:ascii="Arial Narrow" w:hAnsi="Arial Narrow"/>
                <w:b/>
                <w:sz w:val="20"/>
              </w:rPr>
            </w:pPr>
            <w:r>
              <w:rPr>
                <w:rFonts w:ascii="Arial Narrow" w:hAnsi="Arial Narrow"/>
                <w:b/>
                <w:sz w:val="20"/>
              </w:rPr>
              <w:t>ATO+ATRA</w:t>
            </w:r>
          </w:p>
          <w:p w:rsidR="00D37BD7" w:rsidRDefault="00D37BD7" w:rsidP="00BA7ECC">
            <w:pPr>
              <w:jc w:val="center"/>
              <w:rPr>
                <w:rFonts w:ascii="Arial Narrow" w:hAnsi="Arial Narrow"/>
                <w:b/>
                <w:sz w:val="20"/>
              </w:rPr>
            </w:pPr>
            <w:proofErr w:type="gramStart"/>
            <w:r>
              <w:rPr>
                <w:rFonts w:ascii="Arial Narrow" w:hAnsi="Arial Narrow"/>
                <w:b/>
                <w:sz w:val="20"/>
              </w:rPr>
              <w:t>n/N</w:t>
            </w:r>
            <w:proofErr w:type="gramEnd"/>
            <w:r>
              <w:rPr>
                <w:rFonts w:ascii="Arial Narrow" w:hAnsi="Arial Narrow"/>
                <w:b/>
                <w:sz w:val="20"/>
              </w:rPr>
              <w:t xml:space="preserve"> (%)</w:t>
            </w:r>
          </w:p>
        </w:tc>
        <w:tc>
          <w:tcPr>
            <w:tcW w:w="1103" w:type="pct"/>
            <w:vAlign w:val="center"/>
          </w:tcPr>
          <w:p w:rsidR="00D37BD7" w:rsidRDefault="00D37BD7" w:rsidP="00BA7ECC">
            <w:pPr>
              <w:jc w:val="center"/>
              <w:rPr>
                <w:rFonts w:ascii="Arial Narrow" w:hAnsi="Arial Narrow"/>
                <w:b/>
                <w:sz w:val="20"/>
              </w:rPr>
            </w:pPr>
            <w:proofErr w:type="spellStart"/>
            <w:r>
              <w:rPr>
                <w:rFonts w:ascii="Arial Narrow" w:hAnsi="Arial Narrow"/>
                <w:b/>
                <w:sz w:val="20"/>
              </w:rPr>
              <w:t>ATRA+chemo</w:t>
            </w:r>
            <w:proofErr w:type="spellEnd"/>
          </w:p>
          <w:p w:rsidR="00D37BD7" w:rsidRDefault="00D37BD7" w:rsidP="00BA7ECC">
            <w:pPr>
              <w:jc w:val="center"/>
              <w:rPr>
                <w:rFonts w:ascii="Arial Narrow" w:hAnsi="Arial Narrow"/>
                <w:b/>
                <w:sz w:val="20"/>
              </w:rPr>
            </w:pPr>
            <w:proofErr w:type="gramStart"/>
            <w:r>
              <w:rPr>
                <w:rFonts w:ascii="Arial Narrow" w:hAnsi="Arial Narrow"/>
                <w:b/>
                <w:sz w:val="20"/>
              </w:rPr>
              <w:t>n/N</w:t>
            </w:r>
            <w:proofErr w:type="gramEnd"/>
            <w:r>
              <w:rPr>
                <w:rFonts w:ascii="Arial Narrow" w:hAnsi="Arial Narrow"/>
                <w:b/>
                <w:sz w:val="20"/>
              </w:rPr>
              <w:t xml:space="preserve"> (%)</w:t>
            </w:r>
          </w:p>
        </w:tc>
        <w:tc>
          <w:tcPr>
            <w:tcW w:w="1271" w:type="pct"/>
            <w:vAlign w:val="center"/>
          </w:tcPr>
          <w:p w:rsidR="00D37BD7" w:rsidRDefault="00D37BD7" w:rsidP="00BA7ECC">
            <w:pPr>
              <w:jc w:val="center"/>
              <w:rPr>
                <w:rFonts w:ascii="Arial Narrow" w:hAnsi="Arial Narrow"/>
                <w:b/>
                <w:sz w:val="20"/>
              </w:rPr>
            </w:pPr>
            <w:proofErr w:type="spellStart"/>
            <w:r>
              <w:rPr>
                <w:rFonts w:ascii="Arial Narrow" w:hAnsi="Arial Narrow"/>
                <w:b/>
                <w:sz w:val="20"/>
              </w:rPr>
              <w:t>ATO+ATRA+chemo</w:t>
            </w:r>
            <w:proofErr w:type="spellEnd"/>
          </w:p>
          <w:p w:rsidR="00D37BD7" w:rsidRPr="004E2ADC" w:rsidRDefault="00D37BD7" w:rsidP="00BA7ECC">
            <w:pPr>
              <w:jc w:val="center"/>
              <w:rPr>
                <w:rFonts w:ascii="Arial Narrow" w:hAnsi="Arial Narrow"/>
                <w:b/>
                <w:sz w:val="20"/>
              </w:rPr>
            </w:pPr>
            <w:proofErr w:type="gramStart"/>
            <w:r>
              <w:rPr>
                <w:rFonts w:ascii="Arial Narrow" w:hAnsi="Arial Narrow"/>
                <w:b/>
                <w:sz w:val="20"/>
              </w:rPr>
              <w:t>n/N</w:t>
            </w:r>
            <w:proofErr w:type="gramEnd"/>
            <w:r>
              <w:rPr>
                <w:rFonts w:ascii="Arial Narrow" w:hAnsi="Arial Narrow"/>
                <w:b/>
                <w:sz w:val="20"/>
              </w:rPr>
              <w:t xml:space="preserve"> (%)</w:t>
            </w:r>
          </w:p>
        </w:tc>
      </w:tr>
      <w:tr w:rsidR="00D37BD7" w:rsidRPr="000553A5" w:rsidTr="00BA7ECC">
        <w:tc>
          <w:tcPr>
            <w:tcW w:w="1524" w:type="pct"/>
            <w:vAlign w:val="center"/>
          </w:tcPr>
          <w:p w:rsidR="00D37BD7" w:rsidRDefault="00D37BD7" w:rsidP="00BA7ECC">
            <w:pPr>
              <w:tabs>
                <w:tab w:val="left" w:pos="150"/>
              </w:tabs>
              <w:jc w:val="left"/>
              <w:rPr>
                <w:rFonts w:ascii="Arial Narrow" w:hAnsi="Arial Narrow"/>
                <w:sz w:val="20"/>
              </w:rPr>
            </w:pPr>
            <w:r>
              <w:rPr>
                <w:rFonts w:ascii="Arial Narrow" w:hAnsi="Arial Narrow"/>
                <w:b/>
                <w:sz w:val="20"/>
              </w:rPr>
              <w:t>Deaths</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w:t>
            </w:r>
          </w:p>
          <w:p w:rsidR="00D37BD7" w:rsidRPr="000553A5" w:rsidRDefault="00D37BD7" w:rsidP="00BA7ECC">
            <w:pPr>
              <w:tabs>
                <w:tab w:val="left" w:pos="150"/>
              </w:tabs>
              <w:jc w:val="left"/>
              <w:rPr>
                <w:rFonts w:ascii="Arial Narrow" w:hAnsi="Arial Narrow"/>
                <w:sz w:val="20"/>
              </w:rPr>
            </w:pPr>
            <w:r>
              <w:rPr>
                <w:rFonts w:ascii="Arial Narrow" w:hAnsi="Arial Narrow"/>
                <w:sz w:val="20"/>
              </w:rPr>
              <w:t>Total*</w:t>
            </w:r>
          </w:p>
        </w:tc>
        <w:tc>
          <w:tcPr>
            <w:tcW w:w="1102" w:type="pct"/>
          </w:tcPr>
          <w:p w:rsidR="00D37BD7" w:rsidRDefault="00D37BD7" w:rsidP="00BA7ECC">
            <w:pPr>
              <w:jc w:val="center"/>
              <w:rPr>
                <w:rFonts w:ascii="Arial Narrow" w:hAnsi="Arial Narrow"/>
                <w:sz w:val="20"/>
              </w:rPr>
            </w:pPr>
          </w:p>
          <w:p w:rsidR="00D37BD7" w:rsidRDefault="00D37BD7" w:rsidP="00BA7ECC">
            <w:pPr>
              <w:jc w:val="center"/>
              <w:rPr>
                <w:rFonts w:ascii="Arial Narrow" w:hAnsi="Arial Narrow"/>
                <w:sz w:val="20"/>
              </w:rPr>
            </w:pPr>
            <w:r>
              <w:rPr>
                <w:rFonts w:ascii="Arial Narrow" w:hAnsi="Arial Narrow"/>
                <w:sz w:val="20"/>
              </w:rPr>
              <w:t>0</w:t>
            </w:r>
          </w:p>
          <w:p w:rsidR="00D37BD7" w:rsidRDefault="00D37BD7" w:rsidP="00BA7ECC">
            <w:pPr>
              <w:jc w:val="center"/>
              <w:rPr>
                <w:rFonts w:ascii="Arial Narrow" w:hAnsi="Arial Narrow"/>
                <w:sz w:val="20"/>
              </w:rPr>
            </w:pPr>
            <w:r>
              <w:rPr>
                <w:rFonts w:ascii="Arial Narrow" w:hAnsi="Arial Narrow"/>
                <w:sz w:val="20"/>
              </w:rPr>
              <w:t>1/77 (1.3%)</w:t>
            </w:r>
          </w:p>
          <w:p w:rsidR="00D37BD7" w:rsidRPr="000553A5" w:rsidRDefault="00D37BD7" w:rsidP="00BA7ECC">
            <w:pPr>
              <w:jc w:val="center"/>
              <w:rPr>
                <w:rFonts w:ascii="Arial Narrow" w:hAnsi="Arial Narrow"/>
                <w:sz w:val="20"/>
              </w:rPr>
            </w:pPr>
            <w:r>
              <w:rPr>
                <w:rFonts w:ascii="Arial Narrow" w:hAnsi="Arial Narrow"/>
                <w:sz w:val="20"/>
              </w:rPr>
              <w:t>1/77 (1.3%)*</w:t>
            </w:r>
          </w:p>
        </w:tc>
        <w:tc>
          <w:tcPr>
            <w:tcW w:w="1103" w:type="pct"/>
          </w:tcPr>
          <w:p w:rsidR="00D37BD7" w:rsidRDefault="00D37BD7" w:rsidP="00BA7ECC">
            <w:pPr>
              <w:jc w:val="center"/>
              <w:rPr>
                <w:rFonts w:ascii="Arial Narrow" w:hAnsi="Arial Narrow"/>
                <w:sz w:val="20"/>
              </w:rPr>
            </w:pPr>
          </w:p>
          <w:p w:rsidR="00D37BD7" w:rsidRDefault="00D37BD7" w:rsidP="00BA7ECC">
            <w:pPr>
              <w:jc w:val="center"/>
              <w:rPr>
                <w:rFonts w:ascii="Arial Narrow" w:hAnsi="Arial Narrow"/>
                <w:sz w:val="20"/>
              </w:rPr>
            </w:pPr>
            <w:r>
              <w:rPr>
                <w:rFonts w:ascii="Arial Narrow" w:hAnsi="Arial Narrow"/>
                <w:sz w:val="20"/>
              </w:rPr>
              <w:t>4/79 (5.1%)</w:t>
            </w:r>
          </w:p>
          <w:p w:rsidR="00D37BD7" w:rsidRDefault="00D37BD7" w:rsidP="00BA7ECC">
            <w:pPr>
              <w:jc w:val="center"/>
              <w:rPr>
                <w:rFonts w:ascii="Arial Narrow" w:hAnsi="Arial Narrow"/>
                <w:sz w:val="20"/>
              </w:rPr>
            </w:pPr>
            <w:r>
              <w:rPr>
                <w:rFonts w:ascii="Arial Narrow" w:hAnsi="Arial Narrow"/>
                <w:sz w:val="20"/>
              </w:rPr>
              <w:t>3/79 (3.8%)</w:t>
            </w:r>
          </w:p>
          <w:p w:rsidR="00D37BD7" w:rsidRPr="000553A5" w:rsidRDefault="00D37BD7" w:rsidP="00BA7ECC">
            <w:pPr>
              <w:jc w:val="center"/>
              <w:rPr>
                <w:rFonts w:ascii="Arial Narrow" w:hAnsi="Arial Narrow"/>
                <w:sz w:val="20"/>
              </w:rPr>
            </w:pPr>
            <w:r>
              <w:rPr>
                <w:rFonts w:ascii="Arial Narrow" w:hAnsi="Arial Narrow"/>
                <w:sz w:val="20"/>
              </w:rPr>
              <w:t>7/79 (8.9%)*</w:t>
            </w:r>
          </w:p>
        </w:tc>
        <w:tc>
          <w:tcPr>
            <w:tcW w:w="1271" w:type="pct"/>
          </w:tcPr>
          <w:p w:rsidR="00D37BD7" w:rsidRDefault="00D37BD7" w:rsidP="00BA7ECC">
            <w:pPr>
              <w:jc w:val="center"/>
              <w:rPr>
                <w:rFonts w:ascii="Arial Narrow" w:hAnsi="Arial Narrow"/>
                <w:sz w:val="20"/>
              </w:rPr>
            </w:pPr>
          </w:p>
          <w:p w:rsidR="00D37BD7" w:rsidRDefault="00D37BD7" w:rsidP="00BA7ECC">
            <w:pPr>
              <w:jc w:val="center"/>
              <w:rPr>
                <w:rFonts w:ascii="Arial Narrow" w:hAnsi="Arial Narrow"/>
                <w:sz w:val="20"/>
              </w:rPr>
            </w:pPr>
            <w:r>
              <w:rPr>
                <w:rFonts w:ascii="Arial Narrow" w:hAnsi="Arial Narrow"/>
                <w:sz w:val="20"/>
              </w:rPr>
              <w:t xml:space="preserve">4/124 (3.2%) </w:t>
            </w:r>
          </w:p>
          <w:p w:rsidR="00D37BD7" w:rsidRDefault="00D37BD7" w:rsidP="00BA7ECC">
            <w:pPr>
              <w:jc w:val="center"/>
              <w:rPr>
                <w:rFonts w:ascii="Arial Narrow" w:hAnsi="Arial Narrow"/>
                <w:sz w:val="20"/>
              </w:rPr>
            </w:pPr>
            <w:r>
              <w:rPr>
                <w:rFonts w:ascii="Arial Narrow" w:hAnsi="Arial Narrow"/>
                <w:sz w:val="20"/>
              </w:rPr>
              <w:t>0</w:t>
            </w:r>
          </w:p>
          <w:p w:rsidR="00D37BD7" w:rsidRPr="000553A5" w:rsidRDefault="00D37BD7" w:rsidP="00BA7ECC">
            <w:pPr>
              <w:jc w:val="center"/>
              <w:rPr>
                <w:rFonts w:ascii="Arial Narrow" w:hAnsi="Arial Narrow"/>
                <w:sz w:val="20"/>
              </w:rPr>
            </w:pPr>
            <w:r>
              <w:rPr>
                <w:rFonts w:ascii="Arial Narrow" w:hAnsi="Arial Narrow"/>
                <w:sz w:val="20"/>
              </w:rPr>
              <w:t>4/124 (3.2%)</w:t>
            </w:r>
          </w:p>
        </w:tc>
      </w:tr>
      <w:tr w:rsidR="00D37BD7" w:rsidRPr="004E2ADC" w:rsidTr="00BA7ECC">
        <w:tc>
          <w:tcPr>
            <w:tcW w:w="5000" w:type="pct"/>
            <w:gridSpan w:val="4"/>
          </w:tcPr>
          <w:p w:rsidR="00D37BD7" w:rsidRPr="004E2ADC" w:rsidRDefault="00D37BD7" w:rsidP="00BA7ECC">
            <w:pPr>
              <w:jc w:val="left"/>
              <w:rPr>
                <w:rFonts w:ascii="Arial Narrow" w:hAnsi="Arial Narrow"/>
                <w:b/>
                <w:sz w:val="20"/>
              </w:rPr>
            </w:pPr>
            <w:proofErr w:type="spellStart"/>
            <w:r>
              <w:rPr>
                <w:rFonts w:ascii="Arial Narrow" w:hAnsi="Arial Narrow"/>
                <w:b/>
                <w:sz w:val="20"/>
              </w:rPr>
              <w:t>Haematologic</w:t>
            </w:r>
            <w:proofErr w:type="spellEnd"/>
            <w:r>
              <w:rPr>
                <w:rFonts w:ascii="Arial Narrow" w:hAnsi="Arial Narrow"/>
                <w:b/>
                <w:sz w:val="20"/>
              </w:rPr>
              <w:t xml:space="preserve"> AEs</w:t>
            </w:r>
          </w:p>
        </w:tc>
      </w:tr>
      <w:tr w:rsidR="00D37BD7" w:rsidRPr="004E2ADC" w:rsidTr="00BA7ECC">
        <w:tc>
          <w:tcPr>
            <w:tcW w:w="1524" w:type="pct"/>
          </w:tcPr>
          <w:p w:rsidR="00D37BD7" w:rsidRDefault="00D37BD7" w:rsidP="00BA7ECC">
            <w:pPr>
              <w:tabs>
                <w:tab w:val="left" w:pos="150"/>
              </w:tabs>
              <w:jc w:val="left"/>
              <w:rPr>
                <w:rFonts w:ascii="Arial Narrow" w:hAnsi="Arial Narrow"/>
                <w:sz w:val="20"/>
              </w:rPr>
            </w:pPr>
            <w:r>
              <w:rPr>
                <w:rFonts w:ascii="Arial Narrow" w:hAnsi="Arial Narrow"/>
                <w:sz w:val="20"/>
              </w:rPr>
              <w:t>APL DS in induction</w:t>
            </w:r>
          </w:p>
          <w:p w:rsidR="00D37BD7" w:rsidRDefault="00D37BD7" w:rsidP="00BA7ECC">
            <w:pPr>
              <w:tabs>
                <w:tab w:val="left" w:pos="150"/>
              </w:tabs>
              <w:jc w:val="left"/>
              <w:rPr>
                <w:rFonts w:ascii="Arial Narrow" w:hAnsi="Arial Narrow"/>
                <w:sz w:val="20"/>
              </w:rPr>
            </w:pPr>
            <w:r>
              <w:rPr>
                <w:rFonts w:ascii="Arial Narrow" w:hAnsi="Arial Narrow"/>
                <w:sz w:val="20"/>
              </w:rPr>
              <w:tab/>
              <w:t xml:space="preserve">Severe APL DS </w:t>
            </w:r>
          </w:p>
          <w:p w:rsidR="00D37BD7" w:rsidRPr="004E2ADC" w:rsidRDefault="00D37BD7" w:rsidP="00BA7ECC">
            <w:pPr>
              <w:tabs>
                <w:tab w:val="left" w:pos="150"/>
              </w:tabs>
              <w:jc w:val="left"/>
              <w:rPr>
                <w:rFonts w:ascii="Arial Narrow" w:hAnsi="Arial Narrow"/>
                <w:sz w:val="20"/>
              </w:rPr>
            </w:pPr>
            <w:r>
              <w:rPr>
                <w:rFonts w:ascii="Arial Narrow" w:hAnsi="Arial Narrow"/>
                <w:sz w:val="20"/>
              </w:rPr>
              <w:tab/>
              <w:t xml:space="preserve">Death </w:t>
            </w:r>
          </w:p>
        </w:tc>
        <w:tc>
          <w:tcPr>
            <w:tcW w:w="1102" w:type="pct"/>
          </w:tcPr>
          <w:p w:rsidR="00D37BD7" w:rsidRDefault="00D37BD7" w:rsidP="00BA7ECC">
            <w:pPr>
              <w:jc w:val="center"/>
              <w:rPr>
                <w:rFonts w:ascii="Arial Narrow" w:hAnsi="Arial Narrow"/>
                <w:sz w:val="20"/>
              </w:rPr>
            </w:pPr>
            <w:r>
              <w:rPr>
                <w:rFonts w:ascii="Arial Narrow" w:hAnsi="Arial Narrow"/>
                <w:sz w:val="20"/>
              </w:rPr>
              <w:t>15/77 (19.5%)</w:t>
            </w:r>
          </w:p>
          <w:p w:rsidR="00D37BD7" w:rsidRDefault="00D37BD7" w:rsidP="00BA7ECC">
            <w:pPr>
              <w:jc w:val="center"/>
              <w:rPr>
                <w:rFonts w:ascii="Arial Narrow" w:hAnsi="Arial Narrow"/>
                <w:sz w:val="20"/>
              </w:rPr>
            </w:pPr>
            <w:r>
              <w:rPr>
                <w:rFonts w:ascii="Arial Narrow" w:hAnsi="Arial Narrow"/>
                <w:sz w:val="20"/>
              </w:rPr>
              <w:t>5/77 (6.5%)</w:t>
            </w:r>
          </w:p>
          <w:p w:rsidR="00D37BD7" w:rsidRPr="004E2ADC" w:rsidRDefault="00D37BD7" w:rsidP="00BA7ECC">
            <w:pPr>
              <w:jc w:val="center"/>
              <w:rPr>
                <w:rFonts w:ascii="Arial Narrow" w:hAnsi="Arial Narrow"/>
                <w:sz w:val="20"/>
              </w:rPr>
            </w:pPr>
            <w:r>
              <w:rPr>
                <w:rFonts w:ascii="Arial Narrow" w:hAnsi="Arial Narrow"/>
                <w:sz w:val="20"/>
              </w:rPr>
              <w:t>0</w:t>
            </w:r>
          </w:p>
        </w:tc>
        <w:tc>
          <w:tcPr>
            <w:tcW w:w="1103" w:type="pct"/>
          </w:tcPr>
          <w:p w:rsidR="00D37BD7" w:rsidRDefault="00D37BD7" w:rsidP="00BA7ECC">
            <w:pPr>
              <w:jc w:val="center"/>
              <w:rPr>
                <w:rFonts w:ascii="Arial Narrow" w:hAnsi="Arial Narrow"/>
                <w:sz w:val="20"/>
              </w:rPr>
            </w:pPr>
            <w:r>
              <w:rPr>
                <w:rFonts w:ascii="Arial Narrow" w:hAnsi="Arial Narrow"/>
                <w:sz w:val="20"/>
              </w:rPr>
              <w:t>13/79 (16.5%)</w:t>
            </w:r>
          </w:p>
          <w:p w:rsidR="00D37BD7" w:rsidRDefault="00D37BD7" w:rsidP="00BA7ECC">
            <w:pPr>
              <w:jc w:val="center"/>
              <w:rPr>
                <w:rFonts w:ascii="Arial Narrow" w:hAnsi="Arial Narrow"/>
                <w:sz w:val="20"/>
              </w:rPr>
            </w:pPr>
            <w:r>
              <w:rPr>
                <w:rFonts w:ascii="Arial Narrow" w:hAnsi="Arial Narrow"/>
                <w:sz w:val="20"/>
              </w:rPr>
              <w:t>5/79 (6.3%)</w:t>
            </w:r>
          </w:p>
          <w:p w:rsidR="00D37BD7" w:rsidRPr="00D03820" w:rsidRDefault="00D37BD7" w:rsidP="00BA7ECC">
            <w:pPr>
              <w:jc w:val="center"/>
              <w:rPr>
                <w:rFonts w:ascii="Arial Narrow" w:hAnsi="Arial Narrow"/>
                <w:sz w:val="20"/>
                <w:vertAlign w:val="superscript"/>
              </w:rPr>
            </w:pPr>
            <w:r>
              <w:rPr>
                <w:rFonts w:ascii="Arial Narrow" w:hAnsi="Arial Narrow"/>
                <w:sz w:val="20"/>
              </w:rPr>
              <w:t>2/79 (2.5%)</w:t>
            </w:r>
            <w:r>
              <w:rPr>
                <w:rFonts w:ascii="Arial Narrow" w:hAnsi="Arial Narrow"/>
                <w:sz w:val="20"/>
                <w:vertAlign w:val="superscript"/>
              </w:rPr>
              <w:t>h</w:t>
            </w:r>
          </w:p>
        </w:tc>
        <w:tc>
          <w:tcPr>
            <w:tcW w:w="1271" w:type="pct"/>
          </w:tcPr>
          <w:p w:rsidR="00D37BD7" w:rsidRPr="00294D9A" w:rsidRDefault="00D37BD7" w:rsidP="00BA7ECC">
            <w:pPr>
              <w:jc w:val="center"/>
              <w:rPr>
                <w:rFonts w:ascii="Arial Narrow" w:hAnsi="Arial Narrow"/>
                <w:sz w:val="20"/>
                <w:vertAlign w:val="superscript"/>
              </w:rPr>
            </w:pPr>
            <w:r>
              <w:rPr>
                <w:rFonts w:ascii="Arial Narrow" w:hAnsi="Arial Narrow"/>
                <w:sz w:val="20"/>
              </w:rPr>
              <w:t>24%</w:t>
            </w:r>
            <w:r>
              <w:rPr>
                <w:rFonts w:ascii="Arial Narrow" w:hAnsi="Arial Narrow"/>
                <w:sz w:val="20"/>
                <w:vertAlign w:val="superscript"/>
              </w:rPr>
              <w:t>d</w:t>
            </w:r>
          </w:p>
          <w:p w:rsidR="00D37BD7" w:rsidRDefault="00D37BD7" w:rsidP="00BA7ECC">
            <w:pPr>
              <w:jc w:val="center"/>
              <w:rPr>
                <w:rFonts w:ascii="Arial Narrow" w:hAnsi="Arial Narrow"/>
                <w:sz w:val="20"/>
              </w:rPr>
            </w:pPr>
            <w:r>
              <w:rPr>
                <w:rFonts w:ascii="Arial Narrow" w:hAnsi="Arial Narrow"/>
                <w:sz w:val="20"/>
              </w:rPr>
              <w:t>14% (grade 3-4)</w:t>
            </w:r>
          </w:p>
          <w:p w:rsidR="00D37BD7" w:rsidRPr="004E2ADC" w:rsidRDefault="00D37BD7" w:rsidP="00BA7ECC">
            <w:pPr>
              <w:jc w:val="center"/>
              <w:rPr>
                <w:rFonts w:ascii="Arial Narrow" w:hAnsi="Arial Narrow"/>
                <w:sz w:val="20"/>
              </w:rPr>
            </w:pPr>
            <w:r>
              <w:rPr>
                <w:rFonts w:ascii="Arial Narrow" w:hAnsi="Arial Narrow"/>
                <w:sz w:val="20"/>
              </w:rPr>
              <w:t>0</w:t>
            </w:r>
          </w:p>
        </w:tc>
      </w:tr>
      <w:tr w:rsidR="00D37BD7" w:rsidRPr="004E2ADC" w:rsidTr="00BA7ECC">
        <w:tc>
          <w:tcPr>
            <w:tcW w:w="1524" w:type="pct"/>
          </w:tcPr>
          <w:p w:rsidR="00D37BD7" w:rsidRPr="004E2ADC" w:rsidRDefault="00D37BD7" w:rsidP="00BA7ECC">
            <w:pPr>
              <w:tabs>
                <w:tab w:val="left" w:pos="150"/>
              </w:tabs>
              <w:jc w:val="left"/>
              <w:rPr>
                <w:rFonts w:ascii="Arial Narrow" w:hAnsi="Arial Narrow"/>
                <w:sz w:val="20"/>
              </w:rPr>
            </w:pPr>
            <w:proofErr w:type="spellStart"/>
            <w:r>
              <w:rPr>
                <w:rFonts w:ascii="Arial Narrow" w:hAnsi="Arial Narrow"/>
                <w:sz w:val="20"/>
              </w:rPr>
              <w:t>Leukocytosis</w:t>
            </w:r>
            <w:r>
              <w:rPr>
                <w:rFonts w:ascii="Arial Narrow" w:hAnsi="Arial Narrow"/>
                <w:sz w:val="20"/>
                <w:vertAlign w:val="superscript"/>
              </w:rPr>
              <w:t>a</w:t>
            </w:r>
            <w:proofErr w:type="spellEnd"/>
            <w:r>
              <w:rPr>
                <w:rFonts w:ascii="Arial Narrow" w:hAnsi="Arial Narrow"/>
                <w:sz w:val="20"/>
              </w:rPr>
              <w:t xml:space="preserve"> during induction</w:t>
            </w:r>
          </w:p>
        </w:tc>
        <w:tc>
          <w:tcPr>
            <w:tcW w:w="1102" w:type="pct"/>
          </w:tcPr>
          <w:p w:rsidR="00D37BD7" w:rsidRPr="004E2ADC" w:rsidRDefault="00D37BD7" w:rsidP="00BA7ECC">
            <w:pPr>
              <w:jc w:val="center"/>
              <w:rPr>
                <w:rFonts w:ascii="Arial Narrow" w:hAnsi="Arial Narrow"/>
                <w:sz w:val="20"/>
              </w:rPr>
            </w:pPr>
            <w:r>
              <w:rPr>
                <w:rFonts w:ascii="Arial Narrow" w:hAnsi="Arial Narrow"/>
                <w:sz w:val="20"/>
              </w:rPr>
              <w:t>35/74 (47.3%)</w:t>
            </w:r>
          </w:p>
        </w:tc>
        <w:tc>
          <w:tcPr>
            <w:tcW w:w="1103" w:type="pct"/>
          </w:tcPr>
          <w:p w:rsidR="00D37BD7" w:rsidRPr="004E2ADC" w:rsidRDefault="00D37BD7" w:rsidP="00BA7ECC">
            <w:pPr>
              <w:jc w:val="center"/>
              <w:rPr>
                <w:rFonts w:ascii="Arial Narrow" w:hAnsi="Arial Narrow"/>
                <w:sz w:val="20"/>
              </w:rPr>
            </w:pPr>
            <w:r>
              <w:rPr>
                <w:rFonts w:ascii="Arial Narrow" w:hAnsi="Arial Narrow"/>
                <w:sz w:val="20"/>
              </w:rPr>
              <w:t>19/79 (2.4%)</w:t>
            </w:r>
          </w:p>
        </w:tc>
        <w:tc>
          <w:tcPr>
            <w:tcW w:w="1271" w:type="pct"/>
          </w:tcPr>
          <w:p w:rsidR="00D37BD7" w:rsidRPr="00B25DDC" w:rsidRDefault="00D37BD7" w:rsidP="00BA7ECC">
            <w:pPr>
              <w:jc w:val="center"/>
              <w:rPr>
                <w:rFonts w:ascii="Arial Narrow" w:hAnsi="Arial Narrow"/>
                <w:sz w:val="20"/>
                <w:vertAlign w:val="superscript"/>
              </w:rPr>
            </w:pPr>
            <w:r>
              <w:rPr>
                <w:rFonts w:ascii="Arial Narrow" w:hAnsi="Arial Narrow"/>
                <w:sz w:val="20"/>
              </w:rPr>
              <w:t>13/121 (11%)</w:t>
            </w:r>
            <w:r>
              <w:rPr>
                <w:rFonts w:ascii="Arial Narrow" w:hAnsi="Arial Narrow"/>
                <w:sz w:val="20"/>
                <w:vertAlign w:val="superscript"/>
              </w:rPr>
              <w:t>e</w:t>
            </w:r>
          </w:p>
        </w:tc>
      </w:tr>
      <w:tr w:rsidR="00D37BD7" w:rsidRPr="004E2ADC" w:rsidTr="00BA7ECC">
        <w:tc>
          <w:tcPr>
            <w:tcW w:w="1524" w:type="pct"/>
          </w:tcPr>
          <w:p w:rsidR="00D37BD7" w:rsidRPr="003B1324" w:rsidRDefault="00D37BD7" w:rsidP="00BA7ECC">
            <w:pPr>
              <w:tabs>
                <w:tab w:val="left" w:pos="851"/>
              </w:tabs>
              <w:jc w:val="left"/>
              <w:rPr>
                <w:rFonts w:ascii="Arial Narrow" w:hAnsi="Arial Narrow"/>
                <w:sz w:val="20"/>
                <w:vertAlign w:val="superscript"/>
              </w:rPr>
            </w:pPr>
            <w:r>
              <w:rPr>
                <w:rFonts w:ascii="Arial Narrow" w:hAnsi="Arial Narrow"/>
                <w:sz w:val="20"/>
              </w:rPr>
              <w:t xml:space="preserve">Thrombocytopenia </w:t>
            </w:r>
            <w:r w:rsidRPr="00814926">
              <w:rPr>
                <w:rFonts w:ascii="Arial Narrow" w:hAnsi="Arial Narrow"/>
                <w:sz w:val="20"/>
              </w:rPr>
              <w:t>Grade 3-4</w:t>
            </w:r>
            <w:r w:rsidRPr="00814926">
              <w:rPr>
                <w:rFonts w:ascii="Arial Narrow" w:hAnsi="Arial Narrow"/>
                <w:sz w:val="20"/>
                <w:vertAlign w:val="superscript"/>
              </w:rPr>
              <w:t>b</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1</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2</w:t>
            </w:r>
          </w:p>
          <w:p w:rsidR="00D37BD7" w:rsidRPr="004E2ADC" w:rsidRDefault="00D37BD7" w:rsidP="00BA7ECC">
            <w:pPr>
              <w:tabs>
                <w:tab w:val="left" w:pos="150"/>
              </w:tabs>
              <w:jc w:val="left"/>
              <w:rPr>
                <w:rFonts w:ascii="Arial Narrow" w:hAnsi="Arial Narrow"/>
                <w:sz w:val="20"/>
              </w:rPr>
            </w:pPr>
            <w:r>
              <w:rPr>
                <w:rFonts w:ascii="Arial Narrow" w:hAnsi="Arial Narrow"/>
                <w:sz w:val="20"/>
              </w:rPr>
              <w:tab/>
              <w:t>Consolidation cycle 3</w:t>
            </w:r>
          </w:p>
        </w:tc>
        <w:tc>
          <w:tcPr>
            <w:tcW w:w="1102" w:type="pct"/>
          </w:tcPr>
          <w:p w:rsidR="00D37BD7" w:rsidRDefault="00D37BD7" w:rsidP="00BA7ECC">
            <w:pPr>
              <w:jc w:val="center"/>
              <w:rPr>
                <w:rFonts w:ascii="Arial Narrow" w:hAnsi="Arial Narrow"/>
                <w:sz w:val="20"/>
              </w:rPr>
            </w:pPr>
            <w:r>
              <w:rPr>
                <w:rFonts w:ascii="Arial Narrow" w:hAnsi="Arial Narrow"/>
                <w:sz w:val="20"/>
              </w:rPr>
              <w:t>Lasting &gt;15 days</w:t>
            </w:r>
          </w:p>
          <w:p w:rsidR="00D37BD7" w:rsidRDefault="00D37BD7" w:rsidP="00BA7ECC">
            <w:pPr>
              <w:jc w:val="center"/>
              <w:rPr>
                <w:rFonts w:ascii="Arial Narrow" w:hAnsi="Arial Narrow"/>
                <w:sz w:val="20"/>
              </w:rPr>
            </w:pPr>
            <w:r>
              <w:rPr>
                <w:rFonts w:ascii="Arial Narrow" w:hAnsi="Arial Narrow"/>
                <w:sz w:val="20"/>
              </w:rPr>
              <w:t xml:space="preserve">59% </w:t>
            </w:r>
          </w:p>
          <w:p w:rsidR="00D37BD7" w:rsidRDefault="00D37BD7" w:rsidP="00BA7ECC">
            <w:pPr>
              <w:jc w:val="center"/>
              <w:rPr>
                <w:rFonts w:ascii="Arial Narrow" w:hAnsi="Arial Narrow"/>
                <w:sz w:val="20"/>
              </w:rPr>
            </w:pPr>
            <w:r>
              <w:rPr>
                <w:rFonts w:ascii="Arial Narrow" w:hAnsi="Arial Narrow"/>
                <w:sz w:val="20"/>
              </w:rPr>
              <w:t>6%</w:t>
            </w:r>
          </w:p>
          <w:p w:rsidR="00D37BD7" w:rsidRDefault="00D37BD7" w:rsidP="00BA7ECC">
            <w:pPr>
              <w:jc w:val="center"/>
              <w:rPr>
                <w:rFonts w:ascii="Arial Narrow" w:hAnsi="Arial Narrow"/>
                <w:sz w:val="20"/>
              </w:rPr>
            </w:pPr>
            <w:r>
              <w:rPr>
                <w:rFonts w:ascii="Arial Narrow" w:hAnsi="Arial Narrow"/>
                <w:sz w:val="20"/>
              </w:rPr>
              <w:t>6%</w:t>
            </w:r>
          </w:p>
          <w:p w:rsidR="00D37BD7" w:rsidRPr="004E2ADC" w:rsidRDefault="00D37BD7" w:rsidP="00BA7ECC">
            <w:pPr>
              <w:jc w:val="center"/>
              <w:rPr>
                <w:rFonts w:ascii="Arial Narrow" w:hAnsi="Arial Narrow"/>
                <w:sz w:val="20"/>
              </w:rPr>
            </w:pPr>
            <w:r>
              <w:rPr>
                <w:rFonts w:ascii="Arial Narrow" w:hAnsi="Arial Narrow"/>
                <w:sz w:val="20"/>
              </w:rPr>
              <w:t>3%</w:t>
            </w:r>
          </w:p>
        </w:tc>
        <w:tc>
          <w:tcPr>
            <w:tcW w:w="1103" w:type="pct"/>
          </w:tcPr>
          <w:p w:rsidR="00D37BD7" w:rsidRDefault="00D37BD7" w:rsidP="00BA7ECC">
            <w:pPr>
              <w:jc w:val="center"/>
              <w:rPr>
                <w:rFonts w:ascii="Arial Narrow" w:hAnsi="Arial Narrow"/>
                <w:sz w:val="20"/>
              </w:rPr>
            </w:pPr>
            <w:r>
              <w:rPr>
                <w:rFonts w:ascii="Arial Narrow" w:hAnsi="Arial Narrow"/>
                <w:sz w:val="20"/>
              </w:rPr>
              <w:t>Lasting &gt;15 days</w:t>
            </w:r>
          </w:p>
          <w:p w:rsidR="00D37BD7" w:rsidRDefault="00D37BD7" w:rsidP="00BA7ECC">
            <w:pPr>
              <w:jc w:val="center"/>
              <w:rPr>
                <w:rFonts w:ascii="Arial Narrow" w:hAnsi="Arial Narrow"/>
                <w:sz w:val="20"/>
              </w:rPr>
            </w:pPr>
            <w:r>
              <w:rPr>
                <w:rFonts w:ascii="Arial Narrow" w:hAnsi="Arial Narrow"/>
                <w:sz w:val="20"/>
              </w:rPr>
              <w:t>88%</w:t>
            </w:r>
          </w:p>
          <w:p w:rsidR="00D37BD7" w:rsidRDefault="00D37BD7" w:rsidP="00BA7ECC">
            <w:pPr>
              <w:jc w:val="center"/>
              <w:rPr>
                <w:rFonts w:ascii="Arial Narrow" w:hAnsi="Arial Narrow"/>
                <w:sz w:val="20"/>
              </w:rPr>
            </w:pPr>
            <w:r>
              <w:rPr>
                <w:rFonts w:ascii="Arial Narrow" w:hAnsi="Arial Narrow"/>
                <w:sz w:val="20"/>
              </w:rPr>
              <w:t>18%</w:t>
            </w:r>
          </w:p>
          <w:p w:rsidR="00D37BD7" w:rsidRDefault="00D37BD7" w:rsidP="00BA7ECC">
            <w:pPr>
              <w:jc w:val="center"/>
              <w:rPr>
                <w:rFonts w:ascii="Arial Narrow" w:hAnsi="Arial Narrow"/>
                <w:sz w:val="20"/>
              </w:rPr>
            </w:pPr>
            <w:r>
              <w:rPr>
                <w:rFonts w:ascii="Arial Narrow" w:hAnsi="Arial Narrow"/>
                <w:sz w:val="20"/>
              </w:rPr>
              <w:t>65%</w:t>
            </w:r>
          </w:p>
          <w:p w:rsidR="00D37BD7" w:rsidRPr="004E2ADC" w:rsidRDefault="00D37BD7" w:rsidP="00BA7ECC">
            <w:pPr>
              <w:jc w:val="center"/>
              <w:rPr>
                <w:rFonts w:ascii="Arial Narrow" w:hAnsi="Arial Narrow"/>
                <w:sz w:val="20"/>
              </w:rPr>
            </w:pPr>
            <w:r>
              <w:rPr>
                <w:rFonts w:ascii="Arial Narrow" w:hAnsi="Arial Narrow"/>
                <w:sz w:val="20"/>
              </w:rPr>
              <w:t>15%</w:t>
            </w:r>
          </w:p>
        </w:tc>
        <w:tc>
          <w:tcPr>
            <w:tcW w:w="1271" w:type="pct"/>
          </w:tcPr>
          <w:p w:rsidR="00D37BD7" w:rsidRDefault="00D37BD7" w:rsidP="00BA7ECC">
            <w:pPr>
              <w:jc w:val="center"/>
              <w:rPr>
                <w:rFonts w:ascii="Arial Narrow" w:hAnsi="Arial Narrow"/>
                <w:sz w:val="20"/>
              </w:rPr>
            </w:pPr>
          </w:p>
          <w:p w:rsidR="00D37BD7" w:rsidRPr="00AD4FD4" w:rsidRDefault="00D37BD7" w:rsidP="00BA7ECC">
            <w:pPr>
              <w:jc w:val="center"/>
              <w:rPr>
                <w:rFonts w:ascii="Arial Narrow" w:hAnsi="Arial Narrow"/>
                <w:sz w:val="20"/>
                <w:vertAlign w:val="superscript"/>
              </w:rPr>
            </w:pPr>
            <w:r>
              <w:rPr>
                <w:rFonts w:ascii="Arial Narrow" w:hAnsi="Arial Narrow"/>
                <w:sz w:val="20"/>
              </w:rPr>
              <w:t>121/121 (100%)</w:t>
            </w:r>
            <w:r>
              <w:rPr>
                <w:rFonts w:ascii="Arial Narrow" w:hAnsi="Arial Narrow"/>
                <w:sz w:val="20"/>
                <w:vertAlign w:val="superscript"/>
              </w:rPr>
              <w:t>f</w:t>
            </w:r>
          </w:p>
          <w:p w:rsidR="00D37BD7" w:rsidRDefault="00D37BD7" w:rsidP="00BA7ECC">
            <w:pPr>
              <w:jc w:val="center"/>
              <w:rPr>
                <w:rFonts w:ascii="Arial Narrow" w:hAnsi="Arial Narrow"/>
                <w:sz w:val="20"/>
              </w:rPr>
            </w:pPr>
            <w:r>
              <w:rPr>
                <w:rFonts w:ascii="Arial Narrow" w:hAnsi="Arial Narrow"/>
                <w:sz w:val="20"/>
              </w:rPr>
              <w:t>0</w:t>
            </w:r>
          </w:p>
          <w:p w:rsidR="00D37BD7" w:rsidRPr="004E2ADC" w:rsidRDefault="00D37BD7" w:rsidP="00BA7ECC">
            <w:pPr>
              <w:jc w:val="center"/>
              <w:rPr>
                <w:rFonts w:ascii="Arial Narrow" w:hAnsi="Arial Narrow"/>
                <w:sz w:val="20"/>
              </w:rPr>
            </w:pPr>
            <w:r>
              <w:rPr>
                <w:rFonts w:ascii="Arial Narrow" w:hAnsi="Arial Narrow"/>
                <w:sz w:val="20"/>
              </w:rPr>
              <w:t>0</w:t>
            </w:r>
          </w:p>
        </w:tc>
      </w:tr>
      <w:tr w:rsidR="00D37BD7" w:rsidRPr="004E2ADC" w:rsidTr="00BA7ECC">
        <w:tc>
          <w:tcPr>
            <w:tcW w:w="1524" w:type="pct"/>
          </w:tcPr>
          <w:p w:rsidR="00D37BD7" w:rsidRPr="003B1324" w:rsidRDefault="00D37BD7" w:rsidP="00BA7ECC">
            <w:pPr>
              <w:tabs>
                <w:tab w:val="left" w:pos="150"/>
              </w:tabs>
              <w:jc w:val="left"/>
              <w:rPr>
                <w:rFonts w:ascii="Arial Narrow" w:hAnsi="Arial Narrow"/>
                <w:sz w:val="20"/>
                <w:vertAlign w:val="superscript"/>
              </w:rPr>
            </w:pPr>
            <w:r>
              <w:rPr>
                <w:rFonts w:ascii="Arial Narrow" w:hAnsi="Arial Narrow"/>
                <w:sz w:val="20"/>
              </w:rPr>
              <w:t xml:space="preserve">Neutropenia </w:t>
            </w:r>
            <w:r w:rsidRPr="00814926">
              <w:rPr>
                <w:rFonts w:ascii="Arial Narrow" w:hAnsi="Arial Narrow"/>
                <w:sz w:val="20"/>
              </w:rPr>
              <w:t>Grade 3-4</w:t>
            </w:r>
            <w:r w:rsidRPr="00814926">
              <w:rPr>
                <w:rFonts w:ascii="Arial Narrow" w:hAnsi="Arial Narrow"/>
                <w:sz w:val="20"/>
                <w:vertAlign w:val="superscript"/>
              </w:rPr>
              <w:t>b</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1</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2</w:t>
            </w:r>
          </w:p>
          <w:p w:rsidR="00D37BD7" w:rsidRPr="004E2ADC" w:rsidRDefault="00D37BD7" w:rsidP="00BA7ECC">
            <w:pPr>
              <w:tabs>
                <w:tab w:val="left" w:pos="150"/>
              </w:tabs>
              <w:jc w:val="left"/>
              <w:rPr>
                <w:rFonts w:ascii="Arial Narrow" w:hAnsi="Arial Narrow"/>
                <w:sz w:val="20"/>
              </w:rPr>
            </w:pPr>
            <w:r>
              <w:rPr>
                <w:rFonts w:ascii="Arial Narrow" w:hAnsi="Arial Narrow"/>
                <w:sz w:val="20"/>
              </w:rPr>
              <w:tab/>
              <w:t>Consolidation cycle 3</w:t>
            </w:r>
          </w:p>
        </w:tc>
        <w:tc>
          <w:tcPr>
            <w:tcW w:w="1102" w:type="pct"/>
          </w:tcPr>
          <w:p w:rsidR="00D37BD7" w:rsidRDefault="00D37BD7" w:rsidP="00BA7ECC">
            <w:pPr>
              <w:jc w:val="center"/>
              <w:rPr>
                <w:rFonts w:ascii="Arial Narrow" w:hAnsi="Arial Narrow"/>
                <w:sz w:val="20"/>
              </w:rPr>
            </w:pPr>
            <w:r>
              <w:rPr>
                <w:rFonts w:ascii="Arial Narrow" w:hAnsi="Arial Narrow"/>
                <w:sz w:val="20"/>
              </w:rPr>
              <w:t>Lasting &gt;15 days</w:t>
            </w:r>
          </w:p>
          <w:p w:rsidR="00D37BD7" w:rsidRDefault="00D37BD7" w:rsidP="00BA7ECC">
            <w:pPr>
              <w:jc w:val="center"/>
              <w:rPr>
                <w:rFonts w:ascii="Arial Narrow" w:hAnsi="Arial Narrow"/>
                <w:sz w:val="20"/>
              </w:rPr>
            </w:pPr>
            <w:r>
              <w:rPr>
                <w:rFonts w:ascii="Arial Narrow" w:hAnsi="Arial Narrow"/>
                <w:sz w:val="20"/>
              </w:rPr>
              <w:t>46%</w:t>
            </w:r>
          </w:p>
          <w:p w:rsidR="00D37BD7" w:rsidRDefault="00D37BD7" w:rsidP="00BA7ECC">
            <w:pPr>
              <w:jc w:val="center"/>
              <w:rPr>
                <w:rFonts w:ascii="Arial Narrow" w:hAnsi="Arial Narrow"/>
                <w:sz w:val="20"/>
              </w:rPr>
            </w:pPr>
            <w:r>
              <w:rPr>
                <w:rFonts w:ascii="Arial Narrow" w:hAnsi="Arial Narrow"/>
                <w:sz w:val="20"/>
              </w:rPr>
              <w:t>6%</w:t>
            </w:r>
          </w:p>
          <w:p w:rsidR="00D37BD7" w:rsidRDefault="00D37BD7" w:rsidP="00BA7ECC">
            <w:pPr>
              <w:jc w:val="center"/>
              <w:rPr>
                <w:rFonts w:ascii="Arial Narrow" w:hAnsi="Arial Narrow"/>
                <w:sz w:val="20"/>
              </w:rPr>
            </w:pPr>
            <w:r>
              <w:rPr>
                <w:rFonts w:ascii="Arial Narrow" w:hAnsi="Arial Narrow"/>
                <w:sz w:val="20"/>
              </w:rPr>
              <w:t>6%</w:t>
            </w:r>
          </w:p>
          <w:p w:rsidR="00D37BD7" w:rsidRPr="004E2ADC" w:rsidRDefault="00D37BD7" w:rsidP="00BA7ECC">
            <w:pPr>
              <w:jc w:val="center"/>
              <w:rPr>
                <w:rFonts w:ascii="Arial Narrow" w:hAnsi="Arial Narrow"/>
                <w:sz w:val="20"/>
              </w:rPr>
            </w:pPr>
            <w:r>
              <w:rPr>
                <w:rFonts w:ascii="Arial Narrow" w:hAnsi="Arial Narrow"/>
                <w:sz w:val="20"/>
              </w:rPr>
              <w:t>4%</w:t>
            </w:r>
          </w:p>
        </w:tc>
        <w:tc>
          <w:tcPr>
            <w:tcW w:w="1103" w:type="pct"/>
          </w:tcPr>
          <w:p w:rsidR="00D37BD7" w:rsidRDefault="00D37BD7" w:rsidP="00BA7ECC">
            <w:pPr>
              <w:jc w:val="center"/>
              <w:rPr>
                <w:rFonts w:ascii="Arial Narrow" w:hAnsi="Arial Narrow"/>
                <w:sz w:val="20"/>
              </w:rPr>
            </w:pPr>
            <w:r>
              <w:rPr>
                <w:rFonts w:ascii="Arial Narrow" w:hAnsi="Arial Narrow"/>
                <w:sz w:val="20"/>
              </w:rPr>
              <w:t>Lasting &gt;15 days</w:t>
            </w:r>
          </w:p>
          <w:p w:rsidR="00D37BD7" w:rsidRDefault="00D37BD7" w:rsidP="00BA7ECC">
            <w:pPr>
              <w:jc w:val="center"/>
              <w:rPr>
                <w:rFonts w:ascii="Arial Narrow" w:hAnsi="Arial Narrow"/>
                <w:sz w:val="20"/>
              </w:rPr>
            </w:pPr>
            <w:r>
              <w:rPr>
                <w:rFonts w:ascii="Arial Narrow" w:hAnsi="Arial Narrow"/>
                <w:sz w:val="20"/>
              </w:rPr>
              <w:t>79%</w:t>
            </w:r>
          </w:p>
          <w:p w:rsidR="00D37BD7" w:rsidRDefault="00D37BD7" w:rsidP="00BA7ECC">
            <w:pPr>
              <w:jc w:val="center"/>
              <w:rPr>
                <w:rFonts w:ascii="Arial Narrow" w:hAnsi="Arial Narrow"/>
                <w:sz w:val="20"/>
              </w:rPr>
            </w:pPr>
            <w:r>
              <w:rPr>
                <w:rFonts w:ascii="Arial Narrow" w:hAnsi="Arial Narrow"/>
                <w:sz w:val="20"/>
              </w:rPr>
              <w:t>35%</w:t>
            </w:r>
          </w:p>
          <w:p w:rsidR="00D37BD7" w:rsidRDefault="00D37BD7" w:rsidP="00BA7ECC">
            <w:pPr>
              <w:jc w:val="center"/>
              <w:rPr>
                <w:rFonts w:ascii="Arial Narrow" w:hAnsi="Arial Narrow"/>
                <w:sz w:val="20"/>
              </w:rPr>
            </w:pPr>
            <w:r>
              <w:rPr>
                <w:rFonts w:ascii="Arial Narrow" w:hAnsi="Arial Narrow"/>
                <w:sz w:val="20"/>
              </w:rPr>
              <w:t>76%</w:t>
            </w:r>
          </w:p>
          <w:p w:rsidR="00D37BD7" w:rsidRPr="004E2ADC" w:rsidRDefault="00D37BD7" w:rsidP="00BA7ECC">
            <w:pPr>
              <w:jc w:val="center"/>
              <w:rPr>
                <w:rFonts w:ascii="Arial Narrow" w:hAnsi="Arial Narrow"/>
                <w:sz w:val="20"/>
              </w:rPr>
            </w:pPr>
            <w:r>
              <w:rPr>
                <w:rFonts w:ascii="Arial Narrow" w:hAnsi="Arial Narrow"/>
                <w:sz w:val="20"/>
              </w:rPr>
              <w:t>25%</w:t>
            </w:r>
          </w:p>
        </w:tc>
        <w:tc>
          <w:tcPr>
            <w:tcW w:w="1271" w:type="pct"/>
          </w:tcPr>
          <w:p w:rsidR="00D37BD7" w:rsidRDefault="00D37BD7" w:rsidP="00BA7ECC">
            <w:pPr>
              <w:jc w:val="center"/>
              <w:rPr>
                <w:rFonts w:ascii="Arial Narrow" w:hAnsi="Arial Narrow"/>
                <w:sz w:val="20"/>
              </w:rPr>
            </w:pPr>
          </w:p>
          <w:p w:rsidR="00D37BD7" w:rsidRPr="00AD4FD4" w:rsidRDefault="00D37BD7" w:rsidP="00BA7ECC">
            <w:pPr>
              <w:jc w:val="center"/>
              <w:rPr>
                <w:rFonts w:ascii="Arial Narrow" w:hAnsi="Arial Narrow"/>
                <w:sz w:val="20"/>
                <w:vertAlign w:val="superscript"/>
              </w:rPr>
            </w:pPr>
            <w:r>
              <w:rPr>
                <w:rFonts w:ascii="Arial Narrow" w:hAnsi="Arial Narrow"/>
                <w:sz w:val="20"/>
              </w:rPr>
              <w:t>121/121 (100%)</w:t>
            </w:r>
            <w:r>
              <w:rPr>
                <w:rFonts w:ascii="Arial Narrow" w:hAnsi="Arial Narrow"/>
                <w:sz w:val="20"/>
                <w:vertAlign w:val="superscript"/>
              </w:rPr>
              <w:t>f</w:t>
            </w:r>
          </w:p>
          <w:p w:rsidR="00D37BD7" w:rsidRPr="00D36021" w:rsidRDefault="00D37BD7" w:rsidP="00BA7ECC">
            <w:pPr>
              <w:jc w:val="center"/>
              <w:rPr>
                <w:rFonts w:ascii="Arial Narrow" w:hAnsi="Arial Narrow"/>
                <w:sz w:val="20"/>
                <w:vertAlign w:val="superscript"/>
              </w:rPr>
            </w:pPr>
            <w:r>
              <w:rPr>
                <w:rFonts w:ascii="Arial Narrow" w:hAnsi="Arial Narrow"/>
                <w:sz w:val="20"/>
              </w:rPr>
              <w:t>69/112 (62%)</w:t>
            </w:r>
            <w:r>
              <w:rPr>
                <w:rFonts w:ascii="Arial Narrow" w:hAnsi="Arial Narrow"/>
                <w:sz w:val="20"/>
                <w:vertAlign w:val="superscript"/>
              </w:rPr>
              <w:t>f</w:t>
            </w:r>
          </w:p>
          <w:p w:rsidR="00D37BD7" w:rsidRPr="00D36021" w:rsidRDefault="00D37BD7" w:rsidP="00BA7ECC">
            <w:pPr>
              <w:jc w:val="center"/>
              <w:rPr>
                <w:rFonts w:ascii="Arial Narrow" w:hAnsi="Arial Narrow"/>
                <w:sz w:val="20"/>
                <w:vertAlign w:val="superscript"/>
              </w:rPr>
            </w:pPr>
            <w:r>
              <w:rPr>
                <w:rFonts w:ascii="Arial Narrow" w:hAnsi="Arial Narrow"/>
                <w:sz w:val="20"/>
              </w:rPr>
              <w:t>30/112 (27%)</w:t>
            </w:r>
            <w:r>
              <w:rPr>
                <w:rFonts w:ascii="Arial Narrow" w:hAnsi="Arial Narrow"/>
                <w:sz w:val="20"/>
                <w:vertAlign w:val="superscript"/>
              </w:rPr>
              <w:t>f</w:t>
            </w:r>
          </w:p>
        </w:tc>
      </w:tr>
      <w:tr w:rsidR="00D37BD7" w:rsidRPr="004E2ADC" w:rsidTr="00BA7ECC">
        <w:tc>
          <w:tcPr>
            <w:tcW w:w="1524" w:type="pct"/>
          </w:tcPr>
          <w:p w:rsidR="00D37BD7" w:rsidRDefault="00D37BD7" w:rsidP="00BA7ECC">
            <w:pPr>
              <w:tabs>
                <w:tab w:val="left" w:pos="150"/>
              </w:tabs>
              <w:jc w:val="left"/>
              <w:rPr>
                <w:rFonts w:ascii="Arial Narrow" w:hAnsi="Arial Narrow"/>
                <w:sz w:val="20"/>
              </w:rPr>
            </w:pPr>
            <w:r>
              <w:rPr>
                <w:rFonts w:ascii="Arial Narrow" w:hAnsi="Arial Narrow"/>
                <w:sz w:val="20"/>
              </w:rPr>
              <w:t>Fever of unknown origin and documented infectious episodes</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1</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2</w:t>
            </w:r>
          </w:p>
        </w:tc>
        <w:tc>
          <w:tcPr>
            <w:tcW w:w="1102" w:type="pct"/>
          </w:tcPr>
          <w:p w:rsidR="00D37BD7" w:rsidRDefault="00D37BD7" w:rsidP="00BA7ECC">
            <w:pPr>
              <w:jc w:val="center"/>
              <w:rPr>
                <w:rFonts w:ascii="Arial Narrow" w:hAnsi="Arial Narrow"/>
                <w:sz w:val="20"/>
              </w:rPr>
            </w:pPr>
            <w:r>
              <w:rPr>
                <w:rFonts w:ascii="Arial Narrow" w:hAnsi="Arial Narrow"/>
                <w:sz w:val="20"/>
              </w:rPr>
              <w:t>26 episodes</w:t>
            </w:r>
          </w:p>
        </w:tc>
        <w:tc>
          <w:tcPr>
            <w:tcW w:w="1103" w:type="pct"/>
          </w:tcPr>
          <w:p w:rsidR="00D37BD7" w:rsidRDefault="00D37BD7" w:rsidP="00BA7ECC">
            <w:pPr>
              <w:jc w:val="center"/>
              <w:rPr>
                <w:rFonts w:ascii="Arial Narrow" w:hAnsi="Arial Narrow"/>
                <w:sz w:val="20"/>
              </w:rPr>
            </w:pPr>
            <w:r>
              <w:rPr>
                <w:rFonts w:ascii="Arial Narrow" w:hAnsi="Arial Narrow"/>
                <w:sz w:val="20"/>
              </w:rPr>
              <w:t>59 episodes</w:t>
            </w:r>
          </w:p>
        </w:tc>
        <w:tc>
          <w:tcPr>
            <w:tcW w:w="1271" w:type="pct"/>
          </w:tcPr>
          <w:p w:rsidR="00D37BD7" w:rsidRPr="00E1581E" w:rsidRDefault="00D37BD7" w:rsidP="00BA7ECC">
            <w:pPr>
              <w:jc w:val="center"/>
              <w:rPr>
                <w:rFonts w:ascii="Arial Narrow" w:hAnsi="Arial Narrow"/>
                <w:i/>
                <w:sz w:val="20"/>
              </w:rPr>
            </w:pPr>
            <w:r>
              <w:rPr>
                <w:rFonts w:ascii="Arial Narrow" w:hAnsi="Arial Narrow"/>
                <w:i/>
                <w:sz w:val="20"/>
              </w:rPr>
              <w:t>(N not reported)</w:t>
            </w:r>
          </w:p>
          <w:p w:rsidR="00D37BD7" w:rsidRDefault="00D37BD7" w:rsidP="00BA7ECC">
            <w:pPr>
              <w:jc w:val="center"/>
              <w:rPr>
                <w:rFonts w:ascii="Arial Narrow" w:hAnsi="Arial Narrow"/>
                <w:sz w:val="20"/>
              </w:rPr>
            </w:pPr>
          </w:p>
          <w:p w:rsidR="00D37BD7" w:rsidRDefault="00D37BD7" w:rsidP="00BA7ECC">
            <w:pPr>
              <w:jc w:val="center"/>
              <w:rPr>
                <w:rFonts w:ascii="Arial Narrow" w:hAnsi="Arial Narrow"/>
                <w:sz w:val="20"/>
              </w:rPr>
            </w:pPr>
            <w:r>
              <w:rPr>
                <w:rFonts w:ascii="Arial Narrow" w:hAnsi="Arial Narrow"/>
                <w:sz w:val="20"/>
              </w:rPr>
              <w:t>91 (76%)</w:t>
            </w:r>
          </w:p>
          <w:p w:rsidR="00D37BD7" w:rsidRDefault="00D37BD7" w:rsidP="00BA7ECC">
            <w:pPr>
              <w:jc w:val="center"/>
              <w:rPr>
                <w:rFonts w:ascii="Arial Narrow" w:hAnsi="Arial Narrow"/>
                <w:sz w:val="20"/>
              </w:rPr>
            </w:pPr>
            <w:r>
              <w:rPr>
                <w:rFonts w:ascii="Arial Narrow" w:hAnsi="Arial Narrow"/>
                <w:sz w:val="20"/>
              </w:rPr>
              <w:t>21 (19%)</w:t>
            </w:r>
          </w:p>
          <w:p w:rsidR="00D37BD7" w:rsidRPr="008E552F" w:rsidRDefault="00D37BD7" w:rsidP="00BA7ECC">
            <w:pPr>
              <w:jc w:val="center"/>
              <w:rPr>
                <w:rFonts w:ascii="Arial Narrow" w:hAnsi="Arial Narrow"/>
                <w:sz w:val="20"/>
                <w:vertAlign w:val="superscript"/>
              </w:rPr>
            </w:pPr>
            <w:r>
              <w:rPr>
                <w:rFonts w:ascii="Arial Narrow" w:hAnsi="Arial Narrow"/>
                <w:sz w:val="20"/>
              </w:rPr>
              <w:t>3 (3%)</w:t>
            </w:r>
          </w:p>
        </w:tc>
      </w:tr>
      <w:tr w:rsidR="00D37BD7" w:rsidRPr="004E2ADC" w:rsidTr="00BA7ECC">
        <w:tc>
          <w:tcPr>
            <w:tcW w:w="5000" w:type="pct"/>
            <w:gridSpan w:val="4"/>
          </w:tcPr>
          <w:p w:rsidR="00D37BD7" w:rsidRPr="004E2ADC" w:rsidRDefault="00D37BD7" w:rsidP="00BA7ECC">
            <w:pPr>
              <w:jc w:val="left"/>
              <w:rPr>
                <w:rFonts w:ascii="Arial Narrow" w:hAnsi="Arial Narrow"/>
                <w:sz w:val="20"/>
              </w:rPr>
            </w:pPr>
            <w:r>
              <w:rPr>
                <w:rFonts w:ascii="Arial Narrow" w:hAnsi="Arial Narrow"/>
                <w:b/>
                <w:sz w:val="20"/>
              </w:rPr>
              <w:t>Non-</w:t>
            </w:r>
            <w:proofErr w:type="spellStart"/>
            <w:r>
              <w:rPr>
                <w:rFonts w:ascii="Arial Narrow" w:hAnsi="Arial Narrow"/>
                <w:b/>
                <w:sz w:val="20"/>
              </w:rPr>
              <w:t>haematologic</w:t>
            </w:r>
            <w:proofErr w:type="spellEnd"/>
            <w:r>
              <w:rPr>
                <w:rFonts w:ascii="Arial Narrow" w:hAnsi="Arial Narrow"/>
                <w:b/>
                <w:sz w:val="20"/>
              </w:rPr>
              <w:t xml:space="preserve"> AEs</w:t>
            </w:r>
          </w:p>
        </w:tc>
      </w:tr>
      <w:tr w:rsidR="00D37BD7" w:rsidRPr="004E2ADC" w:rsidTr="00BA7ECC">
        <w:tc>
          <w:tcPr>
            <w:tcW w:w="1524" w:type="pct"/>
          </w:tcPr>
          <w:p w:rsidR="00D37BD7" w:rsidRDefault="00D37BD7" w:rsidP="00BA7ECC">
            <w:pPr>
              <w:tabs>
                <w:tab w:val="left" w:pos="150"/>
              </w:tabs>
              <w:jc w:val="left"/>
              <w:rPr>
                <w:rFonts w:ascii="Arial Narrow" w:hAnsi="Arial Narrow"/>
                <w:sz w:val="20"/>
              </w:rPr>
            </w:pPr>
            <w:r>
              <w:rPr>
                <w:rFonts w:ascii="Arial Narrow" w:hAnsi="Arial Narrow"/>
                <w:sz w:val="20"/>
              </w:rPr>
              <w:t>Hepatotoxicity Grade 3-4</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1</w:t>
            </w:r>
          </w:p>
          <w:p w:rsidR="00D37BD7" w:rsidRPr="004E2ADC" w:rsidRDefault="00D37BD7" w:rsidP="00BA7ECC">
            <w:pPr>
              <w:tabs>
                <w:tab w:val="left" w:pos="150"/>
              </w:tabs>
              <w:jc w:val="left"/>
              <w:rPr>
                <w:rFonts w:ascii="Arial Narrow" w:hAnsi="Arial Narrow"/>
                <w:sz w:val="20"/>
              </w:rPr>
            </w:pPr>
            <w:r>
              <w:rPr>
                <w:rFonts w:ascii="Arial Narrow" w:hAnsi="Arial Narrow"/>
                <w:sz w:val="20"/>
              </w:rPr>
              <w:tab/>
              <w:t>Consolidation cycle 2</w:t>
            </w:r>
          </w:p>
        </w:tc>
        <w:tc>
          <w:tcPr>
            <w:tcW w:w="1102" w:type="pct"/>
          </w:tcPr>
          <w:p w:rsidR="00D37BD7" w:rsidRPr="004E2ADC" w:rsidRDefault="00D37BD7" w:rsidP="00BA7ECC">
            <w:pPr>
              <w:jc w:val="center"/>
              <w:rPr>
                <w:rFonts w:ascii="Arial Narrow" w:hAnsi="Arial Narrow"/>
                <w:sz w:val="20"/>
              </w:rPr>
            </w:pPr>
            <w:r>
              <w:rPr>
                <w:rFonts w:ascii="Arial Narrow" w:hAnsi="Arial Narrow"/>
                <w:sz w:val="20"/>
              </w:rPr>
              <w:t>43/68 (63.2%)</w:t>
            </w:r>
          </w:p>
        </w:tc>
        <w:tc>
          <w:tcPr>
            <w:tcW w:w="1103" w:type="pct"/>
          </w:tcPr>
          <w:p w:rsidR="00D37BD7" w:rsidRPr="004E2ADC" w:rsidRDefault="00D37BD7" w:rsidP="00BA7ECC">
            <w:pPr>
              <w:jc w:val="center"/>
              <w:rPr>
                <w:rFonts w:ascii="Arial Narrow" w:hAnsi="Arial Narrow"/>
                <w:sz w:val="20"/>
              </w:rPr>
            </w:pPr>
            <w:r>
              <w:rPr>
                <w:rFonts w:ascii="Arial Narrow" w:hAnsi="Arial Narrow"/>
                <w:sz w:val="20"/>
              </w:rPr>
              <w:t>4/69 (5.8%)</w:t>
            </w:r>
          </w:p>
        </w:tc>
        <w:tc>
          <w:tcPr>
            <w:tcW w:w="1271" w:type="pct"/>
          </w:tcPr>
          <w:p w:rsidR="00D37BD7" w:rsidRPr="00E1581E" w:rsidRDefault="00D37BD7" w:rsidP="00BA7ECC">
            <w:pPr>
              <w:jc w:val="center"/>
              <w:rPr>
                <w:rFonts w:ascii="Arial Narrow" w:hAnsi="Arial Narrow"/>
                <w:i/>
                <w:sz w:val="20"/>
              </w:rPr>
            </w:pPr>
            <w:r>
              <w:rPr>
                <w:rFonts w:ascii="Arial Narrow" w:hAnsi="Arial Narrow"/>
                <w:i/>
                <w:sz w:val="20"/>
              </w:rPr>
              <w:t>(N not reported)</w:t>
            </w:r>
          </w:p>
          <w:p w:rsidR="00D37BD7" w:rsidRDefault="00D37BD7" w:rsidP="00BA7ECC">
            <w:pPr>
              <w:jc w:val="center"/>
              <w:rPr>
                <w:rFonts w:ascii="Arial Narrow" w:hAnsi="Arial Narrow"/>
                <w:sz w:val="20"/>
              </w:rPr>
            </w:pPr>
            <w:r>
              <w:rPr>
                <w:rFonts w:ascii="Arial Narrow" w:hAnsi="Arial Narrow"/>
                <w:sz w:val="20"/>
              </w:rPr>
              <w:t>53 (44%)</w:t>
            </w:r>
          </w:p>
          <w:p w:rsidR="00D37BD7" w:rsidRDefault="00D37BD7" w:rsidP="00BA7ECC">
            <w:pPr>
              <w:jc w:val="center"/>
              <w:rPr>
                <w:rFonts w:ascii="Arial Narrow" w:hAnsi="Arial Narrow"/>
                <w:sz w:val="20"/>
              </w:rPr>
            </w:pPr>
            <w:r>
              <w:rPr>
                <w:rFonts w:ascii="Arial Narrow" w:hAnsi="Arial Narrow"/>
                <w:sz w:val="20"/>
              </w:rPr>
              <w:t>13 (12%)</w:t>
            </w:r>
          </w:p>
          <w:p w:rsidR="00D37BD7" w:rsidRPr="00916E4E" w:rsidRDefault="00D37BD7" w:rsidP="00BA7ECC">
            <w:pPr>
              <w:jc w:val="center"/>
              <w:rPr>
                <w:rFonts w:ascii="Arial Narrow" w:hAnsi="Arial Narrow"/>
                <w:sz w:val="20"/>
              </w:rPr>
            </w:pPr>
            <w:r>
              <w:rPr>
                <w:rFonts w:ascii="Arial Narrow" w:hAnsi="Arial Narrow"/>
                <w:sz w:val="20"/>
              </w:rPr>
              <w:t>2 (2%)</w:t>
            </w:r>
          </w:p>
        </w:tc>
      </w:tr>
      <w:tr w:rsidR="00D37BD7" w:rsidRPr="004E2ADC" w:rsidTr="00BA7ECC">
        <w:tc>
          <w:tcPr>
            <w:tcW w:w="1524" w:type="pct"/>
          </w:tcPr>
          <w:p w:rsidR="00D37BD7" w:rsidRDefault="00D37BD7" w:rsidP="00BA7ECC">
            <w:pPr>
              <w:tabs>
                <w:tab w:val="left" w:pos="150"/>
              </w:tabs>
              <w:jc w:val="left"/>
              <w:rPr>
                <w:rFonts w:ascii="Arial Narrow" w:hAnsi="Arial Narrow"/>
                <w:sz w:val="20"/>
              </w:rPr>
            </w:pPr>
            <w:r>
              <w:rPr>
                <w:rFonts w:ascii="Arial Narrow" w:hAnsi="Arial Narrow"/>
                <w:sz w:val="20"/>
              </w:rPr>
              <w:lastRenderedPageBreak/>
              <w:t xml:space="preserve">Prolongation of </w:t>
            </w:r>
            <w:proofErr w:type="spellStart"/>
            <w:r>
              <w:rPr>
                <w:rFonts w:ascii="Arial Narrow" w:hAnsi="Arial Narrow"/>
                <w:sz w:val="20"/>
              </w:rPr>
              <w:t>QTc</w:t>
            </w:r>
            <w:proofErr w:type="spellEnd"/>
            <w:r>
              <w:rPr>
                <w:rFonts w:ascii="Arial Narrow" w:hAnsi="Arial Narrow"/>
                <w:sz w:val="20"/>
              </w:rPr>
              <w:t xml:space="preserve"> interval</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1</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2</w:t>
            </w:r>
          </w:p>
        </w:tc>
        <w:tc>
          <w:tcPr>
            <w:tcW w:w="1102" w:type="pct"/>
          </w:tcPr>
          <w:p w:rsidR="00D37BD7" w:rsidRDefault="00D37BD7" w:rsidP="00BA7ECC">
            <w:pPr>
              <w:jc w:val="center"/>
              <w:rPr>
                <w:rFonts w:ascii="Arial Narrow" w:hAnsi="Arial Narrow"/>
                <w:sz w:val="20"/>
              </w:rPr>
            </w:pPr>
            <w:r>
              <w:rPr>
                <w:rFonts w:ascii="Arial Narrow" w:hAnsi="Arial Narrow"/>
                <w:sz w:val="20"/>
              </w:rPr>
              <w:t>12/77 (15.6%)</w:t>
            </w:r>
          </w:p>
        </w:tc>
        <w:tc>
          <w:tcPr>
            <w:tcW w:w="1103" w:type="pct"/>
          </w:tcPr>
          <w:p w:rsidR="00D37BD7" w:rsidRDefault="00D37BD7" w:rsidP="00BA7ECC">
            <w:pPr>
              <w:jc w:val="center"/>
              <w:rPr>
                <w:rFonts w:ascii="Arial Narrow" w:hAnsi="Arial Narrow"/>
                <w:sz w:val="20"/>
              </w:rPr>
            </w:pPr>
            <w:r>
              <w:rPr>
                <w:rFonts w:ascii="Arial Narrow" w:hAnsi="Arial Narrow"/>
                <w:sz w:val="20"/>
              </w:rPr>
              <w:t>0</w:t>
            </w:r>
          </w:p>
        </w:tc>
        <w:tc>
          <w:tcPr>
            <w:tcW w:w="1271" w:type="pct"/>
          </w:tcPr>
          <w:p w:rsidR="00D37BD7" w:rsidRPr="00E1581E" w:rsidRDefault="00D37BD7" w:rsidP="00BA7ECC">
            <w:pPr>
              <w:jc w:val="center"/>
              <w:rPr>
                <w:rFonts w:ascii="Arial Narrow" w:hAnsi="Arial Narrow"/>
                <w:i/>
                <w:sz w:val="20"/>
              </w:rPr>
            </w:pPr>
            <w:r>
              <w:rPr>
                <w:rFonts w:ascii="Arial Narrow" w:hAnsi="Arial Narrow"/>
                <w:i/>
                <w:sz w:val="20"/>
              </w:rPr>
              <w:t>(N not reported)</w:t>
            </w:r>
          </w:p>
          <w:p w:rsidR="00D37BD7" w:rsidRDefault="00D37BD7" w:rsidP="00BA7ECC">
            <w:pPr>
              <w:tabs>
                <w:tab w:val="left" w:pos="839"/>
                <w:tab w:val="left" w:pos="1253"/>
              </w:tabs>
              <w:jc w:val="center"/>
              <w:rPr>
                <w:rFonts w:ascii="Arial Narrow" w:hAnsi="Arial Narrow"/>
                <w:sz w:val="20"/>
              </w:rPr>
            </w:pPr>
            <w:r>
              <w:rPr>
                <w:rFonts w:ascii="Arial Narrow" w:hAnsi="Arial Narrow"/>
                <w:sz w:val="20"/>
              </w:rPr>
              <w:t>17 (14%)</w:t>
            </w:r>
          </w:p>
          <w:p w:rsidR="00D37BD7" w:rsidRDefault="00D37BD7" w:rsidP="00BA7ECC">
            <w:pPr>
              <w:tabs>
                <w:tab w:val="left" w:pos="839"/>
                <w:tab w:val="left" w:pos="1253"/>
              </w:tabs>
              <w:jc w:val="center"/>
              <w:rPr>
                <w:rFonts w:ascii="Arial Narrow" w:hAnsi="Arial Narrow"/>
                <w:sz w:val="20"/>
              </w:rPr>
            </w:pPr>
            <w:r>
              <w:rPr>
                <w:rFonts w:ascii="Arial Narrow" w:hAnsi="Arial Narrow"/>
                <w:sz w:val="20"/>
              </w:rPr>
              <w:t>10 (9%)</w:t>
            </w:r>
          </w:p>
          <w:p w:rsidR="00D37BD7" w:rsidRPr="004E2ADC" w:rsidRDefault="00D37BD7" w:rsidP="00BA7ECC">
            <w:pPr>
              <w:tabs>
                <w:tab w:val="left" w:pos="839"/>
                <w:tab w:val="left" w:pos="1253"/>
              </w:tabs>
              <w:jc w:val="center"/>
              <w:rPr>
                <w:rFonts w:ascii="Arial Narrow" w:hAnsi="Arial Narrow"/>
                <w:sz w:val="20"/>
              </w:rPr>
            </w:pPr>
            <w:r>
              <w:rPr>
                <w:rFonts w:ascii="Arial Narrow" w:hAnsi="Arial Narrow"/>
                <w:sz w:val="20"/>
              </w:rPr>
              <w:t>4 (4%)</w:t>
            </w:r>
          </w:p>
        </w:tc>
      </w:tr>
      <w:tr w:rsidR="00D37BD7" w:rsidRPr="004E2ADC" w:rsidTr="00BA7ECC">
        <w:tc>
          <w:tcPr>
            <w:tcW w:w="1524" w:type="pct"/>
          </w:tcPr>
          <w:p w:rsidR="00D37BD7" w:rsidRDefault="00D37BD7" w:rsidP="00BA7ECC">
            <w:pPr>
              <w:tabs>
                <w:tab w:val="left" w:pos="150"/>
              </w:tabs>
              <w:jc w:val="left"/>
              <w:rPr>
                <w:rFonts w:ascii="Arial Narrow" w:hAnsi="Arial Narrow"/>
                <w:sz w:val="20"/>
              </w:rPr>
            </w:pPr>
            <w:r>
              <w:rPr>
                <w:rFonts w:ascii="Arial Narrow" w:hAnsi="Arial Narrow"/>
                <w:sz w:val="20"/>
              </w:rPr>
              <w:t>Gastrointestinal toxicity Grade 3-4</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1</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2</w:t>
            </w:r>
          </w:p>
        </w:tc>
        <w:tc>
          <w:tcPr>
            <w:tcW w:w="1102" w:type="pct"/>
          </w:tcPr>
          <w:p w:rsidR="00D37BD7" w:rsidRPr="00225F9E" w:rsidRDefault="00D37BD7" w:rsidP="00BA7ECC">
            <w:pPr>
              <w:jc w:val="center"/>
              <w:rPr>
                <w:rFonts w:ascii="Arial Narrow" w:hAnsi="Arial Narrow"/>
                <w:sz w:val="20"/>
                <w:vertAlign w:val="superscript"/>
              </w:rPr>
            </w:pPr>
            <w:r>
              <w:rPr>
                <w:rFonts w:ascii="Arial Narrow" w:hAnsi="Arial Narrow"/>
                <w:sz w:val="20"/>
              </w:rPr>
              <w:t>3 (4.4%)</w:t>
            </w:r>
            <w:r>
              <w:rPr>
                <w:rFonts w:ascii="Arial Narrow" w:hAnsi="Arial Narrow"/>
                <w:sz w:val="20"/>
                <w:vertAlign w:val="superscript"/>
              </w:rPr>
              <w:t>g</w:t>
            </w:r>
          </w:p>
        </w:tc>
        <w:tc>
          <w:tcPr>
            <w:tcW w:w="1103" w:type="pct"/>
          </w:tcPr>
          <w:p w:rsidR="00D37BD7" w:rsidRPr="00225F9E" w:rsidRDefault="00D37BD7" w:rsidP="00BA7ECC">
            <w:pPr>
              <w:jc w:val="center"/>
              <w:rPr>
                <w:rFonts w:ascii="Arial Narrow" w:hAnsi="Arial Narrow"/>
                <w:sz w:val="20"/>
                <w:vertAlign w:val="superscript"/>
              </w:rPr>
            </w:pPr>
            <w:r>
              <w:rPr>
                <w:rFonts w:ascii="Arial Narrow" w:hAnsi="Arial Narrow"/>
                <w:sz w:val="20"/>
              </w:rPr>
              <w:t>7 (9.9%)</w:t>
            </w:r>
            <w:r>
              <w:rPr>
                <w:rFonts w:ascii="Arial Narrow" w:hAnsi="Arial Narrow"/>
                <w:sz w:val="20"/>
                <w:vertAlign w:val="superscript"/>
              </w:rPr>
              <w:t>g</w:t>
            </w:r>
          </w:p>
        </w:tc>
        <w:tc>
          <w:tcPr>
            <w:tcW w:w="1271" w:type="pct"/>
          </w:tcPr>
          <w:p w:rsidR="00D37BD7" w:rsidRPr="00E1581E" w:rsidRDefault="00D37BD7" w:rsidP="00BA7ECC">
            <w:pPr>
              <w:jc w:val="center"/>
              <w:rPr>
                <w:rFonts w:ascii="Arial Narrow" w:hAnsi="Arial Narrow"/>
                <w:i/>
                <w:sz w:val="20"/>
              </w:rPr>
            </w:pPr>
            <w:r>
              <w:rPr>
                <w:rFonts w:ascii="Arial Narrow" w:hAnsi="Arial Narrow"/>
                <w:i/>
                <w:sz w:val="20"/>
              </w:rPr>
              <w:t>(N not reported)</w:t>
            </w:r>
          </w:p>
          <w:p w:rsidR="00D37BD7" w:rsidRDefault="00D37BD7" w:rsidP="00BA7ECC">
            <w:pPr>
              <w:jc w:val="center"/>
              <w:rPr>
                <w:rFonts w:ascii="Arial Narrow" w:hAnsi="Arial Narrow"/>
                <w:sz w:val="20"/>
              </w:rPr>
            </w:pPr>
            <w:r>
              <w:rPr>
                <w:rFonts w:ascii="Arial Narrow" w:hAnsi="Arial Narrow"/>
                <w:sz w:val="20"/>
              </w:rPr>
              <w:t>33 (28%)</w:t>
            </w:r>
          </w:p>
          <w:p w:rsidR="00D37BD7" w:rsidRDefault="00D37BD7" w:rsidP="00BA7ECC">
            <w:pPr>
              <w:jc w:val="center"/>
              <w:rPr>
                <w:rFonts w:ascii="Arial Narrow" w:hAnsi="Arial Narrow"/>
                <w:sz w:val="20"/>
              </w:rPr>
            </w:pPr>
            <w:r>
              <w:rPr>
                <w:rFonts w:ascii="Arial Narrow" w:hAnsi="Arial Narrow"/>
                <w:sz w:val="20"/>
              </w:rPr>
              <w:t>3 (3%)</w:t>
            </w:r>
          </w:p>
          <w:p w:rsidR="00D37BD7" w:rsidRPr="008E552F" w:rsidRDefault="00D37BD7" w:rsidP="00BA7ECC">
            <w:pPr>
              <w:jc w:val="center"/>
              <w:rPr>
                <w:rFonts w:ascii="Arial Narrow" w:hAnsi="Arial Narrow"/>
                <w:sz w:val="20"/>
              </w:rPr>
            </w:pPr>
            <w:r>
              <w:rPr>
                <w:rFonts w:ascii="Arial Narrow" w:hAnsi="Arial Narrow"/>
                <w:sz w:val="20"/>
              </w:rPr>
              <w:t>1 (1%)</w:t>
            </w:r>
          </w:p>
        </w:tc>
      </w:tr>
      <w:tr w:rsidR="00D37BD7" w:rsidRPr="004E2ADC" w:rsidTr="00BA7ECC">
        <w:tc>
          <w:tcPr>
            <w:tcW w:w="1524" w:type="pct"/>
          </w:tcPr>
          <w:p w:rsidR="00D37BD7" w:rsidRPr="00E14606" w:rsidRDefault="00D37BD7" w:rsidP="00BA7ECC">
            <w:pPr>
              <w:tabs>
                <w:tab w:val="left" w:pos="150"/>
              </w:tabs>
              <w:jc w:val="left"/>
              <w:rPr>
                <w:rFonts w:ascii="Arial Narrow" w:hAnsi="Arial Narrow"/>
                <w:sz w:val="20"/>
                <w:vertAlign w:val="superscript"/>
              </w:rPr>
            </w:pPr>
            <w:r>
              <w:rPr>
                <w:rFonts w:ascii="Arial Narrow" w:hAnsi="Arial Narrow"/>
                <w:sz w:val="20"/>
              </w:rPr>
              <w:t>Oral toxicity Grade 3-4</w:t>
            </w:r>
          </w:p>
        </w:tc>
        <w:tc>
          <w:tcPr>
            <w:tcW w:w="1102" w:type="pct"/>
          </w:tcPr>
          <w:p w:rsidR="00D37BD7" w:rsidRDefault="00D37BD7" w:rsidP="00BA7ECC">
            <w:pPr>
              <w:jc w:val="center"/>
              <w:rPr>
                <w:rFonts w:ascii="Arial Narrow" w:hAnsi="Arial Narrow"/>
                <w:sz w:val="20"/>
              </w:rPr>
            </w:pPr>
            <w:r>
              <w:rPr>
                <w:rFonts w:ascii="Arial Narrow" w:hAnsi="Arial Narrow"/>
                <w:sz w:val="20"/>
              </w:rPr>
              <w:t>0</w:t>
            </w:r>
          </w:p>
        </w:tc>
        <w:tc>
          <w:tcPr>
            <w:tcW w:w="1103" w:type="pct"/>
          </w:tcPr>
          <w:p w:rsidR="00D37BD7" w:rsidRPr="00225F9E" w:rsidRDefault="00D37BD7" w:rsidP="00BA7ECC">
            <w:pPr>
              <w:jc w:val="center"/>
              <w:rPr>
                <w:rFonts w:ascii="Arial Narrow" w:hAnsi="Arial Narrow"/>
                <w:sz w:val="20"/>
                <w:vertAlign w:val="superscript"/>
              </w:rPr>
            </w:pPr>
            <w:r>
              <w:rPr>
                <w:rFonts w:ascii="Arial Narrow" w:hAnsi="Arial Narrow"/>
                <w:sz w:val="20"/>
              </w:rPr>
              <w:t>14 (19.4%)</w:t>
            </w:r>
            <w:r>
              <w:rPr>
                <w:rFonts w:ascii="Arial Narrow" w:hAnsi="Arial Narrow"/>
                <w:sz w:val="20"/>
                <w:vertAlign w:val="superscript"/>
              </w:rPr>
              <w:t>g</w:t>
            </w:r>
          </w:p>
        </w:tc>
        <w:tc>
          <w:tcPr>
            <w:tcW w:w="1271" w:type="pct"/>
          </w:tcPr>
          <w:p w:rsidR="00D37BD7" w:rsidRPr="004E2ADC" w:rsidRDefault="00D37BD7" w:rsidP="00BA7ECC">
            <w:pPr>
              <w:jc w:val="center"/>
              <w:rPr>
                <w:rFonts w:ascii="Arial Narrow" w:hAnsi="Arial Narrow"/>
                <w:sz w:val="20"/>
              </w:rPr>
            </w:pPr>
            <w:r>
              <w:rPr>
                <w:rFonts w:ascii="Arial Narrow" w:hAnsi="Arial Narrow"/>
                <w:sz w:val="20"/>
              </w:rPr>
              <w:t>NR</w:t>
            </w:r>
          </w:p>
        </w:tc>
      </w:tr>
      <w:tr w:rsidR="00D37BD7" w:rsidRPr="004E2ADC" w:rsidTr="00BA7ECC">
        <w:tc>
          <w:tcPr>
            <w:tcW w:w="1524" w:type="pct"/>
          </w:tcPr>
          <w:p w:rsidR="00D37BD7" w:rsidRDefault="00D37BD7" w:rsidP="00BA7ECC">
            <w:pPr>
              <w:tabs>
                <w:tab w:val="left" w:pos="150"/>
              </w:tabs>
              <w:jc w:val="left"/>
              <w:rPr>
                <w:rFonts w:ascii="Arial Narrow" w:hAnsi="Arial Narrow"/>
                <w:sz w:val="20"/>
              </w:rPr>
            </w:pPr>
            <w:r>
              <w:rPr>
                <w:rFonts w:ascii="Arial Narrow" w:hAnsi="Arial Narrow"/>
                <w:sz w:val="20"/>
              </w:rPr>
              <w:t>Neurological</w:t>
            </w:r>
          </w:p>
          <w:p w:rsidR="00D37BD7" w:rsidRDefault="00D37BD7" w:rsidP="00BA7ECC">
            <w:pPr>
              <w:tabs>
                <w:tab w:val="left" w:pos="150"/>
              </w:tabs>
              <w:jc w:val="left"/>
              <w:rPr>
                <w:rFonts w:ascii="Arial Narrow" w:hAnsi="Arial Narrow"/>
                <w:sz w:val="20"/>
              </w:rPr>
            </w:pPr>
            <w:r>
              <w:rPr>
                <w:rFonts w:ascii="Arial Narrow" w:hAnsi="Arial Narrow"/>
                <w:sz w:val="20"/>
              </w:rPr>
              <w:tab/>
              <w:t>Induction</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1</w:t>
            </w:r>
          </w:p>
          <w:p w:rsidR="00D37BD7" w:rsidRDefault="00D37BD7" w:rsidP="00BA7ECC">
            <w:pPr>
              <w:tabs>
                <w:tab w:val="left" w:pos="150"/>
              </w:tabs>
              <w:jc w:val="left"/>
              <w:rPr>
                <w:rFonts w:ascii="Arial Narrow" w:hAnsi="Arial Narrow"/>
                <w:sz w:val="20"/>
              </w:rPr>
            </w:pPr>
            <w:r>
              <w:rPr>
                <w:rFonts w:ascii="Arial Narrow" w:hAnsi="Arial Narrow"/>
                <w:sz w:val="20"/>
              </w:rPr>
              <w:tab/>
              <w:t>Consolidation cycle 2</w:t>
            </w:r>
          </w:p>
        </w:tc>
        <w:tc>
          <w:tcPr>
            <w:tcW w:w="1102" w:type="pct"/>
          </w:tcPr>
          <w:p w:rsidR="00D37BD7" w:rsidRDefault="00D37BD7" w:rsidP="00BA7ECC">
            <w:pPr>
              <w:jc w:val="center"/>
              <w:rPr>
                <w:rFonts w:ascii="Arial Narrow" w:hAnsi="Arial Narrow"/>
                <w:sz w:val="20"/>
              </w:rPr>
            </w:pPr>
            <w:r>
              <w:rPr>
                <w:rFonts w:ascii="Arial Narrow" w:hAnsi="Arial Narrow"/>
                <w:sz w:val="20"/>
              </w:rPr>
              <w:t>NR</w:t>
            </w:r>
          </w:p>
        </w:tc>
        <w:tc>
          <w:tcPr>
            <w:tcW w:w="1103" w:type="pct"/>
          </w:tcPr>
          <w:p w:rsidR="00D37BD7" w:rsidRDefault="00D37BD7" w:rsidP="00BA7ECC">
            <w:pPr>
              <w:jc w:val="center"/>
              <w:rPr>
                <w:rFonts w:ascii="Arial Narrow" w:hAnsi="Arial Narrow"/>
                <w:sz w:val="20"/>
              </w:rPr>
            </w:pPr>
            <w:r>
              <w:rPr>
                <w:rFonts w:ascii="Arial Narrow" w:hAnsi="Arial Narrow"/>
                <w:sz w:val="20"/>
              </w:rPr>
              <w:t>NR</w:t>
            </w:r>
          </w:p>
        </w:tc>
        <w:tc>
          <w:tcPr>
            <w:tcW w:w="1271" w:type="pct"/>
          </w:tcPr>
          <w:p w:rsidR="00D37BD7" w:rsidRPr="00E1581E" w:rsidRDefault="00D37BD7" w:rsidP="00BA7ECC">
            <w:pPr>
              <w:jc w:val="center"/>
              <w:rPr>
                <w:rFonts w:ascii="Arial Narrow" w:hAnsi="Arial Narrow"/>
                <w:i/>
                <w:sz w:val="20"/>
              </w:rPr>
            </w:pPr>
            <w:r>
              <w:rPr>
                <w:rFonts w:ascii="Arial Narrow" w:hAnsi="Arial Narrow"/>
                <w:i/>
                <w:sz w:val="20"/>
              </w:rPr>
              <w:t>(N not reported)</w:t>
            </w:r>
          </w:p>
          <w:p w:rsidR="00D37BD7" w:rsidRDefault="00D37BD7" w:rsidP="00BA7ECC">
            <w:pPr>
              <w:jc w:val="center"/>
              <w:rPr>
                <w:rFonts w:ascii="Arial Narrow" w:hAnsi="Arial Narrow"/>
                <w:sz w:val="20"/>
              </w:rPr>
            </w:pPr>
            <w:r>
              <w:rPr>
                <w:rFonts w:ascii="Arial Narrow" w:hAnsi="Arial Narrow"/>
                <w:sz w:val="20"/>
              </w:rPr>
              <w:t>7 (6%)</w:t>
            </w:r>
          </w:p>
          <w:p w:rsidR="00D37BD7" w:rsidRDefault="00D37BD7" w:rsidP="00BA7ECC">
            <w:pPr>
              <w:jc w:val="center"/>
              <w:rPr>
                <w:rFonts w:ascii="Arial Narrow" w:hAnsi="Arial Narrow"/>
                <w:sz w:val="20"/>
              </w:rPr>
            </w:pPr>
            <w:r>
              <w:rPr>
                <w:rFonts w:ascii="Arial Narrow" w:hAnsi="Arial Narrow"/>
                <w:sz w:val="20"/>
              </w:rPr>
              <w:t>2 (2%)</w:t>
            </w:r>
          </w:p>
          <w:p w:rsidR="00D37BD7" w:rsidRDefault="00D37BD7" w:rsidP="00BA7ECC">
            <w:pPr>
              <w:jc w:val="center"/>
              <w:rPr>
                <w:rFonts w:ascii="Arial Narrow" w:hAnsi="Arial Narrow"/>
                <w:sz w:val="20"/>
              </w:rPr>
            </w:pPr>
            <w:r>
              <w:rPr>
                <w:rFonts w:ascii="Arial Narrow" w:hAnsi="Arial Narrow"/>
                <w:sz w:val="20"/>
              </w:rPr>
              <w:t>0</w:t>
            </w:r>
          </w:p>
        </w:tc>
      </w:tr>
    </w:tbl>
    <w:p w:rsidR="00D37BD7" w:rsidRPr="000B2900" w:rsidRDefault="00D37BD7" w:rsidP="00D37BD7">
      <w:pPr>
        <w:pStyle w:val="TableFooter"/>
        <w:ind w:left="709"/>
      </w:pPr>
      <w:r w:rsidRPr="000B2900">
        <w:t xml:space="preserve">AE = adverse event; APL DS = acute </w:t>
      </w:r>
      <w:proofErr w:type="spellStart"/>
      <w:r w:rsidRPr="000B2900">
        <w:t>promyelocytic</w:t>
      </w:r>
      <w:proofErr w:type="spellEnd"/>
      <w:r w:rsidRPr="000B2900">
        <w:t xml:space="preserve"> leukaemia differentiation syndrome; ATO = arsenic trioxide; ATRA = all-trans retinoic acid; NA = not applicable; NR = not reported</w:t>
      </w:r>
    </w:p>
    <w:p w:rsidR="00D37BD7" w:rsidRPr="000B2900" w:rsidRDefault="00D37BD7" w:rsidP="00D37BD7">
      <w:pPr>
        <w:pStyle w:val="TableFooter"/>
        <w:ind w:left="709"/>
      </w:pPr>
      <w:proofErr w:type="gramStart"/>
      <w:r w:rsidRPr="000B2900">
        <w:rPr>
          <w:vertAlign w:val="superscript"/>
        </w:rPr>
        <w:t>a</w:t>
      </w:r>
      <w:proofErr w:type="gramEnd"/>
      <w:r w:rsidRPr="000B2900">
        <w:t xml:space="preserve"> Leucocytosis defined as WCC&gt;10x10</w:t>
      </w:r>
      <w:r w:rsidRPr="000B2900">
        <w:rPr>
          <w:vertAlign w:val="superscript"/>
        </w:rPr>
        <w:t>9</w:t>
      </w:r>
      <w:r w:rsidRPr="000B2900">
        <w:t>/L</w:t>
      </w:r>
    </w:p>
    <w:p w:rsidR="00D37BD7" w:rsidRPr="000B2900" w:rsidRDefault="00D37BD7" w:rsidP="00D37BD7">
      <w:pPr>
        <w:pStyle w:val="TableFooter"/>
        <w:ind w:left="709"/>
      </w:pPr>
      <w:proofErr w:type="gramStart"/>
      <w:r w:rsidRPr="000B2900">
        <w:rPr>
          <w:vertAlign w:val="superscript"/>
        </w:rPr>
        <w:t>b</w:t>
      </w:r>
      <w:proofErr w:type="gramEnd"/>
      <w:r w:rsidRPr="000B2900">
        <w:t xml:space="preserve"> Platelets &lt;50x10</w:t>
      </w:r>
      <w:r w:rsidRPr="000B2900">
        <w:rPr>
          <w:vertAlign w:val="superscript"/>
        </w:rPr>
        <w:t>9</w:t>
      </w:r>
      <w:r w:rsidRPr="000B2900">
        <w:t>/L; Neutrophil count &lt;1x10</w:t>
      </w:r>
      <w:r w:rsidRPr="000B2900">
        <w:rPr>
          <w:vertAlign w:val="superscript"/>
        </w:rPr>
        <w:t>9</w:t>
      </w:r>
      <w:r w:rsidRPr="000B2900">
        <w:t xml:space="preserve">/L, </w:t>
      </w:r>
    </w:p>
    <w:p w:rsidR="00D37BD7" w:rsidRPr="000B2900" w:rsidRDefault="00D37BD7" w:rsidP="00D37BD7">
      <w:pPr>
        <w:pStyle w:val="TableFooter"/>
        <w:ind w:left="709"/>
      </w:pPr>
      <w:proofErr w:type="gramStart"/>
      <w:r w:rsidRPr="000B2900">
        <w:rPr>
          <w:vertAlign w:val="superscript"/>
        </w:rPr>
        <w:t>c</w:t>
      </w:r>
      <w:proofErr w:type="gramEnd"/>
      <w:r w:rsidRPr="000B2900">
        <w:t xml:space="preserve"> One patient discontinued due to seizures but subsequently died and is included as a death, rather than a discontinuation. Source Table 14.1.1, p 105 APML4 CSR</w:t>
      </w:r>
    </w:p>
    <w:p w:rsidR="00D37BD7" w:rsidRPr="000B2900" w:rsidRDefault="00D37BD7" w:rsidP="00D37BD7">
      <w:pPr>
        <w:pStyle w:val="TableFooter"/>
        <w:ind w:left="709"/>
      </w:pPr>
      <w:proofErr w:type="spellStart"/>
      <w:proofErr w:type="gramStart"/>
      <w:r w:rsidRPr="000B2900">
        <w:rPr>
          <w:vertAlign w:val="superscript"/>
        </w:rPr>
        <w:t>d</w:t>
      </w:r>
      <w:r w:rsidRPr="000B2900">
        <w:t>Source</w:t>
      </w:r>
      <w:proofErr w:type="spellEnd"/>
      <w:proofErr w:type="gramEnd"/>
      <w:r w:rsidRPr="000B2900">
        <w:t>: p96 APML4 CSR</w:t>
      </w:r>
    </w:p>
    <w:p w:rsidR="00D37BD7" w:rsidRPr="000B2900" w:rsidRDefault="00D37BD7" w:rsidP="00D37BD7">
      <w:pPr>
        <w:pStyle w:val="TableFooter"/>
        <w:ind w:left="709"/>
      </w:pPr>
      <w:proofErr w:type="gramStart"/>
      <w:r w:rsidRPr="000B2900">
        <w:rPr>
          <w:vertAlign w:val="superscript"/>
        </w:rPr>
        <w:t>e</w:t>
      </w:r>
      <w:proofErr w:type="gramEnd"/>
      <w:r w:rsidRPr="000B2900">
        <w:t xml:space="preserve"> Source: Table 14.3.1.3, p155 APML4 CSR</w:t>
      </w:r>
    </w:p>
    <w:p w:rsidR="00D37BD7" w:rsidRPr="000B2900" w:rsidRDefault="00D37BD7" w:rsidP="00D37BD7">
      <w:pPr>
        <w:pStyle w:val="TableFooter"/>
        <w:ind w:left="709"/>
      </w:pPr>
      <w:proofErr w:type="gramStart"/>
      <w:r w:rsidRPr="000B2900">
        <w:rPr>
          <w:vertAlign w:val="superscript"/>
        </w:rPr>
        <w:t>f</w:t>
      </w:r>
      <w:proofErr w:type="gramEnd"/>
      <w:r w:rsidRPr="000B2900">
        <w:t xml:space="preserve"> p90 APML4 CSR, Table 29, p99 and Table 14.3.1.1 p144 APML4 CSR. </w:t>
      </w:r>
    </w:p>
    <w:p w:rsidR="00D37BD7" w:rsidRPr="000B2900" w:rsidRDefault="00D37BD7" w:rsidP="00D37BD7">
      <w:pPr>
        <w:pStyle w:val="TableFooter"/>
        <w:ind w:left="709"/>
      </w:pPr>
      <w:proofErr w:type="gramStart"/>
      <w:r w:rsidRPr="000B2900">
        <w:rPr>
          <w:vertAlign w:val="superscript"/>
        </w:rPr>
        <w:t>g</w:t>
      </w:r>
      <w:proofErr w:type="gramEnd"/>
      <w:r w:rsidRPr="000B2900">
        <w:t xml:space="preserve"> As reported in Table S3, p12 of Lo-Coco 2013 Supplementary appendix</w:t>
      </w:r>
    </w:p>
    <w:p w:rsidR="00D37BD7" w:rsidRPr="000B2900" w:rsidRDefault="00D37BD7" w:rsidP="00D37BD7">
      <w:pPr>
        <w:pStyle w:val="TableFooter"/>
        <w:ind w:left="709"/>
      </w:pPr>
      <w:proofErr w:type="gramStart"/>
      <w:r w:rsidRPr="000B2900">
        <w:rPr>
          <w:vertAlign w:val="superscript"/>
        </w:rPr>
        <w:t>h</w:t>
      </w:r>
      <w:proofErr w:type="gramEnd"/>
      <w:r w:rsidRPr="000B2900">
        <w:t xml:space="preserve"> Two of the 5 patients with severe APL DS.</w:t>
      </w:r>
    </w:p>
    <w:p w:rsidR="00D37BD7" w:rsidRPr="000B2900" w:rsidRDefault="00D37BD7" w:rsidP="00D37BD7">
      <w:pPr>
        <w:pStyle w:val="TableFooter"/>
        <w:ind w:left="709"/>
      </w:pPr>
      <w:r w:rsidRPr="000B2900">
        <w:t>* Risk difference -7.6% (95%CI: -14.3%, -0.8%)</w:t>
      </w:r>
    </w:p>
    <w:p w:rsidR="00D37BD7" w:rsidRPr="000B2900" w:rsidRDefault="00D37BD7" w:rsidP="00D37BD7">
      <w:pPr>
        <w:pStyle w:val="TableFooter"/>
        <w:ind w:left="709"/>
      </w:pPr>
      <w:r w:rsidRPr="000B2900">
        <w:t>Table constructed during the evaluation.</w:t>
      </w:r>
    </w:p>
    <w:p w:rsidR="00D37BD7" w:rsidRPr="000B2900" w:rsidRDefault="00D37BD7" w:rsidP="00D37BD7">
      <w:pPr>
        <w:pStyle w:val="TableFooter"/>
        <w:ind w:left="709"/>
      </w:pPr>
      <w:r w:rsidRPr="000B2900">
        <w:t xml:space="preserve">Source for Lo-Coco 2013: Table B.7.1, p 90 of the submission; pp 117-118 and Figure 4 p118 Lo-Coco 2013; Table S3 Lo-Coco 2013 supplementary appendix. Source for APML4: Table B.7.1, p90 of the submission and Table 3, p1575 </w:t>
      </w:r>
      <w:proofErr w:type="spellStart"/>
      <w:r w:rsidRPr="000B2900">
        <w:t>Iland</w:t>
      </w:r>
      <w:proofErr w:type="spellEnd"/>
      <w:r w:rsidRPr="000B2900">
        <w:t xml:space="preserve"> et al (2012), unless otherwise noted.</w:t>
      </w:r>
    </w:p>
    <w:p w:rsidR="00D37BD7" w:rsidRDefault="00D37BD7" w:rsidP="00D37BD7">
      <w:pPr>
        <w:pStyle w:val="ListParagraph"/>
        <w:widowControl/>
        <w:rPr>
          <w:szCs w:val="22"/>
        </w:rPr>
      </w:pPr>
    </w:p>
    <w:p w:rsidR="00D37BD7" w:rsidRPr="002F18CF" w:rsidRDefault="00D37BD7" w:rsidP="00D37BD7">
      <w:pPr>
        <w:pStyle w:val="ListParagraph"/>
        <w:widowControl/>
        <w:numPr>
          <w:ilvl w:val="1"/>
          <w:numId w:val="3"/>
        </w:numPr>
        <w:rPr>
          <w:szCs w:val="22"/>
        </w:rPr>
      </w:pPr>
      <w:r w:rsidRPr="002F18CF">
        <w:rPr>
          <w:szCs w:val="22"/>
        </w:rPr>
        <w:t>The ESC acknowledged that further safety data were provided in Burnett 2015, noting in particular the increase in cardiac toxicity associated with ATO treatment. These additional data were not stratified by risk status.</w:t>
      </w:r>
    </w:p>
    <w:p w:rsidR="00524351" w:rsidRPr="002F18CF" w:rsidRDefault="00524351" w:rsidP="00524351">
      <w:pPr>
        <w:widowControl/>
        <w:rPr>
          <w:szCs w:val="22"/>
        </w:rPr>
      </w:pPr>
    </w:p>
    <w:p w:rsidR="00524351" w:rsidRPr="0093387E" w:rsidRDefault="00524351" w:rsidP="00524351">
      <w:pPr>
        <w:widowControl/>
        <w:rPr>
          <w:szCs w:val="22"/>
          <w:u w:val="single"/>
        </w:rPr>
      </w:pPr>
      <w:r w:rsidRPr="0093387E">
        <w:rPr>
          <w:szCs w:val="22"/>
          <w:u w:val="single"/>
        </w:rPr>
        <w:t>Low-intermediate risk APL</w:t>
      </w:r>
    </w:p>
    <w:p w:rsidR="00524351" w:rsidRPr="0093387E" w:rsidRDefault="00524351" w:rsidP="00524351">
      <w:pPr>
        <w:widowControl/>
        <w:rPr>
          <w:szCs w:val="22"/>
        </w:rPr>
      </w:pPr>
    </w:p>
    <w:p w:rsidR="00524351" w:rsidRPr="00790CD9" w:rsidRDefault="00524351" w:rsidP="002969CC">
      <w:pPr>
        <w:pStyle w:val="ListParagraph"/>
        <w:widowControl/>
        <w:numPr>
          <w:ilvl w:val="1"/>
          <w:numId w:val="3"/>
        </w:numPr>
        <w:rPr>
          <w:szCs w:val="22"/>
        </w:rPr>
      </w:pPr>
      <w:r w:rsidRPr="00790CD9">
        <w:t xml:space="preserve">In Lo-Coco 2013, ATO replaced the use of chemotherapy in both the induction and consolidation phases. In addition, in contrast to the </w:t>
      </w:r>
      <w:proofErr w:type="spellStart"/>
      <w:r w:rsidRPr="00790CD9">
        <w:t>ATRA+chemotherapy</w:t>
      </w:r>
      <w:proofErr w:type="spellEnd"/>
      <w:r w:rsidRPr="00790CD9">
        <w:t xml:space="preserve"> arm, patients in the ATO+ATRA treatment group did not receive maintenance therapy. The difference between the two treatment arms, in terms safety outcomes, reflected the difference in the safety profiles of ATO and chemotherapy.</w:t>
      </w:r>
    </w:p>
    <w:p w:rsidR="00524351" w:rsidRPr="00A42793" w:rsidRDefault="00524351" w:rsidP="00524351">
      <w:pPr>
        <w:pStyle w:val="ListParagraph"/>
        <w:widowControl/>
        <w:rPr>
          <w:szCs w:val="22"/>
        </w:rPr>
      </w:pPr>
    </w:p>
    <w:p w:rsidR="00524351" w:rsidRPr="00790CD9" w:rsidRDefault="00524351" w:rsidP="002969CC">
      <w:pPr>
        <w:pStyle w:val="ListParagraph"/>
        <w:widowControl/>
        <w:numPr>
          <w:ilvl w:val="1"/>
          <w:numId w:val="3"/>
        </w:numPr>
        <w:rPr>
          <w:szCs w:val="22"/>
        </w:rPr>
      </w:pPr>
      <w:proofErr w:type="spellStart"/>
      <w:r w:rsidRPr="00790CD9">
        <w:t>ATRA+chemotherapy</w:t>
      </w:r>
      <w:proofErr w:type="spellEnd"/>
      <w:r w:rsidRPr="00790CD9">
        <w:t xml:space="preserve"> was associated with a higher incidence of grade 3-4 prolonged </w:t>
      </w:r>
      <w:proofErr w:type="spellStart"/>
      <w:r w:rsidRPr="00790CD9">
        <w:t>cytopenias</w:t>
      </w:r>
      <w:proofErr w:type="spellEnd"/>
      <w:r w:rsidRPr="00790CD9">
        <w:t xml:space="preserve"> (lasting &gt;15 days), </w:t>
      </w:r>
      <w:proofErr w:type="spellStart"/>
      <w:r w:rsidRPr="00790CD9">
        <w:t>mucositis</w:t>
      </w:r>
      <w:proofErr w:type="spellEnd"/>
      <w:r w:rsidRPr="00790CD9">
        <w:t xml:space="preserve"> and infections compared to ATO+ATRA. Only two patients in the </w:t>
      </w:r>
      <w:proofErr w:type="spellStart"/>
      <w:r w:rsidRPr="00790CD9">
        <w:t>ATRA+chemotherapy</w:t>
      </w:r>
      <w:proofErr w:type="spellEnd"/>
      <w:r w:rsidRPr="00790CD9">
        <w:t xml:space="preserve"> arm were reported to have discontinued due to prolonged myelosuppression</w:t>
      </w:r>
      <w:r w:rsidR="00126B79" w:rsidRPr="00790CD9">
        <w:t xml:space="preserve"> (in the </w:t>
      </w:r>
      <w:r w:rsidRPr="00790CD9">
        <w:t>maintenance phase</w:t>
      </w:r>
      <w:r w:rsidR="00126B79" w:rsidRPr="00790CD9">
        <w:t>)</w:t>
      </w:r>
      <w:r w:rsidRPr="00790CD9">
        <w:t>.</w:t>
      </w:r>
    </w:p>
    <w:p w:rsidR="00524351" w:rsidRPr="00790CD9" w:rsidRDefault="00524351" w:rsidP="00524351">
      <w:pPr>
        <w:pStyle w:val="ListParagraph"/>
        <w:widowControl/>
        <w:rPr>
          <w:szCs w:val="22"/>
        </w:rPr>
      </w:pPr>
    </w:p>
    <w:p w:rsidR="00524351" w:rsidRPr="00306622" w:rsidRDefault="00524351" w:rsidP="002969CC">
      <w:pPr>
        <w:pStyle w:val="ListParagraph"/>
        <w:widowControl/>
        <w:numPr>
          <w:ilvl w:val="1"/>
          <w:numId w:val="3"/>
        </w:numPr>
        <w:rPr>
          <w:szCs w:val="22"/>
        </w:rPr>
      </w:pPr>
      <w:r w:rsidRPr="00790CD9">
        <w:t xml:space="preserve">Prolongation of </w:t>
      </w:r>
      <w:proofErr w:type="spellStart"/>
      <w:r w:rsidRPr="00790CD9">
        <w:t>QTc</w:t>
      </w:r>
      <w:proofErr w:type="spellEnd"/>
      <w:r w:rsidRPr="00790CD9">
        <w:t xml:space="preserve"> interval, </w:t>
      </w:r>
      <w:proofErr w:type="spellStart"/>
      <w:r w:rsidRPr="00790CD9">
        <w:t>leukocytosis</w:t>
      </w:r>
      <w:proofErr w:type="spellEnd"/>
      <w:r w:rsidRPr="00790CD9">
        <w:t xml:space="preserve">, and grade 3-4 hepatic toxicity all occurred more frequently in the ATO+ATRA treatment group compared to the </w:t>
      </w:r>
      <w:proofErr w:type="spellStart"/>
      <w:r w:rsidRPr="00790CD9">
        <w:t>ATRA+chemotherapy</w:t>
      </w:r>
      <w:proofErr w:type="spellEnd"/>
      <w:r w:rsidRPr="00790CD9">
        <w:t xml:space="preserve"> group. The hepatic toxic effects were all managed with </w:t>
      </w:r>
      <w:r w:rsidRPr="00790CD9">
        <w:lastRenderedPageBreak/>
        <w:t xml:space="preserve">temporary discontinuation of study medication, and the leucocytosis was successfully managed with </w:t>
      </w:r>
      <w:proofErr w:type="spellStart"/>
      <w:r w:rsidRPr="00790CD9">
        <w:t>hydroxyurea</w:t>
      </w:r>
      <w:proofErr w:type="spellEnd"/>
      <w:r w:rsidRPr="00790CD9">
        <w:t xml:space="preserve">; neither of these AEs resulted in permanent discontinuation of study drug. Permanent discontinuation of ATO was only required in one of the 12 patients with documented prolongation of the </w:t>
      </w:r>
      <w:proofErr w:type="spellStart"/>
      <w:r w:rsidRPr="00790CD9">
        <w:t>QTc</w:t>
      </w:r>
      <w:proofErr w:type="spellEnd"/>
      <w:r w:rsidRPr="00790CD9">
        <w:t xml:space="preserve"> interval.</w:t>
      </w:r>
    </w:p>
    <w:p w:rsidR="00306622" w:rsidRPr="00306622" w:rsidRDefault="00306622" w:rsidP="00306622">
      <w:pPr>
        <w:pStyle w:val="ListParagraph"/>
        <w:rPr>
          <w:szCs w:val="22"/>
        </w:rPr>
      </w:pPr>
    </w:p>
    <w:p w:rsidR="00126B79" w:rsidRPr="00790CD9" w:rsidRDefault="00126B79" w:rsidP="002969CC">
      <w:pPr>
        <w:pStyle w:val="ListParagraph"/>
        <w:widowControl/>
        <w:numPr>
          <w:ilvl w:val="1"/>
          <w:numId w:val="3"/>
        </w:numPr>
        <w:rPr>
          <w:szCs w:val="22"/>
        </w:rPr>
      </w:pPr>
      <w:r w:rsidRPr="00790CD9">
        <w:t xml:space="preserve">Given the relatively small sample size and the difference in the toxicity profiles of the regimens, it was not possible to draw any definite conclusions regarding the short-term safety of ATO+ATRA compared to </w:t>
      </w:r>
      <w:proofErr w:type="spellStart"/>
      <w:r w:rsidRPr="00790CD9">
        <w:t>ATRA+chemotherapy</w:t>
      </w:r>
      <w:proofErr w:type="spellEnd"/>
      <w:r w:rsidRPr="00790CD9">
        <w:t xml:space="preserve">. </w:t>
      </w:r>
      <w:r w:rsidRPr="00790CD9">
        <w:rPr>
          <w:iCs/>
        </w:rPr>
        <w:t xml:space="preserve">However, the lower mortality observed with ATO+ATRA compared to </w:t>
      </w:r>
      <w:proofErr w:type="spellStart"/>
      <w:r w:rsidRPr="00790CD9">
        <w:rPr>
          <w:iCs/>
        </w:rPr>
        <w:t>ATRA+chemotherapy</w:t>
      </w:r>
      <w:proofErr w:type="spellEnd"/>
      <w:r w:rsidRPr="00790CD9">
        <w:rPr>
          <w:iCs/>
        </w:rPr>
        <w:t>, possibly due in part to reduced neutropenia and thrombocytopenia</w:t>
      </w:r>
      <w:r w:rsidRPr="00790CD9">
        <w:t xml:space="preserve">, and the ability to successfully manage most of the severe AEs associated with ATO, suggested that ATO+ATRA was at least as safe as </w:t>
      </w:r>
      <w:proofErr w:type="spellStart"/>
      <w:r w:rsidRPr="00790CD9">
        <w:t>ATRA+chemotherapy</w:t>
      </w:r>
      <w:proofErr w:type="spellEnd"/>
      <w:r w:rsidRPr="00790CD9">
        <w:t>, in the short term, in adult patients with low-intermediate risk APL.</w:t>
      </w:r>
    </w:p>
    <w:p w:rsidR="00A34B61" w:rsidRPr="00790CD9" w:rsidRDefault="00A34B61">
      <w:pPr>
        <w:widowControl/>
        <w:jc w:val="left"/>
        <w:rPr>
          <w:szCs w:val="22"/>
          <w:u w:val="single"/>
        </w:rPr>
      </w:pPr>
    </w:p>
    <w:p w:rsidR="00524351" w:rsidRPr="0093387E" w:rsidRDefault="00524351" w:rsidP="00524351">
      <w:pPr>
        <w:widowControl/>
        <w:rPr>
          <w:szCs w:val="22"/>
          <w:u w:val="single"/>
        </w:rPr>
      </w:pPr>
      <w:r w:rsidRPr="0093387E">
        <w:rPr>
          <w:szCs w:val="22"/>
          <w:u w:val="single"/>
        </w:rPr>
        <w:t>High risk APL</w:t>
      </w:r>
    </w:p>
    <w:p w:rsidR="00524351" w:rsidRPr="0093387E" w:rsidRDefault="00524351" w:rsidP="00524351">
      <w:pPr>
        <w:widowControl/>
        <w:rPr>
          <w:szCs w:val="22"/>
        </w:rPr>
      </w:pPr>
    </w:p>
    <w:p w:rsidR="000259AC" w:rsidRPr="00790CD9" w:rsidRDefault="000259AC" w:rsidP="002969CC">
      <w:pPr>
        <w:pStyle w:val="ListParagraph"/>
        <w:widowControl/>
        <w:numPr>
          <w:ilvl w:val="1"/>
          <w:numId w:val="3"/>
        </w:numPr>
        <w:rPr>
          <w:szCs w:val="22"/>
        </w:rPr>
      </w:pPr>
      <w:r w:rsidRPr="00790CD9">
        <w:t xml:space="preserve">In contrast to the ATO+ATRA regimen for low-intermediate risk APL, in APML4 ATO was added to </w:t>
      </w:r>
      <w:proofErr w:type="spellStart"/>
      <w:r w:rsidRPr="00790CD9">
        <w:t>ATRA+chemotherapy</w:t>
      </w:r>
      <w:proofErr w:type="spellEnd"/>
      <w:r w:rsidRPr="00790CD9">
        <w:t xml:space="preserve"> in the induction phase, and patients received maintenance therapy. As in Lo-Coco 2013, ATO replaced the use of chemotherapy in the consolidation phase of currently recommended </w:t>
      </w:r>
      <w:proofErr w:type="spellStart"/>
      <w:r w:rsidRPr="00790CD9">
        <w:t>ATRA+chemotherapy</w:t>
      </w:r>
      <w:proofErr w:type="spellEnd"/>
      <w:r w:rsidRPr="00790CD9">
        <w:t xml:space="preserve"> regimens. Safety data specific to patients with high risk APL were not provided.</w:t>
      </w:r>
    </w:p>
    <w:p w:rsidR="000259AC" w:rsidRPr="00A42793" w:rsidRDefault="000259AC" w:rsidP="000259AC">
      <w:pPr>
        <w:pStyle w:val="ListParagraph"/>
        <w:widowControl/>
        <w:rPr>
          <w:szCs w:val="22"/>
        </w:rPr>
      </w:pPr>
    </w:p>
    <w:p w:rsidR="000259AC" w:rsidRPr="0093387E" w:rsidRDefault="000259AC" w:rsidP="002969CC">
      <w:pPr>
        <w:pStyle w:val="ListParagraph"/>
        <w:widowControl/>
        <w:numPr>
          <w:ilvl w:val="1"/>
          <w:numId w:val="3"/>
        </w:numPr>
        <w:rPr>
          <w:szCs w:val="22"/>
        </w:rPr>
      </w:pPr>
      <w:r>
        <w:t xml:space="preserve">The submission stated that higher rates of AEs were reported during the induction phase for </w:t>
      </w:r>
      <w:proofErr w:type="spellStart"/>
      <w:r>
        <w:t>ATO+ATRA+chemotherapy</w:t>
      </w:r>
      <w:proofErr w:type="spellEnd"/>
      <w:r>
        <w:t xml:space="preserve"> in the APML4 study compared to those reported for ATO+ATRA in the trial reported by Lo-Coco 2013, and that this is not unexpected, given that ATO is added to </w:t>
      </w:r>
      <w:proofErr w:type="spellStart"/>
      <w:r>
        <w:t>ATRA+chemotherapy</w:t>
      </w:r>
      <w:proofErr w:type="spellEnd"/>
      <w:r>
        <w:t xml:space="preserve"> without complete removal of the chemotherapy component of the regimen.</w:t>
      </w:r>
    </w:p>
    <w:p w:rsidR="000259AC" w:rsidRDefault="000259AC" w:rsidP="000259AC">
      <w:pPr>
        <w:pStyle w:val="ListParagraph"/>
        <w:rPr>
          <w:i/>
        </w:rPr>
      </w:pPr>
    </w:p>
    <w:p w:rsidR="000259AC" w:rsidRPr="00790CD9" w:rsidRDefault="007C028C" w:rsidP="002969CC">
      <w:pPr>
        <w:pStyle w:val="ListParagraph"/>
        <w:widowControl/>
        <w:numPr>
          <w:ilvl w:val="1"/>
          <w:numId w:val="3"/>
        </w:numPr>
        <w:rPr>
          <w:szCs w:val="22"/>
        </w:rPr>
      </w:pPr>
      <w:r>
        <w:t xml:space="preserve">No </w:t>
      </w:r>
      <w:r w:rsidR="000259AC" w:rsidRPr="00790CD9">
        <w:t xml:space="preserve">comparative safety data were available to compare the </w:t>
      </w:r>
      <w:proofErr w:type="spellStart"/>
      <w:r w:rsidR="000259AC" w:rsidRPr="00790CD9">
        <w:t>ATO+ATRA+chemotherapy</w:t>
      </w:r>
      <w:proofErr w:type="spellEnd"/>
      <w:r w:rsidR="000259AC" w:rsidRPr="00790CD9">
        <w:t xml:space="preserve"> regimen used in APML4 with </w:t>
      </w:r>
      <w:proofErr w:type="spellStart"/>
      <w:r w:rsidR="000259AC" w:rsidRPr="00790CD9">
        <w:t>ATRA+chemotherapy</w:t>
      </w:r>
      <w:proofErr w:type="spellEnd"/>
      <w:r w:rsidR="000259AC" w:rsidRPr="00790CD9">
        <w:t xml:space="preserve">. Only minimal safety data were provided for APML3. </w:t>
      </w:r>
    </w:p>
    <w:p w:rsidR="000259AC" w:rsidRPr="00790CD9" w:rsidRDefault="000259AC" w:rsidP="000259AC">
      <w:pPr>
        <w:pStyle w:val="ListParagraph"/>
        <w:widowControl/>
        <w:rPr>
          <w:szCs w:val="22"/>
        </w:rPr>
      </w:pPr>
    </w:p>
    <w:p w:rsidR="000259AC" w:rsidRPr="00790CD9" w:rsidRDefault="000259AC" w:rsidP="002969CC">
      <w:pPr>
        <w:pStyle w:val="ListParagraph"/>
        <w:widowControl/>
        <w:numPr>
          <w:ilvl w:val="1"/>
          <w:numId w:val="3"/>
        </w:numPr>
        <w:rPr>
          <w:szCs w:val="22"/>
        </w:rPr>
      </w:pPr>
      <w:r w:rsidRPr="00790CD9">
        <w:t>Data on the long-term toxicity of ATO were not provided. There were minimal data on the use of ATO-containing regimens in paediatric patients.</w:t>
      </w:r>
    </w:p>
    <w:p w:rsidR="00A34B61" w:rsidRDefault="00A34B61">
      <w:pPr>
        <w:widowControl/>
        <w:jc w:val="left"/>
        <w:rPr>
          <w:b/>
          <w:i/>
        </w:rPr>
      </w:pPr>
      <w:bookmarkStart w:id="10" w:name="_Toc427598093"/>
    </w:p>
    <w:p w:rsidR="00AD486D" w:rsidRPr="00FF1087" w:rsidRDefault="00AD486D" w:rsidP="00AD486D">
      <w:pPr>
        <w:pStyle w:val="Heading2"/>
        <w:rPr>
          <w:szCs w:val="22"/>
        </w:rPr>
      </w:pPr>
      <w:r w:rsidRPr="00FF1087">
        <w:t>Benefits/harms</w:t>
      </w:r>
      <w:bookmarkEnd w:id="10"/>
    </w:p>
    <w:p w:rsidR="00AD486D" w:rsidRDefault="00AD486D" w:rsidP="00AD486D">
      <w:pPr>
        <w:pStyle w:val="ListParagraph"/>
        <w:ind w:left="0"/>
        <w:rPr>
          <w:szCs w:val="22"/>
        </w:rPr>
      </w:pPr>
    </w:p>
    <w:p w:rsidR="00AD486D" w:rsidRPr="00A55EF1" w:rsidRDefault="00AD486D" w:rsidP="00AD486D">
      <w:pPr>
        <w:pStyle w:val="ListParagraph"/>
        <w:ind w:left="0"/>
        <w:rPr>
          <w:szCs w:val="22"/>
          <w:u w:val="single"/>
        </w:rPr>
      </w:pPr>
      <w:r w:rsidRPr="00A55EF1">
        <w:rPr>
          <w:szCs w:val="22"/>
          <w:u w:val="single"/>
        </w:rPr>
        <w:t>Low-intermediate risk APL</w:t>
      </w:r>
    </w:p>
    <w:p w:rsidR="00AD486D" w:rsidRPr="007F1017" w:rsidRDefault="00AD486D" w:rsidP="00AD486D">
      <w:pPr>
        <w:pStyle w:val="ListParagraph"/>
        <w:ind w:left="0"/>
        <w:rPr>
          <w:szCs w:val="22"/>
        </w:rPr>
      </w:pPr>
    </w:p>
    <w:p w:rsidR="00AD486D" w:rsidRPr="00B50DB8" w:rsidRDefault="00AD486D" w:rsidP="002969CC">
      <w:pPr>
        <w:pStyle w:val="ListParagraph"/>
        <w:widowControl/>
        <w:numPr>
          <w:ilvl w:val="1"/>
          <w:numId w:val="3"/>
        </w:numPr>
        <w:rPr>
          <w:szCs w:val="22"/>
        </w:rPr>
      </w:pPr>
      <w:r w:rsidRPr="00B50DB8">
        <w:rPr>
          <w:szCs w:val="22"/>
        </w:rPr>
        <w:t xml:space="preserve">A summary of the comparative benefits and harms for </w:t>
      </w:r>
      <w:r>
        <w:rPr>
          <w:szCs w:val="22"/>
        </w:rPr>
        <w:t>ATO+ATRA</w:t>
      </w:r>
      <w:r w:rsidRPr="00B50DB8">
        <w:rPr>
          <w:szCs w:val="22"/>
        </w:rPr>
        <w:t xml:space="preserve"> versus </w:t>
      </w:r>
      <w:proofErr w:type="spellStart"/>
      <w:r>
        <w:rPr>
          <w:szCs w:val="22"/>
        </w:rPr>
        <w:t>ATRA+chemotherapy</w:t>
      </w:r>
      <w:proofErr w:type="spellEnd"/>
      <w:r>
        <w:rPr>
          <w:szCs w:val="22"/>
        </w:rPr>
        <w:t xml:space="preserve"> in </w:t>
      </w:r>
      <w:r w:rsidR="00E65000">
        <w:rPr>
          <w:szCs w:val="22"/>
        </w:rPr>
        <w:t xml:space="preserve">patients with </w:t>
      </w:r>
      <w:r>
        <w:rPr>
          <w:szCs w:val="22"/>
        </w:rPr>
        <w:t xml:space="preserve">low-intermediate risk APL </w:t>
      </w:r>
      <w:r w:rsidRPr="00B50DB8">
        <w:rPr>
          <w:szCs w:val="22"/>
        </w:rPr>
        <w:t xml:space="preserve">is presented in the table below. </w:t>
      </w:r>
    </w:p>
    <w:p w:rsidR="00AD486D" w:rsidRDefault="00AD486D" w:rsidP="00AD486D"/>
    <w:p w:rsidR="00AD486D" w:rsidRPr="005C7F65" w:rsidRDefault="00910447" w:rsidP="00AD486D">
      <w:pPr>
        <w:pStyle w:val="TableHeader"/>
        <w:ind w:left="720"/>
      </w:pPr>
      <w:r>
        <w:t xml:space="preserve">Table </w:t>
      </w:r>
      <w:r w:rsidR="00C85D1C">
        <w:t>7</w:t>
      </w:r>
      <w:r>
        <w:t>:</w:t>
      </w:r>
      <w:r w:rsidR="00AD486D" w:rsidRPr="00BA4D4C">
        <w:t xml:space="preserve"> Summary of comparative benefits and harms for ATO+ATRA and </w:t>
      </w:r>
      <w:proofErr w:type="spellStart"/>
      <w:r w:rsidR="00AD486D" w:rsidRPr="00BA4D4C">
        <w:t>ATRA+chemotherapy</w:t>
      </w:r>
      <w:proofErr w:type="spellEnd"/>
      <w:r w:rsidR="00AD486D" w:rsidRPr="00BA4D4C">
        <w:t xml:space="preserve"> (Lo-Coco</w:t>
      </w:r>
      <w:r w:rsidR="00E65000" w:rsidRPr="00BA4D4C">
        <w:t xml:space="preserve"> </w:t>
      </w:r>
      <w:r w:rsidR="00AD486D" w:rsidRPr="00BA4D4C">
        <w:t>2013)</w:t>
      </w:r>
    </w:p>
    <w:tbl>
      <w:tblPr>
        <w:tblStyle w:val="TableGrid"/>
        <w:tblW w:w="4626" w:type="pct"/>
        <w:tblInd w:w="698" w:type="dxa"/>
        <w:tblLayout w:type="fixed"/>
        <w:tblCellMar>
          <w:left w:w="28" w:type="dxa"/>
          <w:right w:w="28" w:type="dxa"/>
        </w:tblCellMar>
        <w:tblLook w:val="04A0" w:firstRow="1" w:lastRow="0" w:firstColumn="1" w:lastColumn="0" w:noHBand="0" w:noVBand="1"/>
        <w:tblCaption w:val=" "/>
      </w:tblPr>
      <w:tblGrid>
        <w:gridCol w:w="1457"/>
        <w:gridCol w:w="980"/>
        <w:gridCol w:w="1192"/>
        <w:gridCol w:w="1133"/>
        <w:gridCol w:w="1087"/>
        <w:gridCol w:w="1193"/>
        <w:gridCol w:w="1361"/>
      </w:tblGrid>
      <w:tr w:rsidR="001A37E5" w:rsidRPr="00525CB9" w:rsidTr="00BC1669">
        <w:trPr>
          <w:trHeight w:val="150"/>
          <w:tblHeader/>
        </w:trPr>
        <w:tc>
          <w:tcPr>
            <w:tcW w:w="867" w:type="pct"/>
            <w:vMerge w:val="restart"/>
            <w:shd w:val="clear" w:color="auto" w:fill="auto"/>
            <w:vAlign w:val="center"/>
          </w:tcPr>
          <w:p w:rsidR="00AD486D" w:rsidRPr="00525CB9" w:rsidRDefault="00AD486D" w:rsidP="00752277">
            <w:pPr>
              <w:rPr>
                <w:rFonts w:ascii="Arial Narrow" w:hAnsi="Arial Narrow"/>
                <w:b/>
                <w:color w:val="000000"/>
                <w:sz w:val="20"/>
                <w:szCs w:val="18"/>
              </w:rPr>
            </w:pPr>
            <w:r w:rsidRPr="00525CB9">
              <w:rPr>
                <w:rFonts w:ascii="Arial Narrow" w:hAnsi="Arial Narrow"/>
                <w:b/>
                <w:color w:val="000000"/>
                <w:sz w:val="20"/>
                <w:szCs w:val="18"/>
              </w:rPr>
              <w:t>Outcome</w:t>
            </w:r>
          </w:p>
        </w:tc>
        <w:tc>
          <w:tcPr>
            <w:tcW w:w="583" w:type="pct"/>
            <w:vMerge w:val="restart"/>
            <w:vAlign w:val="center"/>
          </w:tcPr>
          <w:p w:rsidR="00AD486D" w:rsidRPr="00525CB9" w:rsidRDefault="00AD486D" w:rsidP="00752277">
            <w:pPr>
              <w:jc w:val="center"/>
              <w:rPr>
                <w:rFonts w:ascii="Arial Narrow" w:hAnsi="Arial Narrow"/>
                <w:b/>
                <w:color w:val="000000"/>
                <w:sz w:val="20"/>
                <w:szCs w:val="18"/>
              </w:rPr>
            </w:pPr>
            <w:r w:rsidRPr="00525CB9">
              <w:rPr>
                <w:rFonts w:ascii="Arial Narrow" w:hAnsi="Arial Narrow"/>
                <w:b/>
                <w:color w:val="000000"/>
                <w:sz w:val="20"/>
                <w:szCs w:val="18"/>
              </w:rPr>
              <w:t>ATO+ATRA</w:t>
            </w:r>
          </w:p>
        </w:tc>
        <w:tc>
          <w:tcPr>
            <w:tcW w:w="709" w:type="pct"/>
            <w:vMerge w:val="restart"/>
            <w:vAlign w:val="center"/>
          </w:tcPr>
          <w:p w:rsidR="00AD486D" w:rsidRPr="00525CB9" w:rsidRDefault="00AD486D" w:rsidP="00752277">
            <w:pPr>
              <w:jc w:val="center"/>
              <w:rPr>
                <w:rFonts w:ascii="Arial Narrow" w:hAnsi="Arial Narrow"/>
                <w:b/>
                <w:color w:val="000000"/>
                <w:sz w:val="20"/>
                <w:szCs w:val="18"/>
              </w:rPr>
            </w:pPr>
            <w:proofErr w:type="spellStart"/>
            <w:r w:rsidRPr="00525CB9">
              <w:rPr>
                <w:rFonts w:ascii="Arial Narrow" w:hAnsi="Arial Narrow"/>
                <w:b/>
                <w:color w:val="000000"/>
                <w:sz w:val="20"/>
                <w:szCs w:val="18"/>
              </w:rPr>
              <w:t>ATRA+chemo</w:t>
            </w:r>
            <w:proofErr w:type="spellEnd"/>
          </w:p>
        </w:tc>
        <w:tc>
          <w:tcPr>
            <w:tcW w:w="674" w:type="pct"/>
            <w:vMerge w:val="restart"/>
            <w:vAlign w:val="center"/>
          </w:tcPr>
          <w:p w:rsidR="00AD486D" w:rsidRPr="00525CB9" w:rsidRDefault="00AD486D" w:rsidP="00752277">
            <w:pPr>
              <w:jc w:val="center"/>
              <w:rPr>
                <w:rFonts w:ascii="Arial Narrow" w:hAnsi="Arial Narrow"/>
                <w:b/>
                <w:color w:val="000000"/>
                <w:sz w:val="20"/>
                <w:szCs w:val="18"/>
              </w:rPr>
            </w:pPr>
            <w:r w:rsidRPr="00525CB9">
              <w:rPr>
                <w:rFonts w:ascii="Arial Narrow" w:hAnsi="Arial Narrow"/>
                <w:b/>
                <w:color w:val="000000"/>
                <w:sz w:val="20"/>
                <w:szCs w:val="18"/>
              </w:rPr>
              <w:t>RR</w:t>
            </w:r>
          </w:p>
          <w:p w:rsidR="00AD486D" w:rsidRPr="00525CB9" w:rsidRDefault="00AD486D" w:rsidP="00752277">
            <w:pPr>
              <w:jc w:val="center"/>
              <w:rPr>
                <w:rFonts w:ascii="Arial Narrow" w:hAnsi="Arial Narrow"/>
                <w:b/>
                <w:color w:val="000000"/>
                <w:sz w:val="20"/>
                <w:szCs w:val="18"/>
              </w:rPr>
            </w:pPr>
            <w:r w:rsidRPr="00525CB9">
              <w:rPr>
                <w:rFonts w:ascii="Arial Narrow" w:hAnsi="Arial Narrow"/>
                <w:b/>
                <w:color w:val="000000"/>
                <w:sz w:val="20"/>
                <w:szCs w:val="18"/>
              </w:rPr>
              <w:t>(95% CI)</w:t>
            </w:r>
          </w:p>
        </w:tc>
        <w:tc>
          <w:tcPr>
            <w:tcW w:w="1357" w:type="pct"/>
            <w:gridSpan w:val="2"/>
            <w:vAlign w:val="center"/>
          </w:tcPr>
          <w:p w:rsidR="00AD486D" w:rsidRPr="00525CB9" w:rsidRDefault="00AD486D" w:rsidP="00752277">
            <w:pPr>
              <w:jc w:val="center"/>
              <w:rPr>
                <w:rFonts w:ascii="Arial Narrow" w:hAnsi="Arial Narrow"/>
                <w:b/>
                <w:color w:val="000000"/>
                <w:sz w:val="20"/>
                <w:szCs w:val="18"/>
              </w:rPr>
            </w:pPr>
            <w:r w:rsidRPr="00525CB9">
              <w:rPr>
                <w:rFonts w:ascii="Arial Narrow" w:hAnsi="Arial Narrow"/>
                <w:b/>
                <w:color w:val="000000"/>
                <w:sz w:val="20"/>
                <w:szCs w:val="18"/>
              </w:rPr>
              <w:t xml:space="preserve">Event rate/100 patients* </w:t>
            </w:r>
          </w:p>
        </w:tc>
        <w:tc>
          <w:tcPr>
            <w:tcW w:w="810" w:type="pct"/>
            <w:vAlign w:val="center"/>
          </w:tcPr>
          <w:p w:rsidR="00AD486D" w:rsidRPr="00525CB9" w:rsidRDefault="00AD486D" w:rsidP="00752277">
            <w:pPr>
              <w:jc w:val="center"/>
              <w:rPr>
                <w:rFonts w:ascii="Arial Narrow" w:hAnsi="Arial Narrow"/>
                <w:b/>
                <w:color w:val="000000"/>
                <w:sz w:val="20"/>
                <w:szCs w:val="18"/>
              </w:rPr>
            </w:pPr>
            <w:r w:rsidRPr="00525CB9">
              <w:rPr>
                <w:rFonts w:ascii="Arial Narrow" w:hAnsi="Arial Narrow"/>
                <w:b/>
                <w:color w:val="000000"/>
                <w:sz w:val="20"/>
                <w:szCs w:val="18"/>
              </w:rPr>
              <w:t>RD</w:t>
            </w:r>
          </w:p>
          <w:p w:rsidR="00AD486D" w:rsidRPr="00525CB9" w:rsidRDefault="00AD486D" w:rsidP="00752277">
            <w:pPr>
              <w:jc w:val="center"/>
              <w:rPr>
                <w:rFonts w:ascii="Arial Narrow" w:hAnsi="Arial Narrow"/>
                <w:b/>
                <w:color w:val="000000"/>
                <w:sz w:val="20"/>
                <w:szCs w:val="18"/>
              </w:rPr>
            </w:pPr>
            <w:r w:rsidRPr="00525CB9">
              <w:rPr>
                <w:rFonts w:ascii="Arial Narrow" w:hAnsi="Arial Narrow"/>
                <w:b/>
                <w:color w:val="000000"/>
                <w:sz w:val="20"/>
                <w:szCs w:val="18"/>
              </w:rPr>
              <w:t>(95% CI)</w:t>
            </w:r>
          </w:p>
        </w:tc>
      </w:tr>
      <w:tr w:rsidR="00AC1243" w:rsidRPr="00525CB9" w:rsidTr="00BC1669">
        <w:trPr>
          <w:trHeight w:val="315"/>
          <w:tblHeader/>
        </w:trPr>
        <w:tc>
          <w:tcPr>
            <w:tcW w:w="867" w:type="pct"/>
            <w:vMerge/>
            <w:tcBorders>
              <w:bottom w:val="double" w:sz="4" w:space="0" w:color="auto"/>
            </w:tcBorders>
            <w:shd w:val="clear" w:color="auto" w:fill="auto"/>
            <w:vAlign w:val="center"/>
          </w:tcPr>
          <w:p w:rsidR="00AD486D" w:rsidRPr="00525CB9" w:rsidRDefault="00AD486D" w:rsidP="00752277">
            <w:pPr>
              <w:rPr>
                <w:rFonts w:ascii="Arial Narrow" w:hAnsi="Arial Narrow"/>
                <w:b/>
                <w:color w:val="000000"/>
                <w:sz w:val="20"/>
                <w:szCs w:val="18"/>
              </w:rPr>
            </w:pPr>
          </w:p>
        </w:tc>
        <w:tc>
          <w:tcPr>
            <w:tcW w:w="583" w:type="pct"/>
            <w:vMerge/>
            <w:tcBorders>
              <w:bottom w:val="double" w:sz="4" w:space="0" w:color="auto"/>
            </w:tcBorders>
            <w:vAlign w:val="center"/>
          </w:tcPr>
          <w:p w:rsidR="00AD486D" w:rsidRPr="00525CB9" w:rsidRDefault="00AD486D" w:rsidP="00752277">
            <w:pPr>
              <w:jc w:val="center"/>
              <w:rPr>
                <w:rFonts w:ascii="Arial Narrow" w:hAnsi="Arial Narrow"/>
                <w:b/>
                <w:color w:val="000000"/>
                <w:sz w:val="20"/>
                <w:szCs w:val="18"/>
              </w:rPr>
            </w:pPr>
          </w:p>
        </w:tc>
        <w:tc>
          <w:tcPr>
            <w:tcW w:w="709" w:type="pct"/>
            <w:vMerge/>
            <w:tcBorders>
              <w:bottom w:val="double" w:sz="4" w:space="0" w:color="auto"/>
            </w:tcBorders>
            <w:vAlign w:val="center"/>
          </w:tcPr>
          <w:p w:rsidR="00AD486D" w:rsidRPr="00525CB9" w:rsidRDefault="00AD486D" w:rsidP="00752277">
            <w:pPr>
              <w:jc w:val="center"/>
              <w:rPr>
                <w:rFonts w:ascii="Arial Narrow" w:hAnsi="Arial Narrow"/>
                <w:b/>
                <w:color w:val="000000"/>
                <w:sz w:val="20"/>
                <w:szCs w:val="18"/>
              </w:rPr>
            </w:pPr>
          </w:p>
        </w:tc>
        <w:tc>
          <w:tcPr>
            <w:tcW w:w="674" w:type="pct"/>
            <w:vMerge/>
            <w:tcBorders>
              <w:bottom w:val="double" w:sz="4" w:space="0" w:color="auto"/>
            </w:tcBorders>
            <w:vAlign w:val="center"/>
          </w:tcPr>
          <w:p w:rsidR="00AD486D" w:rsidRPr="00525CB9" w:rsidRDefault="00AD486D" w:rsidP="00752277">
            <w:pPr>
              <w:jc w:val="center"/>
              <w:rPr>
                <w:rFonts w:ascii="Arial Narrow" w:hAnsi="Arial Narrow"/>
                <w:b/>
                <w:color w:val="000000"/>
                <w:sz w:val="20"/>
                <w:szCs w:val="18"/>
              </w:rPr>
            </w:pPr>
          </w:p>
        </w:tc>
        <w:tc>
          <w:tcPr>
            <w:tcW w:w="647" w:type="pct"/>
            <w:tcBorders>
              <w:bottom w:val="double" w:sz="4" w:space="0" w:color="auto"/>
            </w:tcBorders>
            <w:vAlign w:val="center"/>
          </w:tcPr>
          <w:p w:rsidR="00AD486D" w:rsidRPr="00525CB9" w:rsidRDefault="00AD486D" w:rsidP="00752277">
            <w:pPr>
              <w:jc w:val="center"/>
              <w:rPr>
                <w:rFonts w:ascii="Arial Narrow" w:hAnsi="Arial Narrow"/>
                <w:b/>
                <w:color w:val="000000"/>
                <w:sz w:val="20"/>
                <w:szCs w:val="18"/>
              </w:rPr>
            </w:pPr>
            <w:r w:rsidRPr="00525CB9">
              <w:rPr>
                <w:rFonts w:ascii="Arial Narrow" w:hAnsi="Arial Narrow"/>
                <w:b/>
                <w:color w:val="000000"/>
                <w:sz w:val="20"/>
                <w:szCs w:val="18"/>
              </w:rPr>
              <w:t>ATO+ATRA</w:t>
            </w:r>
          </w:p>
        </w:tc>
        <w:tc>
          <w:tcPr>
            <w:tcW w:w="710" w:type="pct"/>
            <w:tcBorders>
              <w:bottom w:val="double" w:sz="4" w:space="0" w:color="auto"/>
            </w:tcBorders>
            <w:vAlign w:val="center"/>
          </w:tcPr>
          <w:p w:rsidR="00AD486D" w:rsidRPr="00525CB9" w:rsidRDefault="00AD486D" w:rsidP="00752277">
            <w:pPr>
              <w:jc w:val="center"/>
              <w:rPr>
                <w:rFonts w:ascii="Arial Narrow" w:hAnsi="Arial Narrow"/>
                <w:b/>
                <w:color w:val="000000"/>
                <w:sz w:val="20"/>
                <w:szCs w:val="18"/>
              </w:rPr>
            </w:pPr>
            <w:proofErr w:type="spellStart"/>
            <w:r w:rsidRPr="00525CB9">
              <w:rPr>
                <w:rFonts w:ascii="Arial Narrow" w:hAnsi="Arial Narrow"/>
                <w:b/>
                <w:color w:val="000000"/>
                <w:sz w:val="20"/>
                <w:szCs w:val="18"/>
              </w:rPr>
              <w:t>ATRA+chemo</w:t>
            </w:r>
            <w:proofErr w:type="spellEnd"/>
          </w:p>
        </w:tc>
        <w:tc>
          <w:tcPr>
            <w:tcW w:w="810" w:type="pct"/>
            <w:tcBorders>
              <w:bottom w:val="double" w:sz="4" w:space="0" w:color="auto"/>
            </w:tcBorders>
            <w:vAlign w:val="center"/>
          </w:tcPr>
          <w:p w:rsidR="00AD486D" w:rsidRPr="00525CB9" w:rsidRDefault="00AD486D" w:rsidP="00752277">
            <w:pPr>
              <w:jc w:val="center"/>
              <w:rPr>
                <w:rFonts w:ascii="Arial Narrow" w:hAnsi="Arial Narrow"/>
                <w:b/>
                <w:color w:val="000000"/>
                <w:sz w:val="20"/>
                <w:szCs w:val="18"/>
              </w:rPr>
            </w:pPr>
          </w:p>
        </w:tc>
      </w:tr>
      <w:tr w:rsidR="00AC1243" w:rsidRPr="00525CB9" w:rsidTr="00AC1243">
        <w:tc>
          <w:tcPr>
            <w:tcW w:w="5000" w:type="pct"/>
            <w:gridSpan w:val="7"/>
            <w:shd w:val="clear" w:color="auto" w:fill="auto"/>
            <w:vAlign w:val="center"/>
          </w:tcPr>
          <w:p w:rsidR="00AC1243" w:rsidRPr="00525CB9" w:rsidRDefault="00AC1243" w:rsidP="00AC1243">
            <w:pPr>
              <w:pStyle w:val="Tabletext"/>
            </w:pPr>
            <w:r w:rsidRPr="00525CB9">
              <w:rPr>
                <w:b/>
                <w:color w:val="000000"/>
                <w:szCs w:val="18"/>
              </w:rPr>
              <w:t>Benefits</w:t>
            </w:r>
          </w:p>
        </w:tc>
      </w:tr>
      <w:tr w:rsidR="001A37E5" w:rsidRPr="00525CB9" w:rsidTr="00A34B61">
        <w:tc>
          <w:tcPr>
            <w:tcW w:w="867" w:type="pct"/>
            <w:shd w:val="clear" w:color="auto" w:fill="auto"/>
          </w:tcPr>
          <w:p w:rsidR="00AD486D" w:rsidRPr="00525CB9" w:rsidRDefault="00AD486D" w:rsidP="00E65000">
            <w:pPr>
              <w:jc w:val="left"/>
              <w:rPr>
                <w:rFonts w:ascii="Arial Narrow" w:hAnsi="Arial Narrow"/>
                <w:color w:val="000000"/>
                <w:sz w:val="20"/>
                <w:szCs w:val="18"/>
              </w:rPr>
            </w:pPr>
            <w:r w:rsidRPr="00525CB9">
              <w:rPr>
                <w:rFonts w:ascii="Arial Narrow" w:hAnsi="Arial Narrow"/>
                <w:b/>
                <w:color w:val="000000"/>
                <w:sz w:val="20"/>
                <w:szCs w:val="18"/>
              </w:rPr>
              <w:t xml:space="preserve">Event-free survival rate at 2 </w:t>
            </w:r>
            <w:r w:rsidRPr="00525CB9">
              <w:rPr>
                <w:rFonts w:ascii="Arial Narrow" w:hAnsi="Arial Narrow"/>
                <w:b/>
                <w:color w:val="000000"/>
                <w:sz w:val="20"/>
                <w:szCs w:val="18"/>
              </w:rPr>
              <w:lastRenderedPageBreak/>
              <w:t>years(</w:t>
            </w:r>
            <w:proofErr w:type="spellStart"/>
            <w:r w:rsidRPr="00525CB9">
              <w:rPr>
                <w:rFonts w:ascii="Arial Narrow" w:hAnsi="Arial Narrow"/>
                <w:b/>
                <w:color w:val="000000"/>
                <w:sz w:val="20"/>
                <w:szCs w:val="18"/>
              </w:rPr>
              <w:t>mITT</w:t>
            </w:r>
            <w:proofErr w:type="spellEnd"/>
            <w:r w:rsidRPr="00525CB9">
              <w:rPr>
                <w:rFonts w:ascii="Arial Narrow" w:hAnsi="Arial Narrow"/>
                <w:b/>
                <w:color w:val="000000"/>
                <w:sz w:val="20"/>
                <w:szCs w:val="18"/>
              </w:rPr>
              <w:t>)</w:t>
            </w:r>
          </w:p>
        </w:tc>
        <w:tc>
          <w:tcPr>
            <w:tcW w:w="583" w:type="pct"/>
            <w:vAlign w:val="center"/>
          </w:tcPr>
          <w:p w:rsidR="00AD486D" w:rsidRPr="00525CB9" w:rsidRDefault="00AD486D" w:rsidP="00752277">
            <w:pPr>
              <w:jc w:val="center"/>
              <w:rPr>
                <w:rFonts w:ascii="Arial Narrow" w:hAnsi="Arial Narrow"/>
                <w:color w:val="000000"/>
                <w:sz w:val="20"/>
                <w:szCs w:val="18"/>
              </w:rPr>
            </w:pPr>
            <w:r w:rsidRPr="00525CB9">
              <w:rPr>
                <w:rFonts w:ascii="Arial Narrow" w:hAnsi="Arial Narrow"/>
                <w:color w:val="000000"/>
                <w:sz w:val="20"/>
                <w:szCs w:val="18"/>
              </w:rPr>
              <w:lastRenderedPageBreak/>
              <w:t>72/74</w:t>
            </w:r>
          </w:p>
        </w:tc>
        <w:tc>
          <w:tcPr>
            <w:tcW w:w="709" w:type="pct"/>
            <w:vAlign w:val="center"/>
          </w:tcPr>
          <w:p w:rsidR="00AD486D" w:rsidRPr="00525CB9" w:rsidRDefault="00AD486D" w:rsidP="00752277">
            <w:pPr>
              <w:jc w:val="center"/>
              <w:rPr>
                <w:rFonts w:ascii="Arial Narrow" w:hAnsi="Arial Narrow"/>
                <w:color w:val="000000"/>
                <w:sz w:val="20"/>
                <w:szCs w:val="18"/>
              </w:rPr>
            </w:pPr>
            <w:r w:rsidRPr="00525CB9">
              <w:rPr>
                <w:rFonts w:ascii="Arial Narrow" w:hAnsi="Arial Narrow"/>
                <w:color w:val="000000"/>
                <w:sz w:val="20"/>
                <w:szCs w:val="18"/>
              </w:rPr>
              <w:t>65/76</w:t>
            </w:r>
          </w:p>
        </w:tc>
        <w:tc>
          <w:tcPr>
            <w:tcW w:w="674" w:type="pct"/>
            <w:vAlign w:val="center"/>
          </w:tcPr>
          <w:p w:rsidR="00AD486D" w:rsidRPr="00525CB9" w:rsidRDefault="00AD486D" w:rsidP="00752277">
            <w:pPr>
              <w:pStyle w:val="Tabletext"/>
              <w:jc w:val="center"/>
            </w:pPr>
            <w:r w:rsidRPr="00525CB9">
              <w:t>1.14</w:t>
            </w:r>
          </w:p>
          <w:p w:rsidR="00AD486D" w:rsidRPr="00525CB9" w:rsidRDefault="00AD486D" w:rsidP="00752277">
            <w:pPr>
              <w:jc w:val="center"/>
              <w:rPr>
                <w:rFonts w:ascii="Arial Narrow" w:hAnsi="Arial Narrow"/>
                <w:color w:val="000000"/>
                <w:sz w:val="20"/>
                <w:szCs w:val="18"/>
              </w:rPr>
            </w:pPr>
            <w:r w:rsidRPr="00525CB9">
              <w:rPr>
                <w:rFonts w:ascii="Arial Narrow" w:hAnsi="Arial Narrow"/>
                <w:sz w:val="20"/>
              </w:rPr>
              <w:t>(1.03, 1.26)</w:t>
            </w:r>
          </w:p>
        </w:tc>
        <w:tc>
          <w:tcPr>
            <w:tcW w:w="647" w:type="pct"/>
            <w:vAlign w:val="center"/>
          </w:tcPr>
          <w:p w:rsidR="00AD486D" w:rsidRPr="00525CB9" w:rsidRDefault="00AD486D" w:rsidP="00752277">
            <w:pPr>
              <w:jc w:val="center"/>
              <w:rPr>
                <w:rFonts w:ascii="Arial Narrow" w:hAnsi="Arial Narrow"/>
                <w:color w:val="000000"/>
                <w:sz w:val="20"/>
                <w:szCs w:val="18"/>
              </w:rPr>
            </w:pPr>
            <w:r w:rsidRPr="00525CB9">
              <w:rPr>
                <w:rFonts w:ascii="Arial Narrow" w:hAnsi="Arial Narrow"/>
                <w:color w:val="000000"/>
                <w:sz w:val="20"/>
                <w:szCs w:val="18"/>
              </w:rPr>
              <w:t>97.3</w:t>
            </w:r>
          </w:p>
        </w:tc>
        <w:tc>
          <w:tcPr>
            <w:tcW w:w="710" w:type="pct"/>
            <w:vAlign w:val="center"/>
          </w:tcPr>
          <w:p w:rsidR="00AD486D" w:rsidRPr="00525CB9" w:rsidRDefault="00AD486D" w:rsidP="00752277">
            <w:pPr>
              <w:jc w:val="center"/>
              <w:rPr>
                <w:rFonts w:ascii="Arial Narrow" w:hAnsi="Arial Narrow"/>
                <w:color w:val="000000"/>
                <w:sz w:val="20"/>
                <w:szCs w:val="18"/>
              </w:rPr>
            </w:pPr>
            <w:r w:rsidRPr="00525CB9">
              <w:rPr>
                <w:rFonts w:ascii="Arial Narrow" w:hAnsi="Arial Narrow"/>
                <w:color w:val="000000"/>
                <w:sz w:val="20"/>
                <w:szCs w:val="18"/>
              </w:rPr>
              <w:t>85.5</w:t>
            </w:r>
          </w:p>
        </w:tc>
        <w:tc>
          <w:tcPr>
            <w:tcW w:w="810" w:type="pct"/>
            <w:vAlign w:val="center"/>
          </w:tcPr>
          <w:p w:rsidR="00AD486D" w:rsidRPr="00525CB9" w:rsidRDefault="00AD486D" w:rsidP="00752277">
            <w:pPr>
              <w:pStyle w:val="Tabletext"/>
              <w:jc w:val="center"/>
            </w:pPr>
            <w:r w:rsidRPr="00525CB9">
              <w:t>11.8%</w:t>
            </w:r>
          </w:p>
          <w:p w:rsidR="00AD486D" w:rsidRPr="00525CB9" w:rsidRDefault="00AD486D" w:rsidP="00752277">
            <w:pPr>
              <w:jc w:val="center"/>
              <w:rPr>
                <w:rFonts w:ascii="Arial Narrow" w:hAnsi="Arial Narrow"/>
                <w:color w:val="000000"/>
                <w:sz w:val="20"/>
                <w:szCs w:val="18"/>
              </w:rPr>
            </w:pPr>
            <w:r w:rsidRPr="00525CB9">
              <w:rPr>
                <w:rFonts w:ascii="Arial Narrow" w:hAnsi="Arial Narrow"/>
                <w:sz w:val="20"/>
              </w:rPr>
              <w:t>(3.0%, 20.5%)</w:t>
            </w:r>
          </w:p>
        </w:tc>
      </w:tr>
      <w:tr w:rsidR="001A37E5" w:rsidRPr="00525CB9" w:rsidTr="00A34B61">
        <w:tc>
          <w:tcPr>
            <w:tcW w:w="867" w:type="pct"/>
            <w:tcBorders>
              <w:bottom w:val="double" w:sz="4" w:space="0" w:color="auto"/>
            </w:tcBorders>
            <w:shd w:val="clear" w:color="auto" w:fill="auto"/>
          </w:tcPr>
          <w:p w:rsidR="00086DBA" w:rsidRPr="00525CB9" w:rsidRDefault="00086DBA" w:rsidP="00E65000">
            <w:pPr>
              <w:jc w:val="left"/>
              <w:rPr>
                <w:rFonts w:ascii="Arial Narrow" w:hAnsi="Arial Narrow"/>
                <w:b/>
                <w:color w:val="000000"/>
                <w:sz w:val="20"/>
                <w:szCs w:val="18"/>
              </w:rPr>
            </w:pPr>
            <w:r w:rsidRPr="00525CB9">
              <w:rPr>
                <w:rFonts w:ascii="Arial Narrow" w:hAnsi="Arial Narrow"/>
                <w:b/>
                <w:color w:val="000000"/>
                <w:sz w:val="20"/>
                <w:szCs w:val="18"/>
              </w:rPr>
              <w:lastRenderedPageBreak/>
              <w:t>OS rate at 2 years</w:t>
            </w:r>
          </w:p>
        </w:tc>
        <w:tc>
          <w:tcPr>
            <w:tcW w:w="583" w:type="pct"/>
            <w:tcBorders>
              <w:bottom w:val="double" w:sz="4" w:space="0" w:color="auto"/>
            </w:tcBorders>
            <w:vAlign w:val="center"/>
          </w:tcPr>
          <w:p w:rsidR="00086DBA" w:rsidRPr="00525CB9" w:rsidRDefault="00086DBA" w:rsidP="00752277">
            <w:pPr>
              <w:jc w:val="center"/>
              <w:rPr>
                <w:rFonts w:ascii="Arial Narrow" w:hAnsi="Arial Narrow"/>
                <w:color w:val="000000"/>
                <w:sz w:val="20"/>
                <w:szCs w:val="18"/>
              </w:rPr>
            </w:pPr>
            <w:r w:rsidRPr="00525CB9">
              <w:rPr>
                <w:rFonts w:ascii="Arial Narrow" w:hAnsi="Arial Narrow"/>
                <w:color w:val="000000"/>
                <w:sz w:val="20"/>
              </w:rPr>
              <w:t>76/77</w:t>
            </w:r>
          </w:p>
        </w:tc>
        <w:tc>
          <w:tcPr>
            <w:tcW w:w="709" w:type="pct"/>
            <w:tcBorders>
              <w:bottom w:val="double" w:sz="4" w:space="0" w:color="auto"/>
            </w:tcBorders>
            <w:vAlign w:val="center"/>
          </w:tcPr>
          <w:p w:rsidR="00086DBA" w:rsidRPr="00525CB9" w:rsidRDefault="00086DBA" w:rsidP="00752277">
            <w:pPr>
              <w:jc w:val="center"/>
              <w:rPr>
                <w:rFonts w:ascii="Arial Narrow" w:hAnsi="Arial Narrow"/>
                <w:color w:val="000000"/>
                <w:sz w:val="20"/>
                <w:szCs w:val="18"/>
              </w:rPr>
            </w:pPr>
            <w:r w:rsidRPr="00525CB9">
              <w:rPr>
                <w:rFonts w:ascii="Arial Narrow" w:hAnsi="Arial Narrow"/>
                <w:color w:val="000000"/>
                <w:sz w:val="20"/>
              </w:rPr>
              <w:t>72/79</w:t>
            </w:r>
          </w:p>
        </w:tc>
        <w:tc>
          <w:tcPr>
            <w:tcW w:w="674" w:type="pct"/>
            <w:tcBorders>
              <w:bottom w:val="double" w:sz="4" w:space="0" w:color="auto"/>
            </w:tcBorders>
            <w:vAlign w:val="center"/>
          </w:tcPr>
          <w:p w:rsidR="00086DBA" w:rsidRPr="00525CB9" w:rsidRDefault="00086DBA" w:rsidP="00752277">
            <w:pPr>
              <w:pStyle w:val="Tabletext"/>
              <w:jc w:val="center"/>
            </w:pPr>
            <w:r w:rsidRPr="00525CB9">
              <w:t>1.08</w:t>
            </w:r>
          </w:p>
          <w:p w:rsidR="00086DBA" w:rsidRPr="00525CB9" w:rsidRDefault="00086DBA" w:rsidP="00752277">
            <w:pPr>
              <w:pStyle w:val="Tabletext"/>
              <w:jc w:val="center"/>
            </w:pPr>
            <w:r w:rsidRPr="00525CB9">
              <w:t>(1.01, 1.17)</w:t>
            </w:r>
          </w:p>
        </w:tc>
        <w:tc>
          <w:tcPr>
            <w:tcW w:w="647" w:type="pct"/>
            <w:tcBorders>
              <w:bottom w:val="double" w:sz="4" w:space="0" w:color="auto"/>
            </w:tcBorders>
            <w:vAlign w:val="center"/>
          </w:tcPr>
          <w:p w:rsidR="00086DBA" w:rsidRPr="00525CB9" w:rsidRDefault="00086DBA" w:rsidP="00752277">
            <w:pPr>
              <w:jc w:val="center"/>
              <w:rPr>
                <w:rFonts w:ascii="Arial Narrow" w:hAnsi="Arial Narrow"/>
                <w:color w:val="000000"/>
                <w:sz w:val="20"/>
                <w:szCs w:val="18"/>
              </w:rPr>
            </w:pPr>
            <w:r w:rsidRPr="00525CB9">
              <w:rPr>
                <w:rFonts w:ascii="Arial Narrow" w:hAnsi="Arial Narrow"/>
                <w:color w:val="000000"/>
                <w:sz w:val="20"/>
              </w:rPr>
              <w:t>98.7</w:t>
            </w:r>
          </w:p>
        </w:tc>
        <w:tc>
          <w:tcPr>
            <w:tcW w:w="710" w:type="pct"/>
            <w:tcBorders>
              <w:bottom w:val="double" w:sz="4" w:space="0" w:color="auto"/>
            </w:tcBorders>
            <w:vAlign w:val="center"/>
          </w:tcPr>
          <w:p w:rsidR="00086DBA" w:rsidRPr="00525CB9" w:rsidRDefault="00086DBA" w:rsidP="00752277">
            <w:pPr>
              <w:jc w:val="center"/>
              <w:rPr>
                <w:rFonts w:ascii="Arial Narrow" w:hAnsi="Arial Narrow"/>
                <w:color w:val="000000"/>
                <w:sz w:val="20"/>
                <w:szCs w:val="18"/>
              </w:rPr>
            </w:pPr>
            <w:r w:rsidRPr="00525CB9">
              <w:rPr>
                <w:rFonts w:ascii="Arial Narrow" w:hAnsi="Arial Narrow"/>
                <w:color w:val="000000"/>
                <w:sz w:val="20"/>
              </w:rPr>
              <w:t>91.1</w:t>
            </w:r>
          </w:p>
        </w:tc>
        <w:tc>
          <w:tcPr>
            <w:tcW w:w="810" w:type="pct"/>
            <w:tcBorders>
              <w:bottom w:val="double" w:sz="4" w:space="0" w:color="auto"/>
            </w:tcBorders>
            <w:vAlign w:val="center"/>
          </w:tcPr>
          <w:p w:rsidR="00086DBA" w:rsidRPr="00525CB9" w:rsidRDefault="00086DBA" w:rsidP="00752277">
            <w:pPr>
              <w:pStyle w:val="Tabletext"/>
              <w:jc w:val="center"/>
            </w:pPr>
            <w:r w:rsidRPr="00525CB9">
              <w:t>7.6%</w:t>
            </w:r>
          </w:p>
          <w:p w:rsidR="00086DBA" w:rsidRPr="00525CB9" w:rsidRDefault="00086DBA" w:rsidP="00752277">
            <w:pPr>
              <w:pStyle w:val="Tabletext"/>
              <w:jc w:val="center"/>
            </w:pPr>
            <w:r w:rsidRPr="00525CB9">
              <w:t>(0.8%, 14.3%)</w:t>
            </w:r>
          </w:p>
        </w:tc>
      </w:tr>
      <w:tr w:rsidR="00AC1243" w:rsidRPr="00525CB9" w:rsidTr="00AC1243">
        <w:trPr>
          <w:trHeight w:val="150"/>
        </w:trPr>
        <w:tc>
          <w:tcPr>
            <w:tcW w:w="5000" w:type="pct"/>
            <w:gridSpan w:val="7"/>
            <w:shd w:val="clear" w:color="auto" w:fill="auto"/>
            <w:vAlign w:val="center"/>
          </w:tcPr>
          <w:p w:rsidR="00AC1243" w:rsidRPr="00525CB9" w:rsidRDefault="00AC1243" w:rsidP="00AC1243">
            <w:pPr>
              <w:jc w:val="left"/>
              <w:rPr>
                <w:rFonts w:ascii="Arial Narrow" w:hAnsi="Arial Narrow"/>
                <w:b/>
                <w:color w:val="000000"/>
                <w:sz w:val="20"/>
                <w:szCs w:val="18"/>
              </w:rPr>
            </w:pPr>
            <w:r w:rsidRPr="00525CB9">
              <w:rPr>
                <w:rFonts w:ascii="Arial Narrow" w:hAnsi="Arial Narrow"/>
                <w:b/>
                <w:color w:val="000000"/>
                <w:sz w:val="20"/>
                <w:szCs w:val="18"/>
              </w:rPr>
              <w:t>Harms</w:t>
            </w:r>
          </w:p>
        </w:tc>
      </w:tr>
      <w:tr w:rsidR="001A37E5" w:rsidRPr="00525CB9" w:rsidTr="00A34B61">
        <w:trPr>
          <w:trHeight w:val="150"/>
        </w:trPr>
        <w:tc>
          <w:tcPr>
            <w:tcW w:w="867" w:type="pct"/>
            <w:vMerge w:val="restart"/>
            <w:shd w:val="clear" w:color="auto" w:fill="auto"/>
            <w:vAlign w:val="center"/>
          </w:tcPr>
          <w:p w:rsidR="00086DBA" w:rsidRPr="00525CB9" w:rsidRDefault="00086DBA" w:rsidP="00752277">
            <w:pPr>
              <w:rPr>
                <w:rFonts w:ascii="Arial Narrow" w:hAnsi="Arial Narrow"/>
                <w:b/>
                <w:color w:val="000000"/>
                <w:sz w:val="20"/>
                <w:szCs w:val="18"/>
              </w:rPr>
            </w:pPr>
            <w:r w:rsidRPr="00525CB9">
              <w:rPr>
                <w:rFonts w:ascii="Arial Narrow" w:hAnsi="Arial Narrow"/>
                <w:b/>
                <w:color w:val="000000"/>
                <w:sz w:val="20"/>
                <w:szCs w:val="18"/>
              </w:rPr>
              <w:t>Outcome</w:t>
            </w:r>
          </w:p>
        </w:tc>
        <w:tc>
          <w:tcPr>
            <w:tcW w:w="583" w:type="pct"/>
            <w:vMerge w:val="restart"/>
            <w:vAlign w:val="center"/>
          </w:tcPr>
          <w:p w:rsidR="00086DBA" w:rsidRPr="00525CB9" w:rsidRDefault="00086DBA" w:rsidP="00752277">
            <w:pPr>
              <w:jc w:val="center"/>
              <w:rPr>
                <w:rFonts w:ascii="Arial Narrow" w:hAnsi="Arial Narrow"/>
                <w:b/>
                <w:color w:val="000000"/>
                <w:sz w:val="20"/>
                <w:szCs w:val="18"/>
              </w:rPr>
            </w:pPr>
            <w:r w:rsidRPr="00525CB9">
              <w:rPr>
                <w:rFonts w:ascii="Arial Narrow" w:hAnsi="Arial Narrow"/>
                <w:b/>
                <w:color w:val="000000"/>
                <w:sz w:val="20"/>
                <w:szCs w:val="18"/>
              </w:rPr>
              <w:t>ATO+ATRA</w:t>
            </w:r>
          </w:p>
        </w:tc>
        <w:tc>
          <w:tcPr>
            <w:tcW w:w="709" w:type="pct"/>
            <w:vMerge w:val="restart"/>
            <w:vAlign w:val="center"/>
          </w:tcPr>
          <w:p w:rsidR="00086DBA" w:rsidRPr="00525CB9" w:rsidRDefault="00086DBA" w:rsidP="00752277">
            <w:pPr>
              <w:jc w:val="center"/>
              <w:rPr>
                <w:rFonts w:ascii="Arial Narrow" w:hAnsi="Arial Narrow"/>
                <w:b/>
                <w:color w:val="000000"/>
                <w:sz w:val="20"/>
                <w:szCs w:val="18"/>
              </w:rPr>
            </w:pPr>
            <w:proofErr w:type="spellStart"/>
            <w:r w:rsidRPr="00525CB9">
              <w:rPr>
                <w:rFonts w:ascii="Arial Narrow" w:hAnsi="Arial Narrow"/>
                <w:b/>
                <w:color w:val="000000"/>
                <w:sz w:val="20"/>
                <w:szCs w:val="18"/>
              </w:rPr>
              <w:t>ATRA+chemo</w:t>
            </w:r>
            <w:proofErr w:type="spellEnd"/>
          </w:p>
        </w:tc>
        <w:tc>
          <w:tcPr>
            <w:tcW w:w="674" w:type="pct"/>
            <w:vMerge w:val="restart"/>
            <w:vAlign w:val="center"/>
          </w:tcPr>
          <w:p w:rsidR="00086DBA" w:rsidRPr="00525CB9" w:rsidRDefault="00086DBA" w:rsidP="00752277">
            <w:pPr>
              <w:jc w:val="center"/>
              <w:rPr>
                <w:rFonts w:ascii="Arial Narrow" w:hAnsi="Arial Narrow"/>
                <w:b/>
                <w:color w:val="000000"/>
                <w:sz w:val="20"/>
                <w:szCs w:val="18"/>
              </w:rPr>
            </w:pPr>
            <w:r w:rsidRPr="00525CB9">
              <w:rPr>
                <w:rFonts w:ascii="Arial Narrow" w:hAnsi="Arial Narrow"/>
                <w:b/>
                <w:color w:val="000000"/>
                <w:sz w:val="20"/>
                <w:szCs w:val="18"/>
              </w:rPr>
              <w:t>RR</w:t>
            </w:r>
          </w:p>
          <w:p w:rsidR="00086DBA" w:rsidRPr="00525CB9" w:rsidRDefault="00086DBA" w:rsidP="00752277">
            <w:pPr>
              <w:jc w:val="center"/>
              <w:rPr>
                <w:rFonts w:ascii="Arial Narrow" w:hAnsi="Arial Narrow"/>
                <w:b/>
                <w:color w:val="000000"/>
                <w:sz w:val="20"/>
                <w:szCs w:val="18"/>
              </w:rPr>
            </w:pPr>
            <w:r w:rsidRPr="00525CB9">
              <w:rPr>
                <w:rFonts w:ascii="Arial Narrow" w:hAnsi="Arial Narrow"/>
                <w:b/>
                <w:color w:val="000000"/>
                <w:sz w:val="20"/>
                <w:szCs w:val="18"/>
              </w:rPr>
              <w:t>(95% CI)</w:t>
            </w:r>
          </w:p>
        </w:tc>
        <w:tc>
          <w:tcPr>
            <w:tcW w:w="1357" w:type="pct"/>
            <w:gridSpan w:val="2"/>
            <w:vAlign w:val="center"/>
          </w:tcPr>
          <w:p w:rsidR="00086DBA" w:rsidRPr="00525CB9" w:rsidRDefault="00086DBA" w:rsidP="00AF3ED7">
            <w:pPr>
              <w:jc w:val="center"/>
              <w:rPr>
                <w:rFonts w:ascii="Arial Narrow" w:hAnsi="Arial Narrow"/>
                <w:b/>
                <w:color w:val="000000"/>
                <w:sz w:val="20"/>
                <w:szCs w:val="18"/>
              </w:rPr>
            </w:pPr>
            <w:r w:rsidRPr="00525CB9">
              <w:rPr>
                <w:rFonts w:ascii="Arial Narrow" w:hAnsi="Arial Narrow"/>
                <w:b/>
                <w:color w:val="000000"/>
                <w:sz w:val="20"/>
                <w:szCs w:val="18"/>
              </w:rPr>
              <w:t xml:space="preserve">Event rate/100 </w:t>
            </w:r>
            <w:proofErr w:type="spellStart"/>
            <w:r w:rsidRPr="00525CB9">
              <w:rPr>
                <w:rFonts w:ascii="Arial Narrow" w:hAnsi="Arial Narrow"/>
                <w:b/>
                <w:color w:val="000000"/>
                <w:sz w:val="20"/>
                <w:szCs w:val="18"/>
              </w:rPr>
              <w:t>patients</w:t>
            </w:r>
            <w:r w:rsidR="00AF3ED7" w:rsidRPr="00525CB9">
              <w:rPr>
                <w:rFonts w:ascii="Arial Narrow" w:hAnsi="Arial Narrow"/>
                <w:b/>
                <w:color w:val="000000"/>
                <w:sz w:val="20"/>
                <w:szCs w:val="18"/>
                <w:vertAlign w:val="superscript"/>
              </w:rPr>
              <w:t>a</w:t>
            </w:r>
            <w:proofErr w:type="spellEnd"/>
            <w:r w:rsidRPr="00525CB9">
              <w:rPr>
                <w:rFonts w:ascii="Arial Narrow" w:hAnsi="Arial Narrow"/>
                <w:b/>
                <w:color w:val="000000"/>
                <w:sz w:val="20"/>
                <w:szCs w:val="18"/>
              </w:rPr>
              <w:t xml:space="preserve"> </w:t>
            </w:r>
          </w:p>
        </w:tc>
        <w:tc>
          <w:tcPr>
            <w:tcW w:w="810" w:type="pct"/>
            <w:vAlign w:val="center"/>
          </w:tcPr>
          <w:p w:rsidR="00086DBA" w:rsidRPr="00525CB9" w:rsidRDefault="00086DBA" w:rsidP="00752277">
            <w:pPr>
              <w:jc w:val="center"/>
              <w:rPr>
                <w:rFonts w:ascii="Arial Narrow" w:hAnsi="Arial Narrow"/>
                <w:b/>
                <w:color w:val="000000"/>
                <w:sz w:val="20"/>
                <w:szCs w:val="18"/>
              </w:rPr>
            </w:pPr>
            <w:r w:rsidRPr="00525CB9">
              <w:rPr>
                <w:rFonts w:ascii="Arial Narrow" w:hAnsi="Arial Narrow"/>
                <w:b/>
                <w:color w:val="000000"/>
                <w:sz w:val="20"/>
                <w:szCs w:val="18"/>
              </w:rPr>
              <w:t>RD</w:t>
            </w:r>
          </w:p>
          <w:p w:rsidR="00086DBA" w:rsidRPr="00525CB9" w:rsidRDefault="00086DBA" w:rsidP="00752277">
            <w:pPr>
              <w:jc w:val="center"/>
              <w:rPr>
                <w:rFonts w:ascii="Arial Narrow" w:hAnsi="Arial Narrow"/>
                <w:b/>
                <w:color w:val="000000"/>
                <w:sz w:val="20"/>
                <w:szCs w:val="18"/>
              </w:rPr>
            </w:pPr>
            <w:r w:rsidRPr="00525CB9">
              <w:rPr>
                <w:rFonts w:ascii="Arial Narrow" w:hAnsi="Arial Narrow"/>
                <w:b/>
                <w:color w:val="000000"/>
                <w:sz w:val="20"/>
                <w:szCs w:val="18"/>
              </w:rPr>
              <w:t>(95% CI)</w:t>
            </w:r>
          </w:p>
        </w:tc>
      </w:tr>
      <w:tr w:rsidR="001A37E5" w:rsidRPr="00525CB9" w:rsidTr="00A34B61">
        <w:trPr>
          <w:trHeight w:val="315"/>
        </w:trPr>
        <w:tc>
          <w:tcPr>
            <w:tcW w:w="867" w:type="pct"/>
            <w:vMerge/>
            <w:shd w:val="clear" w:color="auto" w:fill="auto"/>
            <w:vAlign w:val="center"/>
          </w:tcPr>
          <w:p w:rsidR="00086DBA" w:rsidRPr="00525CB9" w:rsidRDefault="00086DBA" w:rsidP="00752277">
            <w:pPr>
              <w:rPr>
                <w:rFonts w:ascii="Arial Narrow" w:hAnsi="Arial Narrow"/>
                <w:b/>
                <w:color w:val="000000"/>
                <w:sz w:val="20"/>
                <w:szCs w:val="18"/>
              </w:rPr>
            </w:pPr>
          </w:p>
        </w:tc>
        <w:tc>
          <w:tcPr>
            <w:tcW w:w="583" w:type="pct"/>
            <w:vMerge/>
            <w:vAlign w:val="center"/>
          </w:tcPr>
          <w:p w:rsidR="00086DBA" w:rsidRPr="00525CB9" w:rsidRDefault="00086DBA" w:rsidP="00752277">
            <w:pPr>
              <w:jc w:val="center"/>
              <w:rPr>
                <w:rFonts w:ascii="Arial Narrow" w:hAnsi="Arial Narrow"/>
                <w:b/>
                <w:color w:val="000000"/>
                <w:sz w:val="20"/>
                <w:szCs w:val="18"/>
              </w:rPr>
            </w:pPr>
          </w:p>
        </w:tc>
        <w:tc>
          <w:tcPr>
            <w:tcW w:w="709" w:type="pct"/>
            <w:vMerge/>
            <w:vAlign w:val="center"/>
          </w:tcPr>
          <w:p w:rsidR="00086DBA" w:rsidRPr="00525CB9" w:rsidRDefault="00086DBA" w:rsidP="00752277">
            <w:pPr>
              <w:jc w:val="center"/>
              <w:rPr>
                <w:rFonts w:ascii="Arial Narrow" w:hAnsi="Arial Narrow"/>
                <w:b/>
                <w:color w:val="000000"/>
                <w:sz w:val="20"/>
                <w:szCs w:val="18"/>
              </w:rPr>
            </w:pPr>
          </w:p>
        </w:tc>
        <w:tc>
          <w:tcPr>
            <w:tcW w:w="674" w:type="pct"/>
            <w:vMerge/>
            <w:vAlign w:val="center"/>
          </w:tcPr>
          <w:p w:rsidR="00086DBA" w:rsidRPr="00525CB9" w:rsidRDefault="00086DBA" w:rsidP="00752277">
            <w:pPr>
              <w:jc w:val="center"/>
              <w:rPr>
                <w:rFonts w:ascii="Arial Narrow" w:hAnsi="Arial Narrow"/>
                <w:b/>
                <w:color w:val="000000"/>
                <w:sz w:val="20"/>
                <w:szCs w:val="18"/>
              </w:rPr>
            </w:pPr>
          </w:p>
        </w:tc>
        <w:tc>
          <w:tcPr>
            <w:tcW w:w="647" w:type="pct"/>
            <w:vAlign w:val="center"/>
          </w:tcPr>
          <w:p w:rsidR="00086DBA" w:rsidRPr="00525CB9" w:rsidRDefault="00086DBA" w:rsidP="00752277">
            <w:pPr>
              <w:jc w:val="center"/>
              <w:rPr>
                <w:rFonts w:ascii="Arial Narrow" w:hAnsi="Arial Narrow"/>
                <w:b/>
                <w:color w:val="000000"/>
                <w:sz w:val="20"/>
                <w:szCs w:val="18"/>
              </w:rPr>
            </w:pPr>
            <w:r w:rsidRPr="00525CB9">
              <w:rPr>
                <w:rFonts w:ascii="Arial Narrow" w:hAnsi="Arial Narrow"/>
                <w:b/>
                <w:color w:val="000000"/>
                <w:sz w:val="20"/>
                <w:szCs w:val="18"/>
              </w:rPr>
              <w:t>ATO+ATRA</w:t>
            </w:r>
          </w:p>
        </w:tc>
        <w:tc>
          <w:tcPr>
            <w:tcW w:w="710" w:type="pct"/>
            <w:vAlign w:val="center"/>
          </w:tcPr>
          <w:p w:rsidR="00086DBA" w:rsidRPr="00525CB9" w:rsidRDefault="00086DBA" w:rsidP="00752277">
            <w:pPr>
              <w:jc w:val="center"/>
              <w:rPr>
                <w:rFonts w:ascii="Arial Narrow" w:hAnsi="Arial Narrow"/>
                <w:b/>
                <w:color w:val="000000"/>
                <w:sz w:val="20"/>
                <w:szCs w:val="18"/>
              </w:rPr>
            </w:pPr>
            <w:proofErr w:type="spellStart"/>
            <w:r w:rsidRPr="00525CB9">
              <w:rPr>
                <w:rFonts w:ascii="Arial Narrow" w:hAnsi="Arial Narrow"/>
                <w:b/>
                <w:color w:val="000000"/>
                <w:sz w:val="20"/>
                <w:szCs w:val="18"/>
              </w:rPr>
              <w:t>ATRA+chemo</w:t>
            </w:r>
            <w:proofErr w:type="spellEnd"/>
          </w:p>
        </w:tc>
        <w:tc>
          <w:tcPr>
            <w:tcW w:w="810" w:type="pct"/>
            <w:vAlign w:val="center"/>
          </w:tcPr>
          <w:p w:rsidR="00086DBA" w:rsidRPr="00525CB9" w:rsidRDefault="00086DBA" w:rsidP="00752277">
            <w:pPr>
              <w:jc w:val="center"/>
              <w:rPr>
                <w:rFonts w:ascii="Arial Narrow" w:hAnsi="Arial Narrow"/>
                <w:b/>
                <w:color w:val="000000"/>
                <w:sz w:val="20"/>
                <w:szCs w:val="18"/>
              </w:rPr>
            </w:pPr>
          </w:p>
        </w:tc>
      </w:tr>
      <w:tr w:rsidR="001A37E5" w:rsidRPr="00525CB9" w:rsidTr="00A34B61">
        <w:tc>
          <w:tcPr>
            <w:tcW w:w="867" w:type="pct"/>
            <w:shd w:val="clear" w:color="auto" w:fill="auto"/>
          </w:tcPr>
          <w:p w:rsidR="00B05BEE" w:rsidRPr="00525CB9" w:rsidRDefault="00B05BEE" w:rsidP="00752277">
            <w:pPr>
              <w:jc w:val="left"/>
              <w:rPr>
                <w:rFonts w:ascii="Arial Narrow" w:hAnsi="Arial Narrow"/>
                <w:b/>
                <w:color w:val="000000"/>
                <w:sz w:val="20"/>
                <w:szCs w:val="18"/>
              </w:rPr>
            </w:pPr>
            <w:r w:rsidRPr="00525CB9">
              <w:rPr>
                <w:rFonts w:ascii="Arial Narrow" w:hAnsi="Arial Narrow"/>
                <w:b/>
                <w:color w:val="000000"/>
                <w:sz w:val="20"/>
                <w:szCs w:val="18"/>
              </w:rPr>
              <w:t>Death</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1/77</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7/79</w:t>
            </w:r>
          </w:p>
        </w:tc>
        <w:tc>
          <w:tcPr>
            <w:tcW w:w="674" w:type="pct"/>
            <w:vAlign w:val="center"/>
          </w:tcPr>
          <w:p w:rsidR="00B05BEE" w:rsidRPr="00525CB9" w:rsidRDefault="00B05BEE" w:rsidP="00752277">
            <w:pPr>
              <w:pStyle w:val="Tabletext"/>
              <w:jc w:val="center"/>
            </w:pPr>
            <w:r w:rsidRPr="00525CB9">
              <w:t>0.15</w:t>
            </w:r>
          </w:p>
          <w:p w:rsidR="00B05BEE" w:rsidRPr="00525CB9" w:rsidRDefault="00B05BEE" w:rsidP="00752277">
            <w:pPr>
              <w:pStyle w:val="Tabletext"/>
              <w:jc w:val="center"/>
            </w:pPr>
            <w:r w:rsidRPr="00525CB9">
              <w:t>(0.02, 1.16)</w:t>
            </w:r>
          </w:p>
        </w:tc>
        <w:tc>
          <w:tcPr>
            <w:tcW w:w="647"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1</w:t>
            </w:r>
          </w:p>
        </w:tc>
        <w:tc>
          <w:tcPr>
            <w:tcW w:w="710"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9</w:t>
            </w:r>
          </w:p>
        </w:tc>
        <w:tc>
          <w:tcPr>
            <w:tcW w:w="810" w:type="pct"/>
            <w:vAlign w:val="center"/>
          </w:tcPr>
          <w:p w:rsidR="00B05BEE" w:rsidRPr="00525CB9" w:rsidRDefault="00B05BEE" w:rsidP="00752277">
            <w:pPr>
              <w:pStyle w:val="Tabletext"/>
              <w:jc w:val="center"/>
            </w:pPr>
            <w:r w:rsidRPr="00525CB9">
              <w:t>-7.6%</w:t>
            </w:r>
          </w:p>
          <w:p w:rsidR="00B05BEE" w:rsidRPr="00525CB9" w:rsidRDefault="00B05BEE" w:rsidP="00752277">
            <w:pPr>
              <w:pStyle w:val="Tabletext"/>
              <w:jc w:val="center"/>
            </w:pPr>
            <w:r w:rsidRPr="00525CB9">
              <w:t>(-14.3%, -0.</w:t>
            </w:r>
            <w:r w:rsidR="00944A88" w:rsidRPr="00525CB9">
              <w:t>8</w:t>
            </w:r>
            <w:r w:rsidRPr="00525CB9">
              <w:t>%)</w:t>
            </w:r>
          </w:p>
        </w:tc>
      </w:tr>
      <w:tr w:rsidR="001A37E5" w:rsidRPr="00525CB9" w:rsidTr="00A34B61">
        <w:tc>
          <w:tcPr>
            <w:tcW w:w="867" w:type="pct"/>
            <w:shd w:val="clear" w:color="auto" w:fill="auto"/>
          </w:tcPr>
          <w:p w:rsidR="00B05BEE" w:rsidRPr="00525CB9" w:rsidRDefault="00B05BEE" w:rsidP="00752277">
            <w:pPr>
              <w:jc w:val="left"/>
              <w:rPr>
                <w:rFonts w:ascii="Arial Narrow" w:hAnsi="Arial Narrow"/>
                <w:b/>
                <w:color w:val="000000"/>
                <w:sz w:val="20"/>
                <w:szCs w:val="18"/>
              </w:rPr>
            </w:pPr>
            <w:r w:rsidRPr="00525CB9">
              <w:rPr>
                <w:rFonts w:ascii="Arial Narrow" w:hAnsi="Arial Narrow"/>
                <w:b/>
                <w:color w:val="000000"/>
                <w:sz w:val="20"/>
                <w:szCs w:val="18"/>
              </w:rPr>
              <w:t>APL DS in induction</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15/77</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13/79</w:t>
            </w:r>
          </w:p>
        </w:tc>
        <w:tc>
          <w:tcPr>
            <w:tcW w:w="674" w:type="pct"/>
            <w:vAlign w:val="center"/>
          </w:tcPr>
          <w:p w:rsidR="00B05BEE" w:rsidRPr="00525CB9" w:rsidRDefault="00FF0945" w:rsidP="00752277">
            <w:pPr>
              <w:pStyle w:val="Tabletext"/>
              <w:jc w:val="center"/>
            </w:pPr>
            <w:r w:rsidRPr="00525CB9">
              <w:t>1.18</w:t>
            </w:r>
          </w:p>
          <w:p w:rsidR="00FF0945" w:rsidRPr="00525CB9" w:rsidRDefault="00FF0945" w:rsidP="00752277">
            <w:pPr>
              <w:pStyle w:val="Tabletext"/>
              <w:jc w:val="center"/>
            </w:pPr>
            <w:r w:rsidRPr="00525CB9">
              <w:t>(0.60, 2.32)</w:t>
            </w:r>
          </w:p>
        </w:tc>
        <w:tc>
          <w:tcPr>
            <w:tcW w:w="647" w:type="pct"/>
            <w:vAlign w:val="center"/>
          </w:tcPr>
          <w:p w:rsidR="00B05BEE" w:rsidRPr="00525CB9" w:rsidRDefault="000244A7" w:rsidP="00752277">
            <w:pPr>
              <w:jc w:val="center"/>
              <w:rPr>
                <w:rFonts w:ascii="Arial Narrow" w:hAnsi="Arial Narrow"/>
                <w:color w:val="000000"/>
                <w:sz w:val="20"/>
              </w:rPr>
            </w:pPr>
            <w:r w:rsidRPr="00525CB9">
              <w:rPr>
                <w:rFonts w:ascii="Arial Narrow" w:hAnsi="Arial Narrow"/>
                <w:color w:val="000000"/>
                <w:sz w:val="20"/>
              </w:rPr>
              <w:t>19</w:t>
            </w:r>
          </w:p>
        </w:tc>
        <w:tc>
          <w:tcPr>
            <w:tcW w:w="710" w:type="pct"/>
            <w:vAlign w:val="center"/>
          </w:tcPr>
          <w:p w:rsidR="00B05BEE" w:rsidRPr="00525CB9" w:rsidRDefault="000244A7" w:rsidP="00752277">
            <w:pPr>
              <w:jc w:val="center"/>
              <w:rPr>
                <w:rFonts w:ascii="Arial Narrow" w:hAnsi="Arial Narrow"/>
                <w:color w:val="000000"/>
                <w:sz w:val="20"/>
              </w:rPr>
            </w:pPr>
            <w:r w:rsidRPr="00525CB9">
              <w:rPr>
                <w:rFonts w:ascii="Arial Narrow" w:hAnsi="Arial Narrow"/>
                <w:color w:val="000000"/>
                <w:sz w:val="20"/>
              </w:rPr>
              <w:t>16</w:t>
            </w:r>
          </w:p>
        </w:tc>
        <w:tc>
          <w:tcPr>
            <w:tcW w:w="810" w:type="pct"/>
            <w:vAlign w:val="center"/>
          </w:tcPr>
          <w:p w:rsidR="00B05BEE" w:rsidRPr="00525CB9" w:rsidRDefault="00FF0945" w:rsidP="00752277">
            <w:pPr>
              <w:pStyle w:val="Tabletext"/>
              <w:jc w:val="center"/>
            </w:pPr>
            <w:r w:rsidRPr="00525CB9">
              <w:t>3.0%</w:t>
            </w:r>
          </w:p>
          <w:p w:rsidR="00FF0945" w:rsidRPr="00525CB9" w:rsidRDefault="00FF0945" w:rsidP="00752277">
            <w:pPr>
              <w:pStyle w:val="Tabletext"/>
              <w:jc w:val="center"/>
            </w:pPr>
            <w:r w:rsidRPr="00525CB9">
              <w:t>(-9.0%, 15.1%)</w:t>
            </w:r>
          </w:p>
        </w:tc>
      </w:tr>
      <w:tr w:rsidR="001A37E5" w:rsidRPr="00525CB9" w:rsidTr="00A34B61">
        <w:tc>
          <w:tcPr>
            <w:tcW w:w="867" w:type="pct"/>
            <w:shd w:val="clear" w:color="auto" w:fill="auto"/>
          </w:tcPr>
          <w:p w:rsidR="00B05BEE" w:rsidRPr="00525CB9" w:rsidRDefault="00AC1243" w:rsidP="00AF3ED7">
            <w:pPr>
              <w:jc w:val="left"/>
              <w:rPr>
                <w:rFonts w:ascii="Arial Narrow" w:hAnsi="Arial Narrow"/>
                <w:b/>
                <w:color w:val="000000"/>
                <w:sz w:val="20"/>
                <w:szCs w:val="18"/>
              </w:rPr>
            </w:pPr>
            <w:proofErr w:type="spellStart"/>
            <w:r w:rsidRPr="00525CB9">
              <w:rPr>
                <w:rFonts w:ascii="Arial Narrow" w:hAnsi="Arial Narrow"/>
                <w:b/>
                <w:color w:val="000000"/>
                <w:sz w:val="20"/>
                <w:szCs w:val="18"/>
              </w:rPr>
              <w:t>Leukocytosis</w:t>
            </w:r>
            <w:r w:rsidR="00AF3ED7" w:rsidRPr="00525CB9">
              <w:rPr>
                <w:rFonts w:ascii="Arial Narrow" w:hAnsi="Arial Narrow"/>
                <w:b/>
                <w:color w:val="000000"/>
                <w:sz w:val="20"/>
                <w:szCs w:val="18"/>
                <w:vertAlign w:val="superscript"/>
              </w:rPr>
              <w:t>b</w:t>
            </w:r>
            <w:proofErr w:type="spellEnd"/>
            <w:r w:rsidRPr="00525CB9">
              <w:rPr>
                <w:rFonts w:ascii="Arial Narrow" w:hAnsi="Arial Narrow"/>
                <w:b/>
                <w:color w:val="000000"/>
                <w:sz w:val="20"/>
                <w:szCs w:val="18"/>
              </w:rPr>
              <w:t xml:space="preserve"> </w:t>
            </w:r>
            <w:r w:rsidR="00B05BEE" w:rsidRPr="00525CB9">
              <w:rPr>
                <w:rFonts w:ascii="Arial Narrow" w:hAnsi="Arial Narrow"/>
                <w:b/>
                <w:color w:val="000000"/>
                <w:sz w:val="20"/>
                <w:szCs w:val="18"/>
              </w:rPr>
              <w:t>during induction</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35/74</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19/79</w:t>
            </w:r>
          </w:p>
        </w:tc>
        <w:tc>
          <w:tcPr>
            <w:tcW w:w="674" w:type="pct"/>
            <w:vAlign w:val="center"/>
          </w:tcPr>
          <w:p w:rsidR="00B05BEE" w:rsidRPr="00525CB9" w:rsidRDefault="00505180" w:rsidP="00752277">
            <w:pPr>
              <w:pStyle w:val="Tabletext"/>
              <w:jc w:val="center"/>
            </w:pPr>
            <w:r w:rsidRPr="00525CB9">
              <w:t>1.97</w:t>
            </w:r>
          </w:p>
          <w:p w:rsidR="00505180" w:rsidRPr="00525CB9" w:rsidRDefault="00505180" w:rsidP="00752277">
            <w:pPr>
              <w:pStyle w:val="Tabletext"/>
              <w:jc w:val="center"/>
            </w:pPr>
            <w:r w:rsidRPr="00525CB9">
              <w:t>(1.24, 3.11)</w:t>
            </w:r>
          </w:p>
        </w:tc>
        <w:tc>
          <w:tcPr>
            <w:tcW w:w="647" w:type="pct"/>
            <w:vAlign w:val="center"/>
          </w:tcPr>
          <w:p w:rsidR="00B05BEE" w:rsidRPr="00525CB9" w:rsidRDefault="00505180" w:rsidP="00752277">
            <w:pPr>
              <w:jc w:val="center"/>
              <w:rPr>
                <w:rFonts w:ascii="Arial Narrow" w:hAnsi="Arial Narrow"/>
                <w:color w:val="000000"/>
                <w:sz w:val="20"/>
              </w:rPr>
            </w:pPr>
            <w:r w:rsidRPr="00525CB9">
              <w:rPr>
                <w:rFonts w:ascii="Arial Narrow" w:hAnsi="Arial Narrow"/>
                <w:color w:val="000000"/>
                <w:sz w:val="20"/>
              </w:rPr>
              <w:t>47</w:t>
            </w:r>
          </w:p>
        </w:tc>
        <w:tc>
          <w:tcPr>
            <w:tcW w:w="710" w:type="pct"/>
            <w:vAlign w:val="center"/>
          </w:tcPr>
          <w:p w:rsidR="00B05BEE" w:rsidRPr="00525CB9" w:rsidRDefault="00505180" w:rsidP="00752277">
            <w:pPr>
              <w:jc w:val="center"/>
              <w:rPr>
                <w:rFonts w:ascii="Arial Narrow" w:hAnsi="Arial Narrow"/>
                <w:color w:val="000000"/>
                <w:sz w:val="20"/>
              </w:rPr>
            </w:pPr>
            <w:r w:rsidRPr="00525CB9">
              <w:rPr>
                <w:rFonts w:ascii="Arial Narrow" w:hAnsi="Arial Narrow"/>
                <w:color w:val="000000"/>
                <w:sz w:val="20"/>
              </w:rPr>
              <w:t>24</w:t>
            </w:r>
          </w:p>
        </w:tc>
        <w:tc>
          <w:tcPr>
            <w:tcW w:w="810" w:type="pct"/>
            <w:vAlign w:val="center"/>
          </w:tcPr>
          <w:p w:rsidR="00B05BEE" w:rsidRPr="00525CB9" w:rsidRDefault="00505180" w:rsidP="00752277">
            <w:pPr>
              <w:pStyle w:val="Tabletext"/>
              <w:jc w:val="center"/>
            </w:pPr>
            <w:r w:rsidRPr="00525CB9">
              <w:t>23.2%</w:t>
            </w:r>
          </w:p>
          <w:p w:rsidR="00505180" w:rsidRPr="00525CB9" w:rsidRDefault="00505180" w:rsidP="00752277">
            <w:pPr>
              <w:pStyle w:val="Tabletext"/>
              <w:jc w:val="center"/>
            </w:pPr>
            <w:r w:rsidRPr="00525CB9">
              <w:t>(8.5%, 38.0%)</w:t>
            </w:r>
          </w:p>
        </w:tc>
      </w:tr>
      <w:tr w:rsidR="00AC1243" w:rsidRPr="00525CB9" w:rsidTr="00AC1243">
        <w:tc>
          <w:tcPr>
            <w:tcW w:w="5000" w:type="pct"/>
            <w:gridSpan w:val="7"/>
            <w:shd w:val="clear" w:color="auto" w:fill="auto"/>
            <w:vAlign w:val="center"/>
          </w:tcPr>
          <w:p w:rsidR="00AC1243" w:rsidRPr="00525CB9" w:rsidRDefault="00CF0865" w:rsidP="00AF3ED7">
            <w:pPr>
              <w:pStyle w:val="Tabletext"/>
            </w:pPr>
            <w:r w:rsidRPr="00525CB9">
              <w:rPr>
                <w:b/>
                <w:color w:val="000000"/>
                <w:szCs w:val="18"/>
              </w:rPr>
              <w:t>Thrombo</w:t>
            </w:r>
            <w:r w:rsidR="00AC1243" w:rsidRPr="00525CB9">
              <w:rPr>
                <w:b/>
                <w:color w:val="000000"/>
                <w:szCs w:val="18"/>
              </w:rPr>
              <w:t>cytopenia grade 3-4</w:t>
            </w:r>
            <w:r w:rsidR="00AF3ED7" w:rsidRPr="00525CB9">
              <w:rPr>
                <w:b/>
                <w:color w:val="000000"/>
                <w:szCs w:val="18"/>
                <w:vertAlign w:val="superscript"/>
              </w:rPr>
              <w:t>c</w:t>
            </w:r>
          </w:p>
        </w:tc>
      </w:tr>
      <w:tr w:rsidR="001A37E5" w:rsidRPr="00525CB9" w:rsidTr="00A34B61">
        <w:tc>
          <w:tcPr>
            <w:tcW w:w="867" w:type="pct"/>
            <w:shd w:val="clear" w:color="auto" w:fill="auto"/>
          </w:tcPr>
          <w:p w:rsidR="00B05BEE" w:rsidRPr="00525CB9" w:rsidRDefault="00B05BEE" w:rsidP="00752277">
            <w:pPr>
              <w:jc w:val="left"/>
              <w:rPr>
                <w:rFonts w:ascii="Arial Narrow" w:hAnsi="Arial Narrow"/>
                <w:color w:val="000000"/>
                <w:sz w:val="20"/>
                <w:szCs w:val="18"/>
              </w:rPr>
            </w:pPr>
            <w:r w:rsidRPr="00525CB9">
              <w:rPr>
                <w:rFonts w:ascii="Arial Narrow" w:hAnsi="Arial Narrow"/>
                <w:color w:val="000000"/>
                <w:sz w:val="20"/>
                <w:szCs w:val="18"/>
              </w:rPr>
              <w:t>Induction</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59%</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88%</w:t>
            </w:r>
          </w:p>
        </w:tc>
        <w:tc>
          <w:tcPr>
            <w:tcW w:w="674" w:type="pct"/>
            <w:vAlign w:val="center"/>
          </w:tcPr>
          <w:p w:rsidR="00B05BEE" w:rsidRPr="00525CB9" w:rsidRDefault="00D956A0" w:rsidP="00752277">
            <w:pPr>
              <w:pStyle w:val="Tabletext"/>
              <w:jc w:val="center"/>
            </w:pPr>
            <w:r w:rsidRPr="00525CB9">
              <w:t>0.67</w:t>
            </w:r>
          </w:p>
        </w:tc>
        <w:tc>
          <w:tcPr>
            <w:tcW w:w="647"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59</w:t>
            </w:r>
          </w:p>
        </w:tc>
        <w:tc>
          <w:tcPr>
            <w:tcW w:w="710"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88</w:t>
            </w:r>
          </w:p>
        </w:tc>
        <w:tc>
          <w:tcPr>
            <w:tcW w:w="810" w:type="pct"/>
            <w:vAlign w:val="center"/>
          </w:tcPr>
          <w:p w:rsidR="00B05BEE" w:rsidRPr="00525CB9" w:rsidRDefault="00D956A0" w:rsidP="00752277">
            <w:pPr>
              <w:pStyle w:val="Tabletext"/>
              <w:jc w:val="center"/>
            </w:pPr>
            <w:r w:rsidRPr="00525CB9">
              <w:t>-29%</w:t>
            </w:r>
          </w:p>
        </w:tc>
      </w:tr>
      <w:tr w:rsidR="001A37E5" w:rsidRPr="00525CB9" w:rsidTr="00A34B61">
        <w:tc>
          <w:tcPr>
            <w:tcW w:w="867" w:type="pct"/>
            <w:shd w:val="clear" w:color="auto" w:fill="auto"/>
          </w:tcPr>
          <w:p w:rsidR="00A34B61" w:rsidRPr="00525CB9" w:rsidRDefault="00A34B61" w:rsidP="00752277">
            <w:pPr>
              <w:jc w:val="left"/>
              <w:rPr>
                <w:rFonts w:ascii="Arial Narrow" w:hAnsi="Arial Narrow"/>
                <w:color w:val="000000"/>
                <w:sz w:val="20"/>
                <w:szCs w:val="18"/>
              </w:rPr>
            </w:pPr>
            <w:r w:rsidRPr="00525CB9">
              <w:rPr>
                <w:rFonts w:ascii="Arial Narrow" w:hAnsi="Arial Narrow"/>
                <w:color w:val="000000"/>
                <w:sz w:val="20"/>
                <w:szCs w:val="18"/>
              </w:rPr>
              <w:t xml:space="preserve">Consolidation </w:t>
            </w:r>
          </w:p>
          <w:p w:rsidR="00B05BEE" w:rsidRPr="00525CB9" w:rsidRDefault="00A34B61" w:rsidP="00752277">
            <w:pPr>
              <w:jc w:val="left"/>
              <w:rPr>
                <w:rFonts w:ascii="Arial Narrow" w:hAnsi="Arial Narrow"/>
                <w:color w:val="000000"/>
                <w:sz w:val="20"/>
                <w:szCs w:val="18"/>
              </w:rPr>
            </w:pPr>
            <w:r w:rsidRPr="00525CB9">
              <w:rPr>
                <w:rFonts w:ascii="Arial Narrow" w:hAnsi="Arial Narrow"/>
                <w:color w:val="000000"/>
                <w:sz w:val="20"/>
                <w:szCs w:val="18"/>
              </w:rPr>
              <w:t>(av.</w:t>
            </w:r>
            <w:r w:rsidR="00B05BEE" w:rsidRPr="00525CB9">
              <w:rPr>
                <w:rFonts w:ascii="Arial Narrow" w:hAnsi="Arial Narrow"/>
                <w:color w:val="000000"/>
                <w:sz w:val="20"/>
                <w:szCs w:val="18"/>
              </w:rPr>
              <w:t xml:space="preserve"> of 3 cycles)</w:t>
            </w:r>
          </w:p>
        </w:tc>
        <w:tc>
          <w:tcPr>
            <w:tcW w:w="583" w:type="pct"/>
            <w:vAlign w:val="center"/>
          </w:tcPr>
          <w:p w:rsidR="00B05BEE" w:rsidRPr="00525CB9" w:rsidRDefault="000A0A61" w:rsidP="00752277">
            <w:pPr>
              <w:jc w:val="center"/>
              <w:rPr>
                <w:rFonts w:ascii="Arial Narrow" w:hAnsi="Arial Narrow"/>
                <w:color w:val="000000"/>
                <w:sz w:val="20"/>
              </w:rPr>
            </w:pPr>
            <w:r w:rsidRPr="00525CB9">
              <w:rPr>
                <w:rFonts w:ascii="Arial Narrow" w:hAnsi="Arial Narrow"/>
                <w:color w:val="000000"/>
                <w:sz w:val="20"/>
              </w:rPr>
              <w:t>5</w:t>
            </w:r>
            <w:r w:rsidR="007A5CB2" w:rsidRPr="00525CB9">
              <w:rPr>
                <w:rFonts w:ascii="Arial Narrow" w:hAnsi="Arial Narrow"/>
                <w:color w:val="000000"/>
                <w:sz w:val="20"/>
              </w:rPr>
              <w:t>.0</w:t>
            </w:r>
            <w:r w:rsidR="00B05BEE" w:rsidRPr="00525CB9">
              <w:rPr>
                <w:rFonts w:ascii="Arial Narrow" w:hAnsi="Arial Narrow"/>
                <w:color w:val="000000"/>
                <w:sz w:val="20"/>
              </w:rPr>
              <w:t>%</w:t>
            </w:r>
          </w:p>
        </w:tc>
        <w:tc>
          <w:tcPr>
            <w:tcW w:w="709" w:type="pct"/>
            <w:vAlign w:val="center"/>
          </w:tcPr>
          <w:p w:rsidR="00B05BEE" w:rsidRPr="00525CB9" w:rsidRDefault="00B05BEE" w:rsidP="00D956A0">
            <w:pPr>
              <w:jc w:val="center"/>
              <w:rPr>
                <w:rFonts w:ascii="Arial Narrow" w:hAnsi="Arial Narrow"/>
                <w:color w:val="000000"/>
                <w:sz w:val="20"/>
              </w:rPr>
            </w:pPr>
            <w:r w:rsidRPr="00525CB9">
              <w:rPr>
                <w:rFonts w:ascii="Arial Narrow" w:hAnsi="Arial Narrow"/>
                <w:color w:val="000000"/>
                <w:sz w:val="20"/>
              </w:rPr>
              <w:t>3</w:t>
            </w:r>
            <w:r w:rsidR="007A5CB2" w:rsidRPr="00525CB9">
              <w:rPr>
                <w:rFonts w:ascii="Arial Narrow" w:hAnsi="Arial Narrow"/>
                <w:color w:val="000000"/>
                <w:sz w:val="20"/>
              </w:rPr>
              <w:t>2.7</w:t>
            </w:r>
            <w:r w:rsidRPr="00525CB9">
              <w:rPr>
                <w:rFonts w:ascii="Arial Narrow" w:hAnsi="Arial Narrow"/>
                <w:color w:val="000000"/>
                <w:sz w:val="20"/>
              </w:rPr>
              <w:t>%</w:t>
            </w:r>
          </w:p>
        </w:tc>
        <w:tc>
          <w:tcPr>
            <w:tcW w:w="674" w:type="pct"/>
            <w:vAlign w:val="center"/>
          </w:tcPr>
          <w:p w:rsidR="00B05BEE" w:rsidRPr="00525CB9" w:rsidRDefault="00D956A0" w:rsidP="00752277">
            <w:pPr>
              <w:pStyle w:val="Tabletext"/>
              <w:jc w:val="center"/>
            </w:pPr>
            <w:r w:rsidRPr="00525CB9">
              <w:t>0.15</w:t>
            </w:r>
          </w:p>
        </w:tc>
        <w:tc>
          <w:tcPr>
            <w:tcW w:w="647"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5</w:t>
            </w:r>
          </w:p>
        </w:tc>
        <w:tc>
          <w:tcPr>
            <w:tcW w:w="710"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33</w:t>
            </w:r>
          </w:p>
        </w:tc>
        <w:tc>
          <w:tcPr>
            <w:tcW w:w="810" w:type="pct"/>
            <w:vAlign w:val="center"/>
          </w:tcPr>
          <w:p w:rsidR="00B05BEE" w:rsidRPr="00525CB9" w:rsidRDefault="00D956A0" w:rsidP="00752277">
            <w:pPr>
              <w:pStyle w:val="Tabletext"/>
              <w:jc w:val="center"/>
            </w:pPr>
            <w:r w:rsidRPr="00525CB9">
              <w:t>-28%</w:t>
            </w:r>
          </w:p>
        </w:tc>
      </w:tr>
      <w:tr w:rsidR="00AC1243" w:rsidRPr="00525CB9" w:rsidTr="00AC1243">
        <w:tc>
          <w:tcPr>
            <w:tcW w:w="5000" w:type="pct"/>
            <w:gridSpan w:val="7"/>
            <w:shd w:val="clear" w:color="auto" w:fill="auto"/>
            <w:vAlign w:val="center"/>
          </w:tcPr>
          <w:p w:rsidR="00AC1243" w:rsidRPr="00525CB9" w:rsidRDefault="00AC1243" w:rsidP="00AF3ED7">
            <w:pPr>
              <w:pStyle w:val="Tabletext"/>
            </w:pPr>
            <w:r w:rsidRPr="00525CB9">
              <w:rPr>
                <w:b/>
                <w:color w:val="000000"/>
                <w:szCs w:val="18"/>
              </w:rPr>
              <w:t>Neutropenia grade 3-4</w:t>
            </w:r>
            <w:r w:rsidR="00AF3ED7" w:rsidRPr="00525CB9">
              <w:rPr>
                <w:b/>
                <w:color w:val="000000"/>
                <w:szCs w:val="18"/>
                <w:vertAlign w:val="superscript"/>
              </w:rPr>
              <w:t>d</w:t>
            </w:r>
          </w:p>
        </w:tc>
      </w:tr>
      <w:tr w:rsidR="001A37E5" w:rsidRPr="00525CB9" w:rsidTr="00A34B61">
        <w:tc>
          <w:tcPr>
            <w:tcW w:w="867" w:type="pct"/>
            <w:shd w:val="clear" w:color="auto" w:fill="auto"/>
          </w:tcPr>
          <w:p w:rsidR="00B05BEE" w:rsidRPr="00525CB9" w:rsidRDefault="00B05BEE" w:rsidP="00752277">
            <w:pPr>
              <w:jc w:val="left"/>
              <w:rPr>
                <w:rFonts w:ascii="Arial Narrow" w:hAnsi="Arial Narrow"/>
                <w:color w:val="000000"/>
                <w:sz w:val="20"/>
                <w:szCs w:val="18"/>
              </w:rPr>
            </w:pPr>
            <w:r w:rsidRPr="00525CB9">
              <w:rPr>
                <w:rFonts w:ascii="Arial Narrow" w:hAnsi="Arial Narrow"/>
                <w:color w:val="000000"/>
                <w:sz w:val="20"/>
                <w:szCs w:val="18"/>
              </w:rPr>
              <w:t>Induction</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46%</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79%</w:t>
            </w:r>
          </w:p>
        </w:tc>
        <w:tc>
          <w:tcPr>
            <w:tcW w:w="674" w:type="pct"/>
            <w:vAlign w:val="center"/>
          </w:tcPr>
          <w:p w:rsidR="00B05BEE" w:rsidRPr="00525CB9" w:rsidRDefault="00D956A0" w:rsidP="00752277">
            <w:pPr>
              <w:pStyle w:val="Tabletext"/>
              <w:jc w:val="center"/>
            </w:pPr>
            <w:r w:rsidRPr="00525CB9">
              <w:t>0.58</w:t>
            </w:r>
          </w:p>
        </w:tc>
        <w:tc>
          <w:tcPr>
            <w:tcW w:w="647"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46</w:t>
            </w:r>
          </w:p>
        </w:tc>
        <w:tc>
          <w:tcPr>
            <w:tcW w:w="710"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79</w:t>
            </w:r>
          </w:p>
        </w:tc>
        <w:tc>
          <w:tcPr>
            <w:tcW w:w="810" w:type="pct"/>
            <w:vAlign w:val="center"/>
          </w:tcPr>
          <w:p w:rsidR="00B05BEE" w:rsidRPr="00525CB9" w:rsidRDefault="00D956A0" w:rsidP="00752277">
            <w:pPr>
              <w:pStyle w:val="Tabletext"/>
              <w:jc w:val="center"/>
            </w:pPr>
            <w:r w:rsidRPr="00525CB9">
              <w:t>-33%</w:t>
            </w:r>
          </w:p>
        </w:tc>
      </w:tr>
      <w:tr w:rsidR="001A37E5" w:rsidRPr="00525CB9" w:rsidTr="00A34B61">
        <w:tc>
          <w:tcPr>
            <w:tcW w:w="867" w:type="pct"/>
            <w:shd w:val="clear" w:color="auto" w:fill="auto"/>
          </w:tcPr>
          <w:p w:rsidR="00A34B61" w:rsidRPr="00525CB9" w:rsidRDefault="00B05BEE" w:rsidP="00752277">
            <w:pPr>
              <w:jc w:val="left"/>
              <w:rPr>
                <w:rFonts w:ascii="Arial Narrow" w:hAnsi="Arial Narrow"/>
                <w:color w:val="000000"/>
                <w:sz w:val="20"/>
                <w:szCs w:val="18"/>
              </w:rPr>
            </w:pPr>
            <w:r w:rsidRPr="00525CB9">
              <w:rPr>
                <w:rFonts w:ascii="Arial Narrow" w:hAnsi="Arial Narrow"/>
                <w:color w:val="000000"/>
                <w:sz w:val="20"/>
                <w:szCs w:val="18"/>
              </w:rPr>
              <w:t>Consol</w:t>
            </w:r>
            <w:r w:rsidR="00A34B61" w:rsidRPr="00525CB9">
              <w:rPr>
                <w:rFonts w:ascii="Arial Narrow" w:hAnsi="Arial Narrow"/>
                <w:color w:val="000000"/>
                <w:sz w:val="20"/>
                <w:szCs w:val="18"/>
              </w:rPr>
              <w:t xml:space="preserve">idation </w:t>
            </w:r>
          </w:p>
          <w:p w:rsidR="00B05BEE" w:rsidRPr="00525CB9" w:rsidRDefault="00A34B61" w:rsidP="00752277">
            <w:pPr>
              <w:jc w:val="left"/>
              <w:rPr>
                <w:rFonts w:ascii="Arial Narrow" w:hAnsi="Arial Narrow"/>
                <w:color w:val="000000"/>
                <w:sz w:val="20"/>
                <w:szCs w:val="18"/>
              </w:rPr>
            </w:pPr>
            <w:r w:rsidRPr="00525CB9">
              <w:rPr>
                <w:rFonts w:ascii="Arial Narrow" w:hAnsi="Arial Narrow"/>
                <w:color w:val="000000"/>
                <w:sz w:val="20"/>
                <w:szCs w:val="18"/>
              </w:rPr>
              <w:t>(av.</w:t>
            </w:r>
            <w:r w:rsidR="00B05BEE" w:rsidRPr="00525CB9">
              <w:rPr>
                <w:rFonts w:ascii="Arial Narrow" w:hAnsi="Arial Narrow"/>
                <w:color w:val="000000"/>
                <w:sz w:val="20"/>
                <w:szCs w:val="18"/>
              </w:rPr>
              <w:t xml:space="preserve"> of 3 cycles)</w:t>
            </w:r>
          </w:p>
        </w:tc>
        <w:tc>
          <w:tcPr>
            <w:tcW w:w="583"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5</w:t>
            </w:r>
            <w:r w:rsidR="007A5CB2" w:rsidRPr="00525CB9">
              <w:rPr>
                <w:rFonts w:ascii="Arial Narrow" w:hAnsi="Arial Narrow"/>
                <w:color w:val="000000"/>
                <w:sz w:val="20"/>
              </w:rPr>
              <w:t>.3</w:t>
            </w:r>
            <w:r w:rsidR="00B05BEE" w:rsidRPr="00525CB9">
              <w:rPr>
                <w:rFonts w:ascii="Arial Narrow" w:hAnsi="Arial Narrow"/>
                <w:color w:val="000000"/>
                <w:sz w:val="20"/>
              </w:rPr>
              <w:t>%</w:t>
            </w:r>
          </w:p>
        </w:tc>
        <w:tc>
          <w:tcPr>
            <w:tcW w:w="709"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45</w:t>
            </w:r>
            <w:r w:rsidR="007A5CB2" w:rsidRPr="00525CB9">
              <w:rPr>
                <w:rFonts w:ascii="Arial Narrow" w:hAnsi="Arial Narrow"/>
                <w:color w:val="000000"/>
                <w:sz w:val="20"/>
              </w:rPr>
              <w:t>.3</w:t>
            </w:r>
            <w:r w:rsidR="00B05BEE" w:rsidRPr="00525CB9">
              <w:rPr>
                <w:rFonts w:ascii="Arial Narrow" w:hAnsi="Arial Narrow"/>
                <w:color w:val="000000"/>
                <w:sz w:val="20"/>
              </w:rPr>
              <w:t>%</w:t>
            </w:r>
          </w:p>
        </w:tc>
        <w:tc>
          <w:tcPr>
            <w:tcW w:w="674" w:type="pct"/>
            <w:vAlign w:val="center"/>
          </w:tcPr>
          <w:p w:rsidR="00B05BEE" w:rsidRPr="00525CB9" w:rsidRDefault="00D956A0" w:rsidP="00752277">
            <w:pPr>
              <w:pStyle w:val="Tabletext"/>
              <w:jc w:val="center"/>
            </w:pPr>
            <w:r w:rsidRPr="00525CB9">
              <w:t>0.12</w:t>
            </w:r>
          </w:p>
        </w:tc>
        <w:tc>
          <w:tcPr>
            <w:tcW w:w="647"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5</w:t>
            </w:r>
          </w:p>
        </w:tc>
        <w:tc>
          <w:tcPr>
            <w:tcW w:w="710" w:type="pct"/>
            <w:vAlign w:val="center"/>
          </w:tcPr>
          <w:p w:rsidR="00B05BEE" w:rsidRPr="00525CB9" w:rsidRDefault="00D956A0" w:rsidP="00752277">
            <w:pPr>
              <w:jc w:val="center"/>
              <w:rPr>
                <w:rFonts w:ascii="Arial Narrow" w:hAnsi="Arial Narrow"/>
                <w:color w:val="000000"/>
                <w:sz w:val="20"/>
              </w:rPr>
            </w:pPr>
            <w:r w:rsidRPr="00525CB9">
              <w:rPr>
                <w:rFonts w:ascii="Arial Narrow" w:hAnsi="Arial Narrow"/>
                <w:color w:val="000000"/>
                <w:sz w:val="20"/>
              </w:rPr>
              <w:t>45</w:t>
            </w:r>
          </w:p>
        </w:tc>
        <w:tc>
          <w:tcPr>
            <w:tcW w:w="810" w:type="pct"/>
            <w:vAlign w:val="center"/>
          </w:tcPr>
          <w:p w:rsidR="00B05BEE" w:rsidRPr="00525CB9" w:rsidRDefault="00D956A0" w:rsidP="00752277">
            <w:pPr>
              <w:pStyle w:val="Tabletext"/>
              <w:jc w:val="center"/>
            </w:pPr>
            <w:r w:rsidRPr="00525CB9">
              <w:t>-40%</w:t>
            </w:r>
          </w:p>
        </w:tc>
      </w:tr>
      <w:tr w:rsidR="001A37E5" w:rsidRPr="00525CB9" w:rsidTr="00A34B61">
        <w:tc>
          <w:tcPr>
            <w:tcW w:w="867" w:type="pct"/>
            <w:shd w:val="clear" w:color="auto" w:fill="auto"/>
          </w:tcPr>
          <w:p w:rsidR="00B05BEE" w:rsidRPr="00525CB9" w:rsidRDefault="00B05BEE" w:rsidP="00752277">
            <w:pPr>
              <w:jc w:val="left"/>
              <w:rPr>
                <w:rFonts w:ascii="Arial Narrow" w:hAnsi="Arial Narrow"/>
                <w:b/>
                <w:color w:val="000000"/>
                <w:sz w:val="20"/>
                <w:szCs w:val="18"/>
              </w:rPr>
            </w:pPr>
            <w:r w:rsidRPr="00525CB9">
              <w:rPr>
                <w:rFonts w:ascii="Arial Narrow" w:hAnsi="Arial Narrow"/>
                <w:b/>
                <w:color w:val="000000"/>
                <w:sz w:val="20"/>
                <w:szCs w:val="18"/>
              </w:rPr>
              <w:t>Hepatotoxicity grade 3-4</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43/68</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4/69</w:t>
            </w:r>
          </w:p>
        </w:tc>
        <w:tc>
          <w:tcPr>
            <w:tcW w:w="674" w:type="pct"/>
            <w:vAlign w:val="center"/>
          </w:tcPr>
          <w:p w:rsidR="00B05BEE" w:rsidRPr="00525CB9" w:rsidRDefault="00B745BB" w:rsidP="00752277">
            <w:pPr>
              <w:pStyle w:val="Tabletext"/>
              <w:jc w:val="center"/>
            </w:pPr>
            <w:r w:rsidRPr="00525CB9">
              <w:t>10.91</w:t>
            </w:r>
          </w:p>
          <w:p w:rsidR="00B745BB" w:rsidRPr="00525CB9" w:rsidRDefault="00B745BB" w:rsidP="00752277">
            <w:pPr>
              <w:pStyle w:val="Tabletext"/>
              <w:jc w:val="center"/>
            </w:pPr>
            <w:r w:rsidRPr="00525CB9">
              <w:t>(4.14, 28.73)</w:t>
            </w:r>
          </w:p>
        </w:tc>
        <w:tc>
          <w:tcPr>
            <w:tcW w:w="647" w:type="pct"/>
            <w:vAlign w:val="center"/>
          </w:tcPr>
          <w:p w:rsidR="00B05BEE" w:rsidRPr="00525CB9" w:rsidRDefault="00B745BB" w:rsidP="00752277">
            <w:pPr>
              <w:jc w:val="center"/>
              <w:rPr>
                <w:rFonts w:ascii="Arial Narrow" w:hAnsi="Arial Narrow"/>
                <w:color w:val="000000"/>
                <w:sz w:val="20"/>
              </w:rPr>
            </w:pPr>
            <w:r w:rsidRPr="00525CB9">
              <w:rPr>
                <w:rFonts w:ascii="Arial Narrow" w:hAnsi="Arial Narrow"/>
                <w:color w:val="000000"/>
                <w:sz w:val="20"/>
              </w:rPr>
              <w:t>63</w:t>
            </w:r>
          </w:p>
        </w:tc>
        <w:tc>
          <w:tcPr>
            <w:tcW w:w="710" w:type="pct"/>
            <w:vAlign w:val="center"/>
          </w:tcPr>
          <w:p w:rsidR="00B05BEE" w:rsidRPr="00525CB9" w:rsidRDefault="00B745BB" w:rsidP="00752277">
            <w:pPr>
              <w:jc w:val="center"/>
              <w:rPr>
                <w:rFonts w:ascii="Arial Narrow" w:hAnsi="Arial Narrow"/>
                <w:color w:val="000000"/>
                <w:sz w:val="20"/>
              </w:rPr>
            </w:pPr>
            <w:r w:rsidRPr="00525CB9">
              <w:rPr>
                <w:rFonts w:ascii="Arial Narrow" w:hAnsi="Arial Narrow"/>
                <w:color w:val="000000"/>
                <w:sz w:val="20"/>
              </w:rPr>
              <w:t>6</w:t>
            </w:r>
          </w:p>
        </w:tc>
        <w:tc>
          <w:tcPr>
            <w:tcW w:w="810" w:type="pct"/>
            <w:vAlign w:val="center"/>
          </w:tcPr>
          <w:p w:rsidR="00B05BEE" w:rsidRPr="00525CB9" w:rsidRDefault="00B745BB" w:rsidP="00752277">
            <w:pPr>
              <w:pStyle w:val="Tabletext"/>
              <w:jc w:val="center"/>
            </w:pPr>
            <w:r w:rsidRPr="00525CB9">
              <w:t>57.4%</w:t>
            </w:r>
          </w:p>
          <w:p w:rsidR="00B745BB" w:rsidRPr="00525CB9" w:rsidRDefault="00B745BB" w:rsidP="00752277">
            <w:pPr>
              <w:pStyle w:val="Tabletext"/>
              <w:jc w:val="center"/>
            </w:pPr>
            <w:r w:rsidRPr="00525CB9">
              <w:t>(44.7%, 70.2%)</w:t>
            </w:r>
          </w:p>
        </w:tc>
      </w:tr>
      <w:tr w:rsidR="001A37E5" w:rsidRPr="00525CB9" w:rsidTr="00A34B61">
        <w:tc>
          <w:tcPr>
            <w:tcW w:w="867" w:type="pct"/>
            <w:shd w:val="clear" w:color="auto" w:fill="auto"/>
          </w:tcPr>
          <w:p w:rsidR="00B05BEE" w:rsidRPr="00525CB9" w:rsidRDefault="00B05BEE" w:rsidP="00752277">
            <w:pPr>
              <w:jc w:val="left"/>
              <w:rPr>
                <w:rFonts w:ascii="Arial Narrow" w:hAnsi="Arial Narrow"/>
                <w:b/>
                <w:color w:val="000000"/>
                <w:sz w:val="20"/>
                <w:szCs w:val="18"/>
              </w:rPr>
            </w:pPr>
            <w:r w:rsidRPr="00525CB9">
              <w:rPr>
                <w:rFonts w:ascii="Arial Narrow" w:hAnsi="Arial Narrow"/>
                <w:b/>
                <w:color w:val="000000"/>
                <w:sz w:val="20"/>
                <w:szCs w:val="18"/>
              </w:rPr>
              <w:t xml:space="preserve">Prolongation of </w:t>
            </w:r>
            <w:proofErr w:type="spellStart"/>
            <w:r w:rsidRPr="00525CB9">
              <w:rPr>
                <w:rFonts w:ascii="Arial Narrow" w:hAnsi="Arial Narrow"/>
                <w:b/>
                <w:color w:val="000000"/>
                <w:sz w:val="20"/>
                <w:szCs w:val="18"/>
              </w:rPr>
              <w:t>QTc</w:t>
            </w:r>
            <w:proofErr w:type="spellEnd"/>
            <w:r w:rsidRPr="00525CB9">
              <w:rPr>
                <w:rFonts w:ascii="Arial Narrow" w:hAnsi="Arial Narrow"/>
                <w:b/>
                <w:color w:val="000000"/>
                <w:sz w:val="20"/>
                <w:szCs w:val="18"/>
              </w:rPr>
              <w:t xml:space="preserve"> interval</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12/77</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0</w:t>
            </w:r>
            <w:r w:rsidR="009F4DA4" w:rsidRPr="00525CB9">
              <w:rPr>
                <w:rFonts w:ascii="Arial Narrow" w:hAnsi="Arial Narrow"/>
                <w:color w:val="000000"/>
                <w:sz w:val="20"/>
              </w:rPr>
              <w:t>/79</w:t>
            </w:r>
          </w:p>
        </w:tc>
        <w:tc>
          <w:tcPr>
            <w:tcW w:w="674" w:type="pct"/>
            <w:vAlign w:val="center"/>
          </w:tcPr>
          <w:p w:rsidR="00B05BEE" w:rsidRPr="00525CB9" w:rsidRDefault="009F4DA4" w:rsidP="00752277">
            <w:pPr>
              <w:pStyle w:val="Tabletext"/>
              <w:jc w:val="center"/>
            </w:pPr>
            <w:r w:rsidRPr="00525CB9">
              <w:t>-</w:t>
            </w:r>
          </w:p>
        </w:tc>
        <w:tc>
          <w:tcPr>
            <w:tcW w:w="647" w:type="pct"/>
            <w:vAlign w:val="center"/>
          </w:tcPr>
          <w:p w:rsidR="00B05BEE" w:rsidRPr="00525CB9" w:rsidRDefault="009F4DA4" w:rsidP="00752277">
            <w:pPr>
              <w:jc w:val="center"/>
              <w:rPr>
                <w:rFonts w:ascii="Arial Narrow" w:hAnsi="Arial Narrow"/>
                <w:color w:val="000000"/>
                <w:sz w:val="20"/>
              </w:rPr>
            </w:pPr>
            <w:r w:rsidRPr="00525CB9">
              <w:rPr>
                <w:rFonts w:ascii="Arial Narrow" w:hAnsi="Arial Narrow"/>
                <w:color w:val="000000"/>
                <w:sz w:val="20"/>
              </w:rPr>
              <w:t>16</w:t>
            </w:r>
          </w:p>
        </w:tc>
        <w:tc>
          <w:tcPr>
            <w:tcW w:w="710" w:type="pct"/>
            <w:vAlign w:val="center"/>
          </w:tcPr>
          <w:p w:rsidR="00B05BEE" w:rsidRPr="00525CB9" w:rsidRDefault="009F4DA4" w:rsidP="00752277">
            <w:pPr>
              <w:jc w:val="center"/>
              <w:rPr>
                <w:rFonts w:ascii="Arial Narrow" w:hAnsi="Arial Narrow"/>
                <w:color w:val="000000"/>
                <w:sz w:val="20"/>
              </w:rPr>
            </w:pPr>
            <w:r w:rsidRPr="00525CB9">
              <w:rPr>
                <w:rFonts w:ascii="Arial Narrow" w:hAnsi="Arial Narrow"/>
                <w:color w:val="000000"/>
                <w:sz w:val="20"/>
              </w:rPr>
              <w:t>0</w:t>
            </w:r>
          </w:p>
        </w:tc>
        <w:tc>
          <w:tcPr>
            <w:tcW w:w="810" w:type="pct"/>
            <w:vAlign w:val="center"/>
          </w:tcPr>
          <w:p w:rsidR="00B05BEE" w:rsidRPr="00525CB9" w:rsidRDefault="009F4DA4" w:rsidP="00752277">
            <w:pPr>
              <w:pStyle w:val="Tabletext"/>
              <w:jc w:val="center"/>
            </w:pPr>
            <w:r w:rsidRPr="00525CB9">
              <w:t>15.6%</w:t>
            </w:r>
          </w:p>
          <w:p w:rsidR="009F4DA4" w:rsidRPr="00525CB9" w:rsidRDefault="009F4DA4" w:rsidP="00752277">
            <w:pPr>
              <w:pStyle w:val="Tabletext"/>
              <w:jc w:val="center"/>
            </w:pPr>
            <w:r w:rsidRPr="00525CB9">
              <w:t>(7.5%, 23.7%)</w:t>
            </w:r>
          </w:p>
        </w:tc>
      </w:tr>
      <w:tr w:rsidR="001A37E5" w:rsidRPr="00525CB9" w:rsidTr="00A34B61">
        <w:tc>
          <w:tcPr>
            <w:tcW w:w="867" w:type="pct"/>
            <w:shd w:val="clear" w:color="auto" w:fill="auto"/>
          </w:tcPr>
          <w:p w:rsidR="00B05BEE" w:rsidRPr="00525CB9" w:rsidRDefault="00B05BEE" w:rsidP="00752277">
            <w:pPr>
              <w:jc w:val="left"/>
              <w:rPr>
                <w:rFonts w:ascii="Arial Narrow" w:hAnsi="Arial Narrow"/>
                <w:b/>
                <w:color w:val="000000"/>
                <w:sz w:val="20"/>
                <w:szCs w:val="18"/>
              </w:rPr>
            </w:pPr>
            <w:r w:rsidRPr="00525CB9">
              <w:rPr>
                <w:rFonts w:ascii="Arial Narrow" w:hAnsi="Arial Narrow"/>
                <w:b/>
                <w:color w:val="000000"/>
                <w:sz w:val="20"/>
                <w:szCs w:val="18"/>
              </w:rPr>
              <w:t>Gastrointestinal grade 3-4</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4.4%</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9.9%</w:t>
            </w:r>
          </w:p>
        </w:tc>
        <w:tc>
          <w:tcPr>
            <w:tcW w:w="674" w:type="pct"/>
            <w:vAlign w:val="center"/>
          </w:tcPr>
          <w:p w:rsidR="00B05BEE" w:rsidRPr="00525CB9" w:rsidRDefault="009F4DA4" w:rsidP="00752277">
            <w:pPr>
              <w:pStyle w:val="Tabletext"/>
              <w:jc w:val="center"/>
            </w:pPr>
            <w:r w:rsidRPr="00525CB9">
              <w:t>0.44</w:t>
            </w:r>
          </w:p>
        </w:tc>
        <w:tc>
          <w:tcPr>
            <w:tcW w:w="647" w:type="pct"/>
            <w:vAlign w:val="center"/>
          </w:tcPr>
          <w:p w:rsidR="00B05BEE" w:rsidRPr="00525CB9" w:rsidRDefault="009F4DA4" w:rsidP="00752277">
            <w:pPr>
              <w:jc w:val="center"/>
              <w:rPr>
                <w:rFonts w:ascii="Arial Narrow" w:hAnsi="Arial Narrow"/>
                <w:color w:val="000000"/>
                <w:sz w:val="20"/>
              </w:rPr>
            </w:pPr>
            <w:r w:rsidRPr="00525CB9">
              <w:rPr>
                <w:rFonts w:ascii="Arial Narrow" w:hAnsi="Arial Narrow"/>
                <w:color w:val="000000"/>
                <w:sz w:val="20"/>
              </w:rPr>
              <w:t>4</w:t>
            </w:r>
          </w:p>
        </w:tc>
        <w:tc>
          <w:tcPr>
            <w:tcW w:w="710" w:type="pct"/>
            <w:vAlign w:val="center"/>
          </w:tcPr>
          <w:p w:rsidR="00B05BEE" w:rsidRPr="00525CB9" w:rsidRDefault="009F4DA4" w:rsidP="00752277">
            <w:pPr>
              <w:jc w:val="center"/>
              <w:rPr>
                <w:rFonts w:ascii="Arial Narrow" w:hAnsi="Arial Narrow"/>
                <w:color w:val="000000"/>
                <w:sz w:val="20"/>
              </w:rPr>
            </w:pPr>
            <w:r w:rsidRPr="00525CB9">
              <w:rPr>
                <w:rFonts w:ascii="Arial Narrow" w:hAnsi="Arial Narrow"/>
                <w:color w:val="000000"/>
                <w:sz w:val="20"/>
              </w:rPr>
              <w:t>10</w:t>
            </w:r>
          </w:p>
        </w:tc>
        <w:tc>
          <w:tcPr>
            <w:tcW w:w="810" w:type="pct"/>
            <w:vAlign w:val="center"/>
          </w:tcPr>
          <w:p w:rsidR="00B05BEE" w:rsidRPr="00525CB9" w:rsidRDefault="009F4DA4" w:rsidP="00752277">
            <w:pPr>
              <w:pStyle w:val="Tabletext"/>
              <w:jc w:val="center"/>
            </w:pPr>
            <w:r w:rsidRPr="00525CB9">
              <w:t>-6%</w:t>
            </w:r>
          </w:p>
        </w:tc>
      </w:tr>
      <w:tr w:rsidR="001A37E5" w:rsidRPr="00525CB9" w:rsidTr="00A34B61">
        <w:tc>
          <w:tcPr>
            <w:tcW w:w="867" w:type="pct"/>
            <w:shd w:val="clear" w:color="auto" w:fill="auto"/>
          </w:tcPr>
          <w:p w:rsidR="00B05BEE" w:rsidRPr="00525CB9" w:rsidRDefault="00B05BEE" w:rsidP="00752277">
            <w:pPr>
              <w:jc w:val="left"/>
              <w:rPr>
                <w:rFonts w:ascii="Arial Narrow" w:hAnsi="Arial Narrow"/>
                <w:b/>
                <w:color w:val="000000"/>
                <w:sz w:val="20"/>
                <w:szCs w:val="18"/>
              </w:rPr>
            </w:pPr>
            <w:r w:rsidRPr="00525CB9">
              <w:rPr>
                <w:rFonts w:ascii="Arial Narrow" w:hAnsi="Arial Narrow"/>
                <w:b/>
                <w:color w:val="000000"/>
                <w:sz w:val="20"/>
                <w:szCs w:val="18"/>
              </w:rPr>
              <w:t>Oral toxicity grade 3-4</w:t>
            </w:r>
          </w:p>
        </w:tc>
        <w:tc>
          <w:tcPr>
            <w:tcW w:w="583"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0</w:t>
            </w:r>
          </w:p>
        </w:tc>
        <w:tc>
          <w:tcPr>
            <w:tcW w:w="709" w:type="pct"/>
            <w:vAlign w:val="center"/>
          </w:tcPr>
          <w:p w:rsidR="00B05BEE" w:rsidRPr="00525CB9" w:rsidRDefault="00B05BEE" w:rsidP="00752277">
            <w:pPr>
              <w:jc w:val="center"/>
              <w:rPr>
                <w:rFonts w:ascii="Arial Narrow" w:hAnsi="Arial Narrow"/>
                <w:color w:val="000000"/>
                <w:sz w:val="20"/>
              </w:rPr>
            </w:pPr>
            <w:r w:rsidRPr="00525CB9">
              <w:rPr>
                <w:rFonts w:ascii="Arial Narrow" w:hAnsi="Arial Narrow"/>
                <w:color w:val="000000"/>
                <w:sz w:val="20"/>
              </w:rPr>
              <w:t>19.4%</w:t>
            </w:r>
          </w:p>
        </w:tc>
        <w:tc>
          <w:tcPr>
            <w:tcW w:w="674" w:type="pct"/>
            <w:vAlign w:val="center"/>
          </w:tcPr>
          <w:p w:rsidR="00B05BEE" w:rsidRPr="00525CB9" w:rsidRDefault="009F4DA4" w:rsidP="00752277">
            <w:pPr>
              <w:pStyle w:val="Tabletext"/>
              <w:jc w:val="center"/>
            </w:pPr>
            <w:r w:rsidRPr="00525CB9">
              <w:t>-</w:t>
            </w:r>
          </w:p>
        </w:tc>
        <w:tc>
          <w:tcPr>
            <w:tcW w:w="647" w:type="pct"/>
            <w:vAlign w:val="center"/>
          </w:tcPr>
          <w:p w:rsidR="00B05BEE" w:rsidRPr="00525CB9" w:rsidRDefault="009F4DA4" w:rsidP="00752277">
            <w:pPr>
              <w:jc w:val="center"/>
              <w:rPr>
                <w:rFonts w:ascii="Arial Narrow" w:hAnsi="Arial Narrow"/>
                <w:color w:val="000000"/>
                <w:sz w:val="20"/>
              </w:rPr>
            </w:pPr>
            <w:r w:rsidRPr="00525CB9">
              <w:rPr>
                <w:rFonts w:ascii="Arial Narrow" w:hAnsi="Arial Narrow"/>
                <w:color w:val="000000"/>
                <w:sz w:val="20"/>
              </w:rPr>
              <w:t>0</w:t>
            </w:r>
          </w:p>
        </w:tc>
        <w:tc>
          <w:tcPr>
            <w:tcW w:w="710" w:type="pct"/>
            <w:vAlign w:val="center"/>
          </w:tcPr>
          <w:p w:rsidR="00B05BEE" w:rsidRPr="00525CB9" w:rsidRDefault="009F4DA4" w:rsidP="00752277">
            <w:pPr>
              <w:jc w:val="center"/>
              <w:rPr>
                <w:rFonts w:ascii="Arial Narrow" w:hAnsi="Arial Narrow"/>
                <w:color w:val="000000"/>
                <w:sz w:val="20"/>
              </w:rPr>
            </w:pPr>
            <w:r w:rsidRPr="00525CB9">
              <w:rPr>
                <w:rFonts w:ascii="Arial Narrow" w:hAnsi="Arial Narrow"/>
                <w:color w:val="000000"/>
                <w:sz w:val="20"/>
              </w:rPr>
              <w:t>19</w:t>
            </w:r>
          </w:p>
        </w:tc>
        <w:tc>
          <w:tcPr>
            <w:tcW w:w="810" w:type="pct"/>
            <w:vAlign w:val="center"/>
          </w:tcPr>
          <w:p w:rsidR="00B05BEE" w:rsidRPr="00525CB9" w:rsidRDefault="009F4DA4" w:rsidP="00752277">
            <w:pPr>
              <w:pStyle w:val="Tabletext"/>
              <w:jc w:val="center"/>
            </w:pPr>
            <w:r w:rsidRPr="00525CB9">
              <w:t>-19.4%</w:t>
            </w:r>
          </w:p>
        </w:tc>
      </w:tr>
    </w:tbl>
    <w:p w:rsidR="00AD486D" w:rsidRDefault="00AF3ED7" w:rsidP="00AD486D">
      <w:pPr>
        <w:pStyle w:val="TableFooter"/>
        <w:ind w:left="720"/>
      </w:pPr>
      <w:proofErr w:type="gramStart"/>
      <w:r>
        <w:rPr>
          <w:vertAlign w:val="superscript"/>
        </w:rPr>
        <w:t>a</w:t>
      </w:r>
      <w:proofErr w:type="gramEnd"/>
      <w:r w:rsidR="00AD486D" w:rsidRPr="0072416F">
        <w:t xml:space="preserve"> </w:t>
      </w:r>
      <w:r w:rsidR="00AC1243">
        <w:t xml:space="preserve">Median duration of follow-up: 24.4 months (range 0.5-55.8 months) </w:t>
      </w:r>
    </w:p>
    <w:p w:rsidR="00AF3ED7" w:rsidRPr="00AF3ED7" w:rsidRDefault="00AF3ED7" w:rsidP="00AD486D">
      <w:pPr>
        <w:pStyle w:val="TableFooter"/>
        <w:ind w:left="720"/>
      </w:pPr>
      <w:proofErr w:type="gramStart"/>
      <w:r>
        <w:rPr>
          <w:vertAlign w:val="superscript"/>
        </w:rPr>
        <w:t>b</w:t>
      </w:r>
      <w:proofErr w:type="gramEnd"/>
      <w:r>
        <w:rPr>
          <w:vertAlign w:val="superscript"/>
        </w:rPr>
        <w:t xml:space="preserve"> </w:t>
      </w:r>
      <w:r>
        <w:t>defined as WCC&gt;10x10</w:t>
      </w:r>
      <w:r>
        <w:rPr>
          <w:vertAlign w:val="superscript"/>
        </w:rPr>
        <w:t>9</w:t>
      </w:r>
      <w:r>
        <w:t>/L</w:t>
      </w:r>
    </w:p>
    <w:p w:rsidR="00AD486D" w:rsidRDefault="00AF3ED7" w:rsidP="00AD486D">
      <w:pPr>
        <w:pStyle w:val="TableFooter"/>
        <w:ind w:left="720"/>
      </w:pPr>
      <w:proofErr w:type="gramStart"/>
      <w:r>
        <w:rPr>
          <w:vertAlign w:val="superscript"/>
        </w:rPr>
        <w:t>c</w:t>
      </w:r>
      <w:proofErr w:type="gramEnd"/>
      <w:r>
        <w:rPr>
          <w:vertAlign w:val="superscript"/>
        </w:rPr>
        <w:t xml:space="preserve"> </w:t>
      </w:r>
      <w:r w:rsidR="00AD486D" w:rsidRPr="0032240B">
        <w:t>defined as WCC&gt;10x10</w:t>
      </w:r>
      <w:r w:rsidR="00AD486D" w:rsidRPr="0032240B">
        <w:rPr>
          <w:vertAlign w:val="superscript"/>
        </w:rPr>
        <w:t>9</w:t>
      </w:r>
      <w:r w:rsidR="00AD486D" w:rsidRPr="0032240B">
        <w:t>/L</w:t>
      </w:r>
      <w:r w:rsidR="00AC1243">
        <w:t>, lasting &gt; 15 days</w:t>
      </w:r>
    </w:p>
    <w:p w:rsidR="00AD486D" w:rsidRPr="0072416F" w:rsidRDefault="00AF3ED7" w:rsidP="00AD486D">
      <w:pPr>
        <w:pStyle w:val="TableFooter"/>
        <w:ind w:left="720"/>
      </w:pPr>
      <w:proofErr w:type="gramStart"/>
      <w:r>
        <w:rPr>
          <w:vertAlign w:val="superscript"/>
        </w:rPr>
        <w:t>d</w:t>
      </w:r>
      <w:proofErr w:type="gramEnd"/>
      <w:r w:rsidR="00AD486D">
        <w:t xml:space="preserve"> </w:t>
      </w:r>
      <w:r w:rsidR="00AD486D" w:rsidRPr="007D5D1C">
        <w:t>defined as Platelets &lt;50x10</w:t>
      </w:r>
      <w:r w:rsidR="00AD486D" w:rsidRPr="007D5D1C">
        <w:rPr>
          <w:vertAlign w:val="superscript"/>
        </w:rPr>
        <w:t>9</w:t>
      </w:r>
      <w:r w:rsidR="00AD486D" w:rsidRPr="007D5D1C">
        <w:t>/L; Neutrophil count &lt;1x10</w:t>
      </w:r>
      <w:r w:rsidR="00AD486D" w:rsidRPr="007D5D1C">
        <w:rPr>
          <w:vertAlign w:val="superscript"/>
        </w:rPr>
        <w:t>9</w:t>
      </w:r>
      <w:r w:rsidR="00AD486D" w:rsidRPr="007D5D1C">
        <w:t>/L</w:t>
      </w:r>
      <w:r w:rsidR="00AC1243">
        <w:t>, lasting &gt; 15 days</w:t>
      </w:r>
    </w:p>
    <w:p w:rsidR="00AD486D" w:rsidRPr="00E6362A" w:rsidRDefault="00AD486D" w:rsidP="00AD486D">
      <w:pPr>
        <w:pStyle w:val="TableFooter"/>
        <w:ind w:left="720"/>
      </w:pPr>
      <w:r w:rsidRPr="0072416F">
        <w:t xml:space="preserve">Abbreviations: </w:t>
      </w:r>
      <w:r w:rsidR="00E6362A">
        <w:t xml:space="preserve">APL DS = acute </w:t>
      </w:r>
      <w:proofErr w:type="spellStart"/>
      <w:r w:rsidR="00E6362A">
        <w:t>promyelocytic</w:t>
      </w:r>
      <w:proofErr w:type="spellEnd"/>
      <w:r w:rsidR="00E6362A">
        <w:t xml:space="preserve"> leukaemia differentiation syndrome; ATO = arsenic trioxide; ATRA = all-</w:t>
      </w:r>
      <w:r w:rsidR="00E6362A">
        <w:rPr>
          <w:i/>
        </w:rPr>
        <w:t>trans</w:t>
      </w:r>
      <w:r w:rsidR="00E6362A">
        <w:t xml:space="preserve"> retinoic acid; chemo = chemotherapy; CI = confidence interval; RD = risk difference; RR = relative risk</w:t>
      </w:r>
    </w:p>
    <w:p w:rsidR="00C25107" w:rsidRPr="0072416F" w:rsidRDefault="00C25107" w:rsidP="00AD486D">
      <w:pPr>
        <w:pStyle w:val="TableFooter"/>
        <w:ind w:left="720"/>
      </w:pPr>
      <w:r>
        <w:t xml:space="preserve">Note: Only percentages were available for some safety data and the number of patients included in the analysis set was </w:t>
      </w:r>
      <w:r w:rsidR="0030199F">
        <w:t>unclear</w:t>
      </w:r>
      <w:r>
        <w:t xml:space="preserve">. In these cases, confidence intervals have not been </w:t>
      </w:r>
      <w:r w:rsidR="005A55F4">
        <w:t>presented</w:t>
      </w:r>
      <w:r>
        <w:t xml:space="preserve">. </w:t>
      </w:r>
    </w:p>
    <w:p w:rsidR="00AD486D" w:rsidRPr="0072416F" w:rsidRDefault="00AD486D" w:rsidP="00AD486D">
      <w:pPr>
        <w:pStyle w:val="TableFooter"/>
        <w:ind w:left="720"/>
      </w:pPr>
      <w:r w:rsidRPr="0072416F">
        <w:t>Source: Compiled during the evaluation</w:t>
      </w:r>
    </w:p>
    <w:p w:rsidR="00F4084A" w:rsidRPr="00F4084A" w:rsidRDefault="00F4084A" w:rsidP="00F4084A">
      <w:pPr>
        <w:pStyle w:val="ListParagraph"/>
        <w:widowControl/>
        <w:rPr>
          <w:szCs w:val="22"/>
        </w:rPr>
      </w:pPr>
    </w:p>
    <w:p w:rsidR="00AD486D" w:rsidRPr="00970BBB" w:rsidRDefault="00970BBB" w:rsidP="002969CC">
      <w:pPr>
        <w:pStyle w:val="ListParagraph"/>
        <w:widowControl/>
        <w:numPr>
          <w:ilvl w:val="1"/>
          <w:numId w:val="3"/>
        </w:numPr>
        <w:rPr>
          <w:szCs w:val="22"/>
        </w:rPr>
      </w:pPr>
      <w:r w:rsidRPr="00CF6EE4">
        <w:t xml:space="preserve">On the basis of direct evidence </w:t>
      </w:r>
      <w:r>
        <w:t xml:space="preserve">(Lo-Coco 2013) </w:t>
      </w:r>
      <w:r w:rsidRPr="00CF6EE4">
        <w:t xml:space="preserve">presented by the submission, for every 100 </w:t>
      </w:r>
      <w:r>
        <w:t xml:space="preserve">low-intermediate risk APL </w:t>
      </w:r>
      <w:r w:rsidRPr="00CF6EE4">
        <w:t xml:space="preserve">patients treated with </w:t>
      </w:r>
      <w:r>
        <w:t>ATO+ATRA</w:t>
      </w:r>
      <w:r w:rsidRPr="00CF6EE4">
        <w:t xml:space="preserve"> in comparison to </w:t>
      </w:r>
      <w:proofErr w:type="spellStart"/>
      <w:r>
        <w:t>ATRA+chemotherapy</w:t>
      </w:r>
      <w:proofErr w:type="spellEnd"/>
      <w:r>
        <w:t>:</w:t>
      </w:r>
    </w:p>
    <w:p w:rsidR="00AD486D" w:rsidRPr="00CF6EE4" w:rsidRDefault="00AD486D" w:rsidP="002969CC">
      <w:pPr>
        <w:pStyle w:val="ListParagraph"/>
        <w:widowControl/>
        <w:numPr>
          <w:ilvl w:val="0"/>
          <w:numId w:val="2"/>
        </w:numPr>
        <w:ind w:left="993" w:hanging="284"/>
      </w:pPr>
      <w:r w:rsidRPr="00CF6EE4">
        <w:t xml:space="preserve">Approximately </w:t>
      </w:r>
      <w:r>
        <w:t>12</w:t>
      </w:r>
      <w:r w:rsidRPr="00CF6EE4">
        <w:t xml:space="preserve"> additional patients would have </w:t>
      </w:r>
      <w:r>
        <w:t xml:space="preserve">survived without experiencing an event of treatment failure </w:t>
      </w:r>
      <w:r w:rsidR="00E65000">
        <w:t xml:space="preserve">at 2 years </w:t>
      </w:r>
      <w:r>
        <w:t>(See Table B.5.1 for definition of treatment failure)</w:t>
      </w:r>
      <w:r w:rsidR="00E65000">
        <w:t>.</w:t>
      </w:r>
    </w:p>
    <w:p w:rsidR="00AD486D" w:rsidRDefault="00AD486D" w:rsidP="002969CC">
      <w:pPr>
        <w:pStyle w:val="ListParagraph"/>
        <w:widowControl/>
        <w:numPr>
          <w:ilvl w:val="0"/>
          <w:numId w:val="2"/>
        </w:numPr>
        <w:ind w:left="993" w:hanging="284"/>
      </w:pPr>
      <w:r w:rsidRPr="00CF6EE4">
        <w:t xml:space="preserve">Approximately </w:t>
      </w:r>
      <w:r>
        <w:t>8</w:t>
      </w:r>
      <w:r w:rsidRPr="00CF6EE4">
        <w:t xml:space="preserve"> additional patients would have </w:t>
      </w:r>
      <w:r>
        <w:t>survived at 2 years</w:t>
      </w:r>
      <w:r w:rsidR="00E65000">
        <w:t>.</w:t>
      </w:r>
    </w:p>
    <w:p w:rsidR="00CF0865" w:rsidRDefault="00CF0865" w:rsidP="002969CC">
      <w:pPr>
        <w:pStyle w:val="ListParagraph"/>
        <w:widowControl/>
        <w:numPr>
          <w:ilvl w:val="0"/>
          <w:numId w:val="2"/>
        </w:numPr>
        <w:ind w:left="993" w:hanging="284"/>
      </w:pPr>
      <w:r>
        <w:t>Approximately 3 additional patients would have experienced APL differentiation syndrome during induction.</w:t>
      </w:r>
    </w:p>
    <w:p w:rsidR="00CF0865" w:rsidRDefault="00CF0865" w:rsidP="002969CC">
      <w:pPr>
        <w:pStyle w:val="ListParagraph"/>
        <w:widowControl/>
        <w:numPr>
          <w:ilvl w:val="0"/>
          <w:numId w:val="2"/>
        </w:numPr>
        <w:ind w:left="993" w:hanging="284"/>
      </w:pPr>
      <w:r>
        <w:t xml:space="preserve">Approximately 23 additional patients would have experienced </w:t>
      </w:r>
      <w:proofErr w:type="spellStart"/>
      <w:r>
        <w:t>leukocytosis</w:t>
      </w:r>
      <w:proofErr w:type="spellEnd"/>
      <w:r>
        <w:t xml:space="preserve"> during induction</w:t>
      </w:r>
      <w:r w:rsidR="00E90EA8">
        <w:t>.</w:t>
      </w:r>
    </w:p>
    <w:p w:rsidR="00CF0865" w:rsidRDefault="00CF0865" w:rsidP="002969CC">
      <w:pPr>
        <w:pStyle w:val="ListParagraph"/>
        <w:widowControl/>
        <w:numPr>
          <w:ilvl w:val="0"/>
          <w:numId w:val="2"/>
        </w:numPr>
        <w:ind w:left="993" w:hanging="284"/>
      </w:pPr>
      <w:r>
        <w:lastRenderedPageBreak/>
        <w:t>Approximately 29 fewer patients would have experienced prolonged grade 3-4 thrombocytopenia during induction</w:t>
      </w:r>
      <w:r w:rsidR="00E90EA8">
        <w:t>, and</w:t>
      </w:r>
      <w:r>
        <w:t xml:space="preserve"> approximately 28 fewer patients would have experienced grade 3-4 thrombocytopenia during consolidation therapy</w:t>
      </w:r>
      <w:r w:rsidR="0091337E">
        <w:t xml:space="preserve"> over a m</w:t>
      </w:r>
      <w:r w:rsidR="0091337E" w:rsidRPr="00CF6EE4">
        <w:t xml:space="preserve">edian duration of follow-up of </w:t>
      </w:r>
      <w:r w:rsidR="0091337E">
        <w:t>34</w:t>
      </w:r>
      <w:r w:rsidR="0091337E" w:rsidRPr="00CF6EE4">
        <w:t xml:space="preserve"> months</w:t>
      </w:r>
      <w:r>
        <w:t>.</w:t>
      </w:r>
    </w:p>
    <w:p w:rsidR="00CF0865" w:rsidRDefault="00CF0865" w:rsidP="002969CC">
      <w:pPr>
        <w:pStyle w:val="ListParagraph"/>
        <w:widowControl/>
        <w:numPr>
          <w:ilvl w:val="0"/>
          <w:numId w:val="2"/>
        </w:numPr>
        <w:ind w:left="993" w:hanging="284"/>
      </w:pPr>
      <w:r>
        <w:t>Approximately 33 fewer patients would have experienced prolonged grade 3-4 neutropenia during induction</w:t>
      </w:r>
      <w:r w:rsidR="00E90EA8">
        <w:t>, and</w:t>
      </w:r>
      <w:r>
        <w:t xml:space="preserve"> approximately 40 fewer patients would have experienced grade 3-4 neutropenia during consolidation therapy</w:t>
      </w:r>
      <w:r w:rsidR="0091337E" w:rsidRPr="0091337E">
        <w:t xml:space="preserve"> </w:t>
      </w:r>
      <w:r w:rsidR="0091337E">
        <w:t>over a m</w:t>
      </w:r>
      <w:r w:rsidR="0091337E" w:rsidRPr="00CF6EE4">
        <w:t xml:space="preserve">edian duration of follow-up of </w:t>
      </w:r>
      <w:r w:rsidR="0091337E">
        <w:t>34</w:t>
      </w:r>
      <w:r w:rsidR="0091337E" w:rsidRPr="00CF6EE4">
        <w:t xml:space="preserve"> months</w:t>
      </w:r>
      <w:r>
        <w:t>.</w:t>
      </w:r>
    </w:p>
    <w:p w:rsidR="00CF0865" w:rsidRDefault="00CF0865" w:rsidP="002969CC">
      <w:pPr>
        <w:pStyle w:val="ListParagraph"/>
        <w:widowControl/>
        <w:numPr>
          <w:ilvl w:val="0"/>
          <w:numId w:val="2"/>
        </w:numPr>
        <w:ind w:left="993" w:hanging="284"/>
      </w:pPr>
      <w:r>
        <w:t xml:space="preserve">Approximately 57 additional patients would have experienced prolongation of the </w:t>
      </w:r>
      <w:proofErr w:type="spellStart"/>
      <w:r>
        <w:t>QTc</w:t>
      </w:r>
      <w:proofErr w:type="spellEnd"/>
      <w:r>
        <w:t xml:space="preserve"> interval</w:t>
      </w:r>
      <w:r w:rsidR="00E90EA8">
        <w:t xml:space="preserve"> over a m</w:t>
      </w:r>
      <w:r w:rsidR="00E90EA8" w:rsidRPr="00CF6EE4">
        <w:t xml:space="preserve">edian duration of follow-up of </w:t>
      </w:r>
      <w:r w:rsidR="00E90EA8">
        <w:t>34</w:t>
      </w:r>
      <w:r w:rsidR="00E90EA8" w:rsidRPr="00CF6EE4">
        <w:t xml:space="preserve"> months</w:t>
      </w:r>
      <w:r w:rsidR="00E90EA8">
        <w:t>.</w:t>
      </w:r>
    </w:p>
    <w:p w:rsidR="00CF0865" w:rsidRDefault="00CF0865" w:rsidP="002969CC">
      <w:pPr>
        <w:pStyle w:val="ListParagraph"/>
        <w:widowControl/>
        <w:numPr>
          <w:ilvl w:val="0"/>
          <w:numId w:val="2"/>
        </w:numPr>
        <w:ind w:left="993" w:hanging="284"/>
      </w:pPr>
      <w:r>
        <w:t>Approximately 6 fewer patients would have experienced grade 3-4 gastrointestinal toxicity, and 19 fewer patients would have experience grade 3-4 oral toxicity</w:t>
      </w:r>
      <w:r w:rsidR="00E90EA8">
        <w:t xml:space="preserve"> over a m</w:t>
      </w:r>
      <w:r w:rsidR="00E90EA8" w:rsidRPr="00CF6EE4">
        <w:t xml:space="preserve">edian duration of follow-up of </w:t>
      </w:r>
      <w:r w:rsidR="00E90EA8">
        <w:t>34</w:t>
      </w:r>
      <w:r w:rsidR="00E90EA8" w:rsidRPr="00CF6EE4">
        <w:t xml:space="preserve"> months</w:t>
      </w:r>
      <w:r>
        <w:t>.</w:t>
      </w:r>
    </w:p>
    <w:p w:rsidR="00AD486D" w:rsidRDefault="00AD486D" w:rsidP="00AD486D">
      <w:pPr>
        <w:pStyle w:val="ListParagraph"/>
        <w:rPr>
          <w:szCs w:val="22"/>
        </w:rPr>
      </w:pPr>
    </w:p>
    <w:p w:rsidR="00AD486D" w:rsidRPr="006F5E79" w:rsidRDefault="00AD486D" w:rsidP="00AD486D">
      <w:pPr>
        <w:pStyle w:val="ListParagraph"/>
        <w:ind w:left="28"/>
        <w:rPr>
          <w:szCs w:val="22"/>
          <w:u w:val="single"/>
        </w:rPr>
      </w:pPr>
      <w:r w:rsidRPr="006F5E79">
        <w:rPr>
          <w:szCs w:val="22"/>
          <w:u w:val="single"/>
        </w:rPr>
        <w:t>High risk APL</w:t>
      </w:r>
    </w:p>
    <w:p w:rsidR="00AD486D" w:rsidRPr="00790CD9" w:rsidRDefault="00970BBB" w:rsidP="002969CC">
      <w:pPr>
        <w:pStyle w:val="ListParagraph"/>
        <w:numPr>
          <w:ilvl w:val="0"/>
          <w:numId w:val="2"/>
        </w:numPr>
        <w:ind w:left="993"/>
        <w:rPr>
          <w:szCs w:val="22"/>
        </w:rPr>
      </w:pPr>
      <w:r w:rsidRPr="00790CD9">
        <w:rPr>
          <w:szCs w:val="22"/>
        </w:rPr>
        <w:t xml:space="preserve">There was no direct or indirect evidence presented to assess the safety of </w:t>
      </w:r>
      <w:proofErr w:type="spellStart"/>
      <w:r w:rsidRPr="00790CD9">
        <w:rPr>
          <w:szCs w:val="22"/>
        </w:rPr>
        <w:t>ATO+ATRA+chemotherapy</w:t>
      </w:r>
      <w:proofErr w:type="spellEnd"/>
      <w:r w:rsidRPr="00790CD9">
        <w:rPr>
          <w:szCs w:val="22"/>
        </w:rPr>
        <w:t xml:space="preserve"> relative to </w:t>
      </w:r>
      <w:proofErr w:type="spellStart"/>
      <w:r w:rsidRPr="00790CD9">
        <w:rPr>
          <w:szCs w:val="22"/>
        </w:rPr>
        <w:t>ATRA+chemotherapy</w:t>
      </w:r>
      <w:proofErr w:type="spellEnd"/>
      <w:r w:rsidRPr="00790CD9">
        <w:rPr>
          <w:szCs w:val="22"/>
        </w:rPr>
        <w:t xml:space="preserve"> in high risk APL. The relative benefits/harms of these two alternative treatment regimens in high risk APL patients could not be determined.</w:t>
      </w:r>
    </w:p>
    <w:p w:rsidR="00EC64D8" w:rsidRPr="00B66174" w:rsidRDefault="00EC64D8" w:rsidP="00B66174"/>
    <w:p w:rsidR="00AD486D" w:rsidRPr="00FF1087" w:rsidRDefault="00AD486D" w:rsidP="00AD486D">
      <w:pPr>
        <w:pStyle w:val="Heading2"/>
      </w:pPr>
      <w:bookmarkStart w:id="11" w:name="_Toc427598094"/>
      <w:r w:rsidRPr="00FF1087">
        <w:t>Clinical claim</w:t>
      </w:r>
      <w:bookmarkEnd w:id="11"/>
    </w:p>
    <w:p w:rsidR="00AD486D" w:rsidRDefault="00AD486D" w:rsidP="00AD486D">
      <w:pPr>
        <w:ind w:left="720" w:hanging="720"/>
        <w:rPr>
          <w:szCs w:val="22"/>
        </w:rPr>
      </w:pPr>
    </w:p>
    <w:p w:rsidR="00AD486D" w:rsidRDefault="00AD486D" w:rsidP="00AD486D">
      <w:pPr>
        <w:ind w:left="720" w:hanging="720"/>
        <w:rPr>
          <w:u w:val="single"/>
        </w:rPr>
      </w:pPr>
      <w:r>
        <w:rPr>
          <w:u w:val="single"/>
        </w:rPr>
        <w:t>Low-intermediate risk APL</w:t>
      </w:r>
    </w:p>
    <w:p w:rsidR="00AD486D" w:rsidRPr="00882085" w:rsidRDefault="00AD486D" w:rsidP="00AD486D">
      <w:pPr>
        <w:ind w:left="720" w:hanging="720"/>
        <w:rPr>
          <w:szCs w:val="22"/>
        </w:rPr>
      </w:pPr>
    </w:p>
    <w:p w:rsidR="00970BBB" w:rsidRDefault="00970BBB" w:rsidP="002969CC">
      <w:pPr>
        <w:pStyle w:val="ListParagraph"/>
        <w:widowControl/>
        <w:numPr>
          <w:ilvl w:val="1"/>
          <w:numId w:val="3"/>
        </w:numPr>
      </w:pPr>
      <w:r>
        <w:t xml:space="preserve">In newly diagnosed patients with low-intermediate risk APL, the submission described a regimen of ATO+ATRA, without chemotherapy </w:t>
      </w:r>
      <w:r w:rsidR="008C5804">
        <w:t>or</w:t>
      </w:r>
      <w:r>
        <w:t xml:space="preserve"> maintenance therapy, as superior in terms of comparative effectiveness and non-inferior in terms of comparative safety relative to a regimen of </w:t>
      </w:r>
      <w:proofErr w:type="spellStart"/>
      <w:r>
        <w:t>ATRA+chemotherapy</w:t>
      </w:r>
      <w:proofErr w:type="spellEnd"/>
      <w:r w:rsidRPr="00583BE8">
        <w:t xml:space="preserve"> </w:t>
      </w:r>
      <w:r>
        <w:t>regimen, including maintenance therapy.</w:t>
      </w:r>
    </w:p>
    <w:p w:rsidR="00970BBB" w:rsidRDefault="00970BBB" w:rsidP="00970BBB">
      <w:pPr>
        <w:pStyle w:val="ListParagraph"/>
        <w:widowControl/>
      </w:pPr>
    </w:p>
    <w:p w:rsidR="00970BBB" w:rsidRPr="00790CD9" w:rsidRDefault="00970BBB" w:rsidP="002969CC">
      <w:pPr>
        <w:pStyle w:val="ListParagraph"/>
        <w:widowControl/>
        <w:numPr>
          <w:ilvl w:val="1"/>
          <w:numId w:val="3"/>
        </w:numPr>
        <w:rPr>
          <w:szCs w:val="22"/>
        </w:rPr>
      </w:pPr>
      <w:r w:rsidRPr="00790CD9">
        <w:t>Th</w:t>
      </w:r>
      <w:r w:rsidR="009D66CF">
        <w:t>e ESC considered that th</w:t>
      </w:r>
      <w:r w:rsidRPr="00790CD9">
        <w:t>is claim was adequately supported in regard to the comparative effectiveness and short-term safety of the specific regimens compared in Lo-Coco 2013. No long-term safety data were available.</w:t>
      </w:r>
    </w:p>
    <w:p w:rsidR="00A34B61" w:rsidRDefault="00A34B61">
      <w:pPr>
        <w:widowControl/>
        <w:jc w:val="left"/>
        <w:rPr>
          <w:szCs w:val="22"/>
          <w:u w:val="single"/>
        </w:rPr>
      </w:pPr>
    </w:p>
    <w:p w:rsidR="00AD486D" w:rsidRPr="006F5E79" w:rsidRDefault="00AD486D" w:rsidP="00AD486D">
      <w:pPr>
        <w:ind w:left="720" w:hanging="720"/>
        <w:rPr>
          <w:szCs w:val="22"/>
          <w:u w:val="single"/>
        </w:rPr>
      </w:pPr>
      <w:r w:rsidRPr="006F5E79">
        <w:rPr>
          <w:szCs w:val="22"/>
          <w:u w:val="single"/>
        </w:rPr>
        <w:t>High risk APL</w:t>
      </w:r>
    </w:p>
    <w:p w:rsidR="00AD486D" w:rsidRDefault="00AD486D" w:rsidP="00AD486D">
      <w:pPr>
        <w:ind w:left="720" w:hanging="720"/>
        <w:rPr>
          <w:szCs w:val="22"/>
        </w:rPr>
      </w:pPr>
    </w:p>
    <w:p w:rsidR="00AD486D" w:rsidRPr="001E08E8" w:rsidRDefault="00AD486D" w:rsidP="002969CC">
      <w:pPr>
        <w:pStyle w:val="ListParagraph"/>
        <w:widowControl/>
        <w:numPr>
          <w:ilvl w:val="1"/>
          <w:numId w:val="3"/>
        </w:numPr>
        <w:rPr>
          <w:szCs w:val="22"/>
        </w:rPr>
      </w:pPr>
      <w:r>
        <w:t>In newly diagnosed patients with high risk APL, t</w:t>
      </w:r>
      <w:r w:rsidRPr="00D13A3E">
        <w:t>he submission describe</w:t>
      </w:r>
      <w:r>
        <w:t>d</w:t>
      </w:r>
      <w:r w:rsidRPr="00D13A3E">
        <w:t xml:space="preserve"> </w:t>
      </w:r>
      <w:r>
        <w:t xml:space="preserve">a regimen of </w:t>
      </w:r>
      <w:proofErr w:type="spellStart"/>
      <w:r>
        <w:t>ATO+ATRA+chemotherapy</w:t>
      </w:r>
      <w:proofErr w:type="spellEnd"/>
      <w:r w:rsidR="00E1045E">
        <w:t xml:space="preserve"> </w:t>
      </w:r>
      <w:r>
        <w:t xml:space="preserve">as superior in terms of comparative effectiveness over a regimen of </w:t>
      </w:r>
      <w:proofErr w:type="spellStart"/>
      <w:r>
        <w:t>ATRA+chemotherapy</w:t>
      </w:r>
      <w:proofErr w:type="spellEnd"/>
      <w:r w:rsidR="00E1045E">
        <w:t xml:space="preserve">, </w:t>
      </w:r>
      <w:r w:rsidR="00F17965">
        <w:t xml:space="preserve">with </w:t>
      </w:r>
      <w:r w:rsidR="00E1045E">
        <w:t>maintenance therapy</w:t>
      </w:r>
      <w:r w:rsidR="00F17965">
        <w:t xml:space="preserve"> included as part of standard therapy for both proposed and comparator regimens</w:t>
      </w:r>
      <w:r>
        <w:t xml:space="preserve">. </w:t>
      </w:r>
      <w:r w:rsidRPr="00D93BAF">
        <w:t>The submission state</w:t>
      </w:r>
      <w:r>
        <w:t>d</w:t>
      </w:r>
      <w:r w:rsidRPr="00D93BAF">
        <w:t xml:space="preserve"> that the addition of ATO to </w:t>
      </w:r>
      <w:proofErr w:type="spellStart"/>
      <w:r w:rsidRPr="00D93BAF">
        <w:t>ATRA+chemotherapy</w:t>
      </w:r>
      <w:proofErr w:type="spellEnd"/>
      <w:r w:rsidRPr="00D93BAF">
        <w:t xml:space="preserve"> result</w:t>
      </w:r>
      <w:r w:rsidR="00970BBB">
        <w:t>ed</w:t>
      </w:r>
      <w:r w:rsidRPr="00D93BAF">
        <w:t xml:space="preserve"> in more frequent prolongation of the </w:t>
      </w:r>
      <w:proofErr w:type="spellStart"/>
      <w:r w:rsidRPr="00D93BAF">
        <w:t>QTc</w:t>
      </w:r>
      <w:proofErr w:type="spellEnd"/>
      <w:r w:rsidRPr="00D93BAF">
        <w:t xml:space="preserve"> interval and liver function abnormalities</w:t>
      </w:r>
      <w:r>
        <w:t>.</w:t>
      </w:r>
    </w:p>
    <w:p w:rsidR="00AD486D" w:rsidRPr="006F5E79" w:rsidRDefault="00AD486D" w:rsidP="00AD486D">
      <w:pPr>
        <w:pStyle w:val="ListParagraph"/>
        <w:widowControl/>
        <w:rPr>
          <w:szCs w:val="22"/>
        </w:rPr>
      </w:pPr>
    </w:p>
    <w:p w:rsidR="00AD486D" w:rsidRPr="00790CD9" w:rsidRDefault="00AD486D" w:rsidP="002969CC">
      <w:pPr>
        <w:pStyle w:val="ListParagraph"/>
        <w:widowControl/>
        <w:numPr>
          <w:ilvl w:val="1"/>
          <w:numId w:val="3"/>
        </w:numPr>
        <w:rPr>
          <w:szCs w:val="22"/>
        </w:rPr>
      </w:pPr>
      <w:r w:rsidRPr="00790CD9">
        <w:t xml:space="preserve">The </w:t>
      </w:r>
      <w:r w:rsidR="009D66CF">
        <w:t xml:space="preserve">ESC considered that the </w:t>
      </w:r>
      <w:r w:rsidRPr="00790CD9">
        <w:t xml:space="preserve">claim that the </w:t>
      </w:r>
      <w:proofErr w:type="spellStart"/>
      <w:r w:rsidRPr="00790CD9">
        <w:t>ATO+ATRA+chemotherapy</w:t>
      </w:r>
      <w:proofErr w:type="spellEnd"/>
      <w:r w:rsidRPr="00790CD9">
        <w:t xml:space="preserve"> regimen is superior in terms of comparative effectiveness to </w:t>
      </w:r>
      <w:proofErr w:type="spellStart"/>
      <w:r w:rsidRPr="00790CD9">
        <w:t>ATRA+chemotherapy</w:t>
      </w:r>
      <w:proofErr w:type="spellEnd"/>
      <w:r w:rsidRPr="00790CD9">
        <w:t xml:space="preserve"> for the treatment of newly diagnosed patients with high risk APL </w:t>
      </w:r>
      <w:r w:rsidR="00970BBB" w:rsidRPr="00790CD9">
        <w:t>wa</w:t>
      </w:r>
      <w:r w:rsidR="00512F34">
        <w:t xml:space="preserve">s not </w:t>
      </w:r>
      <w:r w:rsidR="00512F34">
        <w:rPr>
          <w:i/>
        </w:rPr>
        <w:t>strongly</w:t>
      </w:r>
      <w:r w:rsidRPr="00790CD9">
        <w:t xml:space="preserve"> supported.</w:t>
      </w:r>
    </w:p>
    <w:p w:rsidR="00AD486D" w:rsidRPr="00790CD9" w:rsidRDefault="00AD486D" w:rsidP="00AD486D">
      <w:pPr>
        <w:pStyle w:val="ListParagraph"/>
        <w:rPr>
          <w:szCs w:val="22"/>
        </w:rPr>
      </w:pPr>
    </w:p>
    <w:p w:rsidR="00EC64D8" w:rsidRDefault="00E1045E" w:rsidP="00512F34">
      <w:pPr>
        <w:pStyle w:val="ListParagraph"/>
        <w:widowControl/>
        <w:numPr>
          <w:ilvl w:val="1"/>
          <w:numId w:val="3"/>
        </w:numPr>
        <w:rPr>
          <w:szCs w:val="22"/>
        </w:rPr>
      </w:pPr>
      <w:r w:rsidRPr="00790CD9">
        <w:rPr>
          <w:szCs w:val="22"/>
        </w:rPr>
        <w:t xml:space="preserve">No direct or indirect comparative safety data were available to assess the treatment regimens proposed for patients with high risk APL. </w:t>
      </w:r>
    </w:p>
    <w:p w:rsidR="0014066D" w:rsidRPr="00882085" w:rsidRDefault="0014066D" w:rsidP="00512F34">
      <w:pPr>
        <w:pStyle w:val="ListParagraph"/>
        <w:widowControl/>
        <w:rPr>
          <w:szCs w:val="22"/>
        </w:rPr>
      </w:pPr>
    </w:p>
    <w:p w:rsidR="00B60939" w:rsidRPr="00FF1087" w:rsidRDefault="00B60939" w:rsidP="002C2775">
      <w:pPr>
        <w:pStyle w:val="Heading2"/>
      </w:pPr>
      <w:bookmarkStart w:id="12" w:name="_Toc427598095"/>
      <w:r w:rsidRPr="00FF1087">
        <w:lastRenderedPageBreak/>
        <w:t>Economic analysis</w:t>
      </w:r>
      <w:bookmarkEnd w:id="12"/>
      <w:r w:rsidR="00491B3A" w:rsidRPr="00FF1087">
        <w:t xml:space="preserve"> </w:t>
      </w:r>
    </w:p>
    <w:p w:rsidR="00B60939" w:rsidRPr="00882085" w:rsidRDefault="00B60939" w:rsidP="00B60939">
      <w:pPr>
        <w:ind w:left="720" w:hanging="720"/>
        <w:rPr>
          <w:szCs w:val="22"/>
        </w:rPr>
      </w:pPr>
    </w:p>
    <w:p w:rsidR="00D13161" w:rsidRPr="00790CD9" w:rsidRDefault="00D13161" w:rsidP="002969CC">
      <w:pPr>
        <w:pStyle w:val="ListParagraph"/>
        <w:widowControl/>
        <w:numPr>
          <w:ilvl w:val="1"/>
          <w:numId w:val="3"/>
        </w:numPr>
        <w:rPr>
          <w:szCs w:val="22"/>
        </w:rPr>
      </w:pPr>
      <w:r w:rsidRPr="00790CD9">
        <w:t xml:space="preserve">The submission presented a modelled cost-effectiveness analysis, in which the treatment effects were based on an unadjusted indirect comparison of two single-arm studies (APML4 and APML3) including both low-intermediate and high risk patients. Results were extrapolated beyond the study duration to a lifetime. As noted earlier, the treatment regimen in APML4 was only relevant to the regimen proposed for the high risk APL patient subgroup. APML3 may not represent the current non-ATO based treatment regimen for APL and the treatment protocol appears less intensive than regimens recommended in current guidelines. As the model was based on an indirect comparison of these two single-arm studies for a combined APL population, the results have limited relevance in the situation where different regimens </w:t>
      </w:r>
      <w:r w:rsidR="00B66ABB" w:rsidRPr="00790CD9">
        <w:t>should be</w:t>
      </w:r>
      <w:r w:rsidRPr="00790CD9">
        <w:t xml:space="preserve"> used to treat each of the APL risk-stratified populations (as is usual practice).</w:t>
      </w:r>
    </w:p>
    <w:p w:rsidR="00D13161" w:rsidRPr="00AF20B0" w:rsidRDefault="00D13161" w:rsidP="00D13161">
      <w:pPr>
        <w:pStyle w:val="ListParagraph"/>
        <w:widowControl/>
        <w:rPr>
          <w:szCs w:val="22"/>
        </w:rPr>
      </w:pPr>
    </w:p>
    <w:p w:rsidR="00D13161" w:rsidRPr="00790CD9" w:rsidRDefault="00D13161" w:rsidP="002969CC">
      <w:pPr>
        <w:pStyle w:val="ListParagraph"/>
        <w:widowControl/>
        <w:numPr>
          <w:ilvl w:val="1"/>
          <w:numId w:val="3"/>
        </w:numPr>
        <w:rPr>
          <w:szCs w:val="22"/>
        </w:rPr>
      </w:pPr>
      <w:r w:rsidRPr="00790CD9">
        <w:t xml:space="preserve">The submission provided a sensitivity analysis based on data from Lo-Coco 2013 for the low-intermediate risk patients in the intervention arm, but keeping the treatment effect observed from APML3 in the comparator arm, irrespective of the risk classification. This comparison was not appropriate. Given that the treatment regimen in the intervention arm of Lo-Coco 2013 was consistent with the proposed regimen for low-intermediate patients, and the regimen in the comparator arm was consistent with that recommended in NCCN guideline for the low-intermediate risk subgroup, the economic evaluation based on Lo-Coco 2013 was more appropriate for the low-intermediate risk APL patients and has been referred to as ‘alternative base case’ in the </w:t>
      </w:r>
      <w:r w:rsidRPr="00512F34">
        <w:t>Commentary</w:t>
      </w:r>
      <w:r w:rsidRPr="00790CD9">
        <w:t>. In the alternative base case, high risk APL patients have been excluded from consideration, since no comparative data for this particular subgroup were available.</w:t>
      </w:r>
      <w:r w:rsidR="00512F34">
        <w:t xml:space="preserve"> </w:t>
      </w:r>
      <w:r w:rsidR="00512F34" w:rsidRPr="002F18CF">
        <w:t>The ESC agreed with the Commentary that the alternative base case was a more appropriate basis for estimating the cost-effectiveness of ATO in the requested PBS population.</w:t>
      </w:r>
    </w:p>
    <w:p w:rsidR="00D13161" w:rsidRPr="00AF20B0" w:rsidRDefault="00D13161" w:rsidP="00D13161">
      <w:pPr>
        <w:pStyle w:val="ListParagraph"/>
        <w:rPr>
          <w:szCs w:val="22"/>
        </w:rPr>
      </w:pPr>
    </w:p>
    <w:p w:rsidR="00D13161" w:rsidRPr="00A245F3" w:rsidRDefault="00D13161" w:rsidP="002969CC">
      <w:pPr>
        <w:pStyle w:val="ListParagraph"/>
        <w:widowControl/>
        <w:numPr>
          <w:ilvl w:val="1"/>
          <w:numId w:val="3"/>
        </w:numPr>
        <w:rPr>
          <w:szCs w:val="22"/>
        </w:rPr>
      </w:pPr>
      <w:r w:rsidRPr="001C43C9">
        <w:t xml:space="preserve">The economic model </w:t>
      </w:r>
      <w:r>
        <w:t>was</w:t>
      </w:r>
      <w:r w:rsidRPr="001C43C9">
        <w:t xml:space="preserve"> structured as a Markov state-transition model</w:t>
      </w:r>
      <w:r>
        <w:t xml:space="preserve">, </w:t>
      </w:r>
      <w:r w:rsidRPr="001C43C9">
        <w:t>with three health s</w:t>
      </w:r>
      <w:r>
        <w:t>t</w:t>
      </w:r>
      <w:r w:rsidRPr="001C43C9">
        <w:t xml:space="preserve">ates: event-free, relapse/treatment failure and death. A fourth ‘tunnel’ health state of ‘treatment initiation’ exists only for the first cycle. </w:t>
      </w:r>
      <w:r>
        <w:t>The model structure is summarised below</w:t>
      </w:r>
      <w:r w:rsidRPr="001C43C9">
        <w:t>.</w:t>
      </w:r>
    </w:p>
    <w:p w:rsidR="00D13161" w:rsidRDefault="00D13161" w:rsidP="00D13161">
      <w:pPr>
        <w:widowControl/>
        <w:rPr>
          <w:szCs w:val="22"/>
        </w:rPr>
      </w:pPr>
    </w:p>
    <w:p w:rsidR="005169F5" w:rsidRDefault="005169F5">
      <w:pPr>
        <w:widowControl/>
        <w:jc w:val="left"/>
        <w:rPr>
          <w:rFonts w:ascii="Arial Narrow" w:hAnsi="Arial Narrow"/>
          <w:b/>
          <w:sz w:val="20"/>
        </w:rPr>
      </w:pPr>
      <w:r>
        <w:br w:type="page"/>
      </w:r>
    </w:p>
    <w:p w:rsidR="00D13161" w:rsidRDefault="00D13161" w:rsidP="00D13161">
      <w:pPr>
        <w:pStyle w:val="TableHeader"/>
        <w:ind w:firstLine="720"/>
      </w:pPr>
      <w:r w:rsidRPr="005C7F65">
        <w:lastRenderedPageBreak/>
        <w:t xml:space="preserve">Table </w:t>
      </w:r>
      <w:r w:rsidR="00C85D1C">
        <w:t>8</w:t>
      </w:r>
      <w:r w:rsidRPr="005C7F65">
        <w:t>: Summary of model structure and rationale</w:t>
      </w:r>
    </w:p>
    <w:tbl>
      <w:tblPr>
        <w:tblW w:w="831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72"/>
        <w:gridCol w:w="6744"/>
      </w:tblGrid>
      <w:tr w:rsidR="00D13161" w:rsidRPr="00925D08" w:rsidTr="00D13161">
        <w:trPr>
          <w:trHeight w:val="240"/>
        </w:trPr>
        <w:tc>
          <w:tcPr>
            <w:tcW w:w="1572"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Time horizon</w:t>
            </w:r>
          </w:p>
        </w:tc>
        <w:tc>
          <w:tcPr>
            <w:tcW w:w="6744"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Life time (50 years )</w:t>
            </w:r>
            <w:r>
              <w:rPr>
                <w:rFonts w:ascii="Arial Narrow" w:hAnsi="Arial Narrow"/>
                <w:sz w:val="20"/>
              </w:rPr>
              <w:t xml:space="preserve"> in the model base case compared with median follow-up of 34.4 months in Lo-Coco 2013 (alternative base case) and of 4 years in the</w:t>
            </w:r>
            <w:r w:rsidR="00B66ABB">
              <w:rPr>
                <w:rFonts w:ascii="Arial Narrow" w:hAnsi="Arial Narrow"/>
                <w:sz w:val="20"/>
              </w:rPr>
              <w:t xml:space="preserve"> </w:t>
            </w:r>
            <w:r>
              <w:rPr>
                <w:rFonts w:ascii="Arial Narrow" w:hAnsi="Arial Narrow"/>
                <w:sz w:val="20"/>
              </w:rPr>
              <w:t>APML studies (submission base case)</w:t>
            </w:r>
          </w:p>
        </w:tc>
      </w:tr>
      <w:tr w:rsidR="00D13161" w:rsidRPr="00925D08" w:rsidTr="00D13161">
        <w:trPr>
          <w:trHeight w:val="448"/>
        </w:trPr>
        <w:tc>
          <w:tcPr>
            <w:tcW w:w="1572"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Outcomes</w:t>
            </w:r>
          </w:p>
        </w:tc>
        <w:tc>
          <w:tcPr>
            <w:tcW w:w="6744"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Life year</w:t>
            </w:r>
            <w:r>
              <w:rPr>
                <w:rFonts w:ascii="Arial Narrow" w:hAnsi="Arial Narrow"/>
                <w:sz w:val="20"/>
              </w:rPr>
              <w:t>s</w:t>
            </w:r>
            <w:r w:rsidRPr="00925D08">
              <w:rPr>
                <w:rFonts w:ascii="Arial Narrow" w:hAnsi="Arial Narrow"/>
                <w:sz w:val="20"/>
              </w:rPr>
              <w:t xml:space="preserve"> gained (LYG) and quality-adjusted life years gained (QALYs)</w:t>
            </w:r>
          </w:p>
        </w:tc>
      </w:tr>
      <w:tr w:rsidR="00D13161" w:rsidRPr="00925D08" w:rsidTr="00D13161">
        <w:trPr>
          <w:trHeight w:val="704"/>
        </w:trPr>
        <w:tc>
          <w:tcPr>
            <w:tcW w:w="1572"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Methods used to generate results</w:t>
            </w:r>
          </w:p>
        </w:tc>
        <w:tc>
          <w:tcPr>
            <w:tcW w:w="6744" w:type="dxa"/>
            <w:shd w:val="clear" w:color="auto" w:fill="auto"/>
          </w:tcPr>
          <w:p w:rsidR="00D13161" w:rsidRPr="00925D08" w:rsidRDefault="00D13161" w:rsidP="00D13161">
            <w:pPr>
              <w:rPr>
                <w:rFonts w:ascii="Arial Narrow" w:hAnsi="Arial Narrow"/>
                <w:sz w:val="20"/>
              </w:rPr>
            </w:pPr>
            <w:r>
              <w:rPr>
                <w:rFonts w:ascii="Arial Narrow" w:hAnsi="Arial Narrow"/>
                <w:sz w:val="20"/>
              </w:rPr>
              <w:t xml:space="preserve">Cohort </w:t>
            </w:r>
            <w:r w:rsidRPr="00925D08">
              <w:rPr>
                <w:rFonts w:ascii="Arial Narrow" w:hAnsi="Arial Narrow"/>
                <w:sz w:val="20"/>
              </w:rPr>
              <w:t>Expected value analysis</w:t>
            </w:r>
          </w:p>
        </w:tc>
      </w:tr>
      <w:tr w:rsidR="00D13161" w:rsidRPr="00925D08" w:rsidTr="00D13161">
        <w:trPr>
          <w:trHeight w:val="225"/>
        </w:trPr>
        <w:tc>
          <w:tcPr>
            <w:tcW w:w="1572"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Cycle length</w:t>
            </w:r>
          </w:p>
        </w:tc>
        <w:tc>
          <w:tcPr>
            <w:tcW w:w="6744"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1 month</w:t>
            </w:r>
          </w:p>
        </w:tc>
      </w:tr>
      <w:tr w:rsidR="00D13161" w:rsidRPr="00925D08" w:rsidTr="00D13161">
        <w:trPr>
          <w:trHeight w:val="448"/>
        </w:trPr>
        <w:tc>
          <w:tcPr>
            <w:tcW w:w="1572"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Transition probabilities</w:t>
            </w:r>
          </w:p>
        </w:tc>
        <w:tc>
          <w:tcPr>
            <w:tcW w:w="6744" w:type="dxa"/>
            <w:shd w:val="clear" w:color="auto" w:fill="auto"/>
          </w:tcPr>
          <w:p w:rsidR="00D13161" w:rsidRPr="000B2900" w:rsidRDefault="00D13161" w:rsidP="00D13161">
            <w:pPr>
              <w:rPr>
                <w:rFonts w:ascii="Arial Narrow" w:hAnsi="Arial Narrow"/>
                <w:sz w:val="20"/>
              </w:rPr>
            </w:pPr>
            <w:r w:rsidRPr="000B2900">
              <w:rPr>
                <w:rFonts w:ascii="Arial Narrow" w:hAnsi="Arial Narrow"/>
                <w:sz w:val="20"/>
              </w:rPr>
              <w:t xml:space="preserve">Transition probabilities from event-free to failure/relapse, and to death due to APL, were taken from APML4 for the intervention arm, and APML3 for comparator. The alternative base case uses event-free survival and OS from the Lo-Coco 2013 trial. </w:t>
            </w:r>
          </w:p>
          <w:p w:rsidR="00D13161" w:rsidRPr="00925D08" w:rsidRDefault="00D13161" w:rsidP="00D13161">
            <w:pPr>
              <w:rPr>
                <w:rFonts w:ascii="Arial Narrow" w:hAnsi="Arial Narrow"/>
                <w:sz w:val="20"/>
              </w:rPr>
            </w:pPr>
            <w:r w:rsidRPr="000B2900">
              <w:rPr>
                <w:rFonts w:ascii="Arial Narrow" w:hAnsi="Arial Narrow"/>
                <w:sz w:val="20"/>
              </w:rPr>
              <w:t>Transition probabilities from treatment failure/relapse to death were sourced from the literature.</w:t>
            </w:r>
            <w:r>
              <w:rPr>
                <w:rFonts w:ascii="Arial Narrow" w:hAnsi="Arial Narrow"/>
                <w:sz w:val="20"/>
              </w:rPr>
              <w:t xml:space="preserve"> </w:t>
            </w:r>
          </w:p>
        </w:tc>
      </w:tr>
      <w:tr w:rsidR="00D13161" w:rsidRPr="00925D08" w:rsidTr="00D13161">
        <w:trPr>
          <w:trHeight w:val="240"/>
        </w:trPr>
        <w:tc>
          <w:tcPr>
            <w:tcW w:w="1572"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Discount rate</w:t>
            </w:r>
          </w:p>
        </w:tc>
        <w:tc>
          <w:tcPr>
            <w:tcW w:w="6744" w:type="dxa"/>
            <w:shd w:val="clear" w:color="auto" w:fill="auto"/>
          </w:tcPr>
          <w:p w:rsidR="00D13161" w:rsidRPr="00925D08" w:rsidRDefault="00D13161" w:rsidP="00D13161">
            <w:pPr>
              <w:rPr>
                <w:rFonts w:ascii="Arial Narrow" w:hAnsi="Arial Narrow"/>
                <w:sz w:val="20"/>
              </w:rPr>
            </w:pPr>
            <w:r>
              <w:rPr>
                <w:rFonts w:ascii="Arial Narrow" w:hAnsi="Arial Narrow"/>
                <w:sz w:val="20"/>
              </w:rPr>
              <w:t>5</w:t>
            </w:r>
            <w:r w:rsidRPr="00925D08">
              <w:rPr>
                <w:rFonts w:ascii="Arial Narrow" w:hAnsi="Arial Narrow"/>
                <w:sz w:val="20"/>
              </w:rPr>
              <w:t>% for costs and outcomes</w:t>
            </w:r>
          </w:p>
        </w:tc>
      </w:tr>
      <w:tr w:rsidR="00D13161" w:rsidRPr="00925D08" w:rsidTr="00D13161">
        <w:trPr>
          <w:trHeight w:val="225"/>
        </w:trPr>
        <w:tc>
          <w:tcPr>
            <w:tcW w:w="1572" w:type="dxa"/>
            <w:shd w:val="clear" w:color="auto" w:fill="auto"/>
          </w:tcPr>
          <w:p w:rsidR="00D13161" w:rsidRPr="00925D08" w:rsidRDefault="00D13161" w:rsidP="00D13161">
            <w:pPr>
              <w:rPr>
                <w:rFonts w:ascii="Arial Narrow" w:hAnsi="Arial Narrow"/>
                <w:sz w:val="20"/>
              </w:rPr>
            </w:pPr>
            <w:r w:rsidRPr="00925D08">
              <w:rPr>
                <w:rFonts w:ascii="Arial Narrow" w:hAnsi="Arial Narrow"/>
                <w:sz w:val="20"/>
              </w:rPr>
              <w:t>Software package</w:t>
            </w:r>
          </w:p>
        </w:tc>
        <w:tc>
          <w:tcPr>
            <w:tcW w:w="6744" w:type="dxa"/>
            <w:shd w:val="clear" w:color="auto" w:fill="auto"/>
          </w:tcPr>
          <w:p w:rsidR="00D13161" w:rsidRPr="00925D08" w:rsidRDefault="00D13161" w:rsidP="00D13161">
            <w:pPr>
              <w:rPr>
                <w:rFonts w:ascii="Arial Narrow" w:hAnsi="Arial Narrow"/>
                <w:sz w:val="20"/>
              </w:rPr>
            </w:pPr>
            <w:proofErr w:type="spellStart"/>
            <w:r w:rsidRPr="00925D08">
              <w:rPr>
                <w:rFonts w:ascii="Arial Narrow" w:hAnsi="Arial Narrow"/>
                <w:sz w:val="20"/>
              </w:rPr>
              <w:t>TreeAge</w:t>
            </w:r>
            <w:proofErr w:type="spellEnd"/>
            <w:r w:rsidRPr="00925D08">
              <w:rPr>
                <w:rFonts w:ascii="Arial Narrow" w:hAnsi="Arial Narrow"/>
                <w:sz w:val="20"/>
              </w:rPr>
              <w:t xml:space="preserve"> 2013</w:t>
            </w:r>
          </w:p>
        </w:tc>
      </w:tr>
    </w:tbl>
    <w:p w:rsidR="00D13161" w:rsidRPr="000B2900" w:rsidRDefault="00D13161" w:rsidP="00D13161">
      <w:pPr>
        <w:pStyle w:val="TableFooter"/>
        <w:ind w:firstLine="720"/>
      </w:pPr>
      <w:r w:rsidRPr="000B2900">
        <w:t xml:space="preserve">APL = acute </w:t>
      </w:r>
      <w:proofErr w:type="spellStart"/>
      <w:r w:rsidRPr="000B2900">
        <w:t>promyelocytic</w:t>
      </w:r>
      <w:proofErr w:type="spellEnd"/>
      <w:r w:rsidRPr="000B2900">
        <w:t xml:space="preserve"> leukaemia, OS = overall survival</w:t>
      </w:r>
    </w:p>
    <w:p w:rsidR="00D13161" w:rsidRPr="000B2900" w:rsidRDefault="00D13161" w:rsidP="00D13161">
      <w:pPr>
        <w:pStyle w:val="TableFooter"/>
        <w:ind w:firstLine="720"/>
      </w:pPr>
      <w:r w:rsidRPr="000B2900">
        <w:t>Source: compiled during the evaluation</w:t>
      </w:r>
    </w:p>
    <w:p w:rsidR="00D13161" w:rsidRPr="00275C5A" w:rsidRDefault="00D13161" w:rsidP="00D13161">
      <w:pPr>
        <w:widowControl/>
        <w:rPr>
          <w:szCs w:val="22"/>
        </w:rPr>
      </w:pPr>
    </w:p>
    <w:p w:rsidR="00D13161" w:rsidRPr="00B50DB8" w:rsidRDefault="00D13161" w:rsidP="002969CC">
      <w:pPr>
        <w:pStyle w:val="ListParagraph"/>
        <w:widowControl/>
        <w:numPr>
          <w:ilvl w:val="1"/>
          <w:numId w:val="3"/>
        </w:numPr>
        <w:rPr>
          <w:szCs w:val="22"/>
        </w:rPr>
      </w:pPr>
      <w:r>
        <w:t>The key drivers of the model are summarised below.</w:t>
      </w:r>
    </w:p>
    <w:p w:rsidR="00D13161" w:rsidRDefault="00D13161" w:rsidP="00D13161">
      <w:pPr>
        <w:widowControl/>
        <w:rPr>
          <w:szCs w:val="22"/>
        </w:rPr>
      </w:pPr>
    </w:p>
    <w:p w:rsidR="00D13161" w:rsidRPr="000B2900" w:rsidRDefault="00D13161" w:rsidP="00D13161">
      <w:pPr>
        <w:pStyle w:val="TableHeader"/>
        <w:ind w:firstLine="720"/>
      </w:pPr>
      <w:r w:rsidRPr="000B2900">
        <w:t>Table</w:t>
      </w:r>
      <w:r w:rsidR="00C85D1C">
        <w:t xml:space="preserve"> 9</w:t>
      </w:r>
      <w:r w:rsidRPr="000B2900">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D13161" w:rsidRPr="000B2900" w:rsidTr="00D13161">
        <w:trPr>
          <w:tblHeader/>
        </w:trPr>
        <w:tc>
          <w:tcPr>
            <w:tcW w:w="1529" w:type="pct"/>
            <w:shd w:val="clear" w:color="auto" w:fill="auto"/>
            <w:vAlign w:val="center"/>
          </w:tcPr>
          <w:p w:rsidR="00D13161" w:rsidRPr="000B2900" w:rsidRDefault="00D13161" w:rsidP="00D13161">
            <w:pPr>
              <w:jc w:val="left"/>
              <w:rPr>
                <w:rFonts w:ascii="Arial Narrow" w:hAnsi="Arial Narrow"/>
                <w:b/>
                <w:sz w:val="20"/>
                <w:lang w:val="en-US"/>
              </w:rPr>
            </w:pPr>
            <w:r w:rsidRPr="000B2900">
              <w:rPr>
                <w:rFonts w:ascii="Arial Narrow" w:hAnsi="Arial Narrow"/>
                <w:b/>
                <w:sz w:val="20"/>
                <w:lang w:val="en-US"/>
              </w:rPr>
              <w:t>Description</w:t>
            </w:r>
          </w:p>
        </w:tc>
        <w:tc>
          <w:tcPr>
            <w:tcW w:w="2123" w:type="pct"/>
            <w:shd w:val="clear" w:color="auto" w:fill="auto"/>
            <w:vAlign w:val="center"/>
          </w:tcPr>
          <w:p w:rsidR="00D13161" w:rsidRPr="000B2900" w:rsidRDefault="00D13161" w:rsidP="00D13161">
            <w:pPr>
              <w:jc w:val="center"/>
              <w:rPr>
                <w:rFonts w:ascii="Arial Narrow" w:hAnsi="Arial Narrow"/>
                <w:b/>
                <w:sz w:val="20"/>
                <w:lang w:val="en-US"/>
              </w:rPr>
            </w:pPr>
            <w:r w:rsidRPr="000B2900">
              <w:rPr>
                <w:rFonts w:ascii="Arial Narrow" w:hAnsi="Arial Narrow"/>
                <w:b/>
                <w:sz w:val="20"/>
                <w:lang w:val="en-US"/>
              </w:rPr>
              <w:t>Method/Value</w:t>
            </w:r>
          </w:p>
        </w:tc>
        <w:tc>
          <w:tcPr>
            <w:tcW w:w="1348" w:type="pct"/>
            <w:shd w:val="clear" w:color="auto" w:fill="auto"/>
            <w:vAlign w:val="center"/>
          </w:tcPr>
          <w:p w:rsidR="00D13161" w:rsidRPr="000B2900" w:rsidRDefault="00D13161" w:rsidP="00D13161">
            <w:pPr>
              <w:jc w:val="center"/>
              <w:rPr>
                <w:rFonts w:ascii="Arial Narrow" w:hAnsi="Arial Narrow"/>
                <w:b/>
                <w:sz w:val="20"/>
                <w:lang w:val="en-US"/>
              </w:rPr>
            </w:pPr>
            <w:r w:rsidRPr="000B2900">
              <w:rPr>
                <w:rFonts w:ascii="Arial Narrow" w:hAnsi="Arial Narrow"/>
                <w:b/>
                <w:sz w:val="20"/>
                <w:lang w:val="en-US"/>
              </w:rPr>
              <w:t>Impact</w:t>
            </w:r>
          </w:p>
        </w:tc>
      </w:tr>
      <w:tr w:rsidR="00D13161" w:rsidRPr="000B2900" w:rsidTr="00D13161">
        <w:tc>
          <w:tcPr>
            <w:tcW w:w="1529"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lang w:val="en-US"/>
              </w:rPr>
              <w:t>Event-free survival and OS</w:t>
            </w:r>
          </w:p>
        </w:tc>
        <w:tc>
          <w:tcPr>
            <w:tcW w:w="2123"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lang w:val="en-US"/>
              </w:rPr>
              <w:t>The submission used event-free and overall survival data from APML4 and APML3 for the proposed and comparator regimens respectively, regardless of risk classification.</w:t>
            </w:r>
          </w:p>
        </w:tc>
        <w:tc>
          <w:tcPr>
            <w:tcW w:w="1348" w:type="pct"/>
            <w:shd w:val="clear" w:color="auto" w:fill="auto"/>
            <w:vAlign w:val="center"/>
          </w:tcPr>
          <w:p w:rsidR="00D13161" w:rsidRPr="000B2900" w:rsidRDefault="00D13161" w:rsidP="00D13161">
            <w:pPr>
              <w:jc w:val="center"/>
              <w:rPr>
                <w:rFonts w:ascii="Arial Narrow" w:hAnsi="Arial Narrow"/>
                <w:sz w:val="20"/>
                <w:lang w:val="en-US"/>
              </w:rPr>
            </w:pPr>
            <w:r w:rsidRPr="000B2900">
              <w:rPr>
                <w:rFonts w:ascii="Arial Narrow" w:hAnsi="Arial Narrow"/>
                <w:sz w:val="20"/>
                <w:lang w:val="en-US"/>
              </w:rPr>
              <w:t xml:space="preserve">High, </w:t>
            </w:r>
            <w:proofErr w:type="spellStart"/>
            <w:r w:rsidRPr="000B2900">
              <w:rPr>
                <w:rFonts w:ascii="Arial Narrow" w:hAnsi="Arial Narrow"/>
                <w:sz w:val="20"/>
                <w:lang w:val="en-US"/>
              </w:rPr>
              <w:t>favours</w:t>
            </w:r>
            <w:proofErr w:type="spellEnd"/>
            <w:r w:rsidRPr="000B2900">
              <w:rPr>
                <w:rFonts w:ascii="Arial Narrow" w:hAnsi="Arial Narrow"/>
                <w:sz w:val="20"/>
                <w:lang w:val="en-US"/>
              </w:rPr>
              <w:t xml:space="preserve"> </w:t>
            </w:r>
            <w:proofErr w:type="spellStart"/>
            <w:r w:rsidRPr="000B2900">
              <w:rPr>
                <w:rFonts w:ascii="Arial Narrow" w:hAnsi="Arial Narrow"/>
                <w:sz w:val="20"/>
                <w:lang w:val="en-US"/>
              </w:rPr>
              <w:t>ATO+ATRA±Chemo</w:t>
            </w:r>
            <w:proofErr w:type="spellEnd"/>
          </w:p>
        </w:tc>
      </w:tr>
      <w:tr w:rsidR="00D13161" w:rsidRPr="000B2900" w:rsidTr="00D13161">
        <w:tc>
          <w:tcPr>
            <w:tcW w:w="1529"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lang w:val="en-US"/>
              </w:rPr>
              <w:t>Time horizon</w:t>
            </w:r>
          </w:p>
        </w:tc>
        <w:tc>
          <w:tcPr>
            <w:tcW w:w="2123"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lang w:val="en-US"/>
              </w:rPr>
              <w:t>The submission used a 50 year time horizon in the base case</w:t>
            </w:r>
          </w:p>
        </w:tc>
        <w:tc>
          <w:tcPr>
            <w:tcW w:w="1348" w:type="pct"/>
            <w:shd w:val="clear" w:color="auto" w:fill="auto"/>
            <w:vAlign w:val="center"/>
          </w:tcPr>
          <w:p w:rsidR="00D13161" w:rsidRPr="000B2900" w:rsidRDefault="00D13161" w:rsidP="00D13161">
            <w:pPr>
              <w:jc w:val="center"/>
              <w:rPr>
                <w:rFonts w:ascii="Arial Narrow" w:hAnsi="Arial Narrow"/>
                <w:sz w:val="20"/>
                <w:lang w:val="en-US"/>
              </w:rPr>
            </w:pPr>
            <w:r w:rsidRPr="000B2900">
              <w:rPr>
                <w:rFonts w:ascii="Arial Narrow" w:hAnsi="Arial Narrow"/>
                <w:sz w:val="20"/>
                <w:lang w:val="en-US"/>
              </w:rPr>
              <w:t xml:space="preserve">Moderate, </w:t>
            </w:r>
            <w:proofErr w:type="spellStart"/>
            <w:r w:rsidRPr="000B2900">
              <w:rPr>
                <w:rFonts w:ascii="Arial Narrow" w:hAnsi="Arial Narrow"/>
                <w:sz w:val="20"/>
                <w:lang w:val="en-US"/>
              </w:rPr>
              <w:t>favours</w:t>
            </w:r>
            <w:proofErr w:type="spellEnd"/>
            <w:r w:rsidRPr="000B2900">
              <w:rPr>
                <w:rFonts w:ascii="Arial Narrow" w:hAnsi="Arial Narrow"/>
                <w:sz w:val="20"/>
                <w:lang w:val="en-US"/>
              </w:rPr>
              <w:t xml:space="preserve"> </w:t>
            </w:r>
            <w:proofErr w:type="spellStart"/>
            <w:r w:rsidRPr="000B2900">
              <w:rPr>
                <w:rFonts w:ascii="Arial Narrow" w:hAnsi="Arial Narrow"/>
                <w:sz w:val="20"/>
                <w:lang w:val="en-US"/>
              </w:rPr>
              <w:t>ATO+ATRA±chemo</w:t>
            </w:r>
            <w:proofErr w:type="spellEnd"/>
          </w:p>
        </w:tc>
      </w:tr>
      <w:tr w:rsidR="00D13161" w:rsidRPr="000B2900" w:rsidTr="00D13161">
        <w:tc>
          <w:tcPr>
            <w:tcW w:w="1529"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lang w:val="en-US"/>
              </w:rPr>
              <w:t>Wastage of pharmaceuticals</w:t>
            </w:r>
          </w:p>
        </w:tc>
        <w:tc>
          <w:tcPr>
            <w:tcW w:w="2123"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lang w:val="en-US"/>
              </w:rPr>
              <w:t>The submission assumed no wastage in dispensing pharmaceuticals</w:t>
            </w:r>
          </w:p>
        </w:tc>
        <w:tc>
          <w:tcPr>
            <w:tcW w:w="1348" w:type="pct"/>
            <w:shd w:val="clear" w:color="auto" w:fill="auto"/>
            <w:vAlign w:val="center"/>
          </w:tcPr>
          <w:p w:rsidR="00D13161" w:rsidRPr="000B2900" w:rsidRDefault="00D13161" w:rsidP="00D13161">
            <w:pPr>
              <w:jc w:val="center"/>
              <w:rPr>
                <w:rFonts w:ascii="Arial Narrow" w:hAnsi="Arial Narrow"/>
                <w:sz w:val="20"/>
                <w:lang w:val="en-US"/>
              </w:rPr>
            </w:pPr>
            <w:r w:rsidRPr="000B2900">
              <w:rPr>
                <w:rFonts w:ascii="Arial Narrow" w:hAnsi="Arial Narrow"/>
                <w:sz w:val="20"/>
                <w:lang w:val="en-US"/>
              </w:rPr>
              <w:t xml:space="preserve">Moderate, </w:t>
            </w:r>
            <w:proofErr w:type="spellStart"/>
            <w:r w:rsidRPr="000B2900">
              <w:rPr>
                <w:rFonts w:ascii="Arial Narrow" w:hAnsi="Arial Narrow"/>
                <w:sz w:val="20"/>
                <w:lang w:val="en-US"/>
              </w:rPr>
              <w:t>favours</w:t>
            </w:r>
            <w:proofErr w:type="spellEnd"/>
            <w:r w:rsidRPr="000B2900">
              <w:rPr>
                <w:rFonts w:ascii="Arial Narrow" w:hAnsi="Arial Narrow"/>
                <w:sz w:val="20"/>
                <w:lang w:val="en-US"/>
              </w:rPr>
              <w:t xml:space="preserve"> </w:t>
            </w:r>
            <w:proofErr w:type="spellStart"/>
            <w:r w:rsidRPr="000B2900">
              <w:rPr>
                <w:rFonts w:ascii="Arial Narrow" w:hAnsi="Arial Narrow"/>
                <w:sz w:val="20"/>
                <w:lang w:val="en-US"/>
              </w:rPr>
              <w:t>ATO+ATRA±chemo</w:t>
            </w:r>
            <w:proofErr w:type="spellEnd"/>
          </w:p>
        </w:tc>
      </w:tr>
      <w:tr w:rsidR="00D13161" w:rsidRPr="000B2900" w:rsidTr="00D13161">
        <w:tc>
          <w:tcPr>
            <w:tcW w:w="1529"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lang w:val="en-US"/>
              </w:rPr>
              <w:t>Setting of IV administration</w:t>
            </w:r>
          </w:p>
        </w:tc>
        <w:tc>
          <w:tcPr>
            <w:tcW w:w="2123" w:type="pct"/>
            <w:shd w:val="clear" w:color="auto" w:fill="auto"/>
            <w:vAlign w:val="center"/>
          </w:tcPr>
          <w:p w:rsidR="00D13161" w:rsidRPr="000B2900" w:rsidRDefault="00D13161" w:rsidP="00D13161">
            <w:pPr>
              <w:jc w:val="left"/>
              <w:rPr>
                <w:rFonts w:ascii="Arial Narrow" w:hAnsi="Arial Narrow"/>
                <w:sz w:val="20"/>
                <w:lang w:val="en-US"/>
              </w:rPr>
            </w:pPr>
            <w:r w:rsidRPr="000B2900">
              <w:rPr>
                <w:rFonts w:ascii="Arial Narrow" w:hAnsi="Arial Narrow"/>
                <w:sz w:val="20"/>
              </w:rPr>
              <w:t>The submission assumed that all IV administrations would occur in an outpatient setting.</w:t>
            </w:r>
          </w:p>
        </w:tc>
        <w:tc>
          <w:tcPr>
            <w:tcW w:w="1348" w:type="pct"/>
            <w:shd w:val="clear" w:color="auto" w:fill="auto"/>
            <w:vAlign w:val="center"/>
          </w:tcPr>
          <w:p w:rsidR="00D13161" w:rsidRPr="000B2900" w:rsidRDefault="00D13161" w:rsidP="00D13161">
            <w:pPr>
              <w:jc w:val="center"/>
              <w:rPr>
                <w:rFonts w:ascii="Arial Narrow" w:hAnsi="Arial Narrow"/>
                <w:sz w:val="20"/>
                <w:lang w:val="en-US"/>
              </w:rPr>
            </w:pPr>
            <w:r w:rsidRPr="000B2900">
              <w:rPr>
                <w:rFonts w:ascii="Arial Narrow" w:hAnsi="Arial Narrow"/>
                <w:sz w:val="20"/>
                <w:lang w:val="en-US"/>
              </w:rPr>
              <w:t xml:space="preserve">Moderate, </w:t>
            </w:r>
            <w:proofErr w:type="spellStart"/>
            <w:r w:rsidRPr="000B2900">
              <w:rPr>
                <w:rFonts w:ascii="Arial Narrow" w:hAnsi="Arial Narrow"/>
                <w:sz w:val="20"/>
                <w:lang w:val="en-US"/>
              </w:rPr>
              <w:t>favours</w:t>
            </w:r>
            <w:proofErr w:type="spellEnd"/>
            <w:r w:rsidRPr="000B2900">
              <w:rPr>
                <w:rFonts w:ascii="Arial Narrow" w:hAnsi="Arial Narrow"/>
                <w:sz w:val="20"/>
                <w:lang w:val="en-US"/>
              </w:rPr>
              <w:t xml:space="preserve"> </w:t>
            </w:r>
            <w:proofErr w:type="spellStart"/>
            <w:r w:rsidRPr="000B2900">
              <w:rPr>
                <w:rFonts w:ascii="Arial Narrow" w:hAnsi="Arial Narrow"/>
                <w:sz w:val="20"/>
                <w:lang w:val="en-US"/>
              </w:rPr>
              <w:t>ATO+ATRA±chemo</w:t>
            </w:r>
            <w:proofErr w:type="spellEnd"/>
          </w:p>
        </w:tc>
      </w:tr>
    </w:tbl>
    <w:p w:rsidR="00D13161" w:rsidRPr="000B2900" w:rsidRDefault="00D13161" w:rsidP="00D13161">
      <w:pPr>
        <w:pStyle w:val="TableFooter"/>
        <w:ind w:firstLine="720"/>
      </w:pPr>
      <w:r w:rsidRPr="000B2900">
        <w:t>OS = overall survival; IV = intravenous; ATO = arsenic trioxide; ATRA = all-trans retinoic acid; chemo = chemotherapy.</w:t>
      </w:r>
    </w:p>
    <w:p w:rsidR="00D13161" w:rsidRPr="000B2900" w:rsidRDefault="00D13161" w:rsidP="00D13161">
      <w:pPr>
        <w:pStyle w:val="TableFooter"/>
        <w:ind w:firstLine="720"/>
      </w:pPr>
      <w:r w:rsidRPr="000B2900">
        <w:t>Source: compiled during the evaluation</w:t>
      </w:r>
    </w:p>
    <w:p w:rsidR="00D13161" w:rsidRPr="00275C5A" w:rsidRDefault="00D13161" w:rsidP="00D13161">
      <w:pPr>
        <w:widowControl/>
        <w:rPr>
          <w:szCs w:val="22"/>
        </w:rPr>
      </w:pPr>
    </w:p>
    <w:p w:rsidR="00D13161" w:rsidRPr="00362CEB" w:rsidRDefault="00D13161" w:rsidP="002969CC">
      <w:pPr>
        <w:pStyle w:val="ListParagraph"/>
        <w:widowControl/>
        <w:numPr>
          <w:ilvl w:val="1"/>
          <w:numId w:val="3"/>
        </w:numPr>
        <w:rPr>
          <w:i/>
        </w:rPr>
      </w:pPr>
      <w:r>
        <w:rPr>
          <w:szCs w:val="22"/>
        </w:rPr>
        <w:t xml:space="preserve">The submission stated that </w:t>
      </w:r>
      <w:r w:rsidRPr="0084650E">
        <w:rPr>
          <w:szCs w:val="22"/>
        </w:rPr>
        <w:t xml:space="preserve">in the absence of quality of life </w:t>
      </w:r>
      <w:r>
        <w:rPr>
          <w:szCs w:val="22"/>
        </w:rPr>
        <w:t xml:space="preserve">data </w:t>
      </w:r>
      <w:r w:rsidRPr="0084650E">
        <w:rPr>
          <w:szCs w:val="22"/>
        </w:rPr>
        <w:t xml:space="preserve">in patients with APL </w:t>
      </w:r>
      <w:r>
        <w:rPr>
          <w:szCs w:val="22"/>
        </w:rPr>
        <w:t xml:space="preserve">or in the broader category of acute </w:t>
      </w:r>
      <w:proofErr w:type="spellStart"/>
      <w:r>
        <w:rPr>
          <w:szCs w:val="22"/>
        </w:rPr>
        <w:t>myelocytic</w:t>
      </w:r>
      <w:proofErr w:type="spellEnd"/>
      <w:r>
        <w:rPr>
          <w:szCs w:val="22"/>
        </w:rPr>
        <w:t xml:space="preserve"> leukaemia</w:t>
      </w:r>
      <w:r>
        <w:rPr>
          <w:rStyle w:val="CommentReference"/>
          <w:rFonts w:cs="Times New Roman"/>
        </w:rPr>
        <w:t xml:space="preserve">, </w:t>
      </w:r>
      <w:r w:rsidRPr="0084650E">
        <w:rPr>
          <w:szCs w:val="22"/>
        </w:rPr>
        <w:t xml:space="preserve">the primary analysis presented </w:t>
      </w:r>
      <w:r>
        <w:rPr>
          <w:szCs w:val="22"/>
        </w:rPr>
        <w:t xml:space="preserve">was measured in </w:t>
      </w:r>
      <w:r w:rsidRPr="0084650E">
        <w:rPr>
          <w:szCs w:val="22"/>
        </w:rPr>
        <w:t>incremental cost per life-year gained.</w:t>
      </w:r>
    </w:p>
    <w:p w:rsidR="00A34B61" w:rsidRDefault="00A34B61">
      <w:pPr>
        <w:widowControl/>
        <w:jc w:val="left"/>
        <w:rPr>
          <w:szCs w:val="22"/>
        </w:rPr>
      </w:pPr>
    </w:p>
    <w:p w:rsidR="00D13161" w:rsidRPr="00B50DB8" w:rsidRDefault="00D13161" w:rsidP="002969CC">
      <w:pPr>
        <w:pStyle w:val="ListParagraph"/>
        <w:widowControl/>
        <w:numPr>
          <w:ilvl w:val="1"/>
          <w:numId w:val="3"/>
        </w:numPr>
        <w:rPr>
          <w:szCs w:val="22"/>
        </w:rPr>
      </w:pPr>
      <w:r>
        <w:t>The results of the economic evaluation presented in the submission and that of the alternative base case conducted during the evaluation are summarised below.</w:t>
      </w:r>
    </w:p>
    <w:p w:rsidR="00D13161" w:rsidRDefault="00D13161" w:rsidP="00D13161">
      <w:pPr>
        <w:widowControl/>
        <w:rPr>
          <w:szCs w:val="22"/>
        </w:rPr>
      </w:pPr>
    </w:p>
    <w:p w:rsidR="005169F5" w:rsidRDefault="005169F5">
      <w:pPr>
        <w:widowControl/>
        <w:jc w:val="left"/>
        <w:rPr>
          <w:rFonts w:ascii="Arial Narrow" w:hAnsi="Arial Narrow"/>
          <w:b/>
          <w:sz w:val="20"/>
        </w:rPr>
      </w:pPr>
      <w:r>
        <w:br w:type="page"/>
      </w:r>
    </w:p>
    <w:p w:rsidR="00D13161" w:rsidRDefault="00D13161" w:rsidP="00D13161">
      <w:pPr>
        <w:pStyle w:val="TableHeader"/>
        <w:ind w:firstLine="720"/>
      </w:pPr>
      <w:r w:rsidRPr="005C7F65">
        <w:lastRenderedPageBreak/>
        <w:t xml:space="preserve">Table </w:t>
      </w:r>
      <w:r w:rsidR="00C85D1C">
        <w:t>10</w:t>
      </w:r>
      <w:r w:rsidRPr="005C7F65">
        <w:t>: Results of the economic evaluation</w:t>
      </w:r>
    </w:p>
    <w:tbl>
      <w:tblPr>
        <w:tblW w:w="458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14"/>
        <w:gridCol w:w="2416"/>
        <w:gridCol w:w="2343"/>
        <w:gridCol w:w="2053"/>
      </w:tblGrid>
      <w:tr w:rsidR="00D13161" w:rsidRPr="000B2900" w:rsidTr="00D13161">
        <w:tc>
          <w:tcPr>
            <w:tcW w:w="909" w:type="pct"/>
          </w:tcPr>
          <w:p w:rsidR="00D13161" w:rsidRPr="000B2900" w:rsidRDefault="00D13161" w:rsidP="00D13161">
            <w:pPr>
              <w:rPr>
                <w:rFonts w:ascii="Arial Narrow" w:hAnsi="Arial Narrow"/>
                <w:b/>
                <w:sz w:val="20"/>
              </w:rPr>
            </w:pPr>
            <w:r w:rsidRPr="000B2900">
              <w:rPr>
                <w:rFonts w:ascii="Arial Narrow" w:hAnsi="Arial Narrow"/>
                <w:b/>
                <w:sz w:val="20"/>
              </w:rPr>
              <w:t>Component</w:t>
            </w:r>
          </w:p>
        </w:tc>
        <w:tc>
          <w:tcPr>
            <w:tcW w:w="1451" w:type="pct"/>
          </w:tcPr>
          <w:p w:rsidR="00D13161" w:rsidRPr="000B2900" w:rsidRDefault="00D13161" w:rsidP="00D13161">
            <w:pPr>
              <w:jc w:val="center"/>
              <w:rPr>
                <w:rFonts w:ascii="Arial Narrow" w:hAnsi="Arial Narrow"/>
                <w:b/>
                <w:sz w:val="20"/>
              </w:rPr>
            </w:pPr>
            <w:proofErr w:type="spellStart"/>
            <w:r w:rsidRPr="000B2900">
              <w:rPr>
                <w:rFonts w:ascii="Arial Narrow" w:hAnsi="Arial Narrow"/>
                <w:b/>
                <w:sz w:val="20"/>
              </w:rPr>
              <w:t>ATO+ATRA±chemotherapy</w:t>
            </w:r>
            <w:proofErr w:type="spellEnd"/>
          </w:p>
        </w:tc>
        <w:tc>
          <w:tcPr>
            <w:tcW w:w="1407" w:type="pct"/>
          </w:tcPr>
          <w:p w:rsidR="00D13161" w:rsidRPr="000B2900" w:rsidRDefault="00D13161" w:rsidP="00D13161">
            <w:pPr>
              <w:jc w:val="center"/>
              <w:rPr>
                <w:rFonts w:ascii="Arial Narrow" w:hAnsi="Arial Narrow"/>
                <w:b/>
                <w:sz w:val="20"/>
              </w:rPr>
            </w:pPr>
            <w:proofErr w:type="spellStart"/>
            <w:r w:rsidRPr="000B2900">
              <w:rPr>
                <w:rFonts w:ascii="Arial Narrow" w:hAnsi="Arial Narrow"/>
                <w:b/>
                <w:sz w:val="20"/>
              </w:rPr>
              <w:t>ATRA+chemotherapy</w:t>
            </w:r>
            <w:proofErr w:type="spellEnd"/>
          </w:p>
        </w:tc>
        <w:tc>
          <w:tcPr>
            <w:tcW w:w="1233" w:type="pct"/>
          </w:tcPr>
          <w:p w:rsidR="00D13161" w:rsidRPr="000B2900" w:rsidRDefault="00D13161" w:rsidP="00D13161">
            <w:pPr>
              <w:jc w:val="center"/>
              <w:rPr>
                <w:rFonts w:ascii="Arial Narrow" w:hAnsi="Arial Narrow"/>
                <w:b/>
                <w:sz w:val="20"/>
              </w:rPr>
            </w:pPr>
            <w:r w:rsidRPr="000B2900">
              <w:rPr>
                <w:rFonts w:ascii="Arial Narrow" w:hAnsi="Arial Narrow"/>
                <w:b/>
                <w:sz w:val="20"/>
              </w:rPr>
              <w:t>Increment</w:t>
            </w:r>
          </w:p>
        </w:tc>
      </w:tr>
      <w:tr w:rsidR="00D13161" w:rsidRPr="000B2900" w:rsidTr="00D13161">
        <w:tc>
          <w:tcPr>
            <w:tcW w:w="5000" w:type="pct"/>
            <w:gridSpan w:val="4"/>
          </w:tcPr>
          <w:p w:rsidR="00D13161" w:rsidRPr="000B2900" w:rsidRDefault="00D13161" w:rsidP="00D13161">
            <w:pPr>
              <w:jc w:val="left"/>
              <w:rPr>
                <w:rFonts w:ascii="Arial Narrow" w:hAnsi="Arial Narrow" w:cs="Times New Roman"/>
                <w:b/>
                <w:sz w:val="20"/>
              </w:rPr>
            </w:pPr>
            <w:r w:rsidRPr="000B2900">
              <w:rPr>
                <w:rFonts w:ascii="Arial Narrow" w:hAnsi="Arial Narrow" w:cs="Times New Roman"/>
                <w:b/>
                <w:sz w:val="20"/>
              </w:rPr>
              <w:t>Submission base case</w:t>
            </w:r>
          </w:p>
        </w:tc>
      </w:tr>
      <w:tr w:rsidR="00D13161" w:rsidRPr="000B2900" w:rsidTr="00D13161">
        <w:tc>
          <w:tcPr>
            <w:tcW w:w="909" w:type="pct"/>
          </w:tcPr>
          <w:p w:rsidR="00D13161" w:rsidRPr="000B2900" w:rsidRDefault="00D13161" w:rsidP="00D13161">
            <w:pPr>
              <w:rPr>
                <w:rFonts w:ascii="Arial Narrow" w:hAnsi="Arial Narrow"/>
                <w:sz w:val="20"/>
              </w:rPr>
            </w:pPr>
            <w:r w:rsidRPr="000B2900">
              <w:rPr>
                <w:rFonts w:ascii="Arial Narrow" w:hAnsi="Arial Narrow"/>
                <w:sz w:val="20"/>
              </w:rPr>
              <w:t>Costs</w:t>
            </w:r>
          </w:p>
        </w:tc>
        <w:tc>
          <w:tcPr>
            <w:tcW w:w="1451" w:type="pct"/>
            <w:vAlign w:val="center"/>
          </w:tcPr>
          <w:p w:rsidR="00D13161" w:rsidRPr="000B2900" w:rsidRDefault="00D13161" w:rsidP="00D13161">
            <w:pPr>
              <w:jc w:val="center"/>
              <w:rPr>
                <w:rFonts w:ascii="Arial Narrow" w:hAnsi="Arial Narrow"/>
                <w:sz w:val="20"/>
              </w:rPr>
            </w:pPr>
            <w:r w:rsidRPr="000B2900">
              <w:rPr>
                <w:rFonts w:ascii="Arial Narrow" w:hAnsi="Arial Narrow" w:cs="Times New Roman"/>
                <w:sz w:val="20"/>
              </w:rPr>
              <w:t>$</w:t>
            </w:r>
            <w:r w:rsidR="008861FF">
              <w:rPr>
                <w:rFonts w:ascii="Arial Narrow" w:hAnsi="Arial Narrow" w:cs="Times New Roman"/>
                <w:noProof/>
                <w:color w:val="000000"/>
                <w:sz w:val="20"/>
                <w:highlight w:val="black"/>
              </w:rPr>
              <w:t>'''''''''''''''''</w:t>
            </w:r>
          </w:p>
        </w:tc>
        <w:tc>
          <w:tcPr>
            <w:tcW w:w="1407" w:type="pct"/>
            <w:vAlign w:val="center"/>
          </w:tcPr>
          <w:p w:rsidR="00D13161" w:rsidRPr="000B2900" w:rsidRDefault="00D13161" w:rsidP="00D13161">
            <w:pPr>
              <w:jc w:val="center"/>
              <w:rPr>
                <w:rFonts w:ascii="Arial Narrow" w:hAnsi="Arial Narrow"/>
                <w:sz w:val="20"/>
              </w:rPr>
            </w:pPr>
            <w:r w:rsidRPr="000B2900">
              <w:rPr>
                <w:rFonts w:ascii="Arial Narrow" w:hAnsi="Arial Narrow" w:cs="Times New Roman"/>
                <w:sz w:val="20"/>
              </w:rPr>
              <w:t>$63,924</w:t>
            </w:r>
          </w:p>
        </w:tc>
        <w:tc>
          <w:tcPr>
            <w:tcW w:w="1233" w:type="pct"/>
            <w:vAlign w:val="center"/>
          </w:tcPr>
          <w:p w:rsidR="00D13161" w:rsidRPr="000B2900" w:rsidRDefault="00D13161" w:rsidP="00D13161">
            <w:pPr>
              <w:jc w:val="center"/>
              <w:rPr>
                <w:rFonts w:ascii="Arial Narrow" w:hAnsi="Arial Narrow"/>
                <w:sz w:val="20"/>
              </w:rPr>
            </w:pPr>
            <w:r w:rsidRPr="000B2900">
              <w:rPr>
                <w:rFonts w:ascii="Arial Narrow" w:hAnsi="Arial Narrow" w:cs="Times New Roman"/>
                <w:sz w:val="20"/>
              </w:rPr>
              <w:t>$</w:t>
            </w:r>
            <w:r w:rsidR="008861FF">
              <w:rPr>
                <w:rFonts w:ascii="Arial Narrow" w:hAnsi="Arial Narrow" w:cs="Times New Roman"/>
                <w:noProof/>
                <w:color w:val="000000"/>
                <w:sz w:val="20"/>
                <w:highlight w:val="black"/>
              </w:rPr>
              <w:t>'''''''''''''''''</w:t>
            </w:r>
          </w:p>
        </w:tc>
      </w:tr>
      <w:tr w:rsidR="00D13161" w:rsidRPr="000B2900" w:rsidTr="00D13161">
        <w:tc>
          <w:tcPr>
            <w:tcW w:w="909" w:type="pct"/>
          </w:tcPr>
          <w:p w:rsidR="00D13161" w:rsidRPr="000B2900" w:rsidRDefault="00D13161" w:rsidP="00D13161">
            <w:pPr>
              <w:rPr>
                <w:rFonts w:ascii="Arial Narrow" w:hAnsi="Arial Narrow"/>
                <w:sz w:val="20"/>
              </w:rPr>
            </w:pPr>
            <w:r w:rsidRPr="000B2900">
              <w:rPr>
                <w:rFonts w:ascii="Arial Narrow" w:hAnsi="Arial Narrow"/>
                <w:sz w:val="20"/>
              </w:rPr>
              <w:t>LYG</w:t>
            </w:r>
          </w:p>
        </w:tc>
        <w:tc>
          <w:tcPr>
            <w:tcW w:w="1451" w:type="pct"/>
            <w:vAlign w:val="center"/>
          </w:tcPr>
          <w:p w:rsidR="00D13161" w:rsidRPr="000B2900" w:rsidRDefault="00D13161" w:rsidP="00D13161">
            <w:pPr>
              <w:jc w:val="center"/>
              <w:rPr>
                <w:rFonts w:ascii="Arial Narrow" w:hAnsi="Arial Narrow"/>
                <w:sz w:val="20"/>
              </w:rPr>
            </w:pPr>
            <w:r w:rsidRPr="000B2900">
              <w:rPr>
                <w:rFonts w:ascii="Arial Narrow" w:hAnsi="Arial Narrow"/>
                <w:sz w:val="20"/>
              </w:rPr>
              <w:t>15.57</w:t>
            </w:r>
          </w:p>
        </w:tc>
        <w:tc>
          <w:tcPr>
            <w:tcW w:w="1407" w:type="pct"/>
            <w:vAlign w:val="center"/>
          </w:tcPr>
          <w:p w:rsidR="00D13161" w:rsidRPr="000B2900" w:rsidRDefault="00D13161" w:rsidP="00D13161">
            <w:pPr>
              <w:jc w:val="center"/>
              <w:rPr>
                <w:rFonts w:ascii="Arial Narrow" w:hAnsi="Arial Narrow"/>
                <w:sz w:val="20"/>
              </w:rPr>
            </w:pPr>
            <w:r w:rsidRPr="000B2900">
              <w:rPr>
                <w:rFonts w:ascii="Arial Narrow" w:hAnsi="Arial Narrow"/>
                <w:sz w:val="20"/>
              </w:rPr>
              <w:t>13.18</w:t>
            </w:r>
          </w:p>
        </w:tc>
        <w:tc>
          <w:tcPr>
            <w:tcW w:w="1233" w:type="pct"/>
            <w:vAlign w:val="center"/>
          </w:tcPr>
          <w:p w:rsidR="00D13161" w:rsidRPr="000B2900" w:rsidRDefault="00D13161" w:rsidP="00D13161">
            <w:pPr>
              <w:jc w:val="center"/>
              <w:rPr>
                <w:rFonts w:ascii="Arial Narrow" w:hAnsi="Arial Narrow"/>
                <w:sz w:val="20"/>
              </w:rPr>
            </w:pPr>
            <w:r w:rsidRPr="000B2900">
              <w:rPr>
                <w:rFonts w:ascii="Arial Narrow" w:hAnsi="Arial Narrow"/>
                <w:sz w:val="20"/>
              </w:rPr>
              <w:t>2.39</w:t>
            </w:r>
          </w:p>
        </w:tc>
      </w:tr>
      <w:tr w:rsidR="00D13161" w:rsidRPr="000B2900" w:rsidTr="00D13161">
        <w:tc>
          <w:tcPr>
            <w:tcW w:w="3767" w:type="pct"/>
            <w:gridSpan w:val="3"/>
          </w:tcPr>
          <w:p w:rsidR="00D13161" w:rsidRPr="000B2900" w:rsidRDefault="00D13161" w:rsidP="00D13161">
            <w:pPr>
              <w:rPr>
                <w:rFonts w:ascii="Arial Narrow" w:hAnsi="Arial Narrow"/>
                <w:b/>
                <w:sz w:val="20"/>
              </w:rPr>
            </w:pPr>
            <w:r w:rsidRPr="000B2900">
              <w:rPr>
                <w:rFonts w:ascii="Arial Narrow" w:hAnsi="Arial Narrow"/>
                <w:b/>
                <w:sz w:val="20"/>
              </w:rPr>
              <w:t>Incremental cost/extra LYG</w:t>
            </w:r>
          </w:p>
        </w:tc>
        <w:tc>
          <w:tcPr>
            <w:tcW w:w="1233" w:type="pct"/>
          </w:tcPr>
          <w:p w:rsidR="00D13161" w:rsidRPr="000B2900" w:rsidRDefault="00D13161" w:rsidP="00D13161">
            <w:pPr>
              <w:jc w:val="center"/>
              <w:rPr>
                <w:rFonts w:ascii="Arial Narrow" w:hAnsi="Arial Narrow"/>
                <w:b/>
                <w:sz w:val="20"/>
              </w:rPr>
            </w:pPr>
            <w:r w:rsidRPr="000B2900">
              <w:rPr>
                <w:rFonts w:ascii="Arial Narrow" w:hAnsi="Arial Narrow"/>
                <w:b/>
                <w:sz w:val="20"/>
              </w:rPr>
              <w:t>$</w:t>
            </w:r>
            <w:r w:rsidR="008861FF">
              <w:rPr>
                <w:rFonts w:ascii="Arial Narrow" w:hAnsi="Arial Narrow"/>
                <w:b/>
                <w:noProof/>
                <w:color w:val="000000"/>
                <w:sz w:val="20"/>
                <w:highlight w:val="black"/>
              </w:rPr>
              <w:t>''''''''''''''</w:t>
            </w:r>
          </w:p>
        </w:tc>
      </w:tr>
      <w:tr w:rsidR="00D13161" w:rsidRPr="000B2900" w:rsidTr="00D13161">
        <w:tc>
          <w:tcPr>
            <w:tcW w:w="5000" w:type="pct"/>
            <w:gridSpan w:val="4"/>
          </w:tcPr>
          <w:p w:rsidR="00D13161" w:rsidRPr="000B2900" w:rsidRDefault="00D13161" w:rsidP="00D13161">
            <w:pPr>
              <w:jc w:val="left"/>
              <w:rPr>
                <w:rFonts w:ascii="Arial Narrow" w:hAnsi="Arial Narrow" w:cs="Times New Roman"/>
                <w:b/>
                <w:sz w:val="20"/>
              </w:rPr>
            </w:pPr>
            <w:r w:rsidRPr="000B2900">
              <w:rPr>
                <w:rFonts w:ascii="Arial Narrow" w:hAnsi="Arial Narrow" w:cs="Times New Roman"/>
                <w:b/>
                <w:sz w:val="20"/>
              </w:rPr>
              <w:t>Alternative base case for low-intermediate risk APL only</w:t>
            </w:r>
          </w:p>
        </w:tc>
      </w:tr>
      <w:tr w:rsidR="00D13161" w:rsidRPr="000B2900" w:rsidTr="00D13161">
        <w:tc>
          <w:tcPr>
            <w:tcW w:w="909" w:type="pct"/>
          </w:tcPr>
          <w:p w:rsidR="00D13161" w:rsidRPr="000B2900" w:rsidRDefault="00D13161" w:rsidP="00D13161">
            <w:pPr>
              <w:rPr>
                <w:rFonts w:ascii="Arial Narrow" w:hAnsi="Arial Narrow"/>
                <w:b/>
                <w:sz w:val="20"/>
              </w:rPr>
            </w:pPr>
            <w:r w:rsidRPr="000B2900">
              <w:rPr>
                <w:rFonts w:ascii="Arial Narrow" w:hAnsi="Arial Narrow"/>
                <w:sz w:val="20"/>
              </w:rPr>
              <w:t>Costs</w:t>
            </w:r>
          </w:p>
        </w:tc>
        <w:tc>
          <w:tcPr>
            <w:tcW w:w="1451" w:type="pct"/>
            <w:vAlign w:val="center"/>
          </w:tcPr>
          <w:p w:rsidR="00D13161" w:rsidRPr="000B2900" w:rsidRDefault="00D13161" w:rsidP="00D13161">
            <w:pPr>
              <w:jc w:val="center"/>
              <w:rPr>
                <w:rFonts w:ascii="Arial Narrow" w:hAnsi="Arial Narrow"/>
                <w:b/>
                <w:sz w:val="20"/>
              </w:rPr>
            </w:pPr>
            <w:r w:rsidRPr="000B2900">
              <w:rPr>
                <w:rFonts w:ascii="Arial Narrow" w:hAnsi="Arial Narrow" w:cs="Times New Roman"/>
                <w:sz w:val="20"/>
              </w:rPr>
              <w:t>$</w:t>
            </w:r>
            <w:r w:rsidR="008861FF">
              <w:rPr>
                <w:rFonts w:ascii="Arial Narrow" w:hAnsi="Arial Narrow" w:cs="Times New Roman"/>
                <w:noProof/>
                <w:color w:val="000000"/>
                <w:sz w:val="20"/>
                <w:highlight w:val="black"/>
              </w:rPr>
              <w:t>'''''''''''''''''''</w:t>
            </w:r>
          </w:p>
        </w:tc>
        <w:tc>
          <w:tcPr>
            <w:tcW w:w="1407" w:type="pct"/>
            <w:vAlign w:val="center"/>
          </w:tcPr>
          <w:p w:rsidR="00D13161" w:rsidRPr="000B2900" w:rsidRDefault="00D13161" w:rsidP="00D13161">
            <w:pPr>
              <w:jc w:val="center"/>
              <w:rPr>
                <w:rFonts w:ascii="Arial Narrow" w:hAnsi="Arial Narrow"/>
                <w:b/>
                <w:sz w:val="20"/>
                <w:highlight w:val="yellow"/>
              </w:rPr>
            </w:pPr>
            <w:r w:rsidRPr="000B2900">
              <w:rPr>
                <w:rFonts w:ascii="Arial Narrow" w:hAnsi="Arial Narrow" w:cs="Times New Roman"/>
                <w:sz w:val="20"/>
              </w:rPr>
              <w:t>$48,067</w:t>
            </w:r>
          </w:p>
        </w:tc>
        <w:tc>
          <w:tcPr>
            <w:tcW w:w="1233" w:type="pct"/>
            <w:vAlign w:val="center"/>
          </w:tcPr>
          <w:p w:rsidR="00D13161" w:rsidRPr="000B2900" w:rsidRDefault="00D13161" w:rsidP="00D13161">
            <w:pPr>
              <w:jc w:val="center"/>
              <w:rPr>
                <w:rFonts w:ascii="Arial Narrow" w:hAnsi="Arial Narrow"/>
                <w:b/>
                <w:sz w:val="20"/>
              </w:rPr>
            </w:pPr>
            <w:r w:rsidRPr="000B2900">
              <w:rPr>
                <w:rFonts w:ascii="Arial Narrow" w:hAnsi="Arial Narrow" w:cs="Times New Roman"/>
                <w:sz w:val="20"/>
              </w:rPr>
              <w:t>$</w:t>
            </w:r>
            <w:r w:rsidR="008861FF">
              <w:rPr>
                <w:rFonts w:ascii="Arial Narrow" w:hAnsi="Arial Narrow" w:cs="Times New Roman"/>
                <w:noProof/>
                <w:color w:val="000000"/>
                <w:sz w:val="20"/>
                <w:highlight w:val="black"/>
              </w:rPr>
              <w:t>'''''''''''''''</w:t>
            </w:r>
          </w:p>
        </w:tc>
      </w:tr>
      <w:tr w:rsidR="00D13161" w:rsidRPr="000B2900" w:rsidTr="00D13161">
        <w:trPr>
          <w:trHeight w:val="254"/>
        </w:trPr>
        <w:tc>
          <w:tcPr>
            <w:tcW w:w="909" w:type="pct"/>
          </w:tcPr>
          <w:p w:rsidR="00D13161" w:rsidRPr="000B2900" w:rsidRDefault="00D13161" w:rsidP="00D13161">
            <w:pPr>
              <w:rPr>
                <w:rFonts w:ascii="Arial Narrow" w:hAnsi="Arial Narrow"/>
                <w:b/>
                <w:sz w:val="20"/>
              </w:rPr>
            </w:pPr>
            <w:r w:rsidRPr="000B2900">
              <w:rPr>
                <w:rFonts w:ascii="Arial Narrow" w:hAnsi="Arial Narrow"/>
                <w:sz w:val="20"/>
              </w:rPr>
              <w:t>LYG</w:t>
            </w:r>
          </w:p>
        </w:tc>
        <w:tc>
          <w:tcPr>
            <w:tcW w:w="1451" w:type="pct"/>
            <w:vAlign w:val="center"/>
          </w:tcPr>
          <w:p w:rsidR="00D13161" w:rsidRPr="000B2900" w:rsidRDefault="00D13161" w:rsidP="00D13161">
            <w:pPr>
              <w:jc w:val="center"/>
              <w:rPr>
                <w:rFonts w:ascii="Arial Narrow" w:hAnsi="Arial Narrow"/>
                <w:b/>
                <w:sz w:val="20"/>
              </w:rPr>
            </w:pPr>
            <w:r w:rsidRPr="000B2900">
              <w:rPr>
                <w:rFonts w:ascii="Arial Narrow" w:hAnsi="Arial Narrow"/>
                <w:sz w:val="20"/>
              </w:rPr>
              <w:t>16.26</w:t>
            </w:r>
          </w:p>
        </w:tc>
        <w:tc>
          <w:tcPr>
            <w:tcW w:w="1407" w:type="pct"/>
            <w:vAlign w:val="center"/>
          </w:tcPr>
          <w:p w:rsidR="00D13161" w:rsidRPr="000B2900" w:rsidRDefault="00D13161" w:rsidP="00D13161">
            <w:pPr>
              <w:jc w:val="center"/>
              <w:rPr>
                <w:rFonts w:ascii="Arial Narrow" w:hAnsi="Arial Narrow"/>
                <w:b/>
                <w:sz w:val="20"/>
                <w:highlight w:val="yellow"/>
              </w:rPr>
            </w:pPr>
            <w:r w:rsidRPr="000B2900">
              <w:rPr>
                <w:rFonts w:ascii="Arial Narrow" w:hAnsi="Arial Narrow"/>
                <w:sz w:val="20"/>
              </w:rPr>
              <w:t>14.62</w:t>
            </w:r>
          </w:p>
        </w:tc>
        <w:tc>
          <w:tcPr>
            <w:tcW w:w="1233" w:type="pct"/>
            <w:vAlign w:val="center"/>
          </w:tcPr>
          <w:p w:rsidR="00D13161" w:rsidRPr="000B2900" w:rsidRDefault="00D13161" w:rsidP="00D13161">
            <w:pPr>
              <w:jc w:val="center"/>
              <w:rPr>
                <w:rFonts w:ascii="Arial Narrow" w:hAnsi="Arial Narrow"/>
                <w:b/>
                <w:sz w:val="20"/>
              </w:rPr>
            </w:pPr>
            <w:r w:rsidRPr="000B2900">
              <w:rPr>
                <w:rFonts w:ascii="Arial Narrow" w:hAnsi="Arial Narrow"/>
                <w:sz w:val="20"/>
              </w:rPr>
              <w:t>1.64</w:t>
            </w:r>
          </w:p>
        </w:tc>
      </w:tr>
      <w:tr w:rsidR="00D13161" w:rsidRPr="000B2900" w:rsidTr="00D13161">
        <w:tc>
          <w:tcPr>
            <w:tcW w:w="3767" w:type="pct"/>
            <w:gridSpan w:val="3"/>
          </w:tcPr>
          <w:p w:rsidR="00D13161" w:rsidRPr="000B2900" w:rsidRDefault="00D13161" w:rsidP="00D13161">
            <w:pPr>
              <w:rPr>
                <w:rFonts w:ascii="Arial Narrow" w:hAnsi="Arial Narrow"/>
                <w:b/>
                <w:sz w:val="20"/>
              </w:rPr>
            </w:pPr>
            <w:r w:rsidRPr="000B2900">
              <w:rPr>
                <w:rFonts w:ascii="Arial Narrow" w:hAnsi="Arial Narrow"/>
                <w:b/>
                <w:sz w:val="20"/>
              </w:rPr>
              <w:t>Incremental cost/extra LYG</w:t>
            </w:r>
          </w:p>
        </w:tc>
        <w:tc>
          <w:tcPr>
            <w:tcW w:w="1233" w:type="pct"/>
            <w:vAlign w:val="center"/>
          </w:tcPr>
          <w:p w:rsidR="00D13161" w:rsidRPr="000B2900" w:rsidRDefault="00D13161" w:rsidP="00D13161">
            <w:pPr>
              <w:jc w:val="center"/>
              <w:rPr>
                <w:rFonts w:ascii="Arial Narrow" w:hAnsi="Arial Narrow"/>
                <w:b/>
                <w:sz w:val="20"/>
              </w:rPr>
            </w:pPr>
            <w:r w:rsidRPr="000B2900">
              <w:rPr>
                <w:rFonts w:ascii="Arial Narrow" w:hAnsi="Arial Narrow"/>
                <w:b/>
                <w:sz w:val="20"/>
              </w:rPr>
              <w:t>$</w:t>
            </w:r>
            <w:r w:rsidR="008861FF">
              <w:rPr>
                <w:rFonts w:ascii="Arial Narrow" w:hAnsi="Arial Narrow"/>
                <w:b/>
                <w:noProof/>
                <w:color w:val="000000"/>
                <w:sz w:val="20"/>
                <w:highlight w:val="black"/>
              </w:rPr>
              <w:t>'''''''''''''</w:t>
            </w:r>
          </w:p>
        </w:tc>
      </w:tr>
    </w:tbl>
    <w:p w:rsidR="00D13161" w:rsidRPr="000B2900" w:rsidRDefault="00D13161" w:rsidP="00D13161">
      <w:pPr>
        <w:pStyle w:val="TableFooter"/>
        <w:ind w:firstLine="720"/>
      </w:pPr>
      <w:r w:rsidRPr="000B2900">
        <w:t>ATO = arsenic trioxide; ATRA = all-trans retinoic acid; LYG = life year gained.</w:t>
      </w:r>
    </w:p>
    <w:p w:rsidR="00D13161" w:rsidRPr="000B2900" w:rsidRDefault="00D13161" w:rsidP="00D13161">
      <w:pPr>
        <w:pStyle w:val="TableFooter"/>
        <w:ind w:firstLine="720"/>
        <w:rPr>
          <w:szCs w:val="22"/>
        </w:rPr>
      </w:pPr>
      <w:r w:rsidRPr="000B2900">
        <w:t>Source: Compiled during the evaluation.</w:t>
      </w:r>
    </w:p>
    <w:p w:rsidR="00D13161" w:rsidRPr="0013476C" w:rsidRDefault="00D13161" w:rsidP="00D13161">
      <w:pPr>
        <w:pStyle w:val="ListParagraph"/>
        <w:widowControl/>
        <w:rPr>
          <w:szCs w:val="22"/>
        </w:rPr>
      </w:pPr>
    </w:p>
    <w:p w:rsidR="00D13161" w:rsidRPr="00C14E13" w:rsidRDefault="00D13161" w:rsidP="002969CC">
      <w:pPr>
        <w:pStyle w:val="ListParagraph"/>
        <w:widowControl/>
        <w:numPr>
          <w:ilvl w:val="1"/>
          <w:numId w:val="3"/>
        </w:numPr>
        <w:rPr>
          <w:szCs w:val="22"/>
        </w:rPr>
      </w:pPr>
      <w:r w:rsidRPr="00C14E13">
        <w:t xml:space="preserve">As noted earlier, the results of the economic evaluation presented in the submission (based on the APML studies) were of </w:t>
      </w:r>
      <w:r w:rsidR="00B80315">
        <w:t>limited</w:t>
      </w:r>
      <w:r w:rsidRPr="00C14E13">
        <w:t xml:space="preserve"> relevance to the proposed PBS population, given that the results were for all APL patients, irrespective of risk classification. The treatment regimens in APML4 were only relevant to high risk patients. The appropriateness of using the regimens in APML3 as a comparator is open to debate.</w:t>
      </w:r>
    </w:p>
    <w:p w:rsidR="00D13161" w:rsidRPr="00C14E13" w:rsidRDefault="00D13161" w:rsidP="00D13161">
      <w:pPr>
        <w:pStyle w:val="ListParagraph"/>
        <w:widowControl/>
        <w:rPr>
          <w:szCs w:val="22"/>
        </w:rPr>
      </w:pPr>
    </w:p>
    <w:p w:rsidR="00D13161" w:rsidRPr="008A68FD" w:rsidRDefault="008A68FD" w:rsidP="002969CC">
      <w:pPr>
        <w:pStyle w:val="ListParagraph"/>
        <w:widowControl/>
        <w:numPr>
          <w:ilvl w:val="1"/>
          <w:numId w:val="3"/>
        </w:numPr>
        <w:rPr>
          <w:szCs w:val="22"/>
        </w:rPr>
      </w:pPr>
      <w:r>
        <w:t>The ESC considered that a</w:t>
      </w:r>
      <w:r w:rsidR="00B66ABB" w:rsidRPr="00C14E13">
        <w:t>n economic evaluation for the use of ATO in low-intermediate risk patients based on the results from Lo-Coco 2013</w:t>
      </w:r>
      <w:r w:rsidR="002C4552">
        <w:t xml:space="preserve"> </w:t>
      </w:r>
      <w:r w:rsidR="002C4552" w:rsidRPr="008A68FD">
        <w:t xml:space="preserve">(alternative base case, ICER/LYG </w:t>
      </w:r>
      <w:r w:rsidR="008A7399">
        <w:rPr>
          <w:rFonts w:cs="Times New Roman"/>
          <w:szCs w:val="24"/>
        </w:rPr>
        <w:t>$15,000</w:t>
      </w:r>
      <w:r w:rsidR="008A7399" w:rsidRPr="009E2B53">
        <w:rPr>
          <w:rFonts w:cs="Times New Roman"/>
          <w:szCs w:val="24"/>
        </w:rPr>
        <w:t>- $45,000</w:t>
      </w:r>
      <w:r w:rsidR="002C4552" w:rsidRPr="008A68FD">
        <w:t xml:space="preserve">) </w:t>
      </w:r>
      <w:r w:rsidR="00B66ABB" w:rsidRPr="008A68FD">
        <w:t xml:space="preserve">was more appropriate. </w:t>
      </w:r>
    </w:p>
    <w:p w:rsidR="00D13161" w:rsidRPr="00B66ABB" w:rsidRDefault="00D13161" w:rsidP="00D13161">
      <w:pPr>
        <w:widowControl/>
        <w:rPr>
          <w:szCs w:val="22"/>
        </w:rPr>
      </w:pPr>
    </w:p>
    <w:p w:rsidR="00D13161" w:rsidRPr="00790CD9" w:rsidRDefault="008A68FD" w:rsidP="002969CC">
      <w:pPr>
        <w:pStyle w:val="ListParagraph"/>
        <w:widowControl/>
        <w:numPr>
          <w:ilvl w:val="1"/>
          <w:numId w:val="3"/>
        </w:numPr>
        <w:rPr>
          <w:szCs w:val="22"/>
        </w:rPr>
      </w:pPr>
      <w:r>
        <w:t>The ESC noted that t</w:t>
      </w:r>
      <w:r w:rsidR="00D13161" w:rsidRPr="00790CD9">
        <w:t>reatment-related adverse events were not considered in either the submission’s base case or in the alternative base case. This bias</w:t>
      </w:r>
      <w:r>
        <w:t>ed</w:t>
      </w:r>
      <w:r w:rsidR="00D13161" w:rsidRPr="00790CD9">
        <w:t xml:space="preserve"> the results in favour of the proposed treatment regimens, particularly for the high risk patients. </w:t>
      </w:r>
    </w:p>
    <w:p w:rsidR="00D13161" w:rsidRPr="00790CD9" w:rsidRDefault="00D13161" w:rsidP="00D13161">
      <w:pPr>
        <w:widowControl/>
        <w:rPr>
          <w:szCs w:val="22"/>
        </w:rPr>
      </w:pPr>
    </w:p>
    <w:p w:rsidR="00C25D9C" w:rsidRDefault="00D13161" w:rsidP="002969CC">
      <w:pPr>
        <w:pStyle w:val="ListParagraph"/>
        <w:widowControl/>
        <w:numPr>
          <w:ilvl w:val="1"/>
          <w:numId w:val="3"/>
        </w:numPr>
        <w:rPr>
          <w:szCs w:val="22"/>
        </w:rPr>
      </w:pPr>
      <w:r w:rsidRPr="00790CD9">
        <w:rPr>
          <w:szCs w:val="22"/>
        </w:rPr>
        <w:t xml:space="preserve">Sensitivity analyses </w:t>
      </w:r>
      <w:r w:rsidR="00036FAB" w:rsidRPr="008A68FD">
        <w:rPr>
          <w:szCs w:val="22"/>
        </w:rPr>
        <w:t>around the alternative base case</w:t>
      </w:r>
      <w:r w:rsidR="00036FAB">
        <w:rPr>
          <w:i/>
          <w:szCs w:val="22"/>
        </w:rPr>
        <w:t xml:space="preserve"> </w:t>
      </w:r>
      <w:r w:rsidRPr="00790CD9">
        <w:rPr>
          <w:szCs w:val="22"/>
        </w:rPr>
        <w:t>indicated that the model was moderately sensitive to the duration of the time horizon, costs of pharmaceutical drugs and drug administration costs.</w:t>
      </w:r>
    </w:p>
    <w:p w:rsidR="00ED5AB3" w:rsidRDefault="005169F5" w:rsidP="00ED5AB3">
      <w:pPr>
        <w:pStyle w:val="TableHeader"/>
        <w:ind w:firstLine="720"/>
      </w:pPr>
      <w:r>
        <w:rPr>
          <w:szCs w:val="22"/>
        </w:rPr>
        <w:br w:type="page"/>
      </w:r>
      <w:r w:rsidR="00ED5AB3" w:rsidRPr="005C7F65">
        <w:lastRenderedPageBreak/>
        <w:t xml:space="preserve">Table </w:t>
      </w:r>
      <w:r w:rsidR="00ED5AB3">
        <w:t>11</w:t>
      </w:r>
      <w:r w:rsidR="00ED5AB3" w:rsidRPr="005C7F65">
        <w:t xml:space="preserve">: </w:t>
      </w:r>
      <w:r w:rsidR="00ED5AB3">
        <w:t xml:space="preserve">Results of sensitivity analyses around the alternative </w:t>
      </w:r>
      <w:proofErr w:type="spellStart"/>
      <w:r w:rsidR="00ED5AB3">
        <w:t>basecase</w:t>
      </w:r>
      <w:proofErr w:type="spellEnd"/>
    </w:p>
    <w:tbl>
      <w:tblPr>
        <w:tblW w:w="4524" w:type="pct"/>
        <w:tblInd w:w="817" w:type="dxa"/>
        <w:tblLayout w:type="fixed"/>
        <w:tblCellMar>
          <w:left w:w="0" w:type="dxa"/>
          <w:right w:w="0" w:type="dxa"/>
        </w:tblCellMar>
        <w:tblLook w:val="04A0" w:firstRow="1" w:lastRow="0" w:firstColumn="1" w:lastColumn="0" w:noHBand="0" w:noVBand="1"/>
      </w:tblPr>
      <w:tblGrid>
        <w:gridCol w:w="5671"/>
        <w:gridCol w:w="918"/>
        <w:gridCol w:w="918"/>
        <w:gridCol w:w="855"/>
      </w:tblGrid>
      <w:tr w:rsidR="00036FAB" w:rsidRPr="00525CB9" w:rsidTr="005169F5">
        <w:trPr>
          <w:trHeight w:val="300"/>
        </w:trPr>
        <w:tc>
          <w:tcPr>
            <w:tcW w:w="3391"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pPr>
              <w:pStyle w:val="Tabletext"/>
              <w:rPr>
                <w:b/>
                <w:bCs/>
                <w:lang w:val="en-GB" w:eastAsia="en-AU"/>
              </w:rPr>
            </w:pPr>
            <w:r w:rsidRPr="00525CB9">
              <w:rPr>
                <w:b/>
                <w:bCs/>
                <w:lang w:val="en-GB" w:eastAsia="en-AU"/>
              </w:rPr>
              <w:t>Analysis</w:t>
            </w:r>
          </w:p>
        </w:tc>
        <w:tc>
          <w:tcPr>
            <w:tcW w:w="54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b/>
                <w:bCs/>
                <w:lang w:val="en-GB" w:eastAsia="en-AU"/>
              </w:rPr>
            </w:pPr>
            <w:r w:rsidRPr="00525CB9">
              <w:rPr>
                <w:b/>
                <w:bCs/>
                <w:lang w:val="en-GB" w:eastAsia="en-AU"/>
              </w:rPr>
              <w:t>Inc. Costs</w:t>
            </w:r>
          </w:p>
        </w:tc>
        <w:tc>
          <w:tcPr>
            <w:tcW w:w="54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b/>
                <w:bCs/>
                <w:lang w:val="en-GB" w:eastAsia="en-AU"/>
              </w:rPr>
            </w:pPr>
            <w:r w:rsidRPr="00525CB9">
              <w:rPr>
                <w:b/>
                <w:bCs/>
                <w:lang w:val="en-GB" w:eastAsia="en-AU"/>
              </w:rPr>
              <w:t>Inc. LYG</w:t>
            </w:r>
          </w:p>
        </w:tc>
        <w:tc>
          <w:tcPr>
            <w:tcW w:w="51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rsidP="00036FAB">
            <w:pPr>
              <w:pStyle w:val="Tabletext"/>
              <w:ind w:left="-103" w:right="-188"/>
              <w:jc w:val="center"/>
              <w:rPr>
                <w:b/>
                <w:bCs/>
                <w:lang w:val="en-GB" w:eastAsia="en-AU"/>
              </w:rPr>
            </w:pPr>
            <w:r w:rsidRPr="00525CB9">
              <w:rPr>
                <w:b/>
                <w:bCs/>
                <w:lang w:val="en-GB" w:eastAsia="en-AU"/>
              </w:rPr>
              <w:t>Cost/LYG</w:t>
            </w:r>
          </w:p>
        </w:tc>
      </w:tr>
      <w:tr w:rsidR="00036FAB" w:rsidRPr="00525CB9" w:rsidTr="005169F5">
        <w:trPr>
          <w:trHeight w:val="300"/>
        </w:trPr>
        <w:tc>
          <w:tcPr>
            <w:tcW w:w="339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pPr>
              <w:pStyle w:val="Tabletext"/>
              <w:rPr>
                <w:lang w:val="en-GB" w:eastAsia="en-AU"/>
              </w:rPr>
            </w:pPr>
            <w:r w:rsidRPr="00525CB9">
              <w:rPr>
                <w:lang w:val="en-GB" w:eastAsia="en-AU"/>
              </w:rPr>
              <w:t>Alternative Base case</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1.64</w:t>
            </w:r>
          </w:p>
        </w:tc>
        <w:tc>
          <w:tcPr>
            <w:tcW w:w="51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r>
      <w:tr w:rsidR="00036FAB" w:rsidRPr="00525CB9" w:rsidTr="00FF1087">
        <w:trPr>
          <w:trHeight w:val="300"/>
        </w:trPr>
        <w:tc>
          <w:tcPr>
            <w:tcW w:w="5000" w:type="pct"/>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rPr>
                <w:b/>
                <w:bCs/>
                <w:lang w:val="en-GB"/>
              </w:rPr>
            </w:pPr>
            <w:r w:rsidRPr="00525CB9">
              <w:rPr>
                <w:b/>
                <w:bCs/>
                <w:lang w:val="en-GB" w:eastAsia="en-AU"/>
              </w:rPr>
              <w:t>Wastage associated with Arsenic Trioxide (no wastage in base case)</w:t>
            </w:r>
          </w:p>
        </w:tc>
      </w:tr>
      <w:tr w:rsidR="00036FAB" w:rsidRPr="00525CB9" w:rsidTr="005169F5">
        <w:trPr>
          <w:trHeight w:val="300"/>
        </w:trPr>
        <w:tc>
          <w:tcPr>
            <w:tcW w:w="339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pPr>
              <w:pStyle w:val="Tabletext"/>
              <w:rPr>
                <w:lang w:val="en-GB" w:eastAsia="en-AU"/>
              </w:rPr>
            </w:pPr>
            <w:r w:rsidRPr="00525CB9">
              <w:rPr>
                <w:lang w:val="en-GB" w:eastAsia="en-AU"/>
              </w:rPr>
              <w:t>Assuming all patients receive 2 vials per day (base case average 1.2 vials per day)</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1.64</w:t>
            </w:r>
          </w:p>
        </w:tc>
        <w:tc>
          <w:tcPr>
            <w:tcW w:w="51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r>
      <w:tr w:rsidR="00036FAB" w:rsidRPr="00525CB9" w:rsidTr="005169F5">
        <w:trPr>
          <w:trHeight w:val="300"/>
        </w:trPr>
        <w:tc>
          <w:tcPr>
            <w:tcW w:w="339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pPr>
              <w:pStyle w:val="Tabletext"/>
              <w:rPr>
                <w:lang w:val="en-GB" w:eastAsia="en-AU"/>
              </w:rPr>
            </w:pPr>
            <w:r w:rsidRPr="00525CB9">
              <w:rPr>
                <w:lang w:val="en-GB" w:eastAsia="en-AU"/>
              </w:rPr>
              <w:t>Assuming 70% of patients weigh more than 67kg and receive 2 vials per day (average 1.7 vials per day)</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1.64</w:t>
            </w:r>
          </w:p>
        </w:tc>
        <w:tc>
          <w:tcPr>
            <w:tcW w:w="51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r>
      <w:tr w:rsidR="00036FAB" w:rsidRPr="00525CB9" w:rsidTr="005169F5">
        <w:trPr>
          <w:trHeight w:val="300"/>
        </w:trPr>
        <w:tc>
          <w:tcPr>
            <w:tcW w:w="339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pPr>
              <w:pStyle w:val="Tabletext"/>
              <w:rPr>
                <w:lang w:val="en-GB" w:eastAsia="en-AU"/>
              </w:rPr>
            </w:pPr>
            <w:r w:rsidRPr="00525CB9">
              <w:rPr>
                <w:lang w:val="en-GB" w:eastAsia="en-AU"/>
              </w:rPr>
              <w:t>Assuming 50% of patients weight more than 67kg and receive 2 vials per day (average 1.5 vials per day)</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1.64</w:t>
            </w:r>
          </w:p>
        </w:tc>
        <w:tc>
          <w:tcPr>
            <w:tcW w:w="51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r>
      <w:tr w:rsidR="00036FAB" w:rsidRPr="00525CB9" w:rsidTr="00FF1087">
        <w:trPr>
          <w:trHeight w:val="300"/>
        </w:trPr>
        <w:tc>
          <w:tcPr>
            <w:tcW w:w="5000" w:type="pct"/>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rPr>
                <w:b/>
                <w:bCs/>
                <w:lang w:val="en-GB"/>
              </w:rPr>
            </w:pPr>
            <w:r w:rsidRPr="00525CB9">
              <w:rPr>
                <w:b/>
                <w:bCs/>
                <w:lang w:val="en-GB" w:eastAsia="en-AU"/>
              </w:rPr>
              <w:t>Administration Costs (base case: all outpatient setting, $200 / administration)</w:t>
            </w:r>
          </w:p>
        </w:tc>
      </w:tr>
      <w:tr w:rsidR="00036FAB" w:rsidRPr="00525CB9" w:rsidTr="005169F5">
        <w:trPr>
          <w:trHeight w:val="300"/>
        </w:trPr>
        <w:tc>
          <w:tcPr>
            <w:tcW w:w="339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pPr>
              <w:pStyle w:val="Tabletext"/>
              <w:rPr>
                <w:lang w:val="en-GB" w:eastAsia="en-AU"/>
              </w:rPr>
            </w:pPr>
            <w:r w:rsidRPr="00525CB9">
              <w:rPr>
                <w:lang w:val="en-GB" w:eastAsia="en-AU"/>
              </w:rPr>
              <w:t>Assuming that 48% of publicly treated patients are treated as an inpatient (average cost per administration $320)</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1.64</w:t>
            </w:r>
          </w:p>
        </w:tc>
        <w:tc>
          <w:tcPr>
            <w:tcW w:w="51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r>
      <w:tr w:rsidR="00036FAB" w:rsidRPr="00525CB9" w:rsidTr="005169F5">
        <w:trPr>
          <w:trHeight w:val="300"/>
        </w:trPr>
        <w:tc>
          <w:tcPr>
            <w:tcW w:w="339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pPr>
              <w:pStyle w:val="Tabletext"/>
              <w:rPr>
                <w:lang w:val="en-GB" w:eastAsia="en-AU"/>
              </w:rPr>
            </w:pPr>
            <w:r w:rsidRPr="00525CB9">
              <w:rPr>
                <w:lang w:val="en-GB" w:eastAsia="en-AU"/>
              </w:rPr>
              <w:t>Assuming that 48% of publicly treated patients are treated as an inpatient, and 100% of private patients are treated as an inpatient (average cost per administration $403)</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1.64</w:t>
            </w:r>
          </w:p>
        </w:tc>
        <w:tc>
          <w:tcPr>
            <w:tcW w:w="51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r>
      <w:tr w:rsidR="00036FAB" w:rsidRPr="00525CB9" w:rsidTr="005169F5">
        <w:trPr>
          <w:trHeight w:val="300"/>
        </w:trPr>
        <w:tc>
          <w:tcPr>
            <w:tcW w:w="339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36FAB" w:rsidRPr="00525CB9" w:rsidRDefault="00036FAB" w:rsidP="00036FAB">
            <w:pPr>
              <w:pStyle w:val="Tabletext"/>
              <w:ind w:right="-108"/>
              <w:rPr>
                <w:lang w:val="en-GB" w:eastAsia="en-AU"/>
              </w:rPr>
            </w:pPr>
            <w:r w:rsidRPr="00525CB9">
              <w:rPr>
                <w:lang w:val="en-GB" w:eastAsia="en-AU"/>
              </w:rPr>
              <w:t>Assuming all patients are treated in an inpatient setting (average cost per administration $531)</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c>
          <w:tcPr>
            <w:tcW w:w="54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1.64</w:t>
            </w:r>
          </w:p>
        </w:tc>
        <w:tc>
          <w:tcPr>
            <w:tcW w:w="51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FAB" w:rsidRPr="00525CB9" w:rsidRDefault="00036FAB">
            <w:pPr>
              <w:pStyle w:val="Tabletext"/>
              <w:jc w:val="center"/>
              <w:rPr>
                <w:lang w:val="en-GB"/>
              </w:rPr>
            </w:pPr>
            <w:r w:rsidRPr="00525CB9">
              <w:rPr>
                <w:lang w:val="en-GB"/>
              </w:rPr>
              <w:t>$</w:t>
            </w:r>
            <w:r w:rsidR="008861FF">
              <w:rPr>
                <w:noProof/>
                <w:color w:val="000000"/>
                <w:highlight w:val="black"/>
                <w:lang w:val="en-GB"/>
              </w:rPr>
              <w:t>''''''''''''''''</w:t>
            </w:r>
          </w:p>
        </w:tc>
      </w:tr>
    </w:tbl>
    <w:p w:rsidR="00036FAB" w:rsidRPr="00ED5AB3" w:rsidRDefault="00ED5AB3" w:rsidP="00036FAB">
      <w:pPr>
        <w:pStyle w:val="ListParagraph"/>
        <w:widowControl/>
        <w:rPr>
          <w:rFonts w:ascii="Arial Narrow" w:hAnsi="Arial Narrow"/>
          <w:sz w:val="20"/>
        </w:rPr>
      </w:pPr>
      <w:r w:rsidRPr="00ED5AB3">
        <w:rPr>
          <w:rFonts w:ascii="Arial Narrow" w:hAnsi="Arial Narrow"/>
          <w:sz w:val="20"/>
        </w:rPr>
        <w:t>Source: Calculated by ESC</w:t>
      </w:r>
    </w:p>
    <w:p w:rsidR="00ED5AB3" w:rsidRPr="00790CD9" w:rsidRDefault="00ED5AB3" w:rsidP="00036FAB">
      <w:pPr>
        <w:pStyle w:val="ListParagraph"/>
        <w:widowControl/>
        <w:rPr>
          <w:szCs w:val="22"/>
        </w:rPr>
      </w:pPr>
    </w:p>
    <w:p w:rsidR="000D178B" w:rsidRDefault="000D178B" w:rsidP="005169F5">
      <w:pPr>
        <w:pStyle w:val="ListParagraph"/>
        <w:widowControl/>
        <w:numPr>
          <w:ilvl w:val="1"/>
          <w:numId w:val="3"/>
        </w:numPr>
      </w:pPr>
      <w:r w:rsidRPr="002F18CF">
        <w:t>The following figure highlights that the survival benefit may be overestimated in the alternative base case. The</w:t>
      </w:r>
      <w:r w:rsidR="00E75C12" w:rsidRPr="002F18CF">
        <w:t xml:space="preserve"> absolute 10% difference in the surviving proportion is maintained for almost 40 years, and given a mean starting age in the model of 44 </w:t>
      </w:r>
      <w:proofErr w:type="gramStart"/>
      <w:r w:rsidR="00E75C12" w:rsidRPr="002F18CF">
        <w:t>years,</w:t>
      </w:r>
      <w:proofErr w:type="gramEnd"/>
      <w:r w:rsidR="00E75C12" w:rsidRPr="002F18CF">
        <w:t xml:space="preserve"> almost 15% of intervention patients are still alive at age 95 years.</w:t>
      </w:r>
    </w:p>
    <w:p w:rsidR="005169F5" w:rsidRDefault="005169F5" w:rsidP="000D178B"/>
    <w:p w:rsidR="00ED5AB3" w:rsidRPr="00ED5AB3" w:rsidRDefault="00ED5AB3" w:rsidP="000D178B">
      <w:pPr>
        <w:rPr>
          <w:rFonts w:ascii="Arial Narrow" w:hAnsi="Arial Narrow"/>
          <w:b/>
          <w:sz w:val="20"/>
        </w:rPr>
      </w:pPr>
      <w:r w:rsidRPr="00ED5AB3">
        <w:rPr>
          <w:rFonts w:ascii="Arial Narrow" w:hAnsi="Arial Narrow"/>
          <w:b/>
          <w:sz w:val="20"/>
        </w:rPr>
        <w:t>Figure 1</w:t>
      </w:r>
      <w:r>
        <w:rPr>
          <w:rFonts w:ascii="Arial Narrow" w:hAnsi="Arial Narrow"/>
          <w:b/>
          <w:sz w:val="20"/>
        </w:rPr>
        <w:t>: Survival as demonstrated in Lo-Coco 2013 and as modelled in the submission</w:t>
      </w:r>
    </w:p>
    <w:p w:rsidR="000D178B" w:rsidRDefault="00266FD3" w:rsidP="000D178B">
      <w:pPr>
        <w:rPr>
          <w:noProof/>
          <w:snapToGrid/>
          <w:lang w:eastAsia="en-AU"/>
        </w:rPr>
      </w:pPr>
      <w:bookmarkStart w:id="13" w:name="_GoBack"/>
      <w:r>
        <w:rPr>
          <w:noProof/>
          <w:snapToGrid/>
          <w:lang w:eastAsia="en-AU"/>
        </w:rPr>
        <w:drawing>
          <wp:inline distT="0" distB="0" distL="0" distR="0" wp14:anchorId="7EE481AF">
            <wp:extent cx="5730875" cy="3152140"/>
            <wp:effectExtent l="0" t="0" r="3175" b="0"/>
            <wp:docPr id="2" name="Picture 2" title="Figure shows Survival as demonstrated in Lo-Coco 20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3152140"/>
                    </a:xfrm>
                    <a:prstGeom prst="rect">
                      <a:avLst/>
                    </a:prstGeom>
                    <a:noFill/>
                  </pic:spPr>
                </pic:pic>
              </a:graphicData>
            </a:graphic>
          </wp:inline>
        </w:drawing>
      </w:r>
      <w:bookmarkEnd w:id="13"/>
    </w:p>
    <w:p w:rsidR="00266FD3" w:rsidRPr="00BA7ECC" w:rsidRDefault="00266FD3" w:rsidP="000D178B"/>
    <w:p w:rsidR="00BA7ECC" w:rsidRPr="00ED5AB3" w:rsidRDefault="00ED5AB3" w:rsidP="00BA7ECC">
      <w:pPr>
        <w:widowControl/>
        <w:rPr>
          <w:rFonts w:ascii="Arial Narrow" w:hAnsi="Arial Narrow"/>
          <w:sz w:val="20"/>
        </w:rPr>
      </w:pPr>
      <w:r w:rsidRPr="00ED5AB3">
        <w:rPr>
          <w:rFonts w:ascii="Arial Narrow" w:hAnsi="Arial Narrow"/>
          <w:sz w:val="20"/>
        </w:rPr>
        <w:t>Source: Constructed by ESC</w:t>
      </w:r>
    </w:p>
    <w:p w:rsidR="005169F5" w:rsidRDefault="005169F5">
      <w:pPr>
        <w:widowControl/>
        <w:jc w:val="left"/>
        <w:rPr>
          <w:rStyle w:val="Heading2Char"/>
        </w:rPr>
      </w:pPr>
      <w:bookmarkStart w:id="14" w:name="_Toc427598096"/>
      <w:r>
        <w:rPr>
          <w:rStyle w:val="Heading2Char"/>
        </w:rPr>
        <w:br w:type="page"/>
      </w:r>
    </w:p>
    <w:p w:rsidR="00334068" w:rsidRPr="00790CD9" w:rsidRDefault="00C25D9C" w:rsidP="004823F0">
      <w:pPr>
        <w:rPr>
          <w:b/>
        </w:rPr>
      </w:pPr>
      <w:r w:rsidRPr="00790CD9">
        <w:rPr>
          <w:rStyle w:val="Heading2Char"/>
        </w:rPr>
        <w:lastRenderedPageBreak/>
        <w:t>Dr</w:t>
      </w:r>
      <w:r w:rsidR="00A31ED8" w:rsidRPr="00790CD9">
        <w:rPr>
          <w:rStyle w:val="Heading2Char"/>
        </w:rPr>
        <w:t>ug cost/patient/course</w:t>
      </w:r>
      <w:bookmarkEnd w:id="14"/>
      <w:r w:rsidRPr="00790CD9">
        <w:rPr>
          <w:b/>
        </w:rPr>
        <w:t>:</w:t>
      </w:r>
    </w:p>
    <w:p w:rsidR="00334068" w:rsidRPr="00790CD9" w:rsidRDefault="00334068" w:rsidP="002969CC">
      <w:pPr>
        <w:pStyle w:val="ListParagraph"/>
        <w:widowControl/>
        <w:numPr>
          <w:ilvl w:val="0"/>
          <w:numId w:val="8"/>
        </w:numPr>
        <w:rPr>
          <w:szCs w:val="22"/>
        </w:rPr>
      </w:pPr>
      <w:r w:rsidRPr="00790CD9">
        <w:rPr>
          <w:szCs w:val="22"/>
        </w:rPr>
        <w:t>$</w:t>
      </w:r>
      <w:r w:rsidR="008861FF">
        <w:rPr>
          <w:noProof/>
          <w:color w:val="000000"/>
          <w:szCs w:val="22"/>
          <w:highlight w:val="black"/>
        </w:rPr>
        <w:t>''''''''''''''''</w:t>
      </w:r>
      <w:r w:rsidRPr="00790CD9">
        <w:rPr>
          <w:szCs w:val="22"/>
        </w:rPr>
        <w:t xml:space="preserve"> for low-intermediate risk patients, based on the average time to remission </w:t>
      </w:r>
      <w:r w:rsidR="00C75149" w:rsidRPr="00790CD9">
        <w:rPr>
          <w:szCs w:val="22"/>
        </w:rPr>
        <w:t>during</w:t>
      </w:r>
      <w:r w:rsidRPr="00790CD9">
        <w:rPr>
          <w:szCs w:val="22"/>
        </w:rPr>
        <w:t xml:space="preserve"> induction, and protocol duration for the consolidation phases</w:t>
      </w:r>
      <w:r w:rsidR="00C75149" w:rsidRPr="00790CD9">
        <w:rPr>
          <w:szCs w:val="22"/>
        </w:rPr>
        <w:t>, from Lo-Coco 2013</w:t>
      </w:r>
      <w:r w:rsidRPr="00790CD9">
        <w:rPr>
          <w:szCs w:val="22"/>
        </w:rPr>
        <w:t>; and</w:t>
      </w:r>
    </w:p>
    <w:p w:rsidR="00334068" w:rsidRPr="00790CD9" w:rsidRDefault="00334068" w:rsidP="002969CC">
      <w:pPr>
        <w:pStyle w:val="ListParagraph"/>
        <w:widowControl/>
        <w:numPr>
          <w:ilvl w:val="0"/>
          <w:numId w:val="8"/>
        </w:numPr>
        <w:rPr>
          <w:szCs w:val="22"/>
        </w:rPr>
      </w:pPr>
      <w:r w:rsidRPr="00790CD9">
        <w:rPr>
          <w:szCs w:val="22"/>
        </w:rPr>
        <w:t>$</w:t>
      </w:r>
      <w:r w:rsidR="008861FF">
        <w:rPr>
          <w:noProof/>
          <w:color w:val="000000"/>
          <w:szCs w:val="22"/>
          <w:highlight w:val="black"/>
        </w:rPr>
        <w:t>''''''''''''''''''</w:t>
      </w:r>
      <w:r w:rsidRPr="00790CD9">
        <w:rPr>
          <w:szCs w:val="22"/>
        </w:rPr>
        <w:t xml:space="preserve"> for high risk patients, based on the protocol regimen described in </w:t>
      </w:r>
      <w:r w:rsidR="00F17965" w:rsidRPr="00790CD9">
        <w:rPr>
          <w:szCs w:val="22"/>
        </w:rPr>
        <w:t>APML4</w:t>
      </w:r>
      <w:r w:rsidRPr="00790CD9">
        <w:rPr>
          <w:szCs w:val="22"/>
        </w:rPr>
        <w:t>.</w:t>
      </w:r>
    </w:p>
    <w:p w:rsidR="004823F0" w:rsidRDefault="004823F0" w:rsidP="004823F0">
      <w:pPr>
        <w:pStyle w:val="ListParagraph"/>
        <w:widowControl/>
        <w:rPr>
          <w:szCs w:val="22"/>
        </w:rPr>
      </w:pPr>
    </w:p>
    <w:p w:rsidR="00B60939" w:rsidRPr="00FF1087" w:rsidRDefault="00B60939" w:rsidP="002C2775">
      <w:pPr>
        <w:pStyle w:val="Heading2"/>
      </w:pPr>
      <w:bookmarkStart w:id="15" w:name="_Toc427598097"/>
      <w:r w:rsidRPr="00FF1087">
        <w:t>Estimated PBS usage &amp; financial implications</w:t>
      </w:r>
      <w:bookmarkEnd w:id="15"/>
    </w:p>
    <w:p w:rsidR="00B60939" w:rsidRPr="00882085" w:rsidRDefault="00B60939" w:rsidP="00B60939">
      <w:pPr>
        <w:ind w:left="720" w:hanging="720"/>
        <w:rPr>
          <w:b/>
          <w:i/>
          <w:szCs w:val="22"/>
        </w:rPr>
      </w:pPr>
    </w:p>
    <w:p w:rsidR="00B66ABB" w:rsidRPr="00B66ABB" w:rsidRDefault="00466542" w:rsidP="002969CC">
      <w:pPr>
        <w:pStyle w:val="ListParagraph"/>
        <w:widowControl/>
        <w:numPr>
          <w:ilvl w:val="1"/>
          <w:numId w:val="3"/>
        </w:numPr>
        <w:rPr>
          <w:szCs w:val="22"/>
        </w:rPr>
      </w:pPr>
      <w:r>
        <w:t>This submission was not considered by DUSC</w:t>
      </w:r>
      <w:r w:rsidRPr="00B50DB8">
        <w:rPr>
          <w:color w:val="0070C0"/>
        </w:rPr>
        <w:t>.</w:t>
      </w:r>
    </w:p>
    <w:p w:rsidR="00B66ABB" w:rsidRPr="00B66ABB" w:rsidRDefault="00B66ABB" w:rsidP="00B66ABB">
      <w:pPr>
        <w:pStyle w:val="ListParagraph"/>
        <w:widowControl/>
        <w:rPr>
          <w:szCs w:val="22"/>
        </w:rPr>
      </w:pPr>
    </w:p>
    <w:p w:rsidR="00466542" w:rsidRPr="00B66ABB" w:rsidRDefault="00466542" w:rsidP="002969CC">
      <w:pPr>
        <w:pStyle w:val="ListParagraph"/>
        <w:widowControl/>
        <w:numPr>
          <w:ilvl w:val="1"/>
          <w:numId w:val="3"/>
        </w:numPr>
        <w:rPr>
          <w:szCs w:val="22"/>
        </w:rPr>
      </w:pPr>
      <w:r w:rsidRPr="00807D60">
        <w:t>The submission use</w:t>
      </w:r>
      <w:r>
        <w:t>d</w:t>
      </w:r>
      <w:r w:rsidRPr="00807D60">
        <w:t xml:space="preserve"> an epidemiological approach to estimate the expected financial impact of listing ATO as first-line therapy for APL. The submission use</w:t>
      </w:r>
      <w:r>
        <w:t>d</w:t>
      </w:r>
      <w:r w:rsidRPr="00807D60">
        <w:t xml:space="preserve"> </w:t>
      </w:r>
      <w:r>
        <w:t>the number of incident cases of APL for the years 1994-1999, obtained</w:t>
      </w:r>
      <w:r w:rsidRPr="00807D60">
        <w:t xml:space="preserve"> from the Australian Institute of Health and Welfare (AIHW) National Cancer Statistics Clearing House</w:t>
      </w:r>
      <w:r>
        <w:t>. These data, in conjunction with</w:t>
      </w:r>
      <w:r w:rsidRPr="00807D60">
        <w:t xml:space="preserve"> population statistics from the Australian Bureau of Statistics (ABS)</w:t>
      </w:r>
      <w:r>
        <w:t>, were used</w:t>
      </w:r>
      <w:r w:rsidRPr="00807D60">
        <w:t xml:space="preserve"> to </w:t>
      </w:r>
      <w:r>
        <w:t>estimate</w:t>
      </w:r>
      <w:r w:rsidRPr="00807D60">
        <w:t xml:space="preserve"> the number of incident cases of APL over the first five years of </w:t>
      </w:r>
      <w:r>
        <w:t xml:space="preserve">an extended ATO </w:t>
      </w:r>
      <w:r w:rsidRPr="00807D60">
        <w:t>listing</w:t>
      </w:r>
      <w:r>
        <w:t xml:space="preserve"> </w:t>
      </w:r>
      <w:r w:rsidRPr="00807D60">
        <w:t>on the PBS.</w:t>
      </w:r>
      <w:r>
        <w:t xml:space="preserve"> The submission stated that, as the proposed </w:t>
      </w:r>
      <w:proofErr w:type="spellStart"/>
      <w:r>
        <w:t>ATO+ATRA±chemotherapy</w:t>
      </w:r>
      <w:proofErr w:type="spellEnd"/>
      <w:r>
        <w:t xml:space="preserve"> regimens were already in use in clinical practice, no changes in the use or cost of other drugs were anticipated.</w:t>
      </w:r>
    </w:p>
    <w:p w:rsidR="00E11493" w:rsidRPr="00790CD9" w:rsidRDefault="00E11493" w:rsidP="0053688C">
      <w:pPr>
        <w:ind w:left="709"/>
      </w:pPr>
    </w:p>
    <w:p w:rsidR="00495B49" w:rsidRPr="00790CD9" w:rsidRDefault="00495B49" w:rsidP="002969CC">
      <w:pPr>
        <w:pStyle w:val="ListParagraph"/>
        <w:widowControl/>
        <w:numPr>
          <w:ilvl w:val="1"/>
          <w:numId w:val="3"/>
        </w:numPr>
      </w:pPr>
      <w:r w:rsidRPr="00790CD9">
        <w:t>The 6th Community Pharmacy Agreement which took effect on 1 July 2015, made some changes to the way chemotherapy preparation fees are paid under the Section 100 Efficient Funding of Chemotherapy (EFC) arrangement.</w:t>
      </w:r>
    </w:p>
    <w:p w:rsidR="00495B49" w:rsidRPr="00790CD9" w:rsidRDefault="00495B49" w:rsidP="00495B49">
      <w:pPr>
        <w:pStyle w:val="ListParagraph"/>
        <w:widowControl/>
      </w:pPr>
    </w:p>
    <w:p w:rsidR="00495B49" w:rsidRPr="00790CD9" w:rsidRDefault="00495B49" w:rsidP="00495B49">
      <w:pPr>
        <w:pStyle w:val="ListParagraph"/>
        <w:widowControl/>
      </w:pPr>
      <w:r w:rsidRPr="00790CD9">
        <w:t>In addition, some chemotherapy compounders will be paid a smaller fee and the DPMA that is published in the schedule will only include that smaller fee.</w:t>
      </w:r>
    </w:p>
    <w:p w:rsidR="00495B49" w:rsidRPr="00790CD9" w:rsidRDefault="00495B49" w:rsidP="00495B49">
      <w:pPr>
        <w:widowControl/>
      </w:pPr>
    </w:p>
    <w:p w:rsidR="00495B49" w:rsidRPr="00790CD9" w:rsidRDefault="00495B49" w:rsidP="00495B49">
      <w:pPr>
        <w:pStyle w:val="ListParagraph"/>
        <w:widowControl/>
      </w:pPr>
      <w:r w:rsidRPr="00790CD9">
        <w:t>Under the finalised new arrangements:</w:t>
      </w:r>
    </w:p>
    <w:p w:rsidR="00495B49" w:rsidRPr="00790CD9" w:rsidRDefault="00495B49" w:rsidP="002969CC">
      <w:pPr>
        <w:pStyle w:val="ListParagraph"/>
        <w:widowControl/>
        <w:numPr>
          <w:ilvl w:val="0"/>
          <w:numId w:val="11"/>
        </w:numPr>
      </w:pPr>
      <w:r w:rsidRPr="00790CD9">
        <w:t>The preparation fees paid to compounders who are licensed by the TGA to undertake such compounding are higher than those paid to compounders who are not licensed by the TGA, recognising that TGA licensed compounders incur additional costs in complying with the TGA’s licensing requirements, as compared to chemotherapy compounders who are not TGA licensed;</w:t>
      </w:r>
    </w:p>
    <w:p w:rsidR="00495B49" w:rsidRPr="00790CD9" w:rsidRDefault="00495B49" w:rsidP="002969CC">
      <w:pPr>
        <w:pStyle w:val="ListParagraph"/>
        <w:widowControl/>
        <w:numPr>
          <w:ilvl w:val="0"/>
          <w:numId w:val="11"/>
        </w:numPr>
      </w:pPr>
      <w:r w:rsidRPr="00790CD9">
        <w:t>The preparation fee paid to TGA licensed compounders remains the same as under the 5th CPA at $102.67* (indexed price for 2014/2015);</w:t>
      </w:r>
    </w:p>
    <w:p w:rsidR="00495B49" w:rsidRPr="00790CD9" w:rsidRDefault="00495B49" w:rsidP="002969CC">
      <w:pPr>
        <w:pStyle w:val="ListParagraph"/>
        <w:widowControl/>
        <w:numPr>
          <w:ilvl w:val="0"/>
          <w:numId w:val="11"/>
        </w:numPr>
      </w:pPr>
      <w:r w:rsidRPr="00790CD9">
        <w:t>The preparation fees paid to a s90 Community Pharmacy (</w:t>
      </w:r>
      <w:proofErr w:type="spellStart"/>
      <w:r w:rsidRPr="00790CD9">
        <w:t>incl</w:t>
      </w:r>
      <w:proofErr w:type="spellEnd"/>
      <w:r w:rsidRPr="00790CD9">
        <w:t xml:space="preserve"> s92 approved  practitioners) and a s94 Approved Private Hospital Authority are the same as those paid to TGA licensed compounders to recognise the specialist nature of preparing chemotherapy medicines;</w:t>
      </w:r>
    </w:p>
    <w:p w:rsidR="00495B49" w:rsidRPr="00790CD9" w:rsidRDefault="00495B49" w:rsidP="002969CC">
      <w:pPr>
        <w:pStyle w:val="ListParagraph"/>
        <w:widowControl/>
        <w:numPr>
          <w:ilvl w:val="0"/>
          <w:numId w:val="11"/>
        </w:numPr>
      </w:pPr>
      <w:r w:rsidRPr="00790CD9">
        <w:t>The preparation fee paid to non-TGA licensed compounders is $20 less at $82.67.</w:t>
      </w:r>
    </w:p>
    <w:p w:rsidR="00495B49" w:rsidRPr="00790CD9" w:rsidRDefault="00495B49" w:rsidP="002969CC">
      <w:pPr>
        <w:pStyle w:val="ListParagraph"/>
        <w:widowControl/>
        <w:numPr>
          <w:ilvl w:val="0"/>
          <w:numId w:val="11"/>
        </w:numPr>
      </w:pPr>
      <w:r w:rsidRPr="00790CD9">
        <w:t xml:space="preserve">Where applicable, the $20 portion of the preparation fee will be paid directly to the compounder through Australian Healthcare Associates (AHA); and.  </w:t>
      </w:r>
    </w:p>
    <w:p w:rsidR="00495B49" w:rsidRPr="00790CD9" w:rsidRDefault="00495B49" w:rsidP="002969CC">
      <w:pPr>
        <w:pStyle w:val="ListParagraph"/>
        <w:widowControl/>
        <w:numPr>
          <w:ilvl w:val="0"/>
          <w:numId w:val="11"/>
        </w:numPr>
      </w:pPr>
      <w:r w:rsidRPr="00790CD9">
        <w:t>The $20 is not currently captured by the DMPA that is published in the Schedule of Pharmaceutical Benefits.</w:t>
      </w:r>
    </w:p>
    <w:p w:rsidR="00495B49" w:rsidRPr="00790CD9" w:rsidRDefault="00495B49" w:rsidP="00495B49">
      <w:pPr>
        <w:pStyle w:val="ListParagraph"/>
        <w:widowControl/>
      </w:pPr>
    </w:p>
    <w:p w:rsidR="00495B49" w:rsidRPr="00790CD9" w:rsidRDefault="00495B49" w:rsidP="00495B49">
      <w:pPr>
        <w:pStyle w:val="ListParagraph"/>
        <w:widowControl/>
      </w:pPr>
      <w:r w:rsidRPr="00790CD9">
        <w:t xml:space="preserve">As the majority of chemotherapy preparations are compounded in settings where the $102.67 fee applies, this fee should continue to be used in PBAC submissions. </w:t>
      </w:r>
    </w:p>
    <w:p w:rsidR="00495B49" w:rsidRPr="00790CD9" w:rsidRDefault="00495B49" w:rsidP="00495B49"/>
    <w:p w:rsidR="00B80315" w:rsidRPr="00B80315" w:rsidRDefault="00466542" w:rsidP="002C4552">
      <w:pPr>
        <w:pStyle w:val="ListParagraph"/>
        <w:widowControl/>
        <w:numPr>
          <w:ilvl w:val="1"/>
          <w:numId w:val="3"/>
        </w:numPr>
        <w:jc w:val="left"/>
        <w:rPr>
          <w:szCs w:val="22"/>
        </w:rPr>
      </w:pPr>
      <w:r w:rsidRPr="00790CD9">
        <w:lastRenderedPageBreak/>
        <w:t xml:space="preserve">Based on the claim that </w:t>
      </w:r>
      <w:proofErr w:type="spellStart"/>
      <w:r w:rsidRPr="00790CD9">
        <w:t>ATO+ATRA±chemotherapy</w:t>
      </w:r>
      <w:proofErr w:type="spellEnd"/>
      <w:r w:rsidRPr="00790CD9">
        <w:t xml:space="preserve"> was already standard care in most treatment centres in Australia, the submission’s financial estimates assumed that listing of ATO on the PBS would simply result in a cost shift from hospitals to the PBS. This was reasonable as long as the listing of ATO does not change current clinical management of APL</w:t>
      </w:r>
      <w:r w:rsidR="00B80315">
        <w:t>.</w:t>
      </w:r>
    </w:p>
    <w:p w:rsidR="00B80315" w:rsidRPr="008A68FD" w:rsidRDefault="00B80315" w:rsidP="00B80315">
      <w:pPr>
        <w:pStyle w:val="ListParagraph"/>
        <w:widowControl/>
        <w:jc w:val="left"/>
        <w:rPr>
          <w:szCs w:val="22"/>
        </w:rPr>
      </w:pPr>
    </w:p>
    <w:p w:rsidR="00B80315" w:rsidRPr="008A68FD" w:rsidRDefault="00B80315" w:rsidP="002C4552">
      <w:pPr>
        <w:pStyle w:val="ListParagraph"/>
        <w:widowControl/>
        <w:numPr>
          <w:ilvl w:val="1"/>
          <w:numId w:val="3"/>
        </w:numPr>
        <w:jc w:val="left"/>
        <w:rPr>
          <w:szCs w:val="22"/>
        </w:rPr>
      </w:pPr>
      <w:r w:rsidRPr="008A68FD">
        <w:t>The PSCR (p5) presented updated incidence figures for APL. The impact of these updates on the estimated use and financial implications has been presented in the table below</w:t>
      </w:r>
      <w:r w:rsidR="00466542" w:rsidRPr="008A68FD">
        <w:t>.</w:t>
      </w:r>
      <w:r w:rsidR="002C4552" w:rsidRPr="008A68FD">
        <w:t xml:space="preserve"> </w:t>
      </w:r>
    </w:p>
    <w:p w:rsidR="00C25D9C" w:rsidRPr="008A68FD" w:rsidRDefault="00C25D9C" w:rsidP="00B80315">
      <w:pPr>
        <w:widowControl/>
        <w:jc w:val="left"/>
        <w:rPr>
          <w:szCs w:val="22"/>
        </w:rPr>
      </w:pPr>
    </w:p>
    <w:p w:rsidR="00332DDB" w:rsidRPr="00FF1087" w:rsidRDefault="00332DDB" w:rsidP="00FF1087">
      <w:pPr>
        <w:pStyle w:val="TableHeader"/>
        <w:ind w:firstLine="709"/>
      </w:pPr>
      <w:r w:rsidRPr="00FF1087">
        <w:t>Table</w:t>
      </w:r>
      <w:r w:rsidR="00ED5AB3">
        <w:t xml:space="preserve"> 12</w:t>
      </w:r>
      <w:r w:rsidRPr="00FF1087">
        <w:t>: Estimated use and financial implications</w:t>
      </w:r>
    </w:p>
    <w:tbl>
      <w:tblPr>
        <w:tblStyle w:val="TableGrid"/>
        <w:tblW w:w="4558" w:type="pct"/>
        <w:tblInd w:w="817" w:type="dxa"/>
        <w:tblLook w:val="04A0" w:firstRow="1" w:lastRow="0" w:firstColumn="1" w:lastColumn="0" w:noHBand="0" w:noVBand="1"/>
        <w:tblCaption w:val="Estimated use and financial implications - year 1 to year 5"/>
      </w:tblPr>
      <w:tblGrid>
        <w:gridCol w:w="1947"/>
        <w:gridCol w:w="1297"/>
        <w:gridCol w:w="1297"/>
        <w:gridCol w:w="1296"/>
        <w:gridCol w:w="1297"/>
        <w:gridCol w:w="1291"/>
      </w:tblGrid>
      <w:tr w:rsidR="002C4552" w:rsidRPr="00525CB9" w:rsidTr="00BC1669">
        <w:trPr>
          <w:tblHeader/>
        </w:trPr>
        <w:tc>
          <w:tcPr>
            <w:tcW w:w="1155" w:type="pct"/>
            <w:tcBorders>
              <w:bottom w:val="single" w:sz="4" w:space="0" w:color="auto"/>
            </w:tcBorders>
            <w:noWrap/>
            <w:vAlign w:val="center"/>
            <w:hideMark/>
          </w:tcPr>
          <w:p w:rsidR="002C4552" w:rsidRPr="00525CB9" w:rsidRDefault="002C4552" w:rsidP="00052F15">
            <w:pPr>
              <w:rPr>
                <w:rFonts w:ascii="Arial Narrow" w:hAnsi="Arial Narrow"/>
                <w:b/>
                <w:sz w:val="20"/>
                <w:lang w:eastAsia="en-AU"/>
              </w:rPr>
            </w:pPr>
          </w:p>
        </w:tc>
        <w:tc>
          <w:tcPr>
            <w:tcW w:w="769" w:type="pct"/>
            <w:tcBorders>
              <w:bottom w:val="single" w:sz="4" w:space="0" w:color="auto"/>
            </w:tcBorders>
            <w:noWrap/>
            <w:vAlign w:val="center"/>
            <w:hideMark/>
          </w:tcPr>
          <w:p w:rsidR="002C4552" w:rsidRPr="00525CB9" w:rsidRDefault="002C4552" w:rsidP="00052F15">
            <w:pPr>
              <w:jc w:val="center"/>
              <w:rPr>
                <w:rFonts w:ascii="Arial Narrow" w:hAnsi="Arial Narrow"/>
                <w:b/>
                <w:sz w:val="20"/>
                <w:lang w:eastAsia="en-AU"/>
              </w:rPr>
            </w:pPr>
            <w:r w:rsidRPr="00525CB9">
              <w:rPr>
                <w:rFonts w:ascii="Arial Narrow" w:hAnsi="Arial Narrow"/>
                <w:b/>
                <w:sz w:val="20"/>
                <w:lang w:eastAsia="en-AU"/>
              </w:rPr>
              <w:t>Year 1</w:t>
            </w:r>
          </w:p>
        </w:tc>
        <w:tc>
          <w:tcPr>
            <w:tcW w:w="770" w:type="pct"/>
            <w:tcBorders>
              <w:bottom w:val="single" w:sz="4" w:space="0" w:color="auto"/>
            </w:tcBorders>
            <w:noWrap/>
            <w:vAlign w:val="center"/>
            <w:hideMark/>
          </w:tcPr>
          <w:p w:rsidR="002C4552" w:rsidRPr="00525CB9" w:rsidRDefault="002C4552" w:rsidP="00052F15">
            <w:pPr>
              <w:jc w:val="center"/>
              <w:rPr>
                <w:rFonts w:ascii="Arial Narrow" w:hAnsi="Arial Narrow"/>
                <w:b/>
                <w:sz w:val="20"/>
                <w:lang w:eastAsia="en-AU"/>
              </w:rPr>
            </w:pPr>
            <w:r w:rsidRPr="00525CB9">
              <w:rPr>
                <w:rFonts w:ascii="Arial Narrow" w:hAnsi="Arial Narrow"/>
                <w:b/>
                <w:sz w:val="20"/>
                <w:lang w:eastAsia="en-AU"/>
              </w:rPr>
              <w:t>Year 2</w:t>
            </w:r>
          </w:p>
        </w:tc>
        <w:tc>
          <w:tcPr>
            <w:tcW w:w="769" w:type="pct"/>
            <w:tcBorders>
              <w:bottom w:val="single" w:sz="4" w:space="0" w:color="auto"/>
            </w:tcBorders>
            <w:noWrap/>
            <w:vAlign w:val="center"/>
            <w:hideMark/>
          </w:tcPr>
          <w:p w:rsidR="002C4552" w:rsidRPr="00525CB9" w:rsidRDefault="002C4552" w:rsidP="00052F15">
            <w:pPr>
              <w:jc w:val="center"/>
              <w:rPr>
                <w:rFonts w:ascii="Arial Narrow" w:hAnsi="Arial Narrow"/>
                <w:b/>
                <w:sz w:val="20"/>
                <w:lang w:eastAsia="en-AU"/>
              </w:rPr>
            </w:pPr>
            <w:r w:rsidRPr="00525CB9">
              <w:rPr>
                <w:rFonts w:ascii="Arial Narrow" w:hAnsi="Arial Narrow"/>
                <w:b/>
                <w:sz w:val="20"/>
                <w:lang w:eastAsia="en-AU"/>
              </w:rPr>
              <w:t>Year 3</w:t>
            </w:r>
          </w:p>
        </w:tc>
        <w:tc>
          <w:tcPr>
            <w:tcW w:w="770" w:type="pct"/>
            <w:tcBorders>
              <w:bottom w:val="single" w:sz="4" w:space="0" w:color="auto"/>
            </w:tcBorders>
            <w:noWrap/>
            <w:vAlign w:val="center"/>
            <w:hideMark/>
          </w:tcPr>
          <w:p w:rsidR="002C4552" w:rsidRPr="00525CB9" w:rsidRDefault="002C4552" w:rsidP="00052F15">
            <w:pPr>
              <w:jc w:val="center"/>
              <w:rPr>
                <w:rFonts w:ascii="Arial Narrow" w:hAnsi="Arial Narrow"/>
                <w:b/>
                <w:sz w:val="20"/>
                <w:lang w:eastAsia="en-AU"/>
              </w:rPr>
            </w:pPr>
            <w:r w:rsidRPr="00525CB9">
              <w:rPr>
                <w:rFonts w:ascii="Arial Narrow" w:hAnsi="Arial Narrow"/>
                <w:b/>
                <w:sz w:val="20"/>
                <w:lang w:eastAsia="en-AU"/>
              </w:rPr>
              <w:t>Year 4</w:t>
            </w:r>
          </w:p>
        </w:tc>
        <w:tc>
          <w:tcPr>
            <w:tcW w:w="766" w:type="pct"/>
            <w:tcBorders>
              <w:bottom w:val="single" w:sz="4" w:space="0" w:color="auto"/>
            </w:tcBorders>
          </w:tcPr>
          <w:p w:rsidR="002C4552" w:rsidRPr="00525CB9" w:rsidRDefault="002C4552" w:rsidP="00052F15">
            <w:pPr>
              <w:jc w:val="center"/>
              <w:rPr>
                <w:rFonts w:ascii="Arial Narrow" w:hAnsi="Arial Narrow"/>
                <w:b/>
                <w:sz w:val="20"/>
                <w:lang w:eastAsia="en-AU"/>
              </w:rPr>
            </w:pPr>
            <w:r w:rsidRPr="00525CB9">
              <w:rPr>
                <w:rFonts w:ascii="Arial Narrow" w:hAnsi="Arial Narrow"/>
                <w:b/>
                <w:sz w:val="20"/>
                <w:lang w:eastAsia="en-AU"/>
              </w:rPr>
              <w:t>Year 5</w:t>
            </w:r>
          </w:p>
        </w:tc>
      </w:tr>
      <w:tr w:rsidR="002C4552" w:rsidRPr="00525CB9" w:rsidTr="00FF1087">
        <w:tc>
          <w:tcPr>
            <w:tcW w:w="1155" w:type="pct"/>
            <w:tcBorders>
              <w:bottom w:val="dotted" w:sz="4" w:space="0" w:color="auto"/>
            </w:tcBorders>
            <w:vAlign w:val="center"/>
          </w:tcPr>
          <w:p w:rsidR="002C4552" w:rsidRPr="00525CB9" w:rsidRDefault="002C4552" w:rsidP="00052F15">
            <w:pPr>
              <w:pStyle w:val="Tabletext"/>
              <w:rPr>
                <w:lang w:eastAsia="en-AU"/>
              </w:rPr>
            </w:pPr>
            <w:r w:rsidRPr="00525CB9">
              <w:rPr>
                <w:lang w:eastAsia="en-AU"/>
              </w:rPr>
              <w:t>Number of patients treated</w:t>
            </w:r>
          </w:p>
        </w:tc>
        <w:tc>
          <w:tcPr>
            <w:tcW w:w="769" w:type="pct"/>
            <w:tcBorders>
              <w:bottom w:val="dotted" w:sz="4" w:space="0" w:color="auto"/>
            </w:tcBorders>
            <w:noWrap/>
            <w:vAlign w:val="bottom"/>
          </w:tcPr>
          <w:p w:rsidR="002C4552" w:rsidRPr="00525CB9" w:rsidRDefault="002C4552" w:rsidP="00052F15">
            <w:pPr>
              <w:pStyle w:val="Tabletext"/>
              <w:jc w:val="center"/>
            </w:pPr>
          </w:p>
        </w:tc>
        <w:tc>
          <w:tcPr>
            <w:tcW w:w="770" w:type="pct"/>
            <w:tcBorders>
              <w:bottom w:val="dotted" w:sz="4" w:space="0" w:color="auto"/>
            </w:tcBorders>
            <w:noWrap/>
            <w:vAlign w:val="bottom"/>
          </w:tcPr>
          <w:p w:rsidR="002C4552" w:rsidRPr="00525CB9" w:rsidRDefault="002C4552" w:rsidP="00052F15">
            <w:pPr>
              <w:pStyle w:val="Tabletext"/>
              <w:jc w:val="center"/>
            </w:pPr>
          </w:p>
        </w:tc>
        <w:tc>
          <w:tcPr>
            <w:tcW w:w="769" w:type="pct"/>
            <w:tcBorders>
              <w:bottom w:val="dotted" w:sz="4" w:space="0" w:color="auto"/>
            </w:tcBorders>
            <w:noWrap/>
            <w:vAlign w:val="bottom"/>
          </w:tcPr>
          <w:p w:rsidR="002C4552" w:rsidRPr="00525CB9" w:rsidRDefault="002C4552" w:rsidP="00052F15">
            <w:pPr>
              <w:pStyle w:val="Tabletext"/>
              <w:jc w:val="center"/>
            </w:pPr>
          </w:p>
        </w:tc>
        <w:tc>
          <w:tcPr>
            <w:tcW w:w="770" w:type="pct"/>
            <w:tcBorders>
              <w:bottom w:val="dotted" w:sz="4" w:space="0" w:color="auto"/>
            </w:tcBorders>
            <w:noWrap/>
            <w:vAlign w:val="bottom"/>
          </w:tcPr>
          <w:p w:rsidR="002C4552" w:rsidRPr="00525CB9" w:rsidRDefault="002C4552" w:rsidP="00052F15">
            <w:pPr>
              <w:pStyle w:val="Tabletext"/>
              <w:jc w:val="center"/>
            </w:pPr>
          </w:p>
        </w:tc>
        <w:tc>
          <w:tcPr>
            <w:tcW w:w="766" w:type="pct"/>
            <w:tcBorders>
              <w:bottom w:val="dotted" w:sz="4" w:space="0" w:color="auto"/>
            </w:tcBorders>
            <w:vAlign w:val="bottom"/>
          </w:tcPr>
          <w:p w:rsidR="002C4552" w:rsidRPr="00525CB9" w:rsidRDefault="002C4552" w:rsidP="00052F15">
            <w:pPr>
              <w:pStyle w:val="Tabletext"/>
              <w:jc w:val="center"/>
            </w:pPr>
          </w:p>
        </w:tc>
      </w:tr>
      <w:tr w:rsidR="002C4552" w:rsidRPr="00525CB9" w:rsidTr="00FF1087">
        <w:tc>
          <w:tcPr>
            <w:tcW w:w="1155" w:type="pct"/>
            <w:tcBorders>
              <w:top w:val="dotted" w:sz="4" w:space="0" w:color="auto"/>
              <w:bottom w:val="nil"/>
            </w:tcBorders>
            <w:vAlign w:val="center"/>
          </w:tcPr>
          <w:p w:rsidR="002C4552" w:rsidRPr="00525CB9" w:rsidRDefault="002C4552" w:rsidP="00052F15">
            <w:pPr>
              <w:pStyle w:val="Tabletext"/>
              <w:rPr>
                <w:lang w:eastAsia="en-AU"/>
              </w:rPr>
            </w:pPr>
            <w:r w:rsidRPr="00525CB9">
              <w:rPr>
                <w:lang w:eastAsia="en-AU"/>
              </w:rPr>
              <w:t>Base-case</w:t>
            </w:r>
          </w:p>
        </w:tc>
        <w:tc>
          <w:tcPr>
            <w:tcW w:w="769" w:type="pct"/>
            <w:tcBorders>
              <w:top w:val="dotted" w:sz="4" w:space="0" w:color="auto"/>
              <w:bottom w:val="nil"/>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70" w:type="pct"/>
            <w:tcBorders>
              <w:top w:val="dotted" w:sz="4" w:space="0" w:color="auto"/>
              <w:bottom w:val="nil"/>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69" w:type="pct"/>
            <w:tcBorders>
              <w:top w:val="dotted" w:sz="4" w:space="0" w:color="auto"/>
              <w:bottom w:val="nil"/>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70" w:type="pct"/>
            <w:tcBorders>
              <w:top w:val="dotted" w:sz="4" w:space="0" w:color="auto"/>
              <w:bottom w:val="nil"/>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66" w:type="pct"/>
            <w:tcBorders>
              <w:top w:val="dotted" w:sz="4" w:space="0" w:color="auto"/>
              <w:bottom w:val="nil"/>
            </w:tcBorders>
            <w:vAlign w:val="bottom"/>
          </w:tcPr>
          <w:p w:rsidR="002C4552" w:rsidRPr="008861FF" w:rsidRDefault="008861FF" w:rsidP="00052F15">
            <w:pPr>
              <w:pStyle w:val="Tabletext"/>
              <w:jc w:val="center"/>
              <w:rPr>
                <w:highlight w:val="black"/>
              </w:rPr>
            </w:pPr>
            <w:r>
              <w:rPr>
                <w:noProof/>
                <w:color w:val="000000"/>
                <w:highlight w:val="black"/>
              </w:rPr>
              <w:t>'''''</w:t>
            </w:r>
          </w:p>
        </w:tc>
      </w:tr>
      <w:tr w:rsidR="002C4552" w:rsidRPr="00525CB9" w:rsidTr="00FF1087">
        <w:tc>
          <w:tcPr>
            <w:tcW w:w="1155" w:type="pct"/>
            <w:tcBorders>
              <w:top w:val="nil"/>
              <w:bottom w:val="single" w:sz="4" w:space="0" w:color="auto"/>
            </w:tcBorders>
            <w:vAlign w:val="center"/>
          </w:tcPr>
          <w:p w:rsidR="002C4552" w:rsidRPr="00525CB9" w:rsidRDefault="002C4552" w:rsidP="00052F15">
            <w:pPr>
              <w:pStyle w:val="Tabletext"/>
              <w:rPr>
                <w:lang w:eastAsia="en-AU"/>
              </w:rPr>
            </w:pPr>
            <w:r w:rsidRPr="00525CB9">
              <w:rPr>
                <w:lang w:eastAsia="en-AU"/>
              </w:rPr>
              <w:t>Revised number of patients</w:t>
            </w:r>
          </w:p>
        </w:tc>
        <w:tc>
          <w:tcPr>
            <w:tcW w:w="769" w:type="pct"/>
            <w:tcBorders>
              <w:top w:val="nil"/>
              <w:bottom w:val="single" w:sz="4" w:space="0" w:color="auto"/>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70" w:type="pct"/>
            <w:tcBorders>
              <w:top w:val="nil"/>
              <w:bottom w:val="single" w:sz="4" w:space="0" w:color="auto"/>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69" w:type="pct"/>
            <w:tcBorders>
              <w:top w:val="nil"/>
              <w:bottom w:val="single" w:sz="4" w:space="0" w:color="auto"/>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70" w:type="pct"/>
            <w:tcBorders>
              <w:top w:val="nil"/>
              <w:bottom w:val="single" w:sz="4" w:space="0" w:color="auto"/>
            </w:tcBorders>
            <w:noWrap/>
            <w:vAlign w:val="bottom"/>
          </w:tcPr>
          <w:p w:rsidR="002C4552" w:rsidRPr="008861FF" w:rsidRDefault="008861FF" w:rsidP="00052F15">
            <w:pPr>
              <w:pStyle w:val="Tabletext"/>
              <w:jc w:val="center"/>
              <w:rPr>
                <w:highlight w:val="black"/>
              </w:rPr>
            </w:pPr>
            <w:r>
              <w:rPr>
                <w:noProof/>
                <w:color w:val="000000"/>
                <w:highlight w:val="black"/>
              </w:rPr>
              <w:t>''''''</w:t>
            </w:r>
          </w:p>
        </w:tc>
        <w:tc>
          <w:tcPr>
            <w:tcW w:w="766" w:type="pct"/>
            <w:tcBorders>
              <w:top w:val="nil"/>
              <w:bottom w:val="single" w:sz="4" w:space="0" w:color="auto"/>
            </w:tcBorders>
            <w:vAlign w:val="bottom"/>
          </w:tcPr>
          <w:p w:rsidR="002C4552" w:rsidRPr="008861FF" w:rsidRDefault="008861FF" w:rsidP="00052F15">
            <w:pPr>
              <w:pStyle w:val="Tabletext"/>
              <w:jc w:val="center"/>
              <w:rPr>
                <w:highlight w:val="black"/>
              </w:rPr>
            </w:pPr>
            <w:r>
              <w:rPr>
                <w:noProof/>
                <w:color w:val="000000"/>
                <w:highlight w:val="black"/>
              </w:rPr>
              <w:t>''''''</w:t>
            </w:r>
          </w:p>
        </w:tc>
      </w:tr>
      <w:tr w:rsidR="002C4552" w:rsidRPr="00525CB9" w:rsidTr="00FF1087">
        <w:tc>
          <w:tcPr>
            <w:tcW w:w="1155" w:type="pct"/>
            <w:tcBorders>
              <w:top w:val="dotted" w:sz="4" w:space="0" w:color="auto"/>
              <w:bottom w:val="nil"/>
            </w:tcBorders>
            <w:vAlign w:val="center"/>
          </w:tcPr>
          <w:p w:rsidR="002C4552" w:rsidRPr="00525CB9" w:rsidRDefault="002C4552" w:rsidP="00052F15">
            <w:pPr>
              <w:pStyle w:val="Tabletext"/>
              <w:rPr>
                <w:b/>
                <w:vertAlign w:val="superscript"/>
                <w:lang w:eastAsia="en-AU"/>
              </w:rPr>
            </w:pPr>
            <w:r w:rsidRPr="00525CB9">
              <w:rPr>
                <w:b/>
                <w:lang w:eastAsia="en-AU"/>
              </w:rPr>
              <w:t>Total cost to PBS/</w:t>
            </w:r>
            <w:proofErr w:type="spellStart"/>
            <w:r w:rsidRPr="00525CB9">
              <w:rPr>
                <w:b/>
                <w:lang w:eastAsia="en-AU"/>
              </w:rPr>
              <w:t>RPBS</w:t>
            </w:r>
            <w:r w:rsidRPr="00525CB9">
              <w:rPr>
                <w:b/>
                <w:vertAlign w:val="superscript"/>
                <w:lang w:eastAsia="en-AU"/>
              </w:rPr>
              <w:t>a</w:t>
            </w:r>
            <w:proofErr w:type="spellEnd"/>
          </w:p>
        </w:tc>
        <w:tc>
          <w:tcPr>
            <w:tcW w:w="769" w:type="pct"/>
            <w:tcBorders>
              <w:top w:val="dotted" w:sz="4" w:space="0" w:color="auto"/>
              <w:bottom w:val="nil"/>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70" w:type="pct"/>
            <w:tcBorders>
              <w:top w:val="dotted" w:sz="4" w:space="0" w:color="auto"/>
              <w:bottom w:val="nil"/>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69" w:type="pct"/>
            <w:tcBorders>
              <w:top w:val="dotted" w:sz="4" w:space="0" w:color="auto"/>
              <w:bottom w:val="nil"/>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70" w:type="pct"/>
            <w:tcBorders>
              <w:top w:val="dotted" w:sz="4" w:space="0" w:color="auto"/>
              <w:bottom w:val="nil"/>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66" w:type="pct"/>
            <w:tcBorders>
              <w:top w:val="dotted" w:sz="4" w:space="0" w:color="auto"/>
              <w:bottom w:val="nil"/>
            </w:tcBorders>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r>
      <w:tr w:rsidR="002C4552" w:rsidRPr="00525CB9" w:rsidTr="00FF1087">
        <w:tc>
          <w:tcPr>
            <w:tcW w:w="1155" w:type="pct"/>
            <w:tcBorders>
              <w:top w:val="nil"/>
              <w:bottom w:val="single" w:sz="4" w:space="0" w:color="auto"/>
            </w:tcBorders>
            <w:vAlign w:val="center"/>
          </w:tcPr>
          <w:p w:rsidR="002C4552" w:rsidRPr="00525CB9" w:rsidRDefault="002C4552" w:rsidP="00052F15">
            <w:pPr>
              <w:pStyle w:val="Tabletext"/>
              <w:rPr>
                <w:b/>
                <w:lang w:eastAsia="en-AU"/>
              </w:rPr>
            </w:pPr>
            <w:r w:rsidRPr="00525CB9">
              <w:rPr>
                <w:b/>
                <w:lang w:eastAsia="en-AU"/>
              </w:rPr>
              <w:t>Updated incidence data</w:t>
            </w:r>
          </w:p>
        </w:tc>
        <w:tc>
          <w:tcPr>
            <w:tcW w:w="769" w:type="pct"/>
            <w:tcBorders>
              <w:top w:val="nil"/>
              <w:bottom w:val="single" w:sz="4" w:space="0" w:color="auto"/>
            </w:tcBorders>
            <w:noWrap/>
            <w:vAlign w:val="bottom"/>
          </w:tcPr>
          <w:p w:rsidR="002C4552" w:rsidRPr="00525CB9" w:rsidRDefault="002C4552" w:rsidP="00052F15">
            <w:pPr>
              <w:pStyle w:val="Tabletext"/>
              <w:jc w:val="right"/>
              <w:rPr>
                <w:b/>
              </w:rPr>
            </w:pPr>
            <w:r w:rsidRPr="00525CB9">
              <w:rPr>
                <w:b/>
                <w:bCs/>
                <w:color w:val="000000"/>
              </w:rPr>
              <w:t>$</w:t>
            </w:r>
            <w:r w:rsidR="008861FF">
              <w:rPr>
                <w:b/>
                <w:bCs/>
                <w:noProof/>
                <w:color w:val="000000"/>
                <w:highlight w:val="black"/>
              </w:rPr>
              <w:t>''''''''''''''''''''</w:t>
            </w:r>
          </w:p>
        </w:tc>
        <w:tc>
          <w:tcPr>
            <w:tcW w:w="770" w:type="pct"/>
            <w:tcBorders>
              <w:top w:val="nil"/>
              <w:bottom w:val="single" w:sz="4" w:space="0" w:color="auto"/>
            </w:tcBorders>
            <w:noWrap/>
            <w:vAlign w:val="bottom"/>
          </w:tcPr>
          <w:p w:rsidR="002C4552" w:rsidRPr="00525CB9" w:rsidRDefault="002C4552" w:rsidP="00052F15">
            <w:pPr>
              <w:pStyle w:val="Tabletext"/>
              <w:jc w:val="right"/>
              <w:rPr>
                <w:b/>
              </w:rPr>
            </w:pPr>
            <w:r w:rsidRPr="00525CB9">
              <w:rPr>
                <w:b/>
                <w:bCs/>
                <w:color w:val="000000"/>
              </w:rPr>
              <w:t>$</w:t>
            </w:r>
            <w:r w:rsidR="008861FF">
              <w:rPr>
                <w:b/>
                <w:bCs/>
                <w:noProof/>
                <w:color w:val="000000"/>
                <w:highlight w:val="black"/>
              </w:rPr>
              <w:t>''''''''''''''''''''</w:t>
            </w:r>
          </w:p>
        </w:tc>
        <w:tc>
          <w:tcPr>
            <w:tcW w:w="769" w:type="pct"/>
            <w:tcBorders>
              <w:top w:val="nil"/>
              <w:bottom w:val="single" w:sz="4" w:space="0" w:color="auto"/>
            </w:tcBorders>
            <w:noWrap/>
            <w:vAlign w:val="bottom"/>
          </w:tcPr>
          <w:p w:rsidR="002C4552" w:rsidRPr="00525CB9" w:rsidRDefault="002C4552" w:rsidP="00052F15">
            <w:pPr>
              <w:pStyle w:val="Tabletext"/>
              <w:jc w:val="right"/>
              <w:rPr>
                <w:b/>
              </w:rPr>
            </w:pPr>
            <w:r w:rsidRPr="00525CB9">
              <w:rPr>
                <w:b/>
                <w:bCs/>
                <w:color w:val="000000"/>
              </w:rPr>
              <w:t>$</w:t>
            </w:r>
            <w:r w:rsidR="008861FF">
              <w:rPr>
                <w:b/>
                <w:bCs/>
                <w:noProof/>
                <w:color w:val="000000"/>
                <w:highlight w:val="black"/>
              </w:rPr>
              <w:t>'''''''''''''''''''''</w:t>
            </w:r>
          </w:p>
        </w:tc>
        <w:tc>
          <w:tcPr>
            <w:tcW w:w="770" w:type="pct"/>
            <w:tcBorders>
              <w:top w:val="nil"/>
              <w:bottom w:val="single" w:sz="4" w:space="0" w:color="auto"/>
            </w:tcBorders>
            <w:noWrap/>
            <w:vAlign w:val="bottom"/>
          </w:tcPr>
          <w:p w:rsidR="002C4552" w:rsidRPr="00525CB9" w:rsidRDefault="002C4552" w:rsidP="00052F15">
            <w:pPr>
              <w:pStyle w:val="Tabletext"/>
              <w:jc w:val="right"/>
              <w:rPr>
                <w:b/>
              </w:rPr>
            </w:pPr>
            <w:r w:rsidRPr="00525CB9">
              <w:rPr>
                <w:b/>
                <w:bCs/>
                <w:color w:val="000000"/>
              </w:rPr>
              <w:t>$</w:t>
            </w:r>
            <w:r w:rsidR="008861FF">
              <w:rPr>
                <w:b/>
                <w:bCs/>
                <w:noProof/>
                <w:color w:val="000000"/>
                <w:highlight w:val="black"/>
              </w:rPr>
              <w:t>''''''''''''''''''</w:t>
            </w:r>
          </w:p>
        </w:tc>
        <w:tc>
          <w:tcPr>
            <w:tcW w:w="766" w:type="pct"/>
            <w:tcBorders>
              <w:top w:val="nil"/>
              <w:bottom w:val="single" w:sz="4" w:space="0" w:color="auto"/>
            </w:tcBorders>
            <w:vAlign w:val="bottom"/>
          </w:tcPr>
          <w:p w:rsidR="002C4552" w:rsidRPr="00525CB9" w:rsidRDefault="002C4552" w:rsidP="00052F15">
            <w:pPr>
              <w:pStyle w:val="Tabletext"/>
              <w:jc w:val="right"/>
              <w:rPr>
                <w:b/>
              </w:rPr>
            </w:pPr>
            <w:r w:rsidRPr="00525CB9">
              <w:rPr>
                <w:b/>
                <w:bCs/>
                <w:color w:val="000000"/>
              </w:rPr>
              <w:t>$</w:t>
            </w:r>
            <w:r w:rsidR="008861FF">
              <w:rPr>
                <w:b/>
                <w:bCs/>
                <w:noProof/>
                <w:color w:val="000000"/>
                <w:highlight w:val="black"/>
              </w:rPr>
              <w:t>''''''''''''''''''''</w:t>
            </w:r>
          </w:p>
        </w:tc>
      </w:tr>
      <w:tr w:rsidR="002C4552" w:rsidRPr="00525CB9" w:rsidTr="00FF1087">
        <w:tc>
          <w:tcPr>
            <w:tcW w:w="1155" w:type="pct"/>
            <w:tcBorders>
              <w:top w:val="dotted" w:sz="4" w:space="0" w:color="auto"/>
              <w:bottom w:val="nil"/>
            </w:tcBorders>
            <w:vAlign w:val="center"/>
          </w:tcPr>
          <w:p w:rsidR="002C4552" w:rsidRPr="00525CB9" w:rsidRDefault="002C4552" w:rsidP="00052F15">
            <w:pPr>
              <w:pStyle w:val="Tabletext"/>
              <w:rPr>
                <w:lang w:eastAsia="en-AU"/>
              </w:rPr>
            </w:pPr>
            <w:r w:rsidRPr="00525CB9">
              <w:rPr>
                <w:lang w:eastAsia="en-AU"/>
              </w:rPr>
              <w:t>Patient co-</w:t>
            </w:r>
            <w:proofErr w:type="spellStart"/>
            <w:r w:rsidRPr="00525CB9">
              <w:rPr>
                <w:lang w:eastAsia="en-AU"/>
              </w:rPr>
              <w:t>payments</w:t>
            </w:r>
            <w:r w:rsidRPr="00525CB9">
              <w:rPr>
                <w:vertAlign w:val="superscript"/>
                <w:lang w:eastAsia="en-AU"/>
              </w:rPr>
              <w:t>b</w:t>
            </w:r>
            <w:proofErr w:type="spellEnd"/>
          </w:p>
        </w:tc>
        <w:tc>
          <w:tcPr>
            <w:tcW w:w="769" w:type="pct"/>
            <w:tcBorders>
              <w:top w:val="dotted" w:sz="4" w:space="0" w:color="auto"/>
              <w:bottom w:val="nil"/>
            </w:tcBorders>
            <w:noWrap/>
            <w:vAlign w:val="bottom"/>
          </w:tcPr>
          <w:p w:rsidR="002C4552" w:rsidRPr="00525CB9" w:rsidRDefault="002C4552" w:rsidP="00052F15">
            <w:pPr>
              <w:pStyle w:val="Tabletext"/>
              <w:jc w:val="right"/>
            </w:pPr>
            <w:r w:rsidRPr="00525CB9">
              <w:t>$</w:t>
            </w:r>
            <w:r w:rsidR="008861FF">
              <w:rPr>
                <w:noProof/>
                <w:color w:val="000000"/>
                <w:highlight w:val="black"/>
              </w:rPr>
              <w:t>''''''''''''</w:t>
            </w:r>
          </w:p>
        </w:tc>
        <w:tc>
          <w:tcPr>
            <w:tcW w:w="770" w:type="pct"/>
            <w:tcBorders>
              <w:top w:val="dotted" w:sz="4" w:space="0" w:color="auto"/>
              <w:bottom w:val="nil"/>
            </w:tcBorders>
            <w:noWrap/>
            <w:vAlign w:val="bottom"/>
          </w:tcPr>
          <w:p w:rsidR="002C4552" w:rsidRPr="00525CB9" w:rsidRDefault="002C4552" w:rsidP="00052F15">
            <w:pPr>
              <w:pStyle w:val="Tabletext"/>
              <w:jc w:val="right"/>
            </w:pPr>
            <w:r w:rsidRPr="00525CB9">
              <w:t>$</w:t>
            </w:r>
            <w:r w:rsidR="008861FF">
              <w:rPr>
                <w:noProof/>
                <w:color w:val="000000"/>
                <w:highlight w:val="black"/>
              </w:rPr>
              <w:t>''''''''''''''</w:t>
            </w:r>
          </w:p>
        </w:tc>
        <w:tc>
          <w:tcPr>
            <w:tcW w:w="769" w:type="pct"/>
            <w:tcBorders>
              <w:top w:val="dotted" w:sz="4" w:space="0" w:color="auto"/>
              <w:bottom w:val="nil"/>
            </w:tcBorders>
            <w:noWrap/>
            <w:vAlign w:val="bottom"/>
          </w:tcPr>
          <w:p w:rsidR="002C4552" w:rsidRPr="00525CB9" w:rsidRDefault="002C4552" w:rsidP="00052F15">
            <w:pPr>
              <w:pStyle w:val="Tabletext"/>
              <w:jc w:val="right"/>
            </w:pPr>
            <w:r w:rsidRPr="00525CB9">
              <w:t>$</w:t>
            </w:r>
            <w:r w:rsidR="008861FF">
              <w:rPr>
                <w:noProof/>
                <w:color w:val="000000"/>
                <w:highlight w:val="black"/>
              </w:rPr>
              <w:t>'''''''''''''</w:t>
            </w:r>
          </w:p>
        </w:tc>
        <w:tc>
          <w:tcPr>
            <w:tcW w:w="770" w:type="pct"/>
            <w:tcBorders>
              <w:top w:val="dotted" w:sz="4" w:space="0" w:color="auto"/>
              <w:bottom w:val="nil"/>
            </w:tcBorders>
            <w:noWrap/>
            <w:vAlign w:val="bottom"/>
          </w:tcPr>
          <w:p w:rsidR="002C4552" w:rsidRPr="00525CB9" w:rsidRDefault="002C4552" w:rsidP="00052F15">
            <w:pPr>
              <w:pStyle w:val="Tabletext"/>
              <w:jc w:val="right"/>
            </w:pPr>
            <w:r w:rsidRPr="00525CB9">
              <w:t>$</w:t>
            </w:r>
            <w:r w:rsidR="008861FF">
              <w:rPr>
                <w:noProof/>
                <w:color w:val="000000"/>
                <w:highlight w:val="black"/>
              </w:rPr>
              <w:t>''''''''''''''</w:t>
            </w:r>
          </w:p>
        </w:tc>
        <w:tc>
          <w:tcPr>
            <w:tcW w:w="766" w:type="pct"/>
            <w:tcBorders>
              <w:top w:val="dotted" w:sz="4" w:space="0" w:color="auto"/>
              <w:bottom w:val="nil"/>
            </w:tcBorders>
            <w:vAlign w:val="bottom"/>
          </w:tcPr>
          <w:p w:rsidR="002C4552" w:rsidRPr="00525CB9" w:rsidRDefault="002C4552" w:rsidP="00052F15">
            <w:pPr>
              <w:pStyle w:val="Tabletext"/>
              <w:jc w:val="right"/>
            </w:pPr>
            <w:r w:rsidRPr="00525CB9">
              <w:t>$</w:t>
            </w:r>
            <w:r w:rsidR="008861FF">
              <w:rPr>
                <w:noProof/>
                <w:color w:val="000000"/>
                <w:highlight w:val="black"/>
              </w:rPr>
              <w:t>''''''''''''</w:t>
            </w:r>
          </w:p>
        </w:tc>
      </w:tr>
      <w:tr w:rsidR="002C4552" w:rsidRPr="00525CB9" w:rsidTr="00FF1087">
        <w:tc>
          <w:tcPr>
            <w:tcW w:w="1155" w:type="pct"/>
            <w:tcBorders>
              <w:top w:val="nil"/>
              <w:bottom w:val="single" w:sz="4" w:space="0" w:color="auto"/>
            </w:tcBorders>
            <w:vAlign w:val="center"/>
          </w:tcPr>
          <w:p w:rsidR="002C4552" w:rsidRPr="00525CB9" w:rsidRDefault="002C4552" w:rsidP="00052F15">
            <w:pPr>
              <w:pStyle w:val="Tabletext"/>
              <w:rPr>
                <w:lang w:eastAsia="en-AU"/>
              </w:rPr>
            </w:pPr>
          </w:p>
        </w:tc>
        <w:tc>
          <w:tcPr>
            <w:tcW w:w="769" w:type="pct"/>
            <w:tcBorders>
              <w:top w:val="nil"/>
              <w:bottom w:val="single" w:sz="4" w:space="0" w:color="auto"/>
            </w:tcBorders>
            <w:noWrap/>
            <w:vAlign w:val="bottom"/>
          </w:tcPr>
          <w:p w:rsidR="002C4552" w:rsidRPr="00525CB9" w:rsidRDefault="002C4552" w:rsidP="00052F15">
            <w:pPr>
              <w:pStyle w:val="Tabletext"/>
              <w:jc w:val="right"/>
            </w:pPr>
            <w:r w:rsidRPr="00525CB9">
              <w:rPr>
                <w:bCs/>
                <w:iCs/>
                <w:color w:val="000000"/>
              </w:rPr>
              <w:t>$</w:t>
            </w:r>
            <w:r w:rsidR="008861FF">
              <w:rPr>
                <w:bCs/>
                <w:iCs/>
                <w:noProof/>
                <w:color w:val="000000"/>
                <w:highlight w:val="black"/>
              </w:rPr>
              <w:t>''''''''''''''</w:t>
            </w:r>
          </w:p>
        </w:tc>
        <w:tc>
          <w:tcPr>
            <w:tcW w:w="770" w:type="pct"/>
            <w:tcBorders>
              <w:top w:val="nil"/>
              <w:bottom w:val="single" w:sz="4" w:space="0" w:color="auto"/>
            </w:tcBorders>
            <w:noWrap/>
            <w:vAlign w:val="bottom"/>
          </w:tcPr>
          <w:p w:rsidR="002C4552" w:rsidRPr="00525CB9" w:rsidRDefault="002C4552" w:rsidP="00052F15">
            <w:pPr>
              <w:pStyle w:val="Tabletext"/>
              <w:jc w:val="right"/>
            </w:pPr>
            <w:r w:rsidRPr="00525CB9">
              <w:rPr>
                <w:bCs/>
                <w:iCs/>
                <w:color w:val="000000"/>
              </w:rPr>
              <w:t>$</w:t>
            </w:r>
            <w:r w:rsidR="008861FF">
              <w:rPr>
                <w:bCs/>
                <w:iCs/>
                <w:noProof/>
                <w:color w:val="000000"/>
                <w:highlight w:val="black"/>
              </w:rPr>
              <w:t>''''''''''''''</w:t>
            </w:r>
          </w:p>
        </w:tc>
        <w:tc>
          <w:tcPr>
            <w:tcW w:w="769" w:type="pct"/>
            <w:tcBorders>
              <w:top w:val="nil"/>
              <w:bottom w:val="single" w:sz="4" w:space="0" w:color="auto"/>
            </w:tcBorders>
            <w:noWrap/>
            <w:vAlign w:val="bottom"/>
          </w:tcPr>
          <w:p w:rsidR="002C4552" w:rsidRPr="00525CB9" w:rsidRDefault="002C4552" w:rsidP="00052F15">
            <w:pPr>
              <w:pStyle w:val="Tabletext"/>
              <w:jc w:val="right"/>
            </w:pPr>
            <w:r w:rsidRPr="00525CB9">
              <w:rPr>
                <w:bCs/>
                <w:iCs/>
                <w:color w:val="000000"/>
              </w:rPr>
              <w:t>$</w:t>
            </w:r>
            <w:r w:rsidR="008861FF">
              <w:rPr>
                <w:bCs/>
                <w:iCs/>
                <w:noProof/>
                <w:color w:val="000000"/>
                <w:highlight w:val="black"/>
              </w:rPr>
              <w:t>''''''''''''''</w:t>
            </w:r>
          </w:p>
        </w:tc>
        <w:tc>
          <w:tcPr>
            <w:tcW w:w="770" w:type="pct"/>
            <w:tcBorders>
              <w:top w:val="nil"/>
              <w:bottom w:val="single" w:sz="4" w:space="0" w:color="auto"/>
            </w:tcBorders>
            <w:noWrap/>
            <w:vAlign w:val="bottom"/>
          </w:tcPr>
          <w:p w:rsidR="002C4552" w:rsidRPr="00525CB9" w:rsidRDefault="002C4552" w:rsidP="00052F15">
            <w:pPr>
              <w:pStyle w:val="Tabletext"/>
              <w:jc w:val="right"/>
            </w:pPr>
            <w:r w:rsidRPr="00525CB9">
              <w:rPr>
                <w:bCs/>
                <w:iCs/>
                <w:color w:val="000000"/>
              </w:rPr>
              <w:t>$</w:t>
            </w:r>
            <w:r w:rsidR="008861FF">
              <w:rPr>
                <w:bCs/>
                <w:iCs/>
                <w:noProof/>
                <w:color w:val="000000"/>
                <w:highlight w:val="black"/>
              </w:rPr>
              <w:t>''''''''''''</w:t>
            </w:r>
          </w:p>
        </w:tc>
        <w:tc>
          <w:tcPr>
            <w:tcW w:w="766" w:type="pct"/>
            <w:tcBorders>
              <w:top w:val="nil"/>
              <w:bottom w:val="single" w:sz="4" w:space="0" w:color="auto"/>
            </w:tcBorders>
            <w:vAlign w:val="bottom"/>
          </w:tcPr>
          <w:p w:rsidR="002C4552" w:rsidRPr="00525CB9" w:rsidRDefault="002C4552" w:rsidP="00052F15">
            <w:pPr>
              <w:pStyle w:val="Tabletext"/>
              <w:jc w:val="right"/>
            </w:pPr>
            <w:r w:rsidRPr="00525CB9">
              <w:rPr>
                <w:bCs/>
                <w:iCs/>
                <w:color w:val="000000"/>
              </w:rPr>
              <w:t>$</w:t>
            </w:r>
            <w:r w:rsidR="008861FF">
              <w:rPr>
                <w:bCs/>
                <w:iCs/>
                <w:noProof/>
                <w:color w:val="000000"/>
                <w:highlight w:val="black"/>
              </w:rPr>
              <w:t>'''''''''''''</w:t>
            </w:r>
          </w:p>
        </w:tc>
      </w:tr>
      <w:tr w:rsidR="002C4552" w:rsidRPr="00525CB9" w:rsidTr="00FF1087">
        <w:tc>
          <w:tcPr>
            <w:tcW w:w="1155" w:type="pct"/>
            <w:tcBorders>
              <w:top w:val="dotted" w:sz="4" w:space="0" w:color="auto"/>
              <w:bottom w:val="dotted" w:sz="4" w:space="0" w:color="auto"/>
            </w:tcBorders>
            <w:vAlign w:val="center"/>
          </w:tcPr>
          <w:p w:rsidR="002C4552" w:rsidRPr="00525CB9" w:rsidRDefault="002C4552" w:rsidP="00052F15">
            <w:pPr>
              <w:pStyle w:val="Tabletext"/>
              <w:rPr>
                <w:b/>
                <w:lang w:eastAsia="en-AU"/>
              </w:rPr>
            </w:pPr>
            <w:r w:rsidRPr="00525CB9">
              <w:rPr>
                <w:b/>
                <w:lang w:eastAsia="en-AU"/>
              </w:rPr>
              <w:t>Net cost to PBS/RPBS</w:t>
            </w:r>
          </w:p>
        </w:tc>
        <w:tc>
          <w:tcPr>
            <w:tcW w:w="769" w:type="pct"/>
            <w:tcBorders>
              <w:top w:val="dotted" w:sz="4" w:space="0" w:color="auto"/>
              <w:bottom w:val="dotted" w:sz="4" w:space="0" w:color="auto"/>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70" w:type="pct"/>
            <w:tcBorders>
              <w:top w:val="dotted" w:sz="4" w:space="0" w:color="auto"/>
              <w:bottom w:val="dotted" w:sz="4" w:space="0" w:color="auto"/>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69" w:type="pct"/>
            <w:tcBorders>
              <w:top w:val="dotted" w:sz="4" w:space="0" w:color="auto"/>
              <w:bottom w:val="dotted" w:sz="4" w:space="0" w:color="auto"/>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70" w:type="pct"/>
            <w:tcBorders>
              <w:top w:val="dotted" w:sz="4" w:space="0" w:color="auto"/>
              <w:bottom w:val="dotted" w:sz="4" w:space="0" w:color="auto"/>
            </w:tcBorders>
            <w:noWrap/>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c>
          <w:tcPr>
            <w:tcW w:w="766" w:type="pct"/>
            <w:tcBorders>
              <w:top w:val="dotted" w:sz="4" w:space="0" w:color="auto"/>
              <w:bottom w:val="dotted" w:sz="4" w:space="0" w:color="auto"/>
            </w:tcBorders>
            <w:vAlign w:val="bottom"/>
          </w:tcPr>
          <w:p w:rsidR="002C4552" w:rsidRPr="00525CB9" w:rsidRDefault="002C4552" w:rsidP="00052F15">
            <w:pPr>
              <w:pStyle w:val="Tabletext"/>
              <w:jc w:val="right"/>
              <w:rPr>
                <w:b/>
              </w:rPr>
            </w:pPr>
            <w:r w:rsidRPr="00525CB9">
              <w:rPr>
                <w:b/>
              </w:rPr>
              <w:t>$</w:t>
            </w:r>
            <w:r w:rsidR="008861FF">
              <w:rPr>
                <w:b/>
                <w:noProof/>
                <w:color w:val="000000"/>
                <w:highlight w:val="black"/>
              </w:rPr>
              <w:t>''''''''''''''''''</w:t>
            </w:r>
          </w:p>
        </w:tc>
      </w:tr>
      <w:tr w:rsidR="002C4552" w:rsidRPr="00525CB9" w:rsidTr="00FF1087">
        <w:tc>
          <w:tcPr>
            <w:tcW w:w="1155" w:type="pct"/>
            <w:tcBorders>
              <w:top w:val="dotted" w:sz="4" w:space="0" w:color="auto"/>
              <w:bottom w:val="single" w:sz="4" w:space="0" w:color="auto"/>
            </w:tcBorders>
            <w:vAlign w:val="center"/>
          </w:tcPr>
          <w:p w:rsidR="002C4552" w:rsidRPr="00525CB9" w:rsidRDefault="002C4552" w:rsidP="00052F15">
            <w:pPr>
              <w:pStyle w:val="Tabletext"/>
              <w:rPr>
                <w:b/>
                <w:lang w:eastAsia="en-AU"/>
              </w:rPr>
            </w:pPr>
            <w:r w:rsidRPr="00525CB9">
              <w:rPr>
                <w:b/>
                <w:lang w:eastAsia="en-AU"/>
              </w:rPr>
              <w:t>Updated incidence data</w:t>
            </w:r>
          </w:p>
        </w:tc>
        <w:tc>
          <w:tcPr>
            <w:tcW w:w="769" w:type="pct"/>
            <w:tcBorders>
              <w:top w:val="dotted" w:sz="4" w:space="0" w:color="auto"/>
              <w:bottom w:val="single" w:sz="4" w:space="0" w:color="auto"/>
            </w:tcBorders>
            <w:noWrap/>
            <w:vAlign w:val="bottom"/>
          </w:tcPr>
          <w:p w:rsidR="002C4552" w:rsidRPr="00525CB9" w:rsidRDefault="002C4552" w:rsidP="00052F15">
            <w:pPr>
              <w:pStyle w:val="Tabletext"/>
              <w:jc w:val="right"/>
              <w:rPr>
                <w:b/>
                <w:bCs/>
                <w:color w:val="000000"/>
              </w:rPr>
            </w:pPr>
            <w:r w:rsidRPr="00525CB9">
              <w:rPr>
                <w:b/>
                <w:bCs/>
                <w:color w:val="000000"/>
              </w:rPr>
              <w:t>$</w:t>
            </w:r>
            <w:r w:rsidR="008861FF">
              <w:rPr>
                <w:b/>
                <w:bCs/>
                <w:noProof/>
                <w:color w:val="000000"/>
                <w:highlight w:val="black"/>
              </w:rPr>
              <w:t>''''''''''''''''''''</w:t>
            </w:r>
          </w:p>
        </w:tc>
        <w:tc>
          <w:tcPr>
            <w:tcW w:w="770" w:type="pct"/>
            <w:tcBorders>
              <w:top w:val="dotted" w:sz="4" w:space="0" w:color="auto"/>
              <w:bottom w:val="single" w:sz="4" w:space="0" w:color="auto"/>
            </w:tcBorders>
            <w:noWrap/>
            <w:vAlign w:val="bottom"/>
          </w:tcPr>
          <w:p w:rsidR="002C4552" w:rsidRPr="00525CB9" w:rsidRDefault="002C4552" w:rsidP="00052F15">
            <w:pPr>
              <w:pStyle w:val="Tabletext"/>
              <w:jc w:val="right"/>
              <w:rPr>
                <w:b/>
                <w:bCs/>
                <w:color w:val="000000"/>
              </w:rPr>
            </w:pPr>
            <w:r w:rsidRPr="00525CB9">
              <w:rPr>
                <w:b/>
                <w:bCs/>
                <w:color w:val="000000"/>
              </w:rPr>
              <w:t>$</w:t>
            </w:r>
            <w:r w:rsidR="008861FF">
              <w:rPr>
                <w:b/>
                <w:bCs/>
                <w:noProof/>
                <w:color w:val="000000"/>
                <w:highlight w:val="black"/>
              </w:rPr>
              <w:t>''''''''''''''''''''</w:t>
            </w:r>
          </w:p>
        </w:tc>
        <w:tc>
          <w:tcPr>
            <w:tcW w:w="769" w:type="pct"/>
            <w:tcBorders>
              <w:top w:val="dotted" w:sz="4" w:space="0" w:color="auto"/>
              <w:bottom w:val="single" w:sz="4" w:space="0" w:color="auto"/>
            </w:tcBorders>
            <w:noWrap/>
            <w:vAlign w:val="bottom"/>
          </w:tcPr>
          <w:p w:rsidR="002C4552" w:rsidRPr="00525CB9" w:rsidRDefault="002C4552" w:rsidP="00052F15">
            <w:pPr>
              <w:pStyle w:val="Tabletext"/>
              <w:jc w:val="right"/>
              <w:rPr>
                <w:b/>
                <w:bCs/>
                <w:color w:val="000000"/>
              </w:rPr>
            </w:pPr>
            <w:r w:rsidRPr="00525CB9">
              <w:rPr>
                <w:b/>
                <w:bCs/>
                <w:color w:val="000000"/>
              </w:rPr>
              <w:t>$</w:t>
            </w:r>
            <w:r w:rsidR="008861FF">
              <w:rPr>
                <w:b/>
                <w:bCs/>
                <w:noProof/>
                <w:color w:val="000000"/>
                <w:highlight w:val="black"/>
              </w:rPr>
              <w:t>''''''''''''''''''''</w:t>
            </w:r>
          </w:p>
        </w:tc>
        <w:tc>
          <w:tcPr>
            <w:tcW w:w="770" w:type="pct"/>
            <w:tcBorders>
              <w:top w:val="dotted" w:sz="4" w:space="0" w:color="auto"/>
              <w:bottom w:val="single" w:sz="4" w:space="0" w:color="auto"/>
            </w:tcBorders>
            <w:noWrap/>
            <w:vAlign w:val="bottom"/>
          </w:tcPr>
          <w:p w:rsidR="002C4552" w:rsidRPr="00525CB9" w:rsidRDefault="002C4552" w:rsidP="00052F15">
            <w:pPr>
              <w:pStyle w:val="Tabletext"/>
              <w:jc w:val="right"/>
              <w:rPr>
                <w:b/>
                <w:bCs/>
                <w:color w:val="000000"/>
              </w:rPr>
            </w:pPr>
            <w:r w:rsidRPr="00525CB9">
              <w:rPr>
                <w:b/>
                <w:bCs/>
                <w:color w:val="000000"/>
              </w:rPr>
              <w:t>$</w:t>
            </w:r>
            <w:r w:rsidR="008861FF">
              <w:rPr>
                <w:b/>
                <w:bCs/>
                <w:noProof/>
                <w:color w:val="000000"/>
                <w:highlight w:val="black"/>
              </w:rPr>
              <w:t>''''''''''''''''''</w:t>
            </w:r>
          </w:p>
        </w:tc>
        <w:tc>
          <w:tcPr>
            <w:tcW w:w="766" w:type="pct"/>
            <w:tcBorders>
              <w:top w:val="dotted" w:sz="4" w:space="0" w:color="auto"/>
              <w:bottom w:val="single" w:sz="4" w:space="0" w:color="auto"/>
            </w:tcBorders>
            <w:vAlign w:val="bottom"/>
          </w:tcPr>
          <w:p w:rsidR="002C4552" w:rsidRPr="00525CB9" w:rsidRDefault="002C4552" w:rsidP="00052F15">
            <w:pPr>
              <w:pStyle w:val="Tabletext"/>
              <w:jc w:val="right"/>
              <w:rPr>
                <w:b/>
                <w:bCs/>
                <w:color w:val="000000"/>
              </w:rPr>
            </w:pPr>
            <w:r w:rsidRPr="00525CB9">
              <w:rPr>
                <w:b/>
                <w:bCs/>
                <w:color w:val="000000"/>
              </w:rPr>
              <w:t>$</w:t>
            </w:r>
            <w:r w:rsidR="008861FF">
              <w:rPr>
                <w:b/>
                <w:bCs/>
                <w:noProof/>
                <w:color w:val="000000"/>
                <w:highlight w:val="black"/>
              </w:rPr>
              <w:t>'''''''''''''''''''</w:t>
            </w:r>
          </w:p>
        </w:tc>
      </w:tr>
    </w:tbl>
    <w:p w:rsidR="002C4552" w:rsidRPr="00875E94" w:rsidRDefault="002C4552" w:rsidP="00FF1087">
      <w:pPr>
        <w:pStyle w:val="TableFooter"/>
        <w:ind w:left="709"/>
      </w:pPr>
      <w:r>
        <w:t xml:space="preserve">APL = acute </w:t>
      </w:r>
      <w:proofErr w:type="spellStart"/>
      <w:r>
        <w:t>promyelocytic</w:t>
      </w:r>
      <w:proofErr w:type="spellEnd"/>
      <w:r>
        <w:t xml:space="preserve"> leukaemia; ATO = arsenic trioxide</w:t>
      </w:r>
    </w:p>
    <w:p w:rsidR="002C4552" w:rsidRDefault="002C4552" w:rsidP="00FF1087">
      <w:pPr>
        <w:pStyle w:val="TableFooter"/>
        <w:ind w:left="709"/>
      </w:pPr>
      <w:proofErr w:type="spellStart"/>
      <w:proofErr w:type="gramStart"/>
      <w:r>
        <w:rPr>
          <w:vertAlign w:val="superscript"/>
        </w:rPr>
        <w:t>a</w:t>
      </w:r>
      <w:proofErr w:type="spellEnd"/>
      <w:proofErr w:type="gramEnd"/>
      <w:r>
        <w:t xml:space="preserve"> Average dispensed price per prescription $</w:t>
      </w:r>
      <w:r w:rsidR="008861FF">
        <w:rPr>
          <w:noProof/>
          <w:color w:val="000000"/>
          <w:highlight w:val="black"/>
        </w:rPr>
        <w:t>'''''''''''''''</w:t>
      </w:r>
    </w:p>
    <w:p w:rsidR="002C4552" w:rsidRDefault="002C4552" w:rsidP="00FF1087">
      <w:pPr>
        <w:pStyle w:val="TableFooter"/>
        <w:ind w:left="709"/>
      </w:pPr>
      <w:proofErr w:type="gramStart"/>
      <w:r>
        <w:rPr>
          <w:vertAlign w:val="superscript"/>
        </w:rPr>
        <w:t>b</w:t>
      </w:r>
      <w:proofErr w:type="gramEnd"/>
      <w:r>
        <w:t xml:space="preserve"> Consistent with the Efficient Funding of Chemotherapy Drugs, patients pay only one PBS co-payment for each original prescription dispensed but not for repeat prescriptions.</w:t>
      </w:r>
    </w:p>
    <w:p w:rsidR="002C4552" w:rsidRPr="00940D89" w:rsidRDefault="002C4552" w:rsidP="00332DDB">
      <w:pPr>
        <w:pStyle w:val="TableFooter"/>
        <w:ind w:left="709"/>
      </w:pPr>
    </w:p>
    <w:p w:rsidR="00124EAF" w:rsidRDefault="00124EAF" w:rsidP="00124EAF">
      <w:pPr>
        <w:pStyle w:val="ListParagraph"/>
        <w:widowControl/>
        <w:rPr>
          <w:i/>
          <w:szCs w:val="22"/>
        </w:rPr>
      </w:pPr>
      <w:r>
        <w:rPr>
          <w:i/>
          <w:szCs w:val="22"/>
        </w:rPr>
        <w:t>The redacted table above shows that the number of patients treated with arsenic trioxide is estimated to be less than 10,000 per year at a net cost to the PBS of less than $10 million per year.</w:t>
      </w:r>
    </w:p>
    <w:p w:rsidR="00124EAF" w:rsidRPr="00124EAF" w:rsidRDefault="00124EAF" w:rsidP="00124EAF">
      <w:pPr>
        <w:pStyle w:val="ListParagraph"/>
        <w:widowControl/>
        <w:rPr>
          <w:i/>
          <w:szCs w:val="22"/>
        </w:rPr>
      </w:pPr>
    </w:p>
    <w:p w:rsidR="00525CB9" w:rsidRPr="00790CD9" w:rsidRDefault="00525CB9" w:rsidP="00525CB9">
      <w:pPr>
        <w:pStyle w:val="ListParagraph"/>
        <w:widowControl/>
        <w:numPr>
          <w:ilvl w:val="1"/>
          <w:numId w:val="3"/>
        </w:numPr>
        <w:rPr>
          <w:szCs w:val="22"/>
        </w:rPr>
      </w:pPr>
      <w:r w:rsidRPr="00790CD9">
        <w:t>The main sources of uncertainty in the estimated net cost to the PBS were</w:t>
      </w:r>
      <w:r w:rsidRPr="00790CD9">
        <w:rPr>
          <w:color w:val="3366FF"/>
        </w:rPr>
        <w:t>:</w:t>
      </w:r>
    </w:p>
    <w:p w:rsidR="00525CB9" w:rsidRPr="00790CD9" w:rsidRDefault="00525CB9" w:rsidP="00525CB9">
      <w:pPr>
        <w:pStyle w:val="ListParagraph"/>
        <w:widowControl/>
        <w:numPr>
          <w:ilvl w:val="0"/>
          <w:numId w:val="10"/>
        </w:numPr>
        <w:ind w:left="1276"/>
      </w:pPr>
      <w:r w:rsidRPr="00790CD9">
        <w:t xml:space="preserve">The assumption that all patients newly diagnosed with APL would be treated with an ATO-containing regimen, and that the </w:t>
      </w:r>
      <w:proofErr w:type="spellStart"/>
      <w:r w:rsidRPr="00790CD9">
        <w:t>ATO+ATRA±chemotherapy</w:t>
      </w:r>
      <w:proofErr w:type="spellEnd"/>
      <w:r w:rsidRPr="00790CD9">
        <w:t xml:space="preserve"> regimens used would be those proposed in the submission;</w:t>
      </w:r>
    </w:p>
    <w:p w:rsidR="00525CB9" w:rsidRPr="00790CD9" w:rsidRDefault="00525CB9" w:rsidP="00525CB9">
      <w:pPr>
        <w:pStyle w:val="ListParagraph"/>
        <w:widowControl/>
        <w:numPr>
          <w:ilvl w:val="0"/>
          <w:numId w:val="10"/>
        </w:numPr>
        <w:ind w:left="1276"/>
      </w:pPr>
      <w:r w:rsidRPr="00790CD9">
        <w:t>The submission did not allow for wastage, which would underestimate the cost of ATO to the PBS.</w:t>
      </w:r>
    </w:p>
    <w:p w:rsidR="00525CB9" w:rsidRPr="00525CB9" w:rsidRDefault="00525CB9" w:rsidP="00525CB9">
      <w:pPr>
        <w:widowControl/>
        <w:rPr>
          <w:szCs w:val="22"/>
        </w:rPr>
      </w:pPr>
    </w:p>
    <w:p w:rsidR="00525CB9" w:rsidRDefault="00525CB9" w:rsidP="00525CB9">
      <w:pPr>
        <w:numPr>
          <w:ilvl w:val="1"/>
          <w:numId w:val="3"/>
        </w:numPr>
        <w:contextualSpacing/>
        <w:rPr>
          <w:bCs/>
          <w:szCs w:val="22"/>
          <w:lang w:val="en-GB"/>
        </w:rPr>
      </w:pPr>
      <w:r>
        <w:rPr>
          <w:bCs/>
          <w:szCs w:val="22"/>
          <w:lang w:val="en-GB"/>
        </w:rPr>
        <w:t xml:space="preserve">The PBAC noted the acknowledgement in the pre-PBAC response that the economic analysis presented in the submission did not appropriately allow for wastage and agreed with the pre-PBAC response that the sensitivity analysis presented in the ESC advice, whereby all patients received two vials of ATO per administration, would overestimate the actual wastage. </w:t>
      </w:r>
    </w:p>
    <w:p w:rsidR="00525CB9" w:rsidRPr="00525CB9" w:rsidRDefault="00525CB9" w:rsidP="00525CB9">
      <w:pPr>
        <w:pStyle w:val="ListParagraph"/>
        <w:widowControl/>
        <w:rPr>
          <w:szCs w:val="22"/>
        </w:rPr>
      </w:pPr>
    </w:p>
    <w:p w:rsidR="00576972" w:rsidRPr="00FF1087" w:rsidRDefault="00576972" w:rsidP="002C2775">
      <w:pPr>
        <w:pStyle w:val="Heading2"/>
      </w:pPr>
      <w:bookmarkStart w:id="16" w:name="_Toc427598098"/>
      <w:r w:rsidRPr="00FF1087">
        <w:t>Quality Use of Medicines</w:t>
      </w:r>
      <w:bookmarkEnd w:id="16"/>
    </w:p>
    <w:p w:rsidR="00576972" w:rsidRPr="00576972" w:rsidRDefault="00576972" w:rsidP="00576972">
      <w:pPr>
        <w:widowControl/>
        <w:rPr>
          <w:szCs w:val="22"/>
        </w:rPr>
      </w:pPr>
    </w:p>
    <w:p w:rsidR="00576972" w:rsidRPr="00790CD9" w:rsidRDefault="00D72E64" w:rsidP="002969CC">
      <w:pPr>
        <w:pStyle w:val="ListParagraph"/>
        <w:widowControl/>
        <w:numPr>
          <w:ilvl w:val="1"/>
          <w:numId w:val="3"/>
        </w:numPr>
        <w:rPr>
          <w:szCs w:val="22"/>
        </w:rPr>
      </w:pPr>
      <w:r w:rsidRPr="00790CD9">
        <w:t xml:space="preserve">The submission stated that as </w:t>
      </w:r>
      <w:proofErr w:type="spellStart"/>
      <w:r w:rsidRPr="00790CD9">
        <w:t>Phenasen</w:t>
      </w:r>
      <w:proofErr w:type="spellEnd"/>
      <w:r w:rsidRPr="00790CD9">
        <w:rPr>
          <w:vertAlign w:val="superscript"/>
        </w:rPr>
        <w:t>®</w:t>
      </w:r>
      <w:r w:rsidRPr="00790CD9">
        <w:t xml:space="preserve"> was registered with the TGA, the manufacturer of ATO raw material was required to have demonstrated compliance </w:t>
      </w:r>
      <w:r w:rsidRPr="00790CD9">
        <w:lastRenderedPageBreak/>
        <w:t>with Good Manufacturing Practice (GMP), and the final parenteral product must comply with the Guide to GMP for Medicinal Products. In contrast, when products were compounded in hospital pharmacies (as has occurred in some instances in Australia), neither the supplier of the active ingredient nor the manufacturer of the final product needed to be licensed and audited.</w:t>
      </w:r>
    </w:p>
    <w:p w:rsidR="005169F5" w:rsidRDefault="005169F5" w:rsidP="008A68FD">
      <w:pPr>
        <w:pStyle w:val="ListParagraph"/>
        <w:ind w:left="709"/>
        <w:rPr>
          <w:i/>
          <w:szCs w:val="22"/>
        </w:rPr>
      </w:pPr>
    </w:p>
    <w:p w:rsidR="00FB14B1" w:rsidRDefault="00FB14B1" w:rsidP="008A68FD">
      <w:pPr>
        <w:pStyle w:val="ListParagraph"/>
        <w:ind w:left="709"/>
        <w:rPr>
          <w:i/>
          <w:szCs w:val="22"/>
        </w:rPr>
      </w:pPr>
      <w:r w:rsidRPr="008A68FD">
        <w:rPr>
          <w:i/>
          <w:szCs w:val="22"/>
        </w:rPr>
        <w:t>For more detail on PBAC’s view, see section 7 “PBAC outcome”</w:t>
      </w:r>
    </w:p>
    <w:p w:rsidR="00FB14B1" w:rsidRPr="00B66174" w:rsidRDefault="00FB14B1" w:rsidP="00B66174"/>
    <w:p w:rsidR="00FB14B1" w:rsidRPr="00B66174" w:rsidRDefault="00FB14B1" w:rsidP="00B66174"/>
    <w:p w:rsidR="00FB14B1" w:rsidRPr="008A68FD" w:rsidRDefault="00FB14B1" w:rsidP="00B66174">
      <w:pPr>
        <w:pStyle w:val="PBACHeading1"/>
      </w:pPr>
      <w:r w:rsidRPr="008A68FD">
        <w:t>PBAC Outcome</w:t>
      </w:r>
    </w:p>
    <w:p w:rsidR="00FB14B1" w:rsidRPr="008A68FD" w:rsidRDefault="00FB14B1" w:rsidP="008A68FD">
      <w:pPr>
        <w:contextualSpacing/>
        <w:rPr>
          <w:bCs/>
          <w:szCs w:val="22"/>
          <w:lang w:val="en-GB"/>
        </w:rPr>
      </w:pPr>
    </w:p>
    <w:p w:rsidR="00FB14B1" w:rsidRPr="00961DBA" w:rsidRDefault="008A68FD" w:rsidP="008A68FD">
      <w:pPr>
        <w:numPr>
          <w:ilvl w:val="1"/>
          <w:numId w:val="3"/>
        </w:numPr>
        <w:contextualSpacing/>
        <w:rPr>
          <w:bCs/>
          <w:szCs w:val="22"/>
          <w:lang w:val="en-GB"/>
        </w:rPr>
      </w:pPr>
      <w:r w:rsidRPr="008A68FD">
        <w:rPr>
          <w:bCs/>
          <w:szCs w:val="22"/>
          <w:lang w:val="en-GB"/>
        </w:rPr>
        <w:t xml:space="preserve">The PBAC recommended the </w:t>
      </w:r>
      <w:r w:rsidR="00245AB4">
        <w:rPr>
          <w:bCs/>
          <w:szCs w:val="22"/>
          <w:lang w:val="en-GB"/>
        </w:rPr>
        <w:t xml:space="preserve">extension of the current </w:t>
      </w:r>
      <w:r w:rsidRPr="008A68FD">
        <w:rPr>
          <w:bCs/>
          <w:szCs w:val="22"/>
          <w:lang w:val="en-GB"/>
        </w:rPr>
        <w:t xml:space="preserve">listing of arsenic trioxide </w:t>
      </w:r>
      <w:r w:rsidR="00245AB4">
        <w:rPr>
          <w:bCs/>
          <w:szCs w:val="22"/>
          <w:lang w:val="en-GB"/>
        </w:rPr>
        <w:t>to include</w:t>
      </w:r>
      <w:r w:rsidRPr="008A68FD">
        <w:rPr>
          <w:bCs/>
          <w:szCs w:val="22"/>
          <w:lang w:val="en-GB"/>
        </w:rPr>
        <w:t xml:space="preserve"> </w:t>
      </w:r>
      <w:r w:rsidRPr="008A68FD">
        <w:rPr>
          <w:szCs w:val="22"/>
        </w:rPr>
        <w:t xml:space="preserve">the </w:t>
      </w:r>
      <w:r w:rsidR="00961DBA">
        <w:rPr>
          <w:szCs w:val="22"/>
        </w:rPr>
        <w:t xml:space="preserve">first line </w:t>
      </w:r>
      <w:r w:rsidRPr="008A68FD">
        <w:rPr>
          <w:szCs w:val="22"/>
        </w:rPr>
        <w:t xml:space="preserve">treatment of patients with </w:t>
      </w:r>
      <w:r w:rsidRPr="008A68FD">
        <w:t xml:space="preserve">acute </w:t>
      </w:r>
      <w:proofErr w:type="spellStart"/>
      <w:r w:rsidRPr="008A68FD">
        <w:t>promyelocytic</w:t>
      </w:r>
      <w:proofErr w:type="spellEnd"/>
      <w:r w:rsidRPr="008A68FD">
        <w:t xml:space="preserve"> leukaemia (APL)</w:t>
      </w:r>
      <w:r>
        <w:t>. The recomme</w:t>
      </w:r>
      <w:r w:rsidR="002F439A">
        <w:t xml:space="preserve">ndation was made on the basis </w:t>
      </w:r>
      <w:r w:rsidR="00245AB4">
        <w:t xml:space="preserve">the </w:t>
      </w:r>
      <w:r w:rsidR="00961DBA">
        <w:t xml:space="preserve">cost-effectiveness </w:t>
      </w:r>
      <w:r w:rsidR="002F439A">
        <w:t>of arsenic</w:t>
      </w:r>
      <w:r w:rsidR="009A1398">
        <w:t xml:space="preserve"> </w:t>
      </w:r>
      <w:r w:rsidR="002F439A">
        <w:t>trioxide in combination with ATRA+</w:t>
      </w:r>
      <w:r w:rsidR="00BF22DC">
        <w:t>/-</w:t>
      </w:r>
      <w:r w:rsidR="002F439A">
        <w:t>chemotherapy over</w:t>
      </w:r>
      <w:r w:rsidR="00961DBA">
        <w:t xml:space="preserve"> </w:t>
      </w:r>
      <w:proofErr w:type="spellStart"/>
      <w:r w:rsidR="00961DBA">
        <w:t>ATRA</w:t>
      </w:r>
      <w:r w:rsidR="002F439A">
        <w:t>+chemotherapy</w:t>
      </w:r>
      <w:proofErr w:type="spellEnd"/>
      <w:r w:rsidR="002F439A">
        <w:t xml:space="preserve"> alone</w:t>
      </w:r>
      <w:r w:rsidR="00961DBA">
        <w:t>.</w:t>
      </w:r>
    </w:p>
    <w:p w:rsidR="00961DBA" w:rsidRPr="00961DBA" w:rsidRDefault="00961DBA" w:rsidP="00961DBA">
      <w:pPr>
        <w:ind w:left="720"/>
        <w:contextualSpacing/>
        <w:rPr>
          <w:bCs/>
          <w:szCs w:val="22"/>
          <w:lang w:val="en-GB"/>
        </w:rPr>
      </w:pPr>
    </w:p>
    <w:p w:rsidR="00211054" w:rsidRPr="00211054" w:rsidRDefault="00DB209C" w:rsidP="008A68FD">
      <w:pPr>
        <w:numPr>
          <w:ilvl w:val="1"/>
          <w:numId w:val="3"/>
        </w:numPr>
        <w:contextualSpacing/>
        <w:rPr>
          <w:bCs/>
          <w:szCs w:val="22"/>
          <w:lang w:val="en-GB"/>
        </w:rPr>
      </w:pPr>
      <w:r>
        <w:rPr>
          <w:bCs/>
          <w:szCs w:val="22"/>
          <w:lang w:val="en-GB"/>
        </w:rPr>
        <w:t xml:space="preserve">The PBAC considered </w:t>
      </w:r>
      <w:r w:rsidR="00AE04C3">
        <w:rPr>
          <w:bCs/>
          <w:szCs w:val="22"/>
          <w:lang w:val="en-GB"/>
        </w:rPr>
        <w:t xml:space="preserve">a single listing covering both low-intermediate and high risk patients would be most appropriate, and </w:t>
      </w:r>
      <w:r>
        <w:rPr>
          <w:bCs/>
          <w:szCs w:val="22"/>
          <w:lang w:val="en-GB"/>
        </w:rPr>
        <w:t xml:space="preserve">that the requirement for the </w:t>
      </w:r>
      <w:proofErr w:type="gramStart"/>
      <w:r w:rsidRPr="00C14E13">
        <w:rPr>
          <w:szCs w:val="22"/>
        </w:rPr>
        <w:t>t(</w:t>
      </w:r>
      <w:proofErr w:type="gramEnd"/>
      <w:r w:rsidRPr="00C14E13">
        <w:rPr>
          <w:szCs w:val="22"/>
        </w:rPr>
        <w:t>15:17) translocation or PML/RAR-α gene expression</w:t>
      </w:r>
      <w:r>
        <w:rPr>
          <w:szCs w:val="22"/>
        </w:rPr>
        <w:t xml:space="preserve"> should remain in the restriction. The PBAC noted that, for most patients, results of the gene testing should be received within 24 hours and that pre-treatment with ATRA is standard and would be initiated in the meantime. </w:t>
      </w:r>
    </w:p>
    <w:p w:rsidR="00211054" w:rsidRDefault="00211054" w:rsidP="00211054">
      <w:pPr>
        <w:pStyle w:val="ListParagraph"/>
        <w:rPr>
          <w:bCs/>
          <w:szCs w:val="22"/>
          <w:lang w:val="en-GB"/>
        </w:rPr>
      </w:pPr>
    </w:p>
    <w:p w:rsidR="00961DBA" w:rsidRPr="00961DBA" w:rsidRDefault="00211054" w:rsidP="008A68FD">
      <w:pPr>
        <w:numPr>
          <w:ilvl w:val="1"/>
          <w:numId w:val="3"/>
        </w:numPr>
        <w:contextualSpacing/>
        <w:rPr>
          <w:bCs/>
          <w:szCs w:val="22"/>
          <w:lang w:val="en-GB"/>
        </w:rPr>
      </w:pPr>
      <w:r>
        <w:rPr>
          <w:bCs/>
          <w:szCs w:val="22"/>
          <w:lang w:val="en-GB"/>
        </w:rPr>
        <w:t>The PBAC agreed with the sponsor’s request that relapsed patients should be eligible for treatment under the revised restriction, noting</w:t>
      </w:r>
      <w:r w:rsidR="006053F7">
        <w:rPr>
          <w:bCs/>
          <w:szCs w:val="22"/>
          <w:lang w:val="en-GB"/>
        </w:rPr>
        <w:t xml:space="preserve"> that very few patient</w:t>
      </w:r>
      <w:r w:rsidR="009A1398">
        <w:rPr>
          <w:bCs/>
          <w:szCs w:val="22"/>
          <w:lang w:val="en-GB"/>
        </w:rPr>
        <w:t>s</w:t>
      </w:r>
      <w:r w:rsidR="006053F7">
        <w:rPr>
          <w:bCs/>
          <w:szCs w:val="22"/>
          <w:lang w:val="en-GB"/>
        </w:rPr>
        <w:t xml:space="preserve"> would relapse and</w:t>
      </w:r>
      <w:r>
        <w:rPr>
          <w:bCs/>
          <w:szCs w:val="22"/>
          <w:lang w:val="en-GB"/>
        </w:rPr>
        <w:t xml:space="preserve"> that the lack of data in this patient group is likely due to th</w:t>
      </w:r>
      <w:r w:rsidR="006053F7">
        <w:rPr>
          <w:bCs/>
          <w:szCs w:val="22"/>
          <w:lang w:val="en-GB"/>
        </w:rPr>
        <w:t>is</w:t>
      </w:r>
      <w:r>
        <w:rPr>
          <w:bCs/>
          <w:szCs w:val="22"/>
          <w:lang w:val="en-GB"/>
        </w:rPr>
        <w:t xml:space="preserve"> l</w:t>
      </w:r>
      <w:r w:rsidR="006053F7">
        <w:rPr>
          <w:bCs/>
          <w:szCs w:val="22"/>
          <w:lang w:val="en-GB"/>
        </w:rPr>
        <w:t>ow risk of relapse</w:t>
      </w:r>
      <w:r>
        <w:rPr>
          <w:bCs/>
          <w:szCs w:val="22"/>
          <w:lang w:val="en-GB"/>
        </w:rPr>
        <w:t>.</w:t>
      </w:r>
      <w:r w:rsidR="00DB209C">
        <w:rPr>
          <w:bCs/>
          <w:szCs w:val="22"/>
          <w:lang w:val="en-GB"/>
        </w:rPr>
        <w:t xml:space="preserve"> </w:t>
      </w:r>
      <w:r w:rsidR="008722D3">
        <w:rPr>
          <w:bCs/>
          <w:szCs w:val="22"/>
          <w:lang w:val="en-GB"/>
        </w:rPr>
        <w:t>The PBAC also agreed that the use of ATRA should not be specified in the restriction.</w:t>
      </w:r>
    </w:p>
    <w:p w:rsidR="00961DBA" w:rsidRDefault="00961DBA" w:rsidP="00961DBA">
      <w:pPr>
        <w:pStyle w:val="ListParagraph"/>
      </w:pPr>
    </w:p>
    <w:p w:rsidR="00245AB4" w:rsidRPr="00961DBA" w:rsidRDefault="00245AB4" w:rsidP="00245AB4">
      <w:pPr>
        <w:numPr>
          <w:ilvl w:val="1"/>
          <w:numId w:val="3"/>
        </w:numPr>
        <w:contextualSpacing/>
        <w:rPr>
          <w:bCs/>
          <w:szCs w:val="22"/>
          <w:lang w:val="en-GB"/>
        </w:rPr>
      </w:pPr>
      <w:r>
        <w:t xml:space="preserve">The PBAC agreed that </w:t>
      </w:r>
      <w:proofErr w:type="spellStart"/>
      <w:r>
        <w:t>ATRA+chemotherapy</w:t>
      </w:r>
      <w:proofErr w:type="spellEnd"/>
      <w:r>
        <w:t xml:space="preserve"> </w:t>
      </w:r>
      <w:proofErr w:type="gramStart"/>
      <w:r>
        <w:t>was</w:t>
      </w:r>
      <w:proofErr w:type="gramEnd"/>
      <w:r>
        <w:t xml:space="preserve"> </w:t>
      </w:r>
      <w:r w:rsidR="003C7667">
        <w:t>the</w:t>
      </w:r>
      <w:r>
        <w:t xml:space="preserve"> appropriate main comparator</w:t>
      </w:r>
      <w:r w:rsidR="00795788">
        <w:t xml:space="preserve">. The PBAC considered that the </w:t>
      </w:r>
      <w:proofErr w:type="spellStart"/>
      <w:r w:rsidR="00795788">
        <w:t>ATRA+chemotherapy</w:t>
      </w:r>
      <w:proofErr w:type="spellEnd"/>
      <w:r w:rsidR="00795788">
        <w:t xml:space="preserve"> regimens recommended in current clinical guidelines for APL, including the comparator regimen in Lo-Coco 2013, would provide a more relevant comparison than the comparator regimen used in the submission (study APML3)</w:t>
      </w:r>
      <w:r>
        <w:t>.</w:t>
      </w:r>
      <w:r w:rsidR="003C7667">
        <w:t xml:space="preserve"> </w:t>
      </w:r>
    </w:p>
    <w:p w:rsidR="00245AB4" w:rsidRDefault="00245AB4" w:rsidP="00245AB4">
      <w:pPr>
        <w:pStyle w:val="ListParagraph"/>
        <w:rPr>
          <w:bCs/>
          <w:szCs w:val="22"/>
          <w:lang w:val="en-GB"/>
        </w:rPr>
      </w:pPr>
    </w:p>
    <w:p w:rsidR="00961DBA" w:rsidRPr="00961DBA" w:rsidRDefault="002F439A" w:rsidP="008A68FD">
      <w:pPr>
        <w:numPr>
          <w:ilvl w:val="1"/>
          <w:numId w:val="3"/>
        </w:numPr>
        <w:contextualSpacing/>
        <w:rPr>
          <w:bCs/>
          <w:szCs w:val="22"/>
          <w:lang w:val="en-GB"/>
        </w:rPr>
      </w:pPr>
      <w:r>
        <w:rPr>
          <w:bCs/>
          <w:szCs w:val="22"/>
          <w:lang w:val="en-GB"/>
        </w:rPr>
        <w:t xml:space="preserve">The PBAC </w:t>
      </w:r>
      <w:r w:rsidR="009E618E">
        <w:rPr>
          <w:bCs/>
          <w:szCs w:val="22"/>
          <w:lang w:val="en-GB"/>
        </w:rPr>
        <w:t>acknowledged the limitation</w:t>
      </w:r>
      <w:r w:rsidR="00245AB4">
        <w:rPr>
          <w:bCs/>
          <w:szCs w:val="22"/>
          <w:lang w:val="en-GB"/>
        </w:rPr>
        <w:t>s</w:t>
      </w:r>
      <w:r w:rsidR="009E618E">
        <w:rPr>
          <w:bCs/>
          <w:szCs w:val="22"/>
          <w:lang w:val="en-GB"/>
        </w:rPr>
        <w:t xml:space="preserve"> of the data available for the submission, </w:t>
      </w:r>
      <w:r w:rsidR="00245AB4">
        <w:rPr>
          <w:bCs/>
          <w:szCs w:val="22"/>
          <w:lang w:val="en-GB"/>
        </w:rPr>
        <w:t xml:space="preserve">including that </w:t>
      </w:r>
      <w:r w:rsidR="009E618E">
        <w:rPr>
          <w:bCs/>
          <w:szCs w:val="22"/>
          <w:lang w:val="en-GB"/>
        </w:rPr>
        <w:t xml:space="preserve">the main </w:t>
      </w:r>
      <w:r w:rsidR="003C7667">
        <w:rPr>
          <w:bCs/>
          <w:szCs w:val="22"/>
          <w:lang w:val="en-GB"/>
        </w:rPr>
        <w:t>analysis</w:t>
      </w:r>
      <w:r w:rsidR="009E618E">
        <w:rPr>
          <w:bCs/>
          <w:szCs w:val="22"/>
          <w:lang w:val="en-GB"/>
        </w:rPr>
        <w:t xml:space="preserve"> </w:t>
      </w:r>
      <w:r w:rsidR="003C7667">
        <w:rPr>
          <w:bCs/>
          <w:szCs w:val="22"/>
          <w:lang w:val="en-GB"/>
        </w:rPr>
        <w:t>of effectiveness</w:t>
      </w:r>
      <w:r w:rsidR="009E618E">
        <w:rPr>
          <w:bCs/>
          <w:szCs w:val="22"/>
          <w:lang w:val="en-GB"/>
        </w:rPr>
        <w:t xml:space="preserve"> in the submission was based</w:t>
      </w:r>
      <w:r w:rsidR="003C7667">
        <w:rPr>
          <w:bCs/>
          <w:szCs w:val="22"/>
          <w:lang w:val="en-GB"/>
        </w:rPr>
        <w:t xml:space="preserve"> on a comparison </w:t>
      </w:r>
      <w:r w:rsidR="009E618E">
        <w:rPr>
          <w:bCs/>
          <w:szCs w:val="22"/>
          <w:lang w:val="en-GB"/>
        </w:rPr>
        <w:t>of two single arm studies</w:t>
      </w:r>
      <w:r w:rsidR="00245AB4">
        <w:rPr>
          <w:bCs/>
          <w:szCs w:val="22"/>
          <w:lang w:val="en-GB"/>
        </w:rPr>
        <w:t>,</w:t>
      </w:r>
      <w:r w:rsidR="00245AB4" w:rsidRPr="00245AB4">
        <w:rPr>
          <w:bCs/>
          <w:szCs w:val="22"/>
          <w:lang w:val="en-GB"/>
        </w:rPr>
        <w:t xml:space="preserve"> </w:t>
      </w:r>
      <w:r w:rsidR="00245AB4">
        <w:rPr>
          <w:bCs/>
          <w:szCs w:val="22"/>
          <w:lang w:val="en-GB"/>
        </w:rPr>
        <w:t>APML3 and APML4</w:t>
      </w:r>
      <w:r w:rsidR="00795788">
        <w:rPr>
          <w:bCs/>
          <w:szCs w:val="22"/>
          <w:lang w:val="en-GB"/>
        </w:rPr>
        <w:t>, and the concerns about the relevance of the comparator regimen used in APML3</w:t>
      </w:r>
      <w:r w:rsidR="009E618E">
        <w:rPr>
          <w:bCs/>
          <w:szCs w:val="22"/>
          <w:lang w:val="en-GB"/>
        </w:rPr>
        <w:t xml:space="preserve">. </w:t>
      </w:r>
      <w:r w:rsidR="00245AB4">
        <w:rPr>
          <w:bCs/>
          <w:szCs w:val="22"/>
          <w:lang w:val="en-GB"/>
        </w:rPr>
        <w:t xml:space="preserve">The PBAC noted that the evidence presented </w:t>
      </w:r>
      <w:r w:rsidR="00C84630">
        <w:rPr>
          <w:bCs/>
          <w:szCs w:val="22"/>
          <w:lang w:val="en-GB"/>
        </w:rPr>
        <w:t xml:space="preserve">in the submission and in the PSCR </w:t>
      </w:r>
      <w:r w:rsidR="00245AB4">
        <w:rPr>
          <w:bCs/>
          <w:szCs w:val="22"/>
          <w:lang w:val="en-GB"/>
        </w:rPr>
        <w:t>consistently showed that the use of ATO was associated with an improvement in clinical outcomes</w:t>
      </w:r>
      <w:r w:rsidR="00BF22DC">
        <w:rPr>
          <w:bCs/>
          <w:szCs w:val="22"/>
          <w:lang w:val="en-GB"/>
        </w:rPr>
        <w:t xml:space="preserve"> in low-intermediate and high-risk patients</w:t>
      </w:r>
      <w:r w:rsidR="00245AB4">
        <w:rPr>
          <w:bCs/>
          <w:szCs w:val="22"/>
          <w:lang w:val="en-GB"/>
        </w:rPr>
        <w:t>. Therefore,</w:t>
      </w:r>
      <w:r w:rsidR="009E618E">
        <w:rPr>
          <w:bCs/>
          <w:szCs w:val="22"/>
          <w:lang w:val="en-GB"/>
        </w:rPr>
        <w:t xml:space="preserve"> overall, and in the </w:t>
      </w:r>
      <w:r>
        <w:rPr>
          <w:bCs/>
          <w:szCs w:val="22"/>
          <w:lang w:val="en-GB"/>
        </w:rPr>
        <w:t>context of APL being a rare condition</w:t>
      </w:r>
      <w:r w:rsidR="009E618E">
        <w:rPr>
          <w:bCs/>
          <w:szCs w:val="22"/>
          <w:lang w:val="en-GB"/>
        </w:rPr>
        <w:t>, the PBAC considered that the comparison presented provided sufficient evidence to support the claim of superior efficac</w:t>
      </w:r>
      <w:r w:rsidR="00245AB4">
        <w:rPr>
          <w:bCs/>
          <w:szCs w:val="22"/>
          <w:lang w:val="en-GB"/>
        </w:rPr>
        <w:t>y</w:t>
      </w:r>
      <w:r w:rsidR="009E618E">
        <w:rPr>
          <w:bCs/>
          <w:szCs w:val="22"/>
          <w:lang w:val="en-GB"/>
        </w:rPr>
        <w:t xml:space="preserve"> of ATO with ATRA+</w:t>
      </w:r>
      <w:r w:rsidR="00BF22DC">
        <w:rPr>
          <w:bCs/>
          <w:szCs w:val="22"/>
          <w:lang w:val="en-GB"/>
        </w:rPr>
        <w:t>/-</w:t>
      </w:r>
      <w:r w:rsidR="009E618E">
        <w:rPr>
          <w:bCs/>
          <w:szCs w:val="22"/>
          <w:lang w:val="en-GB"/>
        </w:rPr>
        <w:t xml:space="preserve">chemotherapy over </w:t>
      </w:r>
      <w:proofErr w:type="spellStart"/>
      <w:r w:rsidR="009E618E">
        <w:rPr>
          <w:bCs/>
          <w:szCs w:val="22"/>
          <w:lang w:val="en-GB"/>
        </w:rPr>
        <w:t>ATRA+chemotherapy</w:t>
      </w:r>
      <w:proofErr w:type="spellEnd"/>
      <w:r w:rsidR="009E618E">
        <w:rPr>
          <w:bCs/>
          <w:szCs w:val="22"/>
          <w:lang w:val="en-GB"/>
        </w:rPr>
        <w:t xml:space="preserve"> alone.</w:t>
      </w:r>
      <w:r w:rsidR="00245AB4">
        <w:rPr>
          <w:bCs/>
          <w:szCs w:val="22"/>
          <w:lang w:val="en-GB"/>
        </w:rPr>
        <w:t xml:space="preserve"> </w:t>
      </w:r>
    </w:p>
    <w:p w:rsidR="00961DBA" w:rsidRDefault="00961DBA" w:rsidP="00961DBA">
      <w:pPr>
        <w:pStyle w:val="ListParagraph"/>
      </w:pPr>
    </w:p>
    <w:p w:rsidR="00961DBA" w:rsidRDefault="00245AB4" w:rsidP="008A68FD">
      <w:pPr>
        <w:numPr>
          <w:ilvl w:val="1"/>
          <w:numId w:val="3"/>
        </w:numPr>
        <w:contextualSpacing/>
        <w:rPr>
          <w:bCs/>
          <w:szCs w:val="22"/>
          <w:lang w:val="en-GB"/>
        </w:rPr>
      </w:pPr>
      <w:r>
        <w:rPr>
          <w:bCs/>
          <w:szCs w:val="22"/>
          <w:lang w:val="en-GB"/>
        </w:rPr>
        <w:t xml:space="preserve">In terms of the </w:t>
      </w:r>
      <w:r w:rsidR="00DB209C">
        <w:rPr>
          <w:bCs/>
          <w:szCs w:val="22"/>
          <w:lang w:val="en-GB"/>
        </w:rPr>
        <w:t xml:space="preserve">main comparison </w:t>
      </w:r>
      <w:r w:rsidR="003C7667">
        <w:rPr>
          <w:bCs/>
          <w:szCs w:val="22"/>
          <w:lang w:val="en-GB"/>
        </w:rPr>
        <w:t>presented</w:t>
      </w:r>
      <w:r w:rsidR="00DB209C">
        <w:rPr>
          <w:bCs/>
          <w:szCs w:val="22"/>
          <w:lang w:val="en-GB"/>
        </w:rPr>
        <w:t xml:space="preserve"> in the submission</w:t>
      </w:r>
      <w:r>
        <w:rPr>
          <w:bCs/>
          <w:szCs w:val="22"/>
          <w:lang w:val="en-GB"/>
        </w:rPr>
        <w:t xml:space="preserve">, the PBAC noted that all survival endpoints in APML4 (with ATO) were statistically significantly superior to the results of APML3 (without ATO). </w:t>
      </w:r>
    </w:p>
    <w:p w:rsidR="003C7667" w:rsidRDefault="003C7667" w:rsidP="003C7667">
      <w:pPr>
        <w:pStyle w:val="ListParagraph"/>
        <w:rPr>
          <w:bCs/>
          <w:szCs w:val="22"/>
          <w:lang w:val="en-GB"/>
        </w:rPr>
      </w:pPr>
    </w:p>
    <w:p w:rsidR="003C7667" w:rsidRDefault="003C7667" w:rsidP="008A68FD">
      <w:pPr>
        <w:numPr>
          <w:ilvl w:val="1"/>
          <w:numId w:val="3"/>
        </w:numPr>
        <w:contextualSpacing/>
        <w:rPr>
          <w:bCs/>
          <w:szCs w:val="22"/>
          <w:lang w:val="en-GB"/>
        </w:rPr>
      </w:pPr>
      <w:r>
        <w:rPr>
          <w:bCs/>
          <w:szCs w:val="22"/>
          <w:lang w:val="en-GB"/>
        </w:rPr>
        <w:t xml:space="preserve">The PBAC noted that in APL if relapse occurs it is likely to be soon after treatment, </w:t>
      </w:r>
      <w:r>
        <w:rPr>
          <w:bCs/>
          <w:szCs w:val="22"/>
          <w:lang w:val="en-GB"/>
        </w:rPr>
        <w:lastRenderedPageBreak/>
        <w:t>and in this context considered that event-free survival at 2 years and overall survival at 2 years were appropriate outcomes for assessing efficacy.</w:t>
      </w:r>
      <w:r w:rsidR="00F07E5C">
        <w:rPr>
          <w:bCs/>
          <w:szCs w:val="22"/>
          <w:lang w:val="en-GB"/>
        </w:rPr>
        <w:t xml:space="preserve"> </w:t>
      </w:r>
    </w:p>
    <w:p w:rsidR="00DB209C" w:rsidRDefault="00DB209C" w:rsidP="00DB209C">
      <w:pPr>
        <w:pStyle w:val="ListParagraph"/>
        <w:rPr>
          <w:bCs/>
          <w:szCs w:val="22"/>
          <w:lang w:val="en-GB"/>
        </w:rPr>
      </w:pPr>
    </w:p>
    <w:p w:rsidR="00245AB4" w:rsidRDefault="009E618E" w:rsidP="00245AB4">
      <w:pPr>
        <w:numPr>
          <w:ilvl w:val="1"/>
          <w:numId w:val="3"/>
        </w:numPr>
        <w:contextualSpacing/>
        <w:rPr>
          <w:bCs/>
          <w:szCs w:val="22"/>
          <w:lang w:val="en-GB"/>
        </w:rPr>
      </w:pPr>
      <w:r w:rsidRPr="00BF22DC">
        <w:rPr>
          <w:bCs/>
          <w:szCs w:val="22"/>
          <w:lang w:val="en-GB"/>
        </w:rPr>
        <w:t xml:space="preserve">In regard to data </w:t>
      </w:r>
      <w:r w:rsidR="00F07E5C" w:rsidRPr="00BF22DC">
        <w:rPr>
          <w:bCs/>
          <w:szCs w:val="22"/>
          <w:lang w:val="en-GB"/>
        </w:rPr>
        <w:t xml:space="preserve">supporting the use of ATO </w:t>
      </w:r>
      <w:r w:rsidRPr="00BF22DC">
        <w:rPr>
          <w:bCs/>
          <w:szCs w:val="22"/>
          <w:lang w:val="en-GB"/>
        </w:rPr>
        <w:t xml:space="preserve">in paediatric patients, the PBAC noted the availability of results from </w:t>
      </w:r>
      <w:r w:rsidR="00BF22DC">
        <w:rPr>
          <w:bCs/>
          <w:szCs w:val="22"/>
        </w:rPr>
        <w:t xml:space="preserve">INT0129: </w:t>
      </w:r>
      <w:r w:rsidR="00BF22DC" w:rsidRPr="001C2D0E">
        <w:rPr>
          <w:szCs w:val="22"/>
        </w:rPr>
        <w:t xml:space="preserve">Gregory J, Kim H, Alonzo T, et al: Treatment of children with acute </w:t>
      </w:r>
      <w:proofErr w:type="spellStart"/>
      <w:r w:rsidR="00BF22DC" w:rsidRPr="001C2D0E">
        <w:rPr>
          <w:szCs w:val="22"/>
        </w:rPr>
        <w:t>promyelocytic</w:t>
      </w:r>
      <w:proofErr w:type="spellEnd"/>
      <w:r w:rsidR="00BF22DC" w:rsidRPr="001C2D0E">
        <w:rPr>
          <w:szCs w:val="22"/>
        </w:rPr>
        <w:t xml:space="preserve"> </w:t>
      </w:r>
      <w:proofErr w:type="spellStart"/>
      <w:r w:rsidR="00BF22DC" w:rsidRPr="001C2D0E">
        <w:rPr>
          <w:szCs w:val="22"/>
        </w:rPr>
        <w:t>leukemia</w:t>
      </w:r>
      <w:proofErr w:type="spellEnd"/>
      <w:r w:rsidR="00BF22DC" w:rsidRPr="001C2D0E">
        <w:rPr>
          <w:szCs w:val="22"/>
        </w:rPr>
        <w:t xml:space="preserve">: results of the first North American Intergroup trial INT0129. </w:t>
      </w:r>
      <w:proofErr w:type="spellStart"/>
      <w:r w:rsidR="00BF22DC" w:rsidRPr="001C2D0E">
        <w:rPr>
          <w:szCs w:val="22"/>
        </w:rPr>
        <w:t>Pediatr</w:t>
      </w:r>
      <w:proofErr w:type="spellEnd"/>
      <w:r w:rsidR="00BF22DC" w:rsidRPr="001C2D0E">
        <w:rPr>
          <w:szCs w:val="22"/>
        </w:rPr>
        <w:t xml:space="preserve"> Blood Cancer 53:1005-10, 2009</w:t>
      </w:r>
      <w:r w:rsidR="00BF22DC">
        <w:rPr>
          <w:szCs w:val="22"/>
        </w:rPr>
        <w:t xml:space="preserve">, which showed similar efficacy in children as in adults. </w:t>
      </w:r>
    </w:p>
    <w:p w:rsidR="00BF22DC" w:rsidRPr="00BF22DC" w:rsidRDefault="00BF22DC" w:rsidP="00BF22DC">
      <w:pPr>
        <w:contextualSpacing/>
        <w:rPr>
          <w:bCs/>
          <w:szCs w:val="22"/>
          <w:lang w:val="en-GB"/>
        </w:rPr>
      </w:pPr>
    </w:p>
    <w:p w:rsidR="00245AB4" w:rsidRDefault="00F07E5C" w:rsidP="008A68FD">
      <w:pPr>
        <w:numPr>
          <w:ilvl w:val="1"/>
          <w:numId w:val="3"/>
        </w:numPr>
        <w:contextualSpacing/>
        <w:rPr>
          <w:bCs/>
          <w:szCs w:val="22"/>
          <w:lang w:val="en-GB"/>
        </w:rPr>
      </w:pPr>
      <w:r>
        <w:rPr>
          <w:bCs/>
          <w:szCs w:val="22"/>
          <w:lang w:val="en-GB"/>
        </w:rPr>
        <w:t>The PBAC noted that, in the short term, treatment with ATO is associated with an increase in cardiac toxicity and hepatotoxicity</w:t>
      </w:r>
      <w:r w:rsidR="00211054">
        <w:rPr>
          <w:bCs/>
          <w:szCs w:val="22"/>
          <w:lang w:val="en-GB"/>
        </w:rPr>
        <w:t>, but that most of the severe adverse events in the studies were manageable.</w:t>
      </w:r>
      <w:r w:rsidR="00BF22DC">
        <w:rPr>
          <w:bCs/>
          <w:szCs w:val="22"/>
          <w:lang w:val="en-GB"/>
        </w:rPr>
        <w:t xml:space="preserve"> The PBAC noted that long</w:t>
      </w:r>
      <w:r>
        <w:rPr>
          <w:bCs/>
          <w:szCs w:val="22"/>
          <w:lang w:val="en-GB"/>
        </w:rPr>
        <w:t xml:space="preserve"> term toxicity of ATO remains unknown.</w:t>
      </w:r>
      <w:r w:rsidR="00D75105">
        <w:rPr>
          <w:bCs/>
          <w:szCs w:val="22"/>
          <w:lang w:val="en-GB"/>
        </w:rPr>
        <w:t xml:space="preserve"> </w:t>
      </w:r>
    </w:p>
    <w:p w:rsidR="00961DBA" w:rsidRDefault="00961DBA" w:rsidP="00961DBA">
      <w:pPr>
        <w:pStyle w:val="ListParagraph"/>
        <w:rPr>
          <w:bCs/>
          <w:szCs w:val="22"/>
          <w:lang w:val="en-GB"/>
        </w:rPr>
      </w:pPr>
    </w:p>
    <w:p w:rsidR="00961DBA" w:rsidRDefault="00AE04C3" w:rsidP="008A68FD">
      <w:pPr>
        <w:numPr>
          <w:ilvl w:val="1"/>
          <w:numId w:val="3"/>
        </w:numPr>
        <w:contextualSpacing/>
        <w:rPr>
          <w:bCs/>
          <w:szCs w:val="22"/>
          <w:lang w:val="en-GB"/>
        </w:rPr>
      </w:pPr>
      <w:r>
        <w:rPr>
          <w:bCs/>
          <w:szCs w:val="22"/>
          <w:lang w:val="en-GB"/>
        </w:rPr>
        <w:t xml:space="preserve">The </w:t>
      </w:r>
      <w:r w:rsidR="00D75105">
        <w:rPr>
          <w:bCs/>
          <w:szCs w:val="22"/>
          <w:lang w:val="en-GB"/>
        </w:rPr>
        <w:t xml:space="preserve">PBAC agreed that </w:t>
      </w:r>
      <w:r w:rsidR="008722D3">
        <w:rPr>
          <w:bCs/>
          <w:szCs w:val="22"/>
          <w:lang w:val="en-GB"/>
        </w:rPr>
        <w:t>Lo-Coco 2013 was</w:t>
      </w:r>
      <w:r w:rsidR="00D75105">
        <w:rPr>
          <w:bCs/>
          <w:szCs w:val="22"/>
          <w:lang w:val="en-GB"/>
        </w:rPr>
        <w:t xml:space="preserve"> appropriate basis for the economic evaluation in low-intermediate risk patients, given that the treatment regimen in this study </w:t>
      </w:r>
      <w:r w:rsidR="008722D3">
        <w:rPr>
          <w:bCs/>
          <w:szCs w:val="22"/>
          <w:lang w:val="en-GB"/>
        </w:rPr>
        <w:t>best represented current clinical management of APL</w:t>
      </w:r>
      <w:r w:rsidR="00D75105">
        <w:rPr>
          <w:bCs/>
          <w:szCs w:val="22"/>
          <w:lang w:val="en-GB"/>
        </w:rPr>
        <w:t>.</w:t>
      </w:r>
    </w:p>
    <w:p w:rsidR="008722D3" w:rsidRDefault="008722D3" w:rsidP="008722D3">
      <w:pPr>
        <w:pStyle w:val="ListParagraph"/>
        <w:rPr>
          <w:bCs/>
          <w:szCs w:val="22"/>
          <w:lang w:val="en-GB"/>
        </w:rPr>
      </w:pPr>
    </w:p>
    <w:p w:rsidR="008722D3" w:rsidRDefault="008722D3" w:rsidP="008A68FD">
      <w:pPr>
        <w:numPr>
          <w:ilvl w:val="1"/>
          <w:numId w:val="3"/>
        </w:numPr>
        <w:contextualSpacing/>
        <w:rPr>
          <w:bCs/>
          <w:szCs w:val="22"/>
          <w:lang w:val="en-GB"/>
        </w:rPr>
      </w:pPr>
      <w:r>
        <w:rPr>
          <w:bCs/>
          <w:szCs w:val="22"/>
          <w:lang w:val="en-GB"/>
        </w:rPr>
        <w:t>The PBAC considered that the life time (50 years) time horizon of the model was appropriate given the high remission rate of treatment</w:t>
      </w:r>
      <w:r w:rsidR="00D24BDE">
        <w:rPr>
          <w:bCs/>
          <w:szCs w:val="22"/>
          <w:lang w:val="en-GB"/>
        </w:rPr>
        <w:t xml:space="preserve"> and the age of patients at treatment</w:t>
      </w:r>
      <w:r>
        <w:rPr>
          <w:bCs/>
          <w:szCs w:val="22"/>
          <w:lang w:val="en-GB"/>
        </w:rPr>
        <w:t>.</w:t>
      </w:r>
    </w:p>
    <w:p w:rsidR="00D24BDE" w:rsidRDefault="00D24BDE" w:rsidP="00D24BDE">
      <w:pPr>
        <w:pStyle w:val="ListParagraph"/>
        <w:rPr>
          <w:bCs/>
          <w:szCs w:val="22"/>
          <w:lang w:val="en-GB"/>
        </w:rPr>
      </w:pPr>
    </w:p>
    <w:p w:rsidR="00D24BDE" w:rsidRDefault="00D24BDE" w:rsidP="008A68FD">
      <w:pPr>
        <w:numPr>
          <w:ilvl w:val="1"/>
          <w:numId w:val="3"/>
        </w:numPr>
        <w:contextualSpacing/>
        <w:rPr>
          <w:bCs/>
          <w:szCs w:val="22"/>
          <w:lang w:val="en-GB"/>
        </w:rPr>
      </w:pPr>
      <w:r>
        <w:rPr>
          <w:bCs/>
          <w:szCs w:val="22"/>
          <w:lang w:val="en-GB"/>
        </w:rPr>
        <w:t xml:space="preserve">The PBAC considered that the ICER was at the high end of what would be considered cost effective, but that this was acceptable in the context of a </w:t>
      </w:r>
      <w:r w:rsidR="00C84630">
        <w:rPr>
          <w:bCs/>
          <w:szCs w:val="22"/>
          <w:lang w:val="en-GB"/>
        </w:rPr>
        <w:t xml:space="preserve">relatively </w:t>
      </w:r>
      <w:r>
        <w:rPr>
          <w:bCs/>
          <w:szCs w:val="22"/>
          <w:lang w:val="en-GB"/>
        </w:rPr>
        <w:t>small population with a high clinical need for this treatment.</w:t>
      </w:r>
      <w:r w:rsidR="00872A46">
        <w:rPr>
          <w:bCs/>
          <w:szCs w:val="22"/>
          <w:lang w:val="en-GB"/>
        </w:rPr>
        <w:t xml:space="preserve"> </w:t>
      </w:r>
    </w:p>
    <w:p w:rsidR="00961DBA" w:rsidRPr="00D24BDE" w:rsidRDefault="00961DBA" w:rsidP="00961DBA">
      <w:pPr>
        <w:pStyle w:val="ListParagraph"/>
        <w:rPr>
          <w:bCs/>
          <w:szCs w:val="22"/>
          <w:lang w:val="en-GB"/>
        </w:rPr>
      </w:pPr>
    </w:p>
    <w:p w:rsidR="00156B5B" w:rsidRDefault="008722D3" w:rsidP="008A68FD">
      <w:pPr>
        <w:numPr>
          <w:ilvl w:val="1"/>
          <w:numId w:val="3"/>
        </w:numPr>
        <w:contextualSpacing/>
        <w:rPr>
          <w:bCs/>
          <w:szCs w:val="22"/>
          <w:lang w:val="en-GB"/>
        </w:rPr>
      </w:pPr>
      <w:r w:rsidRPr="00D24BDE">
        <w:rPr>
          <w:bCs/>
          <w:szCs w:val="22"/>
          <w:lang w:val="en-GB"/>
        </w:rPr>
        <w:t xml:space="preserve">The PBAC </w:t>
      </w:r>
      <w:r w:rsidR="00927AF3">
        <w:rPr>
          <w:bCs/>
          <w:szCs w:val="22"/>
          <w:lang w:val="en-GB"/>
        </w:rPr>
        <w:t>noted</w:t>
      </w:r>
      <w:r w:rsidR="00D53069">
        <w:rPr>
          <w:bCs/>
          <w:szCs w:val="22"/>
          <w:lang w:val="en-GB"/>
        </w:rPr>
        <w:t xml:space="preserve"> the statement </w:t>
      </w:r>
      <w:r w:rsidR="00927AF3">
        <w:rPr>
          <w:bCs/>
          <w:szCs w:val="22"/>
          <w:lang w:val="en-GB"/>
        </w:rPr>
        <w:t>in the pre-PBAC response that ATO</w:t>
      </w:r>
      <w:r w:rsidR="00D53069">
        <w:rPr>
          <w:bCs/>
          <w:szCs w:val="22"/>
          <w:lang w:val="en-GB"/>
        </w:rPr>
        <w:t xml:space="preserve"> administered to inpatients at a public hospital would not be funded </w:t>
      </w:r>
      <w:r w:rsidR="00927AF3">
        <w:rPr>
          <w:bCs/>
          <w:szCs w:val="22"/>
          <w:lang w:val="en-GB"/>
        </w:rPr>
        <w:t xml:space="preserve">through PBS, and </w:t>
      </w:r>
      <w:r w:rsidR="006A3CAF">
        <w:rPr>
          <w:bCs/>
          <w:szCs w:val="22"/>
          <w:lang w:val="en-GB"/>
        </w:rPr>
        <w:t xml:space="preserve">that it was therefore appropriate that these costs were not included in the </w:t>
      </w:r>
      <w:r w:rsidRPr="00D24BDE">
        <w:rPr>
          <w:bCs/>
          <w:szCs w:val="22"/>
          <w:lang w:val="en-GB"/>
        </w:rPr>
        <w:t>financial estimates</w:t>
      </w:r>
      <w:r w:rsidR="006A3CAF">
        <w:rPr>
          <w:bCs/>
          <w:szCs w:val="22"/>
          <w:lang w:val="en-GB"/>
        </w:rPr>
        <w:t>.</w:t>
      </w:r>
      <w:r w:rsidRPr="00D24BDE">
        <w:rPr>
          <w:bCs/>
          <w:szCs w:val="22"/>
          <w:lang w:val="en-GB"/>
        </w:rPr>
        <w:t xml:space="preserve"> </w:t>
      </w:r>
    </w:p>
    <w:p w:rsidR="00156B5B" w:rsidRDefault="00156B5B" w:rsidP="00156B5B">
      <w:pPr>
        <w:pStyle w:val="ListParagraph"/>
        <w:rPr>
          <w:bCs/>
          <w:szCs w:val="22"/>
          <w:lang w:val="en-GB"/>
        </w:rPr>
      </w:pPr>
    </w:p>
    <w:p w:rsidR="00FB14B1" w:rsidRDefault="00C84630" w:rsidP="008A68FD">
      <w:pPr>
        <w:numPr>
          <w:ilvl w:val="1"/>
          <w:numId w:val="3"/>
        </w:numPr>
        <w:contextualSpacing/>
        <w:rPr>
          <w:bCs/>
          <w:szCs w:val="22"/>
          <w:lang w:val="en-GB"/>
        </w:rPr>
      </w:pPr>
      <w:r>
        <w:rPr>
          <w:bCs/>
          <w:szCs w:val="22"/>
          <w:lang w:val="en-GB"/>
        </w:rPr>
        <w:t xml:space="preserve">The PBAC noted that moving to first line treatment </w:t>
      </w:r>
      <w:r w:rsidR="00156B5B">
        <w:rPr>
          <w:bCs/>
          <w:szCs w:val="22"/>
          <w:lang w:val="en-GB"/>
        </w:rPr>
        <w:t xml:space="preserve">would </w:t>
      </w:r>
      <w:r>
        <w:rPr>
          <w:bCs/>
          <w:szCs w:val="22"/>
          <w:lang w:val="en-GB"/>
        </w:rPr>
        <w:t>significantly increase the number of patients for whom ATO would be subsidi</w:t>
      </w:r>
      <w:r w:rsidR="00767B79">
        <w:rPr>
          <w:bCs/>
          <w:szCs w:val="22"/>
          <w:lang w:val="en-GB"/>
        </w:rPr>
        <w:t>sed</w:t>
      </w:r>
      <w:r w:rsidR="00B2248E">
        <w:rPr>
          <w:bCs/>
          <w:szCs w:val="22"/>
          <w:lang w:val="en-GB"/>
        </w:rPr>
        <w:t>, the PBAC advised the Department that a reduced price should be sought on this basis</w:t>
      </w:r>
      <w:r>
        <w:rPr>
          <w:bCs/>
          <w:szCs w:val="22"/>
          <w:lang w:val="en-GB"/>
        </w:rPr>
        <w:t>.</w:t>
      </w:r>
      <w:r w:rsidR="00767B79">
        <w:rPr>
          <w:bCs/>
          <w:szCs w:val="22"/>
          <w:lang w:val="en-GB"/>
        </w:rPr>
        <w:t xml:space="preserve"> The PBAC noted the assumption in the submission that the listing of ATO on the PBS would result in a cost shift from hospitals to the </w:t>
      </w:r>
      <w:r w:rsidR="00872A46">
        <w:rPr>
          <w:bCs/>
          <w:szCs w:val="22"/>
          <w:lang w:val="en-GB"/>
        </w:rPr>
        <w:t>PBS, and agreed that this was reasonable as long as the listing does not change current clinical management of APL.</w:t>
      </w:r>
    </w:p>
    <w:p w:rsidR="00872A46" w:rsidRDefault="00872A46" w:rsidP="00872A46">
      <w:pPr>
        <w:pStyle w:val="ListParagraph"/>
        <w:rPr>
          <w:bCs/>
          <w:szCs w:val="22"/>
          <w:lang w:val="en-GB"/>
        </w:rPr>
      </w:pPr>
    </w:p>
    <w:p w:rsidR="00156B5B" w:rsidRPr="00A54EE1" w:rsidRDefault="00156B5B" w:rsidP="00156B5B">
      <w:pPr>
        <w:widowControl/>
        <w:numPr>
          <w:ilvl w:val="1"/>
          <w:numId w:val="3"/>
        </w:numPr>
        <w:rPr>
          <w:bCs/>
          <w:szCs w:val="22"/>
          <w:lang w:val="en-GB"/>
        </w:rPr>
      </w:pPr>
      <w:r w:rsidRPr="00A54EE1">
        <w:rPr>
          <w:bCs/>
          <w:szCs w:val="22"/>
        </w:rPr>
        <w:t xml:space="preserve">The PBAC advised </w:t>
      </w:r>
      <w:r>
        <w:rPr>
          <w:bCs/>
          <w:szCs w:val="22"/>
        </w:rPr>
        <w:t>that under subsection 101 (3BA) of the National Health Act 1953, that arsenic should not be treated as interchangeable on an individual patient basis with any other drug.</w:t>
      </w:r>
    </w:p>
    <w:p w:rsidR="00156B5B" w:rsidRDefault="00156B5B" w:rsidP="00156B5B">
      <w:pPr>
        <w:pStyle w:val="ListParagraph"/>
        <w:widowControl/>
      </w:pPr>
    </w:p>
    <w:p w:rsidR="00156B5B" w:rsidRPr="00A200A0" w:rsidRDefault="00156B5B" w:rsidP="00156B5B">
      <w:pPr>
        <w:pStyle w:val="ListParagraph"/>
        <w:widowControl/>
        <w:numPr>
          <w:ilvl w:val="1"/>
          <w:numId w:val="3"/>
        </w:numPr>
      </w:pPr>
      <w:r w:rsidRPr="00A54EE1">
        <w:rPr>
          <w:bCs/>
          <w:szCs w:val="22"/>
          <w:lang w:val="en-GB"/>
        </w:rPr>
        <w:t xml:space="preserve">The PBAC advised that </w:t>
      </w:r>
      <w:r>
        <w:t>arsenic</w:t>
      </w:r>
      <w:r w:rsidRPr="00A54EE1">
        <w:t xml:space="preserve"> </w:t>
      </w:r>
      <w:r w:rsidRPr="00A54EE1">
        <w:rPr>
          <w:bCs/>
          <w:szCs w:val="22"/>
          <w:lang w:val="en-GB"/>
        </w:rPr>
        <w:t>is not suitable for prescribing by nurse practitioners</w:t>
      </w:r>
      <w:r>
        <w:rPr>
          <w:bCs/>
          <w:szCs w:val="22"/>
          <w:lang w:val="en-GB"/>
        </w:rPr>
        <w:t xml:space="preserve"> as antineoplastic agents are currently considered to be out of scope for prescribing by nurse practitioners</w:t>
      </w:r>
      <w:r w:rsidRPr="00A54EE1">
        <w:rPr>
          <w:bCs/>
          <w:szCs w:val="22"/>
          <w:lang w:val="en-GB"/>
        </w:rPr>
        <w:t>.</w:t>
      </w:r>
    </w:p>
    <w:p w:rsidR="00156B5B" w:rsidRDefault="00156B5B" w:rsidP="00156B5B">
      <w:pPr>
        <w:pStyle w:val="ListParagraph"/>
        <w:widowControl/>
      </w:pPr>
    </w:p>
    <w:p w:rsidR="00156B5B" w:rsidRDefault="00156B5B" w:rsidP="00156B5B">
      <w:pPr>
        <w:pStyle w:val="ListParagraph"/>
        <w:widowControl/>
        <w:numPr>
          <w:ilvl w:val="1"/>
          <w:numId w:val="3"/>
        </w:numPr>
      </w:pPr>
      <w:r w:rsidRPr="002D0A08">
        <w:t>The PBAC recommended that the Safety Net 20 Day Rule should not apply.</w:t>
      </w:r>
    </w:p>
    <w:p w:rsidR="00156B5B" w:rsidRDefault="00156B5B" w:rsidP="00156B5B">
      <w:pPr>
        <w:pStyle w:val="ListParagraph"/>
        <w:widowControl/>
      </w:pPr>
    </w:p>
    <w:p w:rsidR="00156B5B" w:rsidRPr="0084580A" w:rsidRDefault="00156B5B" w:rsidP="00156B5B">
      <w:pPr>
        <w:pStyle w:val="ListParagraph"/>
        <w:widowControl/>
        <w:numPr>
          <w:ilvl w:val="1"/>
          <w:numId w:val="3"/>
        </w:numPr>
      </w:pPr>
      <w:r w:rsidRPr="002D0A08">
        <w:t xml:space="preserve">The submission is not eligible for an Independent Review, because the PBAC </w:t>
      </w:r>
      <w:r>
        <w:t xml:space="preserve">has </w:t>
      </w:r>
      <w:r w:rsidRPr="002D0A08">
        <w:t>made a positive recommendation.</w:t>
      </w:r>
    </w:p>
    <w:p w:rsidR="00156B5B" w:rsidRPr="00D24BDE" w:rsidRDefault="00156B5B" w:rsidP="00B66174">
      <w:pPr>
        <w:spacing w:line="480" w:lineRule="auto"/>
        <w:ind w:left="720"/>
        <w:contextualSpacing/>
        <w:rPr>
          <w:bCs/>
          <w:szCs w:val="22"/>
          <w:lang w:val="en-GB"/>
        </w:rPr>
      </w:pPr>
    </w:p>
    <w:p w:rsidR="00FB14B1" w:rsidRPr="008A68FD" w:rsidRDefault="00FB14B1" w:rsidP="008A68FD">
      <w:pPr>
        <w:rPr>
          <w:b/>
          <w:bCs/>
          <w:szCs w:val="22"/>
          <w:lang w:val="en-GB"/>
        </w:rPr>
      </w:pPr>
      <w:r w:rsidRPr="008A68FD">
        <w:rPr>
          <w:b/>
          <w:bCs/>
          <w:szCs w:val="22"/>
          <w:lang w:val="en-GB"/>
        </w:rPr>
        <w:lastRenderedPageBreak/>
        <w:t>Outcome:</w:t>
      </w:r>
    </w:p>
    <w:p w:rsidR="00FB14B1" w:rsidRDefault="008A68FD" w:rsidP="008A68FD">
      <w:pPr>
        <w:rPr>
          <w:bCs/>
          <w:szCs w:val="22"/>
          <w:lang w:val="en-GB"/>
        </w:rPr>
      </w:pPr>
      <w:r w:rsidRPr="008A68FD">
        <w:rPr>
          <w:bCs/>
          <w:szCs w:val="22"/>
          <w:lang w:val="en-GB"/>
        </w:rPr>
        <w:t>Recommended</w:t>
      </w:r>
    </w:p>
    <w:p w:rsidR="008A68FD" w:rsidRDefault="008A68FD" w:rsidP="007C028C">
      <w:pPr>
        <w:spacing w:line="480" w:lineRule="auto"/>
        <w:rPr>
          <w:bCs/>
          <w:szCs w:val="22"/>
          <w:lang w:val="en-GB"/>
        </w:rPr>
      </w:pPr>
    </w:p>
    <w:p w:rsidR="008A68FD" w:rsidRDefault="008A68FD" w:rsidP="00B66174">
      <w:pPr>
        <w:pStyle w:val="PBACHeading1"/>
        <w:rPr>
          <w:lang w:val="en-GB"/>
        </w:rPr>
      </w:pPr>
      <w:r w:rsidRPr="008A68FD">
        <w:rPr>
          <w:lang w:val="en-GB"/>
        </w:rPr>
        <w:t>Recommended listing</w:t>
      </w:r>
    </w:p>
    <w:p w:rsidR="008A68FD" w:rsidRPr="008A68FD" w:rsidRDefault="008A68FD" w:rsidP="008A68FD">
      <w:pPr>
        <w:ind w:left="720"/>
        <w:rPr>
          <w:bCs/>
          <w:szCs w:val="22"/>
          <w:lang w:val="en-GB"/>
        </w:rPr>
      </w:pPr>
    </w:p>
    <w:p w:rsidR="008A68FD" w:rsidRPr="008A68FD" w:rsidRDefault="008A68FD" w:rsidP="008A68FD">
      <w:pPr>
        <w:numPr>
          <w:ilvl w:val="1"/>
          <w:numId w:val="3"/>
        </w:numPr>
        <w:contextualSpacing/>
        <w:rPr>
          <w:bCs/>
          <w:szCs w:val="22"/>
        </w:rPr>
      </w:pPr>
      <w:r w:rsidRPr="008A68FD">
        <w:rPr>
          <w:bCs/>
          <w:szCs w:val="22"/>
        </w:rPr>
        <w:t>Amend existing listing as follows:</w:t>
      </w:r>
    </w:p>
    <w:p w:rsidR="008A68FD" w:rsidRPr="008A68FD" w:rsidRDefault="008A68FD" w:rsidP="008A68FD">
      <w:pPr>
        <w:ind w:left="720"/>
        <w:rPr>
          <w:b/>
          <w:bCs/>
          <w:szCs w:val="22"/>
          <w:lang w:val="en-GB"/>
        </w:rPr>
      </w:pPr>
    </w:p>
    <w:p w:rsidR="00156B5B" w:rsidRPr="00A81673" w:rsidRDefault="00156B5B" w:rsidP="00156B5B">
      <w:pPr>
        <w:pStyle w:val="ListParagraph"/>
        <w:widowControl/>
        <w:rPr>
          <w:szCs w:val="22"/>
        </w:rPr>
      </w:pPr>
    </w:p>
    <w:tbl>
      <w:tblPr>
        <w:tblW w:w="4566" w:type="pct"/>
        <w:tblInd w:w="784" w:type="dxa"/>
        <w:tblCellMar>
          <w:left w:w="28" w:type="dxa"/>
          <w:right w:w="28" w:type="dxa"/>
        </w:tblCellMar>
        <w:tblLook w:val="0000" w:firstRow="0" w:lastRow="0" w:firstColumn="0" w:lastColumn="0" w:noHBand="0" w:noVBand="0"/>
      </w:tblPr>
      <w:tblGrid>
        <w:gridCol w:w="832"/>
        <w:gridCol w:w="2523"/>
        <w:gridCol w:w="992"/>
        <w:gridCol w:w="1400"/>
        <w:gridCol w:w="1059"/>
        <w:gridCol w:w="1488"/>
      </w:tblGrid>
      <w:tr w:rsidR="00525CB9" w:rsidRPr="00A939CD" w:rsidTr="00525CB9">
        <w:trPr>
          <w:cantSplit/>
          <w:trHeight w:val="471"/>
        </w:trPr>
        <w:tc>
          <w:tcPr>
            <w:tcW w:w="2023" w:type="pct"/>
            <w:gridSpan w:val="2"/>
            <w:tcBorders>
              <w:bottom w:val="single" w:sz="4" w:space="0" w:color="auto"/>
            </w:tcBorders>
          </w:tcPr>
          <w:p w:rsidR="00525CB9" w:rsidRDefault="00525CB9" w:rsidP="00525CB9">
            <w:pPr>
              <w:keepNext/>
              <w:rPr>
                <w:sz w:val="20"/>
              </w:rPr>
            </w:pPr>
            <w:r>
              <w:rPr>
                <w:sz w:val="20"/>
              </w:rPr>
              <w:t>Name, Restriction,</w:t>
            </w:r>
          </w:p>
          <w:p w:rsidR="00525CB9" w:rsidRDefault="00525CB9" w:rsidP="00525CB9">
            <w:pPr>
              <w:keepNext/>
              <w:rPr>
                <w:sz w:val="20"/>
              </w:rPr>
            </w:pPr>
            <w:r>
              <w:rPr>
                <w:sz w:val="20"/>
              </w:rPr>
              <w:t>Manner of administration and form</w:t>
            </w:r>
          </w:p>
        </w:tc>
        <w:tc>
          <w:tcPr>
            <w:tcW w:w="598" w:type="pct"/>
            <w:tcBorders>
              <w:bottom w:val="single" w:sz="4" w:space="0" w:color="auto"/>
            </w:tcBorders>
          </w:tcPr>
          <w:p w:rsidR="00525CB9" w:rsidRDefault="00525CB9" w:rsidP="00525CB9">
            <w:pPr>
              <w:keepNext/>
              <w:jc w:val="center"/>
              <w:rPr>
                <w:sz w:val="20"/>
              </w:rPr>
            </w:pPr>
            <w:r>
              <w:rPr>
                <w:sz w:val="20"/>
              </w:rPr>
              <w:t>Max.</w:t>
            </w:r>
          </w:p>
          <w:p w:rsidR="00525CB9" w:rsidRDefault="00525CB9" w:rsidP="00525CB9">
            <w:pPr>
              <w:keepNext/>
              <w:jc w:val="center"/>
              <w:rPr>
                <w:sz w:val="20"/>
              </w:rPr>
            </w:pPr>
            <w:proofErr w:type="spellStart"/>
            <w:r>
              <w:rPr>
                <w:sz w:val="20"/>
              </w:rPr>
              <w:t>Amt</w:t>
            </w:r>
            <w:proofErr w:type="spellEnd"/>
          </w:p>
        </w:tc>
        <w:tc>
          <w:tcPr>
            <w:tcW w:w="844" w:type="pct"/>
            <w:tcBorders>
              <w:bottom w:val="single" w:sz="4" w:space="0" w:color="auto"/>
            </w:tcBorders>
          </w:tcPr>
          <w:p w:rsidR="00525CB9" w:rsidRDefault="00525CB9" w:rsidP="00525CB9">
            <w:pPr>
              <w:keepNext/>
              <w:jc w:val="center"/>
              <w:rPr>
                <w:sz w:val="20"/>
              </w:rPr>
            </w:pPr>
            <w:r>
              <w:rPr>
                <w:sz w:val="20"/>
              </w:rPr>
              <w:t>№.of</w:t>
            </w:r>
          </w:p>
          <w:p w:rsidR="00525CB9" w:rsidRDefault="00525CB9" w:rsidP="00525CB9">
            <w:pPr>
              <w:keepNext/>
              <w:jc w:val="center"/>
              <w:rPr>
                <w:sz w:val="20"/>
              </w:rPr>
            </w:pPr>
            <w:r>
              <w:rPr>
                <w:sz w:val="20"/>
              </w:rPr>
              <w:t>Rpts</w:t>
            </w:r>
          </w:p>
        </w:tc>
        <w:tc>
          <w:tcPr>
            <w:tcW w:w="1535" w:type="pct"/>
            <w:gridSpan w:val="2"/>
            <w:tcBorders>
              <w:bottom w:val="single" w:sz="4" w:space="0" w:color="auto"/>
            </w:tcBorders>
          </w:tcPr>
          <w:p w:rsidR="00525CB9" w:rsidRDefault="00525CB9" w:rsidP="00525CB9">
            <w:pPr>
              <w:keepNext/>
              <w:jc w:val="center"/>
              <w:rPr>
                <w:sz w:val="20"/>
                <w:lang w:val="fr-FR"/>
              </w:rPr>
            </w:pPr>
            <w:r>
              <w:rPr>
                <w:sz w:val="20"/>
              </w:rPr>
              <w:t>Proprietary Name and Manufacturer</w:t>
            </w:r>
          </w:p>
        </w:tc>
      </w:tr>
      <w:tr w:rsidR="00525CB9" w:rsidRPr="00A939CD" w:rsidTr="00525CB9">
        <w:trPr>
          <w:cantSplit/>
          <w:trHeight w:val="577"/>
        </w:trPr>
        <w:tc>
          <w:tcPr>
            <w:tcW w:w="2023" w:type="pct"/>
            <w:gridSpan w:val="2"/>
          </w:tcPr>
          <w:p w:rsidR="00525CB9" w:rsidRDefault="00525CB9" w:rsidP="00525CB9">
            <w:pPr>
              <w:keepNext/>
              <w:rPr>
                <w:sz w:val="20"/>
              </w:rPr>
            </w:pPr>
            <w:r>
              <w:rPr>
                <w:smallCaps/>
                <w:sz w:val="20"/>
              </w:rPr>
              <w:t>Arsenic trioxide</w:t>
            </w:r>
          </w:p>
          <w:p w:rsidR="00525CB9" w:rsidRDefault="00525CB9" w:rsidP="00525CB9">
            <w:pPr>
              <w:keepNext/>
              <w:rPr>
                <w:sz w:val="20"/>
              </w:rPr>
            </w:pPr>
            <w:r>
              <w:rPr>
                <w:sz w:val="20"/>
              </w:rPr>
              <w:t>10mg/ml injection, 10x10mL vials</w:t>
            </w:r>
          </w:p>
        </w:tc>
        <w:tc>
          <w:tcPr>
            <w:tcW w:w="598" w:type="pct"/>
          </w:tcPr>
          <w:p w:rsidR="00525CB9" w:rsidRDefault="00525CB9" w:rsidP="00525CB9">
            <w:pPr>
              <w:keepNext/>
              <w:jc w:val="center"/>
              <w:rPr>
                <w:sz w:val="20"/>
              </w:rPr>
            </w:pPr>
          </w:p>
          <w:p w:rsidR="00525CB9" w:rsidRDefault="00525CB9" w:rsidP="00525CB9">
            <w:pPr>
              <w:keepNext/>
              <w:jc w:val="center"/>
              <w:rPr>
                <w:sz w:val="20"/>
              </w:rPr>
            </w:pPr>
            <w:r>
              <w:rPr>
                <w:sz w:val="20"/>
              </w:rPr>
              <w:t>18mg</w:t>
            </w:r>
          </w:p>
        </w:tc>
        <w:tc>
          <w:tcPr>
            <w:tcW w:w="844" w:type="pct"/>
          </w:tcPr>
          <w:p w:rsidR="00525CB9" w:rsidRPr="00DA52CE" w:rsidRDefault="00525CB9" w:rsidP="00525CB9">
            <w:pPr>
              <w:keepNext/>
              <w:jc w:val="center"/>
              <w:rPr>
                <w:sz w:val="20"/>
              </w:rPr>
            </w:pPr>
          </w:p>
          <w:p w:rsidR="00525CB9" w:rsidRPr="00DA52CE" w:rsidRDefault="00525CB9" w:rsidP="00525CB9">
            <w:pPr>
              <w:keepNext/>
              <w:jc w:val="center"/>
              <w:rPr>
                <w:sz w:val="20"/>
              </w:rPr>
            </w:pPr>
            <w:r w:rsidRPr="00DA52CE">
              <w:rPr>
                <w:sz w:val="20"/>
              </w:rPr>
              <w:t>140</w:t>
            </w:r>
          </w:p>
        </w:tc>
        <w:tc>
          <w:tcPr>
            <w:tcW w:w="638" w:type="pct"/>
          </w:tcPr>
          <w:p w:rsidR="00525CB9" w:rsidRPr="00935198" w:rsidRDefault="00525CB9" w:rsidP="00525CB9">
            <w:pPr>
              <w:keepNext/>
              <w:jc w:val="center"/>
              <w:rPr>
                <w:smallCaps/>
                <w:sz w:val="20"/>
                <w:vertAlign w:val="superscript"/>
              </w:rPr>
            </w:pPr>
            <w:proofErr w:type="spellStart"/>
            <w:r>
              <w:rPr>
                <w:smallCaps/>
                <w:sz w:val="20"/>
              </w:rPr>
              <w:t>Phenasen</w:t>
            </w:r>
            <w:proofErr w:type="spellEnd"/>
            <w:r>
              <w:rPr>
                <w:smallCaps/>
                <w:sz w:val="20"/>
                <w:vertAlign w:val="superscript"/>
              </w:rPr>
              <w:t>®</w:t>
            </w:r>
          </w:p>
        </w:tc>
        <w:tc>
          <w:tcPr>
            <w:tcW w:w="897" w:type="pct"/>
          </w:tcPr>
          <w:p w:rsidR="00525CB9" w:rsidRDefault="00525CB9" w:rsidP="00525CB9">
            <w:pPr>
              <w:keepNext/>
              <w:jc w:val="center"/>
              <w:rPr>
                <w:sz w:val="20"/>
              </w:rPr>
            </w:pPr>
            <w:proofErr w:type="spellStart"/>
            <w:r>
              <w:rPr>
                <w:sz w:val="20"/>
              </w:rPr>
              <w:t>Phebra</w:t>
            </w:r>
            <w:proofErr w:type="spellEnd"/>
          </w:p>
        </w:tc>
      </w:tr>
      <w:tr w:rsidR="00156B5B" w:rsidRPr="00A30A33" w:rsidTr="00525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56B5B" w:rsidRPr="00A30A33" w:rsidRDefault="00156B5B" w:rsidP="00525CB9">
            <w:pPr>
              <w:snapToGrid w:val="0"/>
              <w:spacing w:line="20" w:lineRule="atLeast"/>
              <w:rPr>
                <w:lang w:eastAsia="en-AU"/>
              </w:rPr>
            </w:pPr>
            <w:r w:rsidRPr="00A30A33">
              <w:rPr>
                <w:rFonts w:ascii="Arial Narrow" w:hAnsi="Arial Narrow"/>
                <w:b/>
                <w:bCs/>
                <w:sz w:val="20"/>
                <w:lang w:eastAsia="en-AU"/>
              </w:rPr>
              <w:t xml:space="preserve">Treatment phase: </w:t>
            </w:r>
            <w:r>
              <w:rPr>
                <w:rFonts w:ascii="Arial Narrow" w:hAnsi="Arial Narrow"/>
                <w:b/>
                <w:bCs/>
                <w:sz w:val="20"/>
                <w:lang w:eastAsia="en-AU"/>
              </w:rPr>
              <w:t>Induction and consolidation</w:t>
            </w:r>
          </w:p>
        </w:tc>
      </w:tr>
      <w:tr w:rsidR="00156B5B" w:rsidRPr="00487911" w:rsidTr="00525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2" w:type="pct"/>
            <w:tcBorders>
              <w:top w:val="single" w:sz="4" w:space="0" w:color="auto"/>
              <w:left w:val="single" w:sz="4" w:space="0" w:color="auto"/>
              <w:bottom w:val="single" w:sz="4" w:space="0" w:color="auto"/>
              <w:right w:val="single" w:sz="4" w:space="0" w:color="auto"/>
            </w:tcBorders>
            <w:hideMark/>
          </w:tcPr>
          <w:p w:rsidR="00156B5B" w:rsidRPr="00487911" w:rsidRDefault="00156B5B" w:rsidP="00525CB9">
            <w:pPr>
              <w:pStyle w:val="Tabletext"/>
            </w:pPr>
            <w:r w:rsidRPr="00487911">
              <w:t>Condition</w:t>
            </w:r>
          </w:p>
        </w:tc>
        <w:tc>
          <w:tcPr>
            <w:tcW w:w="4498" w:type="pct"/>
            <w:gridSpan w:val="5"/>
            <w:tcBorders>
              <w:top w:val="single" w:sz="4" w:space="0" w:color="auto"/>
              <w:left w:val="single" w:sz="4" w:space="0" w:color="auto"/>
              <w:bottom w:val="single" w:sz="4" w:space="0" w:color="auto"/>
              <w:right w:val="single" w:sz="4" w:space="0" w:color="auto"/>
            </w:tcBorders>
          </w:tcPr>
          <w:p w:rsidR="00156B5B" w:rsidRPr="00487911" w:rsidRDefault="00156B5B" w:rsidP="00525CB9">
            <w:pPr>
              <w:pStyle w:val="Tabletext"/>
            </w:pPr>
            <w:r w:rsidRPr="00487911">
              <w:t xml:space="preserve">Acute </w:t>
            </w:r>
            <w:proofErr w:type="spellStart"/>
            <w:r>
              <w:t>p</w:t>
            </w:r>
            <w:r w:rsidRPr="00487911">
              <w:t>romyelocytic</w:t>
            </w:r>
            <w:proofErr w:type="spellEnd"/>
            <w:r w:rsidRPr="00487911">
              <w:t xml:space="preserve"> leukaemia</w:t>
            </w:r>
          </w:p>
        </w:tc>
      </w:tr>
      <w:tr w:rsidR="00156B5B" w:rsidRPr="00A30A33" w:rsidTr="00525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2" w:type="pct"/>
            <w:tcBorders>
              <w:top w:val="single" w:sz="4" w:space="0" w:color="auto"/>
              <w:left w:val="single" w:sz="4" w:space="0" w:color="auto"/>
              <w:bottom w:val="single" w:sz="4" w:space="0" w:color="auto"/>
              <w:right w:val="single" w:sz="4" w:space="0" w:color="auto"/>
            </w:tcBorders>
            <w:hideMark/>
          </w:tcPr>
          <w:p w:rsidR="00156B5B" w:rsidRPr="00A30A33" w:rsidRDefault="00156B5B" w:rsidP="00525CB9">
            <w:pPr>
              <w:pStyle w:val="Tabletext"/>
              <w:rPr>
                <w:rFonts w:ascii="Arial" w:hAnsi="Arial"/>
                <w:sz w:val="22"/>
                <w:lang w:eastAsia="en-AU"/>
              </w:rPr>
            </w:pPr>
            <w:r w:rsidRPr="00A30A33">
              <w:rPr>
                <w:lang w:eastAsia="en-AU"/>
              </w:rPr>
              <w:t>Restriction</w:t>
            </w:r>
          </w:p>
        </w:tc>
        <w:tc>
          <w:tcPr>
            <w:tcW w:w="4498" w:type="pct"/>
            <w:gridSpan w:val="5"/>
            <w:tcBorders>
              <w:top w:val="single" w:sz="4" w:space="0" w:color="auto"/>
              <w:left w:val="single" w:sz="4" w:space="0" w:color="auto"/>
              <w:bottom w:val="single" w:sz="4" w:space="0" w:color="auto"/>
              <w:right w:val="single" w:sz="4" w:space="0" w:color="auto"/>
            </w:tcBorders>
          </w:tcPr>
          <w:p w:rsidR="00156B5B" w:rsidRPr="00A30A33" w:rsidRDefault="00156B5B" w:rsidP="00525CB9">
            <w:pPr>
              <w:pStyle w:val="Tabletext"/>
              <w:rPr>
                <w:rFonts w:ascii="Arial" w:hAnsi="Arial"/>
                <w:sz w:val="22"/>
                <w:lang w:eastAsia="en-AU"/>
              </w:rPr>
            </w:pPr>
            <w:r>
              <w:rPr>
                <w:lang w:eastAsia="en-AU"/>
              </w:rPr>
              <w:t>Authority Required (STREAMLINED)</w:t>
            </w:r>
          </w:p>
        </w:tc>
      </w:tr>
      <w:tr w:rsidR="00BF22DC" w:rsidRPr="00A30A33" w:rsidTr="00525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2" w:type="pct"/>
            <w:tcBorders>
              <w:top w:val="single" w:sz="4" w:space="0" w:color="auto"/>
              <w:left w:val="single" w:sz="4" w:space="0" w:color="auto"/>
              <w:bottom w:val="single" w:sz="4" w:space="0" w:color="auto"/>
              <w:right w:val="single" w:sz="4" w:space="0" w:color="auto"/>
            </w:tcBorders>
          </w:tcPr>
          <w:p w:rsidR="00BF22DC" w:rsidRPr="00A30A33" w:rsidRDefault="00BF22DC" w:rsidP="00525CB9">
            <w:pPr>
              <w:pStyle w:val="Tabletext"/>
              <w:rPr>
                <w:lang w:eastAsia="en-AU"/>
              </w:rPr>
            </w:pPr>
            <w:r>
              <w:rPr>
                <w:lang w:eastAsia="en-AU"/>
              </w:rPr>
              <w:t>Clinical criteria</w:t>
            </w:r>
          </w:p>
        </w:tc>
        <w:tc>
          <w:tcPr>
            <w:tcW w:w="4498" w:type="pct"/>
            <w:gridSpan w:val="5"/>
            <w:tcBorders>
              <w:top w:val="single" w:sz="4" w:space="0" w:color="auto"/>
              <w:left w:val="single" w:sz="4" w:space="0" w:color="auto"/>
              <w:bottom w:val="single" w:sz="4" w:space="0" w:color="auto"/>
              <w:right w:val="single" w:sz="4" w:space="0" w:color="auto"/>
            </w:tcBorders>
          </w:tcPr>
          <w:p w:rsidR="00BF22DC" w:rsidRDefault="00BF22DC" w:rsidP="00525CB9">
            <w:pPr>
              <w:pStyle w:val="Tabletext"/>
              <w:rPr>
                <w:lang w:eastAsia="en-AU"/>
              </w:rPr>
            </w:pPr>
            <w:r>
              <w:rPr>
                <w:lang w:eastAsia="en-AU"/>
              </w:rPr>
              <w:t xml:space="preserve">The condition must be characterised by the presence of the t(15:17) translocation or PML/RAR-alpha fusion gene transcript </w:t>
            </w:r>
          </w:p>
        </w:tc>
      </w:tr>
    </w:tbl>
    <w:p w:rsidR="00FB14B1" w:rsidRDefault="00FB14B1">
      <w:pPr>
        <w:widowControl/>
        <w:jc w:val="left"/>
        <w:rPr>
          <w:b/>
          <w:szCs w:val="22"/>
        </w:rPr>
      </w:pPr>
    </w:p>
    <w:p w:rsidR="007C028C" w:rsidRPr="006D54A5" w:rsidRDefault="007C028C" w:rsidP="007C028C">
      <w:pPr>
        <w:widowControl/>
        <w:jc w:val="left"/>
        <w:rPr>
          <w:bCs/>
          <w:szCs w:val="22"/>
        </w:rPr>
      </w:pPr>
    </w:p>
    <w:p w:rsidR="007C028C" w:rsidRPr="002A5741" w:rsidRDefault="007C028C" w:rsidP="00B66174">
      <w:pPr>
        <w:pStyle w:val="PBACHeading1"/>
        <w:rPr>
          <w:rFonts w:eastAsia="SimSun"/>
        </w:rPr>
      </w:pPr>
      <w:r w:rsidRPr="002A5741">
        <w:rPr>
          <w:rFonts w:eastAsia="SimSun"/>
        </w:rPr>
        <w:t>Context for Decision</w:t>
      </w:r>
    </w:p>
    <w:p w:rsidR="007C028C" w:rsidRDefault="007C028C" w:rsidP="007C028C">
      <w:pPr>
        <w:ind w:left="720"/>
        <w:contextualSpacing/>
        <w:rPr>
          <w:rFonts w:ascii="Times New Roman" w:hAnsi="Times New Roman" w:cs="Times New Roman"/>
          <w:b/>
          <w:sz w:val="24"/>
          <w:szCs w:val="24"/>
          <w:lang w:eastAsia="en-AU"/>
        </w:rPr>
      </w:pPr>
    </w:p>
    <w:p w:rsidR="007C028C" w:rsidRPr="009D7BEE" w:rsidRDefault="007C028C" w:rsidP="007C028C">
      <w:pPr>
        <w:ind w:left="720"/>
        <w:rPr>
          <w:bCs/>
          <w:szCs w:val="22"/>
        </w:rPr>
      </w:pPr>
      <w:r w:rsidRPr="009D7BEE">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C028C" w:rsidRDefault="007C028C" w:rsidP="007C028C">
      <w:pPr>
        <w:rPr>
          <w:rFonts w:ascii="Times New Roman" w:hAnsi="Times New Roman" w:cs="Times New Roman"/>
          <w:snapToGrid/>
          <w:sz w:val="24"/>
          <w:szCs w:val="24"/>
        </w:rPr>
      </w:pPr>
    </w:p>
    <w:p w:rsidR="007C028C" w:rsidRPr="002A5741" w:rsidRDefault="007C028C" w:rsidP="00B66174">
      <w:pPr>
        <w:pStyle w:val="PBACHeading1"/>
        <w:rPr>
          <w:rFonts w:eastAsia="SimSun"/>
        </w:rPr>
      </w:pPr>
      <w:r w:rsidRPr="002A5741">
        <w:rPr>
          <w:rFonts w:eastAsia="SimSun"/>
        </w:rPr>
        <w:t>Sponsor’s Comment</w:t>
      </w:r>
    </w:p>
    <w:p w:rsidR="007C028C" w:rsidRDefault="007C028C" w:rsidP="007C028C">
      <w:pPr>
        <w:tabs>
          <w:tab w:val="left" w:pos="2940"/>
        </w:tabs>
        <w:rPr>
          <w:rFonts w:cs="Times New Roman"/>
          <w:szCs w:val="22"/>
          <w:lang w:eastAsia="en-AU"/>
        </w:rPr>
      </w:pPr>
    </w:p>
    <w:p w:rsidR="006D62B4" w:rsidRPr="00B66174" w:rsidRDefault="006D62B4" w:rsidP="00B66174">
      <w:pPr>
        <w:ind w:left="720"/>
      </w:pPr>
      <w:proofErr w:type="spellStart"/>
      <w:r w:rsidRPr="00B66174">
        <w:t>Phebra</w:t>
      </w:r>
      <w:proofErr w:type="spellEnd"/>
      <w:r w:rsidRPr="00B66174">
        <w:t xml:space="preserve"> welcomes the PBAC’s recommendation to extend the PBS listing of </w:t>
      </w:r>
      <w:proofErr w:type="spellStart"/>
      <w:r w:rsidRPr="00B66174">
        <w:t>Phenasen</w:t>
      </w:r>
      <w:proofErr w:type="spellEnd"/>
      <w:r w:rsidRPr="00B66174">
        <w:t xml:space="preserve"> Injection to include the first line treatment of patients with APL. </w:t>
      </w:r>
    </w:p>
    <w:p w:rsidR="007C028C" w:rsidRDefault="007C028C" w:rsidP="006D62B4">
      <w:pPr>
        <w:widowControl/>
        <w:ind w:left="720"/>
        <w:jc w:val="left"/>
        <w:rPr>
          <w:b/>
          <w:szCs w:val="22"/>
        </w:rPr>
      </w:pPr>
    </w:p>
    <w:sectPr w:rsidR="007C028C" w:rsidSect="00790CD9">
      <w:headerReference w:type="default" r:id="rId10"/>
      <w:footerReference w:type="default" r:id="rId11"/>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FF" w:rsidRDefault="008861FF" w:rsidP="00124A51">
      <w:r>
        <w:separator/>
      </w:r>
    </w:p>
  </w:endnote>
  <w:endnote w:type="continuationSeparator" w:id="0">
    <w:p w:rsidR="008861FF" w:rsidRDefault="008861F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073"/>
      <w:docPartObj>
        <w:docPartGallery w:val="Page Numbers (Bottom of Page)"/>
        <w:docPartUnique/>
      </w:docPartObj>
    </w:sdtPr>
    <w:sdtEndPr>
      <w:rPr>
        <w:noProof/>
      </w:rPr>
    </w:sdtEndPr>
    <w:sdtContent>
      <w:p w:rsidR="006D62B4" w:rsidRDefault="006D62B4">
        <w:pPr>
          <w:pStyle w:val="Footer"/>
          <w:jc w:val="center"/>
        </w:pPr>
        <w:r>
          <w:fldChar w:fldCharType="begin"/>
        </w:r>
        <w:r>
          <w:instrText xml:space="preserve"> PAGE   \* MERGEFORMAT </w:instrText>
        </w:r>
        <w:r>
          <w:fldChar w:fldCharType="separate"/>
        </w:r>
        <w:r w:rsidR="001D1049">
          <w:rPr>
            <w:noProof/>
          </w:rPr>
          <w:t>18</w:t>
        </w:r>
        <w:r>
          <w:rPr>
            <w:noProof/>
          </w:rPr>
          <w:fldChar w:fldCharType="end"/>
        </w:r>
      </w:p>
    </w:sdtContent>
  </w:sdt>
  <w:p w:rsidR="006D62B4" w:rsidRDefault="006D6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FF" w:rsidRDefault="008861FF" w:rsidP="00124A51">
      <w:r>
        <w:separator/>
      </w:r>
    </w:p>
  </w:footnote>
  <w:footnote w:type="continuationSeparator" w:id="0">
    <w:p w:rsidR="008861FF" w:rsidRDefault="008861FF" w:rsidP="00124A51">
      <w:r>
        <w:continuationSeparator/>
      </w:r>
    </w:p>
  </w:footnote>
  <w:footnote w:id="1">
    <w:p w:rsidR="006D62B4" w:rsidRPr="005169F5" w:rsidRDefault="006D62B4" w:rsidP="00F40789">
      <w:pPr>
        <w:pStyle w:val="FootnoteText"/>
        <w:rPr>
          <w:rFonts w:ascii="Arial Narrow" w:hAnsi="Arial Narrow"/>
          <w:sz w:val="18"/>
        </w:rPr>
      </w:pPr>
      <w:r w:rsidRPr="005169F5">
        <w:rPr>
          <w:rStyle w:val="FootnoteReference"/>
          <w:rFonts w:ascii="Arial Narrow" w:hAnsi="Arial Narrow"/>
          <w:sz w:val="18"/>
        </w:rPr>
        <w:footnoteRef/>
      </w:r>
      <w:r w:rsidRPr="005169F5">
        <w:rPr>
          <w:rFonts w:ascii="Arial Narrow" w:hAnsi="Arial Narrow"/>
          <w:sz w:val="18"/>
        </w:rPr>
        <w:t xml:space="preserve"> References: </w:t>
      </w:r>
    </w:p>
    <w:p w:rsidR="006D62B4" w:rsidRPr="005169F5" w:rsidRDefault="006D62B4" w:rsidP="00AC6353">
      <w:pPr>
        <w:pStyle w:val="FootnoteText"/>
        <w:rPr>
          <w:rFonts w:ascii="Arial Narrow" w:hAnsi="Arial Narrow" w:cs="Segoe UI"/>
          <w:snapToGrid/>
          <w:sz w:val="18"/>
          <w:lang w:eastAsia="en-AU"/>
        </w:rPr>
      </w:pPr>
      <w:proofErr w:type="gramStart"/>
      <w:r w:rsidRPr="005169F5">
        <w:rPr>
          <w:rFonts w:ascii="Arial Narrow" w:hAnsi="Arial Narrow" w:cs="Segoe UI"/>
          <w:snapToGrid/>
          <w:sz w:val="18"/>
          <w:lang w:eastAsia="en-AU"/>
        </w:rPr>
        <w:t>National Comprehensive Cancer Network.</w:t>
      </w:r>
      <w:proofErr w:type="gramEnd"/>
      <w:r w:rsidRPr="005169F5">
        <w:rPr>
          <w:rFonts w:ascii="Arial Narrow" w:hAnsi="Arial Narrow" w:cs="Segoe UI"/>
          <w:snapToGrid/>
          <w:sz w:val="18"/>
          <w:lang w:eastAsia="en-AU"/>
        </w:rPr>
        <w:t xml:space="preserve"> NCCN Guidelines: Acute Myeloid Leukaemia, Version 1.20152015 17 July 2015 cited 2015; (Version 1.2015). Available from: </w:t>
      </w:r>
      <w:hyperlink r:id="rId1" w:history="1">
        <w:r w:rsidRPr="005169F5">
          <w:rPr>
            <w:rStyle w:val="Hyperlink"/>
            <w:rFonts w:ascii="Arial Narrow" w:hAnsi="Arial Narrow" w:cs="Segoe UI"/>
            <w:snapToGrid/>
            <w:sz w:val="18"/>
            <w:lang w:eastAsia="en-AU"/>
          </w:rPr>
          <w:t>http://www.nccn.org</w:t>
        </w:r>
      </w:hyperlink>
      <w:r w:rsidRPr="005169F5">
        <w:rPr>
          <w:rFonts w:ascii="Arial Narrow" w:hAnsi="Arial Narrow" w:cs="Segoe UI"/>
          <w:snapToGrid/>
          <w:sz w:val="18"/>
          <w:lang w:eastAsia="en-AU"/>
        </w:rPr>
        <w:t>.</w:t>
      </w:r>
    </w:p>
    <w:p w:rsidR="006D62B4" w:rsidRPr="005169F5" w:rsidRDefault="006D62B4" w:rsidP="00AC6353">
      <w:pPr>
        <w:pStyle w:val="FootnoteText"/>
        <w:ind w:left="14" w:hanging="14"/>
        <w:rPr>
          <w:rFonts w:ascii="Arial Narrow" w:hAnsi="Arial Narrow"/>
          <w:sz w:val="18"/>
        </w:rPr>
      </w:pPr>
      <w:proofErr w:type="spellStart"/>
      <w:r w:rsidRPr="005169F5">
        <w:rPr>
          <w:rFonts w:ascii="Arial Narrow" w:hAnsi="Arial Narrow" w:cs="Segoe UI"/>
          <w:snapToGrid/>
          <w:sz w:val="18"/>
          <w:lang w:eastAsia="en-AU"/>
        </w:rPr>
        <w:t>Sanz</w:t>
      </w:r>
      <w:proofErr w:type="spellEnd"/>
      <w:r w:rsidRPr="005169F5">
        <w:rPr>
          <w:rFonts w:ascii="Arial Narrow" w:hAnsi="Arial Narrow" w:cs="Segoe UI"/>
          <w:snapToGrid/>
          <w:sz w:val="18"/>
          <w:lang w:eastAsia="en-AU"/>
        </w:rPr>
        <w:t xml:space="preserve"> MA, Grimwade D, Tallman MS, </w:t>
      </w:r>
      <w:proofErr w:type="spellStart"/>
      <w:r w:rsidRPr="005169F5">
        <w:rPr>
          <w:rFonts w:ascii="Arial Narrow" w:hAnsi="Arial Narrow" w:cs="Segoe UI"/>
          <w:snapToGrid/>
          <w:sz w:val="18"/>
          <w:lang w:eastAsia="en-AU"/>
        </w:rPr>
        <w:t>Lowenberg</w:t>
      </w:r>
      <w:proofErr w:type="spellEnd"/>
      <w:r w:rsidRPr="005169F5">
        <w:rPr>
          <w:rFonts w:ascii="Arial Narrow" w:hAnsi="Arial Narrow" w:cs="Segoe UI"/>
          <w:snapToGrid/>
          <w:sz w:val="18"/>
          <w:lang w:eastAsia="en-AU"/>
        </w:rPr>
        <w:t xml:space="preserve"> B, </w:t>
      </w:r>
      <w:proofErr w:type="spellStart"/>
      <w:r w:rsidRPr="005169F5">
        <w:rPr>
          <w:rFonts w:ascii="Arial Narrow" w:hAnsi="Arial Narrow" w:cs="Segoe UI"/>
          <w:snapToGrid/>
          <w:sz w:val="18"/>
          <w:lang w:eastAsia="en-AU"/>
        </w:rPr>
        <w:t>Fenaux</w:t>
      </w:r>
      <w:proofErr w:type="spellEnd"/>
      <w:r w:rsidRPr="005169F5">
        <w:rPr>
          <w:rFonts w:ascii="Arial Narrow" w:hAnsi="Arial Narrow" w:cs="Segoe UI"/>
          <w:snapToGrid/>
          <w:sz w:val="18"/>
          <w:lang w:eastAsia="en-AU"/>
        </w:rPr>
        <w:t xml:space="preserve"> P, </w:t>
      </w:r>
      <w:proofErr w:type="spellStart"/>
      <w:r w:rsidRPr="005169F5">
        <w:rPr>
          <w:rFonts w:ascii="Arial Narrow" w:hAnsi="Arial Narrow" w:cs="Segoe UI"/>
          <w:snapToGrid/>
          <w:sz w:val="18"/>
          <w:lang w:eastAsia="en-AU"/>
        </w:rPr>
        <w:t>Estey</w:t>
      </w:r>
      <w:proofErr w:type="spellEnd"/>
      <w:r w:rsidRPr="005169F5">
        <w:rPr>
          <w:rFonts w:ascii="Arial Narrow" w:hAnsi="Arial Narrow" w:cs="Segoe UI"/>
          <w:snapToGrid/>
          <w:sz w:val="18"/>
          <w:lang w:eastAsia="en-AU"/>
        </w:rPr>
        <w:t xml:space="preserve"> EH, et al. Management of acute </w:t>
      </w:r>
      <w:proofErr w:type="spellStart"/>
      <w:r w:rsidRPr="005169F5">
        <w:rPr>
          <w:rFonts w:ascii="Arial Narrow" w:hAnsi="Arial Narrow" w:cs="Segoe UI"/>
          <w:snapToGrid/>
          <w:sz w:val="18"/>
          <w:lang w:eastAsia="en-AU"/>
        </w:rPr>
        <w:t>promyelocytic</w:t>
      </w:r>
      <w:proofErr w:type="spellEnd"/>
      <w:r w:rsidRPr="005169F5">
        <w:rPr>
          <w:rFonts w:ascii="Arial Narrow" w:hAnsi="Arial Narrow" w:cs="Segoe UI"/>
          <w:snapToGrid/>
          <w:sz w:val="18"/>
          <w:lang w:eastAsia="en-AU"/>
        </w:rPr>
        <w:t xml:space="preserve"> </w:t>
      </w:r>
      <w:proofErr w:type="spellStart"/>
      <w:r w:rsidRPr="005169F5">
        <w:rPr>
          <w:rFonts w:ascii="Arial Narrow" w:hAnsi="Arial Narrow" w:cs="Segoe UI"/>
          <w:snapToGrid/>
          <w:sz w:val="18"/>
          <w:lang w:eastAsia="en-AU"/>
        </w:rPr>
        <w:t>leukemia</w:t>
      </w:r>
      <w:proofErr w:type="spellEnd"/>
      <w:r w:rsidRPr="005169F5">
        <w:rPr>
          <w:rFonts w:ascii="Arial Narrow" w:hAnsi="Arial Narrow" w:cs="Segoe UI"/>
          <w:snapToGrid/>
          <w:sz w:val="18"/>
          <w:lang w:eastAsia="en-AU"/>
        </w:rPr>
        <w:t xml:space="preserve">: recommendations from an expert panel on behalf of the European </w:t>
      </w:r>
      <w:proofErr w:type="spellStart"/>
      <w:r w:rsidRPr="005169F5">
        <w:rPr>
          <w:rFonts w:ascii="Arial Narrow" w:hAnsi="Arial Narrow" w:cs="Segoe UI"/>
          <w:snapToGrid/>
          <w:sz w:val="18"/>
          <w:lang w:eastAsia="en-AU"/>
        </w:rPr>
        <w:t>LeukemiaNet</w:t>
      </w:r>
      <w:proofErr w:type="spellEnd"/>
      <w:r w:rsidRPr="005169F5">
        <w:rPr>
          <w:rFonts w:ascii="Arial Narrow" w:hAnsi="Arial Narrow" w:cs="Segoe UI"/>
          <w:snapToGrid/>
          <w:sz w:val="18"/>
          <w:lang w:eastAsia="en-AU"/>
        </w:rPr>
        <w:t xml:space="preserve">. </w:t>
      </w:r>
      <w:proofErr w:type="gramStart"/>
      <w:r w:rsidRPr="005169F5">
        <w:rPr>
          <w:rFonts w:ascii="Arial Narrow" w:hAnsi="Arial Narrow" w:cs="Segoe UI"/>
          <w:snapToGrid/>
          <w:sz w:val="18"/>
          <w:lang w:eastAsia="en-AU"/>
        </w:rPr>
        <w:t>Blood.</w:t>
      </w:r>
      <w:proofErr w:type="gramEnd"/>
      <w:r w:rsidRPr="005169F5">
        <w:rPr>
          <w:rFonts w:ascii="Arial Narrow" w:hAnsi="Arial Narrow" w:cs="Segoe UI"/>
          <w:snapToGrid/>
          <w:sz w:val="18"/>
          <w:lang w:eastAsia="en-AU"/>
        </w:rPr>
        <w:t xml:space="preserve"> 2009</w:t>
      </w:r>
      <w:proofErr w:type="gramStart"/>
      <w:r w:rsidRPr="005169F5">
        <w:rPr>
          <w:rFonts w:ascii="Arial Narrow" w:hAnsi="Arial Narrow" w:cs="Segoe UI"/>
          <w:snapToGrid/>
          <w:sz w:val="18"/>
          <w:lang w:eastAsia="en-AU"/>
        </w:rPr>
        <w:t>;113</w:t>
      </w:r>
      <w:proofErr w:type="gramEnd"/>
      <w:r w:rsidRPr="005169F5">
        <w:rPr>
          <w:rFonts w:ascii="Arial Narrow" w:hAnsi="Arial Narrow" w:cs="Segoe UI"/>
          <w:snapToGrid/>
          <w:sz w:val="18"/>
          <w:lang w:eastAsia="en-AU"/>
        </w:rPr>
        <w:t xml:space="preserve">(9):1875-91. </w:t>
      </w:r>
      <w:proofErr w:type="spellStart"/>
      <w:r w:rsidRPr="005169F5">
        <w:rPr>
          <w:rFonts w:ascii="Arial Narrow" w:hAnsi="Arial Narrow" w:cs="Segoe UI"/>
          <w:snapToGrid/>
          <w:sz w:val="18"/>
          <w:lang w:eastAsia="en-AU"/>
        </w:rPr>
        <w:t>Epub</w:t>
      </w:r>
      <w:proofErr w:type="spellEnd"/>
      <w:r w:rsidRPr="005169F5">
        <w:rPr>
          <w:rFonts w:ascii="Arial Narrow" w:hAnsi="Arial Narrow" w:cs="Segoe UI"/>
          <w:snapToGrid/>
          <w:sz w:val="18"/>
          <w:lang w:eastAsia="en-AU"/>
        </w:rPr>
        <w:t xml:space="preserve"> 2008/09/25</w:t>
      </w:r>
    </w:p>
  </w:footnote>
  <w:footnote w:id="2">
    <w:p w:rsidR="006D62B4" w:rsidRPr="005169F5" w:rsidRDefault="006D62B4" w:rsidP="00AC6353">
      <w:pPr>
        <w:pStyle w:val="FootnoteText"/>
        <w:rPr>
          <w:rFonts w:ascii="Arial Narrow" w:hAnsi="Arial Narrow"/>
          <w:sz w:val="18"/>
        </w:rPr>
      </w:pPr>
      <w:r w:rsidRPr="005169F5">
        <w:rPr>
          <w:rStyle w:val="FootnoteReference"/>
          <w:rFonts w:ascii="Arial Narrow" w:hAnsi="Arial Narrow"/>
          <w:sz w:val="18"/>
        </w:rPr>
        <w:footnoteRef/>
      </w:r>
      <w:r w:rsidRPr="005169F5">
        <w:rPr>
          <w:rFonts w:ascii="Arial Narrow" w:hAnsi="Arial Narrow"/>
          <w:sz w:val="18"/>
        </w:rPr>
        <w:t xml:space="preserve"> Reference: </w:t>
      </w:r>
      <w:r w:rsidRPr="005169F5">
        <w:rPr>
          <w:rFonts w:ascii="Arial Narrow" w:hAnsi="Arial Narrow" w:cs="Segoe UI"/>
          <w:snapToGrid/>
          <w:sz w:val="18"/>
          <w:lang w:eastAsia="en-AU"/>
        </w:rPr>
        <w:t xml:space="preserve">Coombs CC, </w:t>
      </w:r>
      <w:proofErr w:type="spellStart"/>
      <w:r w:rsidRPr="005169F5">
        <w:rPr>
          <w:rFonts w:ascii="Arial Narrow" w:hAnsi="Arial Narrow" w:cs="Segoe UI"/>
          <w:snapToGrid/>
          <w:sz w:val="18"/>
          <w:lang w:eastAsia="en-AU"/>
        </w:rPr>
        <w:t>Tavakkoli</w:t>
      </w:r>
      <w:proofErr w:type="spellEnd"/>
      <w:r w:rsidRPr="005169F5">
        <w:rPr>
          <w:rFonts w:ascii="Arial Narrow" w:hAnsi="Arial Narrow" w:cs="Segoe UI"/>
          <w:snapToGrid/>
          <w:sz w:val="18"/>
          <w:lang w:eastAsia="en-AU"/>
        </w:rPr>
        <w:t xml:space="preserve"> M, Tallman MS. Acute </w:t>
      </w:r>
      <w:proofErr w:type="spellStart"/>
      <w:r w:rsidRPr="005169F5">
        <w:rPr>
          <w:rFonts w:ascii="Arial Narrow" w:hAnsi="Arial Narrow" w:cs="Segoe UI"/>
          <w:snapToGrid/>
          <w:sz w:val="18"/>
          <w:lang w:eastAsia="en-AU"/>
        </w:rPr>
        <w:t>promyelocytic</w:t>
      </w:r>
      <w:proofErr w:type="spellEnd"/>
      <w:r w:rsidRPr="005169F5">
        <w:rPr>
          <w:rFonts w:ascii="Arial Narrow" w:hAnsi="Arial Narrow" w:cs="Segoe UI"/>
          <w:snapToGrid/>
          <w:sz w:val="18"/>
          <w:lang w:eastAsia="en-AU"/>
        </w:rPr>
        <w:t xml:space="preserve"> </w:t>
      </w:r>
      <w:proofErr w:type="spellStart"/>
      <w:r w:rsidRPr="005169F5">
        <w:rPr>
          <w:rFonts w:ascii="Arial Narrow" w:hAnsi="Arial Narrow" w:cs="Segoe UI"/>
          <w:snapToGrid/>
          <w:sz w:val="18"/>
          <w:lang w:eastAsia="en-AU"/>
        </w:rPr>
        <w:t>leukemia</w:t>
      </w:r>
      <w:proofErr w:type="spellEnd"/>
      <w:r w:rsidRPr="005169F5">
        <w:rPr>
          <w:rFonts w:ascii="Arial Narrow" w:hAnsi="Arial Narrow" w:cs="Segoe UI"/>
          <w:snapToGrid/>
          <w:sz w:val="18"/>
          <w:lang w:eastAsia="en-AU"/>
        </w:rPr>
        <w:t xml:space="preserve">: where did we start, where are we now, and the future. </w:t>
      </w:r>
      <w:proofErr w:type="gramStart"/>
      <w:r w:rsidRPr="005169F5">
        <w:rPr>
          <w:rFonts w:ascii="Arial Narrow" w:hAnsi="Arial Narrow" w:cs="Segoe UI"/>
          <w:snapToGrid/>
          <w:sz w:val="18"/>
          <w:lang w:eastAsia="en-AU"/>
        </w:rPr>
        <w:t>Blood Cancer Journal.</w:t>
      </w:r>
      <w:proofErr w:type="gramEnd"/>
      <w:r w:rsidRPr="005169F5">
        <w:rPr>
          <w:rFonts w:ascii="Arial Narrow" w:hAnsi="Arial Narrow" w:cs="Segoe UI"/>
          <w:snapToGrid/>
          <w:sz w:val="18"/>
          <w:lang w:eastAsia="en-AU"/>
        </w:rPr>
        <w:t xml:space="preserve"> 2015</w:t>
      </w:r>
      <w:proofErr w:type="gramStart"/>
      <w:r w:rsidRPr="005169F5">
        <w:rPr>
          <w:rFonts w:ascii="Arial Narrow" w:hAnsi="Arial Narrow" w:cs="Segoe UI"/>
          <w:snapToGrid/>
          <w:sz w:val="18"/>
          <w:lang w:eastAsia="en-AU"/>
        </w:rPr>
        <w:t>;5:e304</w:t>
      </w:r>
      <w:proofErr w:type="gramEnd"/>
      <w:r w:rsidRPr="005169F5">
        <w:rPr>
          <w:rFonts w:ascii="Arial Narrow" w:hAnsi="Arial Narrow" w:cs="Segoe UI"/>
          <w:snapToGrid/>
          <w:sz w:val="18"/>
          <w:lang w:eastAsia="en-AU"/>
        </w:rPr>
        <w:t>.</w:t>
      </w:r>
    </w:p>
  </w:footnote>
  <w:footnote w:id="3">
    <w:p w:rsidR="006D62B4" w:rsidRPr="005169F5" w:rsidRDefault="006D62B4" w:rsidP="00AC6353">
      <w:pPr>
        <w:pStyle w:val="FootnoteText"/>
        <w:keepNext/>
        <w:rPr>
          <w:rFonts w:ascii="Arial Narrow" w:hAnsi="Arial Narrow"/>
          <w:sz w:val="18"/>
        </w:rPr>
      </w:pPr>
      <w:r w:rsidRPr="005169F5">
        <w:rPr>
          <w:rStyle w:val="FootnoteReference"/>
          <w:rFonts w:ascii="Arial Narrow" w:hAnsi="Arial Narrow"/>
          <w:sz w:val="18"/>
        </w:rPr>
        <w:footnoteRef/>
      </w:r>
      <w:r w:rsidRPr="005169F5">
        <w:rPr>
          <w:rFonts w:ascii="Arial Narrow" w:hAnsi="Arial Narrow"/>
          <w:sz w:val="18"/>
        </w:rPr>
        <w:t xml:space="preserve"> Reference: </w:t>
      </w:r>
      <w:proofErr w:type="spellStart"/>
      <w:r w:rsidRPr="005169F5">
        <w:rPr>
          <w:rFonts w:ascii="Arial Narrow" w:hAnsi="Arial Narrow"/>
          <w:sz w:val="18"/>
        </w:rPr>
        <w:t>Iland</w:t>
      </w:r>
      <w:proofErr w:type="spellEnd"/>
      <w:r w:rsidRPr="005169F5">
        <w:rPr>
          <w:rFonts w:ascii="Arial Narrow" w:hAnsi="Arial Narrow"/>
          <w:sz w:val="18"/>
        </w:rPr>
        <w:t xml:space="preserve"> H, </w:t>
      </w:r>
      <w:proofErr w:type="spellStart"/>
      <w:r w:rsidRPr="005169F5">
        <w:rPr>
          <w:rFonts w:ascii="Arial Narrow" w:hAnsi="Arial Narrow"/>
          <w:sz w:val="18"/>
        </w:rPr>
        <w:t>Bradstock</w:t>
      </w:r>
      <w:proofErr w:type="spellEnd"/>
      <w:r w:rsidRPr="005169F5">
        <w:rPr>
          <w:rFonts w:ascii="Arial Narrow" w:hAnsi="Arial Narrow"/>
          <w:sz w:val="18"/>
        </w:rPr>
        <w:t xml:space="preserve"> K, Seymour J, Hertzberg M, </w:t>
      </w:r>
      <w:proofErr w:type="spellStart"/>
      <w:r w:rsidRPr="005169F5">
        <w:rPr>
          <w:rFonts w:ascii="Arial Narrow" w:hAnsi="Arial Narrow"/>
          <w:sz w:val="18"/>
        </w:rPr>
        <w:t>Grigg</w:t>
      </w:r>
      <w:proofErr w:type="spellEnd"/>
      <w:r w:rsidRPr="005169F5">
        <w:rPr>
          <w:rFonts w:ascii="Arial Narrow" w:hAnsi="Arial Narrow"/>
          <w:sz w:val="18"/>
        </w:rPr>
        <w:t xml:space="preserve"> A, Taylor K, et al. Results of the APML3 trial incorporating all-trans-retinoic acid and </w:t>
      </w:r>
      <w:proofErr w:type="spellStart"/>
      <w:r w:rsidRPr="005169F5">
        <w:rPr>
          <w:rFonts w:ascii="Arial Narrow" w:hAnsi="Arial Narrow"/>
          <w:sz w:val="18"/>
        </w:rPr>
        <w:t>idarubicin</w:t>
      </w:r>
      <w:proofErr w:type="spellEnd"/>
      <w:r w:rsidRPr="005169F5">
        <w:rPr>
          <w:rFonts w:ascii="Arial Narrow" w:hAnsi="Arial Narrow"/>
          <w:sz w:val="18"/>
        </w:rPr>
        <w:t xml:space="preserve"> in both induction and consolidation as initial therapy for patients with acute </w:t>
      </w:r>
      <w:proofErr w:type="spellStart"/>
      <w:r w:rsidRPr="005169F5">
        <w:rPr>
          <w:rFonts w:ascii="Arial Narrow" w:hAnsi="Arial Narrow"/>
          <w:sz w:val="18"/>
        </w:rPr>
        <w:t>promyelocytic</w:t>
      </w:r>
      <w:proofErr w:type="spellEnd"/>
      <w:r w:rsidRPr="005169F5">
        <w:rPr>
          <w:rFonts w:ascii="Arial Narrow" w:hAnsi="Arial Narrow"/>
          <w:sz w:val="18"/>
        </w:rPr>
        <w:t xml:space="preserve"> </w:t>
      </w:r>
      <w:proofErr w:type="spellStart"/>
      <w:r w:rsidRPr="005169F5">
        <w:rPr>
          <w:rFonts w:ascii="Arial Narrow" w:hAnsi="Arial Narrow"/>
          <w:sz w:val="18"/>
        </w:rPr>
        <w:t>leukemia</w:t>
      </w:r>
      <w:proofErr w:type="spellEnd"/>
      <w:r w:rsidRPr="005169F5">
        <w:rPr>
          <w:rFonts w:ascii="Arial Narrow" w:hAnsi="Arial Narrow"/>
          <w:sz w:val="18"/>
        </w:rPr>
        <w:t xml:space="preserve">. </w:t>
      </w:r>
      <w:proofErr w:type="spellStart"/>
      <w:proofErr w:type="gramStart"/>
      <w:r w:rsidRPr="005169F5">
        <w:rPr>
          <w:rFonts w:ascii="Arial Narrow" w:hAnsi="Arial Narrow"/>
          <w:sz w:val="18"/>
        </w:rPr>
        <w:t>Haematologica</w:t>
      </w:r>
      <w:proofErr w:type="spellEnd"/>
      <w:r w:rsidRPr="005169F5">
        <w:rPr>
          <w:rFonts w:ascii="Arial Narrow" w:hAnsi="Arial Narrow"/>
          <w:sz w:val="18"/>
        </w:rPr>
        <w:t>.</w:t>
      </w:r>
      <w:proofErr w:type="gramEnd"/>
      <w:r w:rsidRPr="005169F5">
        <w:rPr>
          <w:rFonts w:ascii="Arial Narrow" w:hAnsi="Arial Narrow"/>
          <w:sz w:val="18"/>
        </w:rPr>
        <w:t xml:space="preserve"> 2012</w:t>
      </w:r>
      <w:proofErr w:type="gramStart"/>
      <w:r w:rsidRPr="005169F5">
        <w:rPr>
          <w:rFonts w:ascii="Arial Narrow" w:hAnsi="Arial Narrow"/>
          <w:sz w:val="18"/>
        </w:rPr>
        <w:t>;97</w:t>
      </w:r>
      <w:proofErr w:type="gramEnd"/>
      <w:r w:rsidRPr="005169F5">
        <w:rPr>
          <w:rFonts w:ascii="Arial Narrow" w:hAnsi="Arial Narrow"/>
          <w:sz w:val="18"/>
        </w:rPr>
        <w:t xml:space="preserve">(2):227-34. </w:t>
      </w:r>
      <w:proofErr w:type="spellStart"/>
      <w:proofErr w:type="gramStart"/>
      <w:r w:rsidRPr="005169F5">
        <w:rPr>
          <w:rFonts w:ascii="Arial Narrow" w:hAnsi="Arial Narrow"/>
          <w:sz w:val="18"/>
        </w:rPr>
        <w:t>Epub</w:t>
      </w:r>
      <w:proofErr w:type="spellEnd"/>
      <w:r w:rsidRPr="005169F5">
        <w:rPr>
          <w:rFonts w:ascii="Arial Narrow" w:hAnsi="Arial Narrow"/>
          <w:sz w:val="18"/>
        </w:rPr>
        <w:t xml:space="preserve"> 2011/10/14.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B4" w:rsidRPr="00BE15D7" w:rsidRDefault="006D62B4" w:rsidP="008F0903">
    <w:pPr>
      <w:pStyle w:val="Header"/>
      <w:jc w:val="center"/>
      <w:rPr>
        <w:szCs w:val="22"/>
      </w:rPr>
    </w:pPr>
    <w:r w:rsidRPr="00BE15D7">
      <w:rPr>
        <w:i/>
        <w:color w:val="808080"/>
        <w:szCs w:val="22"/>
      </w:rPr>
      <w:t>Public Summary Document – November 2015 PBAC Meeting</w:t>
    </w:r>
  </w:p>
  <w:p w:rsidR="006D62B4" w:rsidRDefault="006D62B4" w:rsidP="007C028C">
    <w:pPr>
      <w:pStyle w:val="Header"/>
      <w:tabs>
        <w:tab w:val="clear" w:pos="4513"/>
        <w:tab w:val="clear" w:pos="9026"/>
        <w:tab w:val="left" w:pos="15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67559"/>
    <w:multiLevelType w:val="hybridMultilevel"/>
    <w:tmpl w:val="5FACA2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2EDC6E76"/>
    <w:multiLevelType w:val="hybridMultilevel"/>
    <w:tmpl w:val="083A0C5C"/>
    <w:lvl w:ilvl="0" w:tplc="0DF0F2FA">
      <w:start w:val="4"/>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48A27BC"/>
    <w:multiLevelType w:val="hybridMultilevel"/>
    <w:tmpl w:val="05085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BCF0EDF"/>
    <w:multiLevelType w:val="hybridMultilevel"/>
    <w:tmpl w:val="4DCE6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E9F66D2"/>
    <w:multiLevelType w:val="hybridMultilevel"/>
    <w:tmpl w:val="A7F4C3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51840DCF"/>
    <w:multiLevelType w:val="hybridMultilevel"/>
    <w:tmpl w:val="D8CA6E58"/>
    <w:lvl w:ilvl="0" w:tplc="0C090001">
      <w:start w:val="1"/>
      <w:numFmt w:val="bullet"/>
      <w:lvlText w:val=""/>
      <w:lvlJc w:val="left"/>
      <w:pPr>
        <w:ind w:left="1080" w:hanging="360"/>
      </w:pPr>
      <w:rPr>
        <w:rFonts w:ascii="Symbol" w:hAnsi="Symbol" w:hint="default"/>
      </w:rPr>
    </w:lvl>
    <w:lvl w:ilvl="1" w:tplc="BFB2920C">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5B436AA1"/>
    <w:multiLevelType w:val="hybridMultilevel"/>
    <w:tmpl w:val="D63E8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D00A85"/>
    <w:multiLevelType w:val="hybridMultilevel"/>
    <w:tmpl w:val="B55C0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220814">
      <w:start w:val="30"/>
      <w:numFmt w:val="bullet"/>
      <w:lvlText w:val="-"/>
      <w:lvlJc w:val="left"/>
      <w:pPr>
        <w:ind w:left="2160" w:hanging="360"/>
      </w:pPr>
      <w:rPr>
        <w:rFonts w:ascii="Arial Narrow" w:eastAsia="Times New Roman" w:hAnsi="Arial Narrow" w:cs="Arial Narro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DEA7CCB"/>
    <w:multiLevelType w:val="hybridMultilevel"/>
    <w:tmpl w:val="90A819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745C4E73"/>
    <w:multiLevelType w:val="hybridMultilevel"/>
    <w:tmpl w:val="84BCA862"/>
    <w:lvl w:ilvl="0" w:tplc="0C090001">
      <w:start w:val="1"/>
      <w:numFmt w:val="bullet"/>
      <w:lvlText w:val=""/>
      <w:lvlJc w:val="left"/>
      <w:pPr>
        <w:ind w:left="720" w:hanging="360"/>
      </w:pPr>
      <w:rPr>
        <w:rFonts w:ascii="Symbol" w:hAnsi="Symbol" w:hint="default"/>
      </w:rPr>
    </w:lvl>
    <w:lvl w:ilvl="1" w:tplc="04220814">
      <w:start w:val="30"/>
      <w:numFmt w:val="bullet"/>
      <w:lvlText w:val="-"/>
      <w:lvlJc w:val="left"/>
      <w:pPr>
        <w:ind w:left="1440" w:hanging="360"/>
      </w:pPr>
      <w:rPr>
        <w:rFonts w:ascii="Arial Narrow" w:eastAsia="Times New Roman" w:hAnsi="Arial Narrow" w:cs="Arial Narro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4D033C"/>
    <w:multiLevelType w:val="multilevel"/>
    <w:tmpl w:val="ACC6CCE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264A64"/>
    <w:multiLevelType w:val="hybridMultilevel"/>
    <w:tmpl w:val="52980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D336A49"/>
    <w:multiLevelType w:val="hybridMultilevel"/>
    <w:tmpl w:val="7BE20D9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4220814">
      <w:start w:val="30"/>
      <w:numFmt w:val="bullet"/>
      <w:lvlText w:val="-"/>
      <w:lvlJc w:val="left"/>
      <w:pPr>
        <w:ind w:left="2160" w:hanging="360"/>
      </w:pPr>
      <w:rPr>
        <w:rFonts w:ascii="Arial Narrow" w:eastAsia="Times New Roman" w:hAnsi="Arial Narrow" w:cs="Arial Narro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10"/>
  </w:num>
  <w:num w:numId="5">
    <w:abstractNumId w:val="7"/>
  </w:num>
  <w:num w:numId="6">
    <w:abstractNumId w:val="4"/>
  </w:num>
  <w:num w:numId="7">
    <w:abstractNumId w:val="6"/>
  </w:num>
  <w:num w:numId="8">
    <w:abstractNumId w:val="3"/>
  </w:num>
  <w:num w:numId="9">
    <w:abstractNumId w:val="12"/>
  </w:num>
  <w:num w:numId="10">
    <w:abstractNumId w:val="1"/>
  </w:num>
  <w:num w:numId="11">
    <w:abstractNumId w:val="9"/>
  </w:num>
  <w:num w:numId="12">
    <w:abstractNumId w:val="13"/>
  </w:num>
  <w:num w:numId="13">
    <w:abstractNumId w:val="5"/>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Leesa&lt;/Style&gt;&lt;LeftDelim&gt;{&lt;/LeftDelim&gt;&lt;RightDelim&gt;}&lt;/RightDelim&gt;&lt;FontName&gt;Arial&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d5v2za30fepaeppryxxsvyfdatrx20ppww&quot;&gt;APML&lt;record-ids&gt;&lt;item&gt;1&lt;/item&gt;&lt;item&gt;23&lt;/item&gt;&lt;item&gt;27&lt;/item&gt;&lt;item&gt;28&lt;/item&gt;&lt;item&gt;30&lt;/item&gt;&lt;item&gt;33&lt;/item&gt;&lt;item&gt;36&lt;/item&gt;&lt;item&gt;38&lt;/item&gt;&lt;item&gt;43&lt;/item&gt;&lt;item&gt;54&lt;/item&gt;&lt;item&gt;61&lt;/item&gt;&lt;item&gt;64&lt;/item&gt;&lt;item&gt;66&lt;/item&gt;&lt;item&gt;140&lt;/item&gt;&lt;item&gt;243&lt;/item&gt;&lt;item&gt;245&lt;/item&gt;&lt;item&gt;246&lt;/item&gt;&lt;item&gt;252&lt;/item&gt;&lt;item&gt;255&lt;/item&gt;&lt;item&gt;262&lt;/item&gt;&lt;item&gt;263&lt;/item&gt;&lt;item&gt;264&lt;/item&gt;&lt;item&gt;266&lt;/item&gt;&lt;item&gt;267&lt;/item&gt;&lt;item&gt;268&lt;/item&gt;&lt;item&gt;285&lt;/item&gt;&lt;item&gt;286&lt;/item&gt;&lt;item&gt;287&lt;/item&gt;&lt;item&gt;288&lt;/item&gt;&lt;item&gt;289&lt;/item&gt;&lt;item&gt;300&lt;/item&gt;&lt;/record-ids&gt;&lt;/item&gt;&lt;/Libraries&gt;"/>
  </w:docVars>
  <w:rsids>
    <w:rsidRoot w:val="00E65E79"/>
    <w:rsid w:val="00000790"/>
    <w:rsid w:val="0000110B"/>
    <w:rsid w:val="00002830"/>
    <w:rsid w:val="00003002"/>
    <w:rsid w:val="00003499"/>
    <w:rsid w:val="00004D02"/>
    <w:rsid w:val="00004EB6"/>
    <w:rsid w:val="00006D60"/>
    <w:rsid w:val="000072BA"/>
    <w:rsid w:val="00011D17"/>
    <w:rsid w:val="00013247"/>
    <w:rsid w:val="000145DA"/>
    <w:rsid w:val="00014D4E"/>
    <w:rsid w:val="00015886"/>
    <w:rsid w:val="000162EF"/>
    <w:rsid w:val="000179CE"/>
    <w:rsid w:val="0002225F"/>
    <w:rsid w:val="00022CE1"/>
    <w:rsid w:val="00023763"/>
    <w:rsid w:val="000244A7"/>
    <w:rsid w:val="00024D6F"/>
    <w:rsid w:val="00024FEF"/>
    <w:rsid w:val="000259AC"/>
    <w:rsid w:val="00027A2E"/>
    <w:rsid w:val="00031F79"/>
    <w:rsid w:val="00032766"/>
    <w:rsid w:val="0003280E"/>
    <w:rsid w:val="00033920"/>
    <w:rsid w:val="0003580E"/>
    <w:rsid w:val="00035A08"/>
    <w:rsid w:val="0003638B"/>
    <w:rsid w:val="00036FAB"/>
    <w:rsid w:val="00040895"/>
    <w:rsid w:val="00040A0B"/>
    <w:rsid w:val="0004138A"/>
    <w:rsid w:val="000414C4"/>
    <w:rsid w:val="00042A8F"/>
    <w:rsid w:val="00042D65"/>
    <w:rsid w:val="00043C37"/>
    <w:rsid w:val="00044B6F"/>
    <w:rsid w:val="00044C99"/>
    <w:rsid w:val="00044CDE"/>
    <w:rsid w:val="00047607"/>
    <w:rsid w:val="00050418"/>
    <w:rsid w:val="0005104E"/>
    <w:rsid w:val="00052F15"/>
    <w:rsid w:val="00053D33"/>
    <w:rsid w:val="000546D7"/>
    <w:rsid w:val="00054CDE"/>
    <w:rsid w:val="00054CE4"/>
    <w:rsid w:val="000553A5"/>
    <w:rsid w:val="000557F3"/>
    <w:rsid w:val="00067E18"/>
    <w:rsid w:val="00071248"/>
    <w:rsid w:val="000714EB"/>
    <w:rsid w:val="00071F4B"/>
    <w:rsid w:val="000720B9"/>
    <w:rsid w:val="00072D3F"/>
    <w:rsid w:val="00073612"/>
    <w:rsid w:val="0007458D"/>
    <w:rsid w:val="000746B1"/>
    <w:rsid w:val="00074C1A"/>
    <w:rsid w:val="00075161"/>
    <w:rsid w:val="00075B49"/>
    <w:rsid w:val="0007626D"/>
    <w:rsid w:val="00076AFF"/>
    <w:rsid w:val="00077362"/>
    <w:rsid w:val="00077BC3"/>
    <w:rsid w:val="00080011"/>
    <w:rsid w:val="00080020"/>
    <w:rsid w:val="000812CA"/>
    <w:rsid w:val="000817FD"/>
    <w:rsid w:val="00081E91"/>
    <w:rsid w:val="000822A8"/>
    <w:rsid w:val="000827FB"/>
    <w:rsid w:val="000846E3"/>
    <w:rsid w:val="00085508"/>
    <w:rsid w:val="00086DBA"/>
    <w:rsid w:val="00087BA2"/>
    <w:rsid w:val="00090C7E"/>
    <w:rsid w:val="00091D43"/>
    <w:rsid w:val="000922F0"/>
    <w:rsid w:val="00092A3C"/>
    <w:rsid w:val="000938C5"/>
    <w:rsid w:val="00093A46"/>
    <w:rsid w:val="000971C6"/>
    <w:rsid w:val="000A00AB"/>
    <w:rsid w:val="000A01E3"/>
    <w:rsid w:val="000A07ED"/>
    <w:rsid w:val="000A0A61"/>
    <w:rsid w:val="000A1052"/>
    <w:rsid w:val="000A156A"/>
    <w:rsid w:val="000A32CD"/>
    <w:rsid w:val="000A411C"/>
    <w:rsid w:val="000B0115"/>
    <w:rsid w:val="000B2900"/>
    <w:rsid w:val="000B3475"/>
    <w:rsid w:val="000B7792"/>
    <w:rsid w:val="000C1F70"/>
    <w:rsid w:val="000C3197"/>
    <w:rsid w:val="000C35AB"/>
    <w:rsid w:val="000C4E61"/>
    <w:rsid w:val="000C5578"/>
    <w:rsid w:val="000C6119"/>
    <w:rsid w:val="000C793C"/>
    <w:rsid w:val="000C7E2C"/>
    <w:rsid w:val="000D0D71"/>
    <w:rsid w:val="000D178B"/>
    <w:rsid w:val="000D1BFC"/>
    <w:rsid w:val="000D1E4C"/>
    <w:rsid w:val="000D1F34"/>
    <w:rsid w:val="000D27EB"/>
    <w:rsid w:val="000D28C0"/>
    <w:rsid w:val="000D2D21"/>
    <w:rsid w:val="000D4AA0"/>
    <w:rsid w:val="000D4E99"/>
    <w:rsid w:val="000D77CA"/>
    <w:rsid w:val="000E1826"/>
    <w:rsid w:val="000E27E7"/>
    <w:rsid w:val="000E34ED"/>
    <w:rsid w:val="000E420E"/>
    <w:rsid w:val="000E477A"/>
    <w:rsid w:val="000E6695"/>
    <w:rsid w:val="000F0476"/>
    <w:rsid w:val="000F3C5B"/>
    <w:rsid w:val="000F3CB8"/>
    <w:rsid w:val="000F4B79"/>
    <w:rsid w:val="000F4BB8"/>
    <w:rsid w:val="000F5937"/>
    <w:rsid w:val="000F7127"/>
    <w:rsid w:val="000F714F"/>
    <w:rsid w:val="000F789C"/>
    <w:rsid w:val="00100F8A"/>
    <w:rsid w:val="00101531"/>
    <w:rsid w:val="001021A9"/>
    <w:rsid w:val="00104CDA"/>
    <w:rsid w:val="00106F9B"/>
    <w:rsid w:val="001073D9"/>
    <w:rsid w:val="0011032E"/>
    <w:rsid w:val="00111EA1"/>
    <w:rsid w:val="0011250E"/>
    <w:rsid w:val="0011348B"/>
    <w:rsid w:val="00114F1E"/>
    <w:rsid w:val="00116E8F"/>
    <w:rsid w:val="00120B44"/>
    <w:rsid w:val="00120E33"/>
    <w:rsid w:val="001214AB"/>
    <w:rsid w:val="00121799"/>
    <w:rsid w:val="001222FC"/>
    <w:rsid w:val="00124A51"/>
    <w:rsid w:val="00124EAF"/>
    <w:rsid w:val="0012600F"/>
    <w:rsid w:val="00126621"/>
    <w:rsid w:val="00126B79"/>
    <w:rsid w:val="001301E9"/>
    <w:rsid w:val="001313E2"/>
    <w:rsid w:val="001330D1"/>
    <w:rsid w:val="001368D7"/>
    <w:rsid w:val="00136DC7"/>
    <w:rsid w:val="00137645"/>
    <w:rsid w:val="0014015A"/>
    <w:rsid w:val="0014066D"/>
    <w:rsid w:val="00140E99"/>
    <w:rsid w:val="00141A59"/>
    <w:rsid w:val="0014338B"/>
    <w:rsid w:val="00143687"/>
    <w:rsid w:val="001436E0"/>
    <w:rsid w:val="00145540"/>
    <w:rsid w:val="001456B0"/>
    <w:rsid w:val="00145735"/>
    <w:rsid w:val="00145CC6"/>
    <w:rsid w:val="00145DA2"/>
    <w:rsid w:val="00146040"/>
    <w:rsid w:val="0014695F"/>
    <w:rsid w:val="001470A4"/>
    <w:rsid w:val="0014737F"/>
    <w:rsid w:val="00147808"/>
    <w:rsid w:val="00150CB6"/>
    <w:rsid w:val="00150D64"/>
    <w:rsid w:val="00151E18"/>
    <w:rsid w:val="00151E7A"/>
    <w:rsid w:val="001524F5"/>
    <w:rsid w:val="001541CF"/>
    <w:rsid w:val="001559F3"/>
    <w:rsid w:val="001566EB"/>
    <w:rsid w:val="00156B5B"/>
    <w:rsid w:val="00157130"/>
    <w:rsid w:val="001573B0"/>
    <w:rsid w:val="00157ED7"/>
    <w:rsid w:val="00160F4F"/>
    <w:rsid w:val="0016120A"/>
    <w:rsid w:val="001621B4"/>
    <w:rsid w:val="00162913"/>
    <w:rsid w:val="00162A46"/>
    <w:rsid w:val="001638B5"/>
    <w:rsid w:val="00163EFF"/>
    <w:rsid w:val="00165458"/>
    <w:rsid w:val="00165701"/>
    <w:rsid w:val="001661FB"/>
    <w:rsid w:val="00166657"/>
    <w:rsid w:val="00166BD7"/>
    <w:rsid w:val="0016785E"/>
    <w:rsid w:val="00170E5F"/>
    <w:rsid w:val="0017242D"/>
    <w:rsid w:val="0017299E"/>
    <w:rsid w:val="00173731"/>
    <w:rsid w:val="00175042"/>
    <w:rsid w:val="00175182"/>
    <w:rsid w:val="00176FF6"/>
    <w:rsid w:val="00180873"/>
    <w:rsid w:val="00180BD9"/>
    <w:rsid w:val="00180BF2"/>
    <w:rsid w:val="00182D42"/>
    <w:rsid w:val="00184271"/>
    <w:rsid w:val="00186166"/>
    <w:rsid w:val="00186AFF"/>
    <w:rsid w:val="0018752F"/>
    <w:rsid w:val="00187C6F"/>
    <w:rsid w:val="00190B48"/>
    <w:rsid w:val="00191B34"/>
    <w:rsid w:val="001935FF"/>
    <w:rsid w:val="00193991"/>
    <w:rsid w:val="001942AD"/>
    <w:rsid w:val="00195222"/>
    <w:rsid w:val="001966EC"/>
    <w:rsid w:val="00196EDE"/>
    <w:rsid w:val="001975D8"/>
    <w:rsid w:val="001A342A"/>
    <w:rsid w:val="001A37E5"/>
    <w:rsid w:val="001A43D2"/>
    <w:rsid w:val="001A61F4"/>
    <w:rsid w:val="001A7219"/>
    <w:rsid w:val="001A7558"/>
    <w:rsid w:val="001B0F7F"/>
    <w:rsid w:val="001B1703"/>
    <w:rsid w:val="001B1FB9"/>
    <w:rsid w:val="001B228D"/>
    <w:rsid w:val="001B231C"/>
    <w:rsid w:val="001B24BD"/>
    <w:rsid w:val="001B336B"/>
    <w:rsid w:val="001B3443"/>
    <w:rsid w:val="001B4089"/>
    <w:rsid w:val="001B60DD"/>
    <w:rsid w:val="001B63CC"/>
    <w:rsid w:val="001B754D"/>
    <w:rsid w:val="001B7A57"/>
    <w:rsid w:val="001B7E0E"/>
    <w:rsid w:val="001C0147"/>
    <w:rsid w:val="001C2A41"/>
    <w:rsid w:val="001C3499"/>
    <w:rsid w:val="001C38A5"/>
    <w:rsid w:val="001C45E7"/>
    <w:rsid w:val="001C5B34"/>
    <w:rsid w:val="001C6E66"/>
    <w:rsid w:val="001D0028"/>
    <w:rsid w:val="001D1049"/>
    <w:rsid w:val="001D2162"/>
    <w:rsid w:val="001D2E43"/>
    <w:rsid w:val="001D3954"/>
    <w:rsid w:val="001E238E"/>
    <w:rsid w:val="001E2B1E"/>
    <w:rsid w:val="001E3E82"/>
    <w:rsid w:val="001E5101"/>
    <w:rsid w:val="001E51CC"/>
    <w:rsid w:val="001E52EB"/>
    <w:rsid w:val="001E740C"/>
    <w:rsid w:val="001F1235"/>
    <w:rsid w:val="001F1CB3"/>
    <w:rsid w:val="001F1ECD"/>
    <w:rsid w:val="001F377D"/>
    <w:rsid w:val="001F4B68"/>
    <w:rsid w:val="001F4ED8"/>
    <w:rsid w:val="001F51AA"/>
    <w:rsid w:val="001F5745"/>
    <w:rsid w:val="001F701C"/>
    <w:rsid w:val="001F7361"/>
    <w:rsid w:val="001F7AEC"/>
    <w:rsid w:val="002000CB"/>
    <w:rsid w:val="002011D9"/>
    <w:rsid w:val="00201E79"/>
    <w:rsid w:val="00202EB6"/>
    <w:rsid w:val="00202F38"/>
    <w:rsid w:val="0020385F"/>
    <w:rsid w:val="00204684"/>
    <w:rsid w:val="00204D9B"/>
    <w:rsid w:val="00205CB7"/>
    <w:rsid w:val="00206F3C"/>
    <w:rsid w:val="00207021"/>
    <w:rsid w:val="00207BE7"/>
    <w:rsid w:val="00207D00"/>
    <w:rsid w:val="002105C1"/>
    <w:rsid w:val="00211054"/>
    <w:rsid w:val="002111FD"/>
    <w:rsid w:val="00212995"/>
    <w:rsid w:val="00214FB2"/>
    <w:rsid w:val="00216FF7"/>
    <w:rsid w:val="00217558"/>
    <w:rsid w:val="00222231"/>
    <w:rsid w:val="00222811"/>
    <w:rsid w:val="002229B6"/>
    <w:rsid w:val="00222FD8"/>
    <w:rsid w:val="00223B49"/>
    <w:rsid w:val="00224C36"/>
    <w:rsid w:val="00224DD4"/>
    <w:rsid w:val="00225D84"/>
    <w:rsid w:val="00225F2E"/>
    <w:rsid w:val="00225F9E"/>
    <w:rsid w:val="00226013"/>
    <w:rsid w:val="00227DE7"/>
    <w:rsid w:val="002309CC"/>
    <w:rsid w:val="00230F2B"/>
    <w:rsid w:val="00231ED8"/>
    <w:rsid w:val="00233D09"/>
    <w:rsid w:val="00233D7E"/>
    <w:rsid w:val="00234E09"/>
    <w:rsid w:val="00235275"/>
    <w:rsid w:val="002352E9"/>
    <w:rsid w:val="00235474"/>
    <w:rsid w:val="00237A79"/>
    <w:rsid w:val="002409E2"/>
    <w:rsid w:val="00241685"/>
    <w:rsid w:val="002429C8"/>
    <w:rsid w:val="00243612"/>
    <w:rsid w:val="00245A07"/>
    <w:rsid w:val="00245AB4"/>
    <w:rsid w:val="00245D89"/>
    <w:rsid w:val="00247D66"/>
    <w:rsid w:val="00250AAE"/>
    <w:rsid w:val="002515B6"/>
    <w:rsid w:val="00251D60"/>
    <w:rsid w:val="00253002"/>
    <w:rsid w:val="00253C67"/>
    <w:rsid w:val="00254DCF"/>
    <w:rsid w:val="0025534B"/>
    <w:rsid w:val="002554FC"/>
    <w:rsid w:val="00255BB7"/>
    <w:rsid w:val="00257E08"/>
    <w:rsid w:val="00260164"/>
    <w:rsid w:val="00262A87"/>
    <w:rsid w:val="00263B6C"/>
    <w:rsid w:val="00263C9D"/>
    <w:rsid w:val="002641DA"/>
    <w:rsid w:val="00264710"/>
    <w:rsid w:val="0026644E"/>
    <w:rsid w:val="00266558"/>
    <w:rsid w:val="00266FD3"/>
    <w:rsid w:val="00267039"/>
    <w:rsid w:val="00270782"/>
    <w:rsid w:val="00270E71"/>
    <w:rsid w:val="00275C5A"/>
    <w:rsid w:val="00277C46"/>
    <w:rsid w:val="00280A15"/>
    <w:rsid w:val="00281014"/>
    <w:rsid w:val="0028106E"/>
    <w:rsid w:val="0028113F"/>
    <w:rsid w:val="00282544"/>
    <w:rsid w:val="002829F6"/>
    <w:rsid w:val="0028597A"/>
    <w:rsid w:val="0028753C"/>
    <w:rsid w:val="00287FD3"/>
    <w:rsid w:val="00291EC9"/>
    <w:rsid w:val="0029408A"/>
    <w:rsid w:val="00294D9A"/>
    <w:rsid w:val="002958D1"/>
    <w:rsid w:val="002969CC"/>
    <w:rsid w:val="00296D64"/>
    <w:rsid w:val="002972EF"/>
    <w:rsid w:val="00297669"/>
    <w:rsid w:val="002976B4"/>
    <w:rsid w:val="002A14AB"/>
    <w:rsid w:val="002A29EF"/>
    <w:rsid w:val="002A3946"/>
    <w:rsid w:val="002A3D5C"/>
    <w:rsid w:val="002A4BE0"/>
    <w:rsid w:val="002A561E"/>
    <w:rsid w:val="002A6AEA"/>
    <w:rsid w:val="002B00F3"/>
    <w:rsid w:val="002B1C1F"/>
    <w:rsid w:val="002B1F5F"/>
    <w:rsid w:val="002B2A87"/>
    <w:rsid w:val="002B432F"/>
    <w:rsid w:val="002B43FE"/>
    <w:rsid w:val="002B46BD"/>
    <w:rsid w:val="002B4AA0"/>
    <w:rsid w:val="002B58CB"/>
    <w:rsid w:val="002B6CCE"/>
    <w:rsid w:val="002C258B"/>
    <w:rsid w:val="002C26AD"/>
    <w:rsid w:val="002C2775"/>
    <w:rsid w:val="002C2793"/>
    <w:rsid w:val="002C27C1"/>
    <w:rsid w:val="002C283C"/>
    <w:rsid w:val="002C2BA9"/>
    <w:rsid w:val="002C4552"/>
    <w:rsid w:val="002C45A4"/>
    <w:rsid w:val="002C4856"/>
    <w:rsid w:val="002C4882"/>
    <w:rsid w:val="002C5843"/>
    <w:rsid w:val="002C6C19"/>
    <w:rsid w:val="002D0295"/>
    <w:rsid w:val="002D1255"/>
    <w:rsid w:val="002D184A"/>
    <w:rsid w:val="002D2EF8"/>
    <w:rsid w:val="002D4702"/>
    <w:rsid w:val="002D56D8"/>
    <w:rsid w:val="002E146B"/>
    <w:rsid w:val="002E15A4"/>
    <w:rsid w:val="002E2BA6"/>
    <w:rsid w:val="002E41C7"/>
    <w:rsid w:val="002F18CF"/>
    <w:rsid w:val="002F2838"/>
    <w:rsid w:val="002F2B42"/>
    <w:rsid w:val="002F439A"/>
    <w:rsid w:val="002F631D"/>
    <w:rsid w:val="002F6EE3"/>
    <w:rsid w:val="002F71C5"/>
    <w:rsid w:val="002F7736"/>
    <w:rsid w:val="00300FA4"/>
    <w:rsid w:val="00301017"/>
    <w:rsid w:val="00301131"/>
    <w:rsid w:val="0030116C"/>
    <w:rsid w:val="0030199F"/>
    <w:rsid w:val="00302C15"/>
    <w:rsid w:val="003051F2"/>
    <w:rsid w:val="00305CA9"/>
    <w:rsid w:val="00306397"/>
    <w:rsid w:val="00306622"/>
    <w:rsid w:val="00306C0E"/>
    <w:rsid w:val="003070FF"/>
    <w:rsid w:val="0030786C"/>
    <w:rsid w:val="00307F54"/>
    <w:rsid w:val="0031031A"/>
    <w:rsid w:val="00310981"/>
    <w:rsid w:val="00310AFC"/>
    <w:rsid w:val="00311363"/>
    <w:rsid w:val="00311BC8"/>
    <w:rsid w:val="00312177"/>
    <w:rsid w:val="0031332D"/>
    <w:rsid w:val="00314CF6"/>
    <w:rsid w:val="00315498"/>
    <w:rsid w:val="00315668"/>
    <w:rsid w:val="0031760F"/>
    <w:rsid w:val="003247C3"/>
    <w:rsid w:val="003300AF"/>
    <w:rsid w:val="00332DDB"/>
    <w:rsid w:val="00333ADB"/>
    <w:rsid w:val="00334068"/>
    <w:rsid w:val="0033480C"/>
    <w:rsid w:val="00334E45"/>
    <w:rsid w:val="00334EAA"/>
    <w:rsid w:val="00334F73"/>
    <w:rsid w:val="003366C9"/>
    <w:rsid w:val="003371B0"/>
    <w:rsid w:val="003409FC"/>
    <w:rsid w:val="00341050"/>
    <w:rsid w:val="003418DA"/>
    <w:rsid w:val="00341F2E"/>
    <w:rsid w:val="00343028"/>
    <w:rsid w:val="003438F2"/>
    <w:rsid w:val="0034432A"/>
    <w:rsid w:val="00346B6D"/>
    <w:rsid w:val="003507F5"/>
    <w:rsid w:val="003514A9"/>
    <w:rsid w:val="003516BF"/>
    <w:rsid w:val="00352183"/>
    <w:rsid w:val="00352A00"/>
    <w:rsid w:val="00353011"/>
    <w:rsid w:val="00356123"/>
    <w:rsid w:val="0035620E"/>
    <w:rsid w:val="0035637A"/>
    <w:rsid w:val="00357EEF"/>
    <w:rsid w:val="00361061"/>
    <w:rsid w:val="00361AD1"/>
    <w:rsid w:val="00364305"/>
    <w:rsid w:val="00364A01"/>
    <w:rsid w:val="00365CA0"/>
    <w:rsid w:val="00366D67"/>
    <w:rsid w:val="003671CD"/>
    <w:rsid w:val="00371730"/>
    <w:rsid w:val="003725CC"/>
    <w:rsid w:val="00372A71"/>
    <w:rsid w:val="00374219"/>
    <w:rsid w:val="00374319"/>
    <w:rsid w:val="0037475B"/>
    <w:rsid w:val="003758FF"/>
    <w:rsid w:val="00375F01"/>
    <w:rsid w:val="00375F9D"/>
    <w:rsid w:val="003762F4"/>
    <w:rsid w:val="00376CAD"/>
    <w:rsid w:val="00376D19"/>
    <w:rsid w:val="00380B1D"/>
    <w:rsid w:val="003811E3"/>
    <w:rsid w:val="00381760"/>
    <w:rsid w:val="0038365C"/>
    <w:rsid w:val="00384133"/>
    <w:rsid w:val="003850A2"/>
    <w:rsid w:val="00385191"/>
    <w:rsid w:val="003855BF"/>
    <w:rsid w:val="003871FB"/>
    <w:rsid w:val="00387664"/>
    <w:rsid w:val="003927A0"/>
    <w:rsid w:val="00392CA3"/>
    <w:rsid w:val="00394323"/>
    <w:rsid w:val="00394544"/>
    <w:rsid w:val="00395693"/>
    <w:rsid w:val="003965E8"/>
    <w:rsid w:val="00396FD0"/>
    <w:rsid w:val="00397A58"/>
    <w:rsid w:val="003A03DF"/>
    <w:rsid w:val="003A1009"/>
    <w:rsid w:val="003A1A7A"/>
    <w:rsid w:val="003A1D21"/>
    <w:rsid w:val="003A26C4"/>
    <w:rsid w:val="003A3281"/>
    <w:rsid w:val="003A36C4"/>
    <w:rsid w:val="003A49FF"/>
    <w:rsid w:val="003A6CE7"/>
    <w:rsid w:val="003B03EC"/>
    <w:rsid w:val="003B0E9B"/>
    <w:rsid w:val="003B1324"/>
    <w:rsid w:val="003B3224"/>
    <w:rsid w:val="003B3F19"/>
    <w:rsid w:val="003B4203"/>
    <w:rsid w:val="003B44D3"/>
    <w:rsid w:val="003B5067"/>
    <w:rsid w:val="003B5913"/>
    <w:rsid w:val="003B6D25"/>
    <w:rsid w:val="003B7D29"/>
    <w:rsid w:val="003B7D72"/>
    <w:rsid w:val="003C0F72"/>
    <w:rsid w:val="003C162B"/>
    <w:rsid w:val="003C314E"/>
    <w:rsid w:val="003C3536"/>
    <w:rsid w:val="003C5A9F"/>
    <w:rsid w:val="003C6A34"/>
    <w:rsid w:val="003C6E98"/>
    <w:rsid w:val="003C72F8"/>
    <w:rsid w:val="003C7667"/>
    <w:rsid w:val="003D0E66"/>
    <w:rsid w:val="003D1828"/>
    <w:rsid w:val="003D2422"/>
    <w:rsid w:val="003D2827"/>
    <w:rsid w:val="003D2FE3"/>
    <w:rsid w:val="003D4D43"/>
    <w:rsid w:val="003D4F91"/>
    <w:rsid w:val="003D5804"/>
    <w:rsid w:val="003E0F8F"/>
    <w:rsid w:val="003E14C1"/>
    <w:rsid w:val="003E46FA"/>
    <w:rsid w:val="003E4AEB"/>
    <w:rsid w:val="003E5D1B"/>
    <w:rsid w:val="003E7A72"/>
    <w:rsid w:val="003F09FF"/>
    <w:rsid w:val="003F375A"/>
    <w:rsid w:val="003F4156"/>
    <w:rsid w:val="003F450C"/>
    <w:rsid w:val="003F4B2F"/>
    <w:rsid w:val="003F5557"/>
    <w:rsid w:val="00400870"/>
    <w:rsid w:val="00401020"/>
    <w:rsid w:val="004028C3"/>
    <w:rsid w:val="00402CBD"/>
    <w:rsid w:val="0040408C"/>
    <w:rsid w:val="0040429D"/>
    <w:rsid w:val="00404789"/>
    <w:rsid w:val="004048A6"/>
    <w:rsid w:val="00405FB4"/>
    <w:rsid w:val="00406353"/>
    <w:rsid w:val="004103B4"/>
    <w:rsid w:val="00410708"/>
    <w:rsid w:val="00410ADE"/>
    <w:rsid w:val="00410EC7"/>
    <w:rsid w:val="004116FC"/>
    <w:rsid w:val="00411C27"/>
    <w:rsid w:val="004120F7"/>
    <w:rsid w:val="00414476"/>
    <w:rsid w:val="00416047"/>
    <w:rsid w:val="00416199"/>
    <w:rsid w:val="0041705E"/>
    <w:rsid w:val="0041713F"/>
    <w:rsid w:val="00417A56"/>
    <w:rsid w:val="00420B9F"/>
    <w:rsid w:val="00422554"/>
    <w:rsid w:val="00423B6A"/>
    <w:rsid w:val="00425948"/>
    <w:rsid w:val="00427257"/>
    <w:rsid w:val="004319F8"/>
    <w:rsid w:val="00432803"/>
    <w:rsid w:val="00433044"/>
    <w:rsid w:val="0044196B"/>
    <w:rsid w:val="00444051"/>
    <w:rsid w:val="004443A7"/>
    <w:rsid w:val="004464EB"/>
    <w:rsid w:val="004513D6"/>
    <w:rsid w:val="004521AC"/>
    <w:rsid w:val="00452427"/>
    <w:rsid w:val="004526FA"/>
    <w:rsid w:val="004548CF"/>
    <w:rsid w:val="00455D45"/>
    <w:rsid w:val="00460262"/>
    <w:rsid w:val="00460343"/>
    <w:rsid w:val="00460AF0"/>
    <w:rsid w:val="00464595"/>
    <w:rsid w:val="00464E1D"/>
    <w:rsid w:val="00466542"/>
    <w:rsid w:val="004667B0"/>
    <w:rsid w:val="00470330"/>
    <w:rsid w:val="004705DF"/>
    <w:rsid w:val="00471FF6"/>
    <w:rsid w:val="00474BD1"/>
    <w:rsid w:val="0047549B"/>
    <w:rsid w:val="00476620"/>
    <w:rsid w:val="00476D02"/>
    <w:rsid w:val="00476D56"/>
    <w:rsid w:val="00480CF1"/>
    <w:rsid w:val="004823F0"/>
    <w:rsid w:val="00483A68"/>
    <w:rsid w:val="00483E9F"/>
    <w:rsid w:val="00484F53"/>
    <w:rsid w:val="0048506F"/>
    <w:rsid w:val="004867E2"/>
    <w:rsid w:val="00486A18"/>
    <w:rsid w:val="00487911"/>
    <w:rsid w:val="00490863"/>
    <w:rsid w:val="00491B3A"/>
    <w:rsid w:val="0049249B"/>
    <w:rsid w:val="00492896"/>
    <w:rsid w:val="00492CFD"/>
    <w:rsid w:val="00493AD6"/>
    <w:rsid w:val="0049585E"/>
    <w:rsid w:val="00495B49"/>
    <w:rsid w:val="004962D2"/>
    <w:rsid w:val="00496F29"/>
    <w:rsid w:val="004A07EE"/>
    <w:rsid w:val="004A0DA1"/>
    <w:rsid w:val="004A1981"/>
    <w:rsid w:val="004A30B8"/>
    <w:rsid w:val="004A45B4"/>
    <w:rsid w:val="004A5E67"/>
    <w:rsid w:val="004A6597"/>
    <w:rsid w:val="004A6A19"/>
    <w:rsid w:val="004A7FF6"/>
    <w:rsid w:val="004B03FA"/>
    <w:rsid w:val="004B064E"/>
    <w:rsid w:val="004B0FD9"/>
    <w:rsid w:val="004B131C"/>
    <w:rsid w:val="004B1CB4"/>
    <w:rsid w:val="004B2F18"/>
    <w:rsid w:val="004B3D46"/>
    <w:rsid w:val="004B3DDB"/>
    <w:rsid w:val="004B44FD"/>
    <w:rsid w:val="004B4809"/>
    <w:rsid w:val="004B5BAD"/>
    <w:rsid w:val="004B5CFC"/>
    <w:rsid w:val="004B688C"/>
    <w:rsid w:val="004B73E1"/>
    <w:rsid w:val="004C0715"/>
    <w:rsid w:val="004C1F2E"/>
    <w:rsid w:val="004C2D38"/>
    <w:rsid w:val="004C4AED"/>
    <w:rsid w:val="004C669E"/>
    <w:rsid w:val="004C6C24"/>
    <w:rsid w:val="004C6C46"/>
    <w:rsid w:val="004C6E5B"/>
    <w:rsid w:val="004C75B3"/>
    <w:rsid w:val="004D0001"/>
    <w:rsid w:val="004D0709"/>
    <w:rsid w:val="004D3108"/>
    <w:rsid w:val="004D38FF"/>
    <w:rsid w:val="004D5C7C"/>
    <w:rsid w:val="004D7E4D"/>
    <w:rsid w:val="004E0EB8"/>
    <w:rsid w:val="004E2ADC"/>
    <w:rsid w:val="004E3ABA"/>
    <w:rsid w:val="004E43B2"/>
    <w:rsid w:val="004E46B7"/>
    <w:rsid w:val="004E46CB"/>
    <w:rsid w:val="004E4A10"/>
    <w:rsid w:val="004E4E68"/>
    <w:rsid w:val="004E51EF"/>
    <w:rsid w:val="004E61B1"/>
    <w:rsid w:val="004E7F5A"/>
    <w:rsid w:val="004F0037"/>
    <w:rsid w:val="004F1D02"/>
    <w:rsid w:val="004F2679"/>
    <w:rsid w:val="004F2BE1"/>
    <w:rsid w:val="004F44FC"/>
    <w:rsid w:val="004F5E73"/>
    <w:rsid w:val="004F63BC"/>
    <w:rsid w:val="004F6750"/>
    <w:rsid w:val="004F7865"/>
    <w:rsid w:val="0050117A"/>
    <w:rsid w:val="005023BA"/>
    <w:rsid w:val="00503125"/>
    <w:rsid w:val="00503CCC"/>
    <w:rsid w:val="00505180"/>
    <w:rsid w:val="00505F58"/>
    <w:rsid w:val="00506928"/>
    <w:rsid w:val="005109DC"/>
    <w:rsid w:val="005120C1"/>
    <w:rsid w:val="0051249A"/>
    <w:rsid w:val="00512B38"/>
    <w:rsid w:val="00512F34"/>
    <w:rsid w:val="0051344E"/>
    <w:rsid w:val="005152B5"/>
    <w:rsid w:val="005154D6"/>
    <w:rsid w:val="005169F5"/>
    <w:rsid w:val="00517AFD"/>
    <w:rsid w:val="0052035B"/>
    <w:rsid w:val="00520AD8"/>
    <w:rsid w:val="00521319"/>
    <w:rsid w:val="00521E22"/>
    <w:rsid w:val="00523C28"/>
    <w:rsid w:val="00524351"/>
    <w:rsid w:val="00525CB9"/>
    <w:rsid w:val="00525F81"/>
    <w:rsid w:val="00527553"/>
    <w:rsid w:val="005275B6"/>
    <w:rsid w:val="0053015A"/>
    <w:rsid w:val="005302A7"/>
    <w:rsid w:val="005305F2"/>
    <w:rsid w:val="00531415"/>
    <w:rsid w:val="0053360F"/>
    <w:rsid w:val="00535001"/>
    <w:rsid w:val="0053688C"/>
    <w:rsid w:val="005369E6"/>
    <w:rsid w:val="005417B2"/>
    <w:rsid w:val="00541B9F"/>
    <w:rsid w:val="00541D0D"/>
    <w:rsid w:val="00541E80"/>
    <w:rsid w:val="00543AB6"/>
    <w:rsid w:val="00543B49"/>
    <w:rsid w:val="00545688"/>
    <w:rsid w:val="005472EB"/>
    <w:rsid w:val="005472F5"/>
    <w:rsid w:val="00552487"/>
    <w:rsid w:val="00552BD3"/>
    <w:rsid w:val="00554D48"/>
    <w:rsid w:val="00555109"/>
    <w:rsid w:val="00557C9B"/>
    <w:rsid w:val="00561E71"/>
    <w:rsid w:val="005621BB"/>
    <w:rsid w:val="0056440D"/>
    <w:rsid w:val="005649C1"/>
    <w:rsid w:val="0056696F"/>
    <w:rsid w:val="00572CB8"/>
    <w:rsid w:val="005737F3"/>
    <w:rsid w:val="00574CE2"/>
    <w:rsid w:val="00575A5E"/>
    <w:rsid w:val="00575CA5"/>
    <w:rsid w:val="00575D8D"/>
    <w:rsid w:val="00576972"/>
    <w:rsid w:val="0057798B"/>
    <w:rsid w:val="00580390"/>
    <w:rsid w:val="0058343E"/>
    <w:rsid w:val="00583699"/>
    <w:rsid w:val="005863DB"/>
    <w:rsid w:val="00587A1A"/>
    <w:rsid w:val="00587B16"/>
    <w:rsid w:val="005914E6"/>
    <w:rsid w:val="005928B6"/>
    <w:rsid w:val="005931CE"/>
    <w:rsid w:val="00593FA3"/>
    <w:rsid w:val="00594374"/>
    <w:rsid w:val="0059748B"/>
    <w:rsid w:val="005A06DA"/>
    <w:rsid w:val="005A09C8"/>
    <w:rsid w:val="005A101C"/>
    <w:rsid w:val="005A1C57"/>
    <w:rsid w:val="005A1F19"/>
    <w:rsid w:val="005A3371"/>
    <w:rsid w:val="005A3DE1"/>
    <w:rsid w:val="005A53C6"/>
    <w:rsid w:val="005A55F4"/>
    <w:rsid w:val="005B1417"/>
    <w:rsid w:val="005B159F"/>
    <w:rsid w:val="005B173B"/>
    <w:rsid w:val="005B1CE8"/>
    <w:rsid w:val="005B2AEF"/>
    <w:rsid w:val="005B2E01"/>
    <w:rsid w:val="005B4239"/>
    <w:rsid w:val="005B5857"/>
    <w:rsid w:val="005B77B5"/>
    <w:rsid w:val="005C1B83"/>
    <w:rsid w:val="005C2338"/>
    <w:rsid w:val="005C346B"/>
    <w:rsid w:val="005C39D3"/>
    <w:rsid w:val="005C4728"/>
    <w:rsid w:val="005C4A66"/>
    <w:rsid w:val="005C4C89"/>
    <w:rsid w:val="005C6B75"/>
    <w:rsid w:val="005C6E15"/>
    <w:rsid w:val="005C71D5"/>
    <w:rsid w:val="005C7EE5"/>
    <w:rsid w:val="005C7F65"/>
    <w:rsid w:val="005D044D"/>
    <w:rsid w:val="005D0BC4"/>
    <w:rsid w:val="005D0D8D"/>
    <w:rsid w:val="005D138E"/>
    <w:rsid w:val="005D18AD"/>
    <w:rsid w:val="005D1B9C"/>
    <w:rsid w:val="005D2B3F"/>
    <w:rsid w:val="005D4D01"/>
    <w:rsid w:val="005E0926"/>
    <w:rsid w:val="005E121C"/>
    <w:rsid w:val="005E1665"/>
    <w:rsid w:val="005E20B7"/>
    <w:rsid w:val="005E32B4"/>
    <w:rsid w:val="005E583C"/>
    <w:rsid w:val="005E6D92"/>
    <w:rsid w:val="005E73C0"/>
    <w:rsid w:val="005E7FBE"/>
    <w:rsid w:val="005F04C4"/>
    <w:rsid w:val="005F1169"/>
    <w:rsid w:val="005F2706"/>
    <w:rsid w:val="005F2E00"/>
    <w:rsid w:val="005F499A"/>
    <w:rsid w:val="005F5966"/>
    <w:rsid w:val="005F6A8F"/>
    <w:rsid w:val="005F6C28"/>
    <w:rsid w:val="005F6F2B"/>
    <w:rsid w:val="005F70A1"/>
    <w:rsid w:val="006000B1"/>
    <w:rsid w:val="00601EC0"/>
    <w:rsid w:val="00601FB9"/>
    <w:rsid w:val="006053F7"/>
    <w:rsid w:val="006066E6"/>
    <w:rsid w:val="00606892"/>
    <w:rsid w:val="00606C6A"/>
    <w:rsid w:val="00607669"/>
    <w:rsid w:val="00607C3A"/>
    <w:rsid w:val="00611879"/>
    <w:rsid w:val="00612DC4"/>
    <w:rsid w:val="00612F97"/>
    <w:rsid w:val="006134FE"/>
    <w:rsid w:val="00613924"/>
    <w:rsid w:val="006153F9"/>
    <w:rsid w:val="00616316"/>
    <w:rsid w:val="00616802"/>
    <w:rsid w:val="0061773E"/>
    <w:rsid w:val="00617B86"/>
    <w:rsid w:val="00617E12"/>
    <w:rsid w:val="00621477"/>
    <w:rsid w:val="006229EB"/>
    <w:rsid w:val="00623F92"/>
    <w:rsid w:val="006248AA"/>
    <w:rsid w:val="00625944"/>
    <w:rsid w:val="006260C2"/>
    <w:rsid w:val="006306AE"/>
    <w:rsid w:val="00630C39"/>
    <w:rsid w:val="00631696"/>
    <w:rsid w:val="00631D6B"/>
    <w:rsid w:val="00631FFC"/>
    <w:rsid w:val="006320FB"/>
    <w:rsid w:val="00633894"/>
    <w:rsid w:val="00633B88"/>
    <w:rsid w:val="006341AF"/>
    <w:rsid w:val="0063479F"/>
    <w:rsid w:val="00635289"/>
    <w:rsid w:val="006364A1"/>
    <w:rsid w:val="00636652"/>
    <w:rsid w:val="00637BFD"/>
    <w:rsid w:val="006403EB"/>
    <w:rsid w:val="0064126A"/>
    <w:rsid w:val="00641507"/>
    <w:rsid w:val="00642561"/>
    <w:rsid w:val="00643A7B"/>
    <w:rsid w:val="006455E8"/>
    <w:rsid w:val="00645B89"/>
    <w:rsid w:val="006471CC"/>
    <w:rsid w:val="00650441"/>
    <w:rsid w:val="0065079F"/>
    <w:rsid w:val="00650CFA"/>
    <w:rsid w:val="006512D8"/>
    <w:rsid w:val="00651C92"/>
    <w:rsid w:val="006530B1"/>
    <w:rsid w:val="006531F2"/>
    <w:rsid w:val="0065426D"/>
    <w:rsid w:val="006545B3"/>
    <w:rsid w:val="00655357"/>
    <w:rsid w:val="00655555"/>
    <w:rsid w:val="00655E04"/>
    <w:rsid w:val="00656252"/>
    <w:rsid w:val="0066341D"/>
    <w:rsid w:val="00663643"/>
    <w:rsid w:val="00664AF3"/>
    <w:rsid w:val="0066647C"/>
    <w:rsid w:val="0066775F"/>
    <w:rsid w:val="0067155C"/>
    <w:rsid w:val="00671681"/>
    <w:rsid w:val="00671B66"/>
    <w:rsid w:val="00671BF3"/>
    <w:rsid w:val="00674E42"/>
    <w:rsid w:val="006765EB"/>
    <w:rsid w:val="00677BAB"/>
    <w:rsid w:val="00682112"/>
    <w:rsid w:val="0068314D"/>
    <w:rsid w:val="006848BE"/>
    <w:rsid w:val="006872BA"/>
    <w:rsid w:val="006872F4"/>
    <w:rsid w:val="00690725"/>
    <w:rsid w:val="00690D33"/>
    <w:rsid w:val="006911CA"/>
    <w:rsid w:val="006917D7"/>
    <w:rsid w:val="00691DC5"/>
    <w:rsid w:val="00692D76"/>
    <w:rsid w:val="00693029"/>
    <w:rsid w:val="00693D0E"/>
    <w:rsid w:val="006948B0"/>
    <w:rsid w:val="00694F44"/>
    <w:rsid w:val="006A1BAD"/>
    <w:rsid w:val="006A2CAF"/>
    <w:rsid w:val="006A3219"/>
    <w:rsid w:val="006A3CAF"/>
    <w:rsid w:val="006A4256"/>
    <w:rsid w:val="006A6E84"/>
    <w:rsid w:val="006A7696"/>
    <w:rsid w:val="006A7F0E"/>
    <w:rsid w:val="006B15AA"/>
    <w:rsid w:val="006B2629"/>
    <w:rsid w:val="006B4809"/>
    <w:rsid w:val="006B4AF7"/>
    <w:rsid w:val="006B5A38"/>
    <w:rsid w:val="006B738A"/>
    <w:rsid w:val="006C1D54"/>
    <w:rsid w:val="006C1EFD"/>
    <w:rsid w:val="006C2A8E"/>
    <w:rsid w:val="006C3A1F"/>
    <w:rsid w:val="006C3D70"/>
    <w:rsid w:val="006C419E"/>
    <w:rsid w:val="006C4623"/>
    <w:rsid w:val="006C5E4E"/>
    <w:rsid w:val="006C7346"/>
    <w:rsid w:val="006C73E4"/>
    <w:rsid w:val="006C7849"/>
    <w:rsid w:val="006C7C0E"/>
    <w:rsid w:val="006D01F6"/>
    <w:rsid w:val="006D0A4F"/>
    <w:rsid w:val="006D0F44"/>
    <w:rsid w:val="006D3C7D"/>
    <w:rsid w:val="006D50AE"/>
    <w:rsid w:val="006D54B7"/>
    <w:rsid w:val="006D5AC1"/>
    <w:rsid w:val="006D5D5F"/>
    <w:rsid w:val="006D62B4"/>
    <w:rsid w:val="006E18C1"/>
    <w:rsid w:val="006E59D4"/>
    <w:rsid w:val="006E64A6"/>
    <w:rsid w:val="006E6FCA"/>
    <w:rsid w:val="006E7013"/>
    <w:rsid w:val="006E714B"/>
    <w:rsid w:val="006E77A9"/>
    <w:rsid w:val="006F10B4"/>
    <w:rsid w:val="006F1B4A"/>
    <w:rsid w:val="006F307F"/>
    <w:rsid w:val="006F3AE2"/>
    <w:rsid w:val="006F48AD"/>
    <w:rsid w:val="006F63A5"/>
    <w:rsid w:val="006F67C5"/>
    <w:rsid w:val="006F7C50"/>
    <w:rsid w:val="006F7CA9"/>
    <w:rsid w:val="0070014F"/>
    <w:rsid w:val="007016E7"/>
    <w:rsid w:val="00701B6B"/>
    <w:rsid w:val="007026D2"/>
    <w:rsid w:val="0070276E"/>
    <w:rsid w:val="00702A6F"/>
    <w:rsid w:val="00702F8F"/>
    <w:rsid w:val="00704D53"/>
    <w:rsid w:val="007102EC"/>
    <w:rsid w:val="00710335"/>
    <w:rsid w:val="0071088B"/>
    <w:rsid w:val="00711A36"/>
    <w:rsid w:val="00713592"/>
    <w:rsid w:val="00713B4B"/>
    <w:rsid w:val="007140A6"/>
    <w:rsid w:val="00714AC6"/>
    <w:rsid w:val="00714CC2"/>
    <w:rsid w:val="00714F66"/>
    <w:rsid w:val="00715567"/>
    <w:rsid w:val="00715981"/>
    <w:rsid w:val="0071616C"/>
    <w:rsid w:val="00716CAD"/>
    <w:rsid w:val="007172AD"/>
    <w:rsid w:val="007176BC"/>
    <w:rsid w:val="0072019D"/>
    <w:rsid w:val="00720B5E"/>
    <w:rsid w:val="00722755"/>
    <w:rsid w:val="00722903"/>
    <w:rsid w:val="00722B1E"/>
    <w:rsid w:val="0072416F"/>
    <w:rsid w:val="00724B9F"/>
    <w:rsid w:val="00726A29"/>
    <w:rsid w:val="007276DB"/>
    <w:rsid w:val="00727BDD"/>
    <w:rsid w:val="007307BC"/>
    <w:rsid w:val="00732137"/>
    <w:rsid w:val="00732A4A"/>
    <w:rsid w:val="0073311D"/>
    <w:rsid w:val="00733881"/>
    <w:rsid w:val="00733F43"/>
    <w:rsid w:val="007341E2"/>
    <w:rsid w:val="00734981"/>
    <w:rsid w:val="00735328"/>
    <w:rsid w:val="0073569C"/>
    <w:rsid w:val="00735853"/>
    <w:rsid w:val="0073685B"/>
    <w:rsid w:val="00736DB8"/>
    <w:rsid w:val="007405CD"/>
    <w:rsid w:val="00740D91"/>
    <w:rsid w:val="007419C4"/>
    <w:rsid w:val="00741C98"/>
    <w:rsid w:val="007424B1"/>
    <w:rsid w:val="007436D1"/>
    <w:rsid w:val="00747F2B"/>
    <w:rsid w:val="007502AE"/>
    <w:rsid w:val="00752277"/>
    <w:rsid w:val="007528BE"/>
    <w:rsid w:val="0075290D"/>
    <w:rsid w:val="00753209"/>
    <w:rsid w:val="00753281"/>
    <w:rsid w:val="00753ADB"/>
    <w:rsid w:val="00754ACD"/>
    <w:rsid w:val="007552D3"/>
    <w:rsid w:val="007559B6"/>
    <w:rsid w:val="00757BAD"/>
    <w:rsid w:val="00760064"/>
    <w:rsid w:val="00761D4A"/>
    <w:rsid w:val="00763716"/>
    <w:rsid w:val="007641CC"/>
    <w:rsid w:val="007651BF"/>
    <w:rsid w:val="0076634D"/>
    <w:rsid w:val="00766670"/>
    <w:rsid w:val="00767B79"/>
    <w:rsid w:val="00770EBF"/>
    <w:rsid w:val="00771857"/>
    <w:rsid w:val="0077199A"/>
    <w:rsid w:val="00771EBA"/>
    <w:rsid w:val="0077296E"/>
    <w:rsid w:val="0077500F"/>
    <w:rsid w:val="0077644C"/>
    <w:rsid w:val="00776858"/>
    <w:rsid w:val="00782E22"/>
    <w:rsid w:val="007837B4"/>
    <w:rsid w:val="00784AA6"/>
    <w:rsid w:val="00785DFC"/>
    <w:rsid w:val="00786C88"/>
    <w:rsid w:val="00786E12"/>
    <w:rsid w:val="0079075D"/>
    <w:rsid w:val="00790CD9"/>
    <w:rsid w:val="00792E95"/>
    <w:rsid w:val="00793B85"/>
    <w:rsid w:val="00793D85"/>
    <w:rsid w:val="00793EE0"/>
    <w:rsid w:val="007951F2"/>
    <w:rsid w:val="00795788"/>
    <w:rsid w:val="00795DB4"/>
    <w:rsid w:val="007A0800"/>
    <w:rsid w:val="007A08A6"/>
    <w:rsid w:val="007A0A12"/>
    <w:rsid w:val="007A34E6"/>
    <w:rsid w:val="007A5890"/>
    <w:rsid w:val="007A5A1F"/>
    <w:rsid w:val="007A5C41"/>
    <w:rsid w:val="007A5CB2"/>
    <w:rsid w:val="007A7A24"/>
    <w:rsid w:val="007A7E19"/>
    <w:rsid w:val="007B107A"/>
    <w:rsid w:val="007B20FA"/>
    <w:rsid w:val="007B251D"/>
    <w:rsid w:val="007B2BC8"/>
    <w:rsid w:val="007B3597"/>
    <w:rsid w:val="007B77D1"/>
    <w:rsid w:val="007C024F"/>
    <w:rsid w:val="007C028C"/>
    <w:rsid w:val="007C22CF"/>
    <w:rsid w:val="007C361D"/>
    <w:rsid w:val="007C4367"/>
    <w:rsid w:val="007C43CA"/>
    <w:rsid w:val="007C493E"/>
    <w:rsid w:val="007C5A6B"/>
    <w:rsid w:val="007C63B6"/>
    <w:rsid w:val="007C7E01"/>
    <w:rsid w:val="007D00C0"/>
    <w:rsid w:val="007D0B38"/>
    <w:rsid w:val="007D17F8"/>
    <w:rsid w:val="007D2099"/>
    <w:rsid w:val="007D3331"/>
    <w:rsid w:val="007D34A7"/>
    <w:rsid w:val="007D4A22"/>
    <w:rsid w:val="007E046C"/>
    <w:rsid w:val="007E11FA"/>
    <w:rsid w:val="007E123F"/>
    <w:rsid w:val="007E2BA6"/>
    <w:rsid w:val="007E5FEC"/>
    <w:rsid w:val="007E6F5A"/>
    <w:rsid w:val="007E793A"/>
    <w:rsid w:val="007E794D"/>
    <w:rsid w:val="007E7C27"/>
    <w:rsid w:val="007F0D0F"/>
    <w:rsid w:val="007F1017"/>
    <w:rsid w:val="007F4A3F"/>
    <w:rsid w:val="007F701E"/>
    <w:rsid w:val="007F7354"/>
    <w:rsid w:val="00800C3B"/>
    <w:rsid w:val="00800DFE"/>
    <w:rsid w:val="00801328"/>
    <w:rsid w:val="00802260"/>
    <w:rsid w:val="00803D45"/>
    <w:rsid w:val="00803EE3"/>
    <w:rsid w:val="00804750"/>
    <w:rsid w:val="00805142"/>
    <w:rsid w:val="00805652"/>
    <w:rsid w:val="00807A8B"/>
    <w:rsid w:val="00807CC4"/>
    <w:rsid w:val="00807D60"/>
    <w:rsid w:val="00810E08"/>
    <w:rsid w:val="00811099"/>
    <w:rsid w:val="00811938"/>
    <w:rsid w:val="00812149"/>
    <w:rsid w:val="00812F76"/>
    <w:rsid w:val="00814265"/>
    <w:rsid w:val="00814926"/>
    <w:rsid w:val="008158F1"/>
    <w:rsid w:val="008166EF"/>
    <w:rsid w:val="008179F5"/>
    <w:rsid w:val="00817DF7"/>
    <w:rsid w:val="008205EF"/>
    <w:rsid w:val="00820837"/>
    <w:rsid w:val="00820E50"/>
    <w:rsid w:val="008229A1"/>
    <w:rsid w:val="00823225"/>
    <w:rsid w:val="0082331E"/>
    <w:rsid w:val="008240FB"/>
    <w:rsid w:val="00825C47"/>
    <w:rsid w:val="008264EB"/>
    <w:rsid w:val="00827193"/>
    <w:rsid w:val="008276C1"/>
    <w:rsid w:val="00827A12"/>
    <w:rsid w:val="0083035B"/>
    <w:rsid w:val="008333B0"/>
    <w:rsid w:val="00833B05"/>
    <w:rsid w:val="00833F95"/>
    <w:rsid w:val="008349D9"/>
    <w:rsid w:val="00834F3C"/>
    <w:rsid w:val="00834FE5"/>
    <w:rsid w:val="00837280"/>
    <w:rsid w:val="00840CA2"/>
    <w:rsid w:val="00840DE8"/>
    <w:rsid w:val="00841067"/>
    <w:rsid w:val="00841CF5"/>
    <w:rsid w:val="00845611"/>
    <w:rsid w:val="00845921"/>
    <w:rsid w:val="008509E3"/>
    <w:rsid w:val="00850B36"/>
    <w:rsid w:val="00850BEB"/>
    <w:rsid w:val="00851561"/>
    <w:rsid w:val="00852442"/>
    <w:rsid w:val="00853F1C"/>
    <w:rsid w:val="00854638"/>
    <w:rsid w:val="0085484F"/>
    <w:rsid w:val="00855A26"/>
    <w:rsid w:val="00856E9A"/>
    <w:rsid w:val="00860DA2"/>
    <w:rsid w:val="00862502"/>
    <w:rsid w:val="008625B1"/>
    <w:rsid w:val="00863924"/>
    <w:rsid w:val="00866049"/>
    <w:rsid w:val="008702D9"/>
    <w:rsid w:val="0087097E"/>
    <w:rsid w:val="00870A05"/>
    <w:rsid w:val="00871C60"/>
    <w:rsid w:val="008722D3"/>
    <w:rsid w:val="00872A46"/>
    <w:rsid w:val="008731AB"/>
    <w:rsid w:val="00873653"/>
    <w:rsid w:val="0087441C"/>
    <w:rsid w:val="00874855"/>
    <w:rsid w:val="00875E94"/>
    <w:rsid w:val="008771C1"/>
    <w:rsid w:val="008774BC"/>
    <w:rsid w:val="008807FC"/>
    <w:rsid w:val="0088147F"/>
    <w:rsid w:val="00881921"/>
    <w:rsid w:val="008819A2"/>
    <w:rsid w:val="00882874"/>
    <w:rsid w:val="00882952"/>
    <w:rsid w:val="00883787"/>
    <w:rsid w:val="00885148"/>
    <w:rsid w:val="008857EB"/>
    <w:rsid w:val="00885E30"/>
    <w:rsid w:val="008861FF"/>
    <w:rsid w:val="008868F6"/>
    <w:rsid w:val="008875D3"/>
    <w:rsid w:val="00887B31"/>
    <w:rsid w:val="00890A35"/>
    <w:rsid w:val="00890CE6"/>
    <w:rsid w:val="00892BAF"/>
    <w:rsid w:val="00893CCB"/>
    <w:rsid w:val="00894489"/>
    <w:rsid w:val="00894B6B"/>
    <w:rsid w:val="008959E6"/>
    <w:rsid w:val="0089608D"/>
    <w:rsid w:val="008963A5"/>
    <w:rsid w:val="008966B8"/>
    <w:rsid w:val="008967C8"/>
    <w:rsid w:val="008A1028"/>
    <w:rsid w:val="008A1959"/>
    <w:rsid w:val="008A1D48"/>
    <w:rsid w:val="008A29CB"/>
    <w:rsid w:val="008A2ED6"/>
    <w:rsid w:val="008A3A5E"/>
    <w:rsid w:val="008A3C3E"/>
    <w:rsid w:val="008A56CC"/>
    <w:rsid w:val="008A68FD"/>
    <w:rsid w:val="008A727C"/>
    <w:rsid w:val="008A7399"/>
    <w:rsid w:val="008A76B4"/>
    <w:rsid w:val="008A79DE"/>
    <w:rsid w:val="008B0361"/>
    <w:rsid w:val="008B0847"/>
    <w:rsid w:val="008B252E"/>
    <w:rsid w:val="008B2CCA"/>
    <w:rsid w:val="008B3ADA"/>
    <w:rsid w:val="008B6962"/>
    <w:rsid w:val="008B7D7E"/>
    <w:rsid w:val="008C0BC3"/>
    <w:rsid w:val="008C1F56"/>
    <w:rsid w:val="008C2B01"/>
    <w:rsid w:val="008C2BF2"/>
    <w:rsid w:val="008C5804"/>
    <w:rsid w:val="008C619B"/>
    <w:rsid w:val="008C6C7B"/>
    <w:rsid w:val="008C76A0"/>
    <w:rsid w:val="008C7AC5"/>
    <w:rsid w:val="008C7ECB"/>
    <w:rsid w:val="008D0B93"/>
    <w:rsid w:val="008D0C0E"/>
    <w:rsid w:val="008D52C8"/>
    <w:rsid w:val="008D55E6"/>
    <w:rsid w:val="008D5DCE"/>
    <w:rsid w:val="008D78E7"/>
    <w:rsid w:val="008E09A8"/>
    <w:rsid w:val="008E112E"/>
    <w:rsid w:val="008E1B9E"/>
    <w:rsid w:val="008E2B9C"/>
    <w:rsid w:val="008E4326"/>
    <w:rsid w:val="008E525B"/>
    <w:rsid w:val="008E552F"/>
    <w:rsid w:val="008E57DA"/>
    <w:rsid w:val="008E6330"/>
    <w:rsid w:val="008F0903"/>
    <w:rsid w:val="008F0BF4"/>
    <w:rsid w:val="008F120A"/>
    <w:rsid w:val="008F17BE"/>
    <w:rsid w:val="008F2A8E"/>
    <w:rsid w:val="008F48EB"/>
    <w:rsid w:val="008F4C6A"/>
    <w:rsid w:val="008F4F0B"/>
    <w:rsid w:val="008F4F1E"/>
    <w:rsid w:val="008F57BB"/>
    <w:rsid w:val="008F77D5"/>
    <w:rsid w:val="00900F5A"/>
    <w:rsid w:val="009012D7"/>
    <w:rsid w:val="00901EF6"/>
    <w:rsid w:val="00905CCE"/>
    <w:rsid w:val="009062A5"/>
    <w:rsid w:val="00906525"/>
    <w:rsid w:val="00910447"/>
    <w:rsid w:val="00911272"/>
    <w:rsid w:val="00912028"/>
    <w:rsid w:val="0091337E"/>
    <w:rsid w:val="0091358D"/>
    <w:rsid w:val="009135DF"/>
    <w:rsid w:val="00913A6A"/>
    <w:rsid w:val="00913ABF"/>
    <w:rsid w:val="00913B3F"/>
    <w:rsid w:val="00916E4E"/>
    <w:rsid w:val="00917297"/>
    <w:rsid w:val="00920E38"/>
    <w:rsid w:val="0092223D"/>
    <w:rsid w:val="00923C89"/>
    <w:rsid w:val="009255F4"/>
    <w:rsid w:val="009276A4"/>
    <w:rsid w:val="00927AF3"/>
    <w:rsid w:val="00931EF0"/>
    <w:rsid w:val="00932AA0"/>
    <w:rsid w:val="00932E6D"/>
    <w:rsid w:val="0093513F"/>
    <w:rsid w:val="00935198"/>
    <w:rsid w:val="00940625"/>
    <w:rsid w:val="00940912"/>
    <w:rsid w:val="00940D89"/>
    <w:rsid w:val="00942464"/>
    <w:rsid w:val="0094385A"/>
    <w:rsid w:val="00944A88"/>
    <w:rsid w:val="00946334"/>
    <w:rsid w:val="00946733"/>
    <w:rsid w:val="00950121"/>
    <w:rsid w:val="0095072B"/>
    <w:rsid w:val="00951372"/>
    <w:rsid w:val="00952608"/>
    <w:rsid w:val="0095319A"/>
    <w:rsid w:val="0095606E"/>
    <w:rsid w:val="009563E2"/>
    <w:rsid w:val="00956B1A"/>
    <w:rsid w:val="0095724C"/>
    <w:rsid w:val="00957827"/>
    <w:rsid w:val="00961DBA"/>
    <w:rsid w:val="00962325"/>
    <w:rsid w:val="00962CB9"/>
    <w:rsid w:val="00964312"/>
    <w:rsid w:val="009648D9"/>
    <w:rsid w:val="00964BCF"/>
    <w:rsid w:val="00965531"/>
    <w:rsid w:val="00965576"/>
    <w:rsid w:val="009673D1"/>
    <w:rsid w:val="00970BBB"/>
    <w:rsid w:val="0097183F"/>
    <w:rsid w:val="00971A00"/>
    <w:rsid w:val="00971E57"/>
    <w:rsid w:val="00972668"/>
    <w:rsid w:val="00973A29"/>
    <w:rsid w:val="00973C30"/>
    <w:rsid w:val="0097528F"/>
    <w:rsid w:val="00976D8B"/>
    <w:rsid w:val="00977F75"/>
    <w:rsid w:val="00980535"/>
    <w:rsid w:val="00980622"/>
    <w:rsid w:val="00980D8F"/>
    <w:rsid w:val="0098390C"/>
    <w:rsid w:val="00983E57"/>
    <w:rsid w:val="00985009"/>
    <w:rsid w:val="00987609"/>
    <w:rsid w:val="00993568"/>
    <w:rsid w:val="00996B1A"/>
    <w:rsid w:val="009A1398"/>
    <w:rsid w:val="009A1786"/>
    <w:rsid w:val="009A1FC1"/>
    <w:rsid w:val="009A4A24"/>
    <w:rsid w:val="009A5D9F"/>
    <w:rsid w:val="009A6320"/>
    <w:rsid w:val="009A6341"/>
    <w:rsid w:val="009B0BEB"/>
    <w:rsid w:val="009B150A"/>
    <w:rsid w:val="009B2747"/>
    <w:rsid w:val="009B2CA4"/>
    <w:rsid w:val="009B3577"/>
    <w:rsid w:val="009B3E26"/>
    <w:rsid w:val="009B429F"/>
    <w:rsid w:val="009B7573"/>
    <w:rsid w:val="009C0452"/>
    <w:rsid w:val="009C1756"/>
    <w:rsid w:val="009C1E5E"/>
    <w:rsid w:val="009C28A4"/>
    <w:rsid w:val="009C2F67"/>
    <w:rsid w:val="009C462A"/>
    <w:rsid w:val="009C507C"/>
    <w:rsid w:val="009C6008"/>
    <w:rsid w:val="009C65FC"/>
    <w:rsid w:val="009C6D26"/>
    <w:rsid w:val="009D194A"/>
    <w:rsid w:val="009D38EA"/>
    <w:rsid w:val="009D5B91"/>
    <w:rsid w:val="009D5C46"/>
    <w:rsid w:val="009D66CF"/>
    <w:rsid w:val="009D69D4"/>
    <w:rsid w:val="009D6E84"/>
    <w:rsid w:val="009D705D"/>
    <w:rsid w:val="009D7455"/>
    <w:rsid w:val="009E17A5"/>
    <w:rsid w:val="009E4945"/>
    <w:rsid w:val="009E4C07"/>
    <w:rsid w:val="009E50AE"/>
    <w:rsid w:val="009E618E"/>
    <w:rsid w:val="009E66D0"/>
    <w:rsid w:val="009F07DC"/>
    <w:rsid w:val="009F1040"/>
    <w:rsid w:val="009F115B"/>
    <w:rsid w:val="009F135C"/>
    <w:rsid w:val="009F2EDA"/>
    <w:rsid w:val="009F4A0D"/>
    <w:rsid w:val="009F4DA4"/>
    <w:rsid w:val="009F64E5"/>
    <w:rsid w:val="009F69BF"/>
    <w:rsid w:val="00A0270D"/>
    <w:rsid w:val="00A02C41"/>
    <w:rsid w:val="00A038F4"/>
    <w:rsid w:val="00A03D43"/>
    <w:rsid w:val="00A04380"/>
    <w:rsid w:val="00A0474E"/>
    <w:rsid w:val="00A056EF"/>
    <w:rsid w:val="00A05C90"/>
    <w:rsid w:val="00A073AD"/>
    <w:rsid w:val="00A0782D"/>
    <w:rsid w:val="00A12463"/>
    <w:rsid w:val="00A130BB"/>
    <w:rsid w:val="00A13948"/>
    <w:rsid w:val="00A141C1"/>
    <w:rsid w:val="00A141EF"/>
    <w:rsid w:val="00A15622"/>
    <w:rsid w:val="00A15EDC"/>
    <w:rsid w:val="00A16DF0"/>
    <w:rsid w:val="00A1720F"/>
    <w:rsid w:val="00A1768C"/>
    <w:rsid w:val="00A213F2"/>
    <w:rsid w:val="00A222C7"/>
    <w:rsid w:val="00A2373E"/>
    <w:rsid w:val="00A23EBB"/>
    <w:rsid w:val="00A25A1E"/>
    <w:rsid w:val="00A2623D"/>
    <w:rsid w:val="00A26445"/>
    <w:rsid w:val="00A274B4"/>
    <w:rsid w:val="00A27AEC"/>
    <w:rsid w:val="00A27FB8"/>
    <w:rsid w:val="00A3136C"/>
    <w:rsid w:val="00A31ED8"/>
    <w:rsid w:val="00A3202C"/>
    <w:rsid w:val="00A33E42"/>
    <w:rsid w:val="00A34B61"/>
    <w:rsid w:val="00A35D16"/>
    <w:rsid w:val="00A367D3"/>
    <w:rsid w:val="00A429E4"/>
    <w:rsid w:val="00A43C59"/>
    <w:rsid w:val="00A4464F"/>
    <w:rsid w:val="00A44B36"/>
    <w:rsid w:val="00A45DF7"/>
    <w:rsid w:val="00A46132"/>
    <w:rsid w:val="00A46D1C"/>
    <w:rsid w:val="00A50ECD"/>
    <w:rsid w:val="00A52729"/>
    <w:rsid w:val="00A5308C"/>
    <w:rsid w:val="00A53675"/>
    <w:rsid w:val="00A53E9A"/>
    <w:rsid w:val="00A56B6A"/>
    <w:rsid w:val="00A56EEB"/>
    <w:rsid w:val="00A574AA"/>
    <w:rsid w:val="00A578DC"/>
    <w:rsid w:val="00A57D09"/>
    <w:rsid w:val="00A60341"/>
    <w:rsid w:val="00A60368"/>
    <w:rsid w:val="00A62F50"/>
    <w:rsid w:val="00A631AD"/>
    <w:rsid w:val="00A64452"/>
    <w:rsid w:val="00A64D3B"/>
    <w:rsid w:val="00A64FAC"/>
    <w:rsid w:val="00A65322"/>
    <w:rsid w:val="00A6725B"/>
    <w:rsid w:val="00A70E3D"/>
    <w:rsid w:val="00A7246D"/>
    <w:rsid w:val="00A7301E"/>
    <w:rsid w:val="00A7422F"/>
    <w:rsid w:val="00A75E6D"/>
    <w:rsid w:val="00A7600D"/>
    <w:rsid w:val="00A76E99"/>
    <w:rsid w:val="00A77139"/>
    <w:rsid w:val="00A808B2"/>
    <w:rsid w:val="00A82ABA"/>
    <w:rsid w:val="00A84ED5"/>
    <w:rsid w:val="00A86E8B"/>
    <w:rsid w:val="00A87C70"/>
    <w:rsid w:val="00A87D9F"/>
    <w:rsid w:val="00A92F3B"/>
    <w:rsid w:val="00A93072"/>
    <w:rsid w:val="00A94151"/>
    <w:rsid w:val="00A94162"/>
    <w:rsid w:val="00A94874"/>
    <w:rsid w:val="00A95063"/>
    <w:rsid w:val="00A959D8"/>
    <w:rsid w:val="00AA096C"/>
    <w:rsid w:val="00AA0A8B"/>
    <w:rsid w:val="00AA175F"/>
    <w:rsid w:val="00AA2761"/>
    <w:rsid w:val="00AA4221"/>
    <w:rsid w:val="00AA6105"/>
    <w:rsid w:val="00AA6A0C"/>
    <w:rsid w:val="00AA6A5A"/>
    <w:rsid w:val="00AA6A9F"/>
    <w:rsid w:val="00AA6DDB"/>
    <w:rsid w:val="00AA76CB"/>
    <w:rsid w:val="00AB042A"/>
    <w:rsid w:val="00AB062D"/>
    <w:rsid w:val="00AB2D34"/>
    <w:rsid w:val="00AB3430"/>
    <w:rsid w:val="00AB3536"/>
    <w:rsid w:val="00AB5474"/>
    <w:rsid w:val="00AB5B30"/>
    <w:rsid w:val="00AB6B06"/>
    <w:rsid w:val="00AB7CFA"/>
    <w:rsid w:val="00AC01A1"/>
    <w:rsid w:val="00AC0200"/>
    <w:rsid w:val="00AC1243"/>
    <w:rsid w:val="00AC1344"/>
    <w:rsid w:val="00AC3E18"/>
    <w:rsid w:val="00AC60D7"/>
    <w:rsid w:val="00AC6353"/>
    <w:rsid w:val="00AC6356"/>
    <w:rsid w:val="00AC7911"/>
    <w:rsid w:val="00AD085B"/>
    <w:rsid w:val="00AD0D86"/>
    <w:rsid w:val="00AD160B"/>
    <w:rsid w:val="00AD16CC"/>
    <w:rsid w:val="00AD2FA9"/>
    <w:rsid w:val="00AD486D"/>
    <w:rsid w:val="00AD4A77"/>
    <w:rsid w:val="00AD4FD4"/>
    <w:rsid w:val="00AD56AC"/>
    <w:rsid w:val="00AD5BFB"/>
    <w:rsid w:val="00AD5FEE"/>
    <w:rsid w:val="00AD7E65"/>
    <w:rsid w:val="00AE04C3"/>
    <w:rsid w:val="00AE2A57"/>
    <w:rsid w:val="00AE40E6"/>
    <w:rsid w:val="00AE48E4"/>
    <w:rsid w:val="00AE58CC"/>
    <w:rsid w:val="00AF0720"/>
    <w:rsid w:val="00AF0EDA"/>
    <w:rsid w:val="00AF1BA5"/>
    <w:rsid w:val="00AF302F"/>
    <w:rsid w:val="00AF3B1D"/>
    <w:rsid w:val="00AF3ED7"/>
    <w:rsid w:val="00AF6DE3"/>
    <w:rsid w:val="00AF7DAC"/>
    <w:rsid w:val="00B00286"/>
    <w:rsid w:val="00B004AF"/>
    <w:rsid w:val="00B010F8"/>
    <w:rsid w:val="00B020FA"/>
    <w:rsid w:val="00B03A4B"/>
    <w:rsid w:val="00B04CF5"/>
    <w:rsid w:val="00B05BEE"/>
    <w:rsid w:val="00B0719C"/>
    <w:rsid w:val="00B0749C"/>
    <w:rsid w:val="00B07977"/>
    <w:rsid w:val="00B114D6"/>
    <w:rsid w:val="00B119AE"/>
    <w:rsid w:val="00B1266E"/>
    <w:rsid w:val="00B1363B"/>
    <w:rsid w:val="00B152AD"/>
    <w:rsid w:val="00B153C1"/>
    <w:rsid w:val="00B17D10"/>
    <w:rsid w:val="00B17E1C"/>
    <w:rsid w:val="00B21AA6"/>
    <w:rsid w:val="00B22000"/>
    <w:rsid w:val="00B2248E"/>
    <w:rsid w:val="00B23362"/>
    <w:rsid w:val="00B24946"/>
    <w:rsid w:val="00B25548"/>
    <w:rsid w:val="00B25DDC"/>
    <w:rsid w:val="00B25F32"/>
    <w:rsid w:val="00B26A99"/>
    <w:rsid w:val="00B27959"/>
    <w:rsid w:val="00B313A7"/>
    <w:rsid w:val="00B324C6"/>
    <w:rsid w:val="00B337A3"/>
    <w:rsid w:val="00B33DCC"/>
    <w:rsid w:val="00B359BC"/>
    <w:rsid w:val="00B36BD0"/>
    <w:rsid w:val="00B4264B"/>
    <w:rsid w:val="00B42851"/>
    <w:rsid w:val="00B43B88"/>
    <w:rsid w:val="00B45B5F"/>
    <w:rsid w:val="00B461EA"/>
    <w:rsid w:val="00B46405"/>
    <w:rsid w:val="00B50DB8"/>
    <w:rsid w:val="00B523E0"/>
    <w:rsid w:val="00B53905"/>
    <w:rsid w:val="00B54B5B"/>
    <w:rsid w:val="00B5562E"/>
    <w:rsid w:val="00B56384"/>
    <w:rsid w:val="00B57000"/>
    <w:rsid w:val="00B608AB"/>
    <w:rsid w:val="00B60939"/>
    <w:rsid w:val="00B60AFD"/>
    <w:rsid w:val="00B6130E"/>
    <w:rsid w:val="00B61862"/>
    <w:rsid w:val="00B62715"/>
    <w:rsid w:val="00B66174"/>
    <w:rsid w:val="00B66ABB"/>
    <w:rsid w:val="00B6742F"/>
    <w:rsid w:val="00B676AA"/>
    <w:rsid w:val="00B67AAE"/>
    <w:rsid w:val="00B71A51"/>
    <w:rsid w:val="00B71E25"/>
    <w:rsid w:val="00B735D7"/>
    <w:rsid w:val="00B73FCD"/>
    <w:rsid w:val="00B745BB"/>
    <w:rsid w:val="00B74B5F"/>
    <w:rsid w:val="00B769B3"/>
    <w:rsid w:val="00B77926"/>
    <w:rsid w:val="00B80315"/>
    <w:rsid w:val="00B80D88"/>
    <w:rsid w:val="00B81324"/>
    <w:rsid w:val="00B818A4"/>
    <w:rsid w:val="00B826A2"/>
    <w:rsid w:val="00B83019"/>
    <w:rsid w:val="00B8350C"/>
    <w:rsid w:val="00B85F18"/>
    <w:rsid w:val="00B86373"/>
    <w:rsid w:val="00B8649C"/>
    <w:rsid w:val="00B9185A"/>
    <w:rsid w:val="00B92D0B"/>
    <w:rsid w:val="00B944F7"/>
    <w:rsid w:val="00B94945"/>
    <w:rsid w:val="00B97B7A"/>
    <w:rsid w:val="00BA1518"/>
    <w:rsid w:val="00BA1BB0"/>
    <w:rsid w:val="00BA2684"/>
    <w:rsid w:val="00BA372E"/>
    <w:rsid w:val="00BA37FA"/>
    <w:rsid w:val="00BA3AAE"/>
    <w:rsid w:val="00BA441D"/>
    <w:rsid w:val="00BA46F9"/>
    <w:rsid w:val="00BA4D4C"/>
    <w:rsid w:val="00BA5124"/>
    <w:rsid w:val="00BA52B8"/>
    <w:rsid w:val="00BA54B8"/>
    <w:rsid w:val="00BA611E"/>
    <w:rsid w:val="00BA64A8"/>
    <w:rsid w:val="00BA7D53"/>
    <w:rsid w:val="00BA7ECC"/>
    <w:rsid w:val="00BB0A33"/>
    <w:rsid w:val="00BB13BC"/>
    <w:rsid w:val="00BB3092"/>
    <w:rsid w:val="00BB35BB"/>
    <w:rsid w:val="00BB3A77"/>
    <w:rsid w:val="00BB49B0"/>
    <w:rsid w:val="00BB7405"/>
    <w:rsid w:val="00BC00F7"/>
    <w:rsid w:val="00BC016F"/>
    <w:rsid w:val="00BC0F7D"/>
    <w:rsid w:val="00BC11FB"/>
    <w:rsid w:val="00BC1669"/>
    <w:rsid w:val="00BC1B5E"/>
    <w:rsid w:val="00BC3134"/>
    <w:rsid w:val="00BC4E37"/>
    <w:rsid w:val="00BC58E9"/>
    <w:rsid w:val="00BC5C99"/>
    <w:rsid w:val="00BC7E6B"/>
    <w:rsid w:val="00BD0258"/>
    <w:rsid w:val="00BD213B"/>
    <w:rsid w:val="00BD2164"/>
    <w:rsid w:val="00BD25F8"/>
    <w:rsid w:val="00BD2D3D"/>
    <w:rsid w:val="00BD3892"/>
    <w:rsid w:val="00BD40FE"/>
    <w:rsid w:val="00BD4A08"/>
    <w:rsid w:val="00BD5724"/>
    <w:rsid w:val="00BD60CF"/>
    <w:rsid w:val="00BD6131"/>
    <w:rsid w:val="00BD6CF3"/>
    <w:rsid w:val="00BD7090"/>
    <w:rsid w:val="00BD7365"/>
    <w:rsid w:val="00BD7650"/>
    <w:rsid w:val="00BD7721"/>
    <w:rsid w:val="00BE0339"/>
    <w:rsid w:val="00BE0C71"/>
    <w:rsid w:val="00BE1055"/>
    <w:rsid w:val="00BE1D74"/>
    <w:rsid w:val="00BE2180"/>
    <w:rsid w:val="00BE3E5D"/>
    <w:rsid w:val="00BE4275"/>
    <w:rsid w:val="00BE49C9"/>
    <w:rsid w:val="00BE5BEE"/>
    <w:rsid w:val="00BE60CA"/>
    <w:rsid w:val="00BE71E4"/>
    <w:rsid w:val="00BF059C"/>
    <w:rsid w:val="00BF0653"/>
    <w:rsid w:val="00BF082E"/>
    <w:rsid w:val="00BF22DC"/>
    <w:rsid w:val="00BF2433"/>
    <w:rsid w:val="00BF2E63"/>
    <w:rsid w:val="00BF4C5D"/>
    <w:rsid w:val="00BF5115"/>
    <w:rsid w:val="00BF60AE"/>
    <w:rsid w:val="00BF61C9"/>
    <w:rsid w:val="00BF7908"/>
    <w:rsid w:val="00C002D1"/>
    <w:rsid w:val="00C03B3B"/>
    <w:rsid w:val="00C0415B"/>
    <w:rsid w:val="00C04DDF"/>
    <w:rsid w:val="00C04E43"/>
    <w:rsid w:val="00C05F32"/>
    <w:rsid w:val="00C06328"/>
    <w:rsid w:val="00C10017"/>
    <w:rsid w:val="00C108D6"/>
    <w:rsid w:val="00C10D90"/>
    <w:rsid w:val="00C11312"/>
    <w:rsid w:val="00C11384"/>
    <w:rsid w:val="00C13489"/>
    <w:rsid w:val="00C14E13"/>
    <w:rsid w:val="00C15D95"/>
    <w:rsid w:val="00C15E7B"/>
    <w:rsid w:val="00C15E98"/>
    <w:rsid w:val="00C1602C"/>
    <w:rsid w:val="00C16D66"/>
    <w:rsid w:val="00C17A90"/>
    <w:rsid w:val="00C2068F"/>
    <w:rsid w:val="00C235A4"/>
    <w:rsid w:val="00C24EA0"/>
    <w:rsid w:val="00C25107"/>
    <w:rsid w:val="00C25418"/>
    <w:rsid w:val="00C25D9C"/>
    <w:rsid w:val="00C26488"/>
    <w:rsid w:val="00C27B70"/>
    <w:rsid w:val="00C30302"/>
    <w:rsid w:val="00C31649"/>
    <w:rsid w:val="00C31697"/>
    <w:rsid w:val="00C33C77"/>
    <w:rsid w:val="00C34384"/>
    <w:rsid w:val="00C344C3"/>
    <w:rsid w:val="00C34722"/>
    <w:rsid w:val="00C354B2"/>
    <w:rsid w:val="00C3588C"/>
    <w:rsid w:val="00C40385"/>
    <w:rsid w:val="00C40F2A"/>
    <w:rsid w:val="00C417D7"/>
    <w:rsid w:val="00C43102"/>
    <w:rsid w:val="00C436D7"/>
    <w:rsid w:val="00C43EA3"/>
    <w:rsid w:val="00C44614"/>
    <w:rsid w:val="00C44B68"/>
    <w:rsid w:val="00C5060B"/>
    <w:rsid w:val="00C521EC"/>
    <w:rsid w:val="00C53E29"/>
    <w:rsid w:val="00C53E33"/>
    <w:rsid w:val="00C54D95"/>
    <w:rsid w:val="00C5591F"/>
    <w:rsid w:val="00C56425"/>
    <w:rsid w:val="00C570A4"/>
    <w:rsid w:val="00C61C0C"/>
    <w:rsid w:val="00C6535E"/>
    <w:rsid w:val="00C65576"/>
    <w:rsid w:val="00C65CC5"/>
    <w:rsid w:val="00C66165"/>
    <w:rsid w:val="00C6668F"/>
    <w:rsid w:val="00C66CC7"/>
    <w:rsid w:val="00C70B02"/>
    <w:rsid w:val="00C72009"/>
    <w:rsid w:val="00C7202A"/>
    <w:rsid w:val="00C72E50"/>
    <w:rsid w:val="00C73A76"/>
    <w:rsid w:val="00C750C8"/>
    <w:rsid w:val="00C75149"/>
    <w:rsid w:val="00C76651"/>
    <w:rsid w:val="00C7675C"/>
    <w:rsid w:val="00C803CD"/>
    <w:rsid w:val="00C812E6"/>
    <w:rsid w:val="00C81B4F"/>
    <w:rsid w:val="00C8213F"/>
    <w:rsid w:val="00C82E85"/>
    <w:rsid w:val="00C84630"/>
    <w:rsid w:val="00C849C5"/>
    <w:rsid w:val="00C85786"/>
    <w:rsid w:val="00C85D1C"/>
    <w:rsid w:val="00C85E4E"/>
    <w:rsid w:val="00C866CC"/>
    <w:rsid w:val="00C872A4"/>
    <w:rsid w:val="00C8797A"/>
    <w:rsid w:val="00C9352D"/>
    <w:rsid w:val="00C938CF"/>
    <w:rsid w:val="00C948F4"/>
    <w:rsid w:val="00C94E44"/>
    <w:rsid w:val="00C9547B"/>
    <w:rsid w:val="00C956CD"/>
    <w:rsid w:val="00C97989"/>
    <w:rsid w:val="00CA006E"/>
    <w:rsid w:val="00CA4159"/>
    <w:rsid w:val="00CA5245"/>
    <w:rsid w:val="00CA61D8"/>
    <w:rsid w:val="00CA68B4"/>
    <w:rsid w:val="00CA72E4"/>
    <w:rsid w:val="00CA792D"/>
    <w:rsid w:val="00CA7B09"/>
    <w:rsid w:val="00CA7CAC"/>
    <w:rsid w:val="00CB0C0E"/>
    <w:rsid w:val="00CB20C3"/>
    <w:rsid w:val="00CB2614"/>
    <w:rsid w:val="00CB2681"/>
    <w:rsid w:val="00CB351F"/>
    <w:rsid w:val="00CB41D7"/>
    <w:rsid w:val="00CB53C8"/>
    <w:rsid w:val="00CB5B1A"/>
    <w:rsid w:val="00CB7784"/>
    <w:rsid w:val="00CB795D"/>
    <w:rsid w:val="00CC01FD"/>
    <w:rsid w:val="00CC1B19"/>
    <w:rsid w:val="00CC37C4"/>
    <w:rsid w:val="00CC57C1"/>
    <w:rsid w:val="00CC5F96"/>
    <w:rsid w:val="00CC7872"/>
    <w:rsid w:val="00CC7911"/>
    <w:rsid w:val="00CC7AD3"/>
    <w:rsid w:val="00CD0B03"/>
    <w:rsid w:val="00CD370D"/>
    <w:rsid w:val="00CD53C9"/>
    <w:rsid w:val="00CD5F36"/>
    <w:rsid w:val="00CD6ADC"/>
    <w:rsid w:val="00CE0591"/>
    <w:rsid w:val="00CE2D9F"/>
    <w:rsid w:val="00CE3A4B"/>
    <w:rsid w:val="00CE6274"/>
    <w:rsid w:val="00CE7F8D"/>
    <w:rsid w:val="00CF0865"/>
    <w:rsid w:val="00CF0971"/>
    <w:rsid w:val="00CF102B"/>
    <w:rsid w:val="00CF3472"/>
    <w:rsid w:val="00CF40F6"/>
    <w:rsid w:val="00CF456B"/>
    <w:rsid w:val="00CF5A22"/>
    <w:rsid w:val="00D00113"/>
    <w:rsid w:val="00D00831"/>
    <w:rsid w:val="00D00F42"/>
    <w:rsid w:val="00D0190B"/>
    <w:rsid w:val="00D0262E"/>
    <w:rsid w:val="00D02C8E"/>
    <w:rsid w:val="00D03820"/>
    <w:rsid w:val="00D04003"/>
    <w:rsid w:val="00D05E6C"/>
    <w:rsid w:val="00D06E31"/>
    <w:rsid w:val="00D07A0F"/>
    <w:rsid w:val="00D110BD"/>
    <w:rsid w:val="00D13161"/>
    <w:rsid w:val="00D1360B"/>
    <w:rsid w:val="00D15230"/>
    <w:rsid w:val="00D16CCB"/>
    <w:rsid w:val="00D17313"/>
    <w:rsid w:val="00D17797"/>
    <w:rsid w:val="00D17D6C"/>
    <w:rsid w:val="00D2024C"/>
    <w:rsid w:val="00D207BE"/>
    <w:rsid w:val="00D20887"/>
    <w:rsid w:val="00D21671"/>
    <w:rsid w:val="00D22DF0"/>
    <w:rsid w:val="00D2313A"/>
    <w:rsid w:val="00D23493"/>
    <w:rsid w:val="00D24BDE"/>
    <w:rsid w:val="00D2661B"/>
    <w:rsid w:val="00D32709"/>
    <w:rsid w:val="00D3432B"/>
    <w:rsid w:val="00D357FF"/>
    <w:rsid w:val="00D36021"/>
    <w:rsid w:val="00D361BA"/>
    <w:rsid w:val="00D37BD7"/>
    <w:rsid w:val="00D37E82"/>
    <w:rsid w:val="00D40619"/>
    <w:rsid w:val="00D4177E"/>
    <w:rsid w:val="00D44040"/>
    <w:rsid w:val="00D4413A"/>
    <w:rsid w:val="00D455A2"/>
    <w:rsid w:val="00D45C66"/>
    <w:rsid w:val="00D47FB7"/>
    <w:rsid w:val="00D53069"/>
    <w:rsid w:val="00D5323D"/>
    <w:rsid w:val="00D53896"/>
    <w:rsid w:val="00D53A73"/>
    <w:rsid w:val="00D55019"/>
    <w:rsid w:val="00D5517B"/>
    <w:rsid w:val="00D554A5"/>
    <w:rsid w:val="00D56678"/>
    <w:rsid w:val="00D576CE"/>
    <w:rsid w:val="00D61336"/>
    <w:rsid w:val="00D6208E"/>
    <w:rsid w:val="00D635B7"/>
    <w:rsid w:val="00D63974"/>
    <w:rsid w:val="00D6455B"/>
    <w:rsid w:val="00D65100"/>
    <w:rsid w:val="00D6652F"/>
    <w:rsid w:val="00D66DB4"/>
    <w:rsid w:val="00D670A9"/>
    <w:rsid w:val="00D71084"/>
    <w:rsid w:val="00D713E5"/>
    <w:rsid w:val="00D714E1"/>
    <w:rsid w:val="00D71EEF"/>
    <w:rsid w:val="00D72E64"/>
    <w:rsid w:val="00D74B5F"/>
    <w:rsid w:val="00D75105"/>
    <w:rsid w:val="00D76422"/>
    <w:rsid w:val="00D765D0"/>
    <w:rsid w:val="00D76A44"/>
    <w:rsid w:val="00D76A66"/>
    <w:rsid w:val="00D77705"/>
    <w:rsid w:val="00D80313"/>
    <w:rsid w:val="00D80816"/>
    <w:rsid w:val="00D817CA"/>
    <w:rsid w:val="00D832B7"/>
    <w:rsid w:val="00D833A9"/>
    <w:rsid w:val="00D87FF1"/>
    <w:rsid w:val="00D93187"/>
    <w:rsid w:val="00D93753"/>
    <w:rsid w:val="00D93BAF"/>
    <w:rsid w:val="00D94EE3"/>
    <w:rsid w:val="00D956A0"/>
    <w:rsid w:val="00D96BEA"/>
    <w:rsid w:val="00D97E30"/>
    <w:rsid w:val="00DA1CB3"/>
    <w:rsid w:val="00DA247A"/>
    <w:rsid w:val="00DA258D"/>
    <w:rsid w:val="00DA2B37"/>
    <w:rsid w:val="00DA3247"/>
    <w:rsid w:val="00DA32C6"/>
    <w:rsid w:val="00DA440C"/>
    <w:rsid w:val="00DA52CE"/>
    <w:rsid w:val="00DA5364"/>
    <w:rsid w:val="00DA559B"/>
    <w:rsid w:val="00DA6392"/>
    <w:rsid w:val="00DA6F84"/>
    <w:rsid w:val="00DA77A5"/>
    <w:rsid w:val="00DB02DC"/>
    <w:rsid w:val="00DB10F4"/>
    <w:rsid w:val="00DB1DCB"/>
    <w:rsid w:val="00DB209C"/>
    <w:rsid w:val="00DB2B5A"/>
    <w:rsid w:val="00DB4E59"/>
    <w:rsid w:val="00DB509C"/>
    <w:rsid w:val="00DB5C4C"/>
    <w:rsid w:val="00DC088D"/>
    <w:rsid w:val="00DC1351"/>
    <w:rsid w:val="00DC270B"/>
    <w:rsid w:val="00DC38AB"/>
    <w:rsid w:val="00DC5501"/>
    <w:rsid w:val="00DC6746"/>
    <w:rsid w:val="00DC7843"/>
    <w:rsid w:val="00DC7A6A"/>
    <w:rsid w:val="00DD096D"/>
    <w:rsid w:val="00DD157C"/>
    <w:rsid w:val="00DD286F"/>
    <w:rsid w:val="00DD2E70"/>
    <w:rsid w:val="00DD3B9B"/>
    <w:rsid w:val="00DD3F28"/>
    <w:rsid w:val="00DD4537"/>
    <w:rsid w:val="00DD4E15"/>
    <w:rsid w:val="00DD505A"/>
    <w:rsid w:val="00DD66BE"/>
    <w:rsid w:val="00DD6E4F"/>
    <w:rsid w:val="00DE114D"/>
    <w:rsid w:val="00DE15EA"/>
    <w:rsid w:val="00DE1EBA"/>
    <w:rsid w:val="00DE4FCB"/>
    <w:rsid w:val="00DE5773"/>
    <w:rsid w:val="00DE5A84"/>
    <w:rsid w:val="00DE6E71"/>
    <w:rsid w:val="00DF18A5"/>
    <w:rsid w:val="00DF3A7D"/>
    <w:rsid w:val="00DF3CF0"/>
    <w:rsid w:val="00DF4B0E"/>
    <w:rsid w:val="00DF5986"/>
    <w:rsid w:val="00DF5D2B"/>
    <w:rsid w:val="00DF5DEF"/>
    <w:rsid w:val="00E000D7"/>
    <w:rsid w:val="00E037BA"/>
    <w:rsid w:val="00E04521"/>
    <w:rsid w:val="00E06273"/>
    <w:rsid w:val="00E06C89"/>
    <w:rsid w:val="00E07F9D"/>
    <w:rsid w:val="00E10149"/>
    <w:rsid w:val="00E1045E"/>
    <w:rsid w:val="00E10A68"/>
    <w:rsid w:val="00E1130B"/>
    <w:rsid w:val="00E11493"/>
    <w:rsid w:val="00E14606"/>
    <w:rsid w:val="00E1581E"/>
    <w:rsid w:val="00E16372"/>
    <w:rsid w:val="00E16675"/>
    <w:rsid w:val="00E20ED6"/>
    <w:rsid w:val="00E20F55"/>
    <w:rsid w:val="00E21358"/>
    <w:rsid w:val="00E2138C"/>
    <w:rsid w:val="00E214E8"/>
    <w:rsid w:val="00E2249B"/>
    <w:rsid w:val="00E22A0D"/>
    <w:rsid w:val="00E23E69"/>
    <w:rsid w:val="00E2431C"/>
    <w:rsid w:val="00E24B12"/>
    <w:rsid w:val="00E24EBF"/>
    <w:rsid w:val="00E25351"/>
    <w:rsid w:val="00E2771E"/>
    <w:rsid w:val="00E27CDC"/>
    <w:rsid w:val="00E31C1F"/>
    <w:rsid w:val="00E323E9"/>
    <w:rsid w:val="00E32C70"/>
    <w:rsid w:val="00E32F12"/>
    <w:rsid w:val="00E34518"/>
    <w:rsid w:val="00E37569"/>
    <w:rsid w:val="00E4040C"/>
    <w:rsid w:val="00E4148B"/>
    <w:rsid w:val="00E41E30"/>
    <w:rsid w:val="00E4356D"/>
    <w:rsid w:val="00E43D70"/>
    <w:rsid w:val="00E443E0"/>
    <w:rsid w:val="00E444AB"/>
    <w:rsid w:val="00E44EF5"/>
    <w:rsid w:val="00E45E8F"/>
    <w:rsid w:val="00E47B2C"/>
    <w:rsid w:val="00E51560"/>
    <w:rsid w:val="00E51F82"/>
    <w:rsid w:val="00E5249A"/>
    <w:rsid w:val="00E53E76"/>
    <w:rsid w:val="00E5452F"/>
    <w:rsid w:val="00E55424"/>
    <w:rsid w:val="00E55667"/>
    <w:rsid w:val="00E55BB5"/>
    <w:rsid w:val="00E560D1"/>
    <w:rsid w:val="00E60132"/>
    <w:rsid w:val="00E60173"/>
    <w:rsid w:val="00E60FA9"/>
    <w:rsid w:val="00E60FDF"/>
    <w:rsid w:val="00E624D9"/>
    <w:rsid w:val="00E62C61"/>
    <w:rsid w:val="00E630A8"/>
    <w:rsid w:val="00E6362A"/>
    <w:rsid w:val="00E641EA"/>
    <w:rsid w:val="00E64B00"/>
    <w:rsid w:val="00E65000"/>
    <w:rsid w:val="00E65E6B"/>
    <w:rsid w:val="00E65E79"/>
    <w:rsid w:val="00E65F46"/>
    <w:rsid w:val="00E6672F"/>
    <w:rsid w:val="00E67416"/>
    <w:rsid w:val="00E679BC"/>
    <w:rsid w:val="00E700A9"/>
    <w:rsid w:val="00E70B08"/>
    <w:rsid w:val="00E7118D"/>
    <w:rsid w:val="00E718B6"/>
    <w:rsid w:val="00E71F4D"/>
    <w:rsid w:val="00E72C42"/>
    <w:rsid w:val="00E73581"/>
    <w:rsid w:val="00E74FA2"/>
    <w:rsid w:val="00E75C12"/>
    <w:rsid w:val="00E75F53"/>
    <w:rsid w:val="00E7618F"/>
    <w:rsid w:val="00E76C65"/>
    <w:rsid w:val="00E7723E"/>
    <w:rsid w:val="00E81835"/>
    <w:rsid w:val="00E832C2"/>
    <w:rsid w:val="00E83BDF"/>
    <w:rsid w:val="00E84EFB"/>
    <w:rsid w:val="00E8756C"/>
    <w:rsid w:val="00E90442"/>
    <w:rsid w:val="00E90EA8"/>
    <w:rsid w:val="00E91C76"/>
    <w:rsid w:val="00E91CD4"/>
    <w:rsid w:val="00E91F5A"/>
    <w:rsid w:val="00E91F8E"/>
    <w:rsid w:val="00E9323A"/>
    <w:rsid w:val="00E93B7C"/>
    <w:rsid w:val="00E9515B"/>
    <w:rsid w:val="00E96676"/>
    <w:rsid w:val="00E969CA"/>
    <w:rsid w:val="00E96D8A"/>
    <w:rsid w:val="00E97CE0"/>
    <w:rsid w:val="00EA081A"/>
    <w:rsid w:val="00EA1B6C"/>
    <w:rsid w:val="00EA322B"/>
    <w:rsid w:val="00EA37B5"/>
    <w:rsid w:val="00EA3864"/>
    <w:rsid w:val="00EA3F9B"/>
    <w:rsid w:val="00EA51EA"/>
    <w:rsid w:val="00EA6A09"/>
    <w:rsid w:val="00EA77C0"/>
    <w:rsid w:val="00EB15B6"/>
    <w:rsid w:val="00EB15D6"/>
    <w:rsid w:val="00EB3D19"/>
    <w:rsid w:val="00EB3DD8"/>
    <w:rsid w:val="00EB417E"/>
    <w:rsid w:val="00EB4916"/>
    <w:rsid w:val="00EB5053"/>
    <w:rsid w:val="00EB5E78"/>
    <w:rsid w:val="00EB75BA"/>
    <w:rsid w:val="00EB77EC"/>
    <w:rsid w:val="00EC00C9"/>
    <w:rsid w:val="00EC0E61"/>
    <w:rsid w:val="00EC1D0D"/>
    <w:rsid w:val="00EC33D5"/>
    <w:rsid w:val="00EC3465"/>
    <w:rsid w:val="00EC64D8"/>
    <w:rsid w:val="00ED5AB3"/>
    <w:rsid w:val="00ED613C"/>
    <w:rsid w:val="00ED693C"/>
    <w:rsid w:val="00ED75D0"/>
    <w:rsid w:val="00ED7FE6"/>
    <w:rsid w:val="00EE07D3"/>
    <w:rsid w:val="00EE15C7"/>
    <w:rsid w:val="00EE2537"/>
    <w:rsid w:val="00EE3553"/>
    <w:rsid w:val="00EE41A8"/>
    <w:rsid w:val="00EE4471"/>
    <w:rsid w:val="00EE7C2D"/>
    <w:rsid w:val="00EE7ED1"/>
    <w:rsid w:val="00EF1778"/>
    <w:rsid w:val="00EF2110"/>
    <w:rsid w:val="00EF25FE"/>
    <w:rsid w:val="00EF391D"/>
    <w:rsid w:val="00EF3C64"/>
    <w:rsid w:val="00EF4154"/>
    <w:rsid w:val="00EF4221"/>
    <w:rsid w:val="00EF567A"/>
    <w:rsid w:val="00F044E1"/>
    <w:rsid w:val="00F04E11"/>
    <w:rsid w:val="00F04E7E"/>
    <w:rsid w:val="00F05909"/>
    <w:rsid w:val="00F05BC2"/>
    <w:rsid w:val="00F067A2"/>
    <w:rsid w:val="00F07393"/>
    <w:rsid w:val="00F07E5C"/>
    <w:rsid w:val="00F10713"/>
    <w:rsid w:val="00F137E4"/>
    <w:rsid w:val="00F16CC4"/>
    <w:rsid w:val="00F16CCC"/>
    <w:rsid w:val="00F17348"/>
    <w:rsid w:val="00F17965"/>
    <w:rsid w:val="00F17BD7"/>
    <w:rsid w:val="00F17F88"/>
    <w:rsid w:val="00F20182"/>
    <w:rsid w:val="00F22052"/>
    <w:rsid w:val="00F221B7"/>
    <w:rsid w:val="00F22CB5"/>
    <w:rsid w:val="00F24837"/>
    <w:rsid w:val="00F2575F"/>
    <w:rsid w:val="00F26941"/>
    <w:rsid w:val="00F26E22"/>
    <w:rsid w:val="00F27D7A"/>
    <w:rsid w:val="00F30AB9"/>
    <w:rsid w:val="00F33DE9"/>
    <w:rsid w:val="00F3619A"/>
    <w:rsid w:val="00F361D6"/>
    <w:rsid w:val="00F3623F"/>
    <w:rsid w:val="00F3767F"/>
    <w:rsid w:val="00F37DA3"/>
    <w:rsid w:val="00F40789"/>
    <w:rsid w:val="00F4084A"/>
    <w:rsid w:val="00F40CBE"/>
    <w:rsid w:val="00F46CB6"/>
    <w:rsid w:val="00F5079F"/>
    <w:rsid w:val="00F50886"/>
    <w:rsid w:val="00F50E12"/>
    <w:rsid w:val="00F5140A"/>
    <w:rsid w:val="00F52798"/>
    <w:rsid w:val="00F52D86"/>
    <w:rsid w:val="00F53A59"/>
    <w:rsid w:val="00F55082"/>
    <w:rsid w:val="00F55850"/>
    <w:rsid w:val="00F55DB8"/>
    <w:rsid w:val="00F55E73"/>
    <w:rsid w:val="00F564AE"/>
    <w:rsid w:val="00F56A64"/>
    <w:rsid w:val="00F56CB5"/>
    <w:rsid w:val="00F60092"/>
    <w:rsid w:val="00F619FD"/>
    <w:rsid w:val="00F62579"/>
    <w:rsid w:val="00F63ACC"/>
    <w:rsid w:val="00F648B3"/>
    <w:rsid w:val="00F65F34"/>
    <w:rsid w:val="00F666EA"/>
    <w:rsid w:val="00F70488"/>
    <w:rsid w:val="00F70C19"/>
    <w:rsid w:val="00F70D69"/>
    <w:rsid w:val="00F7177E"/>
    <w:rsid w:val="00F72AB0"/>
    <w:rsid w:val="00F72DFD"/>
    <w:rsid w:val="00F7383C"/>
    <w:rsid w:val="00F74883"/>
    <w:rsid w:val="00F754E2"/>
    <w:rsid w:val="00F759E5"/>
    <w:rsid w:val="00F75CF3"/>
    <w:rsid w:val="00F76173"/>
    <w:rsid w:val="00F77374"/>
    <w:rsid w:val="00F77877"/>
    <w:rsid w:val="00F80004"/>
    <w:rsid w:val="00F80E5D"/>
    <w:rsid w:val="00F8107A"/>
    <w:rsid w:val="00F81287"/>
    <w:rsid w:val="00F82AD9"/>
    <w:rsid w:val="00F83B43"/>
    <w:rsid w:val="00F843AB"/>
    <w:rsid w:val="00F84549"/>
    <w:rsid w:val="00F849B4"/>
    <w:rsid w:val="00F84B97"/>
    <w:rsid w:val="00F84CA8"/>
    <w:rsid w:val="00F84EA3"/>
    <w:rsid w:val="00F851CE"/>
    <w:rsid w:val="00F86A37"/>
    <w:rsid w:val="00F87318"/>
    <w:rsid w:val="00F903DB"/>
    <w:rsid w:val="00F910F5"/>
    <w:rsid w:val="00F91B5F"/>
    <w:rsid w:val="00F92DE0"/>
    <w:rsid w:val="00F941E4"/>
    <w:rsid w:val="00F95FDC"/>
    <w:rsid w:val="00F97A78"/>
    <w:rsid w:val="00FA0D70"/>
    <w:rsid w:val="00FA24E7"/>
    <w:rsid w:val="00FA4D6F"/>
    <w:rsid w:val="00FA5589"/>
    <w:rsid w:val="00FA5DFD"/>
    <w:rsid w:val="00FA6083"/>
    <w:rsid w:val="00FA67C0"/>
    <w:rsid w:val="00FB048A"/>
    <w:rsid w:val="00FB14B1"/>
    <w:rsid w:val="00FB183B"/>
    <w:rsid w:val="00FB2B26"/>
    <w:rsid w:val="00FB2FCB"/>
    <w:rsid w:val="00FB35C1"/>
    <w:rsid w:val="00FB4474"/>
    <w:rsid w:val="00FB50E2"/>
    <w:rsid w:val="00FB5986"/>
    <w:rsid w:val="00FC0429"/>
    <w:rsid w:val="00FC0AED"/>
    <w:rsid w:val="00FC1074"/>
    <w:rsid w:val="00FC1884"/>
    <w:rsid w:val="00FC19F5"/>
    <w:rsid w:val="00FC496F"/>
    <w:rsid w:val="00FC55DC"/>
    <w:rsid w:val="00FC64F4"/>
    <w:rsid w:val="00FD03F0"/>
    <w:rsid w:val="00FD0FAD"/>
    <w:rsid w:val="00FD1366"/>
    <w:rsid w:val="00FD145A"/>
    <w:rsid w:val="00FD2100"/>
    <w:rsid w:val="00FD446D"/>
    <w:rsid w:val="00FD5174"/>
    <w:rsid w:val="00FE0182"/>
    <w:rsid w:val="00FE02F6"/>
    <w:rsid w:val="00FE0CB7"/>
    <w:rsid w:val="00FE0F06"/>
    <w:rsid w:val="00FE2021"/>
    <w:rsid w:val="00FE2396"/>
    <w:rsid w:val="00FE414C"/>
    <w:rsid w:val="00FF01E5"/>
    <w:rsid w:val="00FF08E5"/>
    <w:rsid w:val="00FF0945"/>
    <w:rsid w:val="00FF1087"/>
    <w:rsid w:val="00FF1DC6"/>
    <w:rsid w:val="00FF36F9"/>
    <w:rsid w:val="00FF3DCF"/>
    <w:rsid w:val="00FF3FFC"/>
    <w:rsid w:val="00FF48FD"/>
    <w:rsid w:val="00FF58FB"/>
    <w:rsid w:val="00FF59FD"/>
    <w:rsid w:val="00FF5AA3"/>
    <w:rsid w:val="00FF6A15"/>
    <w:rsid w:val="00FF7364"/>
    <w:rsid w:val="00FF7B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35"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link w:val="Caption"/>
    <w:uiPriority w:val="35"/>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D13161"/>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13161"/>
    <w:pPr>
      <w:tabs>
        <w:tab w:val="left" w:pos="440"/>
        <w:tab w:val="right" w:leader="dot" w:pos="9016"/>
      </w:tabs>
      <w:spacing w:before="240" w:after="120"/>
      <w:ind w:left="426" w:hanging="426"/>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66174"/>
    <w:pPr>
      <w:numPr>
        <w:numId w:val="3"/>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styleId="FootnoteText">
    <w:name w:val="footnote text"/>
    <w:basedOn w:val="Normal"/>
    <w:link w:val="FootnoteTextChar"/>
    <w:unhideWhenUsed/>
    <w:rsid w:val="00C04E43"/>
    <w:rPr>
      <w:sz w:val="20"/>
    </w:rPr>
  </w:style>
  <w:style w:type="character" w:customStyle="1" w:styleId="FootnoteTextChar">
    <w:name w:val="Footnote Text Char"/>
    <w:basedOn w:val="DefaultParagraphFont"/>
    <w:link w:val="FootnoteText"/>
    <w:rsid w:val="00C04E43"/>
    <w:rPr>
      <w:rFonts w:ascii="Arial" w:hAnsi="Arial" w:cs="Arial"/>
      <w:snapToGrid w:val="0"/>
      <w:lang w:eastAsia="en-US"/>
    </w:rPr>
  </w:style>
  <w:style w:type="character" w:styleId="FootnoteReference">
    <w:name w:val="footnote reference"/>
    <w:basedOn w:val="DefaultParagraphFont"/>
    <w:unhideWhenUsed/>
    <w:rsid w:val="00C04E43"/>
    <w:rPr>
      <w:vertAlign w:val="superscript"/>
    </w:rPr>
  </w:style>
  <w:style w:type="character" w:customStyle="1" w:styleId="TableTextChar0">
    <w:name w:val="TableText Char"/>
    <w:link w:val="TableText0"/>
    <w:rsid w:val="00394544"/>
    <w:rPr>
      <w:rFonts w:ascii="Arial Narrow" w:hAnsi="Arial Narrow" w:cs="Arial Narrow"/>
      <w:lang w:eastAsia="en-US"/>
    </w:rPr>
  </w:style>
  <w:style w:type="paragraph" w:customStyle="1" w:styleId="EndNoteBibliographyTitle">
    <w:name w:val="EndNote Bibliography Title"/>
    <w:basedOn w:val="Normal"/>
    <w:link w:val="EndNoteBibliographyTitleChar"/>
    <w:rsid w:val="002409E2"/>
    <w:pPr>
      <w:jc w:val="center"/>
    </w:pPr>
    <w:rPr>
      <w:noProof/>
      <w:lang w:val="en-US"/>
    </w:rPr>
  </w:style>
  <w:style w:type="character" w:customStyle="1" w:styleId="EndNoteBibliographyTitleChar">
    <w:name w:val="EndNote Bibliography Title Char"/>
    <w:basedOn w:val="DefaultParagraphFont"/>
    <w:link w:val="EndNoteBibliographyTitle"/>
    <w:rsid w:val="002409E2"/>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2409E2"/>
    <w:pPr>
      <w:jc w:val="right"/>
    </w:pPr>
    <w:rPr>
      <w:noProof/>
      <w:lang w:val="en-US"/>
    </w:rPr>
  </w:style>
  <w:style w:type="character" w:customStyle="1" w:styleId="EndNoteBibliographyChar">
    <w:name w:val="EndNote Bibliography Char"/>
    <w:basedOn w:val="DefaultParagraphFont"/>
    <w:link w:val="EndNoteBibliography"/>
    <w:rsid w:val="002409E2"/>
    <w:rPr>
      <w:rFonts w:ascii="Arial" w:hAnsi="Arial" w:cs="Arial"/>
      <w:noProof/>
      <w:snapToGrid w:val="0"/>
      <w:sz w:val="22"/>
      <w:lang w:val="en-US" w:eastAsia="en-US"/>
    </w:rPr>
  </w:style>
  <w:style w:type="character" w:customStyle="1" w:styleId="tgc">
    <w:name w:val="_tgc"/>
    <w:basedOn w:val="DefaultParagraphFont"/>
    <w:rsid w:val="004513D6"/>
  </w:style>
  <w:style w:type="character" w:customStyle="1" w:styleId="exlresultdetails">
    <w:name w:val="exlresultdetails"/>
    <w:basedOn w:val="DefaultParagraphFont"/>
    <w:rsid w:val="004513D6"/>
  </w:style>
  <w:style w:type="character" w:customStyle="1" w:styleId="ListParagraphChar">
    <w:name w:val="List Paragraph Char"/>
    <w:basedOn w:val="DefaultParagraphFont"/>
    <w:link w:val="ListParagraph"/>
    <w:uiPriority w:val="34"/>
    <w:rsid w:val="004513D6"/>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13ABF"/>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35"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link w:val="Caption"/>
    <w:uiPriority w:val="35"/>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qFormat/>
    <w:rsid w:val="00C6535E"/>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D13161"/>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13161"/>
    <w:pPr>
      <w:tabs>
        <w:tab w:val="left" w:pos="440"/>
        <w:tab w:val="right" w:leader="dot" w:pos="9016"/>
      </w:tabs>
      <w:spacing w:before="240" w:after="120"/>
      <w:ind w:left="426" w:hanging="426"/>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66174"/>
    <w:pPr>
      <w:numPr>
        <w:numId w:val="3"/>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styleId="FootnoteText">
    <w:name w:val="footnote text"/>
    <w:basedOn w:val="Normal"/>
    <w:link w:val="FootnoteTextChar"/>
    <w:unhideWhenUsed/>
    <w:rsid w:val="00C04E43"/>
    <w:rPr>
      <w:sz w:val="20"/>
    </w:rPr>
  </w:style>
  <w:style w:type="character" w:customStyle="1" w:styleId="FootnoteTextChar">
    <w:name w:val="Footnote Text Char"/>
    <w:basedOn w:val="DefaultParagraphFont"/>
    <w:link w:val="FootnoteText"/>
    <w:rsid w:val="00C04E43"/>
    <w:rPr>
      <w:rFonts w:ascii="Arial" w:hAnsi="Arial" w:cs="Arial"/>
      <w:snapToGrid w:val="0"/>
      <w:lang w:eastAsia="en-US"/>
    </w:rPr>
  </w:style>
  <w:style w:type="character" w:styleId="FootnoteReference">
    <w:name w:val="footnote reference"/>
    <w:basedOn w:val="DefaultParagraphFont"/>
    <w:unhideWhenUsed/>
    <w:rsid w:val="00C04E43"/>
    <w:rPr>
      <w:vertAlign w:val="superscript"/>
    </w:rPr>
  </w:style>
  <w:style w:type="character" w:customStyle="1" w:styleId="TableTextChar0">
    <w:name w:val="TableText Char"/>
    <w:link w:val="TableText0"/>
    <w:rsid w:val="00394544"/>
    <w:rPr>
      <w:rFonts w:ascii="Arial Narrow" w:hAnsi="Arial Narrow" w:cs="Arial Narrow"/>
      <w:lang w:eastAsia="en-US"/>
    </w:rPr>
  </w:style>
  <w:style w:type="paragraph" w:customStyle="1" w:styleId="EndNoteBibliographyTitle">
    <w:name w:val="EndNote Bibliography Title"/>
    <w:basedOn w:val="Normal"/>
    <w:link w:val="EndNoteBibliographyTitleChar"/>
    <w:rsid w:val="002409E2"/>
    <w:pPr>
      <w:jc w:val="center"/>
    </w:pPr>
    <w:rPr>
      <w:noProof/>
      <w:lang w:val="en-US"/>
    </w:rPr>
  </w:style>
  <w:style w:type="character" w:customStyle="1" w:styleId="EndNoteBibliographyTitleChar">
    <w:name w:val="EndNote Bibliography Title Char"/>
    <w:basedOn w:val="DefaultParagraphFont"/>
    <w:link w:val="EndNoteBibliographyTitle"/>
    <w:rsid w:val="002409E2"/>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2409E2"/>
    <w:pPr>
      <w:jc w:val="right"/>
    </w:pPr>
    <w:rPr>
      <w:noProof/>
      <w:lang w:val="en-US"/>
    </w:rPr>
  </w:style>
  <w:style w:type="character" w:customStyle="1" w:styleId="EndNoteBibliographyChar">
    <w:name w:val="EndNote Bibliography Char"/>
    <w:basedOn w:val="DefaultParagraphFont"/>
    <w:link w:val="EndNoteBibliography"/>
    <w:rsid w:val="002409E2"/>
    <w:rPr>
      <w:rFonts w:ascii="Arial" w:hAnsi="Arial" w:cs="Arial"/>
      <w:noProof/>
      <w:snapToGrid w:val="0"/>
      <w:sz w:val="22"/>
      <w:lang w:val="en-US" w:eastAsia="en-US"/>
    </w:rPr>
  </w:style>
  <w:style w:type="character" w:customStyle="1" w:styleId="tgc">
    <w:name w:val="_tgc"/>
    <w:basedOn w:val="DefaultParagraphFont"/>
    <w:rsid w:val="004513D6"/>
  </w:style>
  <w:style w:type="character" w:customStyle="1" w:styleId="exlresultdetails">
    <w:name w:val="exlresultdetails"/>
    <w:basedOn w:val="DefaultParagraphFont"/>
    <w:rsid w:val="004513D6"/>
  </w:style>
  <w:style w:type="character" w:customStyle="1" w:styleId="ListParagraphChar">
    <w:name w:val="List Paragraph Char"/>
    <w:basedOn w:val="DefaultParagraphFont"/>
    <w:link w:val="ListParagraph"/>
    <w:uiPriority w:val="34"/>
    <w:rsid w:val="004513D6"/>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13ABF"/>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5048">
      <w:bodyDiv w:val="1"/>
      <w:marLeft w:val="0"/>
      <w:marRight w:val="0"/>
      <w:marTop w:val="0"/>
      <w:marBottom w:val="0"/>
      <w:divBdr>
        <w:top w:val="none" w:sz="0" w:space="0" w:color="auto"/>
        <w:left w:val="none" w:sz="0" w:space="0" w:color="auto"/>
        <w:bottom w:val="none" w:sz="0" w:space="0" w:color="auto"/>
        <w:right w:val="none" w:sz="0" w:space="0" w:color="auto"/>
      </w:divBdr>
    </w:div>
    <w:div w:id="342559466">
      <w:bodyDiv w:val="1"/>
      <w:marLeft w:val="0"/>
      <w:marRight w:val="0"/>
      <w:marTop w:val="0"/>
      <w:marBottom w:val="0"/>
      <w:divBdr>
        <w:top w:val="none" w:sz="0" w:space="0" w:color="auto"/>
        <w:left w:val="none" w:sz="0" w:space="0" w:color="auto"/>
        <w:bottom w:val="none" w:sz="0" w:space="0" w:color="auto"/>
        <w:right w:val="none" w:sz="0" w:space="0" w:color="auto"/>
      </w:divBdr>
    </w:div>
    <w:div w:id="495264323">
      <w:bodyDiv w:val="1"/>
      <w:marLeft w:val="0"/>
      <w:marRight w:val="0"/>
      <w:marTop w:val="0"/>
      <w:marBottom w:val="0"/>
      <w:divBdr>
        <w:top w:val="none" w:sz="0" w:space="0" w:color="auto"/>
        <w:left w:val="none" w:sz="0" w:space="0" w:color="auto"/>
        <w:bottom w:val="none" w:sz="0" w:space="0" w:color="auto"/>
        <w:right w:val="none" w:sz="0" w:space="0" w:color="auto"/>
      </w:divBdr>
    </w:div>
    <w:div w:id="916863702">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417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nc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7C77-7F32-4361-ADBC-880CA9F4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8578</Words>
  <Characters>48513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2016-02-26T01:10:00Z</dcterms:created>
  <dcterms:modified xsi:type="dcterms:W3CDTF">2016-02-26T01:16:00Z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