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BDC" w:rsidRDefault="0036351A" w:rsidP="00207D00">
      <w:pPr>
        <w:pStyle w:val="Heading1"/>
        <w:rPr>
          <w:sz w:val="28"/>
        </w:rPr>
      </w:pPr>
      <w:bookmarkStart w:id="0" w:name="_Toc430011608"/>
      <w:r>
        <w:rPr>
          <w:sz w:val="28"/>
        </w:rPr>
        <w:t>6.02</w:t>
      </w:r>
      <w:r w:rsidR="00B60939" w:rsidRPr="00207D00">
        <w:rPr>
          <w:sz w:val="28"/>
        </w:rPr>
        <w:tab/>
      </w:r>
      <w:r w:rsidR="007E7BDC">
        <w:rPr>
          <w:sz w:val="28"/>
        </w:rPr>
        <w:t>Aprepitant</w:t>
      </w:r>
    </w:p>
    <w:p w:rsidR="007E7BDC" w:rsidRDefault="007C1B33" w:rsidP="00127AB2">
      <w:pPr>
        <w:pStyle w:val="Heading1"/>
        <w:tabs>
          <w:tab w:val="left" w:pos="7501"/>
        </w:tabs>
        <w:ind w:firstLine="0"/>
        <w:rPr>
          <w:caps w:val="0"/>
          <w:sz w:val="28"/>
        </w:rPr>
      </w:pPr>
      <w:r>
        <w:rPr>
          <w:caps w:val="0"/>
          <w:sz w:val="28"/>
        </w:rPr>
        <w:t>oral capsule</w:t>
      </w:r>
      <w:r w:rsidR="00B60939" w:rsidRPr="00207D00">
        <w:rPr>
          <w:sz w:val="28"/>
        </w:rPr>
        <w:t xml:space="preserve">, </w:t>
      </w:r>
      <w:r>
        <w:rPr>
          <w:sz w:val="28"/>
        </w:rPr>
        <w:t>165</w:t>
      </w:r>
      <w:r w:rsidR="007E7BDC">
        <w:rPr>
          <w:caps w:val="0"/>
          <w:sz w:val="28"/>
        </w:rPr>
        <w:t>mg</w:t>
      </w:r>
      <w:r w:rsidR="00127AB2">
        <w:rPr>
          <w:caps w:val="0"/>
          <w:sz w:val="28"/>
        </w:rPr>
        <w:tab/>
      </w:r>
    </w:p>
    <w:p w:rsidR="00B60939" w:rsidRDefault="007C1B33" w:rsidP="00344C2D">
      <w:pPr>
        <w:pStyle w:val="Heading1"/>
        <w:ind w:firstLine="0"/>
        <w:rPr>
          <w:sz w:val="28"/>
        </w:rPr>
      </w:pPr>
      <w:r>
        <w:rPr>
          <w:caps w:val="0"/>
          <w:sz w:val="28"/>
        </w:rPr>
        <w:t>Emend</w:t>
      </w:r>
      <w:r w:rsidRPr="00207D00">
        <w:rPr>
          <w:sz w:val="28"/>
          <w:vertAlign w:val="superscript"/>
        </w:rPr>
        <w:t xml:space="preserve"> </w:t>
      </w:r>
      <w:r w:rsidR="00B60939" w:rsidRPr="00207D00">
        <w:rPr>
          <w:sz w:val="28"/>
          <w:vertAlign w:val="superscript"/>
        </w:rPr>
        <w:t>®</w:t>
      </w:r>
      <w:r w:rsidR="00344C2D">
        <w:rPr>
          <w:sz w:val="28"/>
        </w:rPr>
        <w:t xml:space="preserve">, </w:t>
      </w:r>
      <w:r>
        <w:rPr>
          <w:caps w:val="0"/>
          <w:sz w:val="28"/>
        </w:rPr>
        <w:t>Merck Sharp &amp; Dohme (Australia) Pty</w:t>
      </w:r>
      <w:bookmarkEnd w:id="0"/>
      <w:r w:rsidR="00010A96">
        <w:rPr>
          <w:caps w:val="0"/>
          <w:sz w:val="28"/>
        </w:rPr>
        <w:t xml:space="preserve"> Ltd.</w:t>
      </w:r>
    </w:p>
    <w:p w:rsidR="00433044" w:rsidRDefault="00433044" w:rsidP="00281014">
      <w:pPr>
        <w:pStyle w:val="BodyText"/>
      </w:pPr>
    </w:p>
    <w:p w:rsidR="00B10FA6" w:rsidRDefault="00B10FA6" w:rsidP="00433044"/>
    <w:p w:rsidR="00B60939" w:rsidRDefault="00B50DB8" w:rsidP="00B60939">
      <w:pPr>
        <w:pStyle w:val="PBACHeading1"/>
      </w:pPr>
      <w:bookmarkStart w:id="1" w:name="_Toc430011610"/>
      <w:r w:rsidRPr="00407F2D">
        <w:t>Purpose of Application</w:t>
      </w:r>
      <w:bookmarkEnd w:id="1"/>
    </w:p>
    <w:p w:rsidR="00685570" w:rsidRPr="00336AFC" w:rsidRDefault="00685570" w:rsidP="003F4A75">
      <w:pPr>
        <w:pStyle w:val="BodyText"/>
      </w:pPr>
    </w:p>
    <w:p w:rsidR="002C2775" w:rsidRPr="00895369" w:rsidRDefault="00B90E31" w:rsidP="00C66229">
      <w:pPr>
        <w:pStyle w:val="ListParagraph"/>
        <w:widowControl/>
        <w:numPr>
          <w:ilvl w:val="1"/>
          <w:numId w:val="3"/>
        </w:numPr>
        <w:rPr>
          <w:szCs w:val="22"/>
        </w:rPr>
      </w:pPr>
      <w:r>
        <w:t>The submission requested a g</w:t>
      </w:r>
      <w:r w:rsidR="00895369">
        <w:t xml:space="preserve">eneral schedule and </w:t>
      </w:r>
      <w:r w:rsidR="001E238E" w:rsidRPr="004B3DDB">
        <w:t>Section 100</w:t>
      </w:r>
      <w:r w:rsidR="00895369">
        <w:t xml:space="preserve"> (CT)</w:t>
      </w:r>
      <w:r w:rsidR="0036351A">
        <w:t>, Au</w:t>
      </w:r>
      <w:r w:rsidR="00870A82">
        <w:t xml:space="preserve">thority </w:t>
      </w:r>
      <w:r w:rsidR="0036351A">
        <w:t>R</w:t>
      </w:r>
      <w:r w:rsidR="00870A82">
        <w:t>equired (STREAMLINED)</w:t>
      </w:r>
      <w:r w:rsidR="00895369">
        <w:t xml:space="preserve"> </w:t>
      </w:r>
      <w:r w:rsidR="001E238E" w:rsidRPr="004B3DDB">
        <w:t xml:space="preserve">listing for </w:t>
      </w:r>
      <w:r w:rsidR="00895369">
        <w:t>aprepitant</w:t>
      </w:r>
      <w:r w:rsidR="001E238E" w:rsidRPr="004B3DDB">
        <w:t xml:space="preserve"> for</w:t>
      </w:r>
      <w:r w:rsidR="00895369">
        <w:t xml:space="preserve"> t</w:t>
      </w:r>
      <w:r w:rsidR="00895369" w:rsidRPr="00895369">
        <w:t xml:space="preserve">he prevention of acute and delayed </w:t>
      </w:r>
      <w:r w:rsidR="00406DF8">
        <w:t>chemotherapy induced nausea and vomiting (</w:t>
      </w:r>
      <w:r w:rsidR="005C1129">
        <w:t>CINV</w:t>
      </w:r>
      <w:r w:rsidR="00406DF8">
        <w:t>)</w:t>
      </w:r>
      <w:r w:rsidR="00895369">
        <w:t xml:space="preserve"> </w:t>
      </w:r>
      <w:r w:rsidR="00895369" w:rsidRPr="00895369">
        <w:t>associated with carboplatin/oxaliplatin based chemotherapy regimens</w:t>
      </w:r>
      <w:r w:rsidR="001E238E" w:rsidRPr="004B3DDB">
        <w:t>.</w:t>
      </w:r>
    </w:p>
    <w:p w:rsidR="004E43B2" w:rsidRDefault="004E43B2" w:rsidP="004B1CB4"/>
    <w:p w:rsidR="00416D63" w:rsidRPr="00882085" w:rsidRDefault="00416D63" w:rsidP="004B1CB4"/>
    <w:p w:rsidR="00B50DB8" w:rsidRPr="00407F2D" w:rsidRDefault="00B50DB8" w:rsidP="00BD6CF3">
      <w:pPr>
        <w:pStyle w:val="PBACHeading1"/>
      </w:pPr>
      <w:bookmarkStart w:id="2" w:name="_Toc430011611"/>
      <w:r w:rsidRPr="00407F2D">
        <w:t>Requested listing</w:t>
      </w:r>
      <w:bookmarkEnd w:id="2"/>
    </w:p>
    <w:p w:rsidR="00B60939" w:rsidRPr="00882085" w:rsidRDefault="00B60939" w:rsidP="004B1CB4"/>
    <w:p w:rsidR="00B90E31" w:rsidRPr="008C1F4F" w:rsidRDefault="00B90E31" w:rsidP="00C66229">
      <w:pPr>
        <w:pStyle w:val="ListParagraph"/>
        <w:widowControl/>
        <w:numPr>
          <w:ilvl w:val="1"/>
          <w:numId w:val="3"/>
        </w:numPr>
        <w:rPr>
          <w:szCs w:val="22"/>
        </w:rPr>
      </w:pPr>
      <w:r w:rsidRPr="00B90E31">
        <w:rPr>
          <w:szCs w:val="22"/>
        </w:rPr>
        <w:t>The requested restriction is shown below.</w:t>
      </w:r>
      <w:r w:rsidRPr="00B90E31">
        <w:rPr>
          <w:i/>
          <w:szCs w:val="22"/>
        </w:rPr>
        <w:t xml:space="preserve">  </w:t>
      </w:r>
      <w:r w:rsidRPr="008C1F4F">
        <w:rPr>
          <w:rFonts w:eastAsia="SimSun"/>
          <w:iCs/>
          <w:color w:val="000000"/>
          <w:szCs w:val="22"/>
        </w:rPr>
        <w:t xml:space="preserve">Suggestions and additions proposed by the Secretariat to the requested listing are added in italics and suggested deletions are crossed out with strikethrough. </w:t>
      </w:r>
    </w:p>
    <w:p w:rsidR="00617E12" w:rsidRPr="008C1F4F" w:rsidRDefault="00617E12" w:rsidP="00B90E31">
      <w:pPr>
        <w:pStyle w:val="ListParagraph"/>
        <w:keepNext/>
        <w:widowControl/>
        <w:rPr>
          <w:szCs w:val="22"/>
        </w:rPr>
      </w:pPr>
    </w:p>
    <w:tbl>
      <w:tblPr>
        <w:tblW w:w="4599" w:type="pct"/>
        <w:tblInd w:w="817" w:type="dxa"/>
        <w:tblLook w:val="0000" w:firstRow="0" w:lastRow="0" w:firstColumn="0" w:lastColumn="0" w:noHBand="0" w:noVBand="0"/>
        <w:tblCaption w:val="Requested PBS restriction"/>
      </w:tblPr>
      <w:tblGrid>
        <w:gridCol w:w="2949"/>
        <w:gridCol w:w="472"/>
        <w:gridCol w:w="721"/>
        <w:gridCol w:w="2429"/>
        <w:gridCol w:w="1296"/>
        <w:gridCol w:w="634"/>
      </w:tblGrid>
      <w:tr w:rsidR="00BD2E06" w:rsidRPr="00260CE3" w:rsidTr="00B90E31">
        <w:trPr>
          <w:cantSplit/>
          <w:trHeight w:val="471"/>
        </w:trPr>
        <w:tc>
          <w:tcPr>
            <w:tcW w:w="2948" w:type="dxa"/>
            <w:tcBorders>
              <w:bottom w:val="single" w:sz="4" w:space="0" w:color="auto"/>
            </w:tcBorders>
          </w:tcPr>
          <w:p w:rsidR="00BD2E06" w:rsidRPr="00260CE3" w:rsidRDefault="00BD2E06" w:rsidP="00BD2E06">
            <w:pPr>
              <w:keepNext/>
              <w:ind w:left="-108"/>
              <w:rPr>
                <w:rFonts w:ascii="Arial Narrow" w:hAnsi="Arial Narrow"/>
                <w:sz w:val="20"/>
              </w:rPr>
            </w:pPr>
            <w:r w:rsidRPr="00260CE3">
              <w:rPr>
                <w:rFonts w:ascii="Arial Narrow" w:hAnsi="Arial Narrow"/>
                <w:sz w:val="20"/>
              </w:rPr>
              <w:t>Name, Restriction,</w:t>
            </w:r>
          </w:p>
          <w:p w:rsidR="00BD2E06" w:rsidRPr="00260CE3" w:rsidRDefault="00BD2E06" w:rsidP="00BD2E06">
            <w:pPr>
              <w:keepNext/>
              <w:ind w:left="-108"/>
              <w:rPr>
                <w:rFonts w:ascii="Arial Narrow" w:hAnsi="Arial Narrow"/>
                <w:sz w:val="20"/>
              </w:rPr>
            </w:pPr>
            <w:r w:rsidRPr="00260CE3">
              <w:rPr>
                <w:rFonts w:ascii="Arial Narrow" w:hAnsi="Arial Narrow"/>
                <w:sz w:val="20"/>
              </w:rPr>
              <w:t>Manner of administration and form</w:t>
            </w:r>
          </w:p>
        </w:tc>
        <w:tc>
          <w:tcPr>
            <w:tcW w:w="472" w:type="dxa"/>
            <w:tcBorders>
              <w:bottom w:val="single" w:sz="4" w:space="0" w:color="auto"/>
            </w:tcBorders>
          </w:tcPr>
          <w:p w:rsidR="00BD2E06" w:rsidRPr="00260CE3" w:rsidRDefault="00BD2E06" w:rsidP="00BD2E06">
            <w:pPr>
              <w:keepNext/>
              <w:ind w:left="-108"/>
              <w:rPr>
                <w:rFonts w:ascii="Arial Narrow" w:hAnsi="Arial Narrow"/>
                <w:sz w:val="20"/>
              </w:rPr>
            </w:pPr>
            <w:r w:rsidRPr="00260CE3">
              <w:rPr>
                <w:rFonts w:ascii="Arial Narrow" w:hAnsi="Arial Narrow"/>
                <w:sz w:val="20"/>
              </w:rPr>
              <w:t>Max.</w:t>
            </w:r>
          </w:p>
          <w:p w:rsidR="00BD2E06" w:rsidRPr="00260CE3" w:rsidRDefault="00BD2E06" w:rsidP="00BD2E06">
            <w:pPr>
              <w:keepNext/>
              <w:ind w:left="-108"/>
              <w:rPr>
                <w:rFonts w:ascii="Arial Narrow" w:hAnsi="Arial Narrow"/>
                <w:sz w:val="20"/>
              </w:rPr>
            </w:pPr>
            <w:r w:rsidRPr="00260CE3">
              <w:rPr>
                <w:rFonts w:ascii="Arial Narrow" w:hAnsi="Arial Narrow"/>
                <w:sz w:val="20"/>
              </w:rPr>
              <w:t>Qty</w:t>
            </w:r>
          </w:p>
        </w:tc>
        <w:tc>
          <w:tcPr>
            <w:tcW w:w="721" w:type="dxa"/>
            <w:tcBorders>
              <w:bottom w:val="single" w:sz="4" w:space="0" w:color="auto"/>
            </w:tcBorders>
          </w:tcPr>
          <w:p w:rsidR="00BD2E06" w:rsidRPr="00260CE3" w:rsidRDefault="00BD2E06" w:rsidP="00BD2E06">
            <w:pPr>
              <w:keepNext/>
              <w:ind w:left="-108"/>
              <w:rPr>
                <w:rFonts w:ascii="Arial Narrow" w:hAnsi="Arial Narrow"/>
                <w:sz w:val="20"/>
              </w:rPr>
            </w:pPr>
            <w:r w:rsidRPr="00260CE3">
              <w:rPr>
                <w:rFonts w:ascii="Arial Narrow" w:hAnsi="Arial Narrow"/>
                <w:sz w:val="20"/>
              </w:rPr>
              <w:t>№.of</w:t>
            </w:r>
          </w:p>
          <w:p w:rsidR="00BD2E06" w:rsidRPr="00260CE3" w:rsidRDefault="00BD2E06" w:rsidP="00BD2E06">
            <w:pPr>
              <w:keepNext/>
              <w:ind w:left="-108"/>
              <w:rPr>
                <w:rFonts w:ascii="Arial Narrow" w:hAnsi="Arial Narrow"/>
                <w:sz w:val="20"/>
              </w:rPr>
            </w:pPr>
            <w:r w:rsidRPr="00260CE3">
              <w:rPr>
                <w:rFonts w:ascii="Arial Narrow" w:hAnsi="Arial Narrow"/>
                <w:sz w:val="20"/>
              </w:rPr>
              <w:t>Rpts</w:t>
            </w:r>
          </w:p>
        </w:tc>
        <w:tc>
          <w:tcPr>
            <w:tcW w:w="2429" w:type="dxa"/>
            <w:tcBorders>
              <w:bottom w:val="single" w:sz="4" w:space="0" w:color="auto"/>
            </w:tcBorders>
          </w:tcPr>
          <w:p w:rsidR="00BD2E06" w:rsidRPr="00260CE3" w:rsidRDefault="00BD2E06" w:rsidP="00BD2E06">
            <w:pPr>
              <w:keepNext/>
              <w:ind w:left="-108"/>
              <w:rPr>
                <w:rFonts w:ascii="Arial Narrow" w:hAnsi="Arial Narrow"/>
                <w:sz w:val="20"/>
              </w:rPr>
            </w:pPr>
            <w:r w:rsidRPr="00260CE3">
              <w:rPr>
                <w:rFonts w:ascii="Arial Narrow" w:hAnsi="Arial Narrow"/>
                <w:sz w:val="20"/>
              </w:rPr>
              <w:t>Dispensed Price for Max. Qty</w:t>
            </w:r>
          </w:p>
        </w:tc>
        <w:tc>
          <w:tcPr>
            <w:tcW w:w="1930" w:type="dxa"/>
            <w:gridSpan w:val="2"/>
            <w:tcBorders>
              <w:bottom w:val="single" w:sz="4" w:space="0" w:color="auto"/>
            </w:tcBorders>
          </w:tcPr>
          <w:p w:rsidR="00BD2E06" w:rsidRPr="00260CE3" w:rsidRDefault="00BD2E06" w:rsidP="00BD2E06">
            <w:pPr>
              <w:keepNext/>
              <w:rPr>
                <w:rFonts w:ascii="Arial Narrow" w:hAnsi="Arial Narrow"/>
                <w:sz w:val="20"/>
                <w:lang w:val="fr-FR"/>
              </w:rPr>
            </w:pPr>
            <w:r w:rsidRPr="00260CE3">
              <w:rPr>
                <w:rFonts w:ascii="Arial Narrow" w:hAnsi="Arial Narrow"/>
                <w:sz w:val="20"/>
              </w:rPr>
              <w:t>Proprietary Name and Manufacturer</w:t>
            </w:r>
          </w:p>
        </w:tc>
      </w:tr>
      <w:tr w:rsidR="00BD2E06" w:rsidRPr="00260CE3" w:rsidTr="00B90E31">
        <w:trPr>
          <w:cantSplit/>
          <w:trHeight w:val="577"/>
        </w:trPr>
        <w:tc>
          <w:tcPr>
            <w:tcW w:w="2948" w:type="dxa"/>
          </w:tcPr>
          <w:p w:rsidR="00BD2E06" w:rsidRPr="00260CE3" w:rsidRDefault="00BD2E06" w:rsidP="00BD2E06">
            <w:pPr>
              <w:keepNext/>
              <w:ind w:left="-108"/>
              <w:rPr>
                <w:rFonts w:ascii="Arial Narrow" w:hAnsi="Arial Narrow"/>
                <w:sz w:val="20"/>
              </w:rPr>
            </w:pPr>
            <w:r>
              <w:rPr>
                <w:rFonts w:ascii="Arial Narrow" w:hAnsi="Arial Narrow"/>
                <w:smallCaps/>
                <w:sz w:val="20"/>
              </w:rPr>
              <w:t>APREPITANT</w:t>
            </w:r>
          </w:p>
          <w:p w:rsidR="00BD2E06" w:rsidRPr="00260CE3" w:rsidRDefault="00BD2E06" w:rsidP="00BD2E06">
            <w:pPr>
              <w:keepNext/>
              <w:ind w:left="-108"/>
              <w:rPr>
                <w:rFonts w:ascii="Arial Narrow" w:hAnsi="Arial Narrow"/>
                <w:sz w:val="20"/>
              </w:rPr>
            </w:pPr>
            <w:r>
              <w:rPr>
                <w:rFonts w:ascii="Arial Narrow" w:hAnsi="Arial Narrow"/>
                <w:sz w:val="20"/>
              </w:rPr>
              <w:t>Capsule, 165mg</w:t>
            </w:r>
          </w:p>
        </w:tc>
        <w:tc>
          <w:tcPr>
            <w:tcW w:w="472" w:type="dxa"/>
          </w:tcPr>
          <w:p w:rsidR="00BD2E06" w:rsidRPr="00260CE3" w:rsidRDefault="00BD2E06" w:rsidP="00BD2E06">
            <w:pPr>
              <w:keepNext/>
              <w:ind w:left="-108"/>
              <w:rPr>
                <w:rFonts w:ascii="Arial Narrow" w:hAnsi="Arial Narrow"/>
                <w:sz w:val="20"/>
              </w:rPr>
            </w:pPr>
          </w:p>
          <w:p w:rsidR="00BD2E06" w:rsidRPr="00260CE3" w:rsidRDefault="00BD2E06" w:rsidP="00BD2E06">
            <w:pPr>
              <w:keepNext/>
              <w:ind w:left="-108"/>
              <w:rPr>
                <w:rFonts w:ascii="Arial Narrow" w:hAnsi="Arial Narrow"/>
                <w:sz w:val="20"/>
              </w:rPr>
            </w:pPr>
            <w:r>
              <w:rPr>
                <w:rFonts w:ascii="Arial Narrow" w:hAnsi="Arial Narrow"/>
                <w:sz w:val="20"/>
              </w:rPr>
              <w:t>1</w:t>
            </w:r>
          </w:p>
        </w:tc>
        <w:tc>
          <w:tcPr>
            <w:tcW w:w="721" w:type="dxa"/>
          </w:tcPr>
          <w:p w:rsidR="00BD2E06" w:rsidRPr="00260CE3" w:rsidRDefault="00BD2E06" w:rsidP="00BD2E06">
            <w:pPr>
              <w:keepNext/>
              <w:ind w:left="-108"/>
              <w:rPr>
                <w:rFonts w:ascii="Arial Narrow" w:hAnsi="Arial Narrow"/>
                <w:sz w:val="20"/>
              </w:rPr>
            </w:pPr>
          </w:p>
          <w:p w:rsidR="00BD2E06" w:rsidRPr="00260CE3" w:rsidRDefault="00BD2E06" w:rsidP="00BD2E06">
            <w:pPr>
              <w:keepNext/>
              <w:ind w:left="-108"/>
              <w:rPr>
                <w:rFonts w:ascii="Arial Narrow" w:hAnsi="Arial Narrow"/>
                <w:sz w:val="20"/>
              </w:rPr>
            </w:pPr>
            <w:r>
              <w:rPr>
                <w:rFonts w:ascii="Arial Narrow" w:hAnsi="Arial Narrow"/>
                <w:sz w:val="20"/>
              </w:rPr>
              <w:t>5</w:t>
            </w:r>
          </w:p>
        </w:tc>
        <w:tc>
          <w:tcPr>
            <w:tcW w:w="2429" w:type="dxa"/>
          </w:tcPr>
          <w:p w:rsidR="00BD2E06" w:rsidRPr="00260CE3" w:rsidRDefault="00BD2E06" w:rsidP="00BD2E06">
            <w:pPr>
              <w:keepNext/>
              <w:ind w:left="-108"/>
              <w:rPr>
                <w:rFonts w:ascii="Arial Narrow" w:hAnsi="Arial Narrow"/>
                <w:sz w:val="20"/>
              </w:rPr>
            </w:pPr>
          </w:p>
          <w:p w:rsidR="00BD2E06" w:rsidRDefault="00BD2E06" w:rsidP="00BD2E06">
            <w:pPr>
              <w:keepNext/>
              <w:ind w:left="-108"/>
              <w:rPr>
                <w:rFonts w:ascii="Arial Narrow" w:hAnsi="Arial Narrow"/>
                <w:sz w:val="20"/>
              </w:rPr>
            </w:pPr>
            <w:r>
              <w:rPr>
                <w:rFonts w:ascii="Arial Narrow" w:hAnsi="Arial Narrow"/>
                <w:sz w:val="20"/>
              </w:rPr>
              <w:t>$</w:t>
            </w:r>
            <w:r w:rsidR="009E29BB">
              <w:rPr>
                <w:rFonts w:ascii="Arial Narrow" w:hAnsi="Arial Narrow"/>
                <w:noProof/>
                <w:color w:val="000000"/>
                <w:sz w:val="20"/>
                <w:highlight w:val="black"/>
              </w:rPr>
              <w:t>''''''''''''''''</w:t>
            </w:r>
            <w:r w:rsidR="00EC10F6">
              <w:rPr>
                <w:rFonts w:ascii="Arial Narrow" w:hAnsi="Arial Narrow"/>
                <w:sz w:val="20"/>
              </w:rPr>
              <w:t xml:space="preserve"> (Section 100 (CT))</w:t>
            </w:r>
          </w:p>
          <w:p w:rsidR="00EC10F6" w:rsidRPr="00260CE3" w:rsidRDefault="00EC10F6" w:rsidP="00BD2E06">
            <w:pPr>
              <w:keepNext/>
              <w:ind w:left="-108"/>
              <w:rPr>
                <w:rFonts w:ascii="Arial Narrow" w:hAnsi="Arial Narrow"/>
                <w:sz w:val="20"/>
              </w:rPr>
            </w:pPr>
            <w:r>
              <w:rPr>
                <w:rFonts w:ascii="Arial Narrow" w:hAnsi="Arial Narrow"/>
                <w:sz w:val="20"/>
              </w:rPr>
              <w:t>$</w:t>
            </w:r>
            <w:r w:rsidR="009E29BB">
              <w:rPr>
                <w:rFonts w:ascii="Arial Narrow" w:hAnsi="Arial Narrow"/>
                <w:noProof/>
                <w:color w:val="000000"/>
                <w:sz w:val="20"/>
                <w:highlight w:val="black"/>
              </w:rPr>
              <w:t>'''''''''''''''''</w:t>
            </w:r>
            <w:r>
              <w:rPr>
                <w:rFonts w:ascii="Arial Narrow" w:hAnsi="Arial Narrow"/>
                <w:sz w:val="20"/>
              </w:rPr>
              <w:t xml:space="preserve"> (General Schedule)</w:t>
            </w:r>
          </w:p>
        </w:tc>
        <w:tc>
          <w:tcPr>
            <w:tcW w:w="1296" w:type="dxa"/>
          </w:tcPr>
          <w:p w:rsidR="00BD2E06" w:rsidRPr="00260CE3" w:rsidRDefault="00BD2E06" w:rsidP="00BD2E06">
            <w:pPr>
              <w:keepNext/>
              <w:rPr>
                <w:rFonts w:ascii="Arial Narrow" w:hAnsi="Arial Narrow"/>
                <w:sz w:val="20"/>
              </w:rPr>
            </w:pPr>
            <w:r>
              <w:rPr>
                <w:rFonts w:ascii="Arial Narrow" w:hAnsi="Arial Narrow"/>
                <w:sz w:val="20"/>
              </w:rPr>
              <w:t>Emend®</w:t>
            </w:r>
          </w:p>
        </w:tc>
        <w:tc>
          <w:tcPr>
            <w:tcW w:w="634" w:type="dxa"/>
          </w:tcPr>
          <w:p w:rsidR="00BD2E06" w:rsidRPr="00260CE3" w:rsidRDefault="00BD2E06" w:rsidP="00BD2E06">
            <w:pPr>
              <w:keepNext/>
              <w:rPr>
                <w:rFonts w:ascii="Arial Narrow" w:hAnsi="Arial Narrow"/>
                <w:sz w:val="20"/>
              </w:rPr>
            </w:pPr>
            <w:r>
              <w:rPr>
                <w:rFonts w:ascii="Arial Narrow" w:hAnsi="Arial Narrow"/>
                <w:sz w:val="20"/>
              </w:rPr>
              <w:t>MK</w:t>
            </w:r>
          </w:p>
        </w:tc>
      </w:tr>
      <w:tr w:rsidR="00BD2E06" w:rsidRPr="00260CE3" w:rsidTr="00B90E31">
        <w:trPr>
          <w:cantSplit/>
          <w:trHeight w:val="360"/>
        </w:trPr>
        <w:tc>
          <w:tcPr>
            <w:tcW w:w="8500" w:type="dxa"/>
            <w:gridSpan w:val="6"/>
            <w:tcBorders>
              <w:bottom w:val="single" w:sz="4" w:space="0" w:color="auto"/>
            </w:tcBorders>
          </w:tcPr>
          <w:p w:rsidR="00BD2E06" w:rsidRPr="00260CE3" w:rsidRDefault="00BD2E06" w:rsidP="00BD2E06">
            <w:pPr>
              <w:rPr>
                <w:rFonts w:ascii="Arial Narrow" w:hAnsi="Arial Narrow"/>
                <w:sz w:val="20"/>
              </w:rPr>
            </w:pP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b/>
                <w:sz w:val="20"/>
              </w:rPr>
            </w:pPr>
            <w:r w:rsidRPr="00260CE3">
              <w:rPr>
                <w:rFonts w:ascii="Arial Narrow" w:hAnsi="Arial Narrow"/>
                <w:b/>
                <w:sz w:val="20"/>
              </w:rPr>
              <w:t>Category / Program</w:t>
            </w:r>
          </w:p>
        </w:tc>
        <w:tc>
          <w:tcPr>
            <w:tcW w:w="5552" w:type="dxa"/>
            <w:gridSpan w:val="5"/>
            <w:tcBorders>
              <w:top w:val="single" w:sz="4" w:space="0" w:color="auto"/>
              <w:left w:val="single" w:sz="4" w:space="0" w:color="auto"/>
              <w:bottom w:val="single" w:sz="4" w:space="0" w:color="auto"/>
              <w:right w:val="single" w:sz="4" w:space="0" w:color="auto"/>
            </w:tcBorders>
          </w:tcPr>
          <w:p w:rsidR="00BD2E06" w:rsidRDefault="00BD2E06" w:rsidP="00BD2E06">
            <w:pPr>
              <w:rPr>
                <w:rFonts w:ascii="Arial Narrow" w:hAnsi="Arial Narrow"/>
                <w:sz w:val="20"/>
              </w:rPr>
            </w:pPr>
            <w:r w:rsidRPr="00260CE3">
              <w:rPr>
                <w:rFonts w:ascii="Arial Narrow" w:hAnsi="Arial Narrow"/>
                <w:sz w:val="20"/>
              </w:rPr>
              <w:t xml:space="preserve">Section 100 – </w:t>
            </w:r>
            <w:r>
              <w:rPr>
                <w:rFonts w:ascii="Arial Narrow" w:hAnsi="Arial Narrow"/>
                <w:sz w:val="20"/>
              </w:rPr>
              <w:t>Chemotherapy - related benefits (CT)</w:t>
            </w:r>
          </w:p>
          <w:p w:rsidR="00BD2E06" w:rsidRPr="00260CE3" w:rsidRDefault="00BD2E06" w:rsidP="00BD2E06">
            <w:pPr>
              <w:rPr>
                <w:rFonts w:ascii="Arial Narrow" w:hAnsi="Arial Narrow"/>
                <w:sz w:val="20"/>
              </w:rPr>
            </w:pPr>
            <w:r w:rsidRPr="00260CE3">
              <w:rPr>
                <w:rFonts w:ascii="Arial Narrow" w:hAnsi="Arial Narrow"/>
                <w:sz w:val="20"/>
              </w:rPr>
              <w:t xml:space="preserve">Section </w:t>
            </w:r>
            <w:r>
              <w:rPr>
                <w:rFonts w:ascii="Arial Narrow" w:hAnsi="Arial Narrow"/>
                <w:sz w:val="20"/>
              </w:rPr>
              <w:t>85</w:t>
            </w:r>
            <w:r w:rsidRPr="00260CE3">
              <w:rPr>
                <w:rFonts w:ascii="Arial Narrow" w:hAnsi="Arial Narrow"/>
                <w:sz w:val="20"/>
              </w:rPr>
              <w:t xml:space="preserve"> – </w:t>
            </w:r>
            <w:r>
              <w:rPr>
                <w:rFonts w:ascii="Arial Narrow" w:hAnsi="Arial Narrow"/>
                <w:sz w:val="20"/>
              </w:rPr>
              <w:t>General Schedule (GE)</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Default="00BD2E06" w:rsidP="00BD2E06">
            <w:pPr>
              <w:rPr>
                <w:rFonts w:ascii="Arial Narrow" w:hAnsi="Arial Narrow"/>
                <w:b/>
                <w:sz w:val="20"/>
              </w:rPr>
            </w:pPr>
            <w:r w:rsidRPr="00260CE3">
              <w:rPr>
                <w:rFonts w:ascii="Arial Narrow" w:hAnsi="Arial Narrow"/>
                <w:b/>
                <w:sz w:val="20"/>
              </w:rPr>
              <w:t>Prescriber type:</w:t>
            </w:r>
          </w:p>
          <w:p w:rsidR="00BD2E06" w:rsidRPr="00260CE3" w:rsidRDefault="00BD2E06" w:rsidP="00BD2E06">
            <w:pPr>
              <w:rPr>
                <w:rFonts w:ascii="Arial Narrow" w:hAnsi="Arial Narrow"/>
                <w:b/>
                <w:sz w:val="20"/>
              </w:rPr>
            </w:pPr>
          </w:p>
        </w:tc>
        <w:tc>
          <w:tcPr>
            <w:tcW w:w="5552" w:type="dxa"/>
            <w:gridSpan w:val="5"/>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r>
              <w:rPr>
                <w:rFonts w:ascii="Arial Narrow" w:hAnsi="Arial Narrow"/>
                <w:sz w:val="20"/>
              </w:rPr>
              <w:t xml:space="preserve">  </w:t>
            </w: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b/>
                <w:sz w:val="20"/>
              </w:rPr>
            </w:pPr>
            <w:r w:rsidRPr="00260CE3">
              <w:rPr>
                <w:rFonts w:ascii="Arial Narrow" w:hAnsi="Arial Narrow"/>
                <w:b/>
                <w:sz w:val="20"/>
              </w:rPr>
              <w:t>Episodicity:</w:t>
            </w:r>
          </w:p>
        </w:tc>
        <w:tc>
          <w:tcPr>
            <w:tcW w:w="5552" w:type="dxa"/>
            <w:gridSpan w:val="5"/>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sz w:val="20"/>
              </w:rPr>
            </w:pPr>
            <w:r>
              <w:rPr>
                <w:rFonts w:ascii="Arial Narrow" w:hAnsi="Arial Narrow"/>
                <w:sz w:val="20"/>
              </w:rPr>
              <w:t>-</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b/>
                <w:sz w:val="20"/>
              </w:rPr>
            </w:pPr>
            <w:r w:rsidRPr="00260CE3">
              <w:rPr>
                <w:rFonts w:ascii="Arial Narrow" w:hAnsi="Arial Narrow"/>
                <w:b/>
                <w:sz w:val="20"/>
              </w:rPr>
              <w:t>Severity:</w:t>
            </w:r>
          </w:p>
        </w:tc>
        <w:tc>
          <w:tcPr>
            <w:tcW w:w="5552" w:type="dxa"/>
            <w:gridSpan w:val="5"/>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sz w:val="20"/>
              </w:rPr>
            </w:pPr>
            <w:r>
              <w:rPr>
                <w:rFonts w:ascii="Arial Narrow" w:hAnsi="Arial Narrow"/>
                <w:sz w:val="20"/>
              </w:rPr>
              <w:t>-</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b/>
                <w:sz w:val="20"/>
              </w:rPr>
            </w:pPr>
            <w:r w:rsidRPr="00260CE3">
              <w:rPr>
                <w:rFonts w:ascii="Arial Narrow" w:hAnsi="Arial Narrow"/>
                <w:b/>
                <w:sz w:val="20"/>
              </w:rPr>
              <w:t>Condition:</w:t>
            </w:r>
          </w:p>
        </w:tc>
        <w:tc>
          <w:tcPr>
            <w:tcW w:w="5552" w:type="dxa"/>
            <w:gridSpan w:val="5"/>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sz w:val="20"/>
              </w:rPr>
            </w:pPr>
            <w:r>
              <w:rPr>
                <w:rFonts w:ascii="Arial Narrow" w:hAnsi="Arial Narrow"/>
                <w:sz w:val="20"/>
              </w:rPr>
              <w:t>Nausea and vomiting</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b/>
                <w:sz w:val="20"/>
              </w:rPr>
            </w:pPr>
            <w:r w:rsidRPr="00260CE3">
              <w:rPr>
                <w:rFonts w:ascii="Arial Narrow" w:hAnsi="Arial Narrow"/>
                <w:b/>
                <w:sz w:val="20"/>
              </w:rPr>
              <w:t>PBS Indication:</w:t>
            </w:r>
          </w:p>
        </w:tc>
        <w:tc>
          <w:tcPr>
            <w:tcW w:w="5552" w:type="dxa"/>
            <w:gridSpan w:val="5"/>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sz w:val="20"/>
              </w:rPr>
            </w:pPr>
            <w:r>
              <w:rPr>
                <w:rFonts w:ascii="Arial Narrow" w:hAnsi="Arial Narrow"/>
                <w:sz w:val="20"/>
              </w:rPr>
              <w:t>Nausea and vomiting</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E31C08" w:rsidRDefault="00BD2E06" w:rsidP="00BD2E06">
            <w:pPr>
              <w:rPr>
                <w:rFonts w:ascii="Arial Narrow" w:hAnsi="Arial Narrow"/>
                <w:b/>
                <w:sz w:val="20"/>
              </w:rPr>
            </w:pPr>
            <w:r w:rsidRPr="00260CE3">
              <w:rPr>
                <w:rFonts w:ascii="Arial Narrow" w:hAnsi="Arial Narrow"/>
                <w:b/>
                <w:sz w:val="20"/>
              </w:rPr>
              <w:t>Treatment phase:</w:t>
            </w:r>
          </w:p>
        </w:tc>
        <w:tc>
          <w:tcPr>
            <w:tcW w:w="5552" w:type="dxa"/>
            <w:gridSpan w:val="5"/>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sz w:val="20"/>
              </w:rPr>
            </w:pPr>
            <w:r>
              <w:rPr>
                <w:rFonts w:ascii="Arial Narrow" w:hAnsi="Arial Narrow"/>
                <w:sz w:val="20"/>
              </w:rPr>
              <w:t>-</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p w:rsidR="00BD2E06" w:rsidRPr="00CD28F3" w:rsidRDefault="00BD2E06" w:rsidP="00BD2E06">
            <w:pPr>
              <w:rPr>
                <w:rFonts w:ascii="Arial Narrow" w:hAnsi="Arial Narrow"/>
                <w:i/>
                <w:sz w:val="20"/>
              </w:rPr>
            </w:pPr>
          </w:p>
        </w:tc>
        <w:tc>
          <w:tcPr>
            <w:tcW w:w="5552" w:type="dxa"/>
            <w:gridSpan w:val="5"/>
            <w:tcBorders>
              <w:top w:val="single" w:sz="4" w:space="0" w:color="auto"/>
              <w:left w:val="single" w:sz="4" w:space="0" w:color="auto"/>
              <w:bottom w:val="single" w:sz="4" w:space="0" w:color="auto"/>
              <w:right w:val="single" w:sz="4" w:space="0" w:color="auto"/>
            </w:tcBorders>
          </w:tcPr>
          <w:p w:rsidR="00BD2E06" w:rsidRPr="00106BCF" w:rsidRDefault="00BD2E06" w:rsidP="00BD2E06">
            <w:pPr>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BD2E06" w:rsidRPr="00106BCF" w:rsidRDefault="00BD2E06" w:rsidP="00BD2E06">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BD2E06" w:rsidRPr="00106BCF" w:rsidRDefault="00BD2E06" w:rsidP="00BD2E06">
            <w:pPr>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BD2E06" w:rsidRPr="00106BCF" w:rsidRDefault="00BD2E06" w:rsidP="00BD2E06">
            <w:pPr>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BD2E06" w:rsidRPr="00106BCF" w:rsidRDefault="00BD2E06" w:rsidP="00BD2E06">
            <w:pPr>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BD2E06" w:rsidRPr="00260CE3" w:rsidRDefault="00BD2E06" w:rsidP="00BD2E06">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3" w:name="Check5"/>
            <w:r>
              <w:rPr>
                <w:rFonts w:ascii="Arial Narrow" w:hAnsi="Arial Narrow"/>
                <w:sz w:val="20"/>
              </w:rPr>
              <w:instrText xml:space="preserve"> FORMCHECKBOX </w:instrText>
            </w:r>
            <w:r w:rsidR="003F4A75">
              <w:rPr>
                <w:rFonts w:ascii="Arial Narrow" w:hAnsi="Arial Narrow"/>
                <w:sz w:val="20"/>
              </w:rPr>
            </w:r>
            <w:r w:rsidR="003F4A75">
              <w:rPr>
                <w:rFonts w:ascii="Arial Narrow" w:hAnsi="Arial Narrow"/>
                <w:sz w:val="20"/>
              </w:rPr>
              <w:fldChar w:fldCharType="separate"/>
            </w:r>
            <w:r>
              <w:rPr>
                <w:rFonts w:ascii="Arial Narrow" w:hAnsi="Arial Narrow"/>
                <w:sz w:val="20"/>
              </w:rPr>
              <w:fldChar w:fldCharType="end"/>
            </w:r>
            <w:bookmarkEnd w:id="3"/>
            <w:r w:rsidRPr="00106BCF">
              <w:rPr>
                <w:rFonts w:ascii="Arial Narrow" w:hAnsi="Arial Narrow"/>
                <w:sz w:val="20"/>
              </w:rPr>
              <w:t>Streamlined</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1F25F3" w:rsidRDefault="00BD2E06" w:rsidP="00BD2E06">
            <w:pPr>
              <w:rPr>
                <w:rFonts w:ascii="Arial Narrow" w:hAnsi="Arial Narrow"/>
                <w:b/>
                <w:sz w:val="20"/>
              </w:rPr>
            </w:pPr>
            <w:r w:rsidRPr="00260CE3">
              <w:rPr>
                <w:rFonts w:ascii="Arial Narrow" w:hAnsi="Arial Narrow"/>
                <w:b/>
                <w:sz w:val="20"/>
              </w:rPr>
              <w:t>Treatment criteria:</w:t>
            </w:r>
          </w:p>
        </w:tc>
        <w:tc>
          <w:tcPr>
            <w:tcW w:w="5552" w:type="dxa"/>
            <w:gridSpan w:val="5"/>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sz w:val="20"/>
              </w:rPr>
            </w:pPr>
            <w:r>
              <w:rPr>
                <w:rFonts w:ascii="Arial Narrow" w:hAnsi="Arial Narrow"/>
                <w:sz w:val="20"/>
              </w:rPr>
              <w:t>-</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1F25F3" w:rsidRDefault="00BD2E06" w:rsidP="00BD2E06">
            <w:pPr>
              <w:rPr>
                <w:rFonts w:ascii="Arial Narrow" w:hAnsi="Arial Narrow"/>
                <w:b/>
                <w:sz w:val="20"/>
              </w:rPr>
            </w:pPr>
            <w:r w:rsidRPr="00260CE3">
              <w:rPr>
                <w:rFonts w:ascii="Arial Narrow" w:hAnsi="Arial Narrow"/>
                <w:b/>
                <w:sz w:val="20"/>
              </w:rPr>
              <w:lastRenderedPageBreak/>
              <w:t>Clinical criteria:</w:t>
            </w:r>
          </w:p>
        </w:tc>
        <w:tc>
          <w:tcPr>
            <w:tcW w:w="5552" w:type="dxa"/>
            <w:gridSpan w:val="5"/>
            <w:tcBorders>
              <w:top w:val="single" w:sz="4" w:space="0" w:color="auto"/>
              <w:left w:val="single" w:sz="4" w:space="0" w:color="auto"/>
              <w:bottom w:val="single" w:sz="4" w:space="0" w:color="auto"/>
              <w:right w:val="single" w:sz="4" w:space="0" w:color="auto"/>
            </w:tcBorders>
          </w:tcPr>
          <w:p w:rsidR="00BD2E06" w:rsidRDefault="00BD2E06" w:rsidP="00BD2E06">
            <w:pPr>
              <w:rPr>
                <w:rFonts w:ascii="Arial Narrow" w:hAnsi="Arial Narrow"/>
                <w:sz w:val="20"/>
                <w:lang w:val="en-US"/>
              </w:rPr>
            </w:pPr>
            <w:r w:rsidRPr="00D57688">
              <w:rPr>
                <w:rFonts w:ascii="Arial Narrow" w:hAnsi="Arial Narrow"/>
                <w:sz w:val="20"/>
                <w:lang w:val="en-US"/>
              </w:rPr>
              <w:t>The condition must be associated with cytotoxic chemotherapy</w:t>
            </w:r>
            <w:r>
              <w:rPr>
                <w:rFonts w:ascii="Arial Narrow" w:hAnsi="Arial Narrow"/>
                <w:sz w:val="20"/>
                <w:lang w:val="en-US"/>
              </w:rPr>
              <w:t xml:space="preserve"> being used to treat malignancy;</w:t>
            </w:r>
          </w:p>
          <w:p w:rsidR="00BD2E06" w:rsidRPr="00D57688" w:rsidRDefault="00BD2E06" w:rsidP="00BD2E06">
            <w:pPr>
              <w:rPr>
                <w:rFonts w:ascii="Arial Narrow" w:hAnsi="Arial Narrow"/>
                <w:sz w:val="20"/>
                <w:lang w:val="en-US"/>
              </w:rPr>
            </w:pPr>
          </w:p>
          <w:p w:rsidR="00BD2E06" w:rsidRDefault="00BD2E06" w:rsidP="00BD2E06">
            <w:pPr>
              <w:rPr>
                <w:rFonts w:ascii="Arial Narrow" w:hAnsi="Arial Narrow"/>
                <w:sz w:val="20"/>
                <w:lang w:val="en-US"/>
              </w:rPr>
            </w:pPr>
            <w:r w:rsidRPr="00D57688">
              <w:rPr>
                <w:rFonts w:ascii="Arial Narrow" w:hAnsi="Arial Narrow"/>
                <w:sz w:val="20"/>
                <w:lang w:val="en-US"/>
              </w:rPr>
              <w:t>AND</w:t>
            </w:r>
          </w:p>
          <w:p w:rsidR="00BD2E06" w:rsidRPr="00D57688" w:rsidRDefault="00BD2E06" w:rsidP="00BD2E06">
            <w:pPr>
              <w:rPr>
                <w:rFonts w:ascii="Arial Narrow" w:hAnsi="Arial Narrow"/>
                <w:sz w:val="20"/>
                <w:lang w:val="en-US"/>
              </w:rPr>
            </w:pPr>
          </w:p>
          <w:p w:rsidR="00BD2E06" w:rsidRDefault="00BD2E06" w:rsidP="00BD2E06">
            <w:pPr>
              <w:rPr>
                <w:rFonts w:ascii="Arial Narrow" w:hAnsi="Arial Narrow"/>
                <w:sz w:val="20"/>
                <w:lang w:val="en-US"/>
              </w:rPr>
            </w:pPr>
            <w:r w:rsidRPr="00D57688">
              <w:rPr>
                <w:rFonts w:ascii="Arial Narrow" w:hAnsi="Arial Narrow"/>
                <w:sz w:val="20"/>
                <w:lang w:val="en-US"/>
              </w:rPr>
              <w:t>The treatment must be in combination with a 5-hydroxytryptamine receptor (5HT</w:t>
            </w:r>
            <w:r w:rsidRPr="00D57688">
              <w:rPr>
                <w:rFonts w:ascii="Arial Narrow" w:hAnsi="Arial Narrow"/>
                <w:sz w:val="20"/>
                <w:vertAlign w:val="subscript"/>
                <w:lang w:val="en-US"/>
              </w:rPr>
              <w:t>3</w:t>
            </w:r>
            <w:r w:rsidRPr="00D57688">
              <w:rPr>
                <w:rFonts w:ascii="Arial Narrow" w:hAnsi="Arial Narrow"/>
                <w:sz w:val="20"/>
                <w:lang w:val="en-US"/>
              </w:rPr>
              <w:t xml:space="preserve">) </w:t>
            </w:r>
            <w:r>
              <w:rPr>
                <w:rFonts w:ascii="Arial Narrow" w:hAnsi="Arial Narrow"/>
                <w:sz w:val="20"/>
                <w:lang w:val="en-US"/>
              </w:rPr>
              <w:t>antagonist and dexamethasone;</w:t>
            </w:r>
          </w:p>
          <w:p w:rsidR="00BD2E06" w:rsidRPr="00D57688" w:rsidRDefault="00BD2E06" w:rsidP="00BD2E06">
            <w:pPr>
              <w:rPr>
                <w:rFonts w:ascii="Arial Narrow" w:hAnsi="Arial Narrow"/>
                <w:sz w:val="20"/>
                <w:lang w:val="en-US"/>
              </w:rPr>
            </w:pPr>
          </w:p>
          <w:p w:rsidR="00BD2E06" w:rsidRDefault="00BD2E06" w:rsidP="00BD2E06">
            <w:pPr>
              <w:rPr>
                <w:rFonts w:ascii="Arial Narrow" w:hAnsi="Arial Narrow"/>
                <w:sz w:val="20"/>
                <w:lang w:val="en-US"/>
              </w:rPr>
            </w:pPr>
            <w:r w:rsidRPr="00D57688">
              <w:rPr>
                <w:rFonts w:ascii="Arial Narrow" w:hAnsi="Arial Narrow"/>
                <w:sz w:val="20"/>
                <w:lang w:val="en-US"/>
              </w:rPr>
              <w:t>AND</w:t>
            </w:r>
          </w:p>
          <w:p w:rsidR="00BD2E06" w:rsidRPr="00D57688" w:rsidRDefault="00BD2E06" w:rsidP="00BD2E06">
            <w:pPr>
              <w:rPr>
                <w:rFonts w:ascii="Arial Narrow" w:hAnsi="Arial Narrow"/>
                <w:sz w:val="20"/>
                <w:lang w:val="en-US"/>
              </w:rPr>
            </w:pPr>
          </w:p>
          <w:p w:rsidR="00BD2E06" w:rsidRPr="001F25F3" w:rsidRDefault="00BD2E06" w:rsidP="00BD2E06">
            <w:pPr>
              <w:rPr>
                <w:rFonts w:ascii="Arial Narrow" w:hAnsi="Arial Narrow"/>
                <w:sz w:val="20"/>
              </w:rPr>
            </w:pPr>
            <w:r w:rsidRPr="001F25F3">
              <w:rPr>
                <w:rFonts w:ascii="Arial Narrow" w:hAnsi="Arial Narrow"/>
                <w:sz w:val="20"/>
                <w:lang w:val="en-US"/>
              </w:rPr>
              <w:t xml:space="preserve">Patient must be scheduled to be administered a chemotherapy regimen that includes any 1 of the following agents: altretamine; carboplatin; carmustine; cisplatin when a single dose constitutes a cycle of chemotherapy; cyclophosphamide at a dose of 1500 mg per square metre per day or greater; dacarbazine; </w:t>
            </w:r>
            <w:r>
              <w:rPr>
                <w:rFonts w:ascii="Arial Narrow" w:hAnsi="Arial Narrow"/>
                <w:sz w:val="20"/>
                <w:lang w:val="en-US"/>
              </w:rPr>
              <w:t>o</w:t>
            </w:r>
            <w:r w:rsidRPr="001F25F3">
              <w:rPr>
                <w:rFonts w:ascii="Arial Narrow" w:hAnsi="Arial Narrow"/>
                <w:sz w:val="20"/>
                <w:lang w:val="en-US"/>
              </w:rPr>
              <w:t>xaliplatin; procarbazine when a single dose constitutes a cycle of chemotherapy;</w:t>
            </w:r>
            <w:r>
              <w:rPr>
                <w:rFonts w:ascii="Arial Narrow" w:hAnsi="Arial Narrow"/>
                <w:sz w:val="20"/>
                <w:lang w:val="en-US"/>
              </w:rPr>
              <w:t xml:space="preserve"> </w:t>
            </w:r>
            <w:r w:rsidRPr="001F25F3">
              <w:rPr>
                <w:rFonts w:ascii="Arial Narrow" w:hAnsi="Arial Narrow"/>
                <w:sz w:val="20"/>
                <w:lang w:val="en-US"/>
              </w:rPr>
              <w:t>streptozocin.</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1F25F3" w:rsidRDefault="00BD2E06" w:rsidP="00BD2E06">
            <w:pPr>
              <w:rPr>
                <w:rFonts w:ascii="Arial Narrow" w:hAnsi="Arial Narrow"/>
                <w:b/>
                <w:sz w:val="20"/>
              </w:rPr>
            </w:pPr>
            <w:r w:rsidRPr="00260CE3">
              <w:rPr>
                <w:rFonts w:ascii="Arial Narrow" w:hAnsi="Arial Narrow"/>
                <w:b/>
                <w:sz w:val="20"/>
              </w:rPr>
              <w:t>Population criteria:</w:t>
            </w:r>
          </w:p>
        </w:tc>
        <w:tc>
          <w:tcPr>
            <w:tcW w:w="5552" w:type="dxa"/>
            <w:gridSpan w:val="5"/>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sz w:val="20"/>
              </w:rPr>
            </w:pPr>
            <w:r>
              <w:rPr>
                <w:rFonts w:ascii="Arial Narrow" w:hAnsi="Arial Narrow"/>
                <w:sz w:val="20"/>
              </w:rPr>
              <w:t>-</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1F25F3" w:rsidRDefault="00BD2E06" w:rsidP="00BD2E06">
            <w:pPr>
              <w:rPr>
                <w:rFonts w:ascii="Arial Narrow" w:hAnsi="Arial Narrow"/>
                <w:b/>
                <w:sz w:val="20"/>
              </w:rPr>
            </w:pPr>
            <w:r w:rsidRPr="00260CE3">
              <w:rPr>
                <w:rFonts w:ascii="Arial Narrow" w:hAnsi="Arial Narrow"/>
                <w:b/>
                <w:sz w:val="20"/>
              </w:rPr>
              <w:t>Prescriber Instructions</w:t>
            </w:r>
          </w:p>
          <w:p w:rsidR="00BD2E06" w:rsidRPr="00260CE3" w:rsidRDefault="00BD2E06" w:rsidP="00BD2E06">
            <w:pPr>
              <w:rPr>
                <w:rFonts w:ascii="Arial Narrow" w:hAnsi="Arial Narrow"/>
                <w:sz w:val="20"/>
              </w:rPr>
            </w:pPr>
          </w:p>
        </w:tc>
        <w:tc>
          <w:tcPr>
            <w:tcW w:w="5552" w:type="dxa"/>
            <w:gridSpan w:val="5"/>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sz w:val="20"/>
              </w:rPr>
            </w:pPr>
            <w:r>
              <w:rPr>
                <w:rFonts w:ascii="Arial Narrow" w:hAnsi="Arial Narrow"/>
                <w:sz w:val="20"/>
              </w:rPr>
              <w:t>No more than 1 capsule of aprepitant 165 mg will be authorised per cycle of cytotoxic chemotherapy.</w:t>
            </w:r>
          </w:p>
        </w:tc>
      </w:tr>
      <w:tr w:rsidR="00BD2E06" w:rsidRPr="00260CE3" w:rsidTr="00B90E31">
        <w:trPr>
          <w:cantSplit/>
          <w:trHeight w:val="360"/>
        </w:trPr>
        <w:tc>
          <w:tcPr>
            <w:tcW w:w="2948" w:type="dxa"/>
            <w:tcBorders>
              <w:top w:val="single" w:sz="4" w:space="0" w:color="auto"/>
              <w:left w:val="single" w:sz="4" w:space="0" w:color="auto"/>
              <w:bottom w:val="single" w:sz="4" w:space="0" w:color="auto"/>
              <w:right w:val="single" w:sz="4" w:space="0" w:color="auto"/>
            </w:tcBorders>
          </w:tcPr>
          <w:p w:rsidR="00BD2E06" w:rsidRPr="00260CE3" w:rsidRDefault="00BD2E06" w:rsidP="00BD2E06">
            <w:pPr>
              <w:rPr>
                <w:rFonts w:ascii="Arial Narrow" w:hAnsi="Arial Narrow"/>
                <w:b/>
                <w:sz w:val="20"/>
              </w:rPr>
            </w:pPr>
            <w:r w:rsidRPr="00260CE3">
              <w:rPr>
                <w:rFonts w:ascii="Arial Narrow" w:hAnsi="Arial Narrow"/>
                <w:b/>
                <w:sz w:val="20"/>
              </w:rPr>
              <w:t>Administrative Advice</w:t>
            </w:r>
          </w:p>
          <w:p w:rsidR="00BD2E06" w:rsidRPr="00260CE3" w:rsidRDefault="00BD2E06" w:rsidP="00BD2E06">
            <w:pPr>
              <w:rPr>
                <w:rFonts w:ascii="Arial Narrow" w:hAnsi="Arial Narrow"/>
                <w:i/>
                <w:sz w:val="20"/>
              </w:rPr>
            </w:pPr>
          </w:p>
        </w:tc>
        <w:tc>
          <w:tcPr>
            <w:tcW w:w="5552" w:type="dxa"/>
            <w:gridSpan w:val="5"/>
            <w:tcBorders>
              <w:top w:val="single" w:sz="4" w:space="0" w:color="auto"/>
              <w:left w:val="single" w:sz="4" w:space="0" w:color="auto"/>
              <w:bottom w:val="single" w:sz="4" w:space="0" w:color="auto"/>
              <w:right w:val="single" w:sz="4" w:space="0" w:color="auto"/>
            </w:tcBorders>
          </w:tcPr>
          <w:p w:rsidR="00BD2E06" w:rsidRDefault="00BD2E06" w:rsidP="00BD2E06">
            <w:pPr>
              <w:rPr>
                <w:rFonts w:ascii="Arial Narrow" w:hAnsi="Arial Narrow"/>
                <w:i/>
                <w:sz w:val="20"/>
              </w:rPr>
            </w:pPr>
            <w:r>
              <w:rPr>
                <w:rFonts w:ascii="Arial Narrow" w:hAnsi="Arial Narrow"/>
                <w:i/>
                <w:sz w:val="20"/>
              </w:rPr>
              <w:t xml:space="preserve">Aprepitant is not PBS-subsidised for nausea and vomiting associated with radiotherapy being used to treat malignancy. </w:t>
            </w:r>
          </w:p>
          <w:p w:rsidR="00BD2E06" w:rsidRDefault="00BD2E06" w:rsidP="00BD2E06">
            <w:pPr>
              <w:rPr>
                <w:rFonts w:ascii="Arial Narrow" w:hAnsi="Arial Narrow"/>
                <w:i/>
                <w:sz w:val="20"/>
              </w:rPr>
            </w:pPr>
          </w:p>
          <w:p w:rsidR="00BD2E06" w:rsidRDefault="00BD2E06" w:rsidP="00BD2E06">
            <w:pPr>
              <w:rPr>
                <w:rFonts w:ascii="Arial Narrow" w:hAnsi="Arial Narrow"/>
                <w:i/>
                <w:sz w:val="20"/>
              </w:rPr>
            </w:pPr>
            <w:r>
              <w:rPr>
                <w:rFonts w:ascii="Arial Narrow" w:hAnsi="Arial Narrow"/>
                <w:i/>
                <w:sz w:val="20"/>
              </w:rPr>
              <w:t xml:space="preserve">No increase in the maximum quantity or number of units may be authorised. </w:t>
            </w:r>
          </w:p>
          <w:p w:rsidR="00BD2E06" w:rsidRDefault="00BD2E06" w:rsidP="00BD2E06">
            <w:pPr>
              <w:rPr>
                <w:rFonts w:ascii="Arial Narrow" w:hAnsi="Arial Narrow"/>
                <w:i/>
                <w:sz w:val="20"/>
              </w:rPr>
            </w:pPr>
          </w:p>
          <w:p w:rsidR="00BD2E06" w:rsidRPr="001F25F3" w:rsidRDefault="00BD2E06" w:rsidP="00BD2E06">
            <w:pPr>
              <w:rPr>
                <w:rFonts w:ascii="Arial Narrow" w:hAnsi="Arial Narrow"/>
                <w:i/>
                <w:sz w:val="20"/>
              </w:rPr>
            </w:pPr>
            <w:r>
              <w:rPr>
                <w:rFonts w:ascii="Arial Narrow" w:hAnsi="Arial Narrow"/>
                <w:i/>
                <w:sz w:val="20"/>
              </w:rPr>
              <w:t xml:space="preserve">No increase in the maximum number of repeats may be authorised. </w:t>
            </w:r>
          </w:p>
        </w:tc>
      </w:tr>
    </w:tbl>
    <w:p w:rsidR="00BD2E06" w:rsidRPr="00882085" w:rsidRDefault="00BD2E06" w:rsidP="004B1CB4"/>
    <w:p w:rsidR="002C2775" w:rsidRPr="006D437D" w:rsidRDefault="006D437D" w:rsidP="00C66229">
      <w:pPr>
        <w:pStyle w:val="ListParagraph"/>
        <w:widowControl/>
        <w:numPr>
          <w:ilvl w:val="1"/>
          <w:numId w:val="3"/>
        </w:numPr>
        <w:rPr>
          <w:szCs w:val="22"/>
        </w:rPr>
      </w:pPr>
      <w:r w:rsidRPr="006D437D">
        <w:t xml:space="preserve">The submission did </w:t>
      </w:r>
      <w:r w:rsidRPr="0055657A">
        <w:t>not</w:t>
      </w:r>
      <w:r w:rsidRPr="006D437D">
        <w:t xml:space="preserve"> present an</w:t>
      </w:r>
      <w:r w:rsidR="00AA0DA8">
        <w:t>y</w:t>
      </w:r>
      <w:r w:rsidRPr="006D437D">
        <w:t xml:space="preserve"> economic </w:t>
      </w:r>
      <w:r w:rsidR="00AA0DA8">
        <w:t>analysis</w:t>
      </w:r>
      <w:r w:rsidRPr="006D437D">
        <w:t xml:space="preserve"> to support PBS listing</w:t>
      </w:r>
      <w:r w:rsidR="00B60939" w:rsidRPr="006D437D">
        <w:rPr>
          <w:szCs w:val="22"/>
        </w:rPr>
        <w:t>.</w:t>
      </w:r>
    </w:p>
    <w:p w:rsidR="0078382E" w:rsidRPr="00882085" w:rsidRDefault="0078382E" w:rsidP="004B1CB4"/>
    <w:p w:rsidR="00B50DB8" w:rsidRDefault="00B50DB8" w:rsidP="00BD6CF3">
      <w:pPr>
        <w:pStyle w:val="PBACHeading1"/>
      </w:pPr>
      <w:bookmarkStart w:id="4" w:name="_Toc430011612"/>
      <w:r w:rsidRPr="00407F2D">
        <w:t>Background</w:t>
      </w:r>
      <w:bookmarkEnd w:id="4"/>
    </w:p>
    <w:p w:rsidR="0036351A" w:rsidRPr="00407F2D" w:rsidRDefault="0036351A" w:rsidP="003F4A75">
      <w:pPr>
        <w:pStyle w:val="BodyText"/>
      </w:pPr>
    </w:p>
    <w:p w:rsidR="00B60939" w:rsidRPr="00F459DA" w:rsidRDefault="002D66C1" w:rsidP="00C66229">
      <w:pPr>
        <w:pStyle w:val="ListParagraph"/>
        <w:widowControl/>
        <w:numPr>
          <w:ilvl w:val="1"/>
          <w:numId w:val="3"/>
        </w:numPr>
        <w:rPr>
          <w:szCs w:val="22"/>
        </w:rPr>
      </w:pPr>
      <w:r w:rsidRPr="00F459DA">
        <w:rPr>
          <w:szCs w:val="22"/>
        </w:rPr>
        <w:t>Aprepitant</w:t>
      </w:r>
      <w:r w:rsidR="00B60939" w:rsidRPr="00F459DA">
        <w:rPr>
          <w:szCs w:val="22"/>
        </w:rPr>
        <w:t xml:space="preserve"> was </w:t>
      </w:r>
      <w:r w:rsidR="00A22A11" w:rsidRPr="00F459DA">
        <w:rPr>
          <w:szCs w:val="22"/>
        </w:rPr>
        <w:t xml:space="preserve">first recommended for registration by the </w:t>
      </w:r>
      <w:r w:rsidR="00B60939" w:rsidRPr="00F459DA">
        <w:rPr>
          <w:szCs w:val="22"/>
        </w:rPr>
        <w:t xml:space="preserve">TGA </w:t>
      </w:r>
      <w:r w:rsidR="00A22A11" w:rsidRPr="00F459DA">
        <w:rPr>
          <w:szCs w:val="22"/>
        </w:rPr>
        <w:t>on 5-6 February 2004.</w:t>
      </w:r>
      <w:r w:rsidR="00B60939" w:rsidRPr="00F459DA">
        <w:rPr>
          <w:szCs w:val="22"/>
        </w:rPr>
        <w:t xml:space="preserve"> </w:t>
      </w:r>
    </w:p>
    <w:p w:rsidR="00B60939" w:rsidRPr="00D03B1E" w:rsidRDefault="00B60939" w:rsidP="00B60939">
      <w:pPr>
        <w:rPr>
          <w:szCs w:val="22"/>
        </w:rPr>
      </w:pPr>
    </w:p>
    <w:p w:rsidR="00B773B0" w:rsidRDefault="00A22A11" w:rsidP="00B81FA2">
      <w:pPr>
        <w:pStyle w:val="ListParagraph"/>
        <w:widowControl/>
        <w:numPr>
          <w:ilvl w:val="1"/>
          <w:numId w:val="3"/>
        </w:numPr>
        <w:rPr>
          <w:szCs w:val="22"/>
        </w:rPr>
      </w:pPr>
      <w:r w:rsidRPr="00A22A11">
        <w:rPr>
          <w:szCs w:val="22"/>
        </w:rPr>
        <w:t>Aprepitant has not been previously considered by the PBAC for this indication.</w:t>
      </w:r>
    </w:p>
    <w:p w:rsidR="00B81FA2" w:rsidRPr="007B5CB9" w:rsidRDefault="00B81FA2" w:rsidP="007B5CB9">
      <w:pPr>
        <w:spacing w:line="40" w:lineRule="exact"/>
        <w:contextualSpacing/>
      </w:pPr>
    </w:p>
    <w:p w:rsidR="00B81FA2" w:rsidRPr="007B5CB9" w:rsidRDefault="00B81FA2" w:rsidP="007B5CB9">
      <w:pPr>
        <w:contextualSpacing/>
      </w:pPr>
    </w:p>
    <w:p w:rsidR="00B50DB8" w:rsidRDefault="00B50DB8" w:rsidP="00BD6CF3">
      <w:pPr>
        <w:pStyle w:val="PBACHeading1"/>
      </w:pPr>
      <w:bookmarkStart w:id="5" w:name="_Toc430011613"/>
      <w:r w:rsidRPr="00407F2D">
        <w:t>Clinical place for the proposed therapy</w:t>
      </w:r>
      <w:bookmarkEnd w:id="5"/>
    </w:p>
    <w:p w:rsidR="0036351A" w:rsidRPr="00407F2D" w:rsidRDefault="0036351A" w:rsidP="003F4A75">
      <w:pPr>
        <w:pStyle w:val="BodyText"/>
      </w:pPr>
    </w:p>
    <w:p w:rsidR="00995056" w:rsidRPr="00995056" w:rsidRDefault="00D03B1E" w:rsidP="00C66229">
      <w:pPr>
        <w:pStyle w:val="ListParagraph"/>
        <w:widowControl/>
        <w:numPr>
          <w:ilvl w:val="1"/>
          <w:numId w:val="3"/>
        </w:numPr>
        <w:rPr>
          <w:szCs w:val="22"/>
        </w:rPr>
      </w:pPr>
      <w:r w:rsidRPr="00F8669F">
        <w:t>The submission claimed that CINV can significantly affect a patient’s quality of life. The main areas affected by CINV appear to be the ability to complete the activities of everyday living; emotional well-being; social functioning and cognitive functioning. In addition, CINV can result in metabolic imbalances and nutrient depletion, degeneration of self-care and functional ability, and a decline in the patient’s performance and mental status. All of these factors may lead to poor compliance with further chemotherapy treatment and ultimately, worse outcomes attributable to cancer progression (p21 of the submission).</w:t>
      </w:r>
    </w:p>
    <w:p w:rsidR="00995056" w:rsidRPr="00995056" w:rsidRDefault="00995056" w:rsidP="00995056">
      <w:pPr>
        <w:pStyle w:val="ListParagraph"/>
        <w:widowControl/>
        <w:rPr>
          <w:szCs w:val="22"/>
        </w:rPr>
      </w:pPr>
    </w:p>
    <w:p w:rsidR="00846617" w:rsidRPr="008C1F4F" w:rsidRDefault="00846617" w:rsidP="00C66229">
      <w:pPr>
        <w:pStyle w:val="ListParagraph"/>
        <w:widowControl/>
        <w:numPr>
          <w:ilvl w:val="1"/>
          <w:numId w:val="3"/>
        </w:numPr>
        <w:rPr>
          <w:szCs w:val="22"/>
        </w:rPr>
      </w:pPr>
      <w:r w:rsidRPr="007E7BDC">
        <w:t>The baseline risk of vomiting or rescue therapy with oxaliplatin/carboplatin in cycle 1 is around 36.3%.</w:t>
      </w:r>
      <w:r w:rsidR="00320733">
        <w:t xml:space="preserve"> </w:t>
      </w:r>
      <w:r w:rsidR="00320733" w:rsidRPr="008C1F4F">
        <w:t>The PSC</w:t>
      </w:r>
      <w:r w:rsidR="00B90E31" w:rsidRPr="008C1F4F">
        <w:t>R</w:t>
      </w:r>
      <w:r w:rsidR="00320733" w:rsidRPr="008C1F4F">
        <w:t xml:space="preserve"> </w:t>
      </w:r>
      <w:r w:rsidR="00B90E31" w:rsidRPr="008C1F4F">
        <w:t>(</w:t>
      </w:r>
      <w:r w:rsidR="00320733" w:rsidRPr="008C1F4F">
        <w:t>p1) argued that the approach taken by the evaluation to estimate baseline risk of CINV associated with oxaliplatin or carboplatin-based therapy substantially understates the clinical need for primary prophylaxis in the treated population.</w:t>
      </w:r>
    </w:p>
    <w:p w:rsidR="00995056" w:rsidRPr="00995056" w:rsidRDefault="00995056" w:rsidP="00995056">
      <w:pPr>
        <w:pStyle w:val="ListParagraph"/>
        <w:widowControl/>
        <w:rPr>
          <w:szCs w:val="22"/>
        </w:rPr>
      </w:pPr>
    </w:p>
    <w:p w:rsidR="0088182A" w:rsidRPr="0088182A" w:rsidRDefault="00F8669F" w:rsidP="00C66229">
      <w:pPr>
        <w:pStyle w:val="ListParagraph"/>
        <w:widowControl/>
        <w:numPr>
          <w:ilvl w:val="1"/>
          <w:numId w:val="3"/>
        </w:numPr>
        <w:rPr>
          <w:i/>
          <w:szCs w:val="22"/>
        </w:rPr>
      </w:pPr>
      <w:r w:rsidRPr="00F8669F">
        <w:t>The submission also claimed that the probability of experiencing anticipatory emesis in later cycles is greater in patients who experienced emesis in Cycle 1.</w:t>
      </w:r>
    </w:p>
    <w:p w:rsidR="0088182A" w:rsidRDefault="0088182A" w:rsidP="0088182A">
      <w:pPr>
        <w:pStyle w:val="ListParagraph"/>
      </w:pPr>
    </w:p>
    <w:p w:rsidR="00D03B1E" w:rsidRPr="00B8103A" w:rsidRDefault="00F8669F" w:rsidP="00C66229">
      <w:pPr>
        <w:pStyle w:val="ListParagraph"/>
        <w:widowControl/>
        <w:numPr>
          <w:ilvl w:val="1"/>
          <w:numId w:val="3"/>
        </w:numPr>
        <w:rPr>
          <w:szCs w:val="22"/>
        </w:rPr>
      </w:pPr>
      <w:r w:rsidRPr="00F8669F">
        <w:t>Finally, the submission claimed that clinicians infrequently intervene to optimise CINV prophylaxis regimens</w:t>
      </w:r>
      <w:r w:rsidRPr="007E7BDC">
        <w:t>.</w:t>
      </w:r>
      <w:r w:rsidR="0088182A" w:rsidRPr="007E7BDC">
        <w:t xml:space="preserve"> This claim </w:t>
      </w:r>
      <w:r w:rsidR="00C21B02">
        <w:t>was</w:t>
      </w:r>
      <w:r w:rsidR="0088182A" w:rsidRPr="007E7BDC">
        <w:t xml:space="preserve"> in contrast to data provided in Section E</w:t>
      </w:r>
      <w:r w:rsidR="00B90E31">
        <w:t xml:space="preserve"> of the submission</w:t>
      </w:r>
      <w:r w:rsidR="0088182A" w:rsidRPr="007E7BDC">
        <w:t>.</w:t>
      </w:r>
    </w:p>
    <w:p w:rsidR="00B8103A" w:rsidRPr="00F8669F" w:rsidRDefault="00B8103A" w:rsidP="00B8103A">
      <w:pPr>
        <w:pStyle w:val="ListParagraph"/>
        <w:widowControl/>
        <w:rPr>
          <w:szCs w:val="22"/>
        </w:rPr>
      </w:pPr>
    </w:p>
    <w:p w:rsidR="00333C85" w:rsidRPr="00333C85" w:rsidRDefault="00D03B1E" w:rsidP="00C66229">
      <w:pPr>
        <w:pStyle w:val="ListParagraph"/>
        <w:widowControl/>
        <w:numPr>
          <w:ilvl w:val="1"/>
          <w:numId w:val="3"/>
        </w:numPr>
        <w:rPr>
          <w:szCs w:val="22"/>
        </w:rPr>
      </w:pPr>
      <w:r w:rsidRPr="00F8669F">
        <w:t xml:space="preserve">The current PBS listing only allows for the use of aprepitant </w:t>
      </w:r>
      <w:r w:rsidR="00333C85">
        <w:t xml:space="preserve">(in combination with a </w:t>
      </w:r>
      <w:r w:rsidR="00333C85" w:rsidRPr="00333C85">
        <w:t>5-hydroxytryptamine receptor (5HT</w:t>
      </w:r>
      <w:r w:rsidR="00333C85" w:rsidRPr="006315F7">
        <w:rPr>
          <w:vertAlign w:val="subscript"/>
        </w:rPr>
        <w:t>3</w:t>
      </w:r>
      <w:r w:rsidR="00333C85" w:rsidRPr="00333C85">
        <w:t>) antagonist and dexamethasone</w:t>
      </w:r>
      <w:r w:rsidR="00333C85">
        <w:t>)</w:t>
      </w:r>
      <w:r w:rsidR="00333C85" w:rsidRPr="00333C85">
        <w:t xml:space="preserve"> </w:t>
      </w:r>
      <w:r w:rsidR="00F8669F" w:rsidRPr="00F8669F">
        <w:t xml:space="preserve">with carboplatin or oxaliplatin containing regimens </w:t>
      </w:r>
      <w:r w:rsidR="00333C85">
        <w:t>after</w:t>
      </w:r>
      <w:r w:rsidR="00333C85" w:rsidRPr="00F8669F">
        <w:t xml:space="preserve"> </w:t>
      </w:r>
      <w:r w:rsidRPr="00F8669F">
        <w:t xml:space="preserve">the patient </w:t>
      </w:r>
      <w:r w:rsidR="00333C85">
        <w:t xml:space="preserve">experiences </w:t>
      </w:r>
      <w:r w:rsidRPr="00F8669F">
        <w:t>CINV.</w:t>
      </w:r>
    </w:p>
    <w:p w:rsidR="00333C85" w:rsidRDefault="00333C85" w:rsidP="00333C85">
      <w:pPr>
        <w:pStyle w:val="ListParagraph"/>
      </w:pPr>
    </w:p>
    <w:p w:rsidR="00D03B1E" w:rsidRPr="00B8103A" w:rsidRDefault="00D03B1E" w:rsidP="00C66229">
      <w:pPr>
        <w:pStyle w:val="ListParagraph"/>
        <w:widowControl/>
        <w:numPr>
          <w:ilvl w:val="1"/>
          <w:numId w:val="3"/>
        </w:numPr>
        <w:rPr>
          <w:szCs w:val="22"/>
        </w:rPr>
      </w:pPr>
      <w:r w:rsidRPr="00F8669F">
        <w:t xml:space="preserve">The </w:t>
      </w:r>
      <w:r w:rsidR="00F60275">
        <w:t xml:space="preserve">proposed </w:t>
      </w:r>
      <w:r w:rsidRPr="00F8669F">
        <w:t xml:space="preserve">changes to the PBS listing </w:t>
      </w:r>
      <w:r w:rsidR="00C21B02">
        <w:t xml:space="preserve">would </w:t>
      </w:r>
      <w:r w:rsidRPr="00F8669F">
        <w:t>allow the use of aprepitant</w:t>
      </w:r>
      <w:r w:rsidR="00F8669F">
        <w:t xml:space="preserve"> </w:t>
      </w:r>
      <w:r w:rsidR="00333C85">
        <w:t xml:space="preserve">(in combination with a </w:t>
      </w:r>
      <w:r w:rsidR="00333C85" w:rsidRPr="00333C85">
        <w:t>5HT</w:t>
      </w:r>
      <w:r w:rsidR="00333C85" w:rsidRPr="006315F7">
        <w:rPr>
          <w:vertAlign w:val="subscript"/>
        </w:rPr>
        <w:t>3</w:t>
      </w:r>
      <w:r w:rsidR="006315F7">
        <w:t>-</w:t>
      </w:r>
      <w:r w:rsidR="00333C85" w:rsidRPr="00333C85">
        <w:t>antagonist and dexamethasone</w:t>
      </w:r>
      <w:r w:rsidR="00333C85">
        <w:t>)</w:t>
      </w:r>
      <w:r w:rsidR="00333C85" w:rsidRPr="00333C85">
        <w:t xml:space="preserve"> </w:t>
      </w:r>
      <w:r w:rsidRPr="00F8669F">
        <w:t>from the first chemotherapy cycle to preven</w:t>
      </w:r>
      <w:r w:rsidR="00B8103A">
        <w:t>t CINV.</w:t>
      </w:r>
    </w:p>
    <w:p w:rsidR="00B8103A" w:rsidRPr="00B8103A" w:rsidRDefault="00B8103A" w:rsidP="00B8103A">
      <w:pPr>
        <w:pStyle w:val="ListParagraph"/>
        <w:widowControl/>
        <w:rPr>
          <w:szCs w:val="22"/>
        </w:rPr>
      </w:pPr>
    </w:p>
    <w:p w:rsidR="00B8103A" w:rsidRPr="007E7BDC" w:rsidRDefault="00B8103A" w:rsidP="00C66229">
      <w:pPr>
        <w:pStyle w:val="ListParagraph"/>
        <w:widowControl/>
        <w:numPr>
          <w:ilvl w:val="1"/>
          <w:numId w:val="3"/>
        </w:numPr>
        <w:rPr>
          <w:szCs w:val="22"/>
        </w:rPr>
      </w:pPr>
      <w:r w:rsidRPr="007E7BDC">
        <w:t>As a result all patients treated with carboplatin or oxaliplatin would receive aprepitant in every chemotherapy cycle, rather than a proportion of patients (those experiencing CINV) for some cycles (cycle 2 onwards, depending on when they experience the CINV).</w:t>
      </w:r>
    </w:p>
    <w:p w:rsidR="00753DDD" w:rsidRDefault="00753DDD" w:rsidP="00B60939">
      <w:pPr>
        <w:pStyle w:val="Header"/>
        <w:rPr>
          <w:szCs w:val="22"/>
        </w:rPr>
      </w:pPr>
    </w:p>
    <w:p w:rsidR="00B50DB8" w:rsidRDefault="00B50DB8" w:rsidP="009C75B7">
      <w:pPr>
        <w:pStyle w:val="PBACHeading1"/>
        <w:keepNext/>
        <w:rPr>
          <w:b w:val="0"/>
        </w:rPr>
      </w:pPr>
      <w:bookmarkStart w:id="6" w:name="_Toc430011614"/>
      <w:r w:rsidRPr="00407F2D">
        <w:t>Comparator</w:t>
      </w:r>
      <w:bookmarkEnd w:id="6"/>
    </w:p>
    <w:p w:rsidR="00B10FA6" w:rsidRPr="00407F2D" w:rsidRDefault="00B10FA6" w:rsidP="00B10FA6">
      <w:pPr>
        <w:pStyle w:val="Header"/>
        <w:widowControl/>
        <w:tabs>
          <w:tab w:val="clear" w:pos="4513"/>
          <w:tab w:val="clear" w:pos="9026"/>
        </w:tabs>
        <w:ind w:left="720"/>
        <w:rPr>
          <w:b/>
          <w:szCs w:val="22"/>
        </w:rPr>
      </w:pPr>
    </w:p>
    <w:p w:rsidR="002C2775" w:rsidRPr="006F639C" w:rsidRDefault="00B90E31" w:rsidP="00C66229">
      <w:pPr>
        <w:pStyle w:val="ListParagraph"/>
        <w:widowControl/>
        <w:numPr>
          <w:ilvl w:val="1"/>
          <w:numId w:val="3"/>
        </w:numPr>
        <w:rPr>
          <w:szCs w:val="22"/>
        </w:rPr>
      </w:pPr>
      <w:r>
        <w:t>The submission nominated s</w:t>
      </w:r>
      <w:r w:rsidR="00A22A11" w:rsidRPr="007E7BDC">
        <w:t>tandard treatment, comprisin</w:t>
      </w:r>
      <w:r>
        <w:t>g of dexamethasone + ondansetron as the comparator</w:t>
      </w:r>
      <w:r w:rsidR="00A22A11" w:rsidRPr="007E7BDC">
        <w:t xml:space="preserve">. </w:t>
      </w:r>
      <w:r w:rsidR="00781F9F" w:rsidRPr="007E7BDC">
        <w:t>Currently patients treated with oxaliplatin/carboplatin would be eligible to receive aprepitant in cycles 2+ if they experience CINV</w:t>
      </w:r>
      <w:r w:rsidR="00846617" w:rsidRPr="007E7BDC">
        <w:t xml:space="preserve">. </w:t>
      </w:r>
    </w:p>
    <w:p w:rsidR="006F639C" w:rsidRPr="006F639C" w:rsidRDefault="006F639C" w:rsidP="006F639C">
      <w:pPr>
        <w:pStyle w:val="ListParagraph"/>
        <w:widowControl/>
        <w:rPr>
          <w:szCs w:val="22"/>
        </w:rPr>
      </w:pPr>
    </w:p>
    <w:p w:rsidR="006F639C" w:rsidRPr="007E7BDC" w:rsidRDefault="006F639C" w:rsidP="00C66229">
      <w:pPr>
        <w:pStyle w:val="ListParagraph"/>
        <w:widowControl/>
        <w:numPr>
          <w:ilvl w:val="1"/>
          <w:numId w:val="3"/>
        </w:numPr>
        <w:rPr>
          <w:szCs w:val="22"/>
        </w:rPr>
      </w:pPr>
      <w:r>
        <w:rPr>
          <w:szCs w:val="22"/>
        </w:rPr>
        <w:t>The PBAC considered that the appropriate comparator would be secondary prophylaxis, i.e. aprepi</w:t>
      </w:r>
      <w:r w:rsidR="00895DE5">
        <w:rPr>
          <w:szCs w:val="22"/>
        </w:rPr>
        <w:t xml:space="preserve">tant after experiencing CINV, as this is the therapy that would </w:t>
      </w:r>
      <w:r w:rsidR="00181C30">
        <w:rPr>
          <w:szCs w:val="22"/>
        </w:rPr>
        <w:t xml:space="preserve">most likely </w:t>
      </w:r>
      <w:r w:rsidR="00895DE5">
        <w:rPr>
          <w:szCs w:val="22"/>
        </w:rPr>
        <w:t>be replaced.</w:t>
      </w:r>
    </w:p>
    <w:p w:rsidR="008C1F4F" w:rsidRDefault="008C1F4F" w:rsidP="008C1F4F">
      <w:pPr>
        <w:rPr>
          <w:szCs w:val="22"/>
        </w:rPr>
      </w:pPr>
    </w:p>
    <w:p w:rsidR="00B50DB8" w:rsidRPr="008C1F4F" w:rsidRDefault="00BD6CF3" w:rsidP="008C1F4F">
      <w:pPr>
        <w:pStyle w:val="PBACHeading1"/>
        <w:keepNext/>
      </w:pPr>
      <w:r>
        <w:t>C</w:t>
      </w:r>
      <w:r w:rsidR="00B50DB8" w:rsidRPr="00407F2D">
        <w:t>onsideration of the evidence</w:t>
      </w:r>
    </w:p>
    <w:p w:rsidR="008C1F4F" w:rsidRDefault="008C1F4F" w:rsidP="003F4A75">
      <w:pPr>
        <w:pStyle w:val="BodyText"/>
      </w:pPr>
      <w:bookmarkStart w:id="7" w:name="_Toc430011616"/>
    </w:p>
    <w:p w:rsidR="00F458E7" w:rsidRDefault="008C1F4F" w:rsidP="003F4A75">
      <w:pPr>
        <w:pStyle w:val="Heading2"/>
      </w:pPr>
      <w:r w:rsidRPr="00F458E7">
        <w:t xml:space="preserve">Sponsor </w:t>
      </w:r>
      <w:bookmarkStart w:id="8" w:name="_GoBack"/>
      <w:bookmarkEnd w:id="8"/>
      <w:r w:rsidRPr="00F458E7">
        <w:t>hearing</w:t>
      </w:r>
    </w:p>
    <w:p w:rsidR="008C1F4F" w:rsidRPr="00F458E7" w:rsidRDefault="00F458E7" w:rsidP="003F4A75">
      <w:pPr>
        <w:pStyle w:val="BodyText"/>
      </w:pPr>
      <w:r w:rsidRPr="00F458E7">
        <w:tab/>
      </w:r>
    </w:p>
    <w:p w:rsidR="008C1F4F" w:rsidRPr="00F458E7" w:rsidRDefault="008C1F4F" w:rsidP="00C66229">
      <w:pPr>
        <w:numPr>
          <w:ilvl w:val="1"/>
          <w:numId w:val="3"/>
        </w:numPr>
        <w:contextualSpacing/>
        <w:rPr>
          <w:bCs/>
          <w:szCs w:val="22"/>
        </w:rPr>
      </w:pPr>
      <w:r w:rsidRPr="00F458E7">
        <w:rPr>
          <w:bCs/>
          <w:szCs w:val="22"/>
        </w:rPr>
        <w:t>There was no hearing for this item.</w:t>
      </w:r>
    </w:p>
    <w:p w:rsidR="008C1F4F" w:rsidRPr="00F458E7" w:rsidRDefault="008C1F4F" w:rsidP="00295A98">
      <w:pPr>
        <w:rPr>
          <w:bCs/>
          <w:szCs w:val="22"/>
        </w:rPr>
      </w:pPr>
    </w:p>
    <w:p w:rsidR="008C1F4F" w:rsidRDefault="008C1F4F" w:rsidP="003F4A75">
      <w:pPr>
        <w:pStyle w:val="Heading2"/>
      </w:pPr>
      <w:r w:rsidRPr="003F4A75">
        <w:t>Consumer</w:t>
      </w:r>
      <w:r w:rsidRPr="0052773C">
        <w:t xml:space="preserve"> comments</w:t>
      </w:r>
    </w:p>
    <w:p w:rsidR="0052773C" w:rsidRPr="0052773C" w:rsidRDefault="0052773C" w:rsidP="0052773C"/>
    <w:p w:rsidR="008C1F4F" w:rsidRDefault="008C1F4F" w:rsidP="00154D60">
      <w:pPr>
        <w:numPr>
          <w:ilvl w:val="1"/>
          <w:numId w:val="3"/>
        </w:numPr>
        <w:contextualSpacing/>
        <w:rPr>
          <w:bCs/>
          <w:szCs w:val="22"/>
        </w:rPr>
      </w:pPr>
      <w:r w:rsidRPr="0052773C">
        <w:rPr>
          <w:bCs/>
          <w:szCs w:val="22"/>
        </w:rPr>
        <w:t>The PBAC noted that no consumer comme</w:t>
      </w:r>
      <w:r w:rsidR="0052773C" w:rsidRPr="0052773C">
        <w:rPr>
          <w:bCs/>
          <w:szCs w:val="22"/>
        </w:rPr>
        <w:t>nts were received for this item</w:t>
      </w:r>
      <w:r w:rsidRPr="0052773C">
        <w:rPr>
          <w:bCs/>
          <w:szCs w:val="22"/>
        </w:rPr>
        <w:t>.</w:t>
      </w:r>
    </w:p>
    <w:p w:rsidR="00154D60" w:rsidRPr="00154D60" w:rsidRDefault="00154D60" w:rsidP="00154D60">
      <w:pPr>
        <w:contextualSpacing/>
        <w:rPr>
          <w:bCs/>
          <w:szCs w:val="22"/>
        </w:rPr>
      </w:pPr>
    </w:p>
    <w:p w:rsidR="0084019F" w:rsidRDefault="00B60939" w:rsidP="003F4A75">
      <w:pPr>
        <w:pStyle w:val="Heading2"/>
      </w:pPr>
      <w:r w:rsidRPr="003F4A75">
        <w:t>Clinical</w:t>
      </w:r>
      <w:r w:rsidRPr="002C2775">
        <w:t xml:space="preserve"> trials</w:t>
      </w:r>
      <w:bookmarkEnd w:id="7"/>
    </w:p>
    <w:p w:rsidR="0084019F" w:rsidRPr="0084019F" w:rsidRDefault="0084019F" w:rsidP="0084019F"/>
    <w:p w:rsidR="007F1017" w:rsidRPr="00D03B1E" w:rsidRDefault="00862502" w:rsidP="00C66229">
      <w:pPr>
        <w:pStyle w:val="ListParagraph"/>
        <w:widowControl/>
        <w:numPr>
          <w:ilvl w:val="1"/>
          <w:numId w:val="3"/>
        </w:numPr>
        <w:rPr>
          <w:szCs w:val="22"/>
        </w:rPr>
      </w:pPr>
      <w:r w:rsidRPr="00862502">
        <w:t xml:space="preserve">The submission </w:t>
      </w:r>
      <w:r w:rsidR="00A22A11">
        <w:t>wa</w:t>
      </w:r>
      <w:r w:rsidRPr="00862502">
        <w:t xml:space="preserve">s based on </w:t>
      </w:r>
      <w:r w:rsidR="00A22A11">
        <w:t xml:space="preserve">a </w:t>
      </w:r>
      <w:r w:rsidR="002F7967">
        <w:t xml:space="preserve">series of </w:t>
      </w:r>
      <w:r w:rsidR="00A22A11">
        <w:t>meta-analys</w:t>
      </w:r>
      <w:r w:rsidR="00C21B02">
        <w:t>e</w:t>
      </w:r>
      <w:r w:rsidR="00A22A11">
        <w:t xml:space="preserve">s of four </w:t>
      </w:r>
      <w:r w:rsidRPr="00862502">
        <w:t>head-to-head trial</w:t>
      </w:r>
      <w:r w:rsidR="00A22A11">
        <w:t>s</w:t>
      </w:r>
      <w:r w:rsidRPr="00862502">
        <w:t xml:space="preserve"> comparing </w:t>
      </w:r>
      <w:r w:rsidR="00A22A11">
        <w:t>a regimen containing aprepitant or fosaprepitant, to one not containing these drugs</w:t>
      </w:r>
      <w:r w:rsidRPr="00862502">
        <w:t>.</w:t>
      </w:r>
    </w:p>
    <w:p w:rsidR="00D03B1E" w:rsidRPr="00B50DB8" w:rsidRDefault="00D03B1E" w:rsidP="00B8103A">
      <w:pPr>
        <w:pStyle w:val="ListParagraph"/>
        <w:widowControl/>
        <w:rPr>
          <w:szCs w:val="22"/>
        </w:rPr>
      </w:pPr>
    </w:p>
    <w:p w:rsidR="00862502" w:rsidRPr="00B50DB8" w:rsidRDefault="00862502" w:rsidP="00C66229">
      <w:pPr>
        <w:pStyle w:val="ListParagraph"/>
        <w:widowControl/>
        <w:numPr>
          <w:ilvl w:val="1"/>
          <w:numId w:val="3"/>
        </w:numPr>
        <w:rPr>
          <w:szCs w:val="22"/>
        </w:rPr>
      </w:pPr>
      <w:r w:rsidRPr="00B50DB8">
        <w:rPr>
          <w:szCs w:val="22"/>
        </w:rPr>
        <w:t>Details of the trials presented in the submission are provided in the table below.</w:t>
      </w:r>
    </w:p>
    <w:p w:rsidR="00862502" w:rsidRPr="00862502" w:rsidRDefault="00862502" w:rsidP="002563BF">
      <w:pPr>
        <w:widowControl/>
        <w:spacing w:line="720" w:lineRule="auto"/>
        <w:rPr>
          <w:szCs w:val="22"/>
        </w:rPr>
      </w:pPr>
    </w:p>
    <w:p w:rsidR="008F120A" w:rsidRDefault="008F120A" w:rsidP="00E22A0D">
      <w:pPr>
        <w:ind w:firstLine="720"/>
        <w:rPr>
          <w:rStyle w:val="CommentReference"/>
        </w:rPr>
      </w:pPr>
      <w:r w:rsidRPr="000812CA">
        <w:rPr>
          <w:rStyle w:val="CommentReference"/>
        </w:rPr>
        <w:lastRenderedPageBreak/>
        <w:t xml:space="preserve">Table </w:t>
      </w:r>
      <w:r w:rsidR="00573C6A">
        <w:rPr>
          <w:rStyle w:val="CommentReference"/>
        </w:rPr>
        <w:t>1</w:t>
      </w:r>
      <w:r w:rsidRPr="000812CA">
        <w:rPr>
          <w:rStyle w:val="CommentReference"/>
        </w:rPr>
        <w:t>: Trials and associated reports presented in the submission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Clinical trials presented in the submission"/>
      </w:tblPr>
      <w:tblGrid>
        <w:gridCol w:w="1277"/>
        <w:gridCol w:w="5529"/>
        <w:gridCol w:w="1539"/>
      </w:tblGrid>
      <w:tr w:rsidR="008F120A" w:rsidRPr="004E2ADC" w:rsidTr="009234AB">
        <w:trPr>
          <w:tblHeader/>
        </w:trPr>
        <w:tc>
          <w:tcPr>
            <w:tcW w:w="765" w:type="pct"/>
          </w:tcPr>
          <w:p w:rsidR="008F120A" w:rsidRPr="004E2ADC" w:rsidRDefault="008F120A" w:rsidP="0018752F">
            <w:pPr>
              <w:jc w:val="left"/>
              <w:rPr>
                <w:rFonts w:ascii="Arial Narrow" w:hAnsi="Arial Narrow"/>
                <w:b/>
                <w:sz w:val="20"/>
              </w:rPr>
            </w:pPr>
            <w:r w:rsidRPr="004E2ADC">
              <w:rPr>
                <w:rFonts w:ascii="Arial Narrow" w:hAnsi="Arial Narrow"/>
                <w:b/>
                <w:sz w:val="20"/>
              </w:rPr>
              <w:t>Trial ID</w:t>
            </w:r>
            <w:r w:rsidR="00E22A0D">
              <w:rPr>
                <w:rFonts w:ascii="Arial Narrow" w:hAnsi="Arial Narrow"/>
                <w:b/>
                <w:sz w:val="20"/>
              </w:rPr>
              <w:t>/First Author</w:t>
            </w:r>
          </w:p>
        </w:tc>
        <w:tc>
          <w:tcPr>
            <w:tcW w:w="3313" w:type="pct"/>
          </w:tcPr>
          <w:p w:rsidR="008F120A" w:rsidRPr="004E2ADC" w:rsidRDefault="008F120A" w:rsidP="0018752F">
            <w:pPr>
              <w:jc w:val="center"/>
              <w:rPr>
                <w:rFonts w:ascii="Arial Narrow" w:hAnsi="Arial Narrow"/>
                <w:b/>
                <w:sz w:val="20"/>
              </w:rPr>
            </w:pPr>
            <w:r w:rsidRPr="004E2ADC">
              <w:rPr>
                <w:rFonts w:ascii="Arial Narrow" w:hAnsi="Arial Narrow"/>
                <w:b/>
                <w:sz w:val="20"/>
              </w:rPr>
              <w:t>Protocol title/ Publication title</w:t>
            </w:r>
          </w:p>
        </w:tc>
        <w:tc>
          <w:tcPr>
            <w:tcW w:w="922" w:type="pct"/>
          </w:tcPr>
          <w:p w:rsidR="008F120A" w:rsidRPr="004E2ADC" w:rsidRDefault="008F120A" w:rsidP="0018752F">
            <w:pPr>
              <w:jc w:val="center"/>
              <w:rPr>
                <w:rFonts w:ascii="Arial Narrow" w:hAnsi="Arial Narrow"/>
                <w:b/>
                <w:sz w:val="20"/>
              </w:rPr>
            </w:pPr>
            <w:r w:rsidRPr="004E2ADC">
              <w:rPr>
                <w:rFonts w:ascii="Arial Narrow" w:hAnsi="Arial Narrow"/>
                <w:b/>
                <w:sz w:val="20"/>
              </w:rPr>
              <w:t>Publication citation</w:t>
            </w:r>
          </w:p>
        </w:tc>
      </w:tr>
      <w:tr w:rsidR="008F120A" w:rsidRPr="004E2ADC" w:rsidTr="00E22A0D">
        <w:tc>
          <w:tcPr>
            <w:tcW w:w="5000" w:type="pct"/>
            <w:gridSpan w:val="3"/>
          </w:tcPr>
          <w:p w:rsidR="008F120A" w:rsidRPr="004E2ADC" w:rsidRDefault="006F2E93" w:rsidP="006F2E93">
            <w:pPr>
              <w:jc w:val="left"/>
              <w:rPr>
                <w:rFonts w:ascii="Arial Narrow" w:hAnsi="Arial Narrow"/>
                <w:b/>
                <w:sz w:val="20"/>
              </w:rPr>
            </w:pPr>
            <w:r>
              <w:rPr>
                <w:rFonts w:ascii="Arial Narrow" w:hAnsi="Arial Narrow"/>
                <w:b/>
                <w:sz w:val="20"/>
              </w:rPr>
              <w:t>Direct randomised trials</w:t>
            </w:r>
          </w:p>
        </w:tc>
      </w:tr>
      <w:tr w:rsidR="006F2E93" w:rsidRPr="004E2ADC" w:rsidTr="009234AB">
        <w:tc>
          <w:tcPr>
            <w:tcW w:w="765" w:type="pct"/>
          </w:tcPr>
          <w:p w:rsidR="006F2E93" w:rsidRPr="004E2ADC" w:rsidRDefault="006F2E93" w:rsidP="0018752F">
            <w:pPr>
              <w:jc w:val="left"/>
              <w:rPr>
                <w:rFonts w:ascii="Arial Narrow" w:hAnsi="Arial Narrow"/>
                <w:sz w:val="20"/>
              </w:rPr>
            </w:pPr>
            <w:r w:rsidRPr="00074F33">
              <w:rPr>
                <w:rFonts w:ascii="Arial Narrow" w:hAnsi="Arial Narrow"/>
                <w:sz w:val="20"/>
              </w:rPr>
              <w:t>Protocol 031</w:t>
            </w:r>
          </w:p>
        </w:tc>
        <w:tc>
          <w:tcPr>
            <w:tcW w:w="3313" w:type="pct"/>
          </w:tcPr>
          <w:p w:rsidR="006F2E93" w:rsidRPr="004E2ADC" w:rsidRDefault="006F2E93" w:rsidP="0018752F">
            <w:pPr>
              <w:jc w:val="left"/>
              <w:rPr>
                <w:rFonts w:ascii="Arial Narrow" w:hAnsi="Arial Narrow"/>
                <w:b/>
                <w:sz w:val="20"/>
              </w:rPr>
            </w:pPr>
            <w:r w:rsidRPr="00074F33">
              <w:rPr>
                <w:rFonts w:ascii="Arial Narrow" w:hAnsi="Arial Narrow"/>
                <w:sz w:val="20"/>
              </w:rPr>
              <w:t>A Phase III, Randomized, Double-Blind, Active Comparator-Controlled Parallel-Group Study, Conducted Under In-House Blinding Conditions, to Examine the Efficacy and Safety of a Single 150 mg Dose of Intravenous Fosaprepitant Dimeglumine for the Prevention of Chemotherapy-Induced Nausea and Vomiting (CINV) Associated With Moderately Emetogenic Chemotherapy (Protocol 031)</w:t>
            </w:r>
          </w:p>
        </w:tc>
        <w:tc>
          <w:tcPr>
            <w:tcW w:w="922" w:type="pct"/>
          </w:tcPr>
          <w:p w:rsidR="006F2E93" w:rsidRPr="004E2ADC" w:rsidRDefault="006F2E93" w:rsidP="0018752F">
            <w:pPr>
              <w:jc w:val="left"/>
              <w:rPr>
                <w:rFonts w:ascii="Arial Narrow" w:hAnsi="Arial Narrow"/>
                <w:b/>
                <w:sz w:val="20"/>
              </w:rPr>
            </w:pPr>
            <w:r w:rsidRPr="00074F33">
              <w:rPr>
                <w:rFonts w:ascii="Arial Narrow" w:hAnsi="Arial Narrow"/>
                <w:sz w:val="20"/>
              </w:rPr>
              <w:t>23 June 2015</w:t>
            </w:r>
          </w:p>
        </w:tc>
      </w:tr>
      <w:tr w:rsidR="006F2E93" w:rsidRPr="004E2ADC" w:rsidTr="009234AB">
        <w:tc>
          <w:tcPr>
            <w:tcW w:w="765" w:type="pct"/>
          </w:tcPr>
          <w:p w:rsidR="006F2E93" w:rsidRPr="004E2ADC" w:rsidRDefault="006F2E93" w:rsidP="0018752F">
            <w:pPr>
              <w:jc w:val="left"/>
              <w:rPr>
                <w:rFonts w:ascii="Arial Narrow" w:hAnsi="Arial Narrow"/>
                <w:sz w:val="20"/>
              </w:rPr>
            </w:pPr>
            <w:r w:rsidRPr="00074F33">
              <w:rPr>
                <w:rFonts w:ascii="Arial Narrow" w:hAnsi="Arial Narrow"/>
                <w:sz w:val="20"/>
              </w:rPr>
              <w:t>Nishimura 2015</w:t>
            </w:r>
          </w:p>
        </w:tc>
        <w:tc>
          <w:tcPr>
            <w:tcW w:w="3313" w:type="pct"/>
          </w:tcPr>
          <w:p w:rsidR="006F2E93" w:rsidRPr="004E2ADC" w:rsidRDefault="006F2E93" w:rsidP="0018752F">
            <w:pPr>
              <w:jc w:val="left"/>
              <w:rPr>
                <w:rFonts w:ascii="Arial Narrow" w:hAnsi="Arial Narrow"/>
                <w:b/>
                <w:sz w:val="20"/>
              </w:rPr>
            </w:pPr>
            <w:r w:rsidRPr="00074F33">
              <w:rPr>
                <w:rFonts w:ascii="Arial Narrow" w:hAnsi="Arial Narrow"/>
                <w:sz w:val="20"/>
              </w:rPr>
              <w:t>Nishimura J., Satoh T., Fukunaga M., Takemoto H., Nakata K., Ide Y., Fukuzaki T., Kudo T., Miyake Y., Yasui M., Morita S., Sakai D., Uemura M., Hata T., Takemasa I., Mizushima T., Ohno Y., Yamamoto H., Sekimoto M., Nezu R., Doki Y., Mori M. Combination antiemetic therapy with aprepitant/fosaprepitant in patients with colorectal cancer receiving oxaliplatin-based chemotherapy (SENRI trial): A multicentre, randomised, controlled phase 3 trial. 2015.</w:t>
            </w:r>
          </w:p>
        </w:tc>
        <w:tc>
          <w:tcPr>
            <w:tcW w:w="922" w:type="pct"/>
          </w:tcPr>
          <w:p w:rsidR="006F2E93" w:rsidRPr="004E2ADC" w:rsidRDefault="006F2E93" w:rsidP="0018752F">
            <w:pPr>
              <w:jc w:val="left"/>
              <w:rPr>
                <w:rFonts w:ascii="Arial Narrow" w:hAnsi="Arial Narrow"/>
                <w:b/>
                <w:sz w:val="20"/>
              </w:rPr>
            </w:pPr>
            <w:r w:rsidRPr="00074F33">
              <w:rPr>
                <w:rFonts w:ascii="Arial Narrow" w:hAnsi="Arial Narrow"/>
                <w:i/>
                <w:sz w:val="20"/>
              </w:rPr>
              <w:t>European Journal of Cancer</w:t>
            </w:r>
            <w:r w:rsidRPr="00074F33">
              <w:rPr>
                <w:rFonts w:ascii="Arial Narrow" w:hAnsi="Arial Narrow"/>
                <w:sz w:val="20"/>
              </w:rPr>
              <w:t xml:space="preserve"> 2015; 51</w:t>
            </w:r>
            <w:r>
              <w:rPr>
                <w:rFonts w:ascii="Arial Narrow" w:hAnsi="Arial Narrow"/>
                <w:sz w:val="20"/>
              </w:rPr>
              <w:t>(</w:t>
            </w:r>
            <w:r w:rsidRPr="00074F33">
              <w:rPr>
                <w:rFonts w:ascii="Arial Narrow" w:hAnsi="Arial Narrow"/>
                <w:sz w:val="20"/>
              </w:rPr>
              <w:t>10</w:t>
            </w:r>
            <w:r>
              <w:rPr>
                <w:rFonts w:ascii="Arial Narrow" w:hAnsi="Arial Narrow"/>
                <w:sz w:val="20"/>
              </w:rPr>
              <w:t xml:space="preserve">): </w:t>
            </w:r>
            <w:r w:rsidRPr="00074F33">
              <w:rPr>
                <w:rFonts w:ascii="Arial Narrow" w:hAnsi="Arial Narrow"/>
                <w:sz w:val="20"/>
              </w:rPr>
              <w:t>1274-1282</w:t>
            </w:r>
          </w:p>
        </w:tc>
      </w:tr>
      <w:tr w:rsidR="006F2E93" w:rsidRPr="004E2ADC" w:rsidTr="009234AB">
        <w:tc>
          <w:tcPr>
            <w:tcW w:w="765" w:type="pct"/>
          </w:tcPr>
          <w:p w:rsidR="006F2E93" w:rsidRPr="004E2ADC" w:rsidRDefault="006F2E93" w:rsidP="0018752F">
            <w:pPr>
              <w:jc w:val="left"/>
              <w:rPr>
                <w:rFonts w:ascii="Arial Narrow" w:hAnsi="Arial Narrow"/>
                <w:sz w:val="20"/>
              </w:rPr>
            </w:pPr>
            <w:r w:rsidRPr="00074F33">
              <w:rPr>
                <w:rFonts w:ascii="Arial Narrow" w:hAnsi="Arial Narrow"/>
                <w:sz w:val="20"/>
              </w:rPr>
              <w:t>Tanioka 2013</w:t>
            </w:r>
          </w:p>
        </w:tc>
        <w:tc>
          <w:tcPr>
            <w:tcW w:w="3313" w:type="pct"/>
          </w:tcPr>
          <w:p w:rsidR="006F2E93" w:rsidRPr="004E2ADC" w:rsidRDefault="006F2E93" w:rsidP="0018752F">
            <w:pPr>
              <w:jc w:val="left"/>
              <w:rPr>
                <w:rFonts w:ascii="Arial Narrow" w:hAnsi="Arial Narrow"/>
                <w:sz w:val="20"/>
              </w:rPr>
            </w:pPr>
            <w:r w:rsidRPr="00074F33">
              <w:rPr>
                <w:rFonts w:ascii="Arial Narrow" w:hAnsi="Arial Narrow"/>
                <w:sz w:val="20"/>
              </w:rPr>
              <w:t xml:space="preserve">Tanioka M., Kitao A., Matsumoto K., Shibata N., Yamaguchi S., Fujiwara K., Minami H., Katakami N., Morita S., Negoro S. </w:t>
            </w:r>
            <w:r w:rsidRPr="00074F33">
              <w:rPr>
                <w:rFonts w:ascii="Arial Narrow" w:hAnsi="Arial Narrow"/>
                <w:snapToGrid/>
                <w:sz w:val="20"/>
              </w:rPr>
              <w:t>A randomised, placebo-controlled, double-blind study of aprepitant in nondrinking women younger than 70 years receiving moderately emetogenic chemotherapy.</w:t>
            </w:r>
          </w:p>
        </w:tc>
        <w:tc>
          <w:tcPr>
            <w:tcW w:w="922" w:type="pct"/>
          </w:tcPr>
          <w:p w:rsidR="006F2E93" w:rsidRPr="004E2ADC" w:rsidRDefault="006F2E93" w:rsidP="0018752F">
            <w:pPr>
              <w:jc w:val="left"/>
              <w:rPr>
                <w:rFonts w:ascii="Arial Narrow" w:hAnsi="Arial Narrow"/>
                <w:sz w:val="20"/>
              </w:rPr>
            </w:pPr>
            <w:r w:rsidRPr="00074F33">
              <w:rPr>
                <w:rFonts w:ascii="Arial Narrow" w:hAnsi="Arial Narrow"/>
                <w:i/>
                <w:sz w:val="20"/>
              </w:rPr>
              <w:t>British Journal of Cancer</w:t>
            </w:r>
            <w:r w:rsidRPr="00074F33">
              <w:rPr>
                <w:rFonts w:ascii="Arial Narrow" w:hAnsi="Arial Narrow"/>
                <w:sz w:val="20"/>
              </w:rPr>
              <w:t xml:space="preserve"> 2013; 109</w:t>
            </w:r>
            <w:r>
              <w:rPr>
                <w:rFonts w:ascii="Arial Narrow" w:hAnsi="Arial Narrow"/>
                <w:sz w:val="20"/>
              </w:rPr>
              <w:t>(</w:t>
            </w:r>
            <w:r w:rsidRPr="00074F33">
              <w:rPr>
                <w:rFonts w:ascii="Arial Narrow" w:hAnsi="Arial Narrow"/>
                <w:sz w:val="20"/>
              </w:rPr>
              <w:t>4</w:t>
            </w:r>
            <w:r>
              <w:rPr>
                <w:rFonts w:ascii="Arial Narrow" w:hAnsi="Arial Narrow"/>
                <w:sz w:val="20"/>
              </w:rPr>
              <w:t xml:space="preserve">): </w:t>
            </w:r>
            <w:r w:rsidRPr="00074F33">
              <w:rPr>
                <w:rFonts w:ascii="Arial Narrow" w:hAnsi="Arial Narrow"/>
                <w:sz w:val="20"/>
              </w:rPr>
              <w:t>859-865</w:t>
            </w:r>
          </w:p>
        </w:tc>
      </w:tr>
      <w:tr w:rsidR="006F2E93" w:rsidRPr="004E2ADC" w:rsidTr="009234AB">
        <w:tc>
          <w:tcPr>
            <w:tcW w:w="765" w:type="pct"/>
          </w:tcPr>
          <w:p w:rsidR="006F2E93" w:rsidRPr="004E2ADC" w:rsidRDefault="006F2E93" w:rsidP="0018752F">
            <w:pPr>
              <w:jc w:val="left"/>
              <w:rPr>
                <w:rFonts w:ascii="Arial Narrow" w:hAnsi="Arial Narrow"/>
                <w:sz w:val="20"/>
              </w:rPr>
            </w:pPr>
            <w:r w:rsidRPr="00074F33">
              <w:rPr>
                <w:rFonts w:ascii="Arial Narrow" w:hAnsi="Arial Narrow"/>
                <w:sz w:val="20"/>
              </w:rPr>
              <w:t>Rapoport 2010</w:t>
            </w:r>
            <w:r>
              <w:rPr>
                <w:rFonts w:ascii="Arial Narrow" w:hAnsi="Arial Narrow"/>
                <w:sz w:val="20"/>
              </w:rPr>
              <w:t xml:space="preserve"> or </w:t>
            </w:r>
            <w:r w:rsidRPr="00074F33">
              <w:rPr>
                <w:rFonts w:ascii="Arial Narrow" w:hAnsi="Arial Narrow"/>
                <w:sz w:val="20"/>
              </w:rPr>
              <w:t>Protocol 130 (P130)</w:t>
            </w:r>
          </w:p>
        </w:tc>
        <w:tc>
          <w:tcPr>
            <w:tcW w:w="3313" w:type="pct"/>
          </w:tcPr>
          <w:p w:rsidR="006F2E93" w:rsidRPr="00074F33" w:rsidRDefault="006F2E93" w:rsidP="00D03B1E">
            <w:pPr>
              <w:pStyle w:val="TableText1"/>
              <w:keepNext/>
              <w:keepLines/>
              <w:rPr>
                <w:rFonts w:ascii="Arial Narrow" w:hAnsi="Arial Narrow" w:cs="Arial"/>
                <w:snapToGrid w:val="0"/>
                <w:sz w:val="20"/>
                <w:szCs w:val="20"/>
              </w:rPr>
            </w:pPr>
            <w:r w:rsidRPr="00074F33">
              <w:rPr>
                <w:rFonts w:ascii="Arial Narrow" w:hAnsi="Arial Narrow" w:cs="Arial"/>
                <w:snapToGrid w:val="0"/>
                <w:sz w:val="20"/>
                <w:szCs w:val="20"/>
              </w:rPr>
              <w:t>A Randomized, Double-Blind, Parallel-Group Study Conducted Under In-House Blinding Conditions to Determine the Efficacy and Tolerability of Aprepitant for the Prevention of</w:t>
            </w:r>
            <w:r>
              <w:rPr>
                <w:rFonts w:ascii="Arial Narrow" w:hAnsi="Arial Narrow" w:cs="Arial"/>
                <w:snapToGrid w:val="0"/>
                <w:sz w:val="20"/>
                <w:szCs w:val="20"/>
              </w:rPr>
              <w:t xml:space="preserve"> </w:t>
            </w:r>
            <w:r w:rsidRPr="00074F33">
              <w:rPr>
                <w:rFonts w:ascii="Arial Narrow" w:hAnsi="Arial Narrow" w:cs="Arial"/>
                <w:snapToGrid w:val="0"/>
                <w:sz w:val="20"/>
                <w:szCs w:val="20"/>
              </w:rPr>
              <w:t>Chemotherapy-Induced Nausea and Vomiting Associated With Mode</w:t>
            </w:r>
            <w:r>
              <w:rPr>
                <w:rFonts w:ascii="Arial Narrow" w:hAnsi="Arial Narrow" w:cs="Arial"/>
                <w:snapToGrid w:val="0"/>
                <w:sz w:val="20"/>
                <w:szCs w:val="20"/>
              </w:rPr>
              <w:t>rately Emetogenic Chemotherapy.</w:t>
            </w:r>
          </w:p>
          <w:p w:rsidR="006F2E93" w:rsidRPr="00074F33" w:rsidRDefault="006F2E93" w:rsidP="00D03B1E">
            <w:pPr>
              <w:pStyle w:val="TableText1"/>
              <w:keepNext/>
              <w:keepLines/>
              <w:rPr>
                <w:rFonts w:ascii="Arial Narrow" w:hAnsi="Arial Narrow" w:cs="Arial"/>
                <w:snapToGrid w:val="0"/>
                <w:sz w:val="20"/>
                <w:szCs w:val="20"/>
              </w:rPr>
            </w:pPr>
          </w:p>
          <w:p w:rsidR="006F2E93" w:rsidRPr="004E2ADC" w:rsidRDefault="006F2E93" w:rsidP="0018752F">
            <w:pPr>
              <w:jc w:val="left"/>
              <w:rPr>
                <w:rFonts w:ascii="Arial Narrow" w:hAnsi="Arial Narrow"/>
                <w:sz w:val="20"/>
              </w:rPr>
            </w:pPr>
            <w:r w:rsidRPr="00074F33">
              <w:rPr>
                <w:rFonts w:ascii="Arial Narrow" w:hAnsi="Arial Narrow"/>
                <w:sz w:val="20"/>
              </w:rPr>
              <w:t xml:space="preserve">Rapoport B.L., Jordan K., Boice J.A., et al. Aprepitant for the prevention of chemotherapy-induced nausea and vomiting associated with a broad range of moderately emetogenic chemotherapies and tumor types: A randomized, double-blind study. </w:t>
            </w:r>
          </w:p>
        </w:tc>
        <w:tc>
          <w:tcPr>
            <w:tcW w:w="922" w:type="pct"/>
          </w:tcPr>
          <w:p w:rsidR="006F2E93" w:rsidRDefault="006F2E93" w:rsidP="00D03B1E">
            <w:pPr>
              <w:jc w:val="left"/>
              <w:rPr>
                <w:rFonts w:ascii="Arial Narrow" w:hAnsi="Arial Narrow"/>
                <w:snapToGrid/>
                <w:sz w:val="20"/>
              </w:rPr>
            </w:pPr>
            <w:r w:rsidRPr="00074F33">
              <w:rPr>
                <w:rFonts w:ascii="Arial Narrow" w:hAnsi="Arial Narrow"/>
                <w:snapToGrid/>
                <w:sz w:val="20"/>
              </w:rPr>
              <w:t>December 2008.</w:t>
            </w:r>
          </w:p>
          <w:p w:rsidR="006F2E93" w:rsidRDefault="006F2E93" w:rsidP="00D03B1E">
            <w:pPr>
              <w:jc w:val="left"/>
              <w:rPr>
                <w:rFonts w:ascii="Arial Narrow" w:hAnsi="Arial Narrow"/>
                <w:snapToGrid/>
                <w:sz w:val="20"/>
              </w:rPr>
            </w:pPr>
          </w:p>
          <w:p w:rsidR="006F2E93" w:rsidRDefault="006F2E93" w:rsidP="00D03B1E">
            <w:pPr>
              <w:jc w:val="left"/>
              <w:rPr>
                <w:rFonts w:ascii="Arial Narrow" w:hAnsi="Arial Narrow"/>
                <w:snapToGrid/>
                <w:sz w:val="20"/>
              </w:rPr>
            </w:pPr>
          </w:p>
          <w:p w:rsidR="006F2E93" w:rsidRDefault="006F2E93" w:rsidP="00D03B1E">
            <w:pPr>
              <w:jc w:val="left"/>
              <w:rPr>
                <w:rFonts w:ascii="Arial Narrow" w:hAnsi="Arial Narrow"/>
                <w:snapToGrid/>
                <w:sz w:val="20"/>
              </w:rPr>
            </w:pPr>
          </w:p>
          <w:p w:rsidR="009234AB" w:rsidRDefault="009234AB" w:rsidP="00D03B1E">
            <w:pPr>
              <w:jc w:val="left"/>
              <w:rPr>
                <w:rFonts w:ascii="Arial Narrow" w:hAnsi="Arial Narrow"/>
                <w:snapToGrid/>
                <w:sz w:val="20"/>
              </w:rPr>
            </w:pPr>
          </w:p>
          <w:p w:rsidR="006F2E93" w:rsidRPr="004E2ADC" w:rsidRDefault="006F2E93" w:rsidP="0018752F">
            <w:pPr>
              <w:jc w:val="left"/>
              <w:rPr>
                <w:rFonts w:ascii="Arial Narrow" w:hAnsi="Arial Narrow"/>
                <w:sz w:val="20"/>
              </w:rPr>
            </w:pPr>
            <w:r w:rsidRPr="00074F33">
              <w:rPr>
                <w:rFonts w:ascii="Arial Narrow" w:hAnsi="Arial Narrow"/>
                <w:i/>
                <w:sz w:val="20"/>
              </w:rPr>
              <w:t>Supportive Care in Cancer</w:t>
            </w:r>
            <w:r w:rsidRPr="00074F33">
              <w:rPr>
                <w:rFonts w:ascii="Arial Narrow" w:hAnsi="Arial Narrow"/>
                <w:sz w:val="20"/>
              </w:rPr>
              <w:t xml:space="preserve"> 2010; 18</w:t>
            </w:r>
            <w:r>
              <w:rPr>
                <w:rFonts w:ascii="Arial Narrow" w:hAnsi="Arial Narrow"/>
                <w:sz w:val="20"/>
              </w:rPr>
              <w:t>(</w:t>
            </w:r>
            <w:r w:rsidRPr="00074F33">
              <w:rPr>
                <w:rFonts w:ascii="Arial Narrow" w:hAnsi="Arial Narrow"/>
                <w:sz w:val="20"/>
              </w:rPr>
              <w:t>4</w:t>
            </w:r>
            <w:r>
              <w:rPr>
                <w:rFonts w:ascii="Arial Narrow" w:hAnsi="Arial Narrow"/>
                <w:sz w:val="20"/>
              </w:rPr>
              <w:t xml:space="preserve">): </w:t>
            </w:r>
            <w:r w:rsidRPr="00074F33">
              <w:rPr>
                <w:rFonts w:ascii="Arial Narrow" w:hAnsi="Arial Narrow"/>
                <w:sz w:val="20"/>
              </w:rPr>
              <w:t>423-431</w:t>
            </w:r>
          </w:p>
        </w:tc>
      </w:tr>
    </w:tbl>
    <w:p w:rsidR="00862502" w:rsidRDefault="008F120A" w:rsidP="00E22A0D">
      <w:pPr>
        <w:pStyle w:val="TableFooter"/>
        <w:ind w:firstLine="720"/>
      </w:pPr>
      <w:r w:rsidRPr="00D13A3E">
        <w:t xml:space="preserve">Source: </w:t>
      </w:r>
      <w:r w:rsidR="006F2E93" w:rsidRPr="006F2E93">
        <w:t>Table B.2-2, p43 of the submission</w:t>
      </w:r>
    </w:p>
    <w:p w:rsidR="002563BF" w:rsidRPr="00862502" w:rsidRDefault="002563BF" w:rsidP="00E22A0D">
      <w:pPr>
        <w:pStyle w:val="TableFooter"/>
        <w:ind w:firstLine="720"/>
        <w:rPr>
          <w:szCs w:val="22"/>
        </w:rPr>
      </w:pPr>
    </w:p>
    <w:p w:rsidR="008C1271" w:rsidRPr="00344C2D" w:rsidRDefault="008F120A" w:rsidP="00344C2D">
      <w:pPr>
        <w:pStyle w:val="ListParagraph"/>
        <w:widowControl/>
        <w:numPr>
          <w:ilvl w:val="1"/>
          <w:numId w:val="3"/>
        </w:numPr>
        <w:spacing w:line="480" w:lineRule="auto"/>
        <w:rPr>
          <w:rStyle w:val="CommentReference"/>
          <w:rFonts w:ascii="Arial" w:hAnsi="Arial"/>
          <w:b w:val="0"/>
          <w:sz w:val="22"/>
          <w:szCs w:val="22"/>
        </w:rPr>
      </w:pPr>
      <w:r w:rsidRPr="00B50DB8">
        <w:rPr>
          <w:szCs w:val="22"/>
        </w:rPr>
        <w:t xml:space="preserve">The key features of the direct randomised trials are </w:t>
      </w:r>
      <w:r w:rsidR="006F2E93">
        <w:rPr>
          <w:szCs w:val="22"/>
        </w:rPr>
        <w:t>summarised in the table below.</w:t>
      </w:r>
    </w:p>
    <w:p w:rsidR="007F1017" w:rsidRPr="00E2771E" w:rsidRDefault="007F1017" w:rsidP="00344C2D">
      <w:pPr>
        <w:keepNext/>
        <w:ind w:firstLine="720"/>
        <w:rPr>
          <w:rStyle w:val="CommentReference"/>
        </w:rPr>
      </w:pPr>
      <w:r w:rsidRPr="00E2771E">
        <w:rPr>
          <w:rStyle w:val="CommentReference"/>
        </w:rPr>
        <w:t xml:space="preserve">Table </w:t>
      </w:r>
      <w:r w:rsidR="00573C6A">
        <w:rPr>
          <w:rStyle w:val="CommentReference"/>
        </w:rPr>
        <w:t>2</w:t>
      </w:r>
      <w:r w:rsidRPr="00E2771E">
        <w:rPr>
          <w:rStyle w:val="CommentReference"/>
        </w:rPr>
        <w:t>: Key features of the included evidence</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Key features of the included evidence"/>
      </w:tblPr>
      <w:tblGrid>
        <w:gridCol w:w="851"/>
        <w:gridCol w:w="567"/>
        <w:gridCol w:w="2126"/>
        <w:gridCol w:w="1701"/>
        <w:gridCol w:w="709"/>
        <w:gridCol w:w="566"/>
        <w:gridCol w:w="992"/>
        <w:gridCol w:w="851"/>
      </w:tblGrid>
      <w:tr w:rsidR="0041016C" w:rsidRPr="00E2771E" w:rsidTr="0084019F">
        <w:trPr>
          <w:tblHeader/>
        </w:trPr>
        <w:tc>
          <w:tcPr>
            <w:tcW w:w="851" w:type="dxa"/>
            <w:shd w:val="clear" w:color="auto" w:fill="auto"/>
            <w:vAlign w:val="center"/>
          </w:tcPr>
          <w:p w:rsidR="0041016C" w:rsidRPr="00E2771E" w:rsidRDefault="0041016C" w:rsidP="00AE37ED">
            <w:pPr>
              <w:keepNext/>
              <w:jc w:val="left"/>
              <w:rPr>
                <w:rFonts w:ascii="Arial Narrow" w:hAnsi="Arial Narrow"/>
                <w:b/>
                <w:sz w:val="20"/>
                <w:lang w:val="en-US"/>
              </w:rPr>
            </w:pPr>
            <w:r w:rsidRPr="00E2771E">
              <w:rPr>
                <w:rFonts w:ascii="Arial Narrow" w:hAnsi="Arial Narrow"/>
                <w:b/>
                <w:sz w:val="20"/>
                <w:lang w:val="en-US"/>
              </w:rPr>
              <w:t>Trial</w:t>
            </w:r>
          </w:p>
        </w:tc>
        <w:tc>
          <w:tcPr>
            <w:tcW w:w="567" w:type="dxa"/>
            <w:shd w:val="clear" w:color="auto" w:fill="auto"/>
            <w:vAlign w:val="center"/>
          </w:tcPr>
          <w:p w:rsidR="0041016C" w:rsidRPr="00E2771E" w:rsidRDefault="0041016C" w:rsidP="00AE37ED">
            <w:pPr>
              <w:keepNext/>
              <w:jc w:val="center"/>
              <w:rPr>
                <w:rFonts w:ascii="Arial Narrow" w:hAnsi="Arial Narrow"/>
                <w:b/>
                <w:sz w:val="20"/>
                <w:lang w:val="en-US"/>
              </w:rPr>
            </w:pPr>
            <w:r w:rsidRPr="00E2771E">
              <w:rPr>
                <w:rFonts w:ascii="Arial Narrow" w:hAnsi="Arial Narrow"/>
                <w:b/>
                <w:sz w:val="20"/>
                <w:lang w:val="en-US"/>
              </w:rPr>
              <w:t>N</w:t>
            </w:r>
          </w:p>
        </w:tc>
        <w:tc>
          <w:tcPr>
            <w:tcW w:w="2126" w:type="dxa"/>
            <w:vAlign w:val="center"/>
          </w:tcPr>
          <w:p w:rsidR="0041016C" w:rsidRPr="00E2771E" w:rsidRDefault="0041016C" w:rsidP="00AE37ED">
            <w:pPr>
              <w:keepNext/>
              <w:jc w:val="center"/>
              <w:rPr>
                <w:rFonts w:ascii="Arial Narrow" w:hAnsi="Arial Narrow"/>
                <w:b/>
                <w:sz w:val="20"/>
                <w:lang w:val="en-US"/>
              </w:rPr>
            </w:pPr>
            <w:r w:rsidRPr="00B27B1A">
              <w:rPr>
                <w:rFonts w:ascii="Arial Narrow" w:hAnsi="Arial Narrow"/>
                <w:b/>
                <w:sz w:val="20"/>
              </w:rPr>
              <w:t>Treatment</w:t>
            </w:r>
          </w:p>
        </w:tc>
        <w:tc>
          <w:tcPr>
            <w:tcW w:w="1701" w:type="dxa"/>
            <w:vAlign w:val="center"/>
          </w:tcPr>
          <w:p w:rsidR="0041016C" w:rsidRPr="00E2771E" w:rsidRDefault="0041016C" w:rsidP="00AE37ED">
            <w:pPr>
              <w:keepNext/>
              <w:jc w:val="center"/>
              <w:rPr>
                <w:rFonts w:ascii="Arial Narrow" w:hAnsi="Arial Narrow"/>
                <w:b/>
                <w:sz w:val="20"/>
                <w:lang w:val="en-US"/>
              </w:rPr>
            </w:pPr>
            <w:r w:rsidRPr="00B27B1A">
              <w:rPr>
                <w:rFonts w:ascii="Arial Narrow" w:hAnsi="Arial Narrow"/>
                <w:b/>
                <w:sz w:val="20"/>
              </w:rPr>
              <w:t>Control</w:t>
            </w:r>
          </w:p>
        </w:tc>
        <w:tc>
          <w:tcPr>
            <w:tcW w:w="709" w:type="dxa"/>
            <w:shd w:val="clear" w:color="auto" w:fill="auto"/>
            <w:vAlign w:val="center"/>
          </w:tcPr>
          <w:p w:rsidR="0041016C" w:rsidRPr="00E2771E" w:rsidRDefault="0041016C" w:rsidP="00AE37ED">
            <w:pPr>
              <w:keepNext/>
              <w:jc w:val="center"/>
              <w:rPr>
                <w:rFonts w:ascii="Arial Narrow" w:hAnsi="Arial Narrow"/>
                <w:b/>
                <w:sz w:val="20"/>
                <w:lang w:val="en-US"/>
              </w:rPr>
            </w:pPr>
            <w:r w:rsidRPr="00E2771E">
              <w:rPr>
                <w:rFonts w:ascii="Arial Narrow" w:hAnsi="Arial Narrow"/>
                <w:b/>
                <w:sz w:val="20"/>
                <w:lang w:val="en-US"/>
              </w:rPr>
              <w:t>Design/ duration</w:t>
            </w:r>
          </w:p>
        </w:tc>
        <w:tc>
          <w:tcPr>
            <w:tcW w:w="566" w:type="dxa"/>
            <w:shd w:val="clear" w:color="auto" w:fill="auto"/>
            <w:vAlign w:val="center"/>
          </w:tcPr>
          <w:p w:rsidR="0041016C" w:rsidRPr="001A4675" w:rsidRDefault="0041016C" w:rsidP="00AE37ED">
            <w:pPr>
              <w:keepNext/>
              <w:jc w:val="center"/>
              <w:rPr>
                <w:rFonts w:ascii="Arial Narrow" w:hAnsi="Arial Narrow"/>
                <w:b/>
                <w:sz w:val="20"/>
                <w:lang w:val="en-US"/>
              </w:rPr>
            </w:pPr>
            <w:r w:rsidRPr="001A4675">
              <w:rPr>
                <w:rFonts w:ascii="Arial Narrow" w:hAnsi="Arial Narrow"/>
                <w:b/>
                <w:sz w:val="20"/>
                <w:lang w:val="en-US"/>
              </w:rPr>
              <w:t>Risk of bias</w:t>
            </w:r>
          </w:p>
        </w:tc>
        <w:tc>
          <w:tcPr>
            <w:tcW w:w="992" w:type="dxa"/>
            <w:shd w:val="clear" w:color="auto" w:fill="auto"/>
            <w:vAlign w:val="center"/>
          </w:tcPr>
          <w:p w:rsidR="0041016C" w:rsidRPr="00E2771E" w:rsidRDefault="0041016C" w:rsidP="00AE37ED">
            <w:pPr>
              <w:keepNext/>
              <w:jc w:val="center"/>
              <w:rPr>
                <w:rFonts w:ascii="Arial Narrow" w:hAnsi="Arial Narrow"/>
                <w:b/>
                <w:sz w:val="20"/>
                <w:lang w:val="en-US"/>
              </w:rPr>
            </w:pPr>
            <w:r w:rsidRPr="00E2771E">
              <w:rPr>
                <w:rFonts w:ascii="Arial Narrow" w:hAnsi="Arial Narrow"/>
                <w:b/>
                <w:sz w:val="20"/>
                <w:lang w:val="en-US"/>
              </w:rPr>
              <w:t>Patient population</w:t>
            </w:r>
          </w:p>
        </w:tc>
        <w:tc>
          <w:tcPr>
            <w:tcW w:w="851" w:type="dxa"/>
            <w:shd w:val="clear" w:color="auto" w:fill="auto"/>
            <w:vAlign w:val="center"/>
          </w:tcPr>
          <w:p w:rsidR="0041016C" w:rsidRPr="00E2771E" w:rsidRDefault="0041016C" w:rsidP="00AE37ED">
            <w:pPr>
              <w:keepNext/>
              <w:jc w:val="center"/>
              <w:rPr>
                <w:rFonts w:ascii="Arial Narrow" w:hAnsi="Arial Narrow"/>
                <w:b/>
                <w:sz w:val="20"/>
                <w:lang w:val="en-US"/>
              </w:rPr>
            </w:pPr>
            <w:r>
              <w:rPr>
                <w:rFonts w:ascii="Arial Narrow" w:hAnsi="Arial Narrow"/>
                <w:b/>
                <w:sz w:val="20"/>
                <w:lang w:val="en-US"/>
              </w:rPr>
              <w:t>Outcome</w:t>
            </w:r>
          </w:p>
        </w:tc>
      </w:tr>
      <w:tr w:rsidR="0041016C" w:rsidRPr="00E2771E" w:rsidTr="0084019F">
        <w:tc>
          <w:tcPr>
            <w:tcW w:w="851" w:type="dxa"/>
            <w:shd w:val="clear" w:color="auto" w:fill="auto"/>
            <w:vAlign w:val="center"/>
          </w:tcPr>
          <w:p w:rsidR="0041016C" w:rsidRPr="006F2E93" w:rsidRDefault="0041016C" w:rsidP="007F1017">
            <w:pPr>
              <w:jc w:val="left"/>
              <w:rPr>
                <w:rFonts w:ascii="Arial Narrow" w:hAnsi="Arial Narrow"/>
                <w:sz w:val="20"/>
                <w:highlight w:val="yellow"/>
                <w:lang w:val="en-US"/>
              </w:rPr>
            </w:pPr>
            <w:r w:rsidRPr="00B27B1A">
              <w:rPr>
                <w:rFonts w:ascii="Arial Narrow" w:hAnsi="Arial Narrow"/>
                <w:sz w:val="20"/>
              </w:rPr>
              <w:t>Protocol 031</w:t>
            </w:r>
          </w:p>
        </w:tc>
        <w:tc>
          <w:tcPr>
            <w:tcW w:w="567" w:type="dxa"/>
            <w:shd w:val="clear" w:color="auto" w:fill="auto"/>
            <w:vAlign w:val="center"/>
          </w:tcPr>
          <w:p w:rsidR="0041016C" w:rsidRPr="00C84A66" w:rsidRDefault="0041016C" w:rsidP="007F1017">
            <w:pPr>
              <w:jc w:val="center"/>
              <w:rPr>
                <w:rFonts w:ascii="Arial Narrow" w:hAnsi="Arial Narrow"/>
                <w:sz w:val="20"/>
                <w:lang w:val="en-US"/>
              </w:rPr>
            </w:pPr>
            <w:r w:rsidRPr="00C84A66">
              <w:rPr>
                <w:rFonts w:ascii="Arial Narrow" w:hAnsi="Arial Narrow"/>
                <w:sz w:val="20"/>
                <w:lang w:val="en-US"/>
              </w:rPr>
              <w:t>1</w:t>
            </w:r>
            <w:r>
              <w:rPr>
                <w:rFonts w:ascii="Arial Narrow" w:hAnsi="Arial Narrow"/>
                <w:sz w:val="20"/>
                <w:lang w:val="en-US"/>
              </w:rPr>
              <w:t>,</w:t>
            </w:r>
            <w:r w:rsidRPr="00C84A66">
              <w:rPr>
                <w:rFonts w:ascii="Arial Narrow" w:hAnsi="Arial Narrow"/>
                <w:sz w:val="20"/>
                <w:lang w:val="en-US"/>
              </w:rPr>
              <w:t>000</w:t>
            </w:r>
          </w:p>
        </w:tc>
        <w:tc>
          <w:tcPr>
            <w:tcW w:w="2126" w:type="dxa"/>
            <w:vAlign w:val="center"/>
          </w:tcPr>
          <w:p w:rsidR="0041016C" w:rsidRPr="00B27B1A" w:rsidRDefault="0041016C" w:rsidP="00C84A66">
            <w:pPr>
              <w:jc w:val="left"/>
              <w:rPr>
                <w:rFonts w:ascii="Arial Narrow" w:hAnsi="Arial Narrow"/>
                <w:sz w:val="20"/>
              </w:rPr>
            </w:pPr>
            <w:r w:rsidRPr="00B27B1A">
              <w:rPr>
                <w:rFonts w:ascii="Arial Narrow" w:hAnsi="Arial Narrow"/>
                <w:sz w:val="20"/>
                <w:u w:val="single"/>
              </w:rPr>
              <w:t>Day 1:</w:t>
            </w:r>
            <w:r w:rsidRPr="00B27B1A">
              <w:rPr>
                <w:rFonts w:ascii="Arial Narrow" w:hAnsi="Arial Narrow"/>
                <w:sz w:val="20"/>
              </w:rPr>
              <w:t xml:space="preserve"> Fosaprepitant 150mg IV + ondansetron 8mg PO BID + dexamethasone 12mg PO</w:t>
            </w:r>
          </w:p>
          <w:p w:rsidR="0041016C" w:rsidRPr="006F2E93" w:rsidRDefault="0041016C" w:rsidP="00C84A66">
            <w:pPr>
              <w:jc w:val="left"/>
              <w:rPr>
                <w:rFonts w:ascii="Arial Narrow" w:hAnsi="Arial Narrow"/>
                <w:sz w:val="20"/>
                <w:highlight w:val="yellow"/>
                <w:lang w:val="en-US"/>
              </w:rPr>
            </w:pPr>
            <w:r w:rsidRPr="00B27B1A">
              <w:rPr>
                <w:rFonts w:ascii="Arial Narrow" w:hAnsi="Arial Narrow"/>
                <w:sz w:val="20"/>
                <w:u w:val="single"/>
              </w:rPr>
              <w:t>Day 2-3:</w:t>
            </w:r>
            <w:r w:rsidRPr="00B27B1A">
              <w:rPr>
                <w:rFonts w:ascii="Arial Narrow" w:hAnsi="Arial Narrow"/>
                <w:sz w:val="20"/>
              </w:rPr>
              <w:t xml:space="preserve"> Placebo</w:t>
            </w:r>
          </w:p>
        </w:tc>
        <w:tc>
          <w:tcPr>
            <w:tcW w:w="1701" w:type="dxa"/>
            <w:vAlign w:val="center"/>
          </w:tcPr>
          <w:p w:rsidR="0041016C" w:rsidRPr="00B27B1A" w:rsidRDefault="0041016C" w:rsidP="00C84A66">
            <w:pPr>
              <w:jc w:val="left"/>
              <w:rPr>
                <w:rFonts w:ascii="Arial Narrow" w:hAnsi="Arial Narrow"/>
                <w:sz w:val="20"/>
              </w:rPr>
            </w:pPr>
            <w:r w:rsidRPr="00B27B1A">
              <w:rPr>
                <w:rFonts w:ascii="Arial Narrow" w:hAnsi="Arial Narrow"/>
                <w:sz w:val="20"/>
                <w:u w:val="single"/>
              </w:rPr>
              <w:t>Day 1:</w:t>
            </w:r>
            <w:r w:rsidRPr="00B27B1A">
              <w:rPr>
                <w:rFonts w:ascii="Arial Narrow" w:hAnsi="Arial Narrow"/>
                <w:sz w:val="20"/>
              </w:rPr>
              <w:t xml:space="preserve"> Placebo IV + ondansetron 8mg PO twice + dexamethasone 20mg PO</w:t>
            </w:r>
          </w:p>
          <w:p w:rsidR="0041016C" w:rsidRPr="006F2E93" w:rsidRDefault="0041016C" w:rsidP="00C84A66">
            <w:pPr>
              <w:jc w:val="left"/>
              <w:rPr>
                <w:rFonts w:ascii="Arial Narrow" w:hAnsi="Arial Narrow"/>
                <w:sz w:val="20"/>
                <w:highlight w:val="yellow"/>
                <w:lang w:val="en-US"/>
              </w:rPr>
            </w:pPr>
            <w:r w:rsidRPr="00B27B1A">
              <w:rPr>
                <w:rFonts w:ascii="Arial Narrow" w:hAnsi="Arial Narrow"/>
                <w:sz w:val="20"/>
                <w:u w:val="single"/>
              </w:rPr>
              <w:t xml:space="preserve">Day 2-3: </w:t>
            </w:r>
            <w:r w:rsidRPr="00B27B1A">
              <w:rPr>
                <w:rFonts w:ascii="Arial Narrow" w:hAnsi="Arial Narrow"/>
                <w:sz w:val="20"/>
              </w:rPr>
              <w:t>Ondansetron 8mg PO BID</w:t>
            </w:r>
          </w:p>
        </w:tc>
        <w:tc>
          <w:tcPr>
            <w:tcW w:w="709" w:type="dxa"/>
            <w:shd w:val="clear" w:color="auto" w:fill="auto"/>
            <w:vAlign w:val="center"/>
          </w:tcPr>
          <w:p w:rsidR="0041016C" w:rsidRPr="00C84A66" w:rsidRDefault="0041016C" w:rsidP="007F1017">
            <w:pPr>
              <w:jc w:val="center"/>
              <w:rPr>
                <w:rFonts w:ascii="Arial Narrow" w:hAnsi="Arial Narrow"/>
                <w:sz w:val="20"/>
                <w:lang w:val="en-US"/>
              </w:rPr>
            </w:pPr>
            <w:r w:rsidRPr="00C84A66">
              <w:rPr>
                <w:rFonts w:ascii="Arial Narrow" w:hAnsi="Arial Narrow"/>
                <w:sz w:val="20"/>
                <w:lang w:val="en-US"/>
              </w:rPr>
              <w:t>R, DB</w:t>
            </w:r>
          </w:p>
          <w:p w:rsidR="0041016C" w:rsidRPr="00C84A66" w:rsidRDefault="00725BE9" w:rsidP="007F1017">
            <w:pPr>
              <w:jc w:val="center"/>
              <w:rPr>
                <w:rFonts w:ascii="Arial Narrow" w:hAnsi="Arial Narrow"/>
                <w:sz w:val="20"/>
                <w:lang w:val="en-US"/>
              </w:rPr>
            </w:pPr>
            <w:r>
              <w:rPr>
                <w:rFonts w:ascii="Arial Narrow" w:hAnsi="Arial Narrow"/>
                <w:sz w:val="20"/>
                <w:lang w:val="en-US"/>
              </w:rPr>
              <w:t>120 hours</w:t>
            </w:r>
          </w:p>
        </w:tc>
        <w:tc>
          <w:tcPr>
            <w:tcW w:w="566" w:type="dxa"/>
            <w:shd w:val="clear" w:color="auto" w:fill="auto"/>
            <w:vAlign w:val="center"/>
          </w:tcPr>
          <w:p w:rsidR="0041016C" w:rsidRPr="001A4675" w:rsidRDefault="0041016C" w:rsidP="007F1017">
            <w:pPr>
              <w:jc w:val="center"/>
              <w:rPr>
                <w:rFonts w:ascii="Arial Narrow" w:hAnsi="Arial Narrow"/>
                <w:sz w:val="20"/>
                <w:lang w:val="en-US"/>
              </w:rPr>
            </w:pPr>
            <w:r w:rsidRPr="001A4675">
              <w:rPr>
                <w:rFonts w:ascii="Arial Narrow" w:hAnsi="Arial Narrow"/>
                <w:sz w:val="20"/>
                <w:lang w:val="en-US"/>
              </w:rPr>
              <w:t>Low</w:t>
            </w:r>
          </w:p>
        </w:tc>
        <w:tc>
          <w:tcPr>
            <w:tcW w:w="992" w:type="dxa"/>
            <w:shd w:val="clear" w:color="auto" w:fill="auto"/>
            <w:vAlign w:val="center"/>
          </w:tcPr>
          <w:p w:rsidR="0041016C" w:rsidRPr="00EF54EB" w:rsidRDefault="0041016C" w:rsidP="007F1017">
            <w:pPr>
              <w:jc w:val="center"/>
              <w:rPr>
                <w:rFonts w:ascii="Arial Narrow" w:hAnsi="Arial Narrow"/>
                <w:sz w:val="20"/>
                <w:lang w:val="en-US"/>
              </w:rPr>
            </w:pPr>
            <w:r w:rsidRPr="00EF54EB">
              <w:rPr>
                <w:rFonts w:ascii="Arial Narrow" w:hAnsi="Arial Narrow"/>
                <w:sz w:val="20"/>
                <w:lang w:val="en-US"/>
              </w:rPr>
              <w:t>Treated with a range of MECs</w:t>
            </w:r>
          </w:p>
        </w:tc>
        <w:tc>
          <w:tcPr>
            <w:tcW w:w="851" w:type="dxa"/>
            <w:shd w:val="clear" w:color="auto" w:fill="auto"/>
            <w:vAlign w:val="center"/>
          </w:tcPr>
          <w:p w:rsidR="0041016C" w:rsidRPr="00EF54EB" w:rsidRDefault="0041016C" w:rsidP="007F1017">
            <w:pPr>
              <w:jc w:val="center"/>
              <w:rPr>
                <w:rFonts w:ascii="Arial Narrow" w:hAnsi="Arial Narrow"/>
                <w:sz w:val="20"/>
                <w:lang w:val="en-US"/>
              </w:rPr>
            </w:pPr>
            <w:r w:rsidRPr="00EF54EB">
              <w:rPr>
                <w:rFonts w:ascii="Arial Narrow" w:hAnsi="Arial Narrow"/>
                <w:sz w:val="20"/>
                <w:lang w:val="en-US"/>
              </w:rPr>
              <w:t>Complete response</w:t>
            </w:r>
          </w:p>
        </w:tc>
      </w:tr>
      <w:tr w:rsidR="0041016C" w:rsidRPr="00E2771E" w:rsidTr="0084019F">
        <w:tc>
          <w:tcPr>
            <w:tcW w:w="851" w:type="dxa"/>
            <w:shd w:val="clear" w:color="auto" w:fill="auto"/>
            <w:vAlign w:val="center"/>
          </w:tcPr>
          <w:p w:rsidR="0041016C" w:rsidRPr="006F2E93" w:rsidRDefault="0041016C" w:rsidP="007F1017">
            <w:pPr>
              <w:jc w:val="left"/>
              <w:rPr>
                <w:rFonts w:ascii="Arial Narrow" w:hAnsi="Arial Narrow"/>
                <w:sz w:val="20"/>
                <w:highlight w:val="yellow"/>
                <w:lang w:val="en-US"/>
              </w:rPr>
            </w:pPr>
            <w:r w:rsidRPr="00B27B1A">
              <w:rPr>
                <w:rFonts w:ascii="Arial Narrow" w:hAnsi="Arial Narrow"/>
                <w:sz w:val="20"/>
              </w:rPr>
              <w:t>Nishimura 2015</w:t>
            </w:r>
          </w:p>
        </w:tc>
        <w:tc>
          <w:tcPr>
            <w:tcW w:w="567" w:type="dxa"/>
            <w:shd w:val="clear" w:color="auto" w:fill="auto"/>
            <w:vAlign w:val="center"/>
          </w:tcPr>
          <w:p w:rsidR="0041016C" w:rsidRPr="00C84A66" w:rsidRDefault="0041016C" w:rsidP="007F1017">
            <w:pPr>
              <w:jc w:val="center"/>
              <w:rPr>
                <w:rFonts w:ascii="Arial Narrow" w:hAnsi="Arial Narrow"/>
                <w:sz w:val="20"/>
                <w:lang w:val="en-US"/>
              </w:rPr>
            </w:pPr>
            <w:r w:rsidRPr="00C84A66">
              <w:rPr>
                <w:rFonts w:ascii="Arial Narrow" w:hAnsi="Arial Narrow"/>
                <w:sz w:val="20"/>
                <w:lang w:val="en-US"/>
              </w:rPr>
              <w:t>413</w:t>
            </w:r>
          </w:p>
        </w:tc>
        <w:tc>
          <w:tcPr>
            <w:tcW w:w="2126" w:type="dxa"/>
            <w:vAlign w:val="center"/>
          </w:tcPr>
          <w:p w:rsidR="0041016C" w:rsidRPr="00B27B1A" w:rsidRDefault="0041016C" w:rsidP="00C84A66">
            <w:pPr>
              <w:jc w:val="left"/>
              <w:rPr>
                <w:rFonts w:ascii="Arial Narrow" w:hAnsi="Arial Narrow"/>
                <w:sz w:val="20"/>
              </w:rPr>
            </w:pPr>
            <w:r w:rsidRPr="00B27B1A">
              <w:rPr>
                <w:rFonts w:ascii="Arial Narrow" w:hAnsi="Arial Narrow"/>
                <w:sz w:val="20"/>
                <w:u w:val="single"/>
              </w:rPr>
              <w:t>Day 1:</w:t>
            </w:r>
            <w:r w:rsidRPr="00B27B1A">
              <w:rPr>
                <w:rFonts w:ascii="Arial Narrow" w:hAnsi="Arial Narrow"/>
                <w:sz w:val="20"/>
              </w:rPr>
              <w:t xml:space="preserve"> Aprepitant 125mg PO / aprepitant </w:t>
            </w:r>
            <w:r w:rsidR="005E6B4F">
              <w:rPr>
                <w:rFonts w:ascii="Arial Narrow" w:hAnsi="Arial Narrow"/>
                <w:i/>
                <w:sz w:val="20"/>
              </w:rPr>
              <w:t>[</w:t>
            </w:r>
            <w:r w:rsidRPr="00B27B1A">
              <w:rPr>
                <w:rFonts w:ascii="Arial Narrow" w:hAnsi="Arial Narrow"/>
                <w:i/>
                <w:sz w:val="20"/>
              </w:rPr>
              <w:t>should be fosaprepitant</w:t>
            </w:r>
            <w:r w:rsidR="005E6B4F">
              <w:rPr>
                <w:rFonts w:ascii="Arial Narrow" w:hAnsi="Arial Narrow"/>
                <w:i/>
                <w:sz w:val="20"/>
              </w:rPr>
              <w:t>]</w:t>
            </w:r>
            <w:r w:rsidRPr="00B27B1A">
              <w:rPr>
                <w:rFonts w:ascii="Arial Narrow" w:hAnsi="Arial Narrow"/>
                <w:i/>
                <w:sz w:val="20"/>
              </w:rPr>
              <w:t xml:space="preserve"> </w:t>
            </w:r>
            <w:r w:rsidRPr="00B27B1A">
              <w:rPr>
                <w:rFonts w:ascii="Arial Narrow" w:hAnsi="Arial Narrow"/>
                <w:sz w:val="20"/>
              </w:rPr>
              <w:t>150mg IV + 5-HT3 receptor antagonist + dexamethasone 6.6mg IV</w:t>
            </w:r>
          </w:p>
          <w:p w:rsidR="0041016C" w:rsidRPr="006F2E93" w:rsidRDefault="0041016C" w:rsidP="00C84A66">
            <w:pPr>
              <w:jc w:val="left"/>
              <w:rPr>
                <w:rFonts w:ascii="Arial Narrow" w:hAnsi="Arial Narrow"/>
                <w:sz w:val="20"/>
                <w:highlight w:val="yellow"/>
                <w:lang w:val="en-US"/>
              </w:rPr>
            </w:pPr>
            <w:r w:rsidRPr="00B27B1A">
              <w:rPr>
                <w:rFonts w:ascii="Arial Narrow" w:hAnsi="Arial Narrow"/>
                <w:sz w:val="20"/>
                <w:u w:val="single"/>
              </w:rPr>
              <w:t>Day 2-3:</w:t>
            </w:r>
            <w:r w:rsidRPr="00B27B1A">
              <w:rPr>
                <w:rFonts w:ascii="Arial Narrow" w:hAnsi="Arial Narrow"/>
                <w:sz w:val="20"/>
              </w:rPr>
              <w:t xml:space="preserve"> Aprepitant 80mg PO</w:t>
            </w:r>
            <w:r w:rsidRPr="00B27B1A">
              <w:rPr>
                <w:rFonts w:ascii="Arial Narrow" w:hAnsi="Arial Narrow"/>
                <w:sz w:val="20"/>
                <w:vertAlign w:val="superscript"/>
              </w:rPr>
              <w:t xml:space="preserve">a + </w:t>
            </w:r>
            <w:r w:rsidRPr="00B27B1A">
              <w:rPr>
                <w:rFonts w:ascii="Arial Narrow" w:hAnsi="Arial Narrow"/>
                <w:sz w:val="20"/>
              </w:rPr>
              <w:t>dexamethasone 2mg PO BID</w:t>
            </w:r>
            <w:r w:rsidRPr="00B27B1A">
              <w:rPr>
                <w:rFonts w:ascii="Arial Narrow" w:hAnsi="Arial Narrow"/>
                <w:sz w:val="20"/>
                <w:vertAlign w:val="superscript"/>
              </w:rPr>
              <w:t>b</w:t>
            </w:r>
          </w:p>
        </w:tc>
        <w:tc>
          <w:tcPr>
            <w:tcW w:w="1701" w:type="dxa"/>
            <w:vAlign w:val="center"/>
          </w:tcPr>
          <w:p w:rsidR="0041016C" w:rsidRPr="00B27B1A" w:rsidRDefault="0041016C" w:rsidP="00C84A66">
            <w:pPr>
              <w:jc w:val="left"/>
              <w:rPr>
                <w:rFonts w:ascii="Arial Narrow" w:hAnsi="Arial Narrow"/>
                <w:sz w:val="20"/>
              </w:rPr>
            </w:pPr>
            <w:r w:rsidRPr="00B27B1A">
              <w:rPr>
                <w:rFonts w:ascii="Arial Narrow" w:hAnsi="Arial Narrow"/>
                <w:sz w:val="20"/>
                <w:u w:val="single"/>
              </w:rPr>
              <w:t>Day 1:</w:t>
            </w:r>
            <w:r w:rsidRPr="00B27B1A">
              <w:rPr>
                <w:rFonts w:ascii="Arial Narrow" w:hAnsi="Arial Narrow"/>
                <w:sz w:val="20"/>
              </w:rPr>
              <w:t xml:space="preserve"> 5-HT3 receptor antagonist IV + dexamethasone 9.9mg IV</w:t>
            </w:r>
          </w:p>
          <w:p w:rsidR="0041016C" w:rsidRPr="006F2E93" w:rsidRDefault="0041016C" w:rsidP="00C84A66">
            <w:pPr>
              <w:jc w:val="left"/>
              <w:rPr>
                <w:rFonts w:ascii="Arial Narrow" w:hAnsi="Arial Narrow"/>
                <w:sz w:val="20"/>
                <w:highlight w:val="yellow"/>
                <w:lang w:val="en-US"/>
              </w:rPr>
            </w:pPr>
            <w:r w:rsidRPr="00B27B1A">
              <w:rPr>
                <w:rFonts w:ascii="Arial Narrow" w:hAnsi="Arial Narrow"/>
                <w:sz w:val="20"/>
                <w:u w:val="single"/>
              </w:rPr>
              <w:t>Day 2-3:</w:t>
            </w:r>
            <w:r w:rsidRPr="00B27B1A">
              <w:rPr>
                <w:rFonts w:ascii="Arial Narrow" w:hAnsi="Arial Narrow"/>
                <w:sz w:val="20"/>
              </w:rPr>
              <w:t xml:space="preserve"> Dexamethasone 4mg PO BID</w:t>
            </w:r>
          </w:p>
        </w:tc>
        <w:tc>
          <w:tcPr>
            <w:tcW w:w="709" w:type="dxa"/>
            <w:shd w:val="clear" w:color="auto" w:fill="auto"/>
            <w:vAlign w:val="center"/>
          </w:tcPr>
          <w:p w:rsidR="0041016C" w:rsidRPr="00C84A66" w:rsidRDefault="0041016C" w:rsidP="007F1017">
            <w:pPr>
              <w:jc w:val="center"/>
              <w:rPr>
                <w:rFonts w:ascii="Arial Narrow" w:hAnsi="Arial Narrow"/>
                <w:sz w:val="20"/>
                <w:lang w:val="en-US"/>
              </w:rPr>
            </w:pPr>
            <w:r w:rsidRPr="00C84A66">
              <w:rPr>
                <w:rFonts w:ascii="Arial Narrow" w:hAnsi="Arial Narrow"/>
                <w:sz w:val="20"/>
                <w:lang w:val="en-US"/>
              </w:rPr>
              <w:t>R, OL</w:t>
            </w:r>
          </w:p>
          <w:p w:rsidR="0041016C" w:rsidRPr="00C84A66" w:rsidRDefault="00725BE9" w:rsidP="007F1017">
            <w:pPr>
              <w:jc w:val="center"/>
              <w:rPr>
                <w:rFonts w:ascii="Arial Narrow" w:hAnsi="Arial Narrow"/>
                <w:sz w:val="20"/>
                <w:lang w:val="en-US"/>
              </w:rPr>
            </w:pPr>
            <w:r>
              <w:rPr>
                <w:rFonts w:ascii="Arial Narrow" w:hAnsi="Arial Narrow"/>
                <w:sz w:val="20"/>
                <w:lang w:val="en-US"/>
              </w:rPr>
              <w:t>120 hours</w:t>
            </w:r>
          </w:p>
        </w:tc>
        <w:tc>
          <w:tcPr>
            <w:tcW w:w="566" w:type="dxa"/>
            <w:shd w:val="clear" w:color="auto" w:fill="auto"/>
            <w:vAlign w:val="center"/>
          </w:tcPr>
          <w:p w:rsidR="0041016C" w:rsidRPr="001A4675" w:rsidRDefault="0041016C" w:rsidP="007F1017">
            <w:pPr>
              <w:jc w:val="center"/>
              <w:rPr>
                <w:rFonts w:ascii="Arial Narrow" w:hAnsi="Arial Narrow"/>
                <w:sz w:val="20"/>
                <w:lang w:val="en-US"/>
              </w:rPr>
            </w:pPr>
            <w:r w:rsidRPr="001A4675">
              <w:rPr>
                <w:rFonts w:ascii="Arial Narrow" w:hAnsi="Arial Narrow"/>
                <w:sz w:val="20"/>
                <w:lang w:val="en-US"/>
              </w:rPr>
              <w:t>High</w:t>
            </w:r>
          </w:p>
        </w:tc>
        <w:tc>
          <w:tcPr>
            <w:tcW w:w="992" w:type="dxa"/>
            <w:shd w:val="clear" w:color="auto" w:fill="auto"/>
            <w:vAlign w:val="center"/>
          </w:tcPr>
          <w:p w:rsidR="0041016C" w:rsidRPr="00EF54EB" w:rsidRDefault="0041016C" w:rsidP="00C84A66">
            <w:pPr>
              <w:jc w:val="center"/>
              <w:rPr>
                <w:rFonts w:ascii="Arial Narrow" w:hAnsi="Arial Narrow"/>
                <w:sz w:val="20"/>
                <w:lang w:val="en-US"/>
              </w:rPr>
            </w:pPr>
            <w:r w:rsidRPr="00EF54EB">
              <w:rPr>
                <w:rFonts w:ascii="Arial Narrow" w:hAnsi="Arial Narrow"/>
                <w:sz w:val="20"/>
                <w:lang w:val="en-US"/>
              </w:rPr>
              <w:t>Treated with FOLFOX, XELOX or SOX</w:t>
            </w:r>
          </w:p>
        </w:tc>
        <w:tc>
          <w:tcPr>
            <w:tcW w:w="851" w:type="dxa"/>
            <w:shd w:val="clear" w:color="auto" w:fill="auto"/>
            <w:vAlign w:val="center"/>
          </w:tcPr>
          <w:p w:rsidR="0041016C" w:rsidRPr="00EF54EB" w:rsidRDefault="0041016C" w:rsidP="007F1017">
            <w:pPr>
              <w:jc w:val="center"/>
              <w:rPr>
                <w:rFonts w:ascii="Arial Narrow" w:hAnsi="Arial Narrow"/>
                <w:sz w:val="20"/>
                <w:lang w:val="en-US"/>
              </w:rPr>
            </w:pPr>
            <w:r w:rsidRPr="00EF54EB">
              <w:rPr>
                <w:rFonts w:ascii="Arial Narrow" w:hAnsi="Arial Narrow"/>
                <w:sz w:val="20"/>
                <w:lang w:val="en-US"/>
              </w:rPr>
              <w:t>Complete response</w:t>
            </w:r>
          </w:p>
        </w:tc>
      </w:tr>
      <w:tr w:rsidR="0041016C" w:rsidRPr="00E2771E" w:rsidTr="0084019F">
        <w:tc>
          <w:tcPr>
            <w:tcW w:w="851" w:type="dxa"/>
            <w:shd w:val="clear" w:color="auto" w:fill="auto"/>
            <w:vAlign w:val="center"/>
          </w:tcPr>
          <w:p w:rsidR="0041016C" w:rsidRPr="006F2E93" w:rsidRDefault="0041016C" w:rsidP="007F1017">
            <w:pPr>
              <w:jc w:val="left"/>
              <w:rPr>
                <w:rFonts w:ascii="Arial Narrow" w:hAnsi="Arial Narrow"/>
                <w:sz w:val="20"/>
                <w:highlight w:val="yellow"/>
                <w:lang w:val="en-US"/>
              </w:rPr>
            </w:pPr>
            <w:r w:rsidRPr="00B27B1A">
              <w:rPr>
                <w:rFonts w:ascii="Arial Narrow" w:hAnsi="Arial Narrow"/>
                <w:sz w:val="20"/>
              </w:rPr>
              <w:t xml:space="preserve">Tanioka </w:t>
            </w:r>
            <w:r w:rsidRPr="00B27B1A">
              <w:rPr>
                <w:rFonts w:ascii="Arial Narrow" w:hAnsi="Arial Narrow"/>
                <w:sz w:val="20"/>
              </w:rPr>
              <w:lastRenderedPageBreak/>
              <w:t>2013</w:t>
            </w:r>
          </w:p>
        </w:tc>
        <w:tc>
          <w:tcPr>
            <w:tcW w:w="567" w:type="dxa"/>
            <w:shd w:val="clear" w:color="auto" w:fill="auto"/>
            <w:vAlign w:val="center"/>
          </w:tcPr>
          <w:p w:rsidR="0041016C" w:rsidRPr="00C84A66" w:rsidRDefault="0041016C" w:rsidP="007F1017">
            <w:pPr>
              <w:jc w:val="center"/>
              <w:rPr>
                <w:rFonts w:ascii="Arial Narrow" w:hAnsi="Arial Narrow"/>
                <w:sz w:val="20"/>
                <w:lang w:val="en-US"/>
              </w:rPr>
            </w:pPr>
            <w:r w:rsidRPr="00C84A66">
              <w:rPr>
                <w:rFonts w:ascii="Arial Narrow" w:hAnsi="Arial Narrow"/>
                <w:sz w:val="20"/>
                <w:lang w:val="en-US"/>
              </w:rPr>
              <w:lastRenderedPageBreak/>
              <w:t>91</w:t>
            </w:r>
          </w:p>
        </w:tc>
        <w:tc>
          <w:tcPr>
            <w:tcW w:w="2126" w:type="dxa"/>
            <w:vAlign w:val="center"/>
          </w:tcPr>
          <w:p w:rsidR="0041016C" w:rsidRPr="00B27B1A" w:rsidRDefault="0041016C" w:rsidP="00C84A66">
            <w:pPr>
              <w:jc w:val="left"/>
              <w:rPr>
                <w:rFonts w:ascii="Arial Narrow" w:hAnsi="Arial Narrow"/>
                <w:sz w:val="20"/>
              </w:rPr>
            </w:pPr>
            <w:r w:rsidRPr="00B27B1A">
              <w:rPr>
                <w:rFonts w:ascii="Arial Narrow" w:hAnsi="Arial Narrow"/>
                <w:sz w:val="20"/>
                <w:u w:val="single"/>
              </w:rPr>
              <w:t>Day 1:</w:t>
            </w:r>
            <w:r w:rsidRPr="00B27B1A">
              <w:rPr>
                <w:rFonts w:ascii="Arial Narrow" w:hAnsi="Arial Narrow"/>
                <w:sz w:val="20"/>
              </w:rPr>
              <w:t xml:space="preserve"> Aprepitant 125mg </w:t>
            </w:r>
            <w:r w:rsidRPr="00B27B1A">
              <w:rPr>
                <w:rFonts w:ascii="Arial Narrow" w:hAnsi="Arial Narrow"/>
                <w:sz w:val="20"/>
              </w:rPr>
              <w:lastRenderedPageBreak/>
              <w:t>PO + granisetron 1mg IV + dexamethasone 12mg IV</w:t>
            </w:r>
          </w:p>
          <w:p w:rsidR="0041016C" w:rsidRPr="006F2E93" w:rsidRDefault="0041016C" w:rsidP="00C84A66">
            <w:pPr>
              <w:jc w:val="left"/>
              <w:rPr>
                <w:rFonts w:ascii="Arial Narrow" w:hAnsi="Arial Narrow"/>
                <w:sz w:val="20"/>
                <w:highlight w:val="yellow"/>
                <w:lang w:val="en-US"/>
              </w:rPr>
            </w:pPr>
            <w:r w:rsidRPr="00B27B1A">
              <w:rPr>
                <w:rFonts w:ascii="Arial Narrow" w:hAnsi="Arial Narrow"/>
                <w:sz w:val="20"/>
                <w:u w:val="single"/>
              </w:rPr>
              <w:t>Day 2-3:</w:t>
            </w:r>
            <w:r w:rsidRPr="00B27B1A">
              <w:rPr>
                <w:rFonts w:ascii="Arial Narrow" w:hAnsi="Arial Narrow"/>
                <w:sz w:val="20"/>
              </w:rPr>
              <w:t xml:space="preserve"> Aprepitant 80mg PO + dexamethasone 4mg IV</w:t>
            </w:r>
          </w:p>
        </w:tc>
        <w:tc>
          <w:tcPr>
            <w:tcW w:w="1701" w:type="dxa"/>
            <w:vAlign w:val="center"/>
          </w:tcPr>
          <w:p w:rsidR="0041016C" w:rsidRPr="00B27B1A" w:rsidRDefault="0041016C" w:rsidP="00C84A66">
            <w:pPr>
              <w:jc w:val="left"/>
              <w:rPr>
                <w:rFonts w:ascii="Arial Narrow" w:hAnsi="Arial Narrow"/>
                <w:sz w:val="20"/>
              </w:rPr>
            </w:pPr>
            <w:r w:rsidRPr="00B27B1A">
              <w:rPr>
                <w:rFonts w:ascii="Arial Narrow" w:hAnsi="Arial Narrow"/>
                <w:sz w:val="20"/>
                <w:u w:val="single"/>
              </w:rPr>
              <w:lastRenderedPageBreak/>
              <w:t>Day 1:</w:t>
            </w:r>
            <w:r w:rsidRPr="00B27B1A">
              <w:rPr>
                <w:rFonts w:ascii="Arial Narrow" w:hAnsi="Arial Narrow"/>
                <w:sz w:val="20"/>
              </w:rPr>
              <w:t xml:space="preserve"> Granisetron </w:t>
            </w:r>
            <w:r w:rsidRPr="00B27B1A">
              <w:rPr>
                <w:rFonts w:ascii="Arial Narrow" w:hAnsi="Arial Narrow"/>
                <w:sz w:val="20"/>
              </w:rPr>
              <w:lastRenderedPageBreak/>
              <w:t>1mg IV + dexamethasone 20mg IV</w:t>
            </w:r>
          </w:p>
          <w:p w:rsidR="0041016C" w:rsidRPr="006F2E93" w:rsidRDefault="0041016C" w:rsidP="00C84A66">
            <w:pPr>
              <w:jc w:val="left"/>
              <w:rPr>
                <w:rFonts w:ascii="Arial Narrow" w:hAnsi="Arial Narrow"/>
                <w:sz w:val="20"/>
                <w:highlight w:val="yellow"/>
                <w:lang w:val="en-US"/>
              </w:rPr>
            </w:pPr>
            <w:r w:rsidRPr="00B27B1A">
              <w:rPr>
                <w:rFonts w:ascii="Arial Narrow" w:hAnsi="Arial Narrow"/>
                <w:sz w:val="20"/>
                <w:u w:val="single"/>
              </w:rPr>
              <w:t>Day 2-3:</w:t>
            </w:r>
            <w:r w:rsidRPr="00B27B1A">
              <w:rPr>
                <w:rFonts w:ascii="Arial Narrow" w:hAnsi="Arial Narrow"/>
                <w:sz w:val="20"/>
              </w:rPr>
              <w:t xml:space="preserve"> Dexamethasone 8mg IV</w:t>
            </w:r>
          </w:p>
        </w:tc>
        <w:tc>
          <w:tcPr>
            <w:tcW w:w="709" w:type="dxa"/>
            <w:shd w:val="clear" w:color="auto" w:fill="auto"/>
            <w:vAlign w:val="center"/>
          </w:tcPr>
          <w:p w:rsidR="0041016C" w:rsidRPr="00C84A66" w:rsidRDefault="0041016C" w:rsidP="00C84A66">
            <w:pPr>
              <w:jc w:val="center"/>
              <w:rPr>
                <w:rFonts w:ascii="Arial Narrow" w:hAnsi="Arial Narrow"/>
                <w:sz w:val="20"/>
                <w:lang w:val="en-US"/>
              </w:rPr>
            </w:pPr>
            <w:r w:rsidRPr="00C84A66">
              <w:rPr>
                <w:rFonts w:ascii="Arial Narrow" w:hAnsi="Arial Narrow"/>
                <w:sz w:val="20"/>
                <w:lang w:val="en-US"/>
              </w:rPr>
              <w:lastRenderedPageBreak/>
              <w:t>R, DB</w:t>
            </w:r>
          </w:p>
          <w:p w:rsidR="0041016C" w:rsidRPr="00C84A66" w:rsidRDefault="00725BE9" w:rsidP="00C84A66">
            <w:pPr>
              <w:jc w:val="center"/>
              <w:rPr>
                <w:rFonts w:ascii="Arial Narrow" w:hAnsi="Arial Narrow"/>
                <w:sz w:val="20"/>
                <w:lang w:val="en-US"/>
              </w:rPr>
            </w:pPr>
            <w:r>
              <w:rPr>
                <w:rFonts w:ascii="Arial Narrow" w:hAnsi="Arial Narrow"/>
                <w:sz w:val="20"/>
                <w:lang w:val="en-US"/>
              </w:rPr>
              <w:lastRenderedPageBreak/>
              <w:t>120 hours</w:t>
            </w:r>
          </w:p>
        </w:tc>
        <w:tc>
          <w:tcPr>
            <w:tcW w:w="566" w:type="dxa"/>
            <w:shd w:val="clear" w:color="auto" w:fill="auto"/>
            <w:vAlign w:val="center"/>
          </w:tcPr>
          <w:p w:rsidR="0041016C" w:rsidRPr="001A4675" w:rsidRDefault="0041016C" w:rsidP="007F1017">
            <w:pPr>
              <w:jc w:val="center"/>
              <w:rPr>
                <w:rFonts w:ascii="Arial Narrow" w:hAnsi="Arial Narrow"/>
                <w:sz w:val="20"/>
                <w:lang w:val="en-US"/>
              </w:rPr>
            </w:pPr>
            <w:r w:rsidRPr="001A4675">
              <w:rPr>
                <w:rFonts w:ascii="Arial Narrow" w:hAnsi="Arial Narrow"/>
                <w:sz w:val="20"/>
                <w:lang w:val="en-US"/>
              </w:rPr>
              <w:lastRenderedPageBreak/>
              <w:t>Mod-</w:t>
            </w:r>
            <w:r w:rsidRPr="001A4675">
              <w:rPr>
                <w:rFonts w:ascii="Arial Narrow" w:hAnsi="Arial Narrow"/>
                <w:sz w:val="20"/>
                <w:lang w:val="en-US"/>
              </w:rPr>
              <w:lastRenderedPageBreak/>
              <w:t>erate</w:t>
            </w:r>
          </w:p>
        </w:tc>
        <w:tc>
          <w:tcPr>
            <w:tcW w:w="992" w:type="dxa"/>
            <w:shd w:val="clear" w:color="auto" w:fill="auto"/>
            <w:vAlign w:val="center"/>
          </w:tcPr>
          <w:p w:rsidR="0041016C" w:rsidRPr="00EF54EB" w:rsidRDefault="0041016C" w:rsidP="003876C4">
            <w:pPr>
              <w:jc w:val="center"/>
              <w:rPr>
                <w:rFonts w:ascii="Arial Narrow" w:hAnsi="Arial Narrow"/>
                <w:sz w:val="20"/>
                <w:lang w:val="en-US"/>
              </w:rPr>
            </w:pPr>
            <w:r w:rsidRPr="00EF54EB">
              <w:rPr>
                <w:rFonts w:ascii="Arial Narrow" w:hAnsi="Arial Narrow"/>
                <w:sz w:val="20"/>
                <w:lang w:val="en-US"/>
              </w:rPr>
              <w:lastRenderedPageBreak/>
              <w:t xml:space="preserve">Treated with </w:t>
            </w:r>
            <w:r w:rsidRPr="00EF54EB">
              <w:rPr>
                <w:rFonts w:ascii="Arial Narrow" w:hAnsi="Arial Narrow"/>
                <w:sz w:val="20"/>
                <w:lang w:val="en-US"/>
              </w:rPr>
              <w:lastRenderedPageBreak/>
              <w:t>carboplatin or irinotecan</w:t>
            </w:r>
          </w:p>
        </w:tc>
        <w:tc>
          <w:tcPr>
            <w:tcW w:w="851" w:type="dxa"/>
            <w:shd w:val="clear" w:color="auto" w:fill="auto"/>
            <w:vAlign w:val="center"/>
          </w:tcPr>
          <w:p w:rsidR="0041016C" w:rsidRPr="00EF54EB" w:rsidRDefault="0041016C" w:rsidP="007F1017">
            <w:pPr>
              <w:jc w:val="center"/>
              <w:rPr>
                <w:rFonts w:ascii="Arial Narrow" w:hAnsi="Arial Narrow"/>
                <w:sz w:val="20"/>
                <w:lang w:val="en-US"/>
              </w:rPr>
            </w:pPr>
            <w:r w:rsidRPr="00EF54EB">
              <w:rPr>
                <w:rFonts w:ascii="Arial Narrow" w:hAnsi="Arial Narrow"/>
                <w:sz w:val="20"/>
                <w:lang w:val="en-US"/>
              </w:rPr>
              <w:lastRenderedPageBreak/>
              <w:t xml:space="preserve">Complete </w:t>
            </w:r>
            <w:r w:rsidRPr="00EF54EB">
              <w:rPr>
                <w:rFonts w:ascii="Arial Narrow" w:hAnsi="Arial Narrow"/>
                <w:sz w:val="20"/>
                <w:lang w:val="en-US"/>
              </w:rPr>
              <w:lastRenderedPageBreak/>
              <w:t>response</w:t>
            </w:r>
          </w:p>
        </w:tc>
      </w:tr>
      <w:tr w:rsidR="0041016C" w:rsidRPr="00E2771E" w:rsidTr="0084019F">
        <w:tc>
          <w:tcPr>
            <w:tcW w:w="851" w:type="dxa"/>
            <w:shd w:val="clear" w:color="auto" w:fill="auto"/>
            <w:vAlign w:val="center"/>
          </w:tcPr>
          <w:p w:rsidR="0041016C" w:rsidRPr="006F2E93" w:rsidRDefault="0041016C" w:rsidP="007F1017">
            <w:pPr>
              <w:jc w:val="left"/>
              <w:rPr>
                <w:rFonts w:ascii="Arial Narrow" w:hAnsi="Arial Narrow"/>
                <w:sz w:val="20"/>
                <w:highlight w:val="yellow"/>
                <w:lang w:val="en-US"/>
              </w:rPr>
            </w:pPr>
            <w:r w:rsidRPr="00931FDE">
              <w:rPr>
                <w:rFonts w:ascii="Arial Narrow" w:hAnsi="Arial Narrow"/>
                <w:sz w:val="20"/>
              </w:rPr>
              <w:lastRenderedPageBreak/>
              <w:t>Rapoport 2010</w:t>
            </w:r>
          </w:p>
        </w:tc>
        <w:tc>
          <w:tcPr>
            <w:tcW w:w="567" w:type="dxa"/>
            <w:shd w:val="clear" w:color="auto" w:fill="auto"/>
            <w:vAlign w:val="center"/>
          </w:tcPr>
          <w:p w:rsidR="0041016C" w:rsidRPr="00C84A66" w:rsidRDefault="0041016C" w:rsidP="007F1017">
            <w:pPr>
              <w:jc w:val="center"/>
              <w:rPr>
                <w:rFonts w:ascii="Arial Narrow" w:hAnsi="Arial Narrow"/>
                <w:sz w:val="20"/>
                <w:lang w:val="en-US"/>
              </w:rPr>
            </w:pPr>
            <w:r w:rsidRPr="00C84A66">
              <w:rPr>
                <w:rFonts w:ascii="Arial Narrow" w:hAnsi="Arial Narrow"/>
                <w:sz w:val="20"/>
                <w:lang w:val="en-US"/>
              </w:rPr>
              <w:t>848</w:t>
            </w:r>
          </w:p>
        </w:tc>
        <w:tc>
          <w:tcPr>
            <w:tcW w:w="2126" w:type="dxa"/>
            <w:vAlign w:val="center"/>
          </w:tcPr>
          <w:p w:rsidR="0041016C" w:rsidRPr="00C84A66" w:rsidRDefault="0041016C" w:rsidP="00C84A66">
            <w:pPr>
              <w:jc w:val="left"/>
              <w:rPr>
                <w:rFonts w:ascii="Arial Narrow" w:hAnsi="Arial Narrow"/>
                <w:sz w:val="20"/>
              </w:rPr>
            </w:pPr>
            <w:r w:rsidRPr="00C84A66">
              <w:rPr>
                <w:rFonts w:ascii="Arial Narrow" w:hAnsi="Arial Narrow"/>
                <w:sz w:val="20"/>
                <w:u w:val="single"/>
              </w:rPr>
              <w:t>Day 1:</w:t>
            </w:r>
            <w:r w:rsidRPr="00C84A66">
              <w:rPr>
                <w:rFonts w:ascii="Arial Narrow" w:hAnsi="Arial Narrow"/>
                <w:sz w:val="20"/>
              </w:rPr>
              <w:t xml:space="preserve"> Aprepitant 125mg PO + ondansetron 8mg PO BID + dexamethasone 12mg PO</w:t>
            </w:r>
          </w:p>
          <w:p w:rsidR="0041016C" w:rsidRPr="00C84A66" w:rsidRDefault="0041016C" w:rsidP="00C84A66">
            <w:pPr>
              <w:jc w:val="left"/>
              <w:rPr>
                <w:rFonts w:ascii="Arial Narrow" w:hAnsi="Arial Narrow"/>
                <w:sz w:val="20"/>
                <w:highlight w:val="yellow"/>
                <w:lang w:val="en-US"/>
              </w:rPr>
            </w:pPr>
            <w:r w:rsidRPr="00C84A66">
              <w:rPr>
                <w:rFonts w:ascii="Arial Narrow" w:hAnsi="Arial Narrow"/>
                <w:sz w:val="20"/>
                <w:u w:val="single"/>
              </w:rPr>
              <w:t>Day 2-3:</w:t>
            </w:r>
            <w:r w:rsidRPr="00C84A66">
              <w:rPr>
                <w:rFonts w:ascii="Arial Narrow" w:hAnsi="Arial Narrow"/>
                <w:sz w:val="20"/>
              </w:rPr>
              <w:t xml:space="preserve"> Aprepitant 80mg PO</w:t>
            </w:r>
          </w:p>
        </w:tc>
        <w:tc>
          <w:tcPr>
            <w:tcW w:w="1701" w:type="dxa"/>
            <w:vAlign w:val="center"/>
          </w:tcPr>
          <w:p w:rsidR="0041016C" w:rsidRPr="00C84A66" w:rsidRDefault="0041016C" w:rsidP="00C84A66">
            <w:pPr>
              <w:pStyle w:val="Tabletext"/>
              <w:widowControl w:val="0"/>
              <w:spacing w:after="0"/>
              <w:rPr>
                <w:rFonts w:ascii="Arial Narrow" w:hAnsi="Arial Narrow" w:cs="Arial"/>
                <w:snapToGrid w:val="0"/>
              </w:rPr>
            </w:pPr>
            <w:r w:rsidRPr="00C84A66">
              <w:rPr>
                <w:rFonts w:ascii="Arial Narrow" w:hAnsi="Arial Narrow"/>
                <w:u w:val="single"/>
              </w:rPr>
              <w:t>Day 1:</w:t>
            </w:r>
            <w:r w:rsidRPr="00C84A66">
              <w:rPr>
                <w:rFonts w:ascii="Arial Narrow" w:hAnsi="Arial Narrow"/>
              </w:rPr>
              <w:t xml:space="preserve"> </w:t>
            </w:r>
            <w:r w:rsidRPr="00C84A66">
              <w:rPr>
                <w:rFonts w:ascii="Arial Narrow" w:hAnsi="Arial Narrow" w:cs="Arial"/>
                <w:snapToGrid w:val="0"/>
              </w:rPr>
              <w:t xml:space="preserve">Ondansetron 8mg PO </w:t>
            </w:r>
            <w:r w:rsidRPr="00C84A66">
              <w:rPr>
                <w:rFonts w:ascii="Arial Narrow" w:hAnsi="Arial Narrow"/>
              </w:rPr>
              <w:t>BID</w:t>
            </w:r>
            <w:r w:rsidRPr="00C84A66">
              <w:rPr>
                <w:rFonts w:ascii="Arial Narrow" w:hAnsi="Arial Narrow" w:cs="Arial"/>
                <w:snapToGrid w:val="0"/>
              </w:rPr>
              <w:t xml:space="preserve"> + dexamethasone 20mg PO</w:t>
            </w:r>
          </w:p>
          <w:p w:rsidR="0041016C" w:rsidRPr="00C84A66" w:rsidRDefault="0041016C" w:rsidP="00C84A66">
            <w:pPr>
              <w:jc w:val="left"/>
              <w:rPr>
                <w:rFonts w:ascii="Arial Narrow" w:hAnsi="Arial Narrow"/>
                <w:sz w:val="20"/>
                <w:highlight w:val="yellow"/>
                <w:lang w:val="en-US"/>
              </w:rPr>
            </w:pPr>
            <w:r w:rsidRPr="00C84A66">
              <w:rPr>
                <w:rFonts w:ascii="Arial Narrow" w:hAnsi="Arial Narrow"/>
                <w:sz w:val="20"/>
                <w:u w:val="single"/>
              </w:rPr>
              <w:t>Day 2-3:</w:t>
            </w:r>
            <w:r w:rsidRPr="00C84A66">
              <w:rPr>
                <w:rFonts w:ascii="Arial Narrow" w:hAnsi="Arial Narrow"/>
                <w:sz w:val="20"/>
              </w:rPr>
              <w:t xml:space="preserve"> Ondansetron 8mg PO BID</w:t>
            </w:r>
          </w:p>
        </w:tc>
        <w:tc>
          <w:tcPr>
            <w:tcW w:w="709" w:type="dxa"/>
            <w:shd w:val="clear" w:color="auto" w:fill="auto"/>
            <w:vAlign w:val="center"/>
          </w:tcPr>
          <w:p w:rsidR="0041016C" w:rsidRPr="00EF54EB" w:rsidRDefault="0041016C" w:rsidP="00C84A66">
            <w:pPr>
              <w:jc w:val="center"/>
              <w:rPr>
                <w:rFonts w:ascii="Arial Narrow" w:hAnsi="Arial Narrow"/>
                <w:sz w:val="20"/>
                <w:lang w:val="en-US"/>
              </w:rPr>
            </w:pPr>
            <w:r w:rsidRPr="00EF54EB">
              <w:rPr>
                <w:rFonts w:ascii="Arial Narrow" w:hAnsi="Arial Narrow"/>
                <w:sz w:val="20"/>
                <w:lang w:val="en-US"/>
              </w:rPr>
              <w:t>R, DB</w:t>
            </w:r>
          </w:p>
          <w:p w:rsidR="0041016C" w:rsidRPr="00EF54EB" w:rsidRDefault="00725BE9" w:rsidP="00C84A66">
            <w:pPr>
              <w:jc w:val="center"/>
              <w:rPr>
                <w:rFonts w:ascii="Arial Narrow" w:hAnsi="Arial Narrow"/>
                <w:sz w:val="20"/>
                <w:lang w:val="en-US"/>
              </w:rPr>
            </w:pPr>
            <w:r>
              <w:rPr>
                <w:rFonts w:ascii="Arial Narrow" w:hAnsi="Arial Narrow"/>
                <w:sz w:val="20"/>
                <w:lang w:val="en-US"/>
              </w:rPr>
              <w:t>120 hours</w:t>
            </w:r>
          </w:p>
        </w:tc>
        <w:tc>
          <w:tcPr>
            <w:tcW w:w="566" w:type="dxa"/>
            <w:shd w:val="clear" w:color="auto" w:fill="auto"/>
            <w:vAlign w:val="center"/>
          </w:tcPr>
          <w:p w:rsidR="0041016C" w:rsidRPr="001A4675" w:rsidRDefault="0041016C" w:rsidP="007F1017">
            <w:pPr>
              <w:jc w:val="center"/>
              <w:rPr>
                <w:rFonts w:ascii="Arial Narrow" w:hAnsi="Arial Narrow"/>
                <w:sz w:val="20"/>
                <w:lang w:val="en-US"/>
              </w:rPr>
            </w:pPr>
            <w:r w:rsidRPr="001A4675">
              <w:rPr>
                <w:rFonts w:ascii="Arial Narrow" w:hAnsi="Arial Narrow"/>
                <w:sz w:val="20"/>
                <w:lang w:val="en-US"/>
              </w:rPr>
              <w:t>High</w:t>
            </w:r>
          </w:p>
        </w:tc>
        <w:tc>
          <w:tcPr>
            <w:tcW w:w="992" w:type="dxa"/>
            <w:shd w:val="clear" w:color="auto" w:fill="auto"/>
            <w:vAlign w:val="center"/>
          </w:tcPr>
          <w:p w:rsidR="0041016C" w:rsidRPr="00EF54EB" w:rsidRDefault="0041016C" w:rsidP="00C84A66">
            <w:pPr>
              <w:jc w:val="center"/>
              <w:rPr>
                <w:rFonts w:ascii="Arial Narrow" w:hAnsi="Arial Narrow"/>
                <w:sz w:val="20"/>
                <w:lang w:val="en-US"/>
              </w:rPr>
            </w:pPr>
            <w:r w:rsidRPr="00EF54EB">
              <w:rPr>
                <w:rFonts w:ascii="Arial Narrow" w:hAnsi="Arial Narrow"/>
                <w:sz w:val="20"/>
                <w:lang w:val="en-US"/>
              </w:rPr>
              <w:t>Treated with a range of MECs, including ACs</w:t>
            </w:r>
          </w:p>
        </w:tc>
        <w:tc>
          <w:tcPr>
            <w:tcW w:w="851" w:type="dxa"/>
            <w:shd w:val="clear" w:color="auto" w:fill="auto"/>
            <w:vAlign w:val="center"/>
          </w:tcPr>
          <w:p w:rsidR="0041016C" w:rsidRPr="00EF54EB" w:rsidRDefault="0041016C" w:rsidP="007F1017">
            <w:pPr>
              <w:jc w:val="center"/>
              <w:rPr>
                <w:rFonts w:ascii="Arial Narrow" w:hAnsi="Arial Narrow"/>
                <w:sz w:val="20"/>
                <w:lang w:val="en-US"/>
              </w:rPr>
            </w:pPr>
            <w:r w:rsidRPr="00EF54EB">
              <w:rPr>
                <w:rFonts w:ascii="Arial Narrow" w:hAnsi="Arial Narrow"/>
                <w:sz w:val="20"/>
                <w:lang w:val="en-US"/>
              </w:rPr>
              <w:t>Complete response</w:t>
            </w:r>
          </w:p>
        </w:tc>
      </w:tr>
      <w:tr w:rsidR="003876C4" w:rsidRPr="00E2771E" w:rsidTr="0084019F">
        <w:tc>
          <w:tcPr>
            <w:tcW w:w="851" w:type="dxa"/>
            <w:shd w:val="clear" w:color="auto" w:fill="auto"/>
            <w:vAlign w:val="center"/>
          </w:tcPr>
          <w:p w:rsidR="0041016C" w:rsidRPr="00EF54EB" w:rsidRDefault="0041016C" w:rsidP="007F1017">
            <w:pPr>
              <w:jc w:val="left"/>
              <w:rPr>
                <w:rFonts w:ascii="Arial Narrow" w:hAnsi="Arial Narrow"/>
                <w:sz w:val="20"/>
                <w:lang w:val="en-US"/>
              </w:rPr>
            </w:pPr>
            <w:r w:rsidRPr="00EF54EB">
              <w:rPr>
                <w:rFonts w:ascii="Arial Narrow" w:hAnsi="Arial Narrow"/>
                <w:sz w:val="20"/>
                <w:lang w:val="en-US"/>
              </w:rPr>
              <w:t>Meta-analysis</w:t>
            </w:r>
          </w:p>
        </w:tc>
        <w:tc>
          <w:tcPr>
            <w:tcW w:w="567" w:type="dxa"/>
            <w:shd w:val="clear" w:color="auto" w:fill="auto"/>
            <w:vAlign w:val="center"/>
          </w:tcPr>
          <w:p w:rsidR="0041016C" w:rsidRPr="00EF54EB" w:rsidRDefault="0041016C" w:rsidP="007F1017">
            <w:pPr>
              <w:jc w:val="center"/>
              <w:rPr>
                <w:rFonts w:ascii="Arial Narrow" w:hAnsi="Arial Narrow"/>
                <w:sz w:val="20"/>
                <w:lang w:val="en-US"/>
              </w:rPr>
            </w:pPr>
            <w:r w:rsidRPr="00EF54EB">
              <w:rPr>
                <w:rFonts w:ascii="Arial Narrow" w:hAnsi="Arial Narrow"/>
                <w:sz w:val="20"/>
                <w:lang w:val="en-US"/>
              </w:rPr>
              <w:t>1,352</w:t>
            </w:r>
          </w:p>
        </w:tc>
        <w:tc>
          <w:tcPr>
            <w:tcW w:w="2126" w:type="dxa"/>
          </w:tcPr>
          <w:p w:rsidR="0041016C" w:rsidRPr="00EF54EB" w:rsidRDefault="0041016C" w:rsidP="007F1017">
            <w:pPr>
              <w:jc w:val="center"/>
              <w:rPr>
                <w:rFonts w:ascii="Arial Narrow" w:hAnsi="Arial Narrow"/>
                <w:sz w:val="20"/>
                <w:lang w:val="en-US"/>
              </w:rPr>
            </w:pPr>
          </w:p>
        </w:tc>
        <w:tc>
          <w:tcPr>
            <w:tcW w:w="1701" w:type="dxa"/>
          </w:tcPr>
          <w:p w:rsidR="0041016C" w:rsidRPr="00EF54EB" w:rsidRDefault="0041016C" w:rsidP="007F1017">
            <w:pPr>
              <w:jc w:val="center"/>
              <w:rPr>
                <w:rFonts w:ascii="Arial Narrow" w:hAnsi="Arial Narrow"/>
                <w:sz w:val="20"/>
                <w:lang w:val="en-US"/>
              </w:rPr>
            </w:pPr>
          </w:p>
        </w:tc>
        <w:tc>
          <w:tcPr>
            <w:tcW w:w="3118" w:type="dxa"/>
            <w:gridSpan w:val="4"/>
            <w:shd w:val="clear" w:color="auto" w:fill="auto"/>
            <w:vAlign w:val="center"/>
          </w:tcPr>
          <w:p w:rsidR="0041016C" w:rsidRPr="001A4675" w:rsidRDefault="0041016C" w:rsidP="00EF54EB">
            <w:pPr>
              <w:jc w:val="center"/>
              <w:rPr>
                <w:rFonts w:ascii="Arial Narrow" w:hAnsi="Arial Narrow"/>
                <w:sz w:val="20"/>
                <w:lang w:val="en-US"/>
              </w:rPr>
            </w:pPr>
            <w:r w:rsidRPr="001A4675">
              <w:rPr>
                <w:rFonts w:ascii="Arial Narrow" w:hAnsi="Arial Narrow"/>
                <w:sz w:val="20"/>
                <w:lang w:val="en-US"/>
              </w:rPr>
              <w:t>Included all studies</w:t>
            </w:r>
          </w:p>
        </w:tc>
      </w:tr>
    </w:tbl>
    <w:p w:rsidR="00C84A66" w:rsidRPr="005E366B" w:rsidRDefault="003876C4" w:rsidP="00EF54EB">
      <w:pPr>
        <w:pStyle w:val="Tableorfigurefootnote"/>
        <w:ind w:left="709"/>
        <w:rPr>
          <w:rFonts w:ascii="Arial Narrow" w:hAnsi="Arial Narrow"/>
          <w:sz w:val="18"/>
          <w:szCs w:val="18"/>
        </w:rPr>
      </w:pPr>
      <w:r w:rsidRPr="005E366B">
        <w:rPr>
          <w:rFonts w:ascii="Arial Narrow" w:hAnsi="Arial Narrow"/>
          <w:sz w:val="18"/>
          <w:szCs w:val="18"/>
        </w:rPr>
        <w:t xml:space="preserve">AC: anthracycline; </w:t>
      </w:r>
      <w:r w:rsidR="00C84A66" w:rsidRPr="005E366B">
        <w:rPr>
          <w:rFonts w:ascii="Arial Narrow" w:hAnsi="Arial Narrow"/>
          <w:sz w:val="18"/>
          <w:szCs w:val="18"/>
        </w:rPr>
        <w:t xml:space="preserve">BID: twice daily; </w:t>
      </w:r>
      <w:r w:rsidR="007F1017" w:rsidRPr="005E366B">
        <w:rPr>
          <w:rFonts w:ascii="Arial Narrow" w:hAnsi="Arial Narrow"/>
          <w:sz w:val="18"/>
          <w:szCs w:val="18"/>
        </w:rPr>
        <w:t>DB</w:t>
      </w:r>
      <w:r w:rsidR="00C84A66" w:rsidRPr="005E366B">
        <w:rPr>
          <w:rFonts w:ascii="Arial Narrow" w:hAnsi="Arial Narrow"/>
          <w:sz w:val="18"/>
          <w:szCs w:val="18"/>
        </w:rPr>
        <w:t xml:space="preserve">: </w:t>
      </w:r>
      <w:r w:rsidR="007F1017" w:rsidRPr="005E366B">
        <w:rPr>
          <w:rFonts w:ascii="Arial Narrow" w:hAnsi="Arial Narrow"/>
          <w:sz w:val="18"/>
          <w:szCs w:val="18"/>
        </w:rPr>
        <w:t xml:space="preserve">double blind; </w:t>
      </w:r>
      <w:r w:rsidR="00C84A66" w:rsidRPr="005E366B">
        <w:rPr>
          <w:rFonts w:ascii="Arial Narrow" w:hAnsi="Arial Narrow"/>
          <w:sz w:val="18"/>
          <w:szCs w:val="18"/>
        </w:rPr>
        <w:t xml:space="preserve">FOLFOX: Folonic acid + fluorouracil + oxaliplatin; IV: intravenous; </w:t>
      </w:r>
      <w:r w:rsidR="007F1017" w:rsidRPr="005E366B">
        <w:rPr>
          <w:rFonts w:ascii="Arial Narrow" w:hAnsi="Arial Narrow"/>
          <w:sz w:val="18"/>
          <w:szCs w:val="18"/>
        </w:rPr>
        <w:t>MC</w:t>
      </w:r>
      <w:r w:rsidR="00C84A66" w:rsidRPr="005E366B">
        <w:rPr>
          <w:rFonts w:ascii="Arial Narrow" w:hAnsi="Arial Narrow"/>
          <w:sz w:val="18"/>
          <w:szCs w:val="18"/>
        </w:rPr>
        <w:t xml:space="preserve">: </w:t>
      </w:r>
      <w:r w:rsidR="007F1017" w:rsidRPr="005E366B">
        <w:rPr>
          <w:rFonts w:ascii="Arial Narrow" w:hAnsi="Arial Narrow"/>
          <w:sz w:val="18"/>
          <w:szCs w:val="18"/>
        </w:rPr>
        <w:t xml:space="preserve">multi-centre; </w:t>
      </w:r>
      <w:r w:rsidR="00C84A66" w:rsidRPr="005E366B">
        <w:rPr>
          <w:rFonts w:ascii="Arial Narrow" w:hAnsi="Arial Narrow"/>
          <w:sz w:val="18"/>
          <w:szCs w:val="18"/>
        </w:rPr>
        <w:t xml:space="preserve">MEC: moderately emetogenic cancer chemotherapy; </w:t>
      </w:r>
      <w:r w:rsidR="007F1017" w:rsidRPr="005E366B">
        <w:rPr>
          <w:rFonts w:ascii="Arial Narrow" w:hAnsi="Arial Narrow"/>
          <w:sz w:val="18"/>
          <w:szCs w:val="18"/>
        </w:rPr>
        <w:t>OL</w:t>
      </w:r>
      <w:r w:rsidR="00C84A66" w:rsidRPr="005E366B">
        <w:rPr>
          <w:rFonts w:ascii="Arial Narrow" w:hAnsi="Arial Narrow"/>
          <w:sz w:val="18"/>
          <w:szCs w:val="18"/>
        </w:rPr>
        <w:t xml:space="preserve">: </w:t>
      </w:r>
      <w:r w:rsidR="007F1017" w:rsidRPr="005E366B">
        <w:rPr>
          <w:rFonts w:ascii="Arial Narrow" w:hAnsi="Arial Narrow"/>
          <w:sz w:val="18"/>
          <w:szCs w:val="18"/>
        </w:rPr>
        <w:t xml:space="preserve">open label; </w:t>
      </w:r>
      <w:r w:rsidR="00C84A66" w:rsidRPr="005E366B">
        <w:rPr>
          <w:rFonts w:ascii="Arial Narrow" w:hAnsi="Arial Narrow"/>
          <w:sz w:val="18"/>
          <w:szCs w:val="18"/>
        </w:rPr>
        <w:t>PO: orally</w:t>
      </w:r>
      <w:r w:rsidR="00725BE9" w:rsidRPr="005E366B">
        <w:rPr>
          <w:rFonts w:ascii="Arial Narrow" w:hAnsi="Arial Narrow"/>
          <w:sz w:val="18"/>
          <w:szCs w:val="18"/>
        </w:rPr>
        <w:t xml:space="preserve">; </w:t>
      </w:r>
      <w:r w:rsidR="007F1017" w:rsidRPr="005E366B">
        <w:rPr>
          <w:rFonts w:ascii="Arial Narrow" w:hAnsi="Arial Narrow"/>
          <w:sz w:val="18"/>
          <w:szCs w:val="18"/>
        </w:rPr>
        <w:t>R</w:t>
      </w:r>
      <w:r w:rsidR="00C84A66" w:rsidRPr="005E366B">
        <w:rPr>
          <w:rFonts w:ascii="Arial Narrow" w:hAnsi="Arial Narrow"/>
          <w:sz w:val="18"/>
          <w:szCs w:val="18"/>
        </w:rPr>
        <w:t xml:space="preserve">: </w:t>
      </w:r>
      <w:r w:rsidR="007F1017" w:rsidRPr="005E366B">
        <w:rPr>
          <w:rFonts w:ascii="Arial Narrow" w:hAnsi="Arial Narrow"/>
          <w:sz w:val="18"/>
          <w:szCs w:val="18"/>
        </w:rPr>
        <w:t>randomised</w:t>
      </w:r>
      <w:r w:rsidR="00C84A66" w:rsidRPr="005E366B">
        <w:rPr>
          <w:rFonts w:ascii="Arial Narrow" w:hAnsi="Arial Narrow"/>
          <w:sz w:val="18"/>
          <w:szCs w:val="18"/>
        </w:rPr>
        <w:t>; SOX: S-1 and oxaliplatin; XELOX: capecitabine + oxaliplatin.</w:t>
      </w:r>
    </w:p>
    <w:p w:rsidR="007F1017" w:rsidRPr="005E366B" w:rsidRDefault="007F1017" w:rsidP="00E22A0D">
      <w:pPr>
        <w:pStyle w:val="TableFooter"/>
        <w:ind w:firstLine="720"/>
      </w:pPr>
      <w:r w:rsidRPr="005E366B">
        <w:t>Source: compiled during the evaluation</w:t>
      </w:r>
    </w:p>
    <w:p w:rsidR="00074391" w:rsidRDefault="00074391">
      <w:pPr>
        <w:widowControl/>
        <w:jc w:val="left"/>
        <w:rPr>
          <w:b/>
          <w:i/>
        </w:rPr>
      </w:pPr>
      <w:bookmarkStart w:id="9" w:name="_Toc430011617"/>
    </w:p>
    <w:p w:rsidR="00B60939" w:rsidRPr="002C2775" w:rsidRDefault="00B60939" w:rsidP="003F4A75">
      <w:pPr>
        <w:pStyle w:val="Heading2"/>
      </w:pPr>
      <w:r w:rsidRPr="002C2775">
        <w:t xml:space="preserve">Comparative </w:t>
      </w:r>
      <w:r w:rsidRPr="003F4A75">
        <w:t>effectiveness</w:t>
      </w:r>
      <w:bookmarkEnd w:id="9"/>
    </w:p>
    <w:p w:rsidR="00B60939" w:rsidRPr="00882085" w:rsidRDefault="00B60939" w:rsidP="00B60939">
      <w:pPr>
        <w:rPr>
          <w:szCs w:val="22"/>
        </w:rPr>
      </w:pPr>
    </w:p>
    <w:p w:rsidR="00344C2D" w:rsidRPr="007B5CB9" w:rsidRDefault="0084019F" w:rsidP="007B5CB9">
      <w:pPr>
        <w:pStyle w:val="ListParagraph"/>
        <w:widowControl/>
        <w:numPr>
          <w:ilvl w:val="1"/>
          <w:numId w:val="3"/>
        </w:numPr>
        <w:rPr>
          <w:rFonts w:ascii="Arial Narrow" w:hAnsi="Arial Narrow"/>
          <w:b/>
          <w:sz w:val="20"/>
          <w:szCs w:val="16"/>
        </w:rPr>
      </w:pPr>
      <w:r w:rsidRPr="00573C6A">
        <w:rPr>
          <w:rStyle w:val="CommentReference"/>
        </w:rPr>
        <w:t>Table 3: Results of complete response (overall phase) across the direct randomised trials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comparative effectiveness"/>
      </w:tblPr>
      <w:tblGrid>
        <w:gridCol w:w="1276"/>
        <w:gridCol w:w="1561"/>
        <w:gridCol w:w="1556"/>
        <w:gridCol w:w="1420"/>
        <w:gridCol w:w="1275"/>
        <w:gridCol w:w="1257"/>
      </w:tblGrid>
      <w:tr w:rsidR="0084019F" w:rsidRPr="00E2771E" w:rsidTr="007E7BDC">
        <w:trPr>
          <w:tblHeader/>
        </w:trPr>
        <w:tc>
          <w:tcPr>
            <w:tcW w:w="765" w:type="pct"/>
            <w:shd w:val="clear" w:color="auto" w:fill="auto"/>
            <w:vAlign w:val="center"/>
          </w:tcPr>
          <w:p w:rsidR="0084019F" w:rsidRPr="00E2771E" w:rsidRDefault="0084019F" w:rsidP="00F35123">
            <w:pPr>
              <w:keepNext/>
              <w:jc w:val="left"/>
              <w:rPr>
                <w:rFonts w:ascii="Arial Narrow" w:hAnsi="Arial Narrow"/>
                <w:b/>
                <w:sz w:val="20"/>
                <w:lang w:val="en-US"/>
              </w:rPr>
            </w:pPr>
            <w:r w:rsidRPr="00E2771E">
              <w:rPr>
                <w:rFonts w:ascii="Arial Narrow" w:hAnsi="Arial Narrow"/>
                <w:b/>
                <w:sz w:val="20"/>
                <w:lang w:val="en-US"/>
              </w:rPr>
              <w:t>Trial ID</w:t>
            </w:r>
          </w:p>
        </w:tc>
        <w:tc>
          <w:tcPr>
            <w:tcW w:w="935" w:type="pct"/>
            <w:shd w:val="clear" w:color="auto" w:fill="auto"/>
            <w:vAlign w:val="center"/>
          </w:tcPr>
          <w:p w:rsidR="0084019F" w:rsidRPr="00E2771E" w:rsidRDefault="0084019F" w:rsidP="00F35123">
            <w:pPr>
              <w:keepNext/>
              <w:jc w:val="center"/>
              <w:rPr>
                <w:rFonts w:ascii="Arial Narrow" w:hAnsi="Arial Narrow"/>
                <w:b/>
                <w:sz w:val="20"/>
                <w:lang w:val="en-US"/>
              </w:rPr>
            </w:pPr>
            <w:r>
              <w:rPr>
                <w:rFonts w:ascii="Arial Narrow" w:hAnsi="Arial Narrow"/>
                <w:b/>
                <w:sz w:val="20"/>
                <w:lang w:val="en-US"/>
              </w:rPr>
              <w:t>Aprepitant</w:t>
            </w:r>
          </w:p>
          <w:p w:rsidR="0084019F" w:rsidRPr="00E2771E" w:rsidRDefault="0084019F" w:rsidP="00F35123">
            <w:pPr>
              <w:keepNext/>
              <w:jc w:val="center"/>
              <w:rPr>
                <w:rFonts w:ascii="Arial Narrow" w:hAnsi="Arial Narrow"/>
                <w:b/>
                <w:sz w:val="20"/>
                <w:lang w:val="en-US"/>
              </w:rPr>
            </w:pPr>
            <w:r w:rsidRPr="00E2771E">
              <w:rPr>
                <w:rFonts w:ascii="Arial Narrow" w:hAnsi="Arial Narrow"/>
                <w:b/>
                <w:sz w:val="20"/>
                <w:lang w:val="en-US"/>
              </w:rPr>
              <w:t>n with event/N (%)</w:t>
            </w:r>
          </w:p>
        </w:tc>
        <w:tc>
          <w:tcPr>
            <w:tcW w:w="932" w:type="pct"/>
            <w:shd w:val="clear" w:color="auto" w:fill="auto"/>
            <w:vAlign w:val="center"/>
          </w:tcPr>
          <w:p w:rsidR="0084019F" w:rsidRPr="00E2771E" w:rsidRDefault="0084019F" w:rsidP="00F35123">
            <w:pPr>
              <w:keepNext/>
              <w:jc w:val="center"/>
              <w:rPr>
                <w:rFonts w:ascii="Arial Narrow" w:hAnsi="Arial Narrow"/>
                <w:b/>
                <w:sz w:val="20"/>
                <w:lang w:val="en-US"/>
              </w:rPr>
            </w:pPr>
            <w:r>
              <w:rPr>
                <w:rFonts w:ascii="Arial Narrow" w:hAnsi="Arial Narrow"/>
                <w:b/>
                <w:sz w:val="20"/>
                <w:lang w:val="en-US"/>
              </w:rPr>
              <w:t>Control</w:t>
            </w:r>
          </w:p>
          <w:p w:rsidR="0084019F" w:rsidRPr="00E2771E" w:rsidRDefault="0084019F" w:rsidP="00F35123">
            <w:pPr>
              <w:keepNext/>
              <w:jc w:val="center"/>
              <w:rPr>
                <w:rFonts w:ascii="Arial Narrow" w:hAnsi="Arial Narrow"/>
                <w:b/>
                <w:sz w:val="20"/>
                <w:lang w:val="en-US"/>
              </w:rPr>
            </w:pPr>
            <w:r w:rsidRPr="00E2771E">
              <w:rPr>
                <w:rFonts w:ascii="Arial Narrow" w:hAnsi="Arial Narrow"/>
                <w:b/>
                <w:sz w:val="20"/>
                <w:lang w:val="en-US"/>
              </w:rPr>
              <w:t>n with event/N (%)</w:t>
            </w:r>
          </w:p>
        </w:tc>
        <w:tc>
          <w:tcPr>
            <w:tcW w:w="851" w:type="pct"/>
            <w:shd w:val="clear" w:color="auto" w:fill="auto"/>
            <w:vAlign w:val="center"/>
          </w:tcPr>
          <w:p w:rsidR="0084019F" w:rsidRDefault="0084019F" w:rsidP="00F35123">
            <w:pPr>
              <w:keepNext/>
              <w:jc w:val="center"/>
              <w:rPr>
                <w:rFonts w:ascii="Arial Narrow" w:hAnsi="Arial Narrow"/>
                <w:b/>
                <w:sz w:val="20"/>
                <w:lang w:val="en-US"/>
              </w:rPr>
            </w:pPr>
            <w:r w:rsidRPr="00E2771E">
              <w:rPr>
                <w:rFonts w:ascii="Arial Narrow" w:hAnsi="Arial Narrow"/>
                <w:b/>
                <w:sz w:val="20"/>
                <w:lang w:val="en-US"/>
              </w:rPr>
              <w:t>Absolute difference</w:t>
            </w:r>
          </w:p>
          <w:p w:rsidR="0084019F" w:rsidRPr="00E2771E" w:rsidRDefault="0084019F" w:rsidP="00F35123">
            <w:pPr>
              <w:keepNext/>
              <w:jc w:val="center"/>
              <w:rPr>
                <w:rFonts w:ascii="Arial Narrow" w:hAnsi="Arial Narrow"/>
                <w:b/>
                <w:sz w:val="20"/>
                <w:lang w:val="en-US"/>
              </w:rPr>
            </w:pPr>
            <w:r w:rsidRPr="00E2771E">
              <w:rPr>
                <w:rFonts w:ascii="Arial Narrow" w:hAnsi="Arial Narrow"/>
                <w:b/>
                <w:sz w:val="20"/>
                <w:lang w:val="en-US"/>
              </w:rPr>
              <w:t>RD</w:t>
            </w:r>
            <w:r>
              <w:rPr>
                <w:rFonts w:ascii="Arial Narrow" w:hAnsi="Arial Narrow"/>
                <w:b/>
                <w:sz w:val="20"/>
                <w:lang w:val="en-US"/>
              </w:rPr>
              <w:t xml:space="preserve"> </w:t>
            </w:r>
            <w:r w:rsidRPr="00E2771E">
              <w:rPr>
                <w:rFonts w:ascii="Arial Narrow" w:hAnsi="Arial Narrow"/>
                <w:b/>
                <w:sz w:val="20"/>
                <w:lang w:val="en-US"/>
              </w:rPr>
              <w:t>(95% CI)</w:t>
            </w:r>
          </w:p>
        </w:tc>
        <w:tc>
          <w:tcPr>
            <w:tcW w:w="764" w:type="pct"/>
            <w:shd w:val="clear" w:color="auto" w:fill="auto"/>
            <w:vAlign w:val="center"/>
          </w:tcPr>
          <w:p w:rsidR="0084019F" w:rsidRDefault="0084019F" w:rsidP="00F35123">
            <w:pPr>
              <w:keepNext/>
              <w:jc w:val="center"/>
              <w:rPr>
                <w:rFonts w:ascii="Arial Narrow" w:hAnsi="Arial Narrow"/>
                <w:b/>
                <w:sz w:val="20"/>
                <w:lang w:val="en-US"/>
              </w:rPr>
            </w:pPr>
            <w:r w:rsidRPr="00E2771E">
              <w:rPr>
                <w:rFonts w:ascii="Arial Narrow" w:hAnsi="Arial Narrow"/>
                <w:b/>
                <w:sz w:val="20"/>
                <w:lang w:val="en-US"/>
              </w:rPr>
              <w:t>Relative difference</w:t>
            </w:r>
          </w:p>
          <w:p w:rsidR="0084019F" w:rsidRPr="00E2771E" w:rsidRDefault="0084019F" w:rsidP="00F35123">
            <w:pPr>
              <w:keepNext/>
              <w:jc w:val="center"/>
              <w:rPr>
                <w:rFonts w:ascii="Arial Narrow" w:hAnsi="Arial Narrow"/>
                <w:b/>
                <w:sz w:val="20"/>
                <w:lang w:val="en-US"/>
              </w:rPr>
            </w:pPr>
            <w:r>
              <w:rPr>
                <w:rFonts w:ascii="Arial Narrow" w:hAnsi="Arial Narrow"/>
                <w:b/>
                <w:sz w:val="20"/>
                <w:lang w:val="en-US"/>
              </w:rPr>
              <w:t xml:space="preserve">OR </w:t>
            </w:r>
            <w:r w:rsidRPr="00E2771E">
              <w:rPr>
                <w:rFonts w:ascii="Arial Narrow" w:hAnsi="Arial Narrow"/>
                <w:b/>
                <w:sz w:val="20"/>
                <w:lang w:val="en-US"/>
              </w:rPr>
              <w:t>(95% CI)</w:t>
            </w:r>
          </w:p>
        </w:tc>
        <w:tc>
          <w:tcPr>
            <w:tcW w:w="753" w:type="pct"/>
            <w:shd w:val="clear" w:color="auto" w:fill="auto"/>
            <w:vAlign w:val="center"/>
          </w:tcPr>
          <w:p w:rsidR="0084019F" w:rsidRPr="00573C6A" w:rsidRDefault="0084019F" w:rsidP="00F35123">
            <w:pPr>
              <w:keepNext/>
              <w:jc w:val="center"/>
              <w:rPr>
                <w:rFonts w:ascii="Arial Narrow" w:hAnsi="Arial Narrow"/>
                <w:b/>
                <w:i/>
                <w:sz w:val="20"/>
                <w:lang w:val="en-US"/>
              </w:rPr>
            </w:pPr>
            <w:r w:rsidRPr="00573C6A">
              <w:rPr>
                <w:rFonts w:ascii="Arial Narrow" w:hAnsi="Arial Narrow"/>
                <w:b/>
                <w:i/>
                <w:sz w:val="20"/>
                <w:lang w:val="en-US"/>
              </w:rPr>
              <w:t>NNT (95% CI)</w:t>
            </w:r>
          </w:p>
        </w:tc>
      </w:tr>
      <w:tr w:rsidR="0084019F" w:rsidRPr="00E2771E" w:rsidTr="00F35123">
        <w:tc>
          <w:tcPr>
            <w:tcW w:w="765" w:type="pct"/>
            <w:shd w:val="clear" w:color="auto" w:fill="auto"/>
            <w:vAlign w:val="center"/>
          </w:tcPr>
          <w:p w:rsidR="0084019F" w:rsidRPr="00E2771E" w:rsidRDefault="0084019F" w:rsidP="00F35123">
            <w:pPr>
              <w:keepNext/>
              <w:jc w:val="left"/>
              <w:rPr>
                <w:rFonts w:ascii="Arial Narrow" w:hAnsi="Arial Narrow"/>
                <w:sz w:val="20"/>
                <w:lang w:val="en-US"/>
              </w:rPr>
            </w:pPr>
            <w:r w:rsidRPr="00B27B1A">
              <w:rPr>
                <w:rFonts w:ascii="Arial Narrow" w:hAnsi="Arial Narrow"/>
                <w:sz w:val="20"/>
              </w:rPr>
              <w:t>Protocol 031</w:t>
            </w:r>
          </w:p>
        </w:tc>
        <w:tc>
          <w:tcPr>
            <w:tcW w:w="935"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387/502 (77.1)</w:t>
            </w:r>
          </w:p>
        </w:tc>
        <w:tc>
          <w:tcPr>
            <w:tcW w:w="932"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333/498 (66.9)</w:t>
            </w:r>
          </w:p>
        </w:tc>
        <w:tc>
          <w:tcPr>
            <w:tcW w:w="851"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 xml:space="preserve">0.10 </w:t>
            </w:r>
            <w:r>
              <w:rPr>
                <w:rFonts w:ascii="Arial Narrow" w:hAnsi="Arial Narrow"/>
                <w:sz w:val="20"/>
              </w:rPr>
              <w:t>(</w:t>
            </w:r>
            <w:r w:rsidRPr="0059698A">
              <w:rPr>
                <w:rFonts w:ascii="Arial Narrow" w:hAnsi="Arial Narrow"/>
                <w:sz w:val="20"/>
              </w:rPr>
              <w:t>0.05, 0.16</w:t>
            </w:r>
            <w:r>
              <w:rPr>
                <w:rFonts w:ascii="Arial Narrow" w:hAnsi="Arial Narrow"/>
                <w:sz w:val="20"/>
              </w:rPr>
              <w:t>)</w:t>
            </w:r>
          </w:p>
        </w:tc>
        <w:tc>
          <w:tcPr>
            <w:tcW w:w="764"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 xml:space="preserve">1.67 </w:t>
            </w:r>
            <w:r>
              <w:rPr>
                <w:rFonts w:ascii="Arial Narrow" w:hAnsi="Arial Narrow"/>
                <w:sz w:val="20"/>
              </w:rPr>
              <w:t>(</w:t>
            </w:r>
            <w:r w:rsidRPr="0059698A">
              <w:rPr>
                <w:rFonts w:ascii="Arial Narrow" w:hAnsi="Arial Narrow"/>
                <w:sz w:val="20"/>
              </w:rPr>
              <w:t>1.26, 2.21</w:t>
            </w:r>
            <w:r>
              <w:rPr>
                <w:rFonts w:ascii="Arial Narrow" w:hAnsi="Arial Narrow"/>
                <w:sz w:val="20"/>
              </w:rPr>
              <w:t>)</w:t>
            </w:r>
          </w:p>
        </w:tc>
        <w:tc>
          <w:tcPr>
            <w:tcW w:w="753" w:type="pct"/>
            <w:shd w:val="clear" w:color="auto" w:fill="auto"/>
            <w:vAlign w:val="center"/>
          </w:tcPr>
          <w:p w:rsidR="0084019F" w:rsidRPr="00573C6A" w:rsidRDefault="0084019F" w:rsidP="00F35123">
            <w:pPr>
              <w:keepNext/>
              <w:jc w:val="center"/>
              <w:rPr>
                <w:rFonts w:ascii="Arial Narrow" w:hAnsi="Arial Narrow"/>
                <w:i/>
                <w:sz w:val="20"/>
              </w:rPr>
            </w:pPr>
            <w:r w:rsidRPr="00573C6A">
              <w:rPr>
                <w:rFonts w:ascii="Arial Narrow" w:hAnsi="Arial Narrow"/>
                <w:i/>
                <w:sz w:val="20"/>
              </w:rPr>
              <w:t>10.0 (6.3, 20.0)</w:t>
            </w:r>
          </w:p>
        </w:tc>
      </w:tr>
      <w:tr w:rsidR="0084019F" w:rsidRPr="00E2771E" w:rsidTr="00F35123">
        <w:tc>
          <w:tcPr>
            <w:tcW w:w="765" w:type="pct"/>
            <w:shd w:val="clear" w:color="auto" w:fill="auto"/>
            <w:vAlign w:val="center"/>
          </w:tcPr>
          <w:p w:rsidR="0084019F" w:rsidRPr="00E2771E" w:rsidRDefault="0084019F" w:rsidP="00F35123">
            <w:pPr>
              <w:keepNext/>
              <w:jc w:val="left"/>
              <w:rPr>
                <w:rFonts w:ascii="Arial Narrow" w:hAnsi="Arial Narrow"/>
                <w:sz w:val="20"/>
                <w:lang w:val="en-US"/>
              </w:rPr>
            </w:pPr>
            <w:r w:rsidRPr="00B27B1A">
              <w:rPr>
                <w:rFonts w:ascii="Arial Narrow" w:hAnsi="Arial Narrow"/>
                <w:sz w:val="20"/>
              </w:rPr>
              <w:t>Nishimura 2015</w:t>
            </w:r>
          </w:p>
        </w:tc>
        <w:tc>
          <w:tcPr>
            <w:tcW w:w="935"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159/187 (85.0)</w:t>
            </w:r>
          </w:p>
        </w:tc>
        <w:tc>
          <w:tcPr>
            <w:tcW w:w="932"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136/183 (74.3)</w:t>
            </w:r>
          </w:p>
        </w:tc>
        <w:tc>
          <w:tcPr>
            <w:tcW w:w="851"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 xml:space="preserve">0.11 </w:t>
            </w:r>
            <w:r>
              <w:rPr>
                <w:rFonts w:ascii="Arial Narrow" w:hAnsi="Arial Narrow"/>
                <w:sz w:val="20"/>
              </w:rPr>
              <w:t>(</w:t>
            </w:r>
            <w:r w:rsidRPr="0059698A">
              <w:rPr>
                <w:rFonts w:ascii="Arial Narrow" w:hAnsi="Arial Narrow"/>
                <w:sz w:val="20"/>
              </w:rPr>
              <w:t>0.03, 0.19</w:t>
            </w:r>
            <w:r>
              <w:rPr>
                <w:rFonts w:ascii="Arial Narrow" w:hAnsi="Arial Narrow"/>
                <w:sz w:val="20"/>
              </w:rPr>
              <w:t>)</w:t>
            </w:r>
          </w:p>
        </w:tc>
        <w:tc>
          <w:tcPr>
            <w:tcW w:w="764"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 xml:space="preserve">1.96 </w:t>
            </w:r>
            <w:r>
              <w:rPr>
                <w:rFonts w:ascii="Arial Narrow" w:hAnsi="Arial Narrow"/>
                <w:sz w:val="20"/>
              </w:rPr>
              <w:t>(</w:t>
            </w:r>
            <w:r w:rsidRPr="0059698A">
              <w:rPr>
                <w:rFonts w:ascii="Arial Narrow" w:hAnsi="Arial Narrow"/>
                <w:sz w:val="20"/>
              </w:rPr>
              <w:t>1.17, 3.30</w:t>
            </w:r>
            <w:r>
              <w:rPr>
                <w:rFonts w:ascii="Arial Narrow" w:hAnsi="Arial Narrow"/>
                <w:sz w:val="20"/>
              </w:rPr>
              <w:t>)</w:t>
            </w:r>
          </w:p>
        </w:tc>
        <w:tc>
          <w:tcPr>
            <w:tcW w:w="753" w:type="pct"/>
            <w:shd w:val="clear" w:color="auto" w:fill="auto"/>
            <w:vAlign w:val="center"/>
          </w:tcPr>
          <w:p w:rsidR="0084019F" w:rsidRPr="00573C6A" w:rsidRDefault="0084019F" w:rsidP="00F35123">
            <w:pPr>
              <w:keepNext/>
              <w:jc w:val="center"/>
              <w:rPr>
                <w:rFonts w:ascii="Arial Narrow" w:hAnsi="Arial Narrow"/>
                <w:i/>
                <w:sz w:val="20"/>
              </w:rPr>
            </w:pPr>
            <w:r w:rsidRPr="00573C6A">
              <w:rPr>
                <w:rFonts w:ascii="Arial Narrow" w:hAnsi="Arial Narrow"/>
                <w:i/>
                <w:sz w:val="20"/>
              </w:rPr>
              <w:t>9.1 (5.3, 33.3,)</w:t>
            </w:r>
          </w:p>
        </w:tc>
      </w:tr>
      <w:tr w:rsidR="0084019F" w:rsidRPr="00E2771E" w:rsidTr="00F35123">
        <w:tc>
          <w:tcPr>
            <w:tcW w:w="765" w:type="pct"/>
            <w:shd w:val="clear" w:color="auto" w:fill="auto"/>
            <w:vAlign w:val="center"/>
          </w:tcPr>
          <w:p w:rsidR="0084019F" w:rsidRPr="00E2771E" w:rsidRDefault="0084019F" w:rsidP="00F35123">
            <w:pPr>
              <w:keepNext/>
              <w:jc w:val="left"/>
              <w:rPr>
                <w:rFonts w:ascii="Arial Narrow" w:hAnsi="Arial Narrow"/>
                <w:sz w:val="20"/>
                <w:lang w:val="en-US"/>
              </w:rPr>
            </w:pPr>
            <w:r w:rsidRPr="00B27B1A">
              <w:rPr>
                <w:rFonts w:ascii="Arial Narrow" w:hAnsi="Arial Narrow"/>
                <w:sz w:val="20"/>
              </w:rPr>
              <w:t>Tanioka 2013</w:t>
            </w:r>
          </w:p>
        </w:tc>
        <w:tc>
          <w:tcPr>
            <w:tcW w:w="935"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28/45 (62.2)</w:t>
            </w:r>
          </w:p>
        </w:tc>
        <w:tc>
          <w:tcPr>
            <w:tcW w:w="932"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24/46 (52.2)</w:t>
            </w:r>
          </w:p>
        </w:tc>
        <w:tc>
          <w:tcPr>
            <w:tcW w:w="851"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 xml:space="preserve">0.10 </w:t>
            </w:r>
            <w:r>
              <w:rPr>
                <w:rFonts w:ascii="Arial Narrow" w:hAnsi="Arial Narrow"/>
                <w:sz w:val="20"/>
              </w:rPr>
              <w:t>(</w:t>
            </w:r>
            <w:r w:rsidRPr="0059698A">
              <w:rPr>
                <w:rFonts w:ascii="Arial Narrow" w:hAnsi="Arial Narrow"/>
                <w:sz w:val="20"/>
              </w:rPr>
              <w:t>-0.10, 0.30</w:t>
            </w:r>
            <w:r>
              <w:rPr>
                <w:rFonts w:ascii="Arial Narrow" w:hAnsi="Arial Narrow"/>
                <w:sz w:val="20"/>
              </w:rPr>
              <w:t>)</w:t>
            </w:r>
          </w:p>
        </w:tc>
        <w:tc>
          <w:tcPr>
            <w:tcW w:w="764"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 xml:space="preserve">1.51 </w:t>
            </w:r>
            <w:r>
              <w:rPr>
                <w:rFonts w:ascii="Arial Narrow" w:hAnsi="Arial Narrow"/>
                <w:sz w:val="20"/>
              </w:rPr>
              <w:t>(</w:t>
            </w:r>
            <w:r w:rsidRPr="0059698A">
              <w:rPr>
                <w:rFonts w:ascii="Arial Narrow" w:hAnsi="Arial Narrow"/>
                <w:sz w:val="20"/>
              </w:rPr>
              <w:t>0.65, 3.48</w:t>
            </w:r>
            <w:r>
              <w:rPr>
                <w:rFonts w:ascii="Arial Narrow" w:hAnsi="Arial Narrow"/>
                <w:sz w:val="20"/>
              </w:rPr>
              <w:t>)</w:t>
            </w:r>
          </w:p>
        </w:tc>
        <w:tc>
          <w:tcPr>
            <w:tcW w:w="753" w:type="pct"/>
            <w:shd w:val="clear" w:color="auto" w:fill="auto"/>
            <w:vAlign w:val="center"/>
          </w:tcPr>
          <w:p w:rsidR="0084019F" w:rsidRPr="00573C6A" w:rsidRDefault="0084019F" w:rsidP="00F35123">
            <w:pPr>
              <w:keepNext/>
              <w:jc w:val="center"/>
              <w:rPr>
                <w:rFonts w:ascii="Arial Narrow" w:hAnsi="Arial Narrow"/>
                <w:i/>
                <w:sz w:val="20"/>
              </w:rPr>
            </w:pPr>
            <w:r w:rsidRPr="00573C6A">
              <w:rPr>
                <w:rFonts w:ascii="Arial Narrow" w:hAnsi="Arial Narrow"/>
                <w:i/>
                <w:sz w:val="20"/>
              </w:rPr>
              <w:t>10.0 (3.3, NA)</w:t>
            </w:r>
          </w:p>
        </w:tc>
      </w:tr>
      <w:tr w:rsidR="0084019F" w:rsidRPr="00E2771E" w:rsidTr="00F35123">
        <w:tc>
          <w:tcPr>
            <w:tcW w:w="765" w:type="pct"/>
            <w:shd w:val="clear" w:color="auto" w:fill="auto"/>
            <w:vAlign w:val="center"/>
          </w:tcPr>
          <w:p w:rsidR="0084019F" w:rsidRPr="00E2771E" w:rsidRDefault="0084019F" w:rsidP="00F35123">
            <w:pPr>
              <w:keepNext/>
              <w:jc w:val="left"/>
              <w:rPr>
                <w:rFonts w:ascii="Arial Narrow" w:hAnsi="Arial Narrow"/>
                <w:sz w:val="20"/>
                <w:lang w:val="en-US"/>
              </w:rPr>
            </w:pPr>
            <w:r w:rsidRPr="00931FDE">
              <w:rPr>
                <w:rFonts w:ascii="Arial Narrow" w:hAnsi="Arial Narrow"/>
                <w:sz w:val="20"/>
              </w:rPr>
              <w:t>Rapoport 2010</w:t>
            </w:r>
          </w:p>
        </w:tc>
        <w:tc>
          <w:tcPr>
            <w:tcW w:w="935"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292/425 (68.7)</w:t>
            </w:r>
          </w:p>
        </w:tc>
        <w:tc>
          <w:tcPr>
            <w:tcW w:w="932"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229/407 (56.3)</w:t>
            </w:r>
          </w:p>
        </w:tc>
        <w:tc>
          <w:tcPr>
            <w:tcW w:w="851"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 xml:space="preserve">0.12 </w:t>
            </w:r>
            <w:r>
              <w:rPr>
                <w:rFonts w:ascii="Arial Narrow" w:hAnsi="Arial Narrow"/>
                <w:sz w:val="20"/>
              </w:rPr>
              <w:t>(</w:t>
            </w:r>
            <w:r w:rsidRPr="0059698A">
              <w:rPr>
                <w:rFonts w:ascii="Arial Narrow" w:hAnsi="Arial Narrow"/>
                <w:sz w:val="20"/>
              </w:rPr>
              <w:t>0.06, 0.19</w:t>
            </w:r>
            <w:r>
              <w:rPr>
                <w:rFonts w:ascii="Arial Narrow" w:hAnsi="Arial Narrow"/>
                <w:sz w:val="20"/>
              </w:rPr>
              <w:t>)</w:t>
            </w:r>
          </w:p>
        </w:tc>
        <w:tc>
          <w:tcPr>
            <w:tcW w:w="764"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 xml:space="preserve">1.71 </w:t>
            </w:r>
            <w:r>
              <w:rPr>
                <w:rFonts w:ascii="Arial Narrow" w:hAnsi="Arial Narrow"/>
                <w:sz w:val="20"/>
              </w:rPr>
              <w:t>(</w:t>
            </w:r>
            <w:r w:rsidRPr="0059698A">
              <w:rPr>
                <w:rFonts w:ascii="Arial Narrow" w:hAnsi="Arial Narrow"/>
                <w:sz w:val="20"/>
              </w:rPr>
              <w:t>1.29, 2.27</w:t>
            </w:r>
            <w:r>
              <w:rPr>
                <w:rFonts w:ascii="Arial Narrow" w:hAnsi="Arial Narrow"/>
                <w:sz w:val="20"/>
              </w:rPr>
              <w:t>)</w:t>
            </w:r>
          </w:p>
        </w:tc>
        <w:tc>
          <w:tcPr>
            <w:tcW w:w="753" w:type="pct"/>
            <w:shd w:val="clear" w:color="auto" w:fill="auto"/>
            <w:vAlign w:val="center"/>
          </w:tcPr>
          <w:p w:rsidR="0084019F" w:rsidRPr="00573C6A" w:rsidRDefault="0084019F" w:rsidP="00F35123">
            <w:pPr>
              <w:keepNext/>
              <w:jc w:val="center"/>
              <w:rPr>
                <w:rFonts w:ascii="Arial Narrow" w:hAnsi="Arial Narrow"/>
                <w:i/>
                <w:sz w:val="20"/>
              </w:rPr>
            </w:pPr>
            <w:r w:rsidRPr="00573C6A">
              <w:rPr>
                <w:rFonts w:ascii="Arial Narrow" w:hAnsi="Arial Narrow"/>
                <w:i/>
                <w:sz w:val="20"/>
              </w:rPr>
              <w:t>8.3 (5.3, 16.7)</w:t>
            </w:r>
          </w:p>
        </w:tc>
      </w:tr>
      <w:tr w:rsidR="0084019F" w:rsidRPr="00E2771E" w:rsidTr="00F35123">
        <w:tc>
          <w:tcPr>
            <w:tcW w:w="765" w:type="pct"/>
            <w:shd w:val="clear" w:color="auto" w:fill="auto"/>
            <w:vAlign w:val="center"/>
          </w:tcPr>
          <w:p w:rsidR="0084019F" w:rsidRPr="00E2771E" w:rsidRDefault="0084019F" w:rsidP="00F35123">
            <w:pPr>
              <w:keepNext/>
              <w:jc w:val="left"/>
              <w:rPr>
                <w:rFonts w:ascii="Arial Narrow" w:hAnsi="Arial Narrow"/>
                <w:sz w:val="20"/>
                <w:lang w:val="en-US"/>
              </w:rPr>
            </w:pPr>
            <w:r w:rsidRPr="00E2771E">
              <w:rPr>
                <w:rFonts w:ascii="Arial Narrow" w:hAnsi="Arial Narrow"/>
                <w:sz w:val="20"/>
                <w:lang w:val="en-US"/>
              </w:rPr>
              <w:t>Pooled result</w:t>
            </w:r>
            <w:r>
              <w:rPr>
                <w:rFonts w:ascii="Arial Narrow" w:hAnsi="Arial Narrow"/>
                <w:sz w:val="20"/>
                <w:lang w:val="en-US"/>
              </w:rPr>
              <w:t>, random effects</w:t>
            </w:r>
          </w:p>
        </w:tc>
        <w:tc>
          <w:tcPr>
            <w:tcW w:w="935" w:type="pct"/>
            <w:shd w:val="clear" w:color="auto" w:fill="auto"/>
            <w:vAlign w:val="center"/>
          </w:tcPr>
          <w:p w:rsidR="0084019F" w:rsidRPr="00573C6A" w:rsidRDefault="0084019F" w:rsidP="00F35123">
            <w:pPr>
              <w:keepNext/>
              <w:jc w:val="center"/>
              <w:rPr>
                <w:rFonts w:ascii="Arial Narrow" w:hAnsi="Arial Narrow"/>
                <w:i/>
                <w:sz w:val="20"/>
              </w:rPr>
            </w:pPr>
            <w:r w:rsidRPr="00573C6A">
              <w:rPr>
                <w:rFonts w:ascii="Arial Narrow" w:hAnsi="Arial Narrow"/>
                <w:i/>
                <w:sz w:val="20"/>
              </w:rPr>
              <w:t>866/1,159 (74.7)</w:t>
            </w:r>
          </w:p>
        </w:tc>
        <w:tc>
          <w:tcPr>
            <w:tcW w:w="932" w:type="pct"/>
            <w:shd w:val="clear" w:color="auto" w:fill="auto"/>
            <w:vAlign w:val="center"/>
          </w:tcPr>
          <w:p w:rsidR="0084019F" w:rsidRPr="00573C6A" w:rsidRDefault="0084019F" w:rsidP="00F35123">
            <w:pPr>
              <w:keepNext/>
              <w:jc w:val="center"/>
              <w:rPr>
                <w:rFonts w:ascii="Arial Narrow" w:hAnsi="Arial Narrow"/>
                <w:i/>
                <w:sz w:val="20"/>
              </w:rPr>
            </w:pPr>
            <w:r w:rsidRPr="00573C6A">
              <w:rPr>
                <w:rFonts w:ascii="Arial Narrow" w:hAnsi="Arial Narrow"/>
                <w:i/>
                <w:sz w:val="20"/>
              </w:rPr>
              <w:t>722/1,134 (63.7)</w:t>
            </w:r>
          </w:p>
        </w:tc>
        <w:tc>
          <w:tcPr>
            <w:tcW w:w="851"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 xml:space="preserve">0.11 </w:t>
            </w:r>
            <w:r>
              <w:rPr>
                <w:rFonts w:ascii="Arial Narrow" w:hAnsi="Arial Narrow"/>
                <w:sz w:val="20"/>
              </w:rPr>
              <w:t>(</w:t>
            </w:r>
            <w:r w:rsidRPr="0059698A">
              <w:rPr>
                <w:rFonts w:ascii="Arial Narrow" w:hAnsi="Arial Narrow"/>
                <w:sz w:val="20"/>
              </w:rPr>
              <w:t>0.07, 0.15</w:t>
            </w:r>
            <w:r>
              <w:rPr>
                <w:rFonts w:ascii="Arial Narrow" w:hAnsi="Arial Narrow"/>
                <w:sz w:val="20"/>
              </w:rPr>
              <w:t>)</w:t>
            </w:r>
          </w:p>
        </w:tc>
        <w:tc>
          <w:tcPr>
            <w:tcW w:w="764" w:type="pct"/>
            <w:shd w:val="clear" w:color="auto" w:fill="auto"/>
            <w:vAlign w:val="center"/>
          </w:tcPr>
          <w:p w:rsidR="0084019F" w:rsidRPr="0059698A" w:rsidRDefault="0084019F" w:rsidP="00F35123">
            <w:pPr>
              <w:keepNext/>
              <w:jc w:val="center"/>
              <w:rPr>
                <w:rFonts w:ascii="Arial Narrow" w:hAnsi="Arial Narrow"/>
                <w:sz w:val="20"/>
              </w:rPr>
            </w:pPr>
            <w:r w:rsidRPr="0059698A">
              <w:rPr>
                <w:rFonts w:ascii="Arial Narrow" w:hAnsi="Arial Narrow"/>
                <w:sz w:val="20"/>
              </w:rPr>
              <w:t xml:space="preserve">1.71 </w:t>
            </w:r>
            <w:r>
              <w:rPr>
                <w:rFonts w:ascii="Arial Narrow" w:hAnsi="Arial Narrow"/>
                <w:sz w:val="20"/>
              </w:rPr>
              <w:t>(</w:t>
            </w:r>
            <w:r w:rsidRPr="0059698A">
              <w:rPr>
                <w:rFonts w:ascii="Arial Narrow" w:hAnsi="Arial Narrow"/>
                <w:sz w:val="20"/>
              </w:rPr>
              <w:t>1.43, 2.05</w:t>
            </w:r>
            <w:r>
              <w:rPr>
                <w:rFonts w:ascii="Arial Narrow" w:hAnsi="Arial Narrow"/>
                <w:sz w:val="20"/>
              </w:rPr>
              <w:t>)</w:t>
            </w:r>
          </w:p>
        </w:tc>
        <w:tc>
          <w:tcPr>
            <w:tcW w:w="753" w:type="pct"/>
            <w:shd w:val="clear" w:color="auto" w:fill="auto"/>
            <w:vAlign w:val="center"/>
          </w:tcPr>
          <w:p w:rsidR="0084019F" w:rsidRPr="00573C6A" w:rsidRDefault="0084019F" w:rsidP="00F35123">
            <w:pPr>
              <w:keepNext/>
              <w:jc w:val="center"/>
              <w:rPr>
                <w:rFonts w:ascii="Arial Narrow" w:hAnsi="Arial Narrow"/>
                <w:i/>
                <w:sz w:val="20"/>
              </w:rPr>
            </w:pPr>
            <w:r w:rsidRPr="00573C6A">
              <w:rPr>
                <w:rFonts w:ascii="Arial Narrow" w:hAnsi="Arial Narrow"/>
                <w:i/>
                <w:sz w:val="20"/>
              </w:rPr>
              <w:t>9.1 (6.7, 14.3)</w:t>
            </w:r>
          </w:p>
        </w:tc>
      </w:tr>
      <w:tr w:rsidR="0084019F" w:rsidRPr="00E2771E" w:rsidTr="00F35123">
        <w:tc>
          <w:tcPr>
            <w:tcW w:w="5000" w:type="pct"/>
            <w:gridSpan w:val="6"/>
            <w:shd w:val="clear" w:color="auto" w:fill="auto"/>
            <w:vAlign w:val="center"/>
          </w:tcPr>
          <w:p w:rsidR="0084019F" w:rsidRPr="00E2771E" w:rsidRDefault="0084019F" w:rsidP="00F35123">
            <w:pPr>
              <w:keepNext/>
              <w:jc w:val="left"/>
              <w:rPr>
                <w:rFonts w:ascii="Arial Narrow" w:hAnsi="Arial Narrow"/>
                <w:sz w:val="20"/>
                <w:lang w:val="en-US"/>
              </w:rPr>
            </w:pPr>
            <w:r w:rsidRPr="00E2771E">
              <w:rPr>
                <w:rFonts w:ascii="Arial Narrow" w:hAnsi="Arial Narrow"/>
                <w:sz w:val="20"/>
                <w:lang w:val="en-US"/>
              </w:rPr>
              <w:t xml:space="preserve">Chi-square for heterogeneity: </w:t>
            </w:r>
            <w:r w:rsidRPr="00E2771E">
              <w:rPr>
                <w:rFonts w:ascii="Arial Narrow" w:hAnsi="Arial Narrow"/>
                <w:i/>
                <w:sz w:val="20"/>
                <w:lang w:val="en-US"/>
              </w:rPr>
              <w:t>P=</w:t>
            </w:r>
            <w:r>
              <w:rPr>
                <w:rFonts w:ascii="Arial Narrow" w:hAnsi="Arial Narrow"/>
                <w:i/>
                <w:sz w:val="20"/>
                <w:lang w:val="en-US"/>
              </w:rPr>
              <w:t>0.94</w:t>
            </w:r>
          </w:p>
        </w:tc>
      </w:tr>
    </w:tbl>
    <w:p w:rsidR="0084019F" w:rsidRPr="005E366B" w:rsidRDefault="0084019F" w:rsidP="00D8204C">
      <w:pPr>
        <w:keepNext/>
        <w:ind w:firstLine="720"/>
        <w:jc w:val="left"/>
        <w:rPr>
          <w:rFonts w:ascii="Arial Narrow" w:hAnsi="Arial Narrow"/>
          <w:sz w:val="20"/>
          <w:lang w:val="en-US"/>
        </w:rPr>
      </w:pPr>
      <w:r w:rsidRPr="005E366B">
        <w:rPr>
          <w:rFonts w:ascii="Arial Narrow" w:hAnsi="Arial Narrow"/>
          <w:sz w:val="20"/>
          <w:lang w:val="en-US"/>
        </w:rPr>
        <w:t>Source: Table B.6-1, p81 of the submission and calculated during evaluation</w:t>
      </w:r>
    </w:p>
    <w:p w:rsidR="007F1017" w:rsidRPr="0084019F" w:rsidRDefault="007F1017" w:rsidP="0084019F">
      <w:pPr>
        <w:keepNext/>
        <w:widowControl/>
        <w:rPr>
          <w:szCs w:val="22"/>
        </w:rPr>
      </w:pPr>
    </w:p>
    <w:p w:rsidR="00320392" w:rsidRPr="00320392" w:rsidRDefault="00320392" w:rsidP="00C66229">
      <w:pPr>
        <w:pStyle w:val="ListParagraph"/>
        <w:keepNext/>
        <w:widowControl/>
        <w:numPr>
          <w:ilvl w:val="1"/>
          <w:numId w:val="3"/>
        </w:numPr>
        <w:rPr>
          <w:szCs w:val="22"/>
        </w:rPr>
      </w:pPr>
      <w:r w:rsidRPr="00320392">
        <w:rPr>
          <w:szCs w:val="22"/>
        </w:rPr>
        <w:t>The results from the meta-analyses demonstrated that (p79 of the submission):</w:t>
      </w:r>
    </w:p>
    <w:p w:rsidR="00320392" w:rsidRPr="0055657A" w:rsidRDefault="00320392" w:rsidP="00C66229">
      <w:pPr>
        <w:pStyle w:val="ListParagraph"/>
        <w:numPr>
          <w:ilvl w:val="0"/>
          <w:numId w:val="5"/>
        </w:numPr>
        <w:ind w:left="1134"/>
      </w:pPr>
      <w:r>
        <w:t xml:space="preserve">A statistically significantly higher proportion of </w:t>
      </w:r>
      <w:r w:rsidRPr="0055657A">
        <w:t xml:space="preserve">patients treated with aprepitant compared with those receiving the control reported complete response in the overall (0-120 hours following initiation of </w:t>
      </w:r>
      <w:r w:rsidR="009234AB" w:rsidRPr="0055657A">
        <w:t>chemotherapy</w:t>
      </w:r>
      <w:r w:rsidRPr="0055657A">
        <w:t xml:space="preserve">), acute (0-24 hours following initiation of </w:t>
      </w:r>
      <w:r w:rsidR="00870A82" w:rsidRPr="0055657A">
        <w:t>chemotherapy</w:t>
      </w:r>
      <w:r w:rsidRPr="0055657A">
        <w:t>) and delayed phases (25-120 hours).</w:t>
      </w:r>
    </w:p>
    <w:p w:rsidR="00320392" w:rsidRPr="0055657A" w:rsidRDefault="00320392" w:rsidP="00C66229">
      <w:pPr>
        <w:pStyle w:val="ListParagraph"/>
        <w:numPr>
          <w:ilvl w:val="0"/>
          <w:numId w:val="5"/>
        </w:numPr>
        <w:ind w:left="1134"/>
      </w:pPr>
      <w:r w:rsidRPr="0055657A">
        <w:t xml:space="preserve">A statistically significantly higher proportion of patients treated with aprepitant compared with those receiving the control reported no vomiting consistently in the overall phase, the acute phase, and the delayed phase. </w:t>
      </w:r>
    </w:p>
    <w:p w:rsidR="00320392" w:rsidRPr="0055657A" w:rsidRDefault="00320392" w:rsidP="00C66229">
      <w:pPr>
        <w:pStyle w:val="ListParagraph"/>
        <w:numPr>
          <w:ilvl w:val="0"/>
          <w:numId w:val="5"/>
        </w:numPr>
        <w:ind w:left="1134"/>
      </w:pPr>
      <w:r w:rsidRPr="0055657A">
        <w:t>A statistically significantly higher proportion of patients treated with aprepitant compared with those treated with the control regimen did not require rescue medication in the overall phase.</w:t>
      </w:r>
    </w:p>
    <w:p w:rsidR="00320392" w:rsidRPr="0055657A" w:rsidRDefault="00320392" w:rsidP="00C66229">
      <w:pPr>
        <w:pStyle w:val="ListParagraph"/>
        <w:numPr>
          <w:ilvl w:val="0"/>
          <w:numId w:val="5"/>
        </w:numPr>
        <w:ind w:left="1134"/>
      </w:pPr>
      <w:r w:rsidRPr="0055657A">
        <w:t>A statistically significantly higher proportion of patients treated with aprepitant compared with those treated with the control regimen reported no significant nausea in the overall phase.</w:t>
      </w:r>
    </w:p>
    <w:p w:rsidR="00320392" w:rsidRPr="0055657A" w:rsidRDefault="00320392" w:rsidP="00C66229">
      <w:pPr>
        <w:pStyle w:val="BodyText"/>
        <w:numPr>
          <w:ilvl w:val="0"/>
          <w:numId w:val="5"/>
        </w:numPr>
        <w:ind w:left="1134"/>
        <w:jc w:val="both"/>
      </w:pPr>
      <w:r w:rsidRPr="0055657A">
        <w:t xml:space="preserve">The time to first vomiting, regardless of use of rescue medication, was </w:t>
      </w:r>
      <w:r w:rsidRPr="0055657A">
        <w:lastRenderedPageBreak/>
        <w:t>statistically significantly longer in patients treated with aprepitant compared with those receiving the control (p &lt; 0.001 in both Protocol 031 and Rapoport 2010</w:t>
      </w:r>
      <w:r w:rsidRPr="0055657A">
        <w:rPr>
          <w:rStyle w:val="FootnoteReference"/>
        </w:rPr>
        <w:footnoteReference w:id="1"/>
      </w:r>
      <w:r w:rsidRPr="0055657A">
        <w:t>).</w:t>
      </w:r>
    </w:p>
    <w:p w:rsidR="00320392" w:rsidRPr="00320392" w:rsidRDefault="00320392" w:rsidP="00C66229">
      <w:pPr>
        <w:pStyle w:val="ListParagraph"/>
        <w:numPr>
          <w:ilvl w:val="0"/>
          <w:numId w:val="5"/>
        </w:numPr>
        <w:ind w:left="1134"/>
      </w:pPr>
      <w:r w:rsidRPr="0055657A">
        <w:t>The aprepitant regimen reduced the impact chemotherapy has on daily life compared to the control regimen as measured by the proportion of subjects who had “no impact” of CINV assessed using the Functional Living Index – Emesis (FLIE) questionnaire in the overall phase</w:t>
      </w:r>
      <w:r w:rsidRPr="001A71CC">
        <w:t>.</w:t>
      </w:r>
    </w:p>
    <w:p w:rsidR="00320392" w:rsidRDefault="00320392" w:rsidP="00B60939">
      <w:pPr>
        <w:rPr>
          <w:szCs w:val="22"/>
        </w:rPr>
      </w:pPr>
    </w:p>
    <w:p w:rsidR="00F724F3" w:rsidRPr="008C1F4F" w:rsidRDefault="00F724F3" w:rsidP="00C66229">
      <w:pPr>
        <w:pStyle w:val="ListParagraph"/>
        <w:keepNext/>
        <w:widowControl/>
        <w:numPr>
          <w:ilvl w:val="1"/>
          <w:numId w:val="3"/>
        </w:numPr>
        <w:rPr>
          <w:szCs w:val="22"/>
        </w:rPr>
      </w:pPr>
      <w:r w:rsidRPr="008C1F4F">
        <w:rPr>
          <w:szCs w:val="22"/>
        </w:rPr>
        <w:t xml:space="preserve">The ESC noted the following </w:t>
      </w:r>
      <w:r w:rsidR="000E66D5" w:rsidRPr="008C1F4F">
        <w:rPr>
          <w:szCs w:val="22"/>
        </w:rPr>
        <w:t>reasons why</w:t>
      </w:r>
      <w:r w:rsidRPr="008C1F4F">
        <w:rPr>
          <w:szCs w:val="22"/>
        </w:rPr>
        <w:t xml:space="preserve"> the comparative effectiveness</w:t>
      </w:r>
      <w:r w:rsidR="000E66D5" w:rsidRPr="008C1F4F">
        <w:rPr>
          <w:szCs w:val="22"/>
        </w:rPr>
        <w:t xml:space="preserve"> may be over-estimated</w:t>
      </w:r>
      <w:r w:rsidRPr="008C1F4F">
        <w:rPr>
          <w:szCs w:val="22"/>
        </w:rPr>
        <w:t>:</w:t>
      </w:r>
    </w:p>
    <w:p w:rsidR="00F724F3" w:rsidRPr="007E7BDC" w:rsidRDefault="00F724F3" w:rsidP="00C66229">
      <w:pPr>
        <w:numPr>
          <w:ilvl w:val="0"/>
          <w:numId w:val="5"/>
        </w:numPr>
        <w:tabs>
          <w:tab w:val="left" w:pos="6300"/>
        </w:tabs>
        <w:ind w:left="1134"/>
      </w:pPr>
      <w:r w:rsidRPr="007E7BDC">
        <w:t>Patients were treated with chemotherapies other than oxaliplatin and carboplatin. In particular, the magnitude of comparative effectiveness was overestimated due to Rapoport 2010 including patients treated with anthracycline-containing regimens</w:t>
      </w:r>
      <w:r w:rsidRPr="007E7BDC">
        <w:rPr>
          <w:rStyle w:val="FootnoteReference"/>
        </w:rPr>
        <w:footnoteReference w:id="2"/>
      </w:r>
      <w:r w:rsidRPr="007E7BDC">
        <w:t>.</w:t>
      </w:r>
    </w:p>
    <w:p w:rsidR="00F724F3" w:rsidRPr="007E7BDC" w:rsidRDefault="00F724F3" w:rsidP="00C66229">
      <w:pPr>
        <w:numPr>
          <w:ilvl w:val="0"/>
          <w:numId w:val="5"/>
        </w:numPr>
        <w:tabs>
          <w:tab w:val="left" w:pos="6300"/>
        </w:tabs>
        <w:ind w:left="1134"/>
      </w:pPr>
      <w:r w:rsidRPr="007E7BDC">
        <w:t>The magnitude of comparative effectiveness may also be overestimated due to Nishimura 2015 using an open-label trial design which collected patient-reported outcomes</w:t>
      </w:r>
      <w:r w:rsidRPr="007E7BDC">
        <w:rPr>
          <w:rStyle w:val="FootnoteReference"/>
        </w:rPr>
        <w:footnoteReference w:id="3"/>
      </w:r>
      <w:r w:rsidRPr="007E7BDC">
        <w:t>.</w:t>
      </w:r>
    </w:p>
    <w:p w:rsidR="00F724F3" w:rsidRDefault="00F724F3" w:rsidP="00C66229">
      <w:pPr>
        <w:pStyle w:val="ListParagraph"/>
        <w:numPr>
          <w:ilvl w:val="0"/>
          <w:numId w:val="1"/>
        </w:numPr>
        <w:tabs>
          <w:tab w:val="left" w:pos="6300"/>
        </w:tabs>
        <w:ind w:left="1134"/>
      </w:pPr>
      <w:r w:rsidRPr="007E7BDC">
        <w:t>Nishimura 2015, Tanioka 2013 and Rapoport 2010 were analysed on a per protocol basis, and consequently there may be incomplete follow-up bias</w:t>
      </w:r>
      <w:r w:rsidRPr="007E7BDC">
        <w:rPr>
          <w:rStyle w:val="FootnoteReference"/>
        </w:rPr>
        <w:footnoteReference w:id="4"/>
      </w:r>
      <w:r w:rsidRPr="007E7BDC">
        <w:t>.</w:t>
      </w:r>
    </w:p>
    <w:p w:rsidR="00F724F3" w:rsidRDefault="00F724F3" w:rsidP="00F724F3">
      <w:pPr>
        <w:tabs>
          <w:tab w:val="left" w:pos="6300"/>
        </w:tabs>
        <w:ind w:left="774"/>
      </w:pPr>
    </w:p>
    <w:p w:rsidR="00F724F3" w:rsidRPr="008C1F4F" w:rsidRDefault="00F724F3" w:rsidP="00C66229">
      <w:pPr>
        <w:pStyle w:val="ListParagraph"/>
        <w:keepNext/>
        <w:widowControl/>
        <w:numPr>
          <w:ilvl w:val="1"/>
          <w:numId w:val="3"/>
        </w:numPr>
      </w:pPr>
      <w:r w:rsidRPr="008C1F4F">
        <w:t>The PSCR (p2) argued that “adjusting for small issues of heterogeneity between the included trials does not significantly alter the magnitude of the observed treatment effect…As noted by the evaluation, using the complete response for non-anthracycline based regimens from Rapoport 2010, the pooled odds ratio is only marginally reduced (from 1.71 to 1.65).”</w:t>
      </w:r>
    </w:p>
    <w:p w:rsidR="00F724F3" w:rsidRPr="00F724F3" w:rsidRDefault="00F724F3" w:rsidP="00B60939">
      <w:pPr>
        <w:rPr>
          <w:i/>
          <w:szCs w:val="22"/>
        </w:rPr>
      </w:pPr>
    </w:p>
    <w:p w:rsidR="00B60939" w:rsidRDefault="00B60939" w:rsidP="003F4A75">
      <w:pPr>
        <w:pStyle w:val="Heading2"/>
      </w:pPr>
      <w:bookmarkStart w:id="10" w:name="_Toc430011618"/>
      <w:r w:rsidRPr="002C2775">
        <w:t>Comparative harms</w:t>
      </w:r>
      <w:bookmarkEnd w:id="10"/>
    </w:p>
    <w:p w:rsidR="0084019F" w:rsidRPr="0084019F" w:rsidRDefault="0084019F" w:rsidP="0084019F"/>
    <w:p w:rsidR="0084019F" w:rsidRPr="0084019F" w:rsidRDefault="0084019F" w:rsidP="00C66229">
      <w:pPr>
        <w:pStyle w:val="ListParagraph"/>
        <w:keepNext/>
        <w:widowControl/>
        <w:numPr>
          <w:ilvl w:val="1"/>
          <w:numId w:val="3"/>
        </w:numPr>
        <w:rPr>
          <w:rStyle w:val="CommentReference"/>
        </w:rPr>
      </w:pPr>
      <w:r w:rsidRPr="0084019F">
        <w:rPr>
          <w:rStyle w:val="CommentReference"/>
        </w:rPr>
        <w:t>Table 4: Pooled results, random effects, of adverse events across the direct randomised trials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Summary of comparative harms"/>
      </w:tblPr>
      <w:tblGrid>
        <w:gridCol w:w="1276"/>
        <w:gridCol w:w="1561"/>
        <w:gridCol w:w="1556"/>
        <w:gridCol w:w="1420"/>
        <w:gridCol w:w="1275"/>
        <w:gridCol w:w="1257"/>
      </w:tblGrid>
      <w:tr w:rsidR="0084019F" w:rsidRPr="00E2771E" w:rsidTr="00F35123">
        <w:tc>
          <w:tcPr>
            <w:tcW w:w="765" w:type="pct"/>
            <w:shd w:val="clear" w:color="auto" w:fill="auto"/>
            <w:vAlign w:val="center"/>
          </w:tcPr>
          <w:p w:rsidR="0084019F" w:rsidRPr="00E2771E" w:rsidRDefault="0084019F" w:rsidP="00F35123">
            <w:pPr>
              <w:keepNext/>
              <w:jc w:val="left"/>
              <w:rPr>
                <w:rFonts w:ascii="Arial Narrow" w:hAnsi="Arial Narrow"/>
                <w:b/>
                <w:sz w:val="20"/>
                <w:lang w:val="en-US"/>
              </w:rPr>
            </w:pPr>
            <w:r w:rsidRPr="00E2771E">
              <w:rPr>
                <w:rFonts w:ascii="Arial Narrow" w:hAnsi="Arial Narrow"/>
                <w:b/>
                <w:sz w:val="20"/>
                <w:lang w:val="en-US"/>
              </w:rPr>
              <w:t>Trial ID</w:t>
            </w:r>
          </w:p>
        </w:tc>
        <w:tc>
          <w:tcPr>
            <w:tcW w:w="935" w:type="pct"/>
            <w:shd w:val="clear" w:color="auto" w:fill="auto"/>
            <w:vAlign w:val="center"/>
          </w:tcPr>
          <w:p w:rsidR="0084019F" w:rsidRPr="009234AB" w:rsidRDefault="0084019F" w:rsidP="00F35123">
            <w:pPr>
              <w:keepNext/>
              <w:jc w:val="center"/>
              <w:rPr>
                <w:rFonts w:ascii="Arial Narrow" w:hAnsi="Arial Narrow"/>
                <w:b/>
                <w:sz w:val="20"/>
                <w:lang w:val="en-US"/>
              </w:rPr>
            </w:pPr>
            <w:r w:rsidRPr="009234AB">
              <w:rPr>
                <w:rFonts w:ascii="Arial Narrow" w:hAnsi="Arial Narrow"/>
                <w:b/>
                <w:sz w:val="20"/>
                <w:lang w:val="en-US"/>
              </w:rPr>
              <w:t>Aprepitant</w:t>
            </w:r>
          </w:p>
          <w:p w:rsidR="0084019F" w:rsidRPr="009234AB" w:rsidRDefault="0084019F" w:rsidP="00F35123">
            <w:pPr>
              <w:keepNext/>
              <w:jc w:val="center"/>
              <w:rPr>
                <w:rFonts w:ascii="Arial Narrow" w:hAnsi="Arial Narrow"/>
                <w:b/>
                <w:sz w:val="20"/>
                <w:lang w:val="en-US"/>
              </w:rPr>
            </w:pPr>
            <w:r w:rsidRPr="009234AB">
              <w:rPr>
                <w:rFonts w:ascii="Arial Narrow" w:hAnsi="Arial Narrow"/>
                <w:b/>
                <w:sz w:val="20"/>
                <w:lang w:val="en-US"/>
              </w:rPr>
              <w:t>n with event/N (%)</w:t>
            </w:r>
          </w:p>
        </w:tc>
        <w:tc>
          <w:tcPr>
            <w:tcW w:w="932" w:type="pct"/>
            <w:shd w:val="clear" w:color="auto" w:fill="auto"/>
            <w:vAlign w:val="center"/>
          </w:tcPr>
          <w:p w:rsidR="0084019F" w:rsidRPr="009234AB" w:rsidRDefault="0084019F" w:rsidP="00F35123">
            <w:pPr>
              <w:keepNext/>
              <w:jc w:val="center"/>
              <w:rPr>
                <w:rFonts w:ascii="Arial Narrow" w:hAnsi="Arial Narrow"/>
                <w:b/>
                <w:sz w:val="20"/>
                <w:lang w:val="en-US"/>
              </w:rPr>
            </w:pPr>
            <w:r w:rsidRPr="009234AB">
              <w:rPr>
                <w:rFonts w:ascii="Arial Narrow" w:hAnsi="Arial Narrow"/>
                <w:b/>
                <w:sz w:val="20"/>
                <w:lang w:val="en-US"/>
              </w:rPr>
              <w:t>Control</w:t>
            </w:r>
          </w:p>
          <w:p w:rsidR="0084019F" w:rsidRPr="009234AB" w:rsidRDefault="0084019F" w:rsidP="00F35123">
            <w:pPr>
              <w:keepNext/>
              <w:jc w:val="center"/>
              <w:rPr>
                <w:rFonts w:ascii="Arial Narrow" w:hAnsi="Arial Narrow"/>
                <w:b/>
                <w:sz w:val="20"/>
                <w:lang w:val="en-US"/>
              </w:rPr>
            </w:pPr>
            <w:r w:rsidRPr="009234AB">
              <w:rPr>
                <w:rFonts w:ascii="Arial Narrow" w:hAnsi="Arial Narrow"/>
                <w:b/>
                <w:sz w:val="20"/>
                <w:lang w:val="en-US"/>
              </w:rPr>
              <w:t>n with event/N (%)</w:t>
            </w:r>
          </w:p>
        </w:tc>
        <w:tc>
          <w:tcPr>
            <w:tcW w:w="851" w:type="pct"/>
            <w:shd w:val="clear" w:color="auto" w:fill="auto"/>
            <w:vAlign w:val="center"/>
          </w:tcPr>
          <w:p w:rsidR="0084019F" w:rsidRPr="009234AB" w:rsidRDefault="0084019F" w:rsidP="00F35123">
            <w:pPr>
              <w:keepNext/>
              <w:jc w:val="center"/>
              <w:rPr>
                <w:rFonts w:ascii="Arial Narrow" w:hAnsi="Arial Narrow"/>
                <w:b/>
                <w:sz w:val="20"/>
                <w:lang w:val="en-US"/>
              </w:rPr>
            </w:pPr>
            <w:r w:rsidRPr="009234AB">
              <w:rPr>
                <w:rFonts w:ascii="Arial Narrow" w:hAnsi="Arial Narrow"/>
                <w:b/>
                <w:sz w:val="20"/>
                <w:lang w:val="en-US"/>
              </w:rPr>
              <w:t>Absolute difference</w:t>
            </w:r>
          </w:p>
          <w:p w:rsidR="0084019F" w:rsidRPr="009234AB" w:rsidRDefault="0084019F" w:rsidP="00F35123">
            <w:pPr>
              <w:keepNext/>
              <w:jc w:val="center"/>
              <w:rPr>
                <w:rFonts w:ascii="Arial Narrow" w:hAnsi="Arial Narrow"/>
                <w:b/>
                <w:sz w:val="20"/>
                <w:lang w:val="en-US"/>
              </w:rPr>
            </w:pPr>
            <w:r w:rsidRPr="009234AB">
              <w:rPr>
                <w:rFonts w:ascii="Arial Narrow" w:hAnsi="Arial Narrow"/>
                <w:b/>
                <w:sz w:val="20"/>
                <w:lang w:val="en-US"/>
              </w:rPr>
              <w:t>RD (95% CI)</w:t>
            </w:r>
          </w:p>
        </w:tc>
        <w:tc>
          <w:tcPr>
            <w:tcW w:w="764" w:type="pct"/>
            <w:shd w:val="clear" w:color="auto" w:fill="auto"/>
            <w:vAlign w:val="center"/>
          </w:tcPr>
          <w:p w:rsidR="0084019F" w:rsidRPr="009234AB" w:rsidRDefault="0084019F" w:rsidP="00F35123">
            <w:pPr>
              <w:keepNext/>
              <w:jc w:val="center"/>
              <w:rPr>
                <w:rFonts w:ascii="Arial Narrow" w:hAnsi="Arial Narrow"/>
                <w:b/>
                <w:sz w:val="20"/>
                <w:lang w:val="en-US"/>
              </w:rPr>
            </w:pPr>
            <w:r w:rsidRPr="009234AB">
              <w:rPr>
                <w:rFonts w:ascii="Arial Narrow" w:hAnsi="Arial Narrow"/>
                <w:b/>
                <w:sz w:val="20"/>
                <w:lang w:val="en-US"/>
              </w:rPr>
              <w:t>Relative difference</w:t>
            </w:r>
          </w:p>
          <w:p w:rsidR="0084019F" w:rsidRPr="009234AB" w:rsidRDefault="0084019F" w:rsidP="00F35123">
            <w:pPr>
              <w:keepNext/>
              <w:jc w:val="center"/>
              <w:rPr>
                <w:rFonts w:ascii="Arial Narrow" w:hAnsi="Arial Narrow"/>
                <w:b/>
                <w:sz w:val="20"/>
                <w:lang w:val="en-US"/>
              </w:rPr>
            </w:pPr>
            <w:r w:rsidRPr="009234AB">
              <w:rPr>
                <w:rFonts w:ascii="Arial Narrow" w:hAnsi="Arial Narrow"/>
                <w:b/>
                <w:sz w:val="20"/>
                <w:lang w:val="en-US"/>
              </w:rPr>
              <w:t>OR (95% CI)</w:t>
            </w:r>
          </w:p>
        </w:tc>
        <w:tc>
          <w:tcPr>
            <w:tcW w:w="753" w:type="pct"/>
            <w:shd w:val="clear" w:color="auto" w:fill="auto"/>
            <w:vAlign w:val="center"/>
          </w:tcPr>
          <w:p w:rsidR="0084019F" w:rsidRPr="009234AB" w:rsidRDefault="0084019F" w:rsidP="00F35123">
            <w:pPr>
              <w:keepNext/>
              <w:jc w:val="center"/>
              <w:rPr>
                <w:rFonts w:ascii="Arial Narrow" w:hAnsi="Arial Narrow"/>
                <w:b/>
                <w:sz w:val="20"/>
                <w:lang w:val="en-US"/>
              </w:rPr>
            </w:pPr>
            <w:r w:rsidRPr="009234AB">
              <w:rPr>
                <w:rFonts w:ascii="Arial Narrow" w:hAnsi="Arial Narrow"/>
                <w:b/>
                <w:sz w:val="20"/>
                <w:lang w:val="en-US"/>
              </w:rPr>
              <w:t>NNT (95% CI)</w:t>
            </w:r>
          </w:p>
        </w:tc>
      </w:tr>
      <w:tr w:rsidR="0084019F" w:rsidRPr="00E2771E" w:rsidTr="00F35123">
        <w:tc>
          <w:tcPr>
            <w:tcW w:w="765" w:type="pct"/>
            <w:shd w:val="clear" w:color="auto" w:fill="auto"/>
            <w:vAlign w:val="center"/>
          </w:tcPr>
          <w:p w:rsidR="0084019F" w:rsidRPr="00E2771E" w:rsidRDefault="0084019F" w:rsidP="00F35123">
            <w:pPr>
              <w:keepNext/>
              <w:jc w:val="left"/>
              <w:rPr>
                <w:rFonts w:ascii="Arial Narrow" w:hAnsi="Arial Narrow"/>
                <w:sz w:val="20"/>
                <w:lang w:val="en-US"/>
              </w:rPr>
            </w:pPr>
            <w:r>
              <w:rPr>
                <w:rFonts w:ascii="Arial Narrow" w:hAnsi="Arial Narrow"/>
                <w:sz w:val="20"/>
                <w:lang w:val="en-US"/>
              </w:rPr>
              <w:t>Any adverse event</w:t>
            </w:r>
          </w:p>
        </w:tc>
        <w:tc>
          <w:tcPr>
            <w:tcW w:w="935"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703/1136 </w:t>
            </w:r>
            <w:r w:rsidRPr="009234AB">
              <w:rPr>
                <w:rFonts w:ascii="Arial Narrow" w:hAnsi="Arial Narrow"/>
                <w:i/>
                <w:sz w:val="20"/>
              </w:rPr>
              <w:t>(61.9%)</w:t>
            </w:r>
          </w:p>
        </w:tc>
        <w:tc>
          <w:tcPr>
            <w:tcW w:w="932"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705/1111 </w:t>
            </w:r>
            <w:r w:rsidRPr="009234AB">
              <w:rPr>
                <w:rFonts w:ascii="Arial Narrow" w:hAnsi="Arial Narrow"/>
                <w:i/>
                <w:sz w:val="20"/>
              </w:rPr>
              <w:t>(63.5)</w:t>
            </w:r>
          </w:p>
        </w:tc>
        <w:tc>
          <w:tcPr>
            <w:tcW w:w="851"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-0.02 </w:t>
            </w:r>
            <w:r>
              <w:rPr>
                <w:rFonts w:ascii="Arial Narrow" w:hAnsi="Arial Narrow"/>
                <w:sz w:val="20"/>
              </w:rPr>
              <w:t>(</w:t>
            </w:r>
            <w:r w:rsidRPr="009234AB">
              <w:rPr>
                <w:rFonts w:ascii="Arial Narrow" w:hAnsi="Arial Narrow"/>
                <w:sz w:val="20"/>
              </w:rPr>
              <w:t>-0.06, 0.02</w:t>
            </w:r>
            <w:r>
              <w:rPr>
                <w:rFonts w:ascii="Arial Narrow" w:hAnsi="Arial Narrow"/>
                <w:sz w:val="20"/>
              </w:rPr>
              <w:t>)</w:t>
            </w:r>
          </w:p>
        </w:tc>
        <w:tc>
          <w:tcPr>
            <w:tcW w:w="764"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0.93 </w:t>
            </w:r>
            <w:r>
              <w:rPr>
                <w:rFonts w:ascii="Arial Narrow" w:hAnsi="Arial Narrow"/>
                <w:sz w:val="20"/>
              </w:rPr>
              <w:t>(</w:t>
            </w:r>
            <w:r w:rsidRPr="009234AB">
              <w:rPr>
                <w:rFonts w:ascii="Arial Narrow" w:hAnsi="Arial Narrow"/>
                <w:sz w:val="20"/>
              </w:rPr>
              <w:t>0.79, 1.11</w:t>
            </w:r>
            <w:r>
              <w:rPr>
                <w:rFonts w:ascii="Arial Narrow" w:hAnsi="Arial Narrow"/>
                <w:sz w:val="20"/>
              </w:rPr>
              <w:t>)</w:t>
            </w:r>
          </w:p>
        </w:tc>
        <w:tc>
          <w:tcPr>
            <w:tcW w:w="753" w:type="pct"/>
            <w:shd w:val="clear" w:color="auto" w:fill="auto"/>
            <w:vAlign w:val="center"/>
          </w:tcPr>
          <w:p w:rsidR="0084019F" w:rsidRPr="009234AB" w:rsidRDefault="0084019F" w:rsidP="00F35123">
            <w:pPr>
              <w:keepNext/>
              <w:jc w:val="center"/>
              <w:rPr>
                <w:rFonts w:ascii="Arial Narrow" w:hAnsi="Arial Narrow"/>
                <w:sz w:val="20"/>
              </w:rPr>
            </w:pPr>
            <w:r>
              <w:rPr>
                <w:rFonts w:ascii="Arial Narrow" w:hAnsi="Arial Narrow"/>
                <w:sz w:val="20"/>
              </w:rPr>
              <w:t>-</w:t>
            </w:r>
          </w:p>
        </w:tc>
      </w:tr>
      <w:tr w:rsidR="0084019F" w:rsidRPr="00E2771E" w:rsidTr="00F35123">
        <w:tc>
          <w:tcPr>
            <w:tcW w:w="765" w:type="pct"/>
            <w:shd w:val="clear" w:color="auto" w:fill="auto"/>
            <w:vAlign w:val="center"/>
          </w:tcPr>
          <w:p w:rsidR="0084019F" w:rsidRPr="00E2771E" w:rsidRDefault="0084019F" w:rsidP="00F35123">
            <w:pPr>
              <w:keepNext/>
              <w:jc w:val="left"/>
              <w:rPr>
                <w:rFonts w:ascii="Arial Narrow" w:hAnsi="Arial Narrow"/>
                <w:sz w:val="20"/>
                <w:lang w:val="en-US"/>
              </w:rPr>
            </w:pPr>
            <w:r>
              <w:rPr>
                <w:rFonts w:ascii="Arial Narrow" w:hAnsi="Arial Narrow"/>
                <w:sz w:val="20"/>
                <w:lang w:val="en-US"/>
              </w:rPr>
              <w:t>Discontinuations due to AE</w:t>
            </w:r>
          </w:p>
        </w:tc>
        <w:tc>
          <w:tcPr>
            <w:tcW w:w="935"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3/934 </w:t>
            </w:r>
            <w:r w:rsidRPr="009234AB">
              <w:rPr>
                <w:rFonts w:ascii="Arial Narrow" w:hAnsi="Arial Narrow"/>
                <w:i/>
                <w:sz w:val="20"/>
              </w:rPr>
              <w:t>(0.3%)</w:t>
            </w:r>
          </w:p>
        </w:tc>
        <w:tc>
          <w:tcPr>
            <w:tcW w:w="932"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4/915 </w:t>
            </w:r>
            <w:r w:rsidRPr="009234AB">
              <w:rPr>
                <w:rFonts w:ascii="Arial Narrow" w:hAnsi="Arial Narrow"/>
                <w:i/>
                <w:sz w:val="20"/>
              </w:rPr>
              <w:t>(0.4%)</w:t>
            </w:r>
          </w:p>
        </w:tc>
        <w:tc>
          <w:tcPr>
            <w:tcW w:w="851"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-0.00 </w:t>
            </w:r>
            <w:r>
              <w:rPr>
                <w:rFonts w:ascii="Arial Narrow" w:hAnsi="Arial Narrow"/>
                <w:sz w:val="20"/>
              </w:rPr>
              <w:t>(</w:t>
            </w:r>
            <w:r w:rsidRPr="009234AB">
              <w:rPr>
                <w:rFonts w:ascii="Arial Narrow" w:hAnsi="Arial Narrow"/>
                <w:sz w:val="20"/>
              </w:rPr>
              <w:t>-0.01, 0.00</w:t>
            </w:r>
            <w:r>
              <w:rPr>
                <w:rFonts w:ascii="Arial Narrow" w:hAnsi="Arial Narrow"/>
                <w:sz w:val="20"/>
              </w:rPr>
              <w:t>)</w:t>
            </w:r>
          </w:p>
        </w:tc>
        <w:tc>
          <w:tcPr>
            <w:tcW w:w="764"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0.74 </w:t>
            </w:r>
            <w:r>
              <w:rPr>
                <w:rFonts w:ascii="Arial Narrow" w:hAnsi="Arial Narrow"/>
                <w:sz w:val="20"/>
              </w:rPr>
              <w:t>(</w:t>
            </w:r>
            <w:r w:rsidRPr="009234AB">
              <w:rPr>
                <w:rFonts w:ascii="Arial Narrow" w:hAnsi="Arial Narrow"/>
                <w:sz w:val="20"/>
              </w:rPr>
              <w:t>0.16, 3.38</w:t>
            </w:r>
            <w:r>
              <w:rPr>
                <w:rFonts w:ascii="Arial Narrow" w:hAnsi="Arial Narrow"/>
                <w:sz w:val="20"/>
              </w:rPr>
              <w:t>)</w:t>
            </w:r>
          </w:p>
        </w:tc>
        <w:tc>
          <w:tcPr>
            <w:tcW w:w="753" w:type="pct"/>
            <w:shd w:val="clear" w:color="auto" w:fill="auto"/>
            <w:vAlign w:val="center"/>
          </w:tcPr>
          <w:p w:rsidR="0084019F" w:rsidRPr="009234AB" w:rsidRDefault="0084019F" w:rsidP="00F35123">
            <w:pPr>
              <w:keepNext/>
              <w:jc w:val="center"/>
              <w:rPr>
                <w:rFonts w:ascii="Arial Narrow" w:hAnsi="Arial Narrow"/>
                <w:sz w:val="20"/>
              </w:rPr>
            </w:pPr>
            <w:r>
              <w:rPr>
                <w:rFonts w:ascii="Arial Narrow" w:hAnsi="Arial Narrow"/>
                <w:sz w:val="20"/>
              </w:rPr>
              <w:t>-</w:t>
            </w:r>
          </w:p>
        </w:tc>
      </w:tr>
      <w:tr w:rsidR="0084019F" w:rsidRPr="00E2771E" w:rsidTr="00F35123">
        <w:tc>
          <w:tcPr>
            <w:tcW w:w="765" w:type="pct"/>
            <w:shd w:val="clear" w:color="auto" w:fill="auto"/>
            <w:vAlign w:val="center"/>
          </w:tcPr>
          <w:p w:rsidR="0084019F" w:rsidRPr="00E2771E" w:rsidRDefault="0084019F" w:rsidP="00F35123">
            <w:pPr>
              <w:keepNext/>
              <w:jc w:val="left"/>
              <w:rPr>
                <w:rFonts w:ascii="Arial Narrow" w:hAnsi="Arial Narrow"/>
                <w:sz w:val="20"/>
                <w:lang w:val="en-US"/>
              </w:rPr>
            </w:pPr>
            <w:r>
              <w:rPr>
                <w:rFonts w:ascii="Arial Narrow" w:hAnsi="Arial Narrow"/>
                <w:sz w:val="20"/>
                <w:lang w:val="en-US"/>
              </w:rPr>
              <w:t>Serious adverse events</w:t>
            </w:r>
          </w:p>
        </w:tc>
        <w:tc>
          <w:tcPr>
            <w:tcW w:w="935"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51/1136 </w:t>
            </w:r>
            <w:r w:rsidRPr="009234AB">
              <w:rPr>
                <w:rFonts w:ascii="Arial Narrow" w:hAnsi="Arial Narrow"/>
                <w:i/>
                <w:sz w:val="20"/>
              </w:rPr>
              <w:t>(4.5%)</w:t>
            </w:r>
          </w:p>
        </w:tc>
        <w:tc>
          <w:tcPr>
            <w:tcW w:w="932"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55/1108 </w:t>
            </w:r>
            <w:r w:rsidRPr="009234AB">
              <w:rPr>
                <w:rFonts w:ascii="Arial Narrow" w:hAnsi="Arial Narrow"/>
                <w:i/>
                <w:sz w:val="20"/>
              </w:rPr>
              <w:t>(5.0%)</w:t>
            </w:r>
          </w:p>
        </w:tc>
        <w:tc>
          <w:tcPr>
            <w:tcW w:w="851"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-0.00 </w:t>
            </w:r>
            <w:r>
              <w:rPr>
                <w:rFonts w:ascii="Arial Narrow" w:hAnsi="Arial Narrow"/>
                <w:sz w:val="20"/>
              </w:rPr>
              <w:t>(</w:t>
            </w:r>
            <w:r w:rsidRPr="009234AB">
              <w:rPr>
                <w:rFonts w:ascii="Arial Narrow" w:hAnsi="Arial Narrow"/>
                <w:sz w:val="20"/>
              </w:rPr>
              <w:t>-0.02, 0.01</w:t>
            </w:r>
            <w:r>
              <w:rPr>
                <w:rFonts w:ascii="Arial Narrow" w:hAnsi="Arial Narrow"/>
                <w:sz w:val="20"/>
              </w:rPr>
              <w:t>)</w:t>
            </w:r>
          </w:p>
        </w:tc>
        <w:tc>
          <w:tcPr>
            <w:tcW w:w="764" w:type="pct"/>
            <w:shd w:val="clear" w:color="auto" w:fill="auto"/>
            <w:vAlign w:val="center"/>
          </w:tcPr>
          <w:p w:rsidR="0084019F" w:rsidRPr="009234AB" w:rsidRDefault="0084019F" w:rsidP="00F35123">
            <w:pPr>
              <w:keepNext/>
              <w:jc w:val="center"/>
              <w:rPr>
                <w:rFonts w:ascii="Arial Narrow" w:hAnsi="Arial Narrow"/>
                <w:sz w:val="20"/>
              </w:rPr>
            </w:pPr>
            <w:r w:rsidRPr="009234AB">
              <w:rPr>
                <w:rFonts w:ascii="Arial Narrow" w:hAnsi="Arial Narrow"/>
                <w:sz w:val="20"/>
              </w:rPr>
              <w:t xml:space="preserve">0.84 </w:t>
            </w:r>
            <w:r>
              <w:rPr>
                <w:rFonts w:ascii="Arial Narrow" w:hAnsi="Arial Narrow"/>
                <w:sz w:val="20"/>
              </w:rPr>
              <w:t>(</w:t>
            </w:r>
            <w:r w:rsidRPr="009234AB">
              <w:rPr>
                <w:rFonts w:ascii="Arial Narrow" w:hAnsi="Arial Narrow"/>
                <w:sz w:val="20"/>
              </w:rPr>
              <w:t>0.45, 1.60</w:t>
            </w:r>
            <w:r>
              <w:rPr>
                <w:rFonts w:ascii="Arial Narrow" w:hAnsi="Arial Narrow"/>
                <w:sz w:val="20"/>
              </w:rPr>
              <w:t>)</w:t>
            </w:r>
          </w:p>
        </w:tc>
        <w:tc>
          <w:tcPr>
            <w:tcW w:w="753" w:type="pct"/>
            <w:shd w:val="clear" w:color="auto" w:fill="auto"/>
            <w:vAlign w:val="center"/>
          </w:tcPr>
          <w:p w:rsidR="0084019F" w:rsidRPr="009234AB" w:rsidRDefault="0084019F" w:rsidP="00F35123">
            <w:pPr>
              <w:keepNext/>
              <w:jc w:val="center"/>
              <w:rPr>
                <w:rFonts w:ascii="Arial Narrow" w:hAnsi="Arial Narrow"/>
                <w:sz w:val="20"/>
              </w:rPr>
            </w:pPr>
            <w:r>
              <w:rPr>
                <w:rFonts w:ascii="Arial Narrow" w:hAnsi="Arial Narrow"/>
                <w:sz w:val="20"/>
              </w:rPr>
              <w:t>-</w:t>
            </w:r>
          </w:p>
        </w:tc>
      </w:tr>
    </w:tbl>
    <w:p w:rsidR="00320392" w:rsidRPr="005E366B" w:rsidRDefault="0084019F" w:rsidP="009C75B7">
      <w:pPr>
        <w:pStyle w:val="BodyText"/>
        <w:ind w:left="720"/>
        <w:rPr>
          <w:rFonts w:ascii="Arial Narrow" w:hAnsi="Arial Narrow"/>
          <w:b/>
          <w:sz w:val="20"/>
        </w:rPr>
      </w:pPr>
      <w:r w:rsidRPr="005E366B">
        <w:rPr>
          <w:rFonts w:ascii="Arial Narrow" w:hAnsi="Arial Narrow"/>
          <w:sz w:val="20"/>
        </w:rPr>
        <w:t>Source: Table B.6-10, Figure B.6-8, Table B.6-11, Figure B.6-9, Table B.6-12 and Figure B.6-10, p94-96 of the submission and calculated during the evaluation</w:t>
      </w:r>
    </w:p>
    <w:p w:rsidR="00B60939" w:rsidRDefault="00B60939" w:rsidP="007F1017">
      <w:pPr>
        <w:pStyle w:val="ListParagraph"/>
        <w:ind w:left="0"/>
        <w:rPr>
          <w:szCs w:val="22"/>
        </w:rPr>
      </w:pPr>
    </w:p>
    <w:p w:rsidR="009234AB" w:rsidRPr="009234AB" w:rsidRDefault="009234AB" w:rsidP="00C66229">
      <w:pPr>
        <w:pStyle w:val="ListParagraph"/>
        <w:keepNext/>
        <w:widowControl/>
        <w:numPr>
          <w:ilvl w:val="1"/>
          <w:numId w:val="3"/>
        </w:numPr>
        <w:rPr>
          <w:szCs w:val="22"/>
        </w:rPr>
      </w:pPr>
      <w:r w:rsidRPr="009234AB">
        <w:rPr>
          <w:szCs w:val="22"/>
        </w:rPr>
        <w:t>The results from the meta-analyses demonstrated that</w:t>
      </w:r>
      <w:r w:rsidR="00B90E31">
        <w:rPr>
          <w:szCs w:val="22"/>
        </w:rPr>
        <w:t>:</w:t>
      </w:r>
    </w:p>
    <w:p w:rsidR="009234AB" w:rsidRPr="001C58AC" w:rsidRDefault="009234AB" w:rsidP="00C66229">
      <w:pPr>
        <w:pStyle w:val="ListParagraph"/>
        <w:numPr>
          <w:ilvl w:val="0"/>
          <w:numId w:val="5"/>
        </w:numPr>
        <w:ind w:left="1134"/>
      </w:pPr>
      <w:r w:rsidRPr="001C58AC">
        <w:t xml:space="preserve">There were no statistically significant differences between the aprepitant and </w:t>
      </w:r>
      <w:r w:rsidRPr="001C58AC">
        <w:lastRenderedPageBreak/>
        <w:t xml:space="preserve">control regimen with respect to any of the safety outcomes, including proportion of patients experiencing an adverse event or a </w:t>
      </w:r>
      <w:r>
        <w:t>serious adverse event</w:t>
      </w:r>
      <w:r w:rsidRPr="001C58AC">
        <w:t xml:space="preserve">, and proportion of patients discontinuing treatment prematurely. The safety outcomes consistently favoured aprepitant numerically. </w:t>
      </w:r>
    </w:p>
    <w:p w:rsidR="009234AB" w:rsidRPr="00EB729B" w:rsidRDefault="009234AB" w:rsidP="00C66229">
      <w:pPr>
        <w:pStyle w:val="ListParagraph"/>
        <w:numPr>
          <w:ilvl w:val="0"/>
          <w:numId w:val="5"/>
        </w:numPr>
        <w:ind w:left="1134"/>
      </w:pPr>
      <w:r w:rsidRPr="00EB729B">
        <w:t xml:space="preserve">The types of </w:t>
      </w:r>
      <w:r w:rsidRPr="001C58AC">
        <w:t>adverse event</w:t>
      </w:r>
      <w:r>
        <w:t>s</w:t>
      </w:r>
      <w:r w:rsidRPr="001C58AC">
        <w:t xml:space="preserve"> </w:t>
      </w:r>
      <w:r w:rsidRPr="00EB729B">
        <w:t>reported across the RCTs were similar between treatment groups and were comparable to the types of adverse events observed in subjects with cancer receiving emetogenic chemotherapy.</w:t>
      </w:r>
    </w:p>
    <w:p w:rsidR="009234AB" w:rsidRDefault="009234AB" w:rsidP="007F1017">
      <w:pPr>
        <w:pStyle w:val="ListParagraph"/>
        <w:ind w:left="0"/>
        <w:rPr>
          <w:szCs w:val="22"/>
        </w:rPr>
      </w:pPr>
    </w:p>
    <w:p w:rsidR="007F1017" w:rsidRDefault="007F1017" w:rsidP="003F4A75">
      <w:pPr>
        <w:pStyle w:val="Heading2"/>
      </w:pPr>
      <w:bookmarkStart w:id="11" w:name="_Toc430011619"/>
      <w:r w:rsidRPr="002C2775">
        <w:t>Benefits/</w:t>
      </w:r>
      <w:r w:rsidRPr="003F4A75">
        <w:t>harms</w:t>
      </w:r>
      <w:bookmarkEnd w:id="11"/>
    </w:p>
    <w:p w:rsidR="0084019F" w:rsidRPr="0084019F" w:rsidRDefault="0084019F" w:rsidP="0084019F"/>
    <w:p w:rsidR="00EC00C9" w:rsidRPr="00B50DB8" w:rsidRDefault="00EC00C9" w:rsidP="00C66229">
      <w:pPr>
        <w:pStyle w:val="ListParagraph"/>
        <w:widowControl/>
        <w:numPr>
          <w:ilvl w:val="1"/>
          <w:numId w:val="3"/>
        </w:numPr>
        <w:rPr>
          <w:szCs w:val="22"/>
        </w:rPr>
      </w:pPr>
      <w:r w:rsidRPr="00B50DB8">
        <w:rPr>
          <w:szCs w:val="22"/>
        </w:rPr>
        <w:t xml:space="preserve">A summary of the comparative benefits and harms for </w:t>
      </w:r>
      <w:r w:rsidR="00573C6A">
        <w:rPr>
          <w:szCs w:val="22"/>
        </w:rPr>
        <w:t>aprepitant</w:t>
      </w:r>
      <w:r w:rsidRPr="00B50DB8">
        <w:rPr>
          <w:szCs w:val="22"/>
        </w:rPr>
        <w:t xml:space="preserve"> versus </w:t>
      </w:r>
      <w:r w:rsidR="00573C6A">
        <w:rPr>
          <w:szCs w:val="22"/>
        </w:rPr>
        <w:t>standard therapy</w:t>
      </w:r>
      <w:r w:rsidRPr="00B50DB8">
        <w:rPr>
          <w:szCs w:val="22"/>
        </w:rPr>
        <w:t xml:space="preserve"> is presented in the table below.</w:t>
      </w:r>
      <w:r w:rsidR="00410708" w:rsidRPr="00B50DB8">
        <w:rPr>
          <w:szCs w:val="22"/>
        </w:rPr>
        <w:t xml:space="preserve"> </w:t>
      </w:r>
    </w:p>
    <w:p w:rsidR="008C1271" w:rsidRDefault="008C1271" w:rsidP="001D6452">
      <w:pPr>
        <w:keepNext/>
        <w:rPr>
          <w:rStyle w:val="CommentReference"/>
        </w:rPr>
      </w:pPr>
    </w:p>
    <w:p w:rsidR="00B62715" w:rsidRPr="00A578DC" w:rsidRDefault="00B62715" w:rsidP="003C56E8">
      <w:pPr>
        <w:keepNext/>
        <w:ind w:firstLine="720"/>
        <w:rPr>
          <w:rStyle w:val="CommentReference"/>
        </w:rPr>
      </w:pPr>
      <w:r w:rsidRPr="00A578DC">
        <w:rPr>
          <w:rStyle w:val="CommentReference"/>
        </w:rPr>
        <w:t xml:space="preserve">Table </w:t>
      </w:r>
      <w:r w:rsidR="009234AB">
        <w:rPr>
          <w:rStyle w:val="CommentReference"/>
        </w:rPr>
        <w:t>5</w:t>
      </w:r>
      <w:r w:rsidRPr="00A578DC">
        <w:rPr>
          <w:rStyle w:val="CommentReference"/>
        </w:rPr>
        <w:t xml:space="preserve">: Summary of comparative benefits and harms for </w:t>
      </w:r>
      <w:r w:rsidR="00573C6A">
        <w:rPr>
          <w:rStyle w:val="CommentReference"/>
        </w:rPr>
        <w:t>aprepitant</w:t>
      </w:r>
      <w:r w:rsidRPr="00A578DC">
        <w:rPr>
          <w:rStyle w:val="CommentReference"/>
        </w:rPr>
        <w:t xml:space="preserve"> and </w:t>
      </w:r>
      <w:r w:rsidR="00573C6A">
        <w:rPr>
          <w:rStyle w:val="CommentReference"/>
        </w:rPr>
        <w:t>control</w:t>
      </w:r>
    </w:p>
    <w:tbl>
      <w:tblPr>
        <w:tblStyle w:val="TableGrid"/>
        <w:tblW w:w="4700" w:type="pct"/>
        <w:tblInd w:w="698" w:type="dxa"/>
        <w:tblLayout w:type="fixed"/>
        <w:tblCellMar>
          <w:left w:w="28" w:type="dxa"/>
          <w:right w:w="28" w:type="dxa"/>
        </w:tblCellMar>
        <w:tblLook w:val="04A0" w:firstRow="1" w:lastRow="0" w:firstColumn="1" w:lastColumn="0" w:noHBand="0" w:noVBand="1"/>
        <w:tblCaption w:val="Summary of comparative benefits and harms"/>
      </w:tblPr>
      <w:tblGrid>
        <w:gridCol w:w="1160"/>
        <w:gridCol w:w="24"/>
        <w:gridCol w:w="10"/>
        <w:gridCol w:w="1129"/>
        <w:gridCol w:w="12"/>
        <w:gridCol w:w="1284"/>
        <w:gridCol w:w="1567"/>
        <w:gridCol w:w="1084"/>
        <w:gridCol w:w="56"/>
        <w:gridCol w:w="946"/>
        <w:gridCol w:w="1265"/>
      </w:tblGrid>
      <w:tr w:rsidR="00573C6A" w:rsidRPr="00E2771E" w:rsidTr="00EB593C">
        <w:trPr>
          <w:trHeight w:val="150"/>
          <w:tblHeader/>
        </w:trPr>
        <w:tc>
          <w:tcPr>
            <w:tcW w:w="679" w:type="pct"/>
            <w:vMerge w:val="restart"/>
            <w:shd w:val="clear" w:color="auto" w:fill="auto"/>
            <w:vAlign w:val="center"/>
          </w:tcPr>
          <w:p w:rsidR="00573C6A" w:rsidRPr="00E2771E" w:rsidRDefault="00573C6A" w:rsidP="003C56E8">
            <w:pPr>
              <w:keepNext/>
              <w:rPr>
                <w:rFonts w:ascii="Arial Narrow" w:hAnsi="Arial Narrow"/>
                <w:b/>
                <w:color w:val="000000"/>
                <w:sz w:val="20"/>
                <w:szCs w:val="18"/>
              </w:rPr>
            </w:pPr>
            <w:r w:rsidRPr="00E2771E">
              <w:rPr>
                <w:rFonts w:ascii="Arial Narrow" w:hAnsi="Arial Narrow"/>
                <w:b/>
                <w:color w:val="000000"/>
                <w:sz w:val="20"/>
                <w:szCs w:val="18"/>
              </w:rPr>
              <w:t>Trial</w:t>
            </w:r>
          </w:p>
        </w:tc>
        <w:tc>
          <w:tcPr>
            <w:tcW w:w="681" w:type="pct"/>
            <w:gridSpan w:val="3"/>
            <w:vMerge w:val="restart"/>
            <w:vAlign w:val="center"/>
          </w:tcPr>
          <w:p w:rsidR="00573C6A" w:rsidRPr="00E2771E" w:rsidRDefault="00573C6A" w:rsidP="003C56E8">
            <w:pPr>
              <w:keepNext/>
              <w:jc w:val="center"/>
              <w:rPr>
                <w:rFonts w:ascii="Arial Narrow" w:hAnsi="Arial Narrow"/>
                <w:b/>
                <w:sz w:val="20"/>
                <w:lang w:val="en-US"/>
              </w:rPr>
            </w:pPr>
            <w:r>
              <w:rPr>
                <w:rFonts w:ascii="Arial Narrow" w:hAnsi="Arial Narrow"/>
                <w:b/>
                <w:sz w:val="20"/>
                <w:lang w:val="en-US"/>
              </w:rPr>
              <w:t>Aprepitant</w:t>
            </w:r>
          </w:p>
          <w:p w:rsidR="00573C6A" w:rsidRPr="00E2771E" w:rsidRDefault="00573C6A" w:rsidP="003C56E8">
            <w:pPr>
              <w:keepNext/>
              <w:jc w:val="center"/>
              <w:rPr>
                <w:rFonts w:ascii="Arial Narrow" w:hAnsi="Arial Narrow"/>
                <w:b/>
                <w:color w:val="000000"/>
                <w:sz w:val="20"/>
                <w:szCs w:val="18"/>
              </w:rPr>
            </w:pPr>
            <w:r w:rsidRPr="00E2771E">
              <w:rPr>
                <w:rFonts w:ascii="Arial Narrow" w:hAnsi="Arial Narrow"/>
                <w:b/>
                <w:sz w:val="20"/>
                <w:lang w:val="en-US"/>
              </w:rPr>
              <w:t>n with event/N</w:t>
            </w:r>
          </w:p>
        </w:tc>
        <w:tc>
          <w:tcPr>
            <w:tcW w:w="759" w:type="pct"/>
            <w:gridSpan w:val="2"/>
            <w:vMerge w:val="restart"/>
            <w:vAlign w:val="center"/>
          </w:tcPr>
          <w:p w:rsidR="00573C6A" w:rsidRPr="00E2771E" w:rsidRDefault="00573C6A" w:rsidP="003C56E8">
            <w:pPr>
              <w:keepNext/>
              <w:jc w:val="center"/>
              <w:rPr>
                <w:rFonts w:ascii="Arial Narrow" w:hAnsi="Arial Narrow"/>
                <w:b/>
                <w:sz w:val="20"/>
                <w:lang w:val="en-US"/>
              </w:rPr>
            </w:pPr>
            <w:r>
              <w:rPr>
                <w:rFonts w:ascii="Arial Narrow" w:hAnsi="Arial Narrow"/>
                <w:b/>
                <w:sz w:val="20"/>
                <w:lang w:val="en-US"/>
              </w:rPr>
              <w:t>Control</w:t>
            </w:r>
          </w:p>
          <w:p w:rsidR="00573C6A" w:rsidRPr="00E2771E" w:rsidRDefault="00573C6A" w:rsidP="003C56E8">
            <w:pPr>
              <w:keepNext/>
              <w:jc w:val="center"/>
              <w:rPr>
                <w:rFonts w:ascii="Arial Narrow" w:hAnsi="Arial Narrow"/>
                <w:b/>
                <w:color w:val="000000"/>
                <w:sz w:val="20"/>
                <w:szCs w:val="18"/>
              </w:rPr>
            </w:pPr>
            <w:r w:rsidRPr="00E2771E">
              <w:rPr>
                <w:rFonts w:ascii="Arial Narrow" w:hAnsi="Arial Narrow"/>
                <w:b/>
                <w:sz w:val="20"/>
                <w:lang w:val="en-US"/>
              </w:rPr>
              <w:t>n with event/N</w:t>
            </w:r>
          </w:p>
        </w:tc>
        <w:tc>
          <w:tcPr>
            <w:tcW w:w="918" w:type="pct"/>
            <w:vMerge w:val="restart"/>
            <w:vAlign w:val="center"/>
          </w:tcPr>
          <w:p w:rsidR="00573C6A" w:rsidRPr="00E2771E" w:rsidRDefault="00573C6A" w:rsidP="003C56E8">
            <w:pPr>
              <w:keepNext/>
              <w:jc w:val="center"/>
              <w:rPr>
                <w:rFonts w:ascii="Arial Narrow" w:hAnsi="Arial Narrow"/>
                <w:b/>
                <w:color w:val="000000"/>
                <w:sz w:val="20"/>
                <w:szCs w:val="18"/>
              </w:rPr>
            </w:pPr>
            <w:r>
              <w:rPr>
                <w:rFonts w:ascii="Arial Narrow" w:hAnsi="Arial Narrow"/>
                <w:b/>
                <w:color w:val="000000"/>
                <w:sz w:val="20"/>
                <w:szCs w:val="18"/>
              </w:rPr>
              <w:t>O</w:t>
            </w:r>
            <w:r w:rsidRPr="00E2771E">
              <w:rPr>
                <w:rFonts w:ascii="Arial Narrow" w:hAnsi="Arial Narrow"/>
                <w:b/>
                <w:color w:val="000000"/>
                <w:sz w:val="20"/>
                <w:szCs w:val="18"/>
              </w:rPr>
              <w:t>R</w:t>
            </w:r>
          </w:p>
          <w:p w:rsidR="00573C6A" w:rsidRPr="00E2771E" w:rsidRDefault="00573C6A" w:rsidP="003C56E8">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222" w:type="pct"/>
            <w:gridSpan w:val="3"/>
            <w:vAlign w:val="center"/>
          </w:tcPr>
          <w:p w:rsidR="00573C6A" w:rsidRPr="00E2771E" w:rsidRDefault="00573C6A" w:rsidP="003C56E8">
            <w:pPr>
              <w:keepNext/>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741" w:type="pct"/>
            <w:vMerge w:val="restart"/>
            <w:vAlign w:val="center"/>
          </w:tcPr>
          <w:p w:rsidR="00573C6A" w:rsidRPr="00E2771E" w:rsidRDefault="00573C6A" w:rsidP="003C56E8">
            <w:pPr>
              <w:keepNext/>
              <w:jc w:val="center"/>
              <w:rPr>
                <w:rFonts w:ascii="Arial Narrow" w:hAnsi="Arial Narrow"/>
                <w:b/>
                <w:color w:val="000000"/>
                <w:sz w:val="20"/>
                <w:szCs w:val="18"/>
              </w:rPr>
            </w:pPr>
            <w:r w:rsidRPr="00E2771E">
              <w:rPr>
                <w:rFonts w:ascii="Arial Narrow" w:hAnsi="Arial Narrow"/>
                <w:b/>
                <w:color w:val="000000"/>
                <w:sz w:val="20"/>
                <w:szCs w:val="18"/>
              </w:rPr>
              <w:t>RD</w:t>
            </w:r>
          </w:p>
          <w:p w:rsidR="00573C6A" w:rsidRPr="00E2771E" w:rsidRDefault="00573C6A" w:rsidP="003C56E8">
            <w:pPr>
              <w:keepNext/>
              <w:jc w:val="center"/>
              <w:rPr>
                <w:rFonts w:ascii="Arial Narrow" w:hAnsi="Arial Narrow"/>
                <w:b/>
                <w:color w:val="000000"/>
                <w:sz w:val="20"/>
                <w:szCs w:val="18"/>
              </w:rPr>
            </w:pPr>
            <w:r w:rsidRPr="00E2771E">
              <w:rPr>
                <w:rFonts w:ascii="Arial Narrow" w:hAnsi="Arial Narrow"/>
                <w:b/>
                <w:color w:val="000000"/>
                <w:sz w:val="20"/>
                <w:szCs w:val="18"/>
              </w:rPr>
              <w:t>(95% CI)</w:t>
            </w:r>
          </w:p>
        </w:tc>
      </w:tr>
      <w:tr w:rsidR="00552BD3" w:rsidRPr="00E2771E" w:rsidTr="00EB593C">
        <w:trPr>
          <w:trHeight w:val="315"/>
          <w:tblHeader/>
        </w:trPr>
        <w:tc>
          <w:tcPr>
            <w:tcW w:w="679" w:type="pct"/>
            <w:vMerge/>
            <w:shd w:val="clear" w:color="auto" w:fill="auto"/>
            <w:vAlign w:val="center"/>
          </w:tcPr>
          <w:p w:rsidR="00B62715" w:rsidRPr="00E2771E" w:rsidRDefault="00B62715" w:rsidP="00EC00C9">
            <w:pPr>
              <w:rPr>
                <w:rFonts w:ascii="Arial Narrow" w:hAnsi="Arial Narrow"/>
                <w:b/>
                <w:color w:val="000000"/>
                <w:sz w:val="20"/>
                <w:szCs w:val="18"/>
              </w:rPr>
            </w:pPr>
          </w:p>
        </w:tc>
        <w:tc>
          <w:tcPr>
            <w:tcW w:w="681" w:type="pct"/>
            <w:gridSpan w:val="3"/>
            <w:vMerge/>
            <w:vAlign w:val="center"/>
          </w:tcPr>
          <w:p w:rsidR="00B62715" w:rsidRPr="00E2771E" w:rsidRDefault="00B62715" w:rsidP="00EC00C9">
            <w:pPr>
              <w:jc w:val="center"/>
              <w:rPr>
                <w:rFonts w:ascii="Arial Narrow" w:hAnsi="Arial Narrow"/>
                <w:b/>
                <w:color w:val="000000"/>
                <w:sz w:val="20"/>
                <w:szCs w:val="18"/>
              </w:rPr>
            </w:pPr>
          </w:p>
        </w:tc>
        <w:tc>
          <w:tcPr>
            <w:tcW w:w="759" w:type="pct"/>
            <w:gridSpan w:val="2"/>
            <w:vMerge/>
            <w:vAlign w:val="center"/>
          </w:tcPr>
          <w:p w:rsidR="00B62715" w:rsidRPr="00E2771E" w:rsidRDefault="00B62715" w:rsidP="00EC00C9">
            <w:pPr>
              <w:jc w:val="center"/>
              <w:rPr>
                <w:rFonts w:ascii="Arial Narrow" w:hAnsi="Arial Narrow"/>
                <w:b/>
                <w:color w:val="000000"/>
                <w:sz w:val="20"/>
                <w:szCs w:val="18"/>
              </w:rPr>
            </w:pPr>
          </w:p>
        </w:tc>
        <w:tc>
          <w:tcPr>
            <w:tcW w:w="918" w:type="pct"/>
            <w:vMerge/>
            <w:vAlign w:val="center"/>
          </w:tcPr>
          <w:p w:rsidR="00B62715" w:rsidRPr="00E2771E" w:rsidRDefault="00B62715" w:rsidP="00EC00C9">
            <w:pPr>
              <w:jc w:val="center"/>
              <w:rPr>
                <w:rFonts w:ascii="Arial Narrow" w:hAnsi="Arial Narrow"/>
                <w:b/>
                <w:color w:val="000000"/>
                <w:sz w:val="20"/>
                <w:szCs w:val="18"/>
              </w:rPr>
            </w:pPr>
          </w:p>
        </w:tc>
        <w:tc>
          <w:tcPr>
            <w:tcW w:w="635" w:type="pct"/>
            <w:vAlign w:val="center"/>
          </w:tcPr>
          <w:p w:rsidR="00B62715" w:rsidRPr="00E2771E" w:rsidRDefault="00573C6A" w:rsidP="00EC00C9">
            <w:pPr>
              <w:jc w:val="center"/>
              <w:rPr>
                <w:rFonts w:ascii="Arial Narrow" w:hAnsi="Arial Narrow"/>
                <w:b/>
                <w:color w:val="000000"/>
                <w:sz w:val="20"/>
                <w:szCs w:val="18"/>
              </w:rPr>
            </w:pPr>
            <w:r>
              <w:rPr>
                <w:rFonts w:ascii="Arial Narrow" w:hAnsi="Arial Narrow"/>
                <w:b/>
                <w:color w:val="000000"/>
                <w:sz w:val="20"/>
                <w:szCs w:val="18"/>
              </w:rPr>
              <w:t>Aprepitant</w:t>
            </w:r>
          </w:p>
        </w:tc>
        <w:tc>
          <w:tcPr>
            <w:tcW w:w="587" w:type="pct"/>
            <w:gridSpan w:val="2"/>
            <w:vAlign w:val="center"/>
          </w:tcPr>
          <w:p w:rsidR="00B62715" w:rsidRPr="00E2771E" w:rsidRDefault="00573C6A" w:rsidP="00EC00C9">
            <w:pPr>
              <w:jc w:val="center"/>
              <w:rPr>
                <w:rFonts w:ascii="Arial Narrow" w:hAnsi="Arial Narrow"/>
                <w:b/>
                <w:color w:val="000000"/>
                <w:sz w:val="20"/>
                <w:szCs w:val="18"/>
              </w:rPr>
            </w:pPr>
            <w:r>
              <w:rPr>
                <w:rFonts w:ascii="Arial Narrow" w:hAnsi="Arial Narrow"/>
                <w:b/>
                <w:color w:val="000000"/>
                <w:sz w:val="20"/>
                <w:szCs w:val="18"/>
              </w:rPr>
              <w:t>Control</w:t>
            </w:r>
          </w:p>
        </w:tc>
        <w:tc>
          <w:tcPr>
            <w:tcW w:w="741" w:type="pct"/>
            <w:vMerge/>
            <w:vAlign w:val="center"/>
          </w:tcPr>
          <w:p w:rsidR="00B62715" w:rsidRPr="00E2771E" w:rsidRDefault="00B62715" w:rsidP="00EC00C9">
            <w:pPr>
              <w:jc w:val="center"/>
              <w:rPr>
                <w:rFonts w:ascii="Arial Narrow" w:hAnsi="Arial Narrow"/>
                <w:b/>
                <w:color w:val="000000"/>
                <w:sz w:val="20"/>
                <w:szCs w:val="18"/>
              </w:rPr>
            </w:pPr>
          </w:p>
        </w:tc>
      </w:tr>
      <w:tr w:rsidR="00B62715" w:rsidRPr="00E2771E" w:rsidTr="00552BD3">
        <w:tc>
          <w:tcPr>
            <w:tcW w:w="5000" w:type="pct"/>
            <w:gridSpan w:val="11"/>
            <w:shd w:val="clear" w:color="auto" w:fill="auto"/>
            <w:vAlign w:val="center"/>
          </w:tcPr>
          <w:p w:rsidR="00B62715" w:rsidRPr="00E2771E" w:rsidRDefault="00B62715" w:rsidP="00EC00C9">
            <w:pPr>
              <w:rPr>
                <w:rFonts w:ascii="Arial Narrow" w:hAnsi="Arial Narrow"/>
                <w:b/>
                <w:color w:val="000000"/>
                <w:sz w:val="20"/>
                <w:szCs w:val="18"/>
              </w:rPr>
            </w:pPr>
            <w:r w:rsidRPr="00E2771E">
              <w:rPr>
                <w:rFonts w:ascii="Arial Narrow" w:hAnsi="Arial Narrow"/>
                <w:b/>
                <w:color w:val="000000"/>
                <w:sz w:val="20"/>
                <w:szCs w:val="18"/>
              </w:rPr>
              <w:t>Benefits</w:t>
            </w:r>
          </w:p>
        </w:tc>
      </w:tr>
      <w:tr w:rsidR="00B62715" w:rsidRPr="00E2771E" w:rsidTr="00552BD3">
        <w:tc>
          <w:tcPr>
            <w:tcW w:w="5000" w:type="pct"/>
            <w:gridSpan w:val="11"/>
            <w:shd w:val="clear" w:color="auto" w:fill="auto"/>
            <w:vAlign w:val="center"/>
          </w:tcPr>
          <w:p w:rsidR="00B62715" w:rsidRPr="00E2771E" w:rsidRDefault="00573C6A" w:rsidP="00EC00C9">
            <w:pPr>
              <w:rPr>
                <w:rFonts w:ascii="Arial Narrow" w:hAnsi="Arial Narrow"/>
                <w:b/>
                <w:color w:val="000000"/>
                <w:sz w:val="20"/>
                <w:szCs w:val="18"/>
              </w:rPr>
            </w:pPr>
            <w:r>
              <w:rPr>
                <w:rFonts w:ascii="Arial Narrow" w:hAnsi="Arial Narrow"/>
                <w:b/>
                <w:color w:val="000000"/>
                <w:sz w:val="20"/>
                <w:szCs w:val="18"/>
              </w:rPr>
              <w:t>Complete response (overall phase)</w:t>
            </w:r>
          </w:p>
        </w:tc>
      </w:tr>
      <w:tr w:rsidR="00573C6A" w:rsidRPr="00E2771E" w:rsidTr="00573C6A">
        <w:tc>
          <w:tcPr>
            <w:tcW w:w="679" w:type="pct"/>
            <w:shd w:val="clear" w:color="auto" w:fill="auto"/>
            <w:vAlign w:val="center"/>
          </w:tcPr>
          <w:p w:rsidR="00573C6A" w:rsidRPr="00E2771E" w:rsidRDefault="00573C6A" w:rsidP="00EC00C9">
            <w:pPr>
              <w:rPr>
                <w:rFonts w:ascii="Arial Narrow" w:hAnsi="Arial Narrow"/>
                <w:color w:val="000000"/>
                <w:sz w:val="20"/>
                <w:szCs w:val="18"/>
              </w:rPr>
            </w:pPr>
            <w:r>
              <w:rPr>
                <w:rFonts w:ascii="Arial Narrow" w:hAnsi="Arial Narrow"/>
                <w:color w:val="000000"/>
                <w:sz w:val="20"/>
                <w:szCs w:val="18"/>
              </w:rPr>
              <w:t>Pooled result, random effects</w:t>
            </w:r>
          </w:p>
        </w:tc>
        <w:tc>
          <w:tcPr>
            <w:tcW w:w="681" w:type="pct"/>
            <w:gridSpan w:val="3"/>
            <w:vAlign w:val="center"/>
          </w:tcPr>
          <w:p w:rsidR="00573C6A" w:rsidRPr="00E2771E" w:rsidRDefault="00573C6A" w:rsidP="00EC00C9">
            <w:pPr>
              <w:jc w:val="center"/>
              <w:rPr>
                <w:rFonts w:ascii="Arial Narrow" w:hAnsi="Arial Narrow"/>
                <w:color w:val="000000"/>
                <w:sz w:val="20"/>
                <w:szCs w:val="18"/>
              </w:rPr>
            </w:pPr>
            <w:r w:rsidRPr="00573C6A">
              <w:rPr>
                <w:rFonts w:ascii="Arial Narrow" w:hAnsi="Arial Narrow"/>
                <w:i/>
                <w:sz w:val="20"/>
              </w:rPr>
              <w:t>866/1,159</w:t>
            </w:r>
          </w:p>
        </w:tc>
        <w:tc>
          <w:tcPr>
            <w:tcW w:w="759" w:type="pct"/>
            <w:gridSpan w:val="2"/>
            <w:vAlign w:val="center"/>
          </w:tcPr>
          <w:p w:rsidR="00573C6A" w:rsidRPr="00E2771E" w:rsidRDefault="00573C6A" w:rsidP="00573C6A">
            <w:pPr>
              <w:jc w:val="center"/>
              <w:rPr>
                <w:rFonts w:ascii="Arial Narrow" w:hAnsi="Arial Narrow"/>
                <w:color w:val="000000"/>
                <w:sz w:val="20"/>
                <w:szCs w:val="18"/>
              </w:rPr>
            </w:pPr>
            <w:r w:rsidRPr="00573C6A">
              <w:rPr>
                <w:rFonts w:ascii="Arial Narrow" w:hAnsi="Arial Narrow"/>
                <w:i/>
                <w:sz w:val="20"/>
              </w:rPr>
              <w:t>722/1,134</w:t>
            </w:r>
          </w:p>
        </w:tc>
        <w:tc>
          <w:tcPr>
            <w:tcW w:w="918" w:type="pct"/>
            <w:vAlign w:val="center"/>
          </w:tcPr>
          <w:p w:rsidR="00573C6A" w:rsidRPr="00E2771E" w:rsidRDefault="00573C6A" w:rsidP="00EC00C9">
            <w:pPr>
              <w:jc w:val="center"/>
              <w:rPr>
                <w:rFonts w:ascii="Arial Narrow" w:hAnsi="Arial Narrow"/>
                <w:color w:val="000000"/>
                <w:sz w:val="20"/>
                <w:szCs w:val="18"/>
              </w:rPr>
            </w:pPr>
            <w:r w:rsidRPr="0059698A">
              <w:rPr>
                <w:rFonts w:ascii="Arial Narrow" w:hAnsi="Arial Narrow"/>
                <w:sz w:val="20"/>
              </w:rPr>
              <w:t xml:space="preserve">1.71 </w:t>
            </w:r>
            <w:r>
              <w:rPr>
                <w:rFonts w:ascii="Arial Narrow" w:hAnsi="Arial Narrow"/>
                <w:sz w:val="20"/>
              </w:rPr>
              <w:t>(</w:t>
            </w:r>
            <w:r w:rsidRPr="0059698A">
              <w:rPr>
                <w:rFonts w:ascii="Arial Narrow" w:hAnsi="Arial Narrow"/>
                <w:sz w:val="20"/>
              </w:rPr>
              <w:t>1.43, 2.05</w:t>
            </w:r>
            <w:r>
              <w:rPr>
                <w:rFonts w:ascii="Arial Narrow" w:hAnsi="Arial Narrow"/>
                <w:sz w:val="20"/>
              </w:rPr>
              <w:t>)</w:t>
            </w:r>
          </w:p>
        </w:tc>
        <w:tc>
          <w:tcPr>
            <w:tcW w:w="635" w:type="pct"/>
            <w:vAlign w:val="center"/>
          </w:tcPr>
          <w:p w:rsidR="00573C6A" w:rsidRPr="00573C6A" w:rsidRDefault="00573C6A" w:rsidP="00EC00C9">
            <w:pPr>
              <w:jc w:val="center"/>
              <w:rPr>
                <w:rFonts w:ascii="Arial Narrow" w:hAnsi="Arial Narrow"/>
                <w:i/>
                <w:color w:val="000000"/>
                <w:sz w:val="20"/>
                <w:szCs w:val="18"/>
              </w:rPr>
            </w:pPr>
            <w:r w:rsidRPr="00573C6A">
              <w:rPr>
                <w:rFonts w:ascii="Arial Narrow" w:hAnsi="Arial Narrow"/>
                <w:i/>
                <w:color w:val="000000"/>
                <w:sz w:val="20"/>
                <w:szCs w:val="18"/>
              </w:rPr>
              <w:t>74.7</w:t>
            </w:r>
          </w:p>
        </w:tc>
        <w:tc>
          <w:tcPr>
            <w:tcW w:w="587" w:type="pct"/>
            <w:gridSpan w:val="2"/>
            <w:vAlign w:val="center"/>
          </w:tcPr>
          <w:p w:rsidR="00573C6A" w:rsidRPr="00573C6A" w:rsidRDefault="00573C6A" w:rsidP="00EC00C9">
            <w:pPr>
              <w:jc w:val="center"/>
              <w:rPr>
                <w:rFonts w:ascii="Arial Narrow" w:hAnsi="Arial Narrow"/>
                <w:i/>
                <w:color w:val="000000"/>
                <w:sz w:val="20"/>
                <w:szCs w:val="18"/>
              </w:rPr>
            </w:pPr>
            <w:r w:rsidRPr="00573C6A">
              <w:rPr>
                <w:rFonts w:ascii="Arial Narrow" w:hAnsi="Arial Narrow"/>
                <w:i/>
                <w:color w:val="000000"/>
                <w:sz w:val="20"/>
                <w:szCs w:val="18"/>
              </w:rPr>
              <w:t>63.7</w:t>
            </w:r>
          </w:p>
        </w:tc>
        <w:tc>
          <w:tcPr>
            <w:tcW w:w="741" w:type="pct"/>
            <w:vAlign w:val="center"/>
          </w:tcPr>
          <w:p w:rsidR="00573C6A" w:rsidRPr="00E2771E" w:rsidRDefault="00573C6A" w:rsidP="00EC00C9">
            <w:pPr>
              <w:jc w:val="center"/>
              <w:rPr>
                <w:rFonts w:ascii="Arial Narrow" w:hAnsi="Arial Narrow"/>
                <w:color w:val="000000"/>
                <w:sz w:val="20"/>
                <w:szCs w:val="18"/>
              </w:rPr>
            </w:pPr>
            <w:r w:rsidRPr="0059698A">
              <w:rPr>
                <w:rFonts w:ascii="Arial Narrow" w:hAnsi="Arial Narrow"/>
                <w:sz w:val="20"/>
              </w:rPr>
              <w:t xml:space="preserve">0.11 </w:t>
            </w:r>
            <w:r>
              <w:rPr>
                <w:rFonts w:ascii="Arial Narrow" w:hAnsi="Arial Narrow"/>
                <w:sz w:val="20"/>
              </w:rPr>
              <w:t>(</w:t>
            </w:r>
            <w:r w:rsidRPr="0059698A">
              <w:rPr>
                <w:rFonts w:ascii="Arial Narrow" w:hAnsi="Arial Narrow"/>
                <w:sz w:val="20"/>
              </w:rPr>
              <w:t>0.07, 0.15</w:t>
            </w:r>
            <w:r>
              <w:rPr>
                <w:rFonts w:ascii="Arial Narrow" w:hAnsi="Arial Narrow"/>
                <w:sz w:val="20"/>
              </w:rPr>
              <w:t>)</w:t>
            </w:r>
          </w:p>
        </w:tc>
      </w:tr>
      <w:tr w:rsidR="00573C6A" w:rsidRPr="00E2771E" w:rsidTr="00552BD3">
        <w:tc>
          <w:tcPr>
            <w:tcW w:w="5000" w:type="pct"/>
            <w:gridSpan w:val="11"/>
            <w:tcBorders>
              <w:top w:val="double" w:sz="4" w:space="0" w:color="auto"/>
            </w:tcBorders>
            <w:shd w:val="clear" w:color="auto" w:fill="auto"/>
            <w:vAlign w:val="center"/>
          </w:tcPr>
          <w:p w:rsidR="00573C6A" w:rsidRPr="00E2771E" w:rsidRDefault="00573C6A" w:rsidP="00EC00C9">
            <w:pPr>
              <w:rPr>
                <w:rFonts w:ascii="Arial Narrow" w:hAnsi="Arial Narrow"/>
                <w:b/>
                <w:color w:val="000000"/>
                <w:sz w:val="20"/>
                <w:szCs w:val="18"/>
              </w:rPr>
            </w:pPr>
            <w:r w:rsidRPr="00E2771E">
              <w:rPr>
                <w:rFonts w:ascii="Arial Narrow" w:hAnsi="Arial Narrow"/>
                <w:b/>
                <w:color w:val="000000"/>
                <w:sz w:val="20"/>
                <w:szCs w:val="18"/>
              </w:rPr>
              <w:t>Harms</w:t>
            </w:r>
          </w:p>
        </w:tc>
      </w:tr>
      <w:tr w:rsidR="00573C6A" w:rsidRPr="00E2771E" w:rsidTr="00573C6A">
        <w:trPr>
          <w:trHeight w:val="70"/>
        </w:trPr>
        <w:tc>
          <w:tcPr>
            <w:tcW w:w="693" w:type="pct"/>
            <w:gridSpan w:val="2"/>
            <w:vMerge w:val="restart"/>
            <w:shd w:val="clear" w:color="auto" w:fill="auto"/>
            <w:vAlign w:val="center"/>
          </w:tcPr>
          <w:p w:rsidR="00573C6A" w:rsidRPr="00E2771E" w:rsidRDefault="00573C6A" w:rsidP="00EC00C9">
            <w:pPr>
              <w:rPr>
                <w:rFonts w:ascii="Arial Narrow" w:hAnsi="Arial Narrow"/>
                <w:b/>
                <w:color w:val="000000"/>
                <w:sz w:val="20"/>
                <w:szCs w:val="18"/>
              </w:rPr>
            </w:pPr>
          </w:p>
        </w:tc>
        <w:tc>
          <w:tcPr>
            <w:tcW w:w="667" w:type="pct"/>
            <w:gridSpan w:val="2"/>
            <w:vMerge w:val="restart"/>
            <w:vAlign w:val="center"/>
          </w:tcPr>
          <w:p w:rsidR="00573C6A" w:rsidRPr="00E2771E" w:rsidRDefault="00573C6A" w:rsidP="00D03B1E">
            <w:pPr>
              <w:keepNext/>
              <w:jc w:val="center"/>
              <w:rPr>
                <w:rFonts w:ascii="Arial Narrow" w:hAnsi="Arial Narrow"/>
                <w:b/>
                <w:sz w:val="20"/>
                <w:lang w:val="en-US"/>
              </w:rPr>
            </w:pPr>
            <w:r>
              <w:rPr>
                <w:rFonts w:ascii="Arial Narrow" w:hAnsi="Arial Narrow"/>
                <w:b/>
                <w:sz w:val="20"/>
                <w:lang w:val="en-US"/>
              </w:rPr>
              <w:t>Aprepitant</w:t>
            </w:r>
          </w:p>
          <w:p w:rsidR="00573C6A" w:rsidRPr="00E2771E" w:rsidRDefault="00573C6A" w:rsidP="00EC00C9">
            <w:pPr>
              <w:jc w:val="center"/>
              <w:rPr>
                <w:rFonts w:ascii="Arial Narrow" w:hAnsi="Arial Narrow"/>
                <w:b/>
                <w:color w:val="000000"/>
                <w:sz w:val="20"/>
                <w:szCs w:val="18"/>
              </w:rPr>
            </w:pPr>
            <w:r w:rsidRPr="00E2771E">
              <w:rPr>
                <w:rFonts w:ascii="Arial Narrow" w:hAnsi="Arial Narrow"/>
                <w:b/>
                <w:sz w:val="20"/>
                <w:lang w:val="en-US"/>
              </w:rPr>
              <w:t>n with event/N</w:t>
            </w:r>
          </w:p>
        </w:tc>
        <w:tc>
          <w:tcPr>
            <w:tcW w:w="759" w:type="pct"/>
            <w:gridSpan w:val="2"/>
            <w:vMerge w:val="restart"/>
            <w:vAlign w:val="center"/>
          </w:tcPr>
          <w:p w:rsidR="00573C6A" w:rsidRPr="00E2771E" w:rsidRDefault="00573C6A" w:rsidP="00D03B1E">
            <w:pPr>
              <w:keepNext/>
              <w:jc w:val="center"/>
              <w:rPr>
                <w:rFonts w:ascii="Arial Narrow" w:hAnsi="Arial Narrow"/>
                <w:b/>
                <w:sz w:val="20"/>
                <w:lang w:val="en-US"/>
              </w:rPr>
            </w:pPr>
            <w:r>
              <w:rPr>
                <w:rFonts w:ascii="Arial Narrow" w:hAnsi="Arial Narrow"/>
                <w:b/>
                <w:sz w:val="20"/>
                <w:lang w:val="en-US"/>
              </w:rPr>
              <w:t>Control</w:t>
            </w:r>
          </w:p>
          <w:p w:rsidR="00573C6A" w:rsidRPr="00E2771E" w:rsidRDefault="00573C6A" w:rsidP="00EC00C9">
            <w:pPr>
              <w:jc w:val="center"/>
              <w:rPr>
                <w:rFonts w:ascii="Arial Narrow" w:hAnsi="Arial Narrow"/>
                <w:b/>
                <w:color w:val="000000"/>
                <w:sz w:val="20"/>
                <w:szCs w:val="18"/>
              </w:rPr>
            </w:pPr>
            <w:r w:rsidRPr="00E2771E">
              <w:rPr>
                <w:rFonts w:ascii="Arial Narrow" w:hAnsi="Arial Narrow"/>
                <w:b/>
                <w:sz w:val="20"/>
                <w:lang w:val="en-US"/>
              </w:rPr>
              <w:t>n with event/N</w:t>
            </w:r>
          </w:p>
        </w:tc>
        <w:tc>
          <w:tcPr>
            <w:tcW w:w="918" w:type="pct"/>
            <w:vMerge w:val="restart"/>
            <w:vAlign w:val="center"/>
          </w:tcPr>
          <w:p w:rsidR="00573C6A" w:rsidRPr="00E2771E" w:rsidRDefault="00573C6A" w:rsidP="00573C6A">
            <w:pPr>
              <w:jc w:val="center"/>
              <w:rPr>
                <w:rFonts w:ascii="Arial Narrow" w:hAnsi="Arial Narrow"/>
                <w:b/>
                <w:color w:val="000000"/>
                <w:sz w:val="20"/>
                <w:szCs w:val="18"/>
              </w:rPr>
            </w:pPr>
            <w:r>
              <w:rPr>
                <w:rFonts w:ascii="Arial Narrow" w:hAnsi="Arial Narrow"/>
                <w:b/>
                <w:color w:val="000000"/>
                <w:sz w:val="20"/>
                <w:szCs w:val="18"/>
              </w:rPr>
              <w:t>O</w:t>
            </w:r>
            <w:r w:rsidRPr="00E2771E">
              <w:rPr>
                <w:rFonts w:ascii="Arial Narrow" w:hAnsi="Arial Narrow"/>
                <w:b/>
                <w:color w:val="000000"/>
                <w:sz w:val="20"/>
                <w:szCs w:val="18"/>
              </w:rPr>
              <w:t>R</w:t>
            </w:r>
          </w:p>
          <w:p w:rsidR="00573C6A" w:rsidRPr="00E2771E" w:rsidRDefault="00573C6A" w:rsidP="00573C6A">
            <w:pPr>
              <w:jc w:val="center"/>
              <w:rPr>
                <w:rFonts w:ascii="Arial Narrow" w:hAnsi="Arial Narrow"/>
                <w:b/>
                <w:color w:val="000000"/>
                <w:sz w:val="20"/>
                <w:szCs w:val="18"/>
              </w:rPr>
            </w:pPr>
            <w:r w:rsidRPr="00E2771E">
              <w:rPr>
                <w:rFonts w:ascii="Arial Narrow" w:hAnsi="Arial Narrow"/>
                <w:b/>
                <w:color w:val="000000"/>
                <w:sz w:val="20"/>
                <w:szCs w:val="18"/>
              </w:rPr>
              <w:t>(95% CI)</w:t>
            </w:r>
          </w:p>
        </w:tc>
        <w:tc>
          <w:tcPr>
            <w:tcW w:w="1222" w:type="pct"/>
            <w:gridSpan w:val="3"/>
            <w:vAlign w:val="center"/>
          </w:tcPr>
          <w:p w:rsidR="00573C6A" w:rsidRPr="00E2771E" w:rsidRDefault="00573C6A" w:rsidP="00EC00C9">
            <w:pPr>
              <w:jc w:val="center"/>
              <w:rPr>
                <w:rFonts w:ascii="Arial Narrow" w:hAnsi="Arial Narrow"/>
                <w:b/>
                <w:color w:val="000000"/>
                <w:sz w:val="20"/>
                <w:szCs w:val="18"/>
              </w:rPr>
            </w:pPr>
            <w:r w:rsidRPr="00E2771E">
              <w:rPr>
                <w:rFonts w:ascii="Arial Narrow" w:hAnsi="Arial Narrow"/>
                <w:b/>
                <w:color w:val="000000"/>
                <w:sz w:val="20"/>
                <w:szCs w:val="18"/>
              </w:rPr>
              <w:t xml:space="preserve">Event rate/100 patients* </w:t>
            </w:r>
          </w:p>
        </w:tc>
        <w:tc>
          <w:tcPr>
            <w:tcW w:w="741" w:type="pct"/>
            <w:vMerge w:val="restart"/>
            <w:vAlign w:val="center"/>
          </w:tcPr>
          <w:p w:rsidR="00573C6A" w:rsidRPr="00E2771E" w:rsidRDefault="00573C6A" w:rsidP="00EC00C9">
            <w:pPr>
              <w:jc w:val="center"/>
              <w:rPr>
                <w:rFonts w:ascii="Arial Narrow" w:hAnsi="Arial Narrow"/>
                <w:b/>
                <w:color w:val="000000"/>
                <w:sz w:val="20"/>
                <w:szCs w:val="18"/>
              </w:rPr>
            </w:pPr>
            <w:r w:rsidRPr="00E2771E">
              <w:rPr>
                <w:rFonts w:ascii="Arial Narrow" w:hAnsi="Arial Narrow"/>
                <w:b/>
                <w:color w:val="000000"/>
                <w:sz w:val="20"/>
                <w:szCs w:val="18"/>
              </w:rPr>
              <w:t>RD</w:t>
            </w:r>
          </w:p>
          <w:p w:rsidR="00573C6A" w:rsidRPr="00E2771E" w:rsidRDefault="00573C6A" w:rsidP="00EC00C9">
            <w:pPr>
              <w:jc w:val="center"/>
              <w:rPr>
                <w:rFonts w:ascii="Arial Narrow" w:hAnsi="Arial Narrow"/>
                <w:b/>
                <w:color w:val="000000"/>
                <w:sz w:val="20"/>
                <w:szCs w:val="18"/>
              </w:rPr>
            </w:pPr>
            <w:r w:rsidRPr="00E2771E">
              <w:rPr>
                <w:rFonts w:ascii="Arial Narrow" w:hAnsi="Arial Narrow"/>
                <w:b/>
                <w:color w:val="000000"/>
                <w:sz w:val="20"/>
                <w:szCs w:val="18"/>
              </w:rPr>
              <w:t>(95% CI)</w:t>
            </w:r>
          </w:p>
        </w:tc>
      </w:tr>
      <w:tr w:rsidR="00573C6A" w:rsidRPr="00E2771E" w:rsidTr="00573C6A">
        <w:trPr>
          <w:trHeight w:val="390"/>
        </w:trPr>
        <w:tc>
          <w:tcPr>
            <w:tcW w:w="693" w:type="pct"/>
            <w:gridSpan w:val="2"/>
            <w:vMerge/>
            <w:shd w:val="clear" w:color="auto" w:fill="auto"/>
            <w:vAlign w:val="center"/>
          </w:tcPr>
          <w:p w:rsidR="00573C6A" w:rsidRPr="00E2771E" w:rsidRDefault="00573C6A" w:rsidP="00EC00C9">
            <w:pPr>
              <w:rPr>
                <w:rFonts w:ascii="Arial Narrow" w:hAnsi="Arial Narrow"/>
                <w:b/>
                <w:color w:val="000000"/>
                <w:sz w:val="20"/>
                <w:szCs w:val="18"/>
              </w:rPr>
            </w:pPr>
          </w:p>
        </w:tc>
        <w:tc>
          <w:tcPr>
            <w:tcW w:w="667" w:type="pct"/>
            <w:gridSpan w:val="2"/>
            <w:vMerge/>
            <w:vAlign w:val="center"/>
          </w:tcPr>
          <w:p w:rsidR="00573C6A" w:rsidRPr="00E2771E" w:rsidRDefault="00573C6A" w:rsidP="00EC00C9">
            <w:pPr>
              <w:jc w:val="center"/>
              <w:rPr>
                <w:rFonts w:ascii="Arial Narrow" w:hAnsi="Arial Narrow"/>
                <w:b/>
                <w:color w:val="000000"/>
                <w:sz w:val="20"/>
                <w:szCs w:val="18"/>
              </w:rPr>
            </w:pPr>
          </w:p>
        </w:tc>
        <w:tc>
          <w:tcPr>
            <w:tcW w:w="759" w:type="pct"/>
            <w:gridSpan w:val="2"/>
            <w:vMerge/>
            <w:vAlign w:val="center"/>
          </w:tcPr>
          <w:p w:rsidR="00573C6A" w:rsidRPr="00E2771E" w:rsidRDefault="00573C6A" w:rsidP="00EC00C9">
            <w:pPr>
              <w:jc w:val="center"/>
              <w:rPr>
                <w:rFonts w:ascii="Arial Narrow" w:hAnsi="Arial Narrow"/>
                <w:b/>
                <w:color w:val="000000"/>
                <w:sz w:val="20"/>
                <w:szCs w:val="18"/>
              </w:rPr>
            </w:pPr>
          </w:p>
        </w:tc>
        <w:tc>
          <w:tcPr>
            <w:tcW w:w="918" w:type="pct"/>
            <w:vMerge/>
            <w:vAlign w:val="center"/>
          </w:tcPr>
          <w:p w:rsidR="00573C6A" w:rsidRPr="00E2771E" w:rsidRDefault="00573C6A" w:rsidP="00EC00C9">
            <w:pPr>
              <w:jc w:val="center"/>
              <w:rPr>
                <w:rFonts w:ascii="Arial Narrow" w:hAnsi="Arial Narrow"/>
                <w:b/>
                <w:color w:val="000000"/>
                <w:sz w:val="20"/>
                <w:szCs w:val="18"/>
              </w:rPr>
            </w:pPr>
          </w:p>
        </w:tc>
        <w:tc>
          <w:tcPr>
            <w:tcW w:w="668" w:type="pct"/>
            <w:gridSpan w:val="2"/>
            <w:vAlign w:val="center"/>
          </w:tcPr>
          <w:p w:rsidR="00573C6A" w:rsidRPr="00E2771E" w:rsidRDefault="00573C6A" w:rsidP="00EC00C9">
            <w:pPr>
              <w:jc w:val="center"/>
              <w:rPr>
                <w:rFonts w:ascii="Arial Narrow" w:hAnsi="Arial Narrow"/>
                <w:b/>
                <w:color w:val="000000"/>
                <w:sz w:val="20"/>
                <w:szCs w:val="18"/>
              </w:rPr>
            </w:pPr>
            <w:r>
              <w:rPr>
                <w:rFonts w:ascii="Arial Narrow" w:hAnsi="Arial Narrow"/>
                <w:b/>
                <w:color w:val="000000"/>
                <w:sz w:val="20"/>
                <w:szCs w:val="18"/>
              </w:rPr>
              <w:t>Aprepitant</w:t>
            </w:r>
          </w:p>
        </w:tc>
        <w:tc>
          <w:tcPr>
            <w:tcW w:w="554" w:type="pct"/>
            <w:vAlign w:val="center"/>
          </w:tcPr>
          <w:p w:rsidR="00573C6A" w:rsidRPr="00E2771E" w:rsidRDefault="00573C6A" w:rsidP="00EC00C9">
            <w:pPr>
              <w:jc w:val="center"/>
              <w:rPr>
                <w:rFonts w:ascii="Arial Narrow" w:hAnsi="Arial Narrow"/>
                <w:b/>
                <w:color w:val="000000"/>
                <w:sz w:val="20"/>
                <w:szCs w:val="18"/>
              </w:rPr>
            </w:pPr>
            <w:r>
              <w:rPr>
                <w:rFonts w:ascii="Arial Narrow" w:hAnsi="Arial Narrow"/>
                <w:b/>
                <w:color w:val="000000"/>
                <w:sz w:val="20"/>
                <w:szCs w:val="18"/>
              </w:rPr>
              <w:t>Control</w:t>
            </w:r>
          </w:p>
        </w:tc>
        <w:tc>
          <w:tcPr>
            <w:tcW w:w="741" w:type="pct"/>
            <w:vMerge/>
            <w:vAlign w:val="center"/>
          </w:tcPr>
          <w:p w:rsidR="00573C6A" w:rsidRPr="00E2771E" w:rsidRDefault="00573C6A" w:rsidP="00EC00C9">
            <w:pPr>
              <w:jc w:val="center"/>
              <w:rPr>
                <w:rFonts w:ascii="Arial Narrow" w:hAnsi="Arial Narrow"/>
                <w:b/>
                <w:color w:val="000000"/>
                <w:sz w:val="20"/>
                <w:szCs w:val="18"/>
              </w:rPr>
            </w:pPr>
          </w:p>
        </w:tc>
      </w:tr>
      <w:tr w:rsidR="00573C6A" w:rsidRPr="00E2771E" w:rsidTr="009234AB">
        <w:tc>
          <w:tcPr>
            <w:tcW w:w="699" w:type="pct"/>
            <w:gridSpan w:val="3"/>
            <w:shd w:val="clear" w:color="auto" w:fill="auto"/>
            <w:vAlign w:val="center"/>
          </w:tcPr>
          <w:p w:rsidR="00573C6A" w:rsidRPr="009234AB" w:rsidRDefault="009234AB" w:rsidP="009234AB">
            <w:pPr>
              <w:jc w:val="center"/>
              <w:rPr>
                <w:rFonts w:ascii="Arial Narrow" w:hAnsi="Arial Narrow"/>
                <w:color w:val="000000"/>
                <w:sz w:val="20"/>
                <w:szCs w:val="18"/>
              </w:rPr>
            </w:pPr>
            <w:r w:rsidRPr="009234AB">
              <w:rPr>
                <w:rFonts w:ascii="Arial Narrow" w:hAnsi="Arial Narrow"/>
                <w:color w:val="000000"/>
                <w:sz w:val="20"/>
                <w:szCs w:val="18"/>
              </w:rPr>
              <w:t>-</w:t>
            </w:r>
          </w:p>
        </w:tc>
        <w:tc>
          <w:tcPr>
            <w:tcW w:w="668" w:type="pct"/>
            <w:gridSpan w:val="2"/>
            <w:vAlign w:val="center"/>
          </w:tcPr>
          <w:p w:rsidR="00573C6A" w:rsidRPr="009234AB" w:rsidRDefault="009234AB" w:rsidP="009234AB">
            <w:pPr>
              <w:jc w:val="center"/>
              <w:rPr>
                <w:rFonts w:ascii="Arial Narrow" w:hAnsi="Arial Narrow"/>
                <w:color w:val="000000"/>
                <w:sz w:val="20"/>
                <w:szCs w:val="18"/>
              </w:rPr>
            </w:pPr>
            <w:r w:rsidRPr="009234AB">
              <w:rPr>
                <w:rFonts w:ascii="Arial Narrow" w:hAnsi="Arial Narrow"/>
                <w:color w:val="000000"/>
                <w:sz w:val="20"/>
                <w:szCs w:val="18"/>
              </w:rPr>
              <w:t>-</w:t>
            </w:r>
          </w:p>
        </w:tc>
        <w:tc>
          <w:tcPr>
            <w:tcW w:w="752" w:type="pct"/>
            <w:vAlign w:val="center"/>
          </w:tcPr>
          <w:p w:rsidR="00573C6A" w:rsidRPr="009234AB" w:rsidRDefault="009234AB" w:rsidP="009234AB">
            <w:pPr>
              <w:jc w:val="center"/>
              <w:rPr>
                <w:rFonts w:ascii="Arial Narrow" w:hAnsi="Arial Narrow"/>
                <w:color w:val="000000"/>
                <w:sz w:val="20"/>
                <w:szCs w:val="18"/>
              </w:rPr>
            </w:pPr>
            <w:r w:rsidRPr="009234AB">
              <w:rPr>
                <w:rFonts w:ascii="Arial Narrow" w:hAnsi="Arial Narrow"/>
                <w:color w:val="000000"/>
                <w:sz w:val="20"/>
                <w:szCs w:val="18"/>
              </w:rPr>
              <w:t>-</w:t>
            </w:r>
          </w:p>
        </w:tc>
        <w:tc>
          <w:tcPr>
            <w:tcW w:w="918" w:type="pct"/>
            <w:vAlign w:val="center"/>
          </w:tcPr>
          <w:p w:rsidR="00573C6A" w:rsidRPr="009234AB" w:rsidRDefault="009234AB" w:rsidP="009234AB">
            <w:pPr>
              <w:jc w:val="center"/>
              <w:rPr>
                <w:rFonts w:ascii="Arial Narrow" w:hAnsi="Arial Narrow"/>
                <w:color w:val="000000"/>
                <w:sz w:val="20"/>
                <w:szCs w:val="18"/>
              </w:rPr>
            </w:pPr>
            <w:r w:rsidRPr="009234AB">
              <w:rPr>
                <w:rFonts w:ascii="Arial Narrow" w:hAnsi="Arial Narrow"/>
                <w:color w:val="000000"/>
                <w:sz w:val="20"/>
                <w:szCs w:val="18"/>
              </w:rPr>
              <w:t>-</w:t>
            </w:r>
          </w:p>
        </w:tc>
        <w:tc>
          <w:tcPr>
            <w:tcW w:w="668" w:type="pct"/>
            <w:gridSpan w:val="2"/>
            <w:vAlign w:val="center"/>
          </w:tcPr>
          <w:p w:rsidR="00573C6A" w:rsidRPr="009234AB" w:rsidRDefault="009234AB" w:rsidP="009234AB">
            <w:pPr>
              <w:jc w:val="center"/>
              <w:rPr>
                <w:rFonts w:ascii="Arial Narrow" w:hAnsi="Arial Narrow"/>
                <w:color w:val="000000"/>
                <w:sz w:val="20"/>
                <w:szCs w:val="18"/>
              </w:rPr>
            </w:pPr>
            <w:r w:rsidRPr="009234AB">
              <w:rPr>
                <w:rFonts w:ascii="Arial Narrow" w:hAnsi="Arial Narrow"/>
                <w:color w:val="000000"/>
                <w:sz w:val="20"/>
                <w:szCs w:val="18"/>
              </w:rPr>
              <w:t>-</w:t>
            </w:r>
          </w:p>
        </w:tc>
        <w:tc>
          <w:tcPr>
            <w:tcW w:w="554" w:type="pct"/>
            <w:vAlign w:val="center"/>
          </w:tcPr>
          <w:p w:rsidR="00573C6A" w:rsidRPr="009234AB" w:rsidRDefault="009234AB" w:rsidP="009234AB">
            <w:pPr>
              <w:jc w:val="center"/>
              <w:rPr>
                <w:rFonts w:ascii="Arial Narrow" w:hAnsi="Arial Narrow"/>
                <w:color w:val="000000"/>
                <w:sz w:val="20"/>
                <w:szCs w:val="18"/>
              </w:rPr>
            </w:pPr>
            <w:r w:rsidRPr="009234AB">
              <w:rPr>
                <w:rFonts w:ascii="Arial Narrow" w:hAnsi="Arial Narrow"/>
                <w:color w:val="000000"/>
                <w:sz w:val="20"/>
                <w:szCs w:val="18"/>
              </w:rPr>
              <w:t>-</w:t>
            </w:r>
          </w:p>
        </w:tc>
        <w:tc>
          <w:tcPr>
            <w:tcW w:w="741" w:type="pct"/>
            <w:vAlign w:val="center"/>
          </w:tcPr>
          <w:p w:rsidR="00573C6A" w:rsidRPr="00E2771E" w:rsidRDefault="009234AB" w:rsidP="009234AB">
            <w:pPr>
              <w:jc w:val="center"/>
              <w:rPr>
                <w:rFonts w:ascii="Arial Narrow" w:hAnsi="Arial Narrow"/>
                <w:color w:val="000000"/>
                <w:sz w:val="20"/>
                <w:szCs w:val="18"/>
              </w:rPr>
            </w:pPr>
            <w:r w:rsidRPr="009234AB">
              <w:rPr>
                <w:rFonts w:ascii="Arial Narrow" w:hAnsi="Arial Narrow"/>
                <w:color w:val="000000"/>
                <w:sz w:val="20"/>
                <w:szCs w:val="18"/>
              </w:rPr>
              <w:t>-</w:t>
            </w:r>
          </w:p>
        </w:tc>
      </w:tr>
    </w:tbl>
    <w:p w:rsidR="00B62715" w:rsidRPr="005E366B" w:rsidRDefault="00B62715" w:rsidP="00552BD3">
      <w:pPr>
        <w:pStyle w:val="TableFooter"/>
        <w:ind w:left="720"/>
      </w:pPr>
      <w:r w:rsidRPr="005E366B">
        <w:t xml:space="preserve">* </w:t>
      </w:r>
      <w:r w:rsidR="00573C6A" w:rsidRPr="005E366B">
        <w:t>D</w:t>
      </w:r>
      <w:r w:rsidRPr="005E366B">
        <w:t>uration of follow-up</w:t>
      </w:r>
      <w:r w:rsidR="00573C6A" w:rsidRPr="005E366B">
        <w:t xml:space="preserve"> = </w:t>
      </w:r>
      <w:r w:rsidR="00725BE9" w:rsidRPr="005E366B">
        <w:t>120 hours</w:t>
      </w:r>
    </w:p>
    <w:p w:rsidR="00B62715" w:rsidRPr="005E366B" w:rsidRDefault="00B62715" w:rsidP="00552BD3">
      <w:pPr>
        <w:pStyle w:val="TableFooter"/>
        <w:ind w:firstLine="720"/>
      </w:pPr>
      <w:r w:rsidRPr="005E366B">
        <w:t xml:space="preserve">Abbreviations: RD = risk difference; </w:t>
      </w:r>
      <w:r w:rsidR="00573C6A" w:rsidRPr="005E366B">
        <w:t>OR</w:t>
      </w:r>
      <w:r w:rsidRPr="005E366B">
        <w:t xml:space="preserve"> = </w:t>
      </w:r>
      <w:r w:rsidR="00573C6A" w:rsidRPr="005E366B">
        <w:t>odds ratio</w:t>
      </w:r>
    </w:p>
    <w:p w:rsidR="00B62715" w:rsidRPr="005E366B" w:rsidRDefault="00B62715" w:rsidP="00552BD3">
      <w:pPr>
        <w:pStyle w:val="TableFooter"/>
        <w:ind w:firstLine="720"/>
      </w:pPr>
      <w:r w:rsidRPr="005E366B">
        <w:t xml:space="preserve">Source: </w:t>
      </w:r>
      <w:r w:rsidR="00573C6A" w:rsidRPr="005E366B">
        <w:t>Table B.6-1, p81 of the submission and calculated during evaluation</w:t>
      </w:r>
    </w:p>
    <w:p w:rsidR="00B60939" w:rsidRPr="00882085" w:rsidRDefault="00B60939" w:rsidP="004B1CB4"/>
    <w:p w:rsidR="00FC1884" w:rsidRPr="00B50DB8" w:rsidRDefault="00EC00C9" w:rsidP="00C66229">
      <w:pPr>
        <w:pStyle w:val="ListParagraph"/>
        <w:widowControl/>
        <w:numPr>
          <w:ilvl w:val="1"/>
          <w:numId w:val="3"/>
        </w:numPr>
        <w:rPr>
          <w:szCs w:val="22"/>
        </w:rPr>
      </w:pPr>
      <w:r w:rsidRPr="00CF6EE4">
        <w:t xml:space="preserve">On the basis of </w:t>
      </w:r>
      <w:r w:rsidR="006D437D">
        <w:t>meta-analysis</w:t>
      </w:r>
      <w:r w:rsidRPr="00CF6EE4">
        <w:t xml:space="preserve"> evidence presented by the submission, for every 100 patients treated with </w:t>
      </w:r>
      <w:r w:rsidR="006D437D">
        <w:t>aprepitant</w:t>
      </w:r>
      <w:r w:rsidRPr="00CF6EE4">
        <w:t xml:space="preserve"> in comparison to </w:t>
      </w:r>
      <w:r w:rsidR="006D437D">
        <w:t>standard therapy</w:t>
      </w:r>
      <w:r w:rsidRPr="00CF6EE4">
        <w:t>;</w:t>
      </w:r>
    </w:p>
    <w:p w:rsidR="00FC1884" w:rsidRPr="00725BE9" w:rsidRDefault="00FC1884" w:rsidP="00C66229">
      <w:pPr>
        <w:pStyle w:val="ListParagraph"/>
        <w:widowControl/>
        <w:numPr>
          <w:ilvl w:val="0"/>
          <w:numId w:val="2"/>
        </w:numPr>
        <w:ind w:left="1134" w:hanging="425"/>
      </w:pPr>
      <w:r w:rsidRPr="00725BE9">
        <w:t>Approximately 1</w:t>
      </w:r>
      <w:r w:rsidR="00573C6A" w:rsidRPr="00725BE9">
        <w:t>1</w:t>
      </w:r>
      <w:r w:rsidRPr="00725BE9">
        <w:t xml:space="preserve"> additional patients would have </w:t>
      </w:r>
      <w:r w:rsidR="00573C6A" w:rsidRPr="00725BE9">
        <w:t>complete response</w:t>
      </w:r>
      <w:r w:rsidRPr="00725BE9">
        <w:t xml:space="preserve"> </w:t>
      </w:r>
      <w:r w:rsidR="00725BE9" w:rsidRPr="00725BE9">
        <w:t xml:space="preserve">(no vomiting and no rescue therapy) </w:t>
      </w:r>
      <w:r w:rsidRPr="00725BE9">
        <w:t xml:space="preserve">over </w:t>
      </w:r>
      <w:r w:rsidR="00725BE9" w:rsidRPr="00725BE9">
        <w:t>120 hours post chemotherapy</w:t>
      </w:r>
      <w:r w:rsidR="00573C6A" w:rsidRPr="00725BE9">
        <w:t>.</w:t>
      </w:r>
    </w:p>
    <w:p w:rsidR="00B60939" w:rsidRPr="00882085" w:rsidRDefault="00B60939" w:rsidP="00FC1884"/>
    <w:p w:rsidR="00B60939" w:rsidRDefault="00B60939" w:rsidP="003F4A75">
      <w:pPr>
        <w:pStyle w:val="Heading2"/>
      </w:pPr>
      <w:bookmarkStart w:id="12" w:name="_Toc430011620"/>
      <w:r w:rsidRPr="002C2775">
        <w:t>Clinical claim</w:t>
      </w:r>
      <w:bookmarkEnd w:id="12"/>
    </w:p>
    <w:p w:rsidR="0084019F" w:rsidRPr="007E7BDC" w:rsidRDefault="0084019F" w:rsidP="0084019F"/>
    <w:p w:rsidR="00B60939" w:rsidRPr="009B4B0D" w:rsidRDefault="006D437D" w:rsidP="00C66229">
      <w:pPr>
        <w:pStyle w:val="ListParagraph"/>
        <w:widowControl/>
        <w:numPr>
          <w:ilvl w:val="1"/>
          <w:numId w:val="3"/>
        </w:numPr>
        <w:rPr>
          <w:szCs w:val="22"/>
        </w:rPr>
      </w:pPr>
      <w:r w:rsidRPr="007E7BDC">
        <w:t>The submission described aprepitant as superior in terms of comparative effectiveness and similar in terms of comparative safety over standard treatment</w:t>
      </w:r>
      <w:r w:rsidRPr="00972240">
        <w:t xml:space="preserve">. </w:t>
      </w:r>
      <w:r w:rsidR="00F724F3" w:rsidRPr="00972240">
        <w:t xml:space="preserve">The ESC considered this </w:t>
      </w:r>
      <w:r w:rsidRPr="00972240">
        <w:t>claim reasonable</w:t>
      </w:r>
      <w:r w:rsidR="00F724F3" w:rsidRPr="00972240">
        <w:t>.</w:t>
      </w:r>
    </w:p>
    <w:p w:rsidR="009B4B0D" w:rsidRPr="009B4B0D" w:rsidRDefault="009B4B0D" w:rsidP="009B4B0D">
      <w:pPr>
        <w:pStyle w:val="ListParagraph"/>
        <w:widowControl/>
        <w:rPr>
          <w:szCs w:val="22"/>
        </w:rPr>
      </w:pPr>
    </w:p>
    <w:p w:rsidR="009B4B0D" w:rsidRPr="00571A30" w:rsidRDefault="009B4B0D" w:rsidP="00C66229">
      <w:pPr>
        <w:pStyle w:val="ListParagraph"/>
        <w:widowControl/>
        <w:numPr>
          <w:ilvl w:val="1"/>
          <w:numId w:val="3"/>
        </w:numPr>
        <w:rPr>
          <w:szCs w:val="22"/>
        </w:rPr>
      </w:pPr>
      <w:r w:rsidRPr="00571A30">
        <w:rPr>
          <w:szCs w:val="22"/>
        </w:rPr>
        <w:t xml:space="preserve">The PBAC considered that </w:t>
      </w:r>
      <w:r w:rsidR="006C409B">
        <w:rPr>
          <w:szCs w:val="22"/>
        </w:rPr>
        <w:t>a</w:t>
      </w:r>
      <w:r w:rsidRPr="00571A30">
        <w:rPr>
          <w:szCs w:val="22"/>
        </w:rPr>
        <w:t xml:space="preserve"> claim of superior comparative effectiveness and similar comparative safety </w:t>
      </w:r>
      <w:r w:rsidR="00C21B02">
        <w:rPr>
          <w:szCs w:val="22"/>
        </w:rPr>
        <w:t>may be</w:t>
      </w:r>
      <w:r w:rsidRPr="00571A30">
        <w:rPr>
          <w:szCs w:val="22"/>
        </w:rPr>
        <w:t xml:space="preserve"> reasonable, however noted that the magnitude of comparative effectiveness may be overestimated for the reasons outlined in paragraph 6.8.</w:t>
      </w:r>
    </w:p>
    <w:p w:rsidR="00571A30" w:rsidRDefault="00571A30" w:rsidP="003F4A75">
      <w:pPr>
        <w:pStyle w:val="BodyText"/>
      </w:pPr>
      <w:bookmarkStart w:id="13" w:name="_Toc430011621"/>
    </w:p>
    <w:p w:rsidR="00B60939" w:rsidRDefault="00B60939" w:rsidP="003F4A75">
      <w:pPr>
        <w:pStyle w:val="Heading2"/>
      </w:pPr>
      <w:r w:rsidRPr="003F4A75">
        <w:t>Economic</w:t>
      </w:r>
      <w:r w:rsidRPr="002C2775">
        <w:t xml:space="preserve"> analysis</w:t>
      </w:r>
      <w:bookmarkEnd w:id="13"/>
      <w:r w:rsidR="00491B3A" w:rsidRPr="002C2775">
        <w:t xml:space="preserve"> </w:t>
      </w:r>
    </w:p>
    <w:p w:rsidR="00C53F9D" w:rsidRPr="00C53F9D" w:rsidRDefault="00C53F9D" w:rsidP="00C53F9D"/>
    <w:p w:rsidR="00AA0DA8" w:rsidRPr="00AA0DA8" w:rsidRDefault="00AA0DA8" w:rsidP="00C66229">
      <w:pPr>
        <w:pStyle w:val="ListParagraph"/>
        <w:widowControl/>
        <w:numPr>
          <w:ilvl w:val="1"/>
          <w:numId w:val="3"/>
        </w:numPr>
      </w:pPr>
      <w:r w:rsidRPr="007E7BDC">
        <w:t xml:space="preserve">The submission did </w:t>
      </w:r>
      <w:r w:rsidRPr="0055657A">
        <w:t>not</w:t>
      </w:r>
      <w:r w:rsidRPr="007E7BDC">
        <w:t xml:space="preserve"> provide any economic analysis of aprepitant for the prevention of acute and delayed CINV associated with carboplatin/oxaliplatin based chemotherapy regimens compared with standard therapy. In the absence of the type </w:t>
      </w:r>
      <w:r w:rsidRPr="007E7BDC">
        <w:lastRenderedPageBreak/>
        <w:t xml:space="preserve">of economic evaluation that is consistent with the </w:t>
      </w:r>
      <w:r w:rsidR="00074391">
        <w:t>current</w:t>
      </w:r>
      <w:r w:rsidRPr="007E7BDC">
        <w:t xml:space="preserve"> PBAC Guidelines, the value for money of aprepitant for the prevention of acute and delayed CINV associated with</w:t>
      </w:r>
      <w:r w:rsidRPr="00AA0DA8">
        <w:rPr>
          <w:i/>
        </w:rPr>
        <w:t xml:space="preserve"> </w:t>
      </w:r>
      <w:r w:rsidRPr="007E7BDC">
        <w:t>carboplatin/oxaliplatin based chemotherapy regimens, compared with standard therapy, is unknown.</w:t>
      </w:r>
    </w:p>
    <w:p w:rsidR="00D03B1E" w:rsidRDefault="00D03B1E" w:rsidP="003F4A75">
      <w:pPr>
        <w:pStyle w:val="BodyText"/>
      </w:pPr>
    </w:p>
    <w:p w:rsidR="002204BC" w:rsidRPr="008C1F4F" w:rsidRDefault="002204BC" w:rsidP="00C66229">
      <w:pPr>
        <w:pStyle w:val="ListParagraph"/>
        <w:widowControl/>
        <w:numPr>
          <w:ilvl w:val="1"/>
          <w:numId w:val="3"/>
        </w:numPr>
      </w:pPr>
      <w:r w:rsidRPr="008C1F4F">
        <w:t xml:space="preserve">The PSCR (p3) argued that although a formal economic evaluation was not provided in the submission, “it can be reasonably expected that the incremental cost-effectiveness of aprepitant is similar to (if not greater than) what was previously considered by the PBAC to represent value for money.” The ESC considered that a formal </w:t>
      </w:r>
      <w:r w:rsidR="00917120" w:rsidRPr="008C1F4F">
        <w:t>cost-effectiveness analysis</w:t>
      </w:r>
      <w:r w:rsidRPr="008C1F4F">
        <w:t xml:space="preserve"> should be presented, given that the submission has requested a price increase for aprepitant when used as primary prophylaxis with oxaliplatin or carboplatin compared to the current secondary prophylaxis listing.  The requested listing would extend use of aprepitant to a broader group of patients, and in the absence of a significant price reduction, the proposed price needs to be justified.</w:t>
      </w:r>
    </w:p>
    <w:p w:rsidR="002204BC" w:rsidRPr="008C1F4F" w:rsidRDefault="002204BC" w:rsidP="003F4A75">
      <w:pPr>
        <w:pStyle w:val="BodyText"/>
      </w:pPr>
    </w:p>
    <w:p w:rsidR="006D437D" w:rsidRPr="006D437D" w:rsidRDefault="006D437D" w:rsidP="00C66229">
      <w:pPr>
        <w:pStyle w:val="ListParagraph"/>
        <w:widowControl/>
        <w:numPr>
          <w:ilvl w:val="1"/>
          <w:numId w:val="3"/>
        </w:numPr>
      </w:pPr>
      <w:r w:rsidRPr="006D437D">
        <w:t>The submission re-calculated the PBS-published price for aprepitant, which is a weighted average of:</w:t>
      </w:r>
    </w:p>
    <w:p w:rsidR="006D437D" w:rsidRPr="006D437D" w:rsidRDefault="006D437D" w:rsidP="00C66229">
      <w:pPr>
        <w:pStyle w:val="ListParagraph"/>
        <w:numPr>
          <w:ilvl w:val="0"/>
          <w:numId w:val="1"/>
        </w:numPr>
        <w:tabs>
          <w:tab w:val="left" w:pos="6300"/>
        </w:tabs>
        <w:ind w:left="1134"/>
      </w:pPr>
      <w:r w:rsidRPr="006D437D">
        <w:t>The effective price for aprepitant when administered in combination with a</w:t>
      </w:r>
      <w:r w:rsidR="00870A82">
        <w:t xml:space="preserve"> highly emetogenic chemotherapy (</w:t>
      </w:r>
      <w:r w:rsidRPr="006D437D">
        <w:t>HEC</w:t>
      </w:r>
      <w:r w:rsidR="00870A82">
        <w:t>)</w:t>
      </w:r>
      <w:r w:rsidRPr="006D437D">
        <w:t xml:space="preserve"> for the treatment of malignancy, or cyclophosphamide plus an </w:t>
      </w:r>
      <w:r w:rsidR="002F7967">
        <w:t>anthracycline</w:t>
      </w:r>
      <w:r w:rsidRPr="006D437D">
        <w:t xml:space="preserve"> for the treatment of breast cancer: $</w:t>
      </w:r>
      <w:r w:rsidR="009E29BB">
        <w:rPr>
          <w:noProof/>
          <w:color w:val="000000"/>
          <w:highlight w:val="black"/>
        </w:rPr>
        <w:t>'''''''''''''''''</w:t>
      </w:r>
      <w:r w:rsidRPr="006D437D">
        <w:t xml:space="preserve"> per pack (ex-manufacturer).</w:t>
      </w:r>
    </w:p>
    <w:p w:rsidR="006D437D" w:rsidRDefault="006D437D" w:rsidP="00C66229">
      <w:pPr>
        <w:pStyle w:val="ListParagraph"/>
        <w:numPr>
          <w:ilvl w:val="0"/>
          <w:numId w:val="1"/>
        </w:numPr>
        <w:tabs>
          <w:tab w:val="left" w:pos="6300"/>
        </w:tabs>
        <w:ind w:left="1134"/>
      </w:pPr>
      <w:r w:rsidRPr="006D437D">
        <w:t xml:space="preserve">The effective price for aprepitant when administered in combination with a </w:t>
      </w:r>
      <w:r w:rsidR="00870A82">
        <w:t>moderately emetogenic chemotherapy (</w:t>
      </w:r>
      <w:r w:rsidRPr="006D437D">
        <w:t>MEC</w:t>
      </w:r>
      <w:r w:rsidR="00870A82">
        <w:t>)</w:t>
      </w:r>
      <w:r w:rsidRPr="006D437D">
        <w:t xml:space="preserve"> agent: $</w:t>
      </w:r>
      <w:r w:rsidR="009E29BB">
        <w:rPr>
          <w:noProof/>
          <w:color w:val="000000"/>
          <w:highlight w:val="black"/>
        </w:rPr>
        <w:t>'''''''''''''''</w:t>
      </w:r>
      <w:r w:rsidRPr="006D437D">
        <w:t xml:space="preserve"> per pa</w:t>
      </w:r>
      <w:r w:rsidR="00D03B1E">
        <w:t>ck (ex-manufacturer).</w:t>
      </w:r>
    </w:p>
    <w:p w:rsidR="006D437D" w:rsidRDefault="006D437D" w:rsidP="00275C5A">
      <w:pPr>
        <w:widowControl/>
        <w:rPr>
          <w:szCs w:val="22"/>
        </w:rPr>
      </w:pPr>
    </w:p>
    <w:p w:rsidR="006D437D" w:rsidRDefault="006D437D" w:rsidP="006D437D">
      <w:pPr>
        <w:ind w:left="709"/>
        <w:rPr>
          <w:rStyle w:val="CommentReference"/>
        </w:rPr>
      </w:pPr>
      <w:r w:rsidRPr="00121799">
        <w:rPr>
          <w:rStyle w:val="CommentReference"/>
        </w:rPr>
        <w:t xml:space="preserve">Table </w:t>
      </w:r>
      <w:r w:rsidR="009234AB">
        <w:rPr>
          <w:rStyle w:val="CommentReference"/>
        </w:rPr>
        <w:t>6</w:t>
      </w:r>
      <w:r w:rsidRPr="00121799">
        <w:rPr>
          <w:rStyle w:val="CommentReference"/>
        </w:rPr>
        <w:t xml:space="preserve">: </w:t>
      </w:r>
      <w:r w:rsidRPr="002E458B">
        <w:rPr>
          <w:rStyle w:val="CommentReference"/>
        </w:rPr>
        <w:t>Summary of current and proposed pricing for aprepitant</w:t>
      </w:r>
    </w:p>
    <w:tbl>
      <w:tblPr>
        <w:tblStyle w:val="TableGrid"/>
        <w:tblW w:w="4610" w:type="pct"/>
        <w:tblInd w:w="737" w:type="dxa"/>
        <w:tblCellMar>
          <w:left w:w="28" w:type="dxa"/>
          <w:right w:w="28" w:type="dxa"/>
        </w:tblCellMar>
        <w:tblLook w:val="04A0" w:firstRow="1" w:lastRow="0" w:firstColumn="1" w:lastColumn="0" w:noHBand="0" w:noVBand="1"/>
        <w:tblCaption w:val="Summary of current and proposed pricing"/>
      </w:tblPr>
      <w:tblGrid>
        <w:gridCol w:w="1561"/>
        <w:gridCol w:w="1278"/>
        <w:gridCol w:w="708"/>
        <w:gridCol w:w="1130"/>
        <w:gridCol w:w="995"/>
        <w:gridCol w:w="1352"/>
        <w:gridCol w:w="1350"/>
      </w:tblGrid>
      <w:tr w:rsidR="00366018" w:rsidRPr="002E458B" w:rsidTr="00EB593C">
        <w:trPr>
          <w:tblHeader/>
        </w:trPr>
        <w:tc>
          <w:tcPr>
            <w:tcW w:w="932" w:type="pct"/>
          </w:tcPr>
          <w:p w:rsidR="00366018" w:rsidRPr="002E458B" w:rsidRDefault="00366018" w:rsidP="00D03B1E">
            <w:pPr>
              <w:keepNext/>
              <w:jc w:val="left"/>
              <w:outlineLvl w:val="4"/>
              <w:rPr>
                <w:rFonts w:ascii="Arial Narrow" w:hAnsi="Arial Narrow" w:cs="Times New Roman"/>
                <w:b/>
                <w:sz w:val="20"/>
              </w:rPr>
            </w:pPr>
            <w:r w:rsidRPr="002E458B">
              <w:rPr>
                <w:rFonts w:ascii="Arial Narrow" w:hAnsi="Arial Narrow" w:cs="Times New Roman"/>
                <w:b/>
                <w:sz w:val="20"/>
              </w:rPr>
              <w:t>Indication</w:t>
            </w:r>
          </w:p>
        </w:tc>
        <w:tc>
          <w:tcPr>
            <w:tcW w:w="763" w:type="pct"/>
            <w:vAlign w:val="center"/>
          </w:tcPr>
          <w:p w:rsidR="00366018" w:rsidRDefault="00366018" w:rsidP="00366018">
            <w:pPr>
              <w:keepNext/>
              <w:jc w:val="center"/>
              <w:outlineLvl w:val="4"/>
              <w:rPr>
                <w:rFonts w:ascii="Arial Narrow" w:hAnsi="Arial Narrow" w:cs="Times New Roman"/>
                <w:b/>
                <w:sz w:val="20"/>
              </w:rPr>
            </w:pPr>
            <w:r w:rsidRPr="002E458B">
              <w:rPr>
                <w:rFonts w:ascii="Arial Narrow" w:hAnsi="Arial Narrow" w:cs="Times New Roman"/>
                <w:b/>
                <w:sz w:val="20"/>
              </w:rPr>
              <w:t>Aprepitant effective price</w:t>
            </w:r>
          </w:p>
          <w:p w:rsidR="00366018" w:rsidRPr="002E458B" w:rsidRDefault="00366018" w:rsidP="00366018">
            <w:pPr>
              <w:keepNext/>
              <w:jc w:val="center"/>
              <w:outlineLvl w:val="4"/>
              <w:rPr>
                <w:rFonts w:ascii="Arial Narrow" w:hAnsi="Arial Narrow" w:cs="Times New Roman"/>
                <w:b/>
                <w:sz w:val="20"/>
              </w:rPr>
            </w:pPr>
            <w:r w:rsidRPr="002E458B">
              <w:rPr>
                <w:rFonts w:ascii="Arial Narrow" w:hAnsi="Arial Narrow" w:cs="Times New Roman"/>
                <w:b/>
                <w:sz w:val="20"/>
              </w:rPr>
              <w:t>(ex-man)</w:t>
            </w:r>
          </w:p>
        </w:tc>
        <w:tc>
          <w:tcPr>
            <w:tcW w:w="423" w:type="pct"/>
            <w:tcBorders>
              <w:bottom w:val="single" w:sz="4" w:space="0" w:color="auto"/>
            </w:tcBorders>
            <w:vAlign w:val="center"/>
          </w:tcPr>
          <w:p w:rsidR="00366018" w:rsidRPr="002E458B" w:rsidRDefault="00366018" w:rsidP="00366018">
            <w:pPr>
              <w:keepNext/>
              <w:jc w:val="center"/>
              <w:outlineLvl w:val="4"/>
              <w:rPr>
                <w:rFonts w:ascii="Arial Narrow" w:hAnsi="Arial Narrow" w:cs="Times New Roman"/>
                <w:b/>
                <w:sz w:val="20"/>
              </w:rPr>
            </w:pPr>
            <w:r w:rsidRPr="002E458B">
              <w:rPr>
                <w:rFonts w:ascii="Arial Narrow" w:hAnsi="Arial Narrow" w:cs="Times New Roman"/>
                <w:b/>
                <w:sz w:val="20"/>
              </w:rPr>
              <w:t>Pricing weight</w:t>
            </w:r>
          </w:p>
        </w:tc>
        <w:tc>
          <w:tcPr>
            <w:tcW w:w="675" w:type="pct"/>
            <w:tcBorders>
              <w:bottom w:val="single" w:sz="4" w:space="0" w:color="auto"/>
            </w:tcBorders>
            <w:vAlign w:val="center"/>
          </w:tcPr>
          <w:p w:rsidR="00366018" w:rsidRDefault="00366018" w:rsidP="00366018">
            <w:pPr>
              <w:keepNext/>
              <w:jc w:val="center"/>
              <w:outlineLvl w:val="4"/>
              <w:rPr>
                <w:rFonts w:ascii="Arial Narrow" w:hAnsi="Arial Narrow" w:cs="Times New Roman"/>
                <w:b/>
                <w:sz w:val="20"/>
              </w:rPr>
            </w:pPr>
            <w:r w:rsidRPr="002E458B">
              <w:rPr>
                <w:rFonts w:ascii="Arial Narrow" w:hAnsi="Arial Narrow" w:cs="Times New Roman"/>
                <w:b/>
                <w:sz w:val="20"/>
              </w:rPr>
              <w:t>Current PBS price</w:t>
            </w:r>
          </w:p>
          <w:p w:rsidR="00366018" w:rsidRPr="002E458B" w:rsidRDefault="00366018" w:rsidP="00366018">
            <w:pPr>
              <w:keepNext/>
              <w:jc w:val="center"/>
              <w:outlineLvl w:val="4"/>
              <w:rPr>
                <w:rFonts w:ascii="Arial Narrow" w:hAnsi="Arial Narrow" w:cs="Times New Roman"/>
                <w:b/>
                <w:sz w:val="20"/>
              </w:rPr>
            </w:pPr>
            <w:r w:rsidRPr="002E458B">
              <w:rPr>
                <w:rFonts w:ascii="Arial Narrow" w:hAnsi="Arial Narrow" w:cs="Times New Roman"/>
                <w:b/>
                <w:sz w:val="20"/>
              </w:rPr>
              <w:t>(ex-man)</w:t>
            </w:r>
          </w:p>
        </w:tc>
        <w:tc>
          <w:tcPr>
            <w:tcW w:w="594" w:type="pct"/>
            <w:tcBorders>
              <w:bottom w:val="single" w:sz="4" w:space="0" w:color="auto"/>
            </w:tcBorders>
            <w:vAlign w:val="center"/>
          </w:tcPr>
          <w:p w:rsidR="00366018" w:rsidRPr="002E458B" w:rsidRDefault="00366018" w:rsidP="00D03B1E">
            <w:pPr>
              <w:keepNext/>
              <w:jc w:val="center"/>
              <w:outlineLvl w:val="4"/>
              <w:rPr>
                <w:rFonts w:ascii="Arial Narrow" w:hAnsi="Arial Narrow" w:cs="Times New Roman"/>
                <w:b/>
                <w:sz w:val="20"/>
              </w:rPr>
            </w:pPr>
            <w:r w:rsidRPr="002E458B">
              <w:rPr>
                <w:rFonts w:ascii="Arial Narrow" w:hAnsi="Arial Narrow" w:cs="Times New Roman"/>
                <w:b/>
                <w:sz w:val="20"/>
              </w:rPr>
              <w:t>Updated pricing weight</w:t>
            </w:r>
          </w:p>
        </w:tc>
        <w:tc>
          <w:tcPr>
            <w:tcW w:w="807" w:type="pct"/>
            <w:tcBorders>
              <w:bottom w:val="single" w:sz="4" w:space="0" w:color="auto"/>
            </w:tcBorders>
            <w:vAlign w:val="center"/>
          </w:tcPr>
          <w:p w:rsidR="00366018" w:rsidRDefault="00366018" w:rsidP="00366018">
            <w:pPr>
              <w:keepNext/>
              <w:jc w:val="center"/>
              <w:outlineLvl w:val="4"/>
              <w:rPr>
                <w:rFonts w:ascii="Arial Narrow" w:hAnsi="Arial Narrow" w:cs="Times New Roman"/>
                <w:b/>
                <w:sz w:val="20"/>
              </w:rPr>
            </w:pPr>
            <w:r w:rsidRPr="002E458B">
              <w:rPr>
                <w:rFonts w:ascii="Arial Narrow" w:hAnsi="Arial Narrow" w:cs="Times New Roman"/>
                <w:b/>
                <w:sz w:val="20"/>
              </w:rPr>
              <w:t>Updated PBS price</w:t>
            </w:r>
          </w:p>
          <w:p w:rsidR="00366018" w:rsidRPr="002E458B" w:rsidRDefault="00366018" w:rsidP="00366018">
            <w:pPr>
              <w:keepNext/>
              <w:jc w:val="center"/>
              <w:outlineLvl w:val="4"/>
              <w:rPr>
                <w:rFonts w:ascii="Arial Narrow" w:hAnsi="Arial Narrow" w:cs="Times New Roman"/>
                <w:b/>
                <w:sz w:val="20"/>
              </w:rPr>
            </w:pPr>
            <w:r w:rsidRPr="002E458B">
              <w:rPr>
                <w:rFonts w:ascii="Arial Narrow" w:hAnsi="Arial Narrow" w:cs="Times New Roman"/>
                <w:b/>
                <w:sz w:val="20"/>
              </w:rPr>
              <w:t>(ex-man)</w:t>
            </w:r>
          </w:p>
        </w:tc>
        <w:tc>
          <w:tcPr>
            <w:tcW w:w="807" w:type="pct"/>
            <w:tcBorders>
              <w:bottom w:val="single" w:sz="4" w:space="0" w:color="auto"/>
            </w:tcBorders>
          </w:tcPr>
          <w:p w:rsidR="00366018" w:rsidRDefault="00366018" w:rsidP="00366018">
            <w:pPr>
              <w:keepNext/>
              <w:jc w:val="center"/>
              <w:outlineLvl w:val="4"/>
              <w:rPr>
                <w:rFonts w:ascii="Arial Narrow" w:hAnsi="Arial Narrow" w:cs="Times New Roman"/>
                <w:b/>
                <w:sz w:val="20"/>
              </w:rPr>
            </w:pPr>
            <w:r w:rsidRPr="002E458B">
              <w:rPr>
                <w:rFonts w:ascii="Arial Narrow" w:hAnsi="Arial Narrow" w:cs="Times New Roman"/>
                <w:b/>
                <w:sz w:val="20"/>
              </w:rPr>
              <w:t xml:space="preserve">Updated </w:t>
            </w:r>
            <w:r>
              <w:rPr>
                <w:rFonts w:ascii="Arial Narrow" w:hAnsi="Arial Narrow" w:cs="Times New Roman"/>
                <w:b/>
                <w:sz w:val="20"/>
              </w:rPr>
              <w:t xml:space="preserve">PBS </w:t>
            </w:r>
            <w:r w:rsidRPr="00BA2AD6">
              <w:rPr>
                <w:rFonts w:ascii="Arial Narrow" w:hAnsi="Arial Narrow" w:cs="Times New Roman"/>
                <w:b/>
                <w:sz w:val="20"/>
              </w:rPr>
              <w:t>price</w:t>
            </w:r>
          </w:p>
          <w:p w:rsidR="00366018" w:rsidRPr="002E458B" w:rsidRDefault="00366018" w:rsidP="00366018">
            <w:pPr>
              <w:keepNext/>
              <w:jc w:val="center"/>
              <w:outlineLvl w:val="4"/>
              <w:rPr>
                <w:rFonts w:ascii="Arial Narrow" w:hAnsi="Arial Narrow" w:cs="Times New Roman"/>
                <w:b/>
                <w:sz w:val="20"/>
              </w:rPr>
            </w:pPr>
            <w:r w:rsidRPr="00BA2AD6">
              <w:rPr>
                <w:rFonts w:ascii="Arial Narrow" w:hAnsi="Arial Narrow" w:cs="Times New Roman"/>
                <w:b/>
                <w:sz w:val="20"/>
              </w:rPr>
              <w:t>(DPMQ; S85)</w:t>
            </w:r>
          </w:p>
        </w:tc>
      </w:tr>
      <w:tr w:rsidR="00366018" w:rsidRPr="002E458B" w:rsidTr="00366018">
        <w:tc>
          <w:tcPr>
            <w:tcW w:w="932" w:type="pct"/>
          </w:tcPr>
          <w:p w:rsidR="00366018" w:rsidRPr="002E458B" w:rsidRDefault="00366018" w:rsidP="00D03B1E">
            <w:pPr>
              <w:jc w:val="left"/>
              <w:rPr>
                <w:rFonts w:ascii="Arial Narrow" w:hAnsi="Arial Narrow" w:cs="Times New Roman"/>
                <w:sz w:val="20"/>
              </w:rPr>
            </w:pPr>
            <w:r w:rsidRPr="002E458B">
              <w:rPr>
                <w:rFonts w:ascii="Arial Narrow" w:hAnsi="Arial Narrow" w:cs="Times New Roman"/>
                <w:sz w:val="20"/>
              </w:rPr>
              <w:t>Non-MEC regimens</w:t>
            </w:r>
          </w:p>
        </w:tc>
        <w:tc>
          <w:tcPr>
            <w:tcW w:w="763" w:type="pct"/>
            <w:vAlign w:val="center"/>
          </w:tcPr>
          <w:p w:rsidR="00366018" w:rsidRPr="002E458B" w:rsidRDefault="00366018" w:rsidP="00D03B1E">
            <w:pPr>
              <w:jc w:val="center"/>
              <w:rPr>
                <w:rFonts w:ascii="Arial Narrow" w:hAnsi="Arial Narrow" w:cs="Times New Roman"/>
                <w:sz w:val="20"/>
              </w:rPr>
            </w:pPr>
            <w:r w:rsidRPr="002E458B">
              <w:rPr>
                <w:rFonts w:ascii="Arial Narrow" w:hAnsi="Arial Narrow" w:cs="Times New Roman"/>
                <w:sz w:val="20"/>
              </w:rPr>
              <w:t>$</w:t>
            </w:r>
            <w:r w:rsidR="009E29BB">
              <w:rPr>
                <w:rFonts w:ascii="Arial Narrow" w:hAnsi="Arial Narrow" w:cs="Times New Roman"/>
                <w:noProof/>
                <w:color w:val="000000"/>
                <w:sz w:val="20"/>
                <w:highlight w:val="black"/>
              </w:rPr>
              <w:t>'''''''''''''''''</w:t>
            </w:r>
          </w:p>
        </w:tc>
        <w:tc>
          <w:tcPr>
            <w:tcW w:w="423" w:type="pct"/>
            <w:tcBorders>
              <w:bottom w:val="nil"/>
            </w:tcBorders>
            <w:vAlign w:val="center"/>
          </w:tcPr>
          <w:p w:rsidR="00366018" w:rsidRPr="002E458B" w:rsidRDefault="00E61FFE" w:rsidP="00D03B1E">
            <w:pPr>
              <w:jc w:val="center"/>
              <w:rPr>
                <w:rFonts w:ascii="Arial Narrow" w:hAnsi="Arial Narrow" w:cs="Times New Roman"/>
                <w:sz w:val="20"/>
              </w:rPr>
            </w:pPr>
            <w:r>
              <w:rPr>
                <w:rFonts w:ascii="Arial Narrow" w:hAnsi="Arial Narrow" w:cs="Times New Roman"/>
                <w:sz w:val="20"/>
              </w:rPr>
              <w:t>67</w:t>
            </w:r>
            <w:r w:rsidR="00366018" w:rsidRPr="002E458B">
              <w:rPr>
                <w:rFonts w:ascii="Arial Narrow" w:hAnsi="Arial Narrow" w:cs="Times New Roman"/>
                <w:sz w:val="20"/>
              </w:rPr>
              <w:t>%</w:t>
            </w:r>
          </w:p>
        </w:tc>
        <w:tc>
          <w:tcPr>
            <w:tcW w:w="675" w:type="pct"/>
            <w:vMerge w:val="restart"/>
            <w:vAlign w:val="center"/>
          </w:tcPr>
          <w:p w:rsidR="00366018" w:rsidRPr="002E458B" w:rsidRDefault="00366018" w:rsidP="00D03B1E">
            <w:pPr>
              <w:jc w:val="center"/>
              <w:rPr>
                <w:rFonts w:ascii="Arial Narrow" w:hAnsi="Arial Narrow" w:cs="Times New Roman"/>
                <w:sz w:val="20"/>
              </w:rPr>
            </w:pPr>
            <w:r w:rsidRPr="002E458B">
              <w:rPr>
                <w:rFonts w:ascii="Arial Narrow" w:hAnsi="Arial Narrow" w:cs="Times New Roman"/>
                <w:sz w:val="20"/>
              </w:rPr>
              <w:t>$</w:t>
            </w:r>
            <w:r w:rsidR="009E29BB">
              <w:rPr>
                <w:rFonts w:ascii="Arial Narrow" w:hAnsi="Arial Narrow" w:cs="Times New Roman"/>
                <w:noProof/>
                <w:color w:val="000000"/>
                <w:sz w:val="20"/>
                <w:highlight w:val="black"/>
              </w:rPr>
              <w:t>'''''''''''''''''</w:t>
            </w:r>
          </w:p>
        </w:tc>
        <w:tc>
          <w:tcPr>
            <w:tcW w:w="594" w:type="pct"/>
            <w:tcBorders>
              <w:bottom w:val="nil"/>
            </w:tcBorders>
            <w:vAlign w:val="center"/>
          </w:tcPr>
          <w:p w:rsidR="00366018" w:rsidRPr="002E458B" w:rsidRDefault="00366018" w:rsidP="00D03B1E">
            <w:pPr>
              <w:jc w:val="center"/>
              <w:rPr>
                <w:rFonts w:ascii="Arial Narrow" w:hAnsi="Arial Narrow" w:cs="Times New Roman"/>
                <w:sz w:val="20"/>
              </w:rPr>
            </w:pPr>
            <w:r w:rsidRPr="002E458B">
              <w:rPr>
                <w:rFonts w:ascii="Arial Narrow" w:hAnsi="Arial Narrow" w:cs="Times New Roman"/>
                <w:sz w:val="20"/>
              </w:rPr>
              <w:t>92%</w:t>
            </w:r>
          </w:p>
        </w:tc>
        <w:tc>
          <w:tcPr>
            <w:tcW w:w="807" w:type="pct"/>
            <w:vMerge w:val="restart"/>
            <w:vAlign w:val="center"/>
          </w:tcPr>
          <w:p w:rsidR="00366018" w:rsidRPr="002E458B" w:rsidRDefault="00366018" w:rsidP="00366018">
            <w:pPr>
              <w:jc w:val="center"/>
              <w:rPr>
                <w:rFonts w:ascii="Arial Narrow" w:hAnsi="Arial Narrow" w:cs="Times New Roman"/>
                <w:sz w:val="20"/>
              </w:rPr>
            </w:pPr>
            <w:r w:rsidRPr="002E458B">
              <w:rPr>
                <w:rFonts w:ascii="Arial Narrow" w:hAnsi="Arial Narrow" w:cs="Times New Roman"/>
                <w:sz w:val="20"/>
              </w:rPr>
              <w:t>$</w:t>
            </w:r>
            <w:r w:rsidR="009E29BB">
              <w:rPr>
                <w:rFonts w:ascii="Arial Narrow" w:hAnsi="Arial Narrow" w:cs="Times New Roman"/>
                <w:noProof/>
                <w:color w:val="000000"/>
                <w:sz w:val="20"/>
                <w:highlight w:val="black"/>
              </w:rPr>
              <w:t>''''''''''''''''</w:t>
            </w:r>
          </w:p>
        </w:tc>
        <w:tc>
          <w:tcPr>
            <w:tcW w:w="807" w:type="pct"/>
            <w:vMerge w:val="restart"/>
            <w:vAlign w:val="center"/>
          </w:tcPr>
          <w:p w:rsidR="00366018" w:rsidRPr="002E458B" w:rsidRDefault="00366018" w:rsidP="00366018">
            <w:pPr>
              <w:jc w:val="center"/>
              <w:rPr>
                <w:rFonts w:ascii="Arial Narrow" w:hAnsi="Arial Narrow" w:cs="Times New Roman"/>
                <w:sz w:val="20"/>
              </w:rPr>
            </w:pPr>
            <w:r w:rsidRPr="00366018">
              <w:rPr>
                <w:rFonts w:ascii="Arial Narrow" w:hAnsi="Arial Narrow" w:cs="Times New Roman"/>
                <w:sz w:val="20"/>
              </w:rPr>
              <w:t>$</w:t>
            </w:r>
            <w:r w:rsidR="009E29BB">
              <w:rPr>
                <w:rFonts w:ascii="Arial Narrow" w:hAnsi="Arial Narrow" w:cs="Times New Roman"/>
                <w:noProof/>
                <w:color w:val="000000"/>
                <w:sz w:val="20"/>
                <w:highlight w:val="black"/>
              </w:rPr>
              <w:t>'''''''''''''''</w:t>
            </w:r>
          </w:p>
        </w:tc>
      </w:tr>
      <w:tr w:rsidR="00366018" w:rsidRPr="002E458B" w:rsidTr="00366018">
        <w:tc>
          <w:tcPr>
            <w:tcW w:w="932" w:type="pct"/>
          </w:tcPr>
          <w:p w:rsidR="00366018" w:rsidRPr="002E458B" w:rsidRDefault="00366018" w:rsidP="00D03B1E">
            <w:pPr>
              <w:jc w:val="left"/>
              <w:rPr>
                <w:rFonts w:ascii="Arial Narrow" w:hAnsi="Arial Narrow" w:cs="Times New Roman"/>
                <w:sz w:val="20"/>
              </w:rPr>
            </w:pPr>
            <w:r w:rsidRPr="002E458B">
              <w:rPr>
                <w:rFonts w:ascii="Arial Narrow" w:hAnsi="Arial Narrow" w:cs="Times New Roman"/>
                <w:sz w:val="20"/>
              </w:rPr>
              <w:t>MEC-regimens</w:t>
            </w:r>
          </w:p>
        </w:tc>
        <w:tc>
          <w:tcPr>
            <w:tcW w:w="763" w:type="pct"/>
            <w:vAlign w:val="center"/>
          </w:tcPr>
          <w:p w:rsidR="00366018" w:rsidRPr="002E458B" w:rsidRDefault="00366018" w:rsidP="00D03B1E">
            <w:pPr>
              <w:jc w:val="center"/>
              <w:rPr>
                <w:rFonts w:ascii="Arial Narrow" w:hAnsi="Arial Narrow" w:cs="Times New Roman"/>
                <w:sz w:val="20"/>
              </w:rPr>
            </w:pPr>
            <w:r w:rsidRPr="002E458B">
              <w:rPr>
                <w:rFonts w:ascii="Arial Narrow" w:hAnsi="Arial Narrow" w:cs="Times New Roman"/>
                <w:sz w:val="20"/>
              </w:rPr>
              <w:t>$</w:t>
            </w:r>
            <w:r w:rsidR="009E29BB">
              <w:rPr>
                <w:rFonts w:ascii="Arial Narrow" w:hAnsi="Arial Narrow" w:cs="Times New Roman"/>
                <w:noProof/>
                <w:color w:val="000000"/>
                <w:sz w:val="20"/>
                <w:highlight w:val="black"/>
              </w:rPr>
              <w:t>''''''''''''''</w:t>
            </w:r>
          </w:p>
        </w:tc>
        <w:tc>
          <w:tcPr>
            <w:tcW w:w="423" w:type="pct"/>
            <w:vAlign w:val="center"/>
          </w:tcPr>
          <w:p w:rsidR="00366018" w:rsidRPr="002E458B" w:rsidRDefault="00E61FFE" w:rsidP="00D03B1E">
            <w:pPr>
              <w:jc w:val="center"/>
              <w:rPr>
                <w:rFonts w:ascii="Arial Narrow" w:hAnsi="Arial Narrow" w:cs="Times New Roman"/>
                <w:sz w:val="20"/>
              </w:rPr>
            </w:pPr>
            <w:r>
              <w:rPr>
                <w:rFonts w:ascii="Arial Narrow" w:hAnsi="Arial Narrow" w:cs="Times New Roman"/>
                <w:sz w:val="20"/>
              </w:rPr>
              <w:t>33</w:t>
            </w:r>
            <w:r w:rsidR="00366018" w:rsidRPr="002E458B">
              <w:rPr>
                <w:rFonts w:ascii="Arial Narrow" w:hAnsi="Arial Narrow" w:cs="Times New Roman"/>
                <w:sz w:val="20"/>
              </w:rPr>
              <w:t>%</w:t>
            </w:r>
          </w:p>
        </w:tc>
        <w:tc>
          <w:tcPr>
            <w:tcW w:w="675" w:type="pct"/>
            <w:vMerge/>
            <w:vAlign w:val="center"/>
          </w:tcPr>
          <w:p w:rsidR="00366018" w:rsidRPr="002E458B" w:rsidRDefault="00366018" w:rsidP="00D03B1E">
            <w:pPr>
              <w:jc w:val="center"/>
              <w:rPr>
                <w:rFonts w:ascii="Arial Narrow" w:hAnsi="Arial Narrow" w:cs="Times New Roman"/>
                <w:sz w:val="20"/>
              </w:rPr>
            </w:pPr>
          </w:p>
        </w:tc>
        <w:tc>
          <w:tcPr>
            <w:tcW w:w="594" w:type="pct"/>
            <w:vAlign w:val="center"/>
          </w:tcPr>
          <w:p w:rsidR="00366018" w:rsidRPr="002E458B" w:rsidRDefault="00366018" w:rsidP="00D03B1E">
            <w:pPr>
              <w:jc w:val="center"/>
              <w:rPr>
                <w:rFonts w:ascii="Arial Narrow" w:hAnsi="Arial Narrow" w:cs="Times New Roman"/>
                <w:sz w:val="20"/>
              </w:rPr>
            </w:pPr>
            <w:r w:rsidRPr="002E458B">
              <w:rPr>
                <w:rFonts w:ascii="Arial Narrow" w:hAnsi="Arial Narrow" w:cs="Times New Roman"/>
                <w:sz w:val="20"/>
              </w:rPr>
              <w:t>8%</w:t>
            </w:r>
          </w:p>
        </w:tc>
        <w:tc>
          <w:tcPr>
            <w:tcW w:w="807" w:type="pct"/>
            <w:vMerge/>
            <w:vAlign w:val="center"/>
          </w:tcPr>
          <w:p w:rsidR="00366018" w:rsidRPr="002E458B" w:rsidRDefault="00366018" w:rsidP="00D03B1E">
            <w:pPr>
              <w:jc w:val="left"/>
              <w:rPr>
                <w:rFonts w:ascii="Arial Narrow" w:hAnsi="Arial Narrow" w:cs="Times New Roman"/>
                <w:sz w:val="20"/>
              </w:rPr>
            </w:pPr>
          </w:p>
        </w:tc>
        <w:tc>
          <w:tcPr>
            <w:tcW w:w="807" w:type="pct"/>
            <w:vMerge/>
          </w:tcPr>
          <w:p w:rsidR="00366018" w:rsidRPr="002E458B" w:rsidRDefault="00366018" w:rsidP="00D03B1E">
            <w:pPr>
              <w:jc w:val="left"/>
              <w:rPr>
                <w:rFonts w:ascii="Arial Narrow" w:hAnsi="Arial Narrow" w:cs="Times New Roman"/>
                <w:sz w:val="20"/>
              </w:rPr>
            </w:pPr>
          </w:p>
        </w:tc>
      </w:tr>
    </w:tbl>
    <w:p w:rsidR="00366018" w:rsidRPr="002E458B" w:rsidRDefault="00366018" w:rsidP="00366018">
      <w:pPr>
        <w:pStyle w:val="TableFooter"/>
        <w:ind w:left="709"/>
      </w:pPr>
      <w:r w:rsidRPr="009A6831">
        <w:t xml:space="preserve">Source: </w:t>
      </w:r>
      <w:r>
        <w:t>Table D.1-2, p115</w:t>
      </w:r>
      <w:r w:rsidR="004625DC">
        <w:t xml:space="preserve"> of the submission</w:t>
      </w:r>
    </w:p>
    <w:p w:rsidR="00C25D9C" w:rsidRDefault="00C25D9C" w:rsidP="00C25D9C">
      <w:pPr>
        <w:widowControl/>
        <w:rPr>
          <w:szCs w:val="22"/>
        </w:rPr>
      </w:pPr>
    </w:p>
    <w:p w:rsidR="00EC62D5" w:rsidRDefault="00EC62D5" w:rsidP="00C66229">
      <w:pPr>
        <w:pStyle w:val="ListParagraph"/>
        <w:widowControl/>
        <w:numPr>
          <w:ilvl w:val="1"/>
          <w:numId w:val="3"/>
        </w:numPr>
        <w:rPr>
          <w:szCs w:val="22"/>
        </w:rPr>
      </w:pPr>
      <w:r>
        <w:rPr>
          <w:szCs w:val="22"/>
        </w:rPr>
        <w:t>The Pre-PBAC Response (p3) proposed that the aprepitant price not be reweighted but is maintained at the current level</w:t>
      </w:r>
      <w:r w:rsidR="0059688A">
        <w:rPr>
          <w:szCs w:val="22"/>
        </w:rPr>
        <w:t>.</w:t>
      </w:r>
    </w:p>
    <w:p w:rsidR="0059688A" w:rsidRDefault="0059688A" w:rsidP="00C25D9C">
      <w:pPr>
        <w:widowControl/>
        <w:rPr>
          <w:szCs w:val="22"/>
        </w:rPr>
      </w:pPr>
    </w:p>
    <w:p w:rsidR="00C25D9C" w:rsidRDefault="00C25D9C" w:rsidP="003F4A75">
      <w:pPr>
        <w:pStyle w:val="Heading2"/>
      </w:pPr>
      <w:bookmarkStart w:id="14" w:name="_Toc430011622"/>
      <w:r w:rsidRPr="002C2775">
        <w:t>Drug cost/</w:t>
      </w:r>
      <w:r w:rsidR="00366018" w:rsidRPr="003F4A75">
        <w:t>chemotherapy</w:t>
      </w:r>
      <w:r w:rsidR="00366018">
        <w:t xml:space="preserve"> ‘journey’ with oxaliplatin/carboplatin</w:t>
      </w:r>
      <w:r w:rsidRPr="002C2775">
        <w:t>: $</w:t>
      </w:r>
      <w:r w:rsidR="009E29BB">
        <w:rPr>
          <w:noProof/>
          <w:color w:val="000000"/>
          <w:highlight w:val="black"/>
        </w:rPr>
        <w:t>''''''''''''''</w:t>
      </w:r>
      <w:r w:rsidR="00AC398D">
        <w:t>/$</w:t>
      </w:r>
      <w:bookmarkEnd w:id="14"/>
      <w:r w:rsidR="009E29BB">
        <w:rPr>
          <w:noProof/>
          <w:color w:val="000000"/>
          <w:highlight w:val="black"/>
        </w:rPr>
        <w:t>'''''''''''''''</w:t>
      </w:r>
    </w:p>
    <w:p w:rsidR="00AC398D" w:rsidRPr="00AC398D" w:rsidRDefault="00AC398D" w:rsidP="00AC398D"/>
    <w:p w:rsidR="00A86E8B" w:rsidRDefault="00366018" w:rsidP="00C66229">
      <w:pPr>
        <w:pStyle w:val="ListParagraph"/>
        <w:widowControl/>
        <w:numPr>
          <w:ilvl w:val="1"/>
          <w:numId w:val="3"/>
        </w:numPr>
        <w:rPr>
          <w:szCs w:val="22"/>
        </w:rPr>
      </w:pPr>
      <w:r w:rsidRPr="007E7BDC">
        <w:rPr>
          <w:szCs w:val="22"/>
        </w:rPr>
        <w:t xml:space="preserve">The estimate was based on 4.35 cycles and 7.28 cycles per </w:t>
      </w:r>
      <w:r w:rsidR="00AC398D" w:rsidRPr="007E7BDC">
        <w:rPr>
          <w:szCs w:val="22"/>
        </w:rPr>
        <w:t xml:space="preserve">chemotherapy </w:t>
      </w:r>
      <w:r w:rsidRPr="007E7BDC">
        <w:rPr>
          <w:szCs w:val="22"/>
        </w:rPr>
        <w:t>journey with carboplatin and oxaliplatin, 93.7% of chemotherapy cycles where aprepitant is used, assuming that one script of aprepitant is administered per cycle</w:t>
      </w:r>
      <w:r w:rsidR="00AC398D" w:rsidRPr="007E7BDC">
        <w:rPr>
          <w:szCs w:val="22"/>
        </w:rPr>
        <w:t>, and a cost per script of $</w:t>
      </w:r>
      <w:r w:rsidR="009E29BB">
        <w:rPr>
          <w:noProof/>
          <w:color w:val="000000"/>
          <w:szCs w:val="22"/>
          <w:highlight w:val="black"/>
        </w:rPr>
        <w:t>''''''''''''''''</w:t>
      </w:r>
      <w:r w:rsidR="00AC398D" w:rsidRPr="007E7BDC">
        <w:rPr>
          <w:szCs w:val="22"/>
        </w:rPr>
        <w:t xml:space="preserve"> (including co-payments).</w:t>
      </w:r>
    </w:p>
    <w:p w:rsidR="004625DC" w:rsidRPr="007E7BDC" w:rsidRDefault="004625DC" w:rsidP="004625DC">
      <w:pPr>
        <w:pStyle w:val="ListParagraph"/>
        <w:widowControl/>
        <w:rPr>
          <w:szCs w:val="22"/>
        </w:rPr>
      </w:pPr>
    </w:p>
    <w:p w:rsidR="00B60939" w:rsidRDefault="00B60939" w:rsidP="003F4A75">
      <w:pPr>
        <w:pStyle w:val="Heading2"/>
      </w:pPr>
      <w:bookmarkStart w:id="15" w:name="_Toc430011623"/>
      <w:r w:rsidRPr="00AC398D">
        <w:t>Estimated PBS usage &amp; financial implications</w:t>
      </w:r>
      <w:bookmarkEnd w:id="15"/>
    </w:p>
    <w:p w:rsidR="0084019F" w:rsidRPr="0084019F" w:rsidRDefault="0084019F" w:rsidP="0084019F"/>
    <w:p w:rsidR="00AC398D" w:rsidRPr="00E61FFE" w:rsidRDefault="00C25D9C" w:rsidP="00C66229">
      <w:pPr>
        <w:pStyle w:val="ListParagraph"/>
        <w:widowControl/>
        <w:numPr>
          <w:ilvl w:val="1"/>
          <w:numId w:val="3"/>
        </w:numPr>
        <w:rPr>
          <w:szCs w:val="22"/>
        </w:rPr>
      </w:pPr>
      <w:r w:rsidRPr="00E61FFE">
        <w:t>T</w:t>
      </w:r>
      <w:r w:rsidR="0084019F">
        <w:t xml:space="preserve">his submission </w:t>
      </w:r>
      <w:r w:rsidR="007E7BDC">
        <w:t>was</w:t>
      </w:r>
      <w:r w:rsidR="0084019F">
        <w:t xml:space="preserve"> not</w:t>
      </w:r>
      <w:r w:rsidRPr="00E61FFE">
        <w:t xml:space="preserve"> considered by DUSC</w:t>
      </w:r>
      <w:r w:rsidRPr="00E61FFE">
        <w:rPr>
          <w:color w:val="0070C0"/>
        </w:rPr>
        <w:t>.</w:t>
      </w:r>
    </w:p>
    <w:p w:rsidR="00AC398D" w:rsidRPr="00AC398D" w:rsidRDefault="00AC398D" w:rsidP="00AC398D">
      <w:pPr>
        <w:widowControl/>
        <w:rPr>
          <w:szCs w:val="22"/>
          <w:highlight w:val="yellow"/>
        </w:rPr>
      </w:pPr>
    </w:p>
    <w:p w:rsidR="00AC398D" w:rsidRPr="008C1271" w:rsidRDefault="00AC398D" w:rsidP="00C66229">
      <w:pPr>
        <w:pStyle w:val="ListParagraph"/>
        <w:widowControl/>
        <w:numPr>
          <w:ilvl w:val="1"/>
          <w:numId w:val="3"/>
        </w:numPr>
        <w:rPr>
          <w:szCs w:val="22"/>
        </w:rPr>
      </w:pPr>
      <w:r w:rsidRPr="00AC398D">
        <w:lastRenderedPageBreak/>
        <w:t>The submission presented an epidemiological approach to estimating the use and financial implications based on a 10% sample of PBS prescription data for the time period 2006 to 2014.</w:t>
      </w:r>
    </w:p>
    <w:p w:rsidR="008C1271" w:rsidRPr="008C1271" w:rsidRDefault="008C1271" w:rsidP="008C1271">
      <w:pPr>
        <w:pStyle w:val="ListParagraph"/>
        <w:rPr>
          <w:szCs w:val="22"/>
        </w:rPr>
      </w:pPr>
    </w:p>
    <w:p w:rsidR="00C25D9C" w:rsidRPr="00AC398D" w:rsidRDefault="00C25D9C" w:rsidP="005D044D">
      <w:pPr>
        <w:ind w:firstLine="709"/>
        <w:rPr>
          <w:rStyle w:val="CommentReference"/>
        </w:rPr>
      </w:pPr>
      <w:r w:rsidRPr="00AC398D">
        <w:rPr>
          <w:rStyle w:val="CommentReference"/>
        </w:rPr>
        <w:t xml:space="preserve">Table </w:t>
      </w:r>
      <w:r w:rsidR="009234AB" w:rsidRPr="00AC398D">
        <w:rPr>
          <w:rStyle w:val="CommentReference"/>
        </w:rPr>
        <w:t>7</w:t>
      </w:r>
      <w:r w:rsidRPr="00AC398D">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Utilisation estimates and financial implications"/>
      </w:tblPr>
      <w:tblGrid>
        <w:gridCol w:w="2269"/>
        <w:gridCol w:w="1134"/>
        <w:gridCol w:w="1133"/>
        <w:gridCol w:w="1275"/>
        <w:gridCol w:w="1275"/>
        <w:gridCol w:w="1260"/>
      </w:tblGrid>
      <w:tr w:rsidR="00C25D9C" w:rsidRPr="00AC398D" w:rsidTr="005D044D">
        <w:trPr>
          <w:tblHeader/>
        </w:trPr>
        <w:tc>
          <w:tcPr>
            <w:tcW w:w="1359" w:type="pct"/>
            <w:shd w:val="clear" w:color="auto" w:fill="auto"/>
            <w:vAlign w:val="center"/>
          </w:tcPr>
          <w:p w:rsidR="00C25D9C" w:rsidRPr="00AC398D" w:rsidRDefault="00C25D9C" w:rsidP="00B8649C">
            <w:pPr>
              <w:tabs>
                <w:tab w:val="left" w:pos="142"/>
              </w:tabs>
              <w:jc w:val="left"/>
              <w:rPr>
                <w:rFonts w:ascii="Arial Narrow" w:hAnsi="Arial Narrow"/>
                <w:b/>
                <w:sz w:val="20"/>
              </w:rPr>
            </w:pPr>
          </w:p>
        </w:tc>
        <w:tc>
          <w:tcPr>
            <w:tcW w:w="679" w:type="pct"/>
            <w:shd w:val="clear" w:color="auto" w:fill="auto"/>
            <w:vAlign w:val="center"/>
          </w:tcPr>
          <w:p w:rsidR="00C25D9C" w:rsidRPr="00AC398D" w:rsidRDefault="00C25D9C" w:rsidP="00B8649C">
            <w:pPr>
              <w:jc w:val="center"/>
              <w:rPr>
                <w:rFonts w:ascii="Arial Narrow" w:hAnsi="Arial Narrow"/>
                <w:b/>
                <w:sz w:val="20"/>
              </w:rPr>
            </w:pPr>
            <w:r w:rsidRPr="00AC398D">
              <w:rPr>
                <w:rFonts w:ascii="Arial Narrow" w:hAnsi="Arial Narrow"/>
                <w:b/>
                <w:sz w:val="20"/>
              </w:rPr>
              <w:t>Year 1</w:t>
            </w:r>
          </w:p>
        </w:tc>
        <w:tc>
          <w:tcPr>
            <w:tcW w:w="679" w:type="pct"/>
            <w:shd w:val="clear" w:color="auto" w:fill="auto"/>
            <w:vAlign w:val="center"/>
          </w:tcPr>
          <w:p w:rsidR="00C25D9C" w:rsidRPr="00AC398D" w:rsidRDefault="00C25D9C" w:rsidP="00B8649C">
            <w:pPr>
              <w:jc w:val="center"/>
              <w:rPr>
                <w:rFonts w:ascii="Arial Narrow" w:hAnsi="Arial Narrow"/>
                <w:b/>
                <w:sz w:val="20"/>
              </w:rPr>
            </w:pPr>
            <w:r w:rsidRPr="00AC398D">
              <w:rPr>
                <w:rFonts w:ascii="Arial Narrow" w:hAnsi="Arial Narrow"/>
                <w:b/>
                <w:sz w:val="20"/>
              </w:rPr>
              <w:t>Year 2</w:t>
            </w:r>
          </w:p>
        </w:tc>
        <w:tc>
          <w:tcPr>
            <w:tcW w:w="764" w:type="pct"/>
            <w:shd w:val="clear" w:color="auto" w:fill="auto"/>
            <w:vAlign w:val="center"/>
          </w:tcPr>
          <w:p w:rsidR="00C25D9C" w:rsidRPr="00AC398D" w:rsidRDefault="00C25D9C" w:rsidP="00B8649C">
            <w:pPr>
              <w:jc w:val="center"/>
              <w:rPr>
                <w:rFonts w:ascii="Arial Narrow" w:hAnsi="Arial Narrow"/>
                <w:b/>
                <w:sz w:val="20"/>
              </w:rPr>
            </w:pPr>
            <w:r w:rsidRPr="00AC398D">
              <w:rPr>
                <w:rFonts w:ascii="Arial Narrow" w:hAnsi="Arial Narrow"/>
                <w:b/>
                <w:sz w:val="20"/>
              </w:rPr>
              <w:t>Year 3</w:t>
            </w:r>
          </w:p>
        </w:tc>
        <w:tc>
          <w:tcPr>
            <w:tcW w:w="764" w:type="pct"/>
            <w:shd w:val="clear" w:color="auto" w:fill="auto"/>
            <w:vAlign w:val="center"/>
          </w:tcPr>
          <w:p w:rsidR="00C25D9C" w:rsidRPr="00AC398D" w:rsidRDefault="00C25D9C" w:rsidP="00B8649C">
            <w:pPr>
              <w:jc w:val="center"/>
              <w:rPr>
                <w:rFonts w:ascii="Arial Narrow" w:hAnsi="Arial Narrow"/>
                <w:b/>
                <w:sz w:val="20"/>
              </w:rPr>
            </w:pPr>
            <w:r w:rsidRPr="00AC398D">
              <w:rPr>
                <w:rFonts w:ascii="Arial Narrow" w:hAnsi="Arial Narrow"/>
                <w:b/>
                <w:sz w:val="20"/>
              </w:rPr>
              <w:t>Year 4</w:t>
            </w:r>
          </w:p>
        </w:tc>
        <w:tc>
          <w:tcPr>
            <w:tcW w:w="755" w:type="pct"/>
            <w:shd w:val="clear" w:color="auto" w:fill="auto"/>
            <w:vAlign w:val="center"/>
          </w:tcPr>
          <w:p w:rsidR="00C25D9C" w:rsidRPr="00AC398D" w:rsidRDefault="00C25D9C" w:rsidP="00B8649C">
            <w:pPr>
              <w:jc w:val="center"/>
              <w:rPr>
                <w:rFonts w:ascii="Arial Narrow" w:hAnsi="Arial Narrow"/>
                <w:b/>
                <w:sz w:val="20"/>
              </w:rPr>
            </w:pPr>
            <w:r w:rsidRPr="00AC398D">
              <w:rPr>
                <w:rFonts w:ascii="Arial Narrow" w:hAnsi="Arial Narrow"/>
                <w:b/>
                <w:sz w:val="20"/>
              </w:rPr>
              <w:t>Year 5</w:t>
            </w:r>
          </w:p>
        </w:tc>
      </w:tr>
      <w:tr w:rsidR="00C25D9C" w:rsidRPr="00AC398D" w:rsidTr="005D044D">
        <w:tc>
          <w:tcPr>
            <w:tcW w:w="5000" w:type="pct"/>
            <w:gridSpan w:val="6"/>
            <w:shd w:val="clear" w:color="auto" w:fill="auto"/>
            <w:vAlign w:val="center"/>
          </w:tcPr>
          <w:p w:rsidR="00C25D9C" w:rsidRPr="00AC398D" w:rsidRDefault="00C25D9C" w:rsidP="00B8649C">
            <w:pPr>
              <w:jc w:val="left"/>
              <w:rPr>
                <w:rFonts w:ascii="Arial Narrow" w:hAnsi="Arial Narrow"/>
                <w:b/>
                <w:bCs/>
                <w:color w:val="000000"/>
                <w:sz w:val="20"/>
              </w:rPr>
            </w:pPr>
            <w:r w:rsidRPr="00AC398D">
              <w:rPr>
                <w:rFonts w:ascii="Arial Narrow" w:hAnsi="Arial Narrow"/>
                <w:b/>
                <w:bCs/>
                <w:color w:val="000000"/>
                <w:sz w:val="20"/>
              </w:rPr>
              <w:t>Estimated extent of use</w:t>
            </w:r>
            <w:r w:rsidR="00AC398D" w:rsidRPr="00AC398D">
              <w:rPr>
                <w:rFonts w:ascii="Arial Narrow" w:hAnsi="Arial Narrow"/>
                <w:b/>
                <w:bCs/>
                <w:color w:val="000000"/>
                <w:sz w:val="20"/>
              </w:rPr>
              <w:t xml:space="preserve"> with a change to the PBS listing</w:t>
            </w:r>
          </w:p>
        </w:tc>
      </w:tr>
      <w:tr w:rsidR="00AC398D" w:rsidRPr="00AC398D" w:rsidTr="00AC398D">
        <w:tc>
          <w:tcPr>
            <w:tcW w:w="1359" w:type="pct"/>
            <w:shd w:val="clear" w:color="auto" w:fill="auto"/>
            <w:vAlign w:val="center"/>
          </w:tcPr>
          <w:p w:rsidR="00AC398D" w:rsidRPr="00AC398D" w:rsidRDefault="00AC398D" w:rsidP="00B8649C">
            <w:pPr>
              <w:tabs>
                <w:tab w:val="left" w:pos="142"/>
              </w:tabs>
              <w:jc w:val="left"/>
              <w:rPr>
                <w:rFonts w:ascii="Arial Narrow" w:hAnsi="Arial Narrow"/>
                <w:sz w:val="20"/>
              </w:rPr>
            </w:pPr>
            <w:r w:rsidRPr="00AC398D">
              <w:rPr>
                <w:rFonts w:ascii="Arial Narrow" w:hAnsi="Arial Narrow"/>
                <w:sz w:val="20"/>
              </w:rPr>
              <w:t>Total chemotherapy journeys</w:t>
            </w:r>
          </w:p>
        </w:tc>
        <w:tc>
          <w:tcPr>
            <w:tcW w:w="679" w:type="pct"/>
            <w:shd w:val="clear" w:color="auto" w:fill="auto"/>
            <w:vAlign w:val="center"/>
          </w:tcPr>
          <w:p w:rsidR="00AC398D" w:rsidRPr="009E29BB" w:rsidRDefault="009E29BB" w:rsidP="00AC39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AC398D" w:rsidRPr="009E29BB" w:rsidRDefault="009E29BB" w:rsidP="00AC39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AC398D" w:rsidRPr="009E29BB" w:rsidRDefault="009E29BB" w:rsidP="00AC39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AC398D" w:rsidRPr="009E29BB" w:rsidRDefault="009E29BB" w:rsidP="00AC39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AC398D" w:rsidRPr="009E29BB" w:rsidRDefault="009E29BB" w:rsidP="00AC39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r>
      <w:tr w:rsidR="00AC398D" w:rsidRPr="00AC398D" w:rsidTr="00AC398D">
        <w:tc>
          <w:tcPr>
            <w:tcW w:w="1359" w:type="pct"/>
            <w:shd w:val="clear" w:color="auto" w:fill="auto"/>
            <w:vAlign w:val="center"/>
          </w:tcPr>
          <w:p w:rsidR="00AC398D" w:rsidRPr="00AC398D" w:rsidRDefault="00AC398D" w:rsidP="00B8649C">
            <w:pPr>
              <w:tabs>
                <w:tab w:val="left" w:pos="142"/>
              </w:tabs>
              <w:jc w:val="left"/>
              <w:rPr>
                <w:rFonts w:ascii="Arial Narrow" w:hAnsi="Arial Narrow"/>
                <w:sz w:val="20"/>
              </w:rPr>
            </w:pPr>
            <w:r w:rsidRPr="00AC398D">
              <w:rPr>
                <w:rFonts w:ascii="Arial Narrow" w:hAnsi="Arial Narrow"/>
                <w:sz w:val="20"/>
              </w:rPr>
              <w:t>Proportion of chemotherapy journeys with aprepitant</w:t>
            </w:r>
          </w:p>
        </w:tc>
        <w:tc>
          <w:tcPr>
            <w:tcW w:w="679" w:type="pct"/>
            <w:shd w:val="clear" w:color="auto" w:fill="auto"/>
            <w:vAlign w:val="center"/>
          </w:tcPr>
          <w:p w:rsidR="00AC398D" w:rsidRPr="00AC398D" w:rsidRDefault="00AC398D" w:rsidP="00AC398D">
            <w:pPr>
              <w:tabs>
                <w:tab w:val="left" w:pos="142"/>
              </w:tabs>
              <w:jc w:val="center"/>
              <w:rPr>
                <w:rFonts w:ascii="Arial Narrow" w:hAnsi="Arial Narrow"/>
                <w:sz w:val="20"/>
              </w:rPr>
            </w:pPr>
            <w:r w:rsidRPr="00AC398D">
              <w:rPr>
                <w:rFonts w:ascii="Arial Narrow" w:hAnsi="Arial Narrow"/>
                <w:sz w:val="20"/>
              </w:rPr>
              <w:t>41.4%</w:t>
            </w:r>
          </w:p>
        </w:tc>
        <w:tc>
          <w:tcPr>
            <w:tcW w:w="679" w:type="pct"/>
            <w:shd w:val="clear" w:color="auto" w:fill="auto"/>
            <w:vAlign w:val="center"/>
          </w:tcPr>
          <w:p w:rsidR="00AC398D" w:rsidRPr="00AC398D" w:rsidRDefault="00AC398D" w:rsidP="00AC398D">
            <w:pPr>
              <w:tabs>
                <w:tab w:val="left" w:pos="142"/>
              </w:tabs>
              <w:jc w:val="center"/>
              <w:rPr>
                <w:rFonts w:ascii="Arial Narrow" w:hAnsi="Arial Narrow"/>
                <w:sz w:val="20"/>
              </w:rPr>
            </w:pPr>
            <w:r w:rsidRPr="00AC398D">
              <w:rPr>
                <w:rFonts w:ascii="Arial Narrow" w:hAnsi="Arial Narrow"/>
                <w:sz w:val="20"/>
              </w:rPr>
              <w:t>50.2%</w:t>
            </w:r>
          </w:p>
        </w:tc>
        <w:tc>
          <w:tcPr>
            <w:tcW w:w="764" w:type="pct"/>
            <w:shd w:val="clear" w:color="auto" w:fill="auto"/>
            <w:vAlign w:val="center"/>
          </w:tcPr>
          <w:p w:rsidR="00AC398D" w:rsidRPr="00AC398D" w:rsidRDefault="00AC398D" w:rsidP="00AC398D">
            <w:pPr>
              <w:tabs>
                <w:tab w:val="left" w:pos="142"/>
              </w:tabs>
              <w:jc w:val="center"/>
              <w:rPr>
                <w:rFonts w:ascii="Arial Narrow" w:hAnsi="Arial Narrow"/>
                <w:sz w:val="20"/>
              </w:rPr>
            </w:pPr>
            <w:r w:rsidRPr="00AC398D">
              <w:rPr>
                <w:rFonts w:ascii="Arial Narrow" w:hAnsi="Arial Narrow"/>
                <w:sz w:val="20"/>
              </w:rPr>
              <w:t>53.8%</w:t>
            </w:r>
          </w:p>
        </w:tc>
        <w:tc>
          <w:tcPr>
            <w:tcW w:w="764" w:type="pct"/>
            <w:shd w:val="clear" w:color="auto" w:fill="auto"/>
            <w:vAlign w:val="center"/>
          </w:tcPr>
          <w:p w:rsidR="00AC398D" w:rsidRPr="00AC398D" w:rsidRDefault="00AC398D" w:rsidP="00AC398D">
            <w:pPr>
              <w:tabs>
                <w:tab w:val="left" w:pos="142"/>
              </w:tabs>
              <w:jc w:val="center"/>
              <w:rPr>
                <w:rFonts w:ascii="Arial Narrow" w:hAnsi="Arial Narrow"/>
                <w:sz w:val="20"/>
              </w:rPr>
            </w:pPr>
            <w:r w:rsidRPr="00AC398D">
              <w:rPr>
                <w:rFonts w:ascii="Arial Narrow" w:hAnsi="Arial Narrow"/>
                <w:sz w:val="20"/>
              </w:rPr>
              <w:t>56.3%</w:t>
            </w:r>
          </w:p>
        </w:tc>
        <w:tc>
          <w:tcPr>
            <w:tcW w:w="755" w:type="pct"/>
            <w:shd w:val="clear" w:color="auto" w:fill="auto"/>
            <w:vAlign w:val="center"/>
          </w:tcPr>
          <w:p w:rsidR="00AC398D" w:rsidRPr="00AC398D" w:rsidRDefault="00AC398D" w:rsidP="00AC398D">
            <w:pPr>
              <w:tabs>
                <w:tab w:val="left" w:pos="142"/>
              </w:tabs>
              <w:jc w:val="center"/>
              <w:rPr>
                <w:rFonts w:ascii="Arial Narrow" w:hAnsi="Arial Narrow"/>
                <w:sz w:val="20"/>
              </w:rPr>
            </w:pPr>
            <w:r w:rsidRPr="00AC398D">
              <w:rPr>
                <w:rFonts w:ascii="Arial Narrow" w:hAnsi="Arial Narrow"/>
                <w:sz w:val="20"/>
              </w:rPr>
              <w:t>57.2%</w:t>
            </w:r>
          </w:p>
        </w:tc>
      </w:tr>
      <w:tr w:rsidR="00AC398D" w:rsidRPr="00AC398D" w:rsidTr="00AC398D">
        <w:tc>
          <w:tcPr>
            <w:tcW w:w="1359" w:type="pct"/>
            <w:shd w:val="clear" w:color="auto" w:fill="auto"/>
            <w:vAlign w:val="center"/>
          </w:tcPr>
          <w:p w:rsidR="00AC398D" w:rsidRPr="00AC398D" w:rsidRDefault="00AC398D" w:rsidP="00AC398D">
            <w:pPr>
              <w:tabs>
                <w:tab w:val="left" w:pos="142"/>
              </w:tabs>
              <w:jc w:val="left"/>
              <w:rPr>
                <w:rFonts w:ascii="Arial Narrow" w:hAnsi="Arial Narrow"/>
                <w:sz w:val="20"/>
              </w:rPr>
            </w:pPr>
            <w:r>
              <w:rPr>
                <w:rFonts w:ascii="Arial Narrow" w:hAnsi="Arial Narrow"/>
                <w:sz w:val="20"/>
              </w:rPr>
              <w:t>Scripts</w:t>
            </w:r>
            <w:r w:rsidRPr="00AC398D">
              <w:rPr>
                <w:rFonts w:ascii="Arial Narrow" w:hAnsi="Arial Narrow"/>
                <w:sz w:val="20"/>
              </w:rPr>
              <w:t xml:space="preserve"> of aprepitant</w:t>
            </w:r>
            <w:r>
              <w:rPr>
                <w:rFonts w:ascii="Arial Narrow" w:hAnsi="Arial Narrow"/>
                <w:sz w:val="20"/>
              </w:rPr>
              <w:t>*</w:t>
            </w:r>
          </w:p>
        </w:tc>
        <w:tc>
          <w:tcPr>
            <w:tcW w:w="679" w:type="pct"/>
            <w:shd w:val="clear" w:color="auto" w:fill="auto"/>
            <w:vAlign w:val="center"/>
          </w:tcPr>
          <w:p w:rsidR="00AC398D" w:rsidRPr="009E29BB" w:rsidRDefault="009E29BB" w:rsidP="00AC39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679" w:type="pct"/>
            <w:shd w:val="clear" w:color="auto" w:fill="auto"/>
            <w:vAlign w:val="center"/>
          </w:tcPr>
          <w:p w:rsidR="00AC398D" w:rsidRPr="009E29BB" w:rsidRDefault="009E29BB" w:rsidP="00AC39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AC398D" w:rsidRPr="009E29BB" w:rsidRDefault="009E29BB" w:rsidP="00AC39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64" w:type="pct"/>
            <w:shd w:val="clear" w:color="auto" w:fill="auto"/>
            <w:vAlign w:val="center"/>
          </w:tcPr>
          <w:p w:rsidR="00AC398D" w:rsidRPr="009E29BB" w:rsidRDefault="009E29BB" w:rsidP="00AC39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c>
          <w:tcPr>
            <w:tcW w:w="755" w:type="pct"/>
            <w:shd w:val="clear" w:color="auto" w:fill="auto"/>
            <w:vAlign w:val="center"/>
          </w:tcPr>
          <w:p w:rsidR="00AC398D" w:rsidRPr="009E29BB" w:rsidRDefault="009E29BB" w:rsidP="00AC398D">
            <w:pPr>
              <w:tabs>
                <w:tab w:val="left" w:pos="142"/>
              </w:tabs>
              <w:jc w:val="center"/>
              <w:rPr>
                <w:rFonts w:ascii="Arial Narrow" w:hAnsi="Arial Narrow"/>
                <w:sz w:val="20"/>
                <w:highlight w:val="black"/>
              </w:rPr>
            </w:pPr>
            <w:r>
              <w:rPr>
                <w:rFonts w:ascii="Arial Narrow" w:hAnsi="Arial Narrow"/>
                <w:noProof/>
                <w:color w:val="000000"/>
                <w:sz w:val="20"/>
                <w:highlight w:val="black"/>
              </w:rPr>
              <w:t>''''''''''''''''</w:t>
            </w:r>
          </w:p>
        </w:tc>
      </w:tr>
      <w:tr w:rsidR="00C25D9C" w:rsidRPr="00AC398D" w:rsidTr="005D044D">
        <w:tc>
          <w:tcPr>
            <w:tcW w:w="5000" w:type="pct"/>
            <w:gridSpan w:val="6"/>
            <w:shd w:val="clear" w:color="auto" w:fill="auto"/>
            <w:vAlign w:val="center"/>
          </w:tcPr>
          <w:p w:rsidR="00C25D9C" w:rsidRPr="00AC398D" w:rsidRDefault="00C25D9C" w:rsidP="00B8649C">
            <w:pPr>
              <w:jc w:val="left"/>
              <w:rPr>
                <w:rFonts w:ascii="Arial Narrow" w:hAnsi="Arial Narrow"/>
                <w:b/>
                <w:bCs/>
                <w:color w:val="000000"/>
                <w:sz w:val="20"/>
              </w:rPr>
            </w:pPr>
            <w:r w:rsidRPr="00AC398D">
              <w:rPr>
                <w:rFonts w:ascii="Arial Narrow" w:hAnsi="Arial Narrow"/>
                <w:b/>
                <w:bCs/>
                <w:color w:val="000000"/>
                <w:sz w:val="20"/>
              </w:rPr>
              <w:t>Estimated net cost to PBS/RPBS/MBS</w:t>
            </w:r>
          </w:p>
        </w:tc>
      </w:tr>
      <w:tr w:rsidR="00AC398D" w:rsidRPr="00AC398D" w:rsidTr="005D044D">
        <w:tc>
          <w:tcPr>
            <w:tcW w:w="1359" w:type="pct"/>
            <w:shd w:val="clear" w:color="auto" w:fill="auto"/>
            <w:vAlign w:val="center"/>
          </w:tcPr>
          <w:p w:rsidR="00AC398D" w:rsidRPr="00AC398D" w:rsidRDefault="00AC398D" w:rsidP="00B8649C">
            <w:pPr>
              <w:tabs>
                <w:tab w:val="left" w:pos="142"/>
              </w:tabs>
              <w:jc w:val="left"/>
              <w:rPr>
                <w:rFonts w:ascii="Arial Narrow" w:hAnsi="Arial Narrow"/>
                <w:sz w:val="20"/>
              </w:rPr>
            </w:pPr>
            <w:r w:rsidRPr="00AC398D">
              <w:rPr>
                <w:rFonts w:ascii="Arial Narrow" w:hAnsi="Arial Narrow"/>
                <w:sz w:val="19"/>
                <w:szCs w:val="19"/>
              </w:rPr>
              <w:t>Net cost to PBS/RPBS (excluding co-payments)</w:t>
            </w:r>
          </w:p>
        </w:tc>
        <w:tc>
          <w:tcPr>
            <w:tcW w:w="679" w:type="pct"/>
            <w:shd w:val="clear" w:color="auto" w:fill="auto"/>
            <w:vAlign w:val="center"/>
          </w:tcPr>
          <w:p w:rsidR="00AC398D" w:rsidRPr="00AC398D" w:rsidRDefault="00AC398D" w:rsidP="00AC398D">
            <w:pPr>
              <w:tabs>
                <w:tab w:val="left" w:pos="142"/>
              </w:tabs>
              <w:jc w:val="center"/>
              <w:rPr>
                <w:rFonts w:ascii="Arial Narrow" w:hAnsi="Arial Narrow"/>
                <w:b/>
                <w:sz w:val="20"/>
              </w:rPr>
            </w:pPr>
            <w:r w:rsidRPr="00AC398D">
              <w:rPr>
                <w:rFonts w:ascii="Arial Narrow" w:hAnsi="Arial Narrow"/>
                <w:b/>
                <w:sz w:val="20"/>
              </w:rPr>
              <w:t>$</w:t>
            </w:r>
            <w:r w:rsidR="009E29BB">
              <w:rPr>
                <w:rFonts w:ascii="Arial Narrow" w:hAnsi="Arial Narrow"/>
                <w:b/>
                <w:noProof/>
                <w:color w:val="000000"/>
                <w:sz w:val="20"/>
                <w:highlight w:val="black"/>
              </w:rPr>
              <w:t>'''''''''''''''''''</w:t>
            </w:r>
          </w:p>
        </w:tc>
        <w:tc>
          <w:tcPr>
            <w:tcW w:w="679" w:type="pct"/>
            <w:shd w:val="clear" w:color="auto" w:fill="auto"/>
            <w:vAlign w:val="center"/>
          </w:tcPr>
          <w:p w:rsidR="00AC398D" w:rsidRPr="00AC398D" w:rsidRDefault="00AC398D" w:rsidP="00AC398D">
            <w:pPr>
              <w:tabs>
                <w:tab w:val="left" w:pos="142"/>
              </w:tabs>
              <w:jc w:val="center"/>
              <w:rPr>
                <w:rFonts w:ascii="Arial Narrow" w:hAnsi="Arial Narrow"/>
                <w:b/>
                <w:sz w:val="20"/>
              </w:rPr>
            </w:pPr>
            <w:r w:rsidRPr="00AC398D">
              <w:rPr>
                <w:rFonts w:ascii="Arial Narrow" w:hAnsi="Arial Narrow"/>
                <w:b/>
                <w:sz w:val="20"/>
              </w:rPr>
              <w:t>$</w:t>
            </w:r>
            <w:r w:rsidR="009E29BB">
              <w:rPr>
                <w:rFonts w:ascii="Arial Narrow" w:hAnsi="Arial Narrow"/>
                <w:b/>
                <w:noProof/>
                <w:color w:val="000000"/>
                <w:sz w:val="20"/>
                <w:highlight w:val="black"/>
              </w:rPr>
              <w:t>'''''''''''''''''''''</w:t>
            </w:r>
          </w:p>
        </w:tc>
        <w:tc>
          <w:tcPr>
            <w:tcW w:w="764" w:type="pct"/>
            <w:shd w:val="clear" w:color="auto" w:fill="auto"/>
            <w:vAlign w:val="center"/>
          </w:tcPr>
          <w:p w:rsidR="00AC398D" w:rsidRPr="00AC398D" w:rsidRDefault="00AC398D" w:rsidP="00AC398D">
            <w:pPr>
              <w:tabs>
                <w:tab w:val="left" w:pos="142"/>
              </w:tabs>
              <w:jc w:val="center"/>
              <w:rPr>
                <w:rFonts w:ascii="Arial Narrow" w:hAnsi="Arial Narrow"/>
                <w:b/>
                <w:sz w:val="20"/>
              </w:rPr>
            </w:pPr>
            <w:r w:rsidRPr="00AC398D">
              <w:rPr>
                <w:rFonts w:ascii="Arial Narrow" w:hAnsi="Arial Narrow"/>
                <w:b/>
                <w:sz w:val="20"/>
              </w:rPr>
              <w:t>$</w:t>
            </w:r>
            <w:r w:rsidR="009E29BB">
              <w:rPr>
                <w:rFonts w:ascii="Arial Narrow" w:hAnsi="Arial Narrow"/>
                <w:b/>
                <w:noProof/>
                <w:color w:val="000000"/>
                <w:sz w:val="20"/>
                <w:highlight w:val="black"/>
              </w:rPr>
              <w:t>'''''''''''''''''''''</w:t>
            </w:r>
          </w:p>
        </w:tc>
        <w:tc>
          <w:tcPr>
            <w:tcW w:w="764" w:type="pct"/>
            <w:shd w:val="clear" w:color="auto" w:fill="auto"/>
            <w:vAlign w:val="center"/>
          </w:tcPr>
          <w:p w:rsidR="00AC398D" w:rsidRPr="00AC398D" w:rsidRDefault="00AC398D" w:rsidP="00AC398D">
            <w:pPr>
              <w:tabs>
                <w:tab w:val="left" w:pos="142"/>
              </w:tabs>
              <w:jc w:val="center"/>
              <w:rPr>
                <w:rFonts w:ascii="Arial Narrow" w:hAnsi="Arial Narrow"/>
                <w:b/>
                <w:sz w:val="20"/>
              </w:rPr>
            </w:pPr>
            <w:r w:rsidRPr="00AC398D">
              <w:rPr>
                <w:rFonts w:ascii="Arial Narrow" w:hAnsi="Arial Narrow"/>
                <w:b/>
                <w:sz w:val="20"/>
              </w:rPr>
              <w:t>$</w:t>
            </w:r>
            <w:r w:rsidR="009E29BB">
              <w:rPr>
                <w:rFonts w:ascii="Arial Narrow" w:hAnsi="Arial Narrow"/>
                <w:b/>
                <w:noProof/>
                <w:color w:val="000000"/>
                <w:sz w:val="20"/>
                <w:highlight w:val="black"/>
              </w:rPr>
              <w:t>''''''''''''''''''</w:t>
            </w:r>
          </w:p>
        </w:tc>
        <w:tc>
          <w:tcPr>
            <w:tcW w:w="755" w:type="pct"/>
            <w:shd w:val="clear" w:color="auto" w:fill="auto"/>
            <w:vAlign w:val="center"/>
          </w:tcPr>
          <w:p w:rsidR="00AC398D" w:rsidRPr="00AC398D" w:rsidRDefault="00AC398D" w:rsidP="00AC398D">
            <w:pPr>
              <w:tabs>
                <w:tab w:val="left" w:pos="142"/>
              </w:tabs>
              <w:jc w:val="center"/>
              <w:rPr>
                <w:rFonts w:ascii="Arial Narrow" w:hAnsi="Arial Narrow"/>
                <w:b/>
                <w:sz w:val="20"/>
              </w:rPr>
            </w:pPr>
            <w:r w:rsidRPr="00AC398D">
              <w:rPr>
                <w:rFonts w:ascii="Arial Narrow" w:hAnsi="Arial Narrow"/>
                <w:b/>
                <w:sz w:val="20"/>
              </w:rPr>
              <w:t>$</w:t>
            </w:r>
            <w:r w:rsidR="009E29BB">
              <w:rPr>
                <w:rFonts w:ascii="Arial Narrow" w:hAnsi="Arial Narrow"/>
                <w:b/>
                <w:noProof/>
                <w:color w:val="000000"/>
                <w:sz w:val="20"/>
                <w:highlight w:val="black"/>
              </w:rPr>
              <w:t>''''''''''''''''''</w:t>
            </w:r>
          </w:p>
        </w:tc>
      </w:tr>
      <w:tr w:rsidR="00AC398D" w:rsidRPr="00AC398D" w:rsidTr="00AC398D">
        <w:tc>
          <w:tcPr>
            <w:tcW w:w="1359" w:type="pct"/>
            <w:shd w:val="clear" w:color="auto" w:fill="auto"/>
            <w:vAlign w:val="center"/>
          </w:tcPr>
          <w:p w:rsidR="00AC398D" w:rsidRPr="00AC398D" w:rsidRDefault="00AC398D" w:rsidP="00B8649C">
            <w:pPr>
              <w:tabs>
                <w:tab w:val="left" w:pos="142"/>
              </w:tabs>
              <w:jc w:val="left"/>
              <w:rPr>
                <w:rFonts w:ascii="Arial Narrow" w:hAnsi="Arial Narrow"/>
                <w:sz w:val="20"/>
              </w:rPr>
            </w:pPr>
            <w:r w:rsidRPr="00AC398D">
              <w:rPr>
                <w:rFonts w:ascii="Arial Narrow" w:hAnsi="Arial Narrow"/>
                <w:sz w:val="19"/>
                <w:szCs w:val="19"/>
              </w:rPr>
              <w:t>Net cost to MBS</w:t>
            </w:r>
          </w:p>
        </w:tc>
        <w:tc>
          <w:tcPr>
            <w:tcW w:w="679" w:type="pct"/>
            <w:shd w:val="clear" w:color="auto" w:fill="auto"/>
            <w:vAlign w:val="center"/>
          </w:tcPr>
          <w:p w:rsidR="00AC398D" w:rsidRPr="00AC398D" w:rsidRDefault="00AC398D" w:rsidP="00B8649C">
            <w:pPr>
              <w:jc w:val="center"/>
              <w:rPr>
                <w:rFonts w:ascii="Arial Narrow" w:hAnsi="Arial Narrow"/>
                <w:bCs/>
                <w:color w:val="000000"/>
                <w:sz w:val="20"/>
              </w:rPr>
            </w:pPr>
            <w:r w:rsidRPr="00AC398D">
              <w:rPr>
                <w:rFonts w:ascii="Arial Narrow" w:hAnsi="Arial Narrow"/>
                <w:bCs/>
                <w:sz w:val="19"/>
                <w:szCs w:val="19"/>
              </w:rPr>
              <w:t>-</w:t>
            </w:r>
          </w:p>
        </w:tc>
        <w:tc>
          <w:tcPr>
            <w:tcW w:w="679" w:type="pct"/>
            <w:shd w:val="clear" w:color="auto" w:fill="auto"/>
          </w:tcPr>
          <w:p w:rsidR="00AC398D" w:rsidRPr="00AC398D" w:rsidRDefault="00AC398D" w:rsidP="00B8649C">
            <w:pPr>
              <w:jc w:val="center"/>
              <w:rPr>
                <w:rFonts w:ascii="Arial Narrow" w:hAnsi="Arial Narrow"/>
                <w:bCs/>
                <w:color w:val="000000"/>
                <w:sz w:val="20"/>
              </w:rPr>
            </w:pPr>
            <w:r w:rsidRPr="00AC398D">
              <w:rPr>
                <w:rFonts w:ascii="Arial Narrow" w:hAnsi="Arial Narrow"/>
                <w:bCs/>
                <w:sz w:val="19"/>
                <w:szCs w:val="19"/>
              </w:rPr>
              <w:t>-</w:t>
            </w:r>
          </w:p>
        </w:tc>
        <w:tc>
          <w:tcPr>
            <w:tcW w:w="764" w:type="pct"/>
            <w:shd w:val="clear" w:color="auto" w:fill="auto"/>
          </w:tcPr>
          <w:p w:rsidR="00AC398D" w:rsidRPr="00AC398D" w:rsidRDefault="00AC398D" w:rsidP="00B8649C">
            <w:pPr>
              <w:jc w:val="center"/>
              <w:rPr>
                <w:rFonts w:ascii="Arial Narrow" w:hAnsi="Arial Narrow"/>
                <w:bCs/>
                <w:color w:val="000000"/>
                <w:sz w:val="20"/>
              </w:rPr>
            </w:pPr>
            <w:r w:rsidRPr="00AC398D">
              <w:rPr>
                <w:rFonts w:ascii="Arial Narrow" w:hAnsi="Arial Narrow"/>
                <w:bCs/>
                <w:sz w:val="19"/>
                <w:szCs w:val="19"/>
              </w:rPr>
              <w:t>-</w:t>
            </w:r>
          </w:p>
        </w:tc>
        <w:tc>
          <w:tcPr>
            <w:tcW w:w="764" w:type="pct"/>
            <w:shd w:val="clear" w:color="auto" w:fill="auto"/>
          </w:tcPr>
          <w:p w:rsidR="00AC398D" w:rsidRPr="00AC398D" w:rsidRDefault="00AC398D" w:rsidP="00B8649C">
            <w:pPr>
              <w:jc w:val="center"/>
              <w:rPr>
                <w:rFonts w:ascii="Arial Narrow" w:hAnsi="Arial Narrow"/>
                <w:bCs/>
                <w:color w:val="000000"/>
                <w:sz w:val="20"/>
              </w:rPr>
            </w:pPr>
            <w:r w:rsidRPr="00AC398D">
              <w:rPr>
                <w:rFonts w:ascii="Arial Narrow" w:hAnsi="Arial Narrow"/>
                <w:bCs/>
                <w:sz w:val="19"/>
                <w:szCs w:val="19"/>
              </w:rPr>
              <w:t>-</w:t>
            </w:r>
          </w:p>
        </w:tc>
        <w:tc>
          <w:tcPr>
            <w:tcW w:w="755" w:type="pct"/>
            <w:shd w:val="clear" w:color="auto" w:fill="auto"/>
          </w:tcPr>
          <w:p w:rsidR="00AC398D" w:rsidRPr="00AC398D" w:rsidRDefault="00AC398D" w:rsidP="00B8649C">
            <w:pPr>
              <w:jc w:val="center"/>
              <w:rPr>
                <w:rFonts w:ascii="Arial Narrow" w:hAnsi="Arial Narrow"/>
                <w:bCs/>
                <w:color w:val="000000"/>
                <w:sz w:val="20"/>
              </w:rPr>
            </w:pPr>
            <w:r w:rsidRPr="00AC398D">
              <w:rPr>
                <w:rFonts w:ascii="Arial Narrow" w:hAnsi="Arial Narrow"/>
                <w:bCs/>
                <w:sz w:val="19"/>
                <w:szCs w:val="19"/>
              </w:rPr>
              <w:t>-</w:t>
            </w:r>
          </w:p>
        </w:tc>
      </w:tr>
      <w:tr w:rsidR="00C25D9C" w:rsidRPr="00AC398D" w:rsidTr="005D044D">
        <w:tc>
          <w:tcPr>
            <w:tcW w:w="5000" w:type="pct"/>
            <w:gridSpan w:val="6"/>
            <w:shd w:val="clear" w:color="auto" w:fill="auto"/>
            <w:vAlign w:val="center"/>
          </w:tcPr>
          <w:p w:rsidR="00C25D9C" w:rsidRPr="00AC398D" w:rsidRDefault="00C25D9C" w:rsidP="00B8649C">
            <w:pPr>
              <w:jc w:val="left"/>
              <w:rPr>
                <w:rFonts w:ascii="Arial Narrow" w:hAnsi="Arial Narrow"/>
                <w:b/>
                <w:color w:val="000000"/>
                <w:sz w:val="20"/>
              </w:rPr>
            </w:pPr>
            <w:r w:rsidRPr="00AC398D">
              <w:rPr>
                <w:rFonts w:ascii="Arial Narrow" w:hAnsi="Arial Narrow"/>
                <w:b/>
                <w:color w:val="000000"/>
                <w:sz w:val="20"/>
              </w:rPr>
              <w:t>Estimated total net cost</w:t>
            </w:r>
          </w:p>
        </w:tc>
      </w:tr>
      <w:tr w:rsidR="00AC398D" w:rsidRPr="006D437D" w:rsidTr="005D044D">
        <w:tc>
          <w:tcPr>
            <w:tcW w:w="1359" w:type="pct"/>
            <w:shd w:val="clear" w:color="auto" w:fill="auto"/>
            <w:vAlign w:val="center"/>
          </w:tcPr>
          <w:p w:rsidR="00AC398D" w:rsidRPr="00AC398D" w:rsidRDefault="00AC398D" w:rsidP="00B8649C">
            <w:pPr>
              <w:tabs>
                <w:tab w:val="left" w:pos="142"/>
              </w:tabs>
              <w:jc w:val="left"/>
              <w:rPr>
                <w:rFonts w:ascii="Arial Narrow" w:hAnsi="Arial Narrow"/>
                <w:b/>
                <w:sz w:val="20"/>
              </w:rPr>
            </w:pPr>
            <w:r w:rsidRPr="00AC398D">
              <w:rPr>
                <w:rFonts w:ascii="Arial Narrow" w:hAnsi="Arial Narrow"/>
                <w:b/>
                <w:bCs/>
                <w:color w:val="000000"/>
                <w:sz w:val="20"/>
              </w:rPr>
              <w:t>Net cost to PBS/RPBS/MBS</w:t>
            </w:r>
          </w:p>
        </w:tc>
        <w:tc>
          <w:tcPr>
            <w:tcW w:w="679" w:type="pct"/>
            <w:shd w:val="clear" w:color="auto" w:fill="auto"/>
            <w:vAlign w:val="center"/>
          </w:tcPr>
          <w:p w:rsidR="00AC398D" w:rsidRPr="00AC398D" w:rsidRDefault="00AC398D" w:rsidP="00B8649C">
            <w:pPr>
              <w:jc w:val="center"/>
              <w:rPr>
                <w:rFonts w:ascii="Arial Narrow" w:hAnsi="Arial Narrow"/>
                <w:color w:val="000000"/>
                <w:sz w:val="20"/>
              </w:rPr>
            </w:pPr>
            <w:r w:rsidRPr="00AC398D">
              <w:rPr>
                <w:rFonts w:ascii="Arial Narrow" w:hAnsi="Arial Narrow"/>
                <w:b/>
                <w:sz w:val="20"/>
              </w:rPr>
              <w:t>$</w:t>
            </w:r>
            <w:r w:rsidR="009E29BB">
              <w:rPr>
                <w:rFonts w:ascii="Arial Narrow" w:hAnsi="Arial Narrow"/>
                <w:b/>
                <w:noProof/>
                <w:color w:val="000000"/>
                <w:sz w:val="20"/>
                <w:highlight w:val="black"/>
              </w:rPr>
              <w:t>''''''''''''''''''''</w:t>
            </w:r>
          </w:p>
        </w:tc>
        <w:tc>
          <w:tcPr>
            <w:tcW w:w="679" w:type="pct"/>
            <w:shd w:val="clear" w:color="auto" w:fill="auto"/>
            <w:vAlign w:val="center"/>
          </w:tcPr>
          <w:p w:rsidR="00AC398D" w:rsidRPr="00AC398D" w:rsidRDefault="00AC398D" w:rsidP="00B8649C">
            <w:pPr>
              <w:jc w:val="center"/>
              <w:rPr>
                <w:rFonts w:ascii="Arial Narrow" w:hAnsi="Arial Narrow"/>
                <w:color w:val="000000"/>
                <w:sz w:val="20"/>
              </w:rPr>
            </w:pPr>
            <w:r w:rsidRPr="00AC398D">
              <w:rPr>
                <w:rFonts w:ascii="Arial Narrow" w:hAnsi="Arial Narrow"/>
                <w:b/>
                <w:sz w:val="20"/>
              </w:rPr>
              <w:t>$</w:t>
            </w:r>
            <w:r w:rsidR="009E29BB">
              <w:rPr>
                <w:rFonts w:ascii="Arial Narrow" w:hAnsi="Arial Narrow"/>
                <w:b/>
                <w:noProof/>
                <w:color w:val="000000"/>
                <w:sz w:val="20"/>
                <w:highlight w:val="black"/>
              </w:rPr>
              <w:t>'''''''''''''''''''''</w:t>
            </w:r>
          </w:p>
        </w:tc>
        <w:tc>
          <w:tcPr>
            <w:tcW w:w="764" w:type="pct"/>
            <w:shd w:val="clear" w:color="auto" w:fill="auto"/>
            <w:vAlign w:val="center"/>
          </w:tcPr>
          <w:p w:rsidR="00AC398D" w:rsidRPr="00AC398D" w:rsidRDefault="00AC398D" w:rsidP="00B8649C">
            <w:pPr>
              <w:jc w:val="center"/>
              <w:rPr>
                <w:rFonts w:ascii="Arial Narrow" w:hAnsi="Arial Narrow"/>
                <w:color w:val="000000"/>
                <w:sz w:val="20"/>
              </w:rPr>
            </w:pPr>
            <w:r w:rsidRPr="00AC398D">
              <w:rPr>
                <w:rFonts w:ascii="Arial Narrow" w:hAnsi="Arial Narrow"/>
                <w:b/>
                <w:sz w:val="20"/>
              </w:rPr>
              <w:t>$</w:t>
            </w:r>
            <w:r w:rsidR="009E29BB">
              <w:rPr>
                <w:rFonts w:ascii="Arial Narrow" w:hAnsi="Arial Narrow"/>
                <w:b/>
                <w:noProof/>
                <w:color w:val="000000"/>
                <w:sz w:val="20"/>
                <w:highlight w:val="black"/>
              </w:rPr>
              <w:t>'''''''''''''''''''''</w:t>
            </w:r>
          </w:p>
        </w:tc>
        <w:tc>
          <w:tcPr>
            <w:tcW w:w="764" w:type="pct"/>
            <w:shd w:val="clear" w:color="auto" w:fill="auto"/>
            <w:vAlign w:val="center"/>
          </w:tcPr>
          <w:p w:rsidR="00AC398D" w:rsidRPr="00AC398D" w:rsidRDefault="00AC398D" w:rsidP="00B8649C">
            <w:pPr>
              <w:jc w:val="center"/>
              <w:rPr>
                <w:rFonts w:ascii="Arial Narrow" w:hAnsi="Arial Narrow"/>
                <w:color w:val="000000"/>
                <w:sz w:val="20"/>
              </w:rPr>
            </w:pPr>
            <w:r w:rsidRPr="00AC398D">
              <w:rPr>
                <w:rFonts w:ascii="Arial Narrow" w:hAnsi="Arial Narrow"/>
                <w:b/>
                <w:sz w:val="20"/>
              </w:rPr>
              <w:t>$</w:t>
            </w:r>
            <w:r w:rsidR="009E29BB">
              <w:rPr>
                <w:rFonts w:ascii="Arial Narrow" w:hAnsi="Arial Narrow"/>
                <w:b/>
                <w:noProof/>
                <w:color w:val="000000"/>
                <w:sz w:val="20"/>
                <w:highlight w:val="black"/>
              </w:rPr>
              <w:t>''''''''''''''''''''</w:t>
            </w:r>
          </w:p>
        </w:tc>
        <w:tc>
          <w:tcPr>
            <w:tcW w:w="755" w:type="pct"/>
            <w:shd w:val="clear" w:color="auto" w:fill="auto"/>
            <w:vAlign w:val="center"/>
          </w:tcPr>
          <w:p w:rsidR="00AC398D" w:rsidRPr="00AC398D" w:rsidRDefault="00AC398D" w:rsidP="00B8649C">
            <w:pPr>
              <w:jc w:val="center"/>
              <w:rPr>
                <w:rFonts w:ascii="Arial Narrow" w:hAnsi="Arial Narrow"/>
                <w:color w:val="000000"/>
                <w:sz w:val="20"/>
              </w:rPr>
            </w:pPr>
            <w:r w:rsidRPr="00AC398D">
              <w:rPr>
                <w:rFonts w:ascii="Arial Narrow" w:hAnsi="Arial Narrow"/>
                <w:b/>
                <w:sz w:val="20"/>
              </w:rPr>
              <w:t>$</w:t>
            </w:r>
            <w:r w:rsidR="009E29BB">
              <w:rPr>
                <w:rFonts w:ascii="Arial Narrow" w:hAnsi="Arial Narrow"/>
                <w:b/>
                <w:noProof/>
                <w:color w:val="000000"/>
                <w:sz w:val="20"/>
                <w:highlight w:val="black"/>
              </w:rPr>
              <w:t>'''''''''''''''''''''</w:t>
            </w:r>
          </w:p>
        </w:tc>
      </w:tr>
      <w:tr w:rsidR="0059688A" w:rsidRPr="006D437D" w:rsidTr="005D044D">
        <w:tc>
          <w:tcPr>
            <w:tcW w:w="1359" w:type="pct"/>
            <w:shd w:val="clear" w:color="auto" w:fill="auto"/>
            <w:vAlign w:val="center"/>
          </w:tcPr>
          <w:p w:rsidR="0059688A" w:rsidRPr="00AC398D" w:rsidRDefault="0059688A" w:rsidP="00B8649C">
            <w:pPr>
              <w:tabs>
                <w:tab w:val="left" w:pos="142"/>
              </w:tabs>
              <w:jc w:val="left"/>
              <w:rPr>
                <w:rFonts w:ascii="Arial Narrow" w:hAnsi="Arial Narrow"/>
                <w:b/>
                <w:bCs/>
                <w:color w:val="000000"/>
                <w:sz w:val="20"/>
              </w:rPr>
            </w:pPr>
            <w:r>
              <w:rPr>
                <w:rFonts w:ascii="Arial Narrow" w:hAnsi="Arial Narrow"/>
                <w:b/>
                <w:bCs/>
                <w:color w:val="000000"/>
                <w:sz w:val="20"/>
              </w:rPr>
              <w:t>Net cost to PBS/RPBS/MBS (as proposed in Pre-PBAC Response)</w:t>
            </w:r>
          </w:p>
        </w:tc>
        <w:tc>
          <w:tcPr>
            <w:tcW w:w="679" w:type="pct"/>
            <w:shd w:val="clear" w:color="auto" w:fill="auto"/>
            <w:vAlign w:val="center"/>
          </w:tcPr>
          <w:p w:rsidR="0059688A" w:rsidRPr="00AC398D" w:rsidRDefault="0059688A" w:rsidP="00B8649C">
            <w:pPr>
              <w:jc w:val="center"/>
              <w:rPr>
                <w:rFonts w:ascii="Arial Narrow" w:hAnsi="Arial Narrow"/>
                <w:b/>
                <w:sz w:val="20"/>
              </w:rPr>
            </w:pPr>
            <w:r>
              <w:rPr>
                <w:rFonts w:ascii="Arial Narrow" w:hAnsi="Arial Narrow"/>
                <w:b/>
                <w:sz w:val="20"/>
              </w:rPr>
              <w:t>$</w:t>
            </w:r>
            <w:r w:rsidR="009E29BB">
              <w:rPr>
                <w:rFonts w:ascii="Arial Narrow" w:hAnsi="Arial Narrow"/>
                <w:b/>
                <w:noProof/>
                <w:color w:val="000000"/>
                <w:sz w:val="20"/>
                <w:highlight w:val="black"/>
              </w:rPr>
              <w:t>''''''''''''''''''''</w:t>
            </w:r>
          </w:p>
        </w:tc>
        <w:tc>
          <w:tcPr>
            <w:tcW w:w="679" w:type="pct"/>
            <w:shd w:val="clear" w:color="auto" w:fill="auto"/>
            <w:vAlign w:val="center"/>
          </w:tcPr>
          <w:p w:rsidR="0059688A" w:rsidRPr="00AC398D" w:rsidRDefault="0059688A" w:rsidP="00B8649C">
            <w:pPr>
              <w:jc w:val="center"/>
              <w:rPr>
                <w:rFonts w:ascii="Arial Narrow" w:hAnsi="Arial Narrow"/>
                <w:b/>
                <w:sz w:val="20"/>
              </w:rPr>
            </w:pPr>
            <w:r>
              <w:rPr>
                <w:rFonts w:ascii="Arial Narrow" w:hAnsi="Arial Narrow"/>
                <w:b/>
                <w:sz w:val="20"/>
              </w:rPr>
              <w:t>$</w:t>
            </w:r>
            <w:r w:rsidR="009E29BB">
              <w:rPr>
                <w:rFonts w:ascii="Arial Narrow" w:hAnsi="Arial Narrow"/>
                <w:b/>
                <w:noProof/>
                <w:color w:val="000000"/>
                <w:sz w:val="20"/>
                <w:highlight w:val="black"/>
              </w:rPr>
              <w:t>''''''''''''''''''</w:t>
            </w:r>
          </w:p>
        </w:tc>
        <w:tc>
          <w:tcPr>
            <w:tcW w:w="764" w:type="pct"/>
            <w:shd w:val="clear" w:color="auto" w:fill="auto"/>
            <w:vAlign w:val="center"/>
          </w:tcPr>
          <w:p w:rsidR="0059688A" w:rsidRPr="00AC398D" w:rsidRDefault="0059688A" w:rsidP="00B8649C">
            <w:pPr>
              <w:jc w:val="center"/>
              <w:rPr>
                <w:rFonts w:ascii="Arial Narrow" w:hAnsi="Arial Narrow"/>
                <w:b/>
                <w:sz w:val="20"/>
              </w:rPr>
            </w:pPr>
            <w:r>
              <w:rPr>
                <w:rFonts w:ascii="Arial Narrow" w:hAnsi="Arial Narrow"/>
                <w:b/>
                <w:sz w:val="20"/>
              </w:rPr>
              <w:t>$</w:t>
            </w:r>
            <w:r w:rsidR="009E29BB">
              <w:rPr>
                <w:rFonts w:ascii="Arial Narrow" w:hAnsi="Arial Narrow"/>
                <w:b/>
                <w:noProof/>
                <w:color w:val="000000"/>
                <w:sz w:val="20"/>
                <w:highlight w:val="black"/>
              </w:rPr>
              <w:t>'''''''''''''''''''''</w:t>
            </w:r>
          </w:p>
        </w:tc>
        <w:tc>
          <w:tcPr>
            <w:tcW w:w="764" w:type="pct"/>
            <w:shd w:val="clear" w:color="auto" w:fill="auto"/>
            <w:vAlign w:val="center"/>
          </w:tcPr>
          <w:p w:rsidR="0059688A" w:rsidRPr="00AC398D" w:rsidRDefault="0059688A" w:rsidP="00B8649C">
            <w:pPr>
              <w:jc w:val="center"/>
              <w:rPr>
                <w:rFonts w:ascii="Arial Narrow" w:hAnsi="Arial Narrow"/>
                <w:b/>
                <w:sz w:val="20"/>
              </w:rPr>
            </w:pPr>
            <w:r>
              <w:rPr>
                <w:rFonts w:ascii="Arial Narrow" w:hAnsi="Arial Narrow"/>
                <w:b/>
                <w:sz w:val="20"/>
              </w:rPr>
              <w:t>$</w:t>
            </w:r>
            <w:r w:rsidR="009E29BB">
              <w:rPr>
                <w:rFonts w:ascii="Arial Narrow" w:hAnsi="Arial Narrow"/>
                <w:b/>
                <w:noProof/>
                <w:color w:val="000000"/>
                <w:sz w:val="20"/>
                <w:highlight w:val="black"/>
              </w:rPr>
              <w:t>'''''''''''''''''</w:t>
            </w:r>
          </w:p>
        </w:tc>
        <w:tc>
          <w:tcPr>
            <w:tcW w:w="755" w:type="pct"/>
            <w:shd w:val="clear" w:color="auto" w:fill="auto"/>
            <w:vAlign w:val="center"/>
          </w:tcPr>
          <w:p w:rsidR="0059688A" w:rsidRPr="00AC398D" w:rsidRDefault="0059688A" w:rsidP="00B8649C">
            <w:pPr>
              <w:jc w:val="center"/>
              <w:rPr>
                <w:rFonts w:ascii="Arial Narrow" w:hAnsi="Arial Narrow"/>
                <w:b/>
                <w:sz w:val="20"/>
              </w:rPr>
            </w:pPr>
            <w:r>
              <w:rPr>
                <w:rFonts w:ascii="Arial Narrow" w:hAnsi="Arial Narrow"/>
                <w:b/>
                <w:sz w:val="20"/>
              </w:rPr>
              <w:t>$</w:t>
            </w:r>
            <w:r w:rsidR="009E29BB">
              <w:rPr>
                <w:rFonts w:ascii="Arial Narrow" w:hAnsi="Arial Narrow"/>
                <w:b/>
                <w:noProof/>
                <w:color w:val="000000"/>
                <w:sz w:val="20"/>
                <w:highlight w:val="black"/>
              </w:rPr>
              <w:t>'''''''''''''''''''''</w:t>
            </w:r>
          </w:p>
        </w:tc>
      </w:tr>
    </w:tbl>
    <w:p w:rsidR="00AC398D" w:rsidRPr="005E366B" w:rsidRDefault="00AC398D" w:rsidP="00AC398D">
      <w:pPr>
        <w:pStyle w:val="TableFooter"/>
        <w:ind w:left="709"/>
        <w:rPr>
          <w:szCs w:val="22"/>
        </w:rPr>
      </w:pPr>
      <w:r w:rsidRPr="005E366B">
        <w:rPr>
          <w:sz w:val="16"/>
          <w:szCs w:val="18"/>
        </w:rPr>
        <w:t>*</w:t>
      </w:r>
      <w:r w:rsidRPr="005E366B">
        <w:rPr>
          <w:szCs w:val="22"/>
        </w:rPr>
        <w:t xml:space="preserve"> Based on 4.35 cycles and 7.28 cycles per chemotherapy journey with carboplatin and oxaliplatin, 93.7% of chemotherapy cycles where aprepitant is used, assuming that one script of aprepitant is administered per cycle (Section E Spreadsheet.xls), </w:t>
      </w:r>
    </w:p>
    <w:p w:rsidR="00C25D9C" w:rsidRPr="005E366B" w:rsidRDefault="00C25D9C" w:rsidP="005D044D">
      <w:pPr>
        <w:pStyle w:val="TableFooter"/>
        <w:ind w:firstLine="720"/>
        <w:rPr>
          <w:szCs w:val="22"/>
        </w:rPr>
      </w:pPr>
      <w:r w:rsidRPr="005E366B">
        <w:rPr>
          <w:sz w:val="16"/>
          <w:szCs w:val="18"/>
        </w:rPr>
        <w:t xml:space="preserve">Source: </w:t>
      </w:r>
      <w:r w:rsidR="00AC398D" w:rsidRPr="005E366B">
        <w:rPr>
          <w:szCs w:val="18"/>
        </w:rPr>
        <w:t>Table E.2-5 p124 and Table E.2-10 p128</w:t>
      </w:r>
      <w:r w:rsidR="00E24EBD">
        <w:rPr>
          <w:szCs w:val="18"/>
        </w:rPr>
        <w:t xml:space="preserve"> of the submission</w:t>
      </w:r>
      <w:r w:rsidR="007F3690">
        <w:rPr>
          <w:szCs w:val="18"/>
        </w:rPr>
        <w:t>, Table 1 p5 of the Pre-PBAC Response</w:t>
      </w:r>
    </w:p>
    <w:p w:rsidR="00C25D9C" w:rsidRDefault="00C25D9C" w:rsidP="00C25D9C">
      <w:pPr>
        <w:widowControl/>
        <w:rPr>
          <w:szCs w:val="22"/>
          <w:highlight w:val="yellow"/>
        </w:rPr>
      </w:pPr>
    </w:p>
    <w:p w:rsidR="00E43DEF" w:rsidRPr="00E43DEF" w:rsidRDefault="00E43DEF" w:rsidP="00E43DEF">
      <w:pPr>
        <w:widowControl/>
        <w:ind w:left="720"/>
        <w:rPr>
          <w:i/>
          <w:szCs w:val="22"/>
        </w:rPr>
      </w:pPr>
      <w:r w:rsidRPr="00E43DEF">
        <w:rPr>
          <w:i/>
          <w:szCs w:val="22"/>
        </w:rPr>
        <w:t>The</w:t>
      </w:r>
      <w:r>
        <w:rPr>
          <w:i/>
          <w:szCs w:val="22"/>
        </w:rPr>
        <w:t xml:space="preserve"> redacted table above shows the number of scripts for aprepitant is estimated to be 10,000 – 50,000 per year at a net cost to the PBS of less than $10 million per year. </w:t>
      </w:r>
    </w:p>
    <w:p w:rsidR="00E43DEF" w:rsidRPr="006D437D" w:rsidRDefault="00E43DEF" w:rsidP="00C25D9C">
      <w:pPr>
        <w:widowControl/>
        <w:rPr>
          <w:szCs w:val="22"/>
          <w:highlight w:val="yellow"/>
        </w:rPr>
      </w:pPr>
    </w:p>
    <w:p w:rsidR="00C25D9C" w:rsidRPr="00AE25F1" w:rsidRDefault="00CC7762" w:rsidP="00C66229">
      <w:pPr>
        <w:pStyle w:val="ListParagraph"/>
        <w:widowControl/>
        <w:numPr>
          <w:ilvl w:val="1"/>
          <w:numId w:val="3"/>
        </w:numPr>
        <w:rPr>
          <w:szCs w:val="22"/>
        </w:rPr>
      </w:pPr>
      <w:r w:rsidRPr="007E7BDC">
        <w:t>There is a potential for the net financial implications to be less than the estimate in the submission as uptake may be lower as the baseline risk of vomiting or rescue therapy is lower with oxaliplatin/carboplatin (36.3%) compared to an anthracycline (57.5%).</w:t>
      </w:r>
    </w:p>
    <w:p w:rsidR="00AE25F1" w:rsidRPr="00AE25F1" w:rsidRDefault="00AE25F1" w:rsidP="00AE25F1">
      <w:pPr>
        <w:pStyle w:val="ListParagraph"/>
        <w:widowControl/>
        <w:rPr>
          <w:szCs w:val="22"/>
        </w:rPr>
      </w:pPr>
    </w:p>
    <w:p w:rsidR="00AE25F1" w:rsidRDefault="00AE25F1" w:rsidP="00C66229">
      <w:pPr>
        <w:pStyle w:val="ListParagraph"/>
        <w:widowControl/>
        <w:numPr>
          <w:ilvl w:val="1"/>
          <w:numId w:val="3"/>
        </w:numPr>
        <w:rPr>
          <w:szCs w:val="22"/>
        </w:rPr>
      </w:pPr>
      <w:r w:rsidRPr="008C1F4F">
        <w:rPr>
          <w:szCs w:val="22"/>
        </w:rPr>
        <w:t>The PSCR (p4) presented a reanalysis of the proportion of eligible patients treated with aprepitant.</w:t>
      </w:r>
    </w:p>
    <w:p w:rsidR="00B773B0" w:rsidRPr="00B773B0" w:rsidRDefault="00B773B0" w:rsidP="00B773B0">
      <w:pPr>
        <w:widowControl/>
        <w:rPr>
          <w:szCs w:val="22"/>
        </w:rPr>
      </w:pPr>
    </w:p>
    <w:p w:rsidR="00AE25F1" w:rsidRPr="00CD1291" w:rsidRDefault="00AE25F1" w:rsidP="008C1271">
      <w:pPr>
        <w:pStyle w:val="Caption"/>
        <w:spacing w:after="0"/>
        <w:ind w:left="720"/>
        <w:rPr>
          <w:rFonts w:ascii="Arial Narrow" w:hAnsi="Arial Narrow"/>
          <w:color w:val="auto"/>
          <w:sz w:val="20"/>
        </w:rPr>
      </w:pPr>
      <w:bookmarkStart w:id="16" w:name="_Ref430342826"/>
      <w:r w:rsidRPr="00CD1291">
        <w:rPr>
          <w:rFonts w:ascii="Arial Narrow" w:hAnsi="Arial Narrow"/>
          <w:color w:val="auto"/>
          <w:sz w:val="20"/>
        </w:rPr>
        <w:t xml:space="preserve">Table </w:t>
      </w:r>
      <w:bookmarkEnd w:id="16"/>
      <w:r w:rsidRPr="00CD1291">
        <w:rPr>
          <w:rFonts w:ascii="Arial Narrow" w:hAnsi="Arial Narrow"/>
          <w:color w:val="auto"/>
          <w:sz w:val="20"/>
        </w:rPr>
        <w:t>8:</w:t>
      </w:r>
      <w:r w:rsidRPr="00CD1291">
        <w:rPr>
          <w:rFonts w:ascii="Arial Narrow" w:hAnsi="Arial Narrow"/>
          <w:color w:val="auto"/>
          <w:sz w:val="20"/>
        </w:rPr>
        <w:tab/>
        <w:t>Reanalysis of the proportion of patients currently eligible for aprepitant who receive optimal antiemetic intervention</w:t>
      </w:r>
    </w:p>
    <w:tbl>
      <w:tblPr>
        <w:tblStyle w:val="TableGrid"/>
        <w:tblW w:w="8363" w:type="dxa"/>
        <w:tblInd w:w="817" w:type="dxa"/>
        <w:tblLook w:val="04A0" w:firstRow="1" w:lastRow="0" w:firstColumn="1" w:lastColumn="0" w:noHBand="0" w:noVBand="1"/>
        <w:tblCaption w:val="Re-analysis of eligible patients recieving optimal treatment"/>
        <w:tblDescription w:val="A re-analysis of provided in the PSCR of patients currently eligible for aprepitant who recieve optimal antiemetic treatment"/>
      </w:tblPr>
      <w:tblGrid>
        <w:gridCol w:w="596"/>
        <w:gridCol w:w="2806"/>
        <w:gridCol w:w="1169"/>
        <w:gridCol w:w="1217"/>
        <w:gridCol w:w="1159"/>
        <w:gridCol w:w="1416"/>
      </w:tblGrid>
      <w:tr w:rsidR="00AE25F1" w:rsidRPr="004B6659" w:rsidTr="00EB593C">
        <w:trPr>
          <w:tblHeader/>
        </w:trPr>
        <w:tc>
          <w:tcPr>
            <w:tcW w:w="596" w:type="dxa"/>
          </w:tcPr>
          <w:p w:rsidR="00AE25F1" w:rsidRPr="00CD1291" w:rsidRDefault="00AE25F1" w:rsidP="00B90E31">
            <w:pPr>
              <w:pStyle w:val="Tabletext"/>
              <w:rPr>
                <w:rFonts w:ascii="Arial Narrow" w:hAnsi="Arial Narrow"/>
                <w:b/>
              </w:rPr>
            </w:pPr>
            <w:r w:rsidRPr="00CD1291">
              <w:rPr>
                <w:rFonts w:ascii="Arial Narrow" w:hAnsi="Arial Narrow"/>
                <w:b/>
              </w:rPr>
              <w:t>Row</w:t>
            </w:r>
          </w:p>
        </w:tc>
        <w:tc>
          <w:tcPr>
            <w:tcW w:w="2806" w:type="dxa"/>
          </w:tcPr>
          <w:p w:rsidR="00AE25F1" w:rsidRPr="00AE25F1" w:rsidRDefault="00AE25F1" w:rsidP="00B90E31">
            <w:pPr>
              <w:pStyle w:val="Tabletext"/>
              <w:rPr>
                <w:rFonts w:ascii="Arial Narrow" w:hAnsi="Arial Narrow"/>
                <w:b/>
              </w:rPr>
            </w:pPr>
            <w:r w:rsidRPr="00AE25F1">
              <w:rPr>
                <w:rFonts w:ascii="Arial Narrow" w:hAnsi="Arial Narrow"/>
                <w:b/>
              </w:rPr>
              <w:t>Estimate</w:t>
            </w:r>
          </w:p>
        </w:tc>
        <w:tc>
          <w:tcPr>
            <w:tcW w:w="1169" w:type="dxa"/>
          </w:tcPr>
          <w:p w:rsidR="00AE25F1" w:rsidRPr="00AE25F1" w:rsidRDefault="00AE25F1" w:rsidP="00B90E31">
            <w:pPr>
              <w:pStyle w:val="Tabletext"/>
              <w:rPr>
                <w:rFonts w:ascii="Arial Narrow" w:hAnsi="Arial Narrow"/>
                <w:b/>
              </w:rPr>
            </w:pPr>
            <w:r w:rsidRPr="00AE25F1">
              <w:rPr>
                <w:rFonts w:ascii="Arial Narrow" w:hAnsi="Arial Narrow"/>
                <w:b/>
              </w:rPr>
              <w:t>Oxaliplatin</w:t>
            </w:r>
          </w:p>
        </w:tc>
        <w:tc>
          <w:tcPr>
            <w:tcW w:w="1217" w:type="dxa"/>
          </w:tcPr>
          <w:p w:rsidR="00AE25F1" w:rsidRPr="00AE25F1" w:rsidRDefault="00AE25F1" w:rsidP="00B90E31">
            <w:pPr>
              <w:pStyle w:val="Tabletext"/>
              <w:rPr>
                <w:rFonts w:ascii="Arial Narrow" w:hAnsi="Arial Narrow"/>
                <w:b/>
              </w:rPr>
            </w:pPr>
            <w:r w:rsidRPr="00AE25F1">
              <w:rPr>
                <w:rFonts w:ascii="Arial Narrow" w:hAnsi="Arial Narrow"/>
                <w:b/>
              </w:rPr>
              <w:t>Carboplatin</w:t>
            </w:r>
          </w:p>
        </w:tc>
        <w:tc>
          <w:tcPr>
            <w:tcW w:w="1159" w:type="dxa"/>
          </w:tcPr>
          <w:p w:rsidR="00AE25F1" w:rsidRPr="00AE25F1" w:rsidRDefault="00AE25F1" w:rsidP="00B90E31">
            <w:pPr>
              <w:pStyle w:val="Tabletext"/>
              <w:rPr>
                <w:rFonts w:ascii="Arial Narrow" w:hAnsi="Arial Narrow"/>
                <w:b/>
              </w:rPr>
            </w:pPr>
            <w:r w:rsidRPr="00AE25F1">
              <w:rPr>
                <w:rFonts w:ascii="Arial Narrow" w:hAnsi="Arial Narrow"/>
                <w:b/>
              </w:rPr>
              <w:t>Combined</w:t>
            </w:r>
          </w:p>
        </w:tc>
        <w:tc>
          <w:tcPr>
            <w:tcW w:w="1416" w:type="dxa"/>
          </w:tcPr>
          <w:p w:rsidR="00AE25F1" w:rsidRPr="00AE25F1" w:rsidRDefault="00AE25F1" w:rsidP="00B90E31">
            <w:pPr>
              <w:pStyle w:val="Tabletext"/>
              <w:rPr>
                <w:rFonts w:ascii="Arial Narrow" w:hAnsi="Arial Narrow"/>
                <w:b/>
              </w:rPr>
            </w:pPr>
            <w:r w:rsidRPr="00AE25F1">
              <w:rPr>
                <w:rFonts w:ascii="Arial Narrow" w:hAnsi="Arial Narrow"/>
                <w:b/>
              </w:rPr>
              <w:t>Source</w:t>
            </w:r>
          </w:p>
        </w:tc>
      </w:tr>
      <w:tr w:rsidR="00AE25F1" w:rsidRPr="004B6659" w:rsidTr="00AE25F1">
        <w:tc>
          <w:tcPr>
            <w:tcW w:w="596" w:type="dxa"/>
          </w:tcPr>
          <w:p w:rsidR="00AE25F1" w:rsidRPr="00AE25F1" w:rsidRDefault="00AE25F1" w:rsidP="00B90E31">
            <w:pPr>
              <w:pStyle w:val="Tabletext"/>
              <w:rPr>
                <w:rFonts w:ascii="Arial Narrow" w:hAnsi="Arial Narrow"/>
              </w:rPr>
            </w:pPr>
            <w:r w:rsidRPr="00AE25F1">
              <w:rPr>
                <w:rFonts w:ascii="Arial Narrow" w:hAnsi="Arial Narrow"/>
              </w:rPr>
              <w:t>A</w:t>
            </w:r>
          </w:p>
        </w:tc>
        <w:tc>
          <w:tcPr>
            <w:tcW w:w="2806" w:type="dxa"/>
          </w:tcPr>
          <w:p w:rsidR="00AE25F1" w:rsidRPr="00AE25F1" w:rsidRDefault="00AE25F1" w:rsidP="00B90E31">
            <w:pPr>
              <w:pStyle w:val="Tabletext"/>
              <w:rPr>
                <w:rFonts w:ascii="Arial Narrow" w:hAnsi="Arial Narrow"/>
              </w:rPr>
            </w:pPr>
            <w:r w:rsidRPr="00AE25F1">
              <w:rPr>
                <w:rFonts w:ascii="Arial Narrow" w:hAnsi="Arial Narrow"/>
              </w:rPr>
              <w:t>Total chemotherapy journeys</w:t>
            </w:r>
          </w:p>
        </w:tc>
        <w:tc>
          <w:tcPr>
            <w:tcW w:w="1169" w:type="dxa"/>
          </w:tcPr>
          <w:p w:rsidR="00AE25F1" w:rsidRPr="00AE25F1" w:rsidRDefault="00AE25F1" w:rsidP="00B90E31">
            <w:pPr>
              <w:pStyle w:val="Tabletext"/>
              <w:rPr>
                <w:rFonts w:ascii="Arial Narrow" w:hAnsi="Arial Narrow"/>
              </w:rPr>
            </w:pPr>
            <w:r w:rsidRPr="00AE25F1">
              <w:rPr>
                <w:rFonts w:ascii="Arial Narrow" w:hAnsi="Arial Narrow"/>
              </w:rPr>
              <w:t>9,530</w:t>
            </w:r>
          </w:p>
        </w:tc>
        <w:tc>
          <w:tcPr>
            <w:tcW w:w="1217" w:type="dxa"/>
          </w:tcPr>
          <w:p w:rsidR="00AE25F1" w:rsidRPr="00AE25F1" w:rsidRDefault="00AE25F1" w:rsidP="00B90E31">
            <w:pPr>
              <w:pStyle w:val="Tabletext"/>
              <w:rPr>
                <w:rFonts w:ascii="Arial Narrow" w:hAnsi="Arial Narrow"/>
              </w:rPr>
            </w:pPr>
            <w:r w:rsidRPr="00AE25F1">
              <w:rPr>
                <w:rFonts w:ascii="Arial Narrow" w:hAnsi="Arial Narrow"/>
              </w:rPr>
              <w:t>3,950</w:t>
            </w:r>
          </w:p>
        </w:tc>
        <w:tc>
          <w:tcPr>
            <w:tcW w:w="1159" w:type="dxa"/>
          </w:tcPr>
          <w:p w:rsidR="00AE25F1" w:rsidRPr="00AE25F1" w:rsidRDefault="00AE25F1" w:rsidP="00B90E31">
            <w:pPr>
              <w:pStyle w:val="Tabletext"/>
              <w:rPr>
                <w:rFonts w:ascii="Arial Narrow" w:hAnsi="Arial Narrow"/>
              </w:rPr>
            </w:pPr>
            <w:r w:rsidRPr="00AE25F1">
              <w:rPr>
                <w:rFonts w:ascii="Arial Narrow" w:hAnsi="Arial Narrow"/>
              </w:rPr>
              <w:t>13,480</w:t>
            </w:r>
          </w:p>
        </w:tc>
        <w:tc>
          <w:tcPr>
            <w:tcW w:w="1416" w:type="dxa"/>
            <w:vMerge w:val="restart"/>
          </w:tcPr>
          <w:p w:rsidR="00AE25F1" w:rsidRPr="00AE25F1" w:rsidRDefault="00AE25F1" w:rsidP="00B90E31">
            <w:pPr>
              <w:pStyle w:val="Tabletext"/>
              <w:rPr>
                <w:rFonts w:ascii="Arial Narrow" w:hAnsi="Arial Narrow"/>
              </w:rPr>
            </w:pPr>
            <w:r w:rsidRPr="00AE25F1">
              <w:rPr>
                <w:rFonts w:ascii="Arial Narrow" w:hAnsi="Arial Narrow"/>
              </w:rPr>
              <w:t>10% sample of PBS data (provided in Section E of the submission)</w:t>
            </w:r>
          </w:p>
        </w:tc>
      </w:tr>
      <w:tr w:rsidR="00AE25F1" w:rsidRPr="004B6659" w:rsidTr="00AE25F1">
        <w:tc>
          <w:tcPr>
            <w:tcW w:w="596" w:type="dxa"/>
          </w:tcPr>
          <w:p w:rsidR="00AE25F1" w:rsidRPr="00AE25F1" w:rsidRDefault="00AE25F1" w:rsidP="00B90E31">
            <w:pPr>
              <w:pStyle w:val="Tabletext"/>
              <w:rPr>
                <w:rFonts w:ascii="Arial Narrow" w:hAnsi="Arial Narrow"/>
              </w:rPr>
            </w:pPr>
            <w:r w:rsidRPr="00AE25F1">
              <w:rPr>
                <w:rFonts w:ascii="Arial Narrow" w:hAnsi="Arial Narrow"/>
              </w:rPr>
              <w:t>B</w:t>
            </w:r>
          </w:p>
        </w:tc>
        <w:tc>
          <w:tcPr>
            <w:tcW w:w="2806" w:type="dxa"/>
          </w:tcPr>
          <w:p w:rsidR="00AE25F1" w:rsidRPr="00AE25F1" w:rsidRDefault="00AE25F1" w:rsidP="00B90E31">
            <w:pPr>
              <w:pStyle w:val="Tabletext"/>
              <w:rPr>
                <w:rFonts w:ascii="Arial Narrow" w:hAnsi="Arial Narrow"/>
              </w:rPr>
            </w:pPr>
            <w:r w:rsidRPr="00AE25F1">
              <w:rPr>
                <w:rFonts w:ascii="Arial Narrow" w:hAnsi="Arial Narrow"/>
              </w:rPr>
              <w:t>Aprepitant initiated after 1 chemotherapy cycle</w:t>
            </w:r>
          </w:p>
        </w:tc>
        <w:tc>
          <w:tcPr>
            <w:tcW w:w="1169" w:type="dxa"/>
          </w:tcPr>
          <w:p w:rsidR="00AE25F1" w:rsidRPr="00AE25F1" w:rsidRDefault="00AE25F1" w:rsidP="00B90E31">
            <w:pPr>
              <w:pStyle w:val="Tabletext"/>
              <w:rPr>
                <w:rFonts w:ascii="Arial Narrow" w:hAnsi="Arial Narrow"/>
              </w:rPr>
            </w:pPr>
            <w:r w:rsidRPr="00AE25F1">
              <w:rPr>
                <w:rFonts w:ascii="Arial Narrow" w:hAnsi="Arial Narrow"/>
              </w:rPr>
              <w:t>750</w:t>
            </w:r>
          </w:p>
        </w:tc>
        <w:tc>
          <w:tcPr>
            <w:tcW w:w="1217" w:type="dxa"/>
          </w:tcPr>
          <w:p w:rsidR="00AE25F1" w:rsidRPr="00AE25F1" w:rsidRDefault="00AE25F1" w:rsidP="00B90E31">
            <w:pPr>
              <w:pStyle w:val="Tabletext"/>
              <w:rPr>
                <w:rFonts w:ascii="Arial Narrow" w:hAnsi="Arial Narrow"/>
              </w:rPr>
            </w:pPr>
            <w:r w:rsidRPr="00AE25F1">
              <w:rPr>
                <w:rFonts w:ascii="Arial Narrow" w:hAnsi="Arial Narrow"/>
              </w:rPr>
              <w:t>260</w:t>
            </w:r>
          </w:p>
        </w:tc>
        <w:tc>
          <w:tcPr>
            <w:tcW w:w="1159" w:type="dxa"/>
          </w:tcPr>
          <w:p w:rsidR="00AE25F1" w:rsidRPr="00AE25F1" w:rsidRDefault="00AE25F1" w:rsidP="00B90E31">
            <w:pPr>
              <w:pStyle w:val="Tabletext"/>
              <w:rPr>
                <w:rFonts w:ascii="Arial Narrow" w:hAnsi="Arial Narrow"/>
              </w:rPr>
            </w:pPr>
            <w:r w:rsidRPr="00AE25F1">
              <w:rPr>
                <w:rFonts w:ascii="Arial Narrow" w:hAnsi="Arial Narrow"/>
              </w:rPr>
              <w:t>1,010</w:t>
            </w:r>
          </w:p>
        </w:tc>
        <w:tc>
          <w:tcPr>
            <w:tcW w:w="1416" w:type="dxa"/>
            <w:vMerge/>
          </w:tcPr>
          <w:p w:rsidR="00AE25F1" w:rsidRPr="00AE25F1" w:rsidRDefault="00AE25F1" w:rsidP="00B90E31">
            <w:pPr>
              <w:pStyle w:val="Tabletext"/>
              <w:rPr>
                <w:rFonts w:ascii="Arial Narrow" w:hAnsi="Arial Narrow"/>
              </w:rPr>
            </w:pPr>
          </w:p>
        </w:tc>
      </w:tr>
      <w:tr w:rsidR="00AE25F1" w:rsidRPr="004B6659" w:rsidTr="00AE25F1">
        <w:tc>
          <w:tcPr>
            <w:tcW w:w="596" w:type="dxa"/>
          </w:tcPr>
          <w:p w:rsidR="00AE25F1" w:rsidRPr="00AE25F1" w:rsidRDefault="00AE25F1" w:rsidP="00B90E31">
            <w:pPr>
              <w:pStyle w:val="Tabletext"/>
              <w:rPr>
                <w:rFonts w:ascii="Arial Narrow" w:hAnsi="Arial Narrow"/>
              </w:rPr>
            </w:pPr>
            <w:r w:rsidRPr="00AE25F1">
              <w:rPr>
                <w:rFonts w:ascii="Arial Narrow" w:hAnsi="Arial Narrow"/>
              </w:rPr>
              <w:t>C</w:t>
            </w:r>
          </w:p>
        </w:tc>
        <w:tc>
          <w:tcPr>
            <w:tcW w:w="2806" w:type="dxa"/>
          </w:tcPr>
          <w:p w:rsidR="00AE25F1" w:rsidRPr="00AE25F1" w:rsidRDefault="00AE25F1" w:rsidP="00B90E31">
            <w:pPr>
              <w:pStyle w:val="Tabletext"/>
              <w:rPr>
                <w:rFonts w:ascii="Arial Narrow" w:hAnsi="Arial Narrow"/>
              </w:rPr>
            </w:pPr>
            <w:r w:rsidRPr="00AE25F1">
              <w:rPr>
                <w:rFonts w:ascii="Arial Narrow" w:hAnsi="Arial Narrow"/>
              </w:rPr>
              <w:t>Proportion of patients prescribed aprepitant after one chemotherapy cycle</w:t>
            </w:r>
          </w:p>
        </w:tc>
        <w:tc>
          <w:tcPr>
            <w:tcW w:w="1169" w:type="dxa"/>
          </w:tcPr>
          <w:p w:rsidR="00AE25F1" w:rsidRPr="00AE25F1" w:rsidRDefault="00AE25F1" w:rsidP="00B90E31">
            <w:pPr>
              <w:pStyle w:val="Tabletext"/>
              <w:rPr>
                <w:rFonts w:ascii="Arial Narrow" w:hAnsi="Arial Narrow"/>
              </w:rPr>
            </w:pPr>
            <w:r w:rsidRPr="00AE25F1">
              <w:rPr>
                <w:rFonts w:ascii="Arial Narrow" w:hAnsi="Arial Narrow"/>
              </w:rPr>
              <w:t>7.9%</w:t>
            </w:r>
          </w:p>
        </w:tc>
        <w:tc>
          <w:tcPr>
            <w:tcW w:w="1217" w:type="dxa"/>
          </w:tcPr>
          <w:p w:rsidR="00AE25F1" w:rsidRPr="00AE25F1" w:rsidRDefault="00AE25F1" w:rsidP="00B90E31">
            <w:pPr>
              <w:pStyle w:val="Tabletext"/>
              <w:rPr>
                <w:rFonts w:ascii="Arial Narrow" w:hAnsi="Arial Narrow"/>
              </w:rPr>
            </w:pPr>
            <w:r w:rsidRPr="00AE25F1">
              <w:rPr>
                <w:rFonts w:ascii="Arial Narrow" w:hAnsi="Arial Narrow"/>
              </w:rPr>
              <w:t>6.6%</w:t>
            </w:r>
          </w:p>
        </w:tc>
        <w:tc>
          <w:tcPr>
            <w:tcW w:w="1159" w:type="dxa"/>
          </w:tcPr>
          <w:p w:rsidR="00AE25F1" w:rsidRPr="00AE25F1" w:rsidRDefault="00AE25F1" w:rsidP="00B90E31">
            <w:pPr>
              <w:pStyle w:val="Tabletext"/>
              <w:rPr>
                <w:rFonts w:ascii="Arial Narrow" w:hAnsi="Arial Narrow"/>
              </w:rPr>
            </w:pPr>
            <w:r w:rsidRPr="00AE25F1">
              <w:rPr>
                <w:rFonts w:ascii="Arial Narrow" w:hAnsi="Arial Narrow"/>
              </w:rPr>
              <w:t>7.5%</w:t>
            </w:r>
          </w:p>
        </w:tc>
        <w:tc>
          <w:tcPr>
            <w:tcW w:w="1416" w:type="dxa"/>
            <w:vMerge/>
          </w:tcPr>
          <w:p w:rsidR="00AE25F1" w:rsidRPr="00AE25F1" w:rsidRDefault="00AE25F1" w:rsidP="00B90E31">
            <w:pPr>
              <w:pStyle w:val="Tabletext"/>
              <w:rPr>
                <w:rFonts w:ascii="Arial Narrow" w:hAnsi="Arial Narrow"/>
              </w:rPr>
            </w:pPr>
          </w:p>
        </w:tc>
      </w:tr>
      <w:tr w:rsidR="00AE25F1" w:rsidRPr="004B6659" w:rsidTr="00AE25F1">
        <w:tc>
          <w:tcPr>
            <w:tcW w:w="596" w:type="dxa"/>
          </w:tcPr>
          <w:p w:rsidR="00AE25F1" w:rsidRPr="00AE25F1" w:rsidRDefault="00AE25F1" w:rsidP="00B90E31">
            <w:pPr>
              <w:pStyle w:val="Tabletext"/>
              <w:rPr>
                <w:rFonts w:ascii="Arial Narrow" w:hAnsi="Arial Narrow"/>
              </w:rPr>
            </w:pPr>
            <w:r w:rsidRPr="00AE25F1">
              <w:rPr>
                <w:rFonts w:ascii="Arial Narrow" w:hAnsi="Arial Narrow"/>
              </w:rPr>
              <w:t>D</w:t>
            </w:r>
          </w:p>
        </w:tc>
        <w:tc>
          <w:tcPr>
            <w:tcW w:w="2806" w:type="dxa"/>
          </w:tcPr>
          <w:p w:rsidR="00AE25F1" w:rsidRPr="00AE25F1" w:rsidRDefault="00AE25F1" w:rsidP="00B90E31">
            <w:pPr>
              <w:pStyle w:val="Tabletext"/>
              <w:rPr>
                <w:rFonts w:ascii="Arial Narrow" w:hAnsi="Arial Narrow"/>
              </w:rPr>
            </w:pPr>
            <w:r w:rsidRPr="00AE25F1">
              <w:rPr>
                <w:rFonts w:ascii="Arial Narrow" w:hAnsi="Arial Narrow"/>
              </w:rPr>
              <w:t>Estimated proportion of patients experiencing CINV following one cycle of chemotherapy</w:t>
            </w:r>
          </w:p>
        </w:tc>
        <w:tc>
          <w:tcPr>
            <w:tcW w:w="1169" w:type="dxa"/>
          </w:tcPr>
          <w:p w:rsidR="00AE25F1" w:rsidRPr="00AE25F1" w:rsidRDefault="00AE25F1" w:rsidP="00B90E31">
            <w:pPr>
              <w:pStyle w:val="Tabletext"/>
              <w:rPr>
                <w:rFonts w:ascii="Arial Narrow" w:hAnsi="Arial Narrow"/>
              </w:rPr>
            </w:pPr>
            <w:r w:rsidRPr="00AE25F1">
              <w:rPr>
                <w:rFonts w:ascii="Arial Narrow" w:hAnsi="Arial Narrow"/>
              </w:rPr>
              <w:t>36.3%</w:t>
            </w:r>
          </w:p>
        </w:tc>
        <w:tc>
          <w:tcPr>
            <w:tcW w:w="1217" w:type="dxa"/>
          </w:tcPr>
          <w:p w:rsidR="00AE25F1" w:rsidRPr="00AE25F1" w:rsidRDefault="00AE25F1" w:rsidP="00B90E31">
            <w:pPr>
              <w:pStyle w:val="Tabletext"/>
              <w:rPr>
                <w:rFonts w:ascii="Arial Narrow" w:hAnsi="Arial Narrow"/>
              </w:rPr>
            </w:pPr>
            <w:r w:rsidRPr="00AE25F1">
              <w:rPr>
                <w:rFonts w:ascii="Arial Narrow" w:hAnsi="Arial Narrow"/>
              </w:rPr>
              <w:t>36.3%</w:t>
            </w:r>
          </w:p>
        </w:tc>
        <w:tc>
          <w:tcPr>
            <w:tcW w:w="1159" w:type="dxa"/>
          </w:tcPr>
          <w:p w:rsidR="00AE25F1" w:rsidRPr="00AE25F1" w:rsidRDefault="00AE25F1" w:rsidP="00B90E31">
            <w:pPr>
              <w:pStyle w:val="Tabletext"/>
              <w:rPr>
                <w:rFonts w:ascii="Arial Narrow" w:hAnsi="Arial Narrow"/>
              </w:rPr>
            </w:pPr>
            <w:r w:rsidRPr="00AE25F1">
              <w:rPr>
                <w:rFonts w:ascii="Arial Narrow" w:hAnsi="Arial Narrow"/>
              </w:rPr>
              <w:t>36.3%</w:t>
            </w:r>
          </w:p>
        </w:tc>
        <w:tc>
          <w:tcPr>
            <w:tcW w:w="1416" w:type="dxa"/>
          </w:tcPr>
          <w:p w:rsidR="00AE25F1" w:rsidRPr="00AE25F1" w:rsidRDefault="00AE25F1" w:rsidP="00B90E31">
            <w:pPr>
              <w:pStyle w:val="Tabletext"/>
              <w:rPr>
                <w:rFonts w:ascii="Arial Narrow" w:hAnsi="Arial Narrow"/>
              </w:rPr>
            </w:pPr>
            <w:r w:rsidRPr="00AE25F1">
              <w:rPr>
                <w:rFonts w:ascii="Arial Narrow" w:hAnsi="Arial Narrow"/>
              </w:rPr>
              <w:t>Table C.4.2 of commentary (6.02.COM.38)</w:t>
            </w:r>
          </w:p>
        </w:tc>
      </w:tr>
      <w:tr w:rsidR="00AE25F1" w:rsidRPr="004B6659" w:rsidTr="00AE25F1">
        <w:tc>
          <w:tcPr>
            <w:tcW w:w="596" w:type="dxa"/>
          </w:tcPr>
          <w:p w:rsidR="00AE25F1" w:rsidRPr="00AE25F1" w:rsidRDefault="00AE25F1" w:rsidP="00B90E31">
            <w:pPr>
              <w:pStyle w:val="Tabletext"/>
              <w:rPr>
                <w:rFonts w:ascii="Arial Narrow" w:hAnsi="Arial Narrow"/>
              </w:rPr>
            </w:pPr>
            <w:r w:rsidRPr="00AE25F1">
              <w:rPr>
                <w:rFonts w:ascii="Arial Narrow" w:hAnsi="Arial Narrow"/>
              </w:rPr>
              <w:t>E</w:t>
            </w:r>
          </w:p>
        </w:tc>
        <w:tc>
          <w:tcPr>
            <w:tcW w:w="2806" w:type="dxa"/>
          </w:tcPr>
          <w:p w:rsidR="00AE25F1" w:rsidRPr="00AE25F1" w:rsidRDefault="00AE25F1" w:rsidP="00B90E31">
            <w:pPr>
              <w:pStyle w:val="Tabletext"/>
              <w:rPr>
                <w:rFonts w:ascii="Arial Narrow" w:hAnsi="Arial Narrow"/>
              </w:rPr>
            </w:pPr>
            <w:r w:rsidRPr="00AE25F1">
              <w:rPr>
                <w:rFonts w:ascii="Arial Narrow" w:hAnsi="Arial Narrow"/>
              </w:rPr>
              <w:t>Proportion of eligible patients treated with aprepitant</w:t>
            </w:r>
          </w:p>
        </w:tc>
        <w:tc>
          <w:tcPr>
            <w:tcW w:w="1169" w:type="dxa"/>
          </w:tcPr>
          <w:p w:rsidR="00AE25F1" w:rsidRPr="00AE25F1" w:rsidRDefault="00AE25F1" w:rsidP="00B90E31">
            <w:pPr>
              <w:pStyle w:val="Tabletext"/>
              <w:rPr>
                <w:rFonts w:ascii="Arial Narrow" w:hAnsi="Arial Narrow"/>
              </w:rPr>
            </w:pPr>
            <w:r w:rsidRPr="00AE25F1">
              <w:rPr>
                <w:rFonts w:ascii="Arial Narrow" w:hAnsi="Arial Narrow"/>
              </w:rPr>
              <w:t>21.7%</w:t>
            </w:r>
          </w:p>
        </w:tc>
        <w:tc>
          <w:tcPr>
            <w:tcW w:w="1217" w:type="dxa"/>
          </w:tcPr>
          <w:p w:rsidR="00AE25F1" w:rsidRPr="00AE25F1" w:rsidRDefault="00AE25F1" w:rsidP="00B90E31">
            <w:pPr>
              <w:pStyle w:val="Tabletext"/>
              <w:rPr>
                <w:rFonts w:ascii="Arial Narrow" w:hAnsi="Arial Narrow"/>
              </w:rPr>
            </w:pPr>
            <w:r w:rsidRPr="00AE25F1">
              <w:rPr>
                <w:rFonts w:ascii="Arial Narrow" w:hAnsi="Arial Narrow"/>
              </w:rPr>
              <w:t>18.1%</w:t>
            </w:r>
          </w:p>
        </w:tc>
        <w:tc>
          <w:tcPr>
            <w:tcW w:w="1159" w:type="dxa"/>
          </w:tcPr>
          <w:p w:rsidR="00AE25F1" w:rsidRPr="00AE25F1" w:rsidRDefault="00AE25F1" w:rsidP="00B90E31">
            <w:pPr>
              <w:pStyle w:val="Tabletext"/>
              <w:rPr>
                <w:rFonts w:ascii="Arial Narrow" w:hAnsi="Arial Narrow"/>
              </w:rPr>
            </w:pPr>
            <w:r w:rsidRPr="00AE25F1">
              <w:rPr>
                <w:rFonts w:ascii="Arial Narrow" w:hAnsi="Arial Narrow"/>
              </w:rPr>
              <w:t>20.6%</w:t>
            </w:r>
          </w:p>
        </w:tc>
        <w:tc>
          <w:tcPr>
            <w:tcW w:w="1416" w:type="dxa"/>
          </w:tcPr>
          <w:p w:rsidR="00AE25F1" w:rsidRPr="00AE25F1" w:rsidRDefault="00AE25F1" w:rsidP="00B90E31">
            <w:pPr>
              <w:pStyle w:val="Tabletext"/>
              <w:rPr>
                <w:rFonts w:ascii="Arial Narrow" w:hAnsi="Arial Narrow"/>
              </w:rPr>
            </w:pPr>
            <w:r w:rsidRPr="00AE25F1">
              <w:rPr>
                <w:rFonts w:ascii="Arial Narrow" w:hAnsi="Arial Narrow"/>
              </w:rPr>
              <w:t>C / D</w:t>
            </w:r>
          </w:p>
        </w:tc>
      </w:tr>
    </w:tbl>
    <w:p w:rsidR="00AE25F1" w:rsidRPr="00AE25F1" w:rsidRDefault="00AE25F1" w:rsidP="003F4A75">
      <w:pPr>
        <w:pStyle w:val="TableFooter"/>
        <w:rPr>
          <w:b/>
        </w:rPr>
      </w:pPr>
      <w:r w:rsidRPr="00AE25F1">
        <w:lastRenderedPageBreak/>
        <w:tab/>
        <w:t>Source: PSCR, Table 1 p.4</w:t>
      </w:r>
    </w:p>
    <w:p w:rsidR="008C1F4F" w:rsidRDefault="008C1F4F" w:rsidP="00B773B0">
      <w:pPr>
        <w:widowControl/>
        <w:rPr>
          <w:szCs w:val="22"/>
        </w:rPr>
      </w:pPr>
    </w:p>
    <w:p w:rsidR="008C1F4F" w:rsidRDefault="008C1F4F" w:rsidP="00B773B0">
      <w:pPr>
        <w:pStyle w:val="ListParagraph"/>
        <w:ind w:left="709"/>
        <w:rPr>
          <w:i/>
          <w:szCs w:val="22"/>
        </w:rPr>
      </w:pPr>
      <w:r w:rsidRPr="00B773B0">
        <w:rPr>
          <w:i/>
          <w:szCs w:val="22"/>
        </w:rPr>
        <w:t>For more detail on PBAC’s view, see section 7 “PBAC outcome”</w:t>
      </w:r>
    </w:p>
    <w:p w:rsidR="008C1F4F" w:rsidRDefault="008C1F4F" w:rsidP="00B773B0">
      <w:pPr>
        <w:widowControl/>
        <w:rPr>
          <w:szCs w:val="22"/>
        </w:rPr>
      </w:pPr>
    </w:p>
    <w:p w:rsidR="008C1F4F" w:rsidRPr="00455B7C" w:rsidRDefault="008C1F4F" w:rsidP="003F4A75">
      <w:pPr>
        <w:pStyle w:val="PBACHeading1"/>
      </w:pPr>
      <w:r w:rsidRPr="00455B7C">
        <w:t>PBAC Outcome</w:t>
      </w:r>
    </w:p>
    <w:p w:rsidR="008C1F4F" w:rsidRPr="00A96B81" w:rsidRDefault="008C1F4F" w:rsidP="00B773B0">
      <w:pPr>
        <w:contextualSpacing/>
        <w:rPr>
          <w:bCs/>
          <w:szCs w:val="22"/>
          <w:lang w:val="en-GB"/>
        </w:rPr>
      </w:pPr>
    </w:p>
    <w:p w:rsidR="00883EE9" w:rsidRPr="00A558BC" w:rsidRDefault="00A96B81" w:rsidP="00C66229">
      <w:pPr>
        <w:numPr>
          <w:ilvl w:val="1"/>
          <w:numId w:val="3"/>
        </w:numPr>
        <w:contextualSpacing/>
        <w:rPr>
          <w:szCs w:val="22"/>
          <w:lang w:val="en-GB"/>
        </w:rPr>
      </w:pPr>
      <w:r w:rsidRPr="00883EE9">
        <w:rPr>
          <w:bCs/>
          <w:szCs w:val="22"/>
          <w:lang w:val="en-GB"/>
        </w:rPr>
        <w:t>The PBAC</w:t>
      </w:r>
      <w:r w:rsidR="00883EE9" w:rsidRPr="00883EE9">
        <w:rPr>
          <w:bCs/>
          <w:szCs w:val="22"/>
          <w:lang w:val="en-GB"/>
        </w:rPr>
        <w:t xml:space="preserve"> </w:t>
      </w:r>
      <w:r w:rsidR="00D97788">
        <w:rPr>
          <w:bCs/>
          <w:szCs w:val="22"/>
          <w:lang w:val="en-GB"/>
        </w:rPr>
        <w:t>rejected the request</w:t>
      </w:r>
      <w:r w:rsidR="00883EE9">
        <w:rPr>
          <w:bCs/>
          <w:szCs w:val="22"/>
          <w:lang w:val="en-GB"/>
        </w:rPr>
        <w:t xml:space="preserve"> </w:t>
      </w:r>
      <w:r w:rsidR="00D97788">
        <w:rPr>
          <w:bCs/>
          <w:szCs w:val="22"/>
          <w:lang w:val="en-GB"/>
        </w:rPr>
        <w:t xml:space="preserve">to </w:t>
      </w:r>
      <w:r w:rsidR="00A26F80">
        <w:rPr>
          <w:bCs/>
          <w:szCs w:val="22"/>
          <w:lang w:val="en-GB"/>
        </w:rPr>
        <w:t xml:space="preserve">extend the </w:t>
      </w:r>
      <w:r w:rsidR="00D97788">
        <w:rPr>
          <w:bCs/>
          <w:szCs w:val="22"/>
          <w:lang w:val="en-GB"/>
        </w:rPr>
        <w:t xml:space="preserve">PBS </w:t>
      </w:r>
      <w:r w:rsidR="00A26F80">
        <w:rPr>
          <w:bCs/>
          <w:szCs w:val="22"/>
          <w:lang w:val="en-GB"/>
        </w:rPr>
        <w:t xml:space="preserve">listing of aprepitant to include prevention of acute and delayed chemotherapy induced nausea and vomiting </w:t>
      </w:r>
      <w:r w:rsidR="00BE0A1E">
        <w:rPr>
          <w:bCs/>
          <w:szCs w:val="22"/>
          <w:lang w:val="en-GB"/>
        </w:rPr>
        <w:t xml:space="preserve">(CINV) </w:t>
      </w:r>
      <w:r w:rsidR="00A26F80">
        <w:rPr>
          <w:bCs/>
          <w:szCs w:val="22"/>
          <w:lang w:val="en-GB"/>
        </w:rPr>
        <w:t xml:space="preserve">associated with carboplatin </w:t>
      </w:r>
      <w:r w:rsidR="00D97788">
        <w:rPr>
          <w:bCs/>
          <w:szCs w:val="22"/>
          <w:lang w:val="en-GB"/>
        </w:rPr>
        <w:t>and</w:t>
      </w:r>
      <w:r w:rsidR="00A26F80">
        <w:rPr>
          <w:bCs/>
          <w:szCs w:val="22"/>
          <w:lang w:val="en-GB"/>
        </w:rPr>
        <w:t xml:space="preserve"> oxaliplatin based chemotherapy regimens</w:t>
      </w:r>
      <w:r w:rsidR="00D97788">
        <w:rPr>
          <w:bCs/>
          <w:szCs w:val="22"/>
          <w:lang w:val="en-GB"/>
        </w:rPr>
        <w:t>. In making its recommendation, the PBAC considered</w:t>
      </w:r>
      <w:r w:rsidR="007E3F7F">
        <w:rPr>
          <w:bCs/>
          <w:szCs w:val="22"/>
          <w:lang w:val="en-GB"/>
        </w:rPr>
        <w:t xml:space="preserve"> that </w:t>
      </w:r>
      <w:r w:rsidR="00D97788">
        <w:rPr>
          <w:bCs/>
          <w:szCs w:val="22"/>
          <w:lang w:val="en-GB"/>
        </w:rPr>
        <w:t xml:space="preserve">the </w:t>
      </w:r>
      <w:r w:rsidR="00883EE9">
        <w:rPr>
          <w:bCs/>
          <w:szCs w:val="22"/>
          <w:lang w:val="en-GB"/>
        </w:rPr>
        <w:t>cost-effective</w:t>
      </w:r>
      <w:r w:rsidR="007E3F7F">
        <w:rPr>
          <w:bCs/>
          <w:szCs w:val="22"/>
          <w:lang w:val="en-GB"/>
        </w:rPr>
        <w:t>ness</w:t>
      </w:r>
      <w:r w:rsidR="00D97788">
        <w:rPr>
          <w:bCs/>
          <w:szCs w:val="22"/>
          <w:lang w:val="en-GB"/>
        </w:rPr>
        <w:t xml:space="preserve"> of aprepitant</w:t>
      </w:r>
      <w:r w:rsidR="007E3F7F">
        <w:rPr>
          <w:bCs/>
          <w:szCs w:val="22"/>
          <w:lang w:val="en-GB"/>
        </w:rPr>
        <w:t xml:space="preserve"> </w:t>
      </w:r>
      <w:r w:rsidR="00D97788">
        <w:rPr>
          <w:bCs/>
          <w:szCs w:val="22"/>
          <w:lang w:val="en-GB"/>
        </w:rPr>
        <w:t xml:space="preserve">in the proposed population </w:t>
      </w:r>
      <w:r w:rsidR="007E3F7F">
        <w:rPr>
          <w:bCs/>
          <w:szCs w:val="22"/>
          <w:lang w:val="en-GB"/>
        </w:rPr>
        <w:t xml:space="preserve">had not been </w:t>
      </w:r>
      <w:r w:rsidR="00D97788">
        <w:rPr>
          <w:bCs/>
          <w:szCs w:val="22"/>
          <w:lang w:val="en-GB"/>
        </w:rPr>
        <w:t>adequately demonstrated by the submission</w:t>
      </w:r>
      <w:r w:rsidR="00883EE9">
        <w:rPr>
          <w:bCs/>
          <w:szCs w:val="22"/>
          <w:lang w:val="en-GB"/>
        </w:rPr>
        <w:t>.</w:t>
      </w:r>
    </w:p>
    <w:p w:rsidR="00BE0A1E" w:rsidRDefault="00BE0A1E" w:rsidP="00BE0A1E">
      <w:pPr>
        <w:pStyle w:val="ListParagraph"/>
        <w:rPr>
          <w:szCs w:val="22"/>
          <w:lang w:val="en-GB"/>
        </w:rPr>
      </w:pPr>
    </w:p>
    <w:p w:rsidR="00BE0A1E" w:rsidRPr="00A86997" w:rsidRDefault="00BE0A1E" w:rsidP="00C66229">
      <w:pPr>
        <w:pStyle w:val="ListParagraph"/>
        <w:widowControl/>
        <w:numPr>
          <w:ilvl w:val="1"/>
          <w:numId w:val="3"/>
        </w:numPr>
        <w:rPr>
          <w:szCs w:val="22"/>
          <w:lang w:val="en-GB"/>
        </w:rPr>
      </w:pPr>
      <w:r>
        <w:t>The submission nominated s</w:t>
      </w:r>
      <w:r w:rsidRPr="007E7BDC">
        <w:t>tandard treatment, comprisin</w:t>
      </w:r>
      <w:r>
        <w:t xml:space="preserve">g of dexamethasone </w:t>
      </w:r>
      <w:r w:rsidR="00467B1A">
        <w:t>plus</w:t>
      </w:r>
      <w:r>
        <w:t xml:space="preserve"> ondansetron</w:t>
      </w:r>
      <w:r w:rsidR="00467B1A">
        <w:t>,</w:t>
      </w:r>
      <w:r>
        <w:t xml:space="preserve"> as the comparator</w:t>
      </w:r>
      <w:r w:rsidRPr="007E7BDC">
        <w:t xml:space="preserve">. </w:t>
      </w:r>
      <w:r>
        <w:t>However, t</w:t>
      </w:r>
      <w:r w:rsidRPr="00BE0A1E">
        <w:rPr>
          <w:szCs w:val="22"/>
        </w:rPr>
        <w:t>he PBAC considered that the appropriate comparator would be secondary prophylaxis, i.e. aprepitant after experiencing CINV, as this is the therapy that would most likely be replaced.</w:t>
      </w:r>
    </w:p>
    <w:p w:rsidR="00C66229" w:rsidRPr="00C66229" w:rsidRDefault="00C66229" w:rsidP="00C66229">
      <w:pPr>
        <w:pStyle w:val="ListParagraph"/>
        <w:rPr>
          <w:szCs w:val="22"/>
          <w:lang w:val="en-GB"/>
        </w:rPr>
      </w:pPr>
    </w:p>
    <w:p w:rsidR="00AB5CC5" w:rsidRDefault="00C66229" w:rsidP="00154D60">
      <w:pPr>
        <w:pStyle w:val="ListParagraph"/>
        <w:widowControl/>
        <w:numPr>
          <w:ilvl w:val="1"/>
          <w:numId w:val="3"/>
        </w:numPr>
        <w:rPr>
          <w:szCs w:val="22"/>
          <w:lang w:val="en-GB"/>
        </w:rPr>
      </w:pPr>
      <w:r w:rsidRPr="00C66229">
        <w:rPr>
          <w:szCs w:val="22"/>
          <w:lang w:val="en-GB"/>
        </w:rPr>
        <w:t xml:space="preserve">The submission proposed that aprepitant plus standard antiemetic therapy is clinically superior to standard therapy alone. The PBAC agreed that this claim </w:t>
      </w:r>
      <w:r w:rsidR="00C21B02">
        <w:rPr>
          <w:szCs w:val="22"/>
          <w:lang w:val="en-GB"/>
        </w:rPr>
        <w:t xml:space="preserve">may be </w:t>
      </w:r>
      <w:r w:rsidRPr="00C66229">
        <w:rPr>
          <w:szCs w:val="22"/>
          <w:lang w:val="en-GB"/>
        </w:rPr>
        <w:t>reasonable, however considered that the magnitude of the benefit was uncertain in the specific subgroup of patients treated with carboplatin and oxaliplatin based chemotherapy regimens.</w:t>
      </w:r>
    </w:p>
    <w:p w:rsidR="00074391" w:rsidRPr="00074391" w:rsidRDefault="00074391" w:rsidP="00074391">
      <w:pPr>
        <w:widowControl/>
        <w:rPr>
          <w:szCs w:val="22"/>
          <w:lang w:val="en-GB"/>
        </w:rPr>
      </w:pPr>
    </w:p>
    <w:p w:rsidR="00AB5CC5" w:rsidRDefault="008143BD" w:rsidP="00C66229">
      <w:pPr>
        <w:numPr>
          <w:ilvl w:val="1"/>
          <w:numId w:val="3"/>
        </w:numPr>
        <w:contextualSpacing/>
        <w:rPr>
          <w:szCs w:val="22"/>
          <w:lang w:val="en-GB"/>
        </w:rPr>
      </w:pPr>
      <w:r>
        <w:rPr>
          <w:szCs w:val="22"/>
          <w:lang w:val="en-GB"/>
        </w:rPr>
        <w:t>The PBAC noted that the submission did not present</w:t>
      </w:r>
      <w:r w:rsidR="002D0E37">
        <w:rPr>
          <w:szCs w:val="22"/>
          <w:lang w:val="en-GB"/>
        </w:rPr>
        <w:t xml:space="preserve"> an economic evaluation</w:t>
      </w:r>
      <w:r w:rsidR="00107150">
        <w:rPr>
          <w:szCs w:val="22"/>
          <w:lang w:val="en-GB"/>
        </w:rPr>
        <w:t xml:space="preserve"> of aprepitant for the requested indication</w:t>
      </w:r>
      <w:r w:rsidR="002D0E37">
        <w:rPr>
          <w:szCs w:val="22"/>
          <w:lang w:val="en-GB"/>
        </w:rPr>
        <w:t>.</w:t>
      </w:r>
      <w:r w:rsidR="00107150">
        <w:rPr>
          <w:szCs w:val="22"/>
          <w:lang w:val="en-GB"/>
        </w:rPr>
        <w:t xml:space="preserve"> The PBAC considered that in the absence of an economic analysis, </w:t>
      </w:r>
      <w:r w:rsidR="00881A10">
        <w:rPr>
          <w:szCs w:val="22"/>
          <w:lang w:val="en-GB"/>
        </w:rPr>
        <w:t xml:space="preserve">the </w:t>
      </w:r>
      <w:r w:rsidR="00107150">
        <w:rPr>
          <w:szCs w:val="22"/>
          <w:lang w:val="en-GB"/>
        </w:rPr>
        <w:t>cost-effectiveness of aprepitant in the broader population requested</w:t>
      </w:r>
      <w:r w:rsidR="00881A10">
        <w:rPr>
          <w:szCs w:val="22"/>
          <w:lang w:val="en-GB"/>
        </w:rPr>
        <w:t xml:space="preserve"> could not be determined</w:t>
      </w:r>
      <w:r w:rsidR="00107150">
        <w:rPr>
          <w:szCs w:val="22"/>
          <w:lang w:val="en-GB"/>
        </w:rPr>
        <w:t xml:space="preserve">. </w:t>
      </w:r>
      <w:r w:rsidR="002D0E37">
        <w:rPr>
          <w:szCs w:val="22"/>
          <w:lang w:val="en-GB"/>
        </w:rPr>
        <w:t xml:space="preserve"> </w:t>
      </w:r>
    </w:p>
    <w:p w:rsidR="00881D2A" w:rsidRPr="00C66229" w:rsidRDefault="00881D2A" w:rsidP="00881D2A">
      <w:pPr>
        <w:ind w:left="720"/>
        <w:rPr>
          <w:szCs w:val="22"/>
          <w:lang w:val="en-GB"/>
        </w:rPr>
      </w:pPr>
    </w:p>
    <w:p w:rsidR="00881D2A" w:rsidRDefault="00881D2A" w:rsidP="00881D2A">
      <w:pPr>
        <w:pStyle w:val="ListParagraph"/>
        <w:widowControl/>
        <w:numPr>
          <w:ilvl w:val="1"/>
          <w:numId w:val="3"/>
        </w:numPr>
        <w:rPr>
          <w:szCs w:val="22"/>
          <w:lang w:val="en-GB"/>
        </w:rPr>
      </w:pPr>
      <w:r>
        <w:rPr>
          <w:szCs w:val="22"/>
          <w:lang w:val="en-GB"/>
        </w:rPr>
        <w:t xml:space="preserve">The submission claimed that since the PBAC had previously determined aprepitant to be cost-effective for management of CINV associated with cyclophosphamide plus an anthracycline being used to treat breast cancer, aprepitant for the proposed population could be considered at least as cost-effective, as the risk difference for management of CINV in the proposed population is greater than that shown for the cyclophosphamide plus an anthracycline regimen. The PBAC considered that there were several </w:t>
      </w:r>
      <w:r w:rsidR="00C21B02">
        <w:rPr>
          <w:szCs w:val="22"/>
          <w:lang w:val="en-GB"/>
        </w:rPr>
        <w:t>reasons why</w:t>
      </w:r>
      <w:r>
        <w:rPr>
          <w:szCs w:val="22"/>
          <w:lang w:val="en-GB"/>
        </w:rPr>
        <w:t xml:space="preserve"> this claim</w:t>
      </w:r>
      <w:r w:rsidR="00C21B02">
        <w:rPr>
          <w:szCs w:val="22"/>
          <w:lang w:val="en-GB"/>
        </w:rPr>
        <w:t xml:space="preserve"> may not be reasonable</w:t>
      </w:r>
      <w:r>
        <w:rPr>
          <w:szCs w:val="22"/>
          <w:lang w:val="en-GB"/>
        </w:rPr>
        <w:t>, including that the comparator in the previous consideration was placebo, the baseline risk of vomiting or rescue therapy is lower with oxaliplatin and carboplatin based regimens compared to an anthracycline based regimen, and the costs previously considered in the 2006 submission were now outdated.</w:t>
      </w:r>
    </w:p>
    <w:p w:rsidR="001A5694" w:rsidRPr="001A5694" w:rsidRDefault="001A5694" w:rsidP="001A5694">
      <w:pPr>
        <w:widowControl/>
        <w:rPr>
          <w:szCs w:val="22"/>
          <w:lang w:val="en-GB"/>
        </w:rPr>
      </w:pPr>
    </w:p>
    <w:p w:rsidR="001A5694" w:rsidRPr="00883EE9" w:rsidRDefault="001A5694" w:rsidP="001A5694">
      <w:pPr>
        <w:numPr>
          <w:ilvl w:val="1"/>
          <w:numId w:val="3"/>
        </w:numPr>
        <w:contextualSpacing/>
        <w:rPr>
          <w:szCs w:val="22"/>
          <w:lang w:val="en-GB"/>
        </w:rPr>
      </w:pPr>
      <w:r>
        <w:rPr>
          <w:szCs w:val="22"/>
          <w:lang w:val="en-GB"/>
        </w:rPr>
        <w:t>The PBAC considered that the requested listing would make aprepitant available to a substantially broader population of patients and the financial implications of such an extension to listing were uncertain. The PBAC considered that</w:t>
      </w:r>
      <w:r w:rsidR="002325E4">
        <w:rPr>
          <w:szCs w:val="22"/>
          <w:lang w:val="en-GB"/>
        </w:rPr>
        <w:t xml:space="preserve"> if the listing was extended in the future,</w:t>
      </w:r>
      <w:r>
        <w:rPr>
          <w:szCs w:val="22"/>
          <w:lang w:val="en-GB"/>
        </w:rPr>
        <w:t xml:space="preserve"> there should be a risk sharing mechanism to manage for potential use beyond the estimated patient numbers.</w:t>
      </w:r>
    </w:p>
    <w:p w:rsidR="001F0DB7" w:rsidRDefault="001F0DB7" w:rsidP="001F0DB7">
      <w:pPr>
        <w:pStyle w:val="ListParagraph"/>
        <w:rPr>
          <w:szCs w:val="22"/>
          <w:lang w:val="en-GB"/>
        </w:rPr>
      </w:pPr>
    </w:p>
    <w:p w:rsidR="00286E87" w:rsidRPr="001A5694" w:rsidRDefault="001F0DB7" w:rsidP="00286E87">
      <w:pPr>
        <w:numPr>
          <w:ilvl w:val="1"/>
          <w:numId w:val="3"/>
        </w:numPr>
        <w:contextualSpacing/>
        <w:rPr>
          <w:szCs w:val="22"/>
          <w:lang w:val="en-GB"/>
        </w:rPr>
      </w:pPr>
      <w:r>
        <w:rPr>
          <w:szCs w:val="22"/>
          <w:lang w:val="en-GB"/>
        </w:rPr>
        <w:t>The PBAC considered that a pragmatic way forward would be to cost-minimise</w:t>
      </w:r>
      <w:r w:rsidR="00E3502D">
        <w:rPr>
          <w:szCs w:val="22"/>
          <w:lang w:val="en-GB"/>
        </w:rPr>
        <w:t xml:space="preserve"> the price of aprepitant in the proposed population to the </w:t>
      </w:r>
      <w:r>
        <w:rPr>
          <w:szCs w:val="22"/>
          <w:lang w:val="en-GB"/>
        </w:rPr>
        <w:t xml:space="preserve">price of aprepitant </w:t>
      </w:r>
      <w:r w:rsidR="00FE7D11">
        <w:rPr>
          <w:szCs w:val="22"/>
          <w:lang w:val="en-GB"/>
        </w:rPr>
        <w:t xml:space="preserve">when used </w:t>
      </w:r>
      <w:r w:rsidR="007A732F">
        <w:rPr>
          <w:szCs w:val="22"/>
          <w:lang w:val="en-GB"/>
        </w:rPr>
        <w:t>with</w:t>
      </w:r>
      <w:r>
        <w:rPr>
          <w:szCs w:val="22"/>
          <w:lang w:val="en-GB"/>
        </w:rPr>
        <w:t xml:space="preserve"> moderately emetogenic chemotherapy. </w:t>
      </w:r>
      <w:r w:rsidR="0096083D">
        <w:rPr>
          <w:szCs w:val="22"/>
          <w:lang w:val="en-GB"/>
        </w:rPr>
        <w:t>The PBAC considered that if the sponsor wished to pursue a higher price, a major re-submission with a</w:t>
      </w:r>
      <w:r w:rsidR="001A5694">
        <w:rPr>
          <w:szCs w:val="22"/>
          <w:lang w:val="en-GB"/>
        </w:rPr>
        <w:t>n</w:t>
      </w:r>
      <w:r w:rsidR="0096083D">
        <w:rPr>
          <w:szCs w:val="22"/>
          <w:lang w:val="en-GB"/>
        </w:rPr>
        <w:t xml:space="preserve"> </w:t>
      </w:r>
      <w:r w:rsidR="001A5694">
        <w:rPr>
          <w:szCs w:val="22"/>
          <w:lang w:val="en-GB"/>
        </w:rPr>
        <w:t>appropriate</w:t>
      </w:r>
      <w:r w:rsidR="0096083D">
        <w:rPr>
          <w:szCs w:val="22"/>
          <w:lang w:val="en-GB"/>
        </w:rPr>
        <w:t xml:space="preserve"> economic </w:t>
      </w:r>
      <w:r w:rsidR="0096083D">
        <w:rPr>
          <w:szCs w:val="22"/>
          <w:lang w:val="en-GB"/>
        </w:rPr>
        <w:lastRenderedPageBreak/>
        <w:t>evaluation to support a claim of cost-effectiveness would be required.</w:t>
      </w:r>
    </w:p>
    <w:p w:rsidR="008C1F4F" w:rsidRDefault="008C1F4F" w:rsidP="00B773B0">
      <w:pPr>
        <w:rPr>
          <w:bCs/>
          <w:szCs w:val="22"/>
          <w:lang w:val="en-GB"/>
        </w:rPr>
      </w:pPr>
    </w:p>
    <w:p w:rsidR="00730CB4" w:rsidRPr="00730CB4" w:rsidRDefault="00730CB4" w:rsidP="00C66229">
      <w:pPr>
        <w:numPr>
          <w:ilvl w:val="1"/>
          <w:numId w:val="3"/>
        </w:numPr>
        <w:contextualSpacing/>
        <w:rPr>
          <w:bCs/>
          <w:szCs w:val="22"/>
          <w:lang w:val="en-GB"/>
        </w:rPr>
      </w:pPr>
      <w:r w:rsidRPr="00730CB4">
        <w:rPr>
          <w:bCs/>
          <w:szCs w:val="22"/>
          <w:lang w:val="en-GB"/>
        </w:rPr>
        <w:t>The PBAC noted that this submission is eligible for an Independent Review.</w:t>
      </w:r>
    </w:p>
    <w:p w:rsidR="00730CB4" w:rsidRDefault="00730CB4" w:rsidP="00B773B0">
      <w:pPr>
        <w:rPr>
          <w:b/>
          <w:bCs/>
          <w:szCs w:val="22"/>
          <w:lang w:val="en-GB"/>
        </w:rPr>
      </w:pPr>
    </w:p>
    <w:p w:rsidR="008C1F4F" w:rsidRPr="00B773B0" w:rsidRDefault="008C1F4F" w:rsidP="003F4A75">
      <w:pPr>
        <w:pStyle w:val="Heading2"/>
        <w:rPr>
          <w:lang w:val="en-GB"/>
        </w:rPr>
      </w:pPr>
      <w:r w:rsidRPr="00B773B0">
        <w:rPr>
          <w:lang w:val="en-GB"/>
        </w:rPr>
        <w:t>Outcome:</w:t>
      </w:r>
    </w:p>
    <w:p w:rsidR="008C1F4F" w:rsidRDefault="00B773B0" w:rsidP="00344C2D">
      <w:pPr>
        <w:rPr>
          <w:bCs/>
          <w:szCs w:val="22"/>
          <w:lang w:val="en-GB"/>
        </w:rPr>
      </w:pPr>
      <w:r w:rsidRPr="00B773B0">
        <w:rPr>
          <w:bCs/>
          <w:szCs w:val="22"/>
          <w:lang w:val="en-GB"/>
        </w:rPr>
        <w:t>Rejected</w:t>
      </w:r>
    </w:p>
    <w:p w:rsidR="002563BF" w:rsidRDefault="002563BF" w:rsidP="00344C2D">
      <w:pPr>
        <w:rPr>
          <w:bCs/>
          <w:szCs w:val="22"/>
          <w:lang w:val="en-GB"/>
        </w:rPr>
      </w:pPr>
    </w:p>
    <w:p w:rsidR="002563BF" w:rsidRPr="0009229E" w:rsidRDefault="002563BF" w:rsidP="002563BF">
      <w:pPr>
        <w:rPr>
          <w:bCs/>
          <w:szCs w:val="22"/>
        </w:rPr>
      </w:pPr>
    </w:p>
    <w:p w:rsidR="002563BF" w:rsidRDefault="002563BF" w:rsidP="003F4A75">
      <w:pPr>
        <w:pStyle w:val="PBACHeading1"/>
        <w:rPr>
          <w:rFonts w:eastAsia="SimSun"/>
        </w:rPr>
      </w:pPr>
      <w:r>
        <w:rPr>
          <w:rFonts w:eastAsia="SimSun"/>
        </w:rPr>
        <w:t>Context for Decision</w:t>
      </w:r>
    </w:p>
    <w:p w:rsidR="002563BF" w:rsidRDefault="002563BF" w:rsidP="002563BF">
      <w:pPr>
        <w:ind w:left="720"/>
        <w:contextualSpacing/>
        <w:rPr>
          <w:b/>
        </w:rPr>
      </w:pPr>
    </w:p>
    <w:p w:rsidR="002563BF" w:rsidRDefault="002563BF" w:rsidP="002563BF">
      <w:pPr>
        <w:ind w:left="720"/>
        <w:rPr>
          <w:bCs/>
          <w:szCs w:val="22"/>
        </w:rPr>
      </w:pPr>
      <w:r>
        <w:rPr>
          <w:bCs/>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2563BF" w:rsidRDefault="002563BF" w:rsidP="002563BF"/>
    <w:p w:rsidR="002563BF" w:rsidRDefault="002563BF" w:rsidP="003F4A75">
      <w:pPr>
        <w:pStyle w:val="PBACHeading1"/>
        <w:rPr>
          <w:rFonts w:eastAsia="SimSun"/>
        </w:rPr>
      </w:pPr>
      <w:r>
        <w:rPr>
          <w:rFonts w:eastAsia="SimSun"/>
        </w:rPr>
        <w:t>Sponsor’s Comment</w:t>
      </w:r>
    </w:p>
    <w:p w:rsidR="002563BF" w:rsidRDefault="002563BF" w:rsidP="002563BF">
      <w:pPr>
        <w:tabs>
          <w:tab w:val="left" w:pos="2940"/>
        </w:tabs>
        <w:rPr>
          <w:szCs w:val="22"/>
        </w:rPr>
      </w:pPr>
    </w:p>
    <w:p w:rsidR="00896C3F" w:rsidRPr="00344C2D" w:rsidRDefault="00896C3F" w:rsidP="00896C3F">
      <w:pPr>
        <w:ind w:left="720"/>
        <w:rPr>
          <w:bCs/>
          <w:szCs w:val="22"/>
          <w:lang w:val="en-GB"/>
        </w:rPr>
      </w:pPr>
      <w:r>
        <w:rPr>
          <w:bCs/>
          <w:szCs w:val="22"/>
          <w:lang w:val="en-GB"/>
        </w:rPr>
        <w:t xml:space="preserve">MSD will work with the PBAC to ensure that patients receiving carboplatin and oxaliplatin regimens, which are at the upper end of moderately emetogenic chemotherapy, will be able to access aprepitant on the PBS without first having to have an episode of nausea or vomiting.  </w:t>
      </w:r>
    </w:p>
    <w:p w:rsidR="002563BF" w:rsidRPr="00344C2D" w:rsidRDefault="002563BF" w:rsidP="00344C2D">
      <w:pPr>
        <w:rPr>
          <w:bCs/>
          <w:szCs w:val="22"/>
          <w:lang w:val="en-GB"/>
        </w:rPr>
      </w:pPr>
    </w:p>
    <w:sectPr w:rsidR="002563BF" w:rsidRPr="00344C2D" w:rsidSect="007E7BD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9BB" w:rsidRDefault="009E29BB" w:rsidP="00124A51">
      <w:r>
        <w:separator/>
      </w:r>
    </w:p>
  </w:endnote>
  <w:endnote w:type="continuationSeparator" w:id="0">
    <w:p w:rsidR="009E29BB" w:rsidRDefault="009E29BB"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BB" w:rsidRDefault="009E29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6851203"/>
      <w:docPartObj>
        <w:docPartGallery w:val="Page Numbers (Bottom of Page)"/>
        <w:docPartUnique/>
      </w:docPartObj>
    </w:sdtPr>
    <w:sdtEndPr>
      <w:rPr>
        <w:noProof/>
      </w:rPr>
    </w:sdtEndPr>
    <w:sdtContent>
      <w:p w:rsidR="009E29BB" w:rsidRDefault="009E29BB">
        <w:pPr>
          <w:pStyle w:val="Footer"/>
          <w:jc w:val="center"/>
        </w:pPr>
      </w:p>
      <w:p w:rsidR="009E29BB" w:rsidRDefault="009E29BB">
        <w:pPr>
          <w:pStyle w:val="Footer"/>
          <w:jc w:val="center"/>
        </w:pPr>
        <w:r>
          <w:fldChar w:fldCharType="begin"/>
        </w:r>
        <w:r>
          <w:instrText xml:space="preserve"> PAGE   \* MERGEFORMAT </w:instrText>
        </w:r>
        <w:r>
          <w:fldChar w:fldCharType="separate"/>
        </w:r>
        <w:r w:rsidR="003F4A75">
          <w:rPr>
            <w:noProof/>
          </w:rPr>
          <w:t>7</w:t>
        </w:r>
        <w:r>
          <w:rPr>
            <w:noProof/>
          </w:rPr>
          <w:fldChar w:fldCharType="end"/>
        </w:r>
      </w:p>
    </w:sdtContent>
  </w:sdt>
  <w:p w:rsidR="009E29BB" w:rsidRDefault="009E29BB" w:rsidP="0099075C">
    <w:pP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BB" w:rsidRDefault="009E29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9BB" w:rsidRDefault="009E29BB" w:rsidP="00124A51">
      <w:r>
        <w:separator/>
      </w:r>
    </w:p>
  </w:footnote>
  <w:footnote w:type="continuationSeparator" w:id="0">
    <w:p w:rsidR="009E29BB" w:rsidRDefault="009E29BB" w:rsidP="00124A51">
      <w:r>
        <w:continuationSeparator/>
      </w:r>
    </w:p>
  </w:footnote>
  <w:footnote w:id="1">
    <w:p w:rsidR="009E29BB" w:rsidRPr="00B90E31" w:rsidRDefault="009E29BB" w:rsidP="00320392">
      <w:pPr>
        <w:pStyle w:val="FootnoteText"/>
        <w:rPr>
          <w:i/>
          <w:sz w:val="16"/>
          <w:szCs w:val="16"/>
          <w:lang w:val="en-US"/>
        </w:rPr>
      </w:pPr>
      <w:r w:rsidRPr="00B90E31">
        <w:rPr>
          <w:rStyle w:val="FootnoteReference"/>
          <w:i/>
          <w:sz w:val="16"/>
          <w:szCs w:val="16"/>
        </w:rPr>
        <w:footnoteRef/>
      </w:r>
      <w:r w:rsidRPr="00B90E31">
        <w:rPr>
          <w:i/>
          <w:sz w:val="16"/>
          <w:szCs w:val="16"/>
        </w:rPr>
        <w:t xml:space="preserve"> </w:t>
      </w:r>
      <w:r w:rsidRPr="00B90E31">
        <w:rPr>
          <w:sz w:val="16"/>
          <w:szCs w:val="16"/>
          <w:lang w:val="en-US"/>
        </w:rPr>
        <w:t>Not reported in the other trials.</w:t>
      </w:r>
    </w:p>
  </w:footnote>
  <w:footnote w:id="2">
    <w:p w:rsidR="009E29BB" w:rsidRPr="000E4E66" w:rsidRDefault="009E29BB" w:rsidP="00F724F3">
      <w:pPr>
        <w:pStyle w:val="FootnoteText"/>
        <w:rPr>
          <w:sz w:val="16"/>
          <w:szCs w:val="16"/>
          <w:lang w:val="en-US"/>
        </w:rPr>
      </w:pPr>
      <w:r w:rsidRPr="000E4E66">
        <w:rPr>
          <w:rStyle w:val="FootnoteReference"/>
          <w:sz w:val="16"/>
          <w:szCs w:val="16"/>
        </w:rPr>
        <w:footnoteRef/>
      </w:r>
      <w:r w:rsidRPr="000E4E66">
        <w:rPr>
          <w:sz w:val="16"/>
          <w:szCs w:val="16"/>
        </w:rPr>
        <w:t xml:space="preserve"> Using the rates of complete response in the overall phase from the non-anthracycline-containing regimen reduced the odds ratio to 1.65 (95%CI: 1.35, 2.03) (and the risk difference to 0.10 (95%CI: 0.06, 0.14)). Note that the results remain statistically significant.</w:t>
      </w:r>
    </w:p>
  </w:footnote>
  <w:footnote w:id="3">
    <w:p w:rsidR="009E29BB" w:rsidRPr="005E366B" w:rsidRDefault="009E29BB" w:rsidP="00F724F3">
      <w:pPr>
        <w:pStyle w:val="FootnoteText"/>
        <w:rPr>
          <w:sz w:val="16"/>
          <w:szCs w:val="16"/>
          <w:lang w:val="en-US"/>
        </w:rPr>
      </w:pPr>
      <w:r w:rsidRPr="00B30389">
        <w:rPr>
          <w:rStyle w:val="FootnoteReference"/>
          <w:sz w:val="16"/>
          <w:szCs w:val="16"/>
        </w:rPr>
        <w:footnoteRef/>
      </w:r>
      <w:r w:rsidRPr="00B30389">
        <w:rPr>
          <w:sz w:val="16"/>
          <w:szCs w:val="16"/>
        </w:rPr>
        <w:t xml:space="preserve"> </w:t>
      </w:r>
      <w:r w:rsidRPr="005E366B">
        <w:rPr>
          <w:sz w:val="16"/>
          <w:szCs w:val="16"/>
        </w:rPr>
        <w:t>Exclusion of Nishimura 2015 reduces the pooled odds ratio from 1.71 (95%CI: 1.43, 2.05) to 1.60 (95%CI: 1.28, 2.00), although the results remain statistically significant.</w:t>
      </w:r>
    </w:p>
  </w:footnote>
  <w:footnote w:id="4">
    <w:p w:rsidR="009E29BB" w:rsidRPr="00ED5059" w:rsidRDefault="009E29BB" w:rsidP="00F724F3">
      <w:pPr>
        <w:pStyle w:val="FootnoteText"/>
        <w:rPr>
          <w:i/>
          <w:sz w:val="16"/>
          <w:szCs w:val="16"/>
          <w:lang w:val="en-US"/>
        </w:rPr>
      </w:pPr>
      <w:r w:rsidRPr="005E366B">
        <w:rPr>
          <w:rStyle w:val="FootnoteReference"/>
          <w:sz w:val="16"/>
          <w:szCs w:val="16"/>
        </w:rPr>
        <w:footnoteRef/>
      </w:r>
      <w:r w:rsidRPr="005E366B">
        <w:rPr>
          <w:sz w:val="16"/>
          <w:szCs w:val="16"/>
        </w:rPr>
        <w:t xml:space="preserve"> </w:t>
      </w:r>
      <w:r w:rsidRPr="005E366B">
        <w:rPr>
          <w:sz w:val="16"/>
          <w:szCs w:val="16"/>
          <w:lang w:val="en-US"/>
        </w:rPr>
        <w:t xml:space="preserve">In </w:t>
      </w:r>
      <w:r w:rsidRPr="005E366B">
        <w:rPr>
          <w:sz w:val="16"/>
          <w:szCs w:val="16"/>
        </w:rPr>
        <w:t>Nishimura 2015 90.3% and 88.8% of randomised patients in the aprepitant and control group, respectively, were included in the analysis. In Tanioka 2013 95.7% and 97.9% of randomised patients in the aprepitant and control group, respectively, were included in the analysis. In Rapoport 2010 98.8% and 97.4% of randomised patients in the aprepitant and control group, respectively, were included in the analysis.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BB" w:rsidRDefault="009E29B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BB" w:rsidRPr="00DF217D" w:rsidRDefault="009E29BB" w:rsidP="002563BF">
    <w:pPr>
      <w:pStyle w:val="Header"/>
      <w:ind w:left="360"/>
      <w:jc w:val="center"/>
      <w:rPr>
        <w:i/>
        <w:color w:val="808080"/>
      </w:rPr>
    </w:pPr>
    <w:r w:rsidRPr="00E810C7">
      <w:rPr>
        <w:i/>
        <w:color w:val="808080"/>
        <w:szCs w:val="22"/>
      </w:rPr>
      <w:t>Public Summary Document –</w:t>
    </w:r>
    <w:r w:rsidRPr="00DF217D">
      <w:rPr>
        <w:i/>
        <w:color w:val="808080"/>
      </w:rPr>
      <w:t xml:space="preserve"> </w:t>
    </w:r>
    <w:r>
      <w:rPr>
        <w:i/>
        <w:color w:val="808080"/>
      </w:rPr>
      <w:t xml:space="preserve">November 2015 </w:t>
    </w:r>
    <w:r w:rsidRPr="00DF217D">
      <w:rPr>
        <w:i/>
        <w:color w:val="808080"/>
      </w:rPr>
      <w:t>PBAC</w:t>
    </w:r>
    <w:r>
      <w:rPr>
        <w:i/>
        <w:color w:val="808080"/>
      </w:rPr>
      <w:t xml:space="preserve"> </w:t>
    </w:r>
    <w:r w:rsidRPr="00DF217D">
      <w:rPr>
        <w:i/>
        <w:color w:val="808080"/>
      </w:rPr>
      <w:t>Meeting</w:t>
    </w:r>
  </w:p>
  <w:p w:rsidR="009E29BB" w:rsidRDefault="009E29B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29BB" w:rsidRDefault="009E29B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5D4B4C"/>
    <w:multiLevelType w:val="hybridMultilevel"/>
    <w:tmpl w:val="EE0E1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A40690"/>
    <w:multiLevelType w:val="singleLevel"/>
    <w:tmpl w:val="E5988BCE"/>
    <w:lvl w:ilvl="0">
      <w:start w:val="1"/>
      <w:numFmt w:val="bullet"/>
      <w:pStyle w:val="TableBullet"/>
      <w:lvlText w:val=""/>
      <w:lvlJc w:val="left"/>
      <w:pPr>
        <w:tabs>
          <w:tab w:val="num" w:pos="360"/>
        </w:tabs>
        <w:ind w:left="216" w:hanging="216"/>
      </w:pPr>
      <w:rPr>
        <w:rFonts w:ascii="Symbol" w:hAnsi="Symbol" w:cs="Symbol" w:hint="default"/>
        <w:sz w:val="16"/>
        <w:szCs w:val="16"/>
      </w:rPr>
    </w:lvl>
  </w:abstractNum>
  <w:abstractNum w:abstractNumId="3">
    <w:nsid w:val="1F216A8A"/>
    <w:multiLevelType w:val="hybridMultilevel"/>
    <w:tmpl w:val="0B425D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5">
    <w:nsid w:val="2E327DB7"/>
    <w:multiLevelType w:val="hybridMultilevel"/>
    <w:tmpl w:val="B5D653A2"/>
    <w:lvl w:ilvl="0" w:tplc="6238855A">
      <w:start w:val="1"/>
      <w:numFmt w:val="bullet"/>
      <w:pStyle w:val="Body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784D033C"/>
    <w:multiLevelType w:val="multilevel"/>
    <w:tmpl w:val="AF30340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110B"/>
    <w:rsid w:val="00002B51"/>
    <w:rsid w:val="00003499"/>
    <w:rsid w:val="000078ED"/>
    <w:rsid w:val="00010A96"/>
    <w:rsid w:val="00013247"/>
    <w:rsid w:val="00015886"/>
    <w:rsid w:val="000162EF"/>
    <w:rsid w:val="0002225F"/>
    <w:rsid w:val="00023763"/>
    <w:rsid w:val="00040895"/>
    <w:rsid w:val="00043C37"/>
    <w:rsid w:val="000521DC"/>
    <w:rsid w:val="000530B3"/>
    <w:rsid w:val="000546D7"/>
    <w:rsid w:val="000551E1"/>
    <w:rsid w:val="00071248"/>
    <w:rsid w:val="000718C8"/>
    <w:rsid w:val="000720B9"/>
    <w:rsid w:val="00074391"/>
    <w:rsid w:val="00074F33"/>
    <w:rsid w:val="0007751E"/>
    <w:rsid w:val="000812CA"/>
    <w:rsid w:val="00090C7E"/>
    <w:rsid w:val="00092222"/>
    <w:rsid w:val="00094F06"/>
    <w:rsid w:val="000A4744"/>
    <w:rsid w:val="000A711D"/>
    <w:rsid w:val="000B103A"/>
    <w:rsid w:val="000B4232"/>
    <w:rsid w:val="000B6818"/>
    <w:rsid w:val="000C0C7F"/>
    <w:rsid w:val="000C1245"/>
    <w:rsid w:val="000C41C3"/>
    <w:rsid w:val="000D1BFC"/>
    <w:rsid w:val="000D336B"/>
    <w:rsid w:val="000D7A12"/>
    <w:rsid w:val="000E4E66"/>
    <w:rsid w:val="000E66D5"/>
    <w:rsid w:val="000F2E7C"/>
    <w:rsid w:val="000F35E9"/>
    <w:rsid w:val="000F4BB8"/>
    <w:rsid w:val="000F7127"/>
    <w:rsid w:val="00100F8A"/>
    <w:rsid w:val="00104437"/>
    <w:rsid w:val="00107150"/>
    <w:rsid w:val="0011032E"/>
    <w:rsid w:val="0011320F"/>
    <w:rsid w:val="0011348B"/>
    <w:rsid w:val="00121799"/>
    <w:rsid w:val="001222FC"/>
    <w:rsid w:val="00124A51"/>
    <w:rsid w:val="00125B0C"/>
    <w:rsid w:val="00126621"/>
    <w:rsid w:val="00127AB2"/>
    <w:rsid w:val="001301E9"/>
    <w:rsid w:val="00131E31"/>
    <w:rsid w:val="001324EC"/>
    <w:rsid w:val="00135FBF"/>
    <w:rsid w:val="001366F0"/>
    <w:rsid w:val="00137645"/>
    <w:rsid w:val="0014015A"/>
    <w:rsid w:val="00140E99"/>
    <w:rsid w:val="001412E4"/>
    <w:rsid w:val="00145540"/>
    <w:rsid w:val="001456B0"/>
    <w:rsid w:val="00145704"/>
    <w:rsid w:val="00147E9E"/>
    <w:rsid w:val="00154D60"/>
    <w:rsid w:val="00157130"/>
    <w:rsid w:val="00162913"/>
    <w:rsid w:val="00163A47"/>
    <w:rsid w:val="00163EFF"/>
    <w:rsid w:val="001661FB"/>
    <w:rsid w:val="00166354"/>
    <w:rsid w:val="00170C18"/>
    <w:rsid w:val="00172DF6"/>
    <w:rsid w:val="00181C30"/>
    <w:rsid w:val="00185928"/>
    <w:rsid w:val="0018598C"/>
    <w:rsid w:val="0018752F"/>
    <w:rsid w:val="00187A2B"/>
    <w:rsid w:val="00192369"/>
    <w:rsid w:val="0019445D"/>
    <w:rsid w:val="00195222"/>
    <w:rsid w:val="001975D8"/>
    <w:rsid w:val="001A4675"/>
    <w:rsid w:val="001A5694"/>
    <w:rsid w:val="001A71CC"/>
    <w:rsid w:val="001B3443"/>
    <w:rsid w:val="001C13D2"/>
    <w:rsid w:val="001C58AC"/>
    <w:rsid w:val="001C6E66"/>
    <w:rsid w:val="001D6452"/>
    <w:rsid w:val="001D6DA1"/>
    <w:rsid w:val="001E238E"/>
    <w:rsid w:val="001E2B1E"/>
    <w:rsid w:val="001E52EB"/>
    <w:rsid w:val="001E740C"/>
    <w:rsid w:val="001F0DB7"/>
    <w:rsid w:val="001F1235"/>
    <w:rsid w:val="001F1CB3"/>
    <w:rsid w:val="001F5292"/>
    <w:rsid w:val="001F7361"/>
    <w:rsid w:val="0020142F"/>
    <w:rsid w:val="0020385F"/>
    <w:rsid w:val="00207021"/>
    <w:rsid w:val="00207D00"/>
    <w:rsid w:val="002105C1"/>
    <w:rsid w:val="002204BC"/>
    <w:rsid w:val="002219CE"/>
    <w:rsid w:val="00223B49"/>
    <w:rsid w:val="00224DD4"/>
    <w:rsid w:val="002309CC"/>
    <w:rsid w:val="002325E4"/>
    <w:rsid w:val="00236EDB"/>
    <w:rsid w:val="0023778C"/>
    <w:rsid w:val="00240DCD"/>
    <w:rsid w:val="00243515"/>
    <w:rsid w:val="00254DCF"/>
    <w:rsid w:val="0025534B"/>
    <w:rsid w:val="00255BB7"/>
    <w:rsid w:val="002563BF"/>
    <w:rsid w:val="00262572"/>
    <w:rsid w:val="00262A87"/>
    <w:rsid w:val="00266BEB"/>
    <w:rsid w:val="00275C5A"/>
    <w:rsid w:val="00281014"/>
    <w:rsid w:val="00282764"/>
    <w:rsid w:val="00283B8B"/>
    <w:rsid w:val="00285A1C"/>
    <w:rsid w:val="00286E87"/>
    <w:rsid w:val="00295A98"/>
    <w:rsid w:val="002A14AB"/>
    <w:rsid w:val="002A6B68"/>
    <w:rsid w:val="002B1C1F"/>
    <w:rsid w:val="002B432F"/>
    <w:rsid w:val="002B5DDC"/>
    <w:rsid w:val="002B6CCE"/>
    <w:rsid w:val="002C0831"/>
    <w:rsid w:val="002C2775"/>
    <w:rsid w:val="002C27C1"/>
    <w:rsid w:val="002C5041"/>
    <w:rsid w:val="002C76FB"/>
    <w:rsid w:val="002D0E37"/>
    <w:rsid w:val="002D16D9"/>
    <w:rsid w:val="002D235C"/>
    <w:rsid w:val="002D66C1"/>
    <w:rsid w:val="002E458B"/>
    <w:rsid w:val="002F1859"/>
    <w:rsid w:val="002F25D5"/>
    <w:rsid w:val="002F762F"/>
    <w:rsid w:val="002F7967"/>
    <w:rsid w:val="00300255"/>
    <w:rsid w:val="00300F9E"/>
    <w:rsid w:val="00301017"/>
    <w:rsid w:val="003070E3"/>
    <w:rsid w:val="0030786C"/>
    <w:rsid w:val="0031031A"/>
    <w:rsid w:val="00310981"/>
    <w:rsid w:val="00312565"/>
    <w:rsid w:val="00312F3D"/>
    <w:rsid w:val="003143A3"/>
    <w:rsid w:val="00315498"/>
    <w:rsid w:val="00316003"/>
    <w:rsid w:val="00320392"/>
    <w:rsid w:val="00320733"/>
    <w:rsid w:val="00321583"/>
    <w:rsid w:val="0032419C"/>
    <w:rsid w:val="00327155"/>
    <w:rsid w:val="00333C85"/>
    <w:rsid w:val="003366C9"/>
    <w:rsid w:val="00336AFC"/>
    <w:rsid w:val="003371B0"/>
    <w:rsid w:val="0034077A"/>
    <w:rsid w:val="00342F6C"/>
    <w:rsid w:val="00344C2D"/>
    <w:rsid w:val="00345860"/>
    <w:rsid w:val="003469E1"/>
    <w:rsid w:val="003521DF"/>
    <w:rsid w:val="0035620E"/>
    <w:rsid w:val="00356665"/>
    <w:rsid w:val="003579FD"/>
    <w:rsid w:val="0036039F"/>
    <w:rsid w:val="00362554"/>
    <w:rsid w:val="0036351A"/>
    <w:rsid w:val="00364671"/>
    <w:rsid w:val="00366018"/>
    <w:rsid w:val="003769F9"/>
    <w:rsid w:val="0037767C"/>
    <w:rsid w:val="00382064"/>
    <w:rsid w:val="0038365C"/>
    <w:rsid w:val="003876C4"/>
    <w:rsid w:val="003919FA"/>
    <w:rsid w:val="00396FD0"/>
    <w:rsid w:val="003A1A7A"/>
    <w:rsid w:val="003A31FB"/>
    <w:rsid w:val="003C56E8"/>
    <w:rsid w:val="003D002E"/>
    <w:rsid w:val="003D102B"/>
    <w:rsid w:val="003D1828"/>
    <w:rsid w:val="003D2422"/>
    <w:rsid w:val="003D32CD"/>
    <w:rsid w:val="003E02A8"/>
    <w:rsid w:val="003E5CDD"/>
    <w:rsid w:val="003F4156"/>
    <w:rsid w:val="003F4A75"/>
    <w:rsid w:val="003F6C23"/>
    <w:rsid w:val="00405BE5"/>
    <w:rsid w:val="00406DF8"/>
    <w:rsid w:val="0041016C"/>
    <w:rsid w:val="00410708"/>
    <w:rsid w:val="00410EC7"/>
    <w:rsid w:val="00414476"/>
    <w:rsid w:val="00414DC7"/>
    <w:rsid w:val="004162CC"/>
    <w:rsid w:val="00416D63"/>
    <w:rsid w:val="00417D4D"/>
    <w:rsid w:val="00420B9F"/>
    <w:rsid w:val="00420E2E"/>
    <w:rsid w:val="004258A0"/>
    <w:rsid w:val="004319F8"/>
    <w:rsid w:val="00431C7F"/>
    <w:rsid w:val="00433044"/>
    <w:rsid w:val="004443A7"/>
    <w:rsid w:val="004464EB"/>
    <w:rsid w:val="00452BF3"/>
    <w:rsid w:val="00454893"/>
    <w:rsid w:val="00455B7C"/>
    <w:rsid w:val="00455D45"/>
    <w:rsid w:val="0045702D"/>
    <w:rsid w:val="0046018A"/>
    <w:rsid w:val="004604AC"/>
    <w:rsid w:val="004625DC"/>
    <w:rsid w:val="00464595"/>
    <w:rsid w:val="004645FF"/>
    <w:rsid w:val="00467B1A"/>
    <w:rsid w:val="00474854"/>
    <w:rsid w:val="00474A32"/>
    <w:rsid w:val="00485C60"/>
    <w:rsid w:val="00486230"/>
    <w:rsid w:val="004867E2"/>
    <w:rsid w:val="00491B3A"/>
    <w:rsid w:val="00492CFD"/>
    <w:rsid w:val="004940BD"/>
    <w:rsid w:val="004946F5"/>
    <w:rsid w:val="004962D2"/>
    <w:rsid w:val="0049671E"/>
    <w:rsid w:val="004A0DA1"/>
    <w:rsid w:val="004A6597"/>
    <w:rsid w:val="004B1CB4"/>
    <w:rsid w:val="004B1F60"/>
    <w:rsid w:val="004B2F18"/>
    <w:rsid w:val="004B3DDB"/>
    <w:rsid w:val="004B44FD"/>
    <w:rsid w:val="004B5CFC"/>
    <w:rsid w:val="004B71F9"/>
    <w:rsid w:val="004C4AED"/>
    <w:rsid w:val="004C5A2A"/>
    <w:rsid w:val="004D538A"/>
    <w:rsid w:val="004E0EB8"/>
    <w:rsid w:val="004E2ADC"/>
    <w:rsid w:val="004E43B2"/>
    <w:rsid w:val="004F1D02"/>
    <w:rsid w:val="004F2679"/>
    <w:rsid w:val="004F4190"/>
    <w:rsid w:val="004F4D01"/>
    <w:rsid w:val="004F7865"/>
    <w:rsid w:val="00504EE3"/>
    <w:rsid w:val="00505C2D"/>
    <w:rsid w:val="00506928"/>
    <w:rsid w:val="005148B3"/>
    <w:rsid w:val="005152B5"/>
    <w:rsid w:val="00521319"/>
    <w:rsid w:val="00523C28"/>
    <w:rsid w:val="00524F30"/>
    <w:rsid w:val="0052773C"/>
    <w:rsid w:val="005318B9"/>
    <w:rsid w:val="00544FF4"/>
    <w:rsid w:val="00551577"/>
    <w:rsid w:val="00552BD3"/>
    <w:rsid w:val="00552F7E"/>
    <w:rsid w:val="005544DF"/>
    <w:rsid w:val="00555109"/>
    <w:rsid w:val="0055657A"/>
    <w:rsid w:val="00561C9F"/>
    <w:rsid w:val="00562938"/>
    <w:rsid w:val="0056696F"/>
    <w:rsid w:val="00571A30"/>
    <w:rsid w:val="00573C6A"/>
    <w:rsid w:val="00575D8D"/>
    <w:rsid w:val="00576972"/>
    <w:rsid w:val="00583699"/>
    <w:rsid w:val="00590C5D"/>
    <w:rsid w:val="0059688A"/>
    <w:rsid w:val="0059698A"/>
    <w:rsid w:val="005A6443"/>
    <w:rsid w:val="005B3913"/>
    <w:rsid w:val="005B4D84"/>
    <w:rsid w:val="005B5857"/>
    <w:rsid w:val="005C1129"/>
    <w:rsid w:val="005C1B83"/>
    <w:rsid w:val="005C2FA7"/>
    <w:rsid w:val="005C346B"/>
    <w:rsid w:val="005C5D9D"/>
    <w:rsid w:val="005C7BA1"/>
    <w:rsid w:val="005D044D"/>
    <w:rsid w:val="005D18AD"/>
    <w:rsid w:val="005D7FA7"/>
    <w:rsid w:val="005E198D"/>
    <w:rsid w:val="005E366B"/>
    <w:rsid w:val="005E6B4F"/>
    <w:rsid w:val="005E73C0"/>
    <w:rsid w:val="005F2706"/>
    <w:rsid w:val="005F6A8F"/>
    <w:rsid w:val="00607669"/>
    <w:rsid w:val="00612F97"/>
    <w:rsid w:val="00616802"/>
    <w:rsid w:val="00617E12"/>
    <w:rsid w:val="00621477"/>
    <w:rsid w:val="0062279B"/>
    <w:rsid w:val="006315F7"/>
    <w:rsid w:val="00631D6B"/>
    <w:rsid w:val="006320CC"/>
    <w:rsid w:val="0063479F"/>
    <w:rsid w:val="006364A1"/>
    <w:rsid w:val="00637BFD"/>
    <w:rsid w:val="006406A5"/>
    <w:rsid w:val="006406EB"/>
    <w:rsid w:val="006459C6"/>
    <w:rsid w:val="00646584"/>
    <w:rsid w:val="006471CC"/>
    <w:rsid w:val="0065079F"/>
    <w:rsid w:val="00652D2C"/>
    <w:rsid w:val="006571BD"/>
    <w:rsid w:val="00674E42"/>
    <w:rsid w:val="0067559E"/>
    <w:rsid w:val="0067666C"/>
    <w:rsid w:val="0068138C"/>
    <w:rsid w:val="00682112"/>
    <w:rsid w:val="00685570"/>
    <w:rsid w:val="006872BA"/>
    <w:rsid w:val="006917D7"/>
    <w:rsid w:val="00693871"/>
    <w:rsid w:val="00694F44"/>
    <w:rsid w:val="006A0AA3"/>
    <w:rsid w:val="006A462C"/>
    <w:rsid w:val="006A7D71"/>
    <w:rsid w:val="006B1BDA"/>
    <w:rsid w:val="006B5DF2"/>
    <w:rsid w:val="006C2A8E"/>
    <w:rsid w:val="006C409B"/>
    <w:rsid w:val="006C732F"/>
    <w:rsid w:val="006D3C7D"/>
    <w:rsid w:val="006D437D"/>
    <w:rsid w:val="006D5D5F"/>
    <w:rsid w:val="006D6182"/>
    <w:rsid w:val="006F2E93"/>
    <w:rsid w:val="006F639C"/>
    <w:rsid w:val="006F63A5"/>
    <w:rsid w:val="006F7AF5"/>
    <w:rsid w:val="0070276E"/>
    <w:rsid w:val="00702F8F"/>
    <w:rsid w:val="00711A36"/>
    <w:rsid w:val="007172AD"/>
    <w:rsid w:val="0072416F"/>
    <w:rsid w:val="00725BE9"/>
    <w:rsid w:val="00725D92"/>
    <w:rsid w:val="00730CB4"/>
    <w:rsid w:val="00735328"/>
    <w:rsid w:val="007364E0"/>
    <w:rsid w:val="0073685B"/>
    <w:rsid w:val="007429A4"/>
    <w:rsid w:val="00744521"/>
    <w:rsid w:val="0074477F"/>
    <w:rsid w:val="0075156C"/>
    <w:rsid w:val="00753DDD"/>
    <w:rsid w:val="00753DF6"/>
    <w:rsid w:val="0076044E"/>
    <w:rsid w:val="00761A41"/>
    <w:rsid w:val="00761D9C"/>
    <w:rsid w:val="007627EA"/>
    <w:rsid w:val="00765D4B"/>
    <w:rsid w:val="00767AA1"/>
    <w:rsid w:val="00781F9F"/>
    <w:rsid w:val="0078382E"/>
    <w:rsid w:val="00786165"/>
    <w:rsid w:val="00791483"/>
    <w:rsid w:val="00795A76"/>
    <w:rsid w:val="007961DD"/>
    <w:rsid w:val="007A0A12"/>
    <w:rsid w:val="007A732F"/>
    <w:rsid w:val="007B1225"/>
    <w:rsid w:val="007B251D"/>
    <w:rsid w:val="007B5CB9"/>
    <w:rsid w:val="007B62B2"/>
    <w:rsid w:val="007B77D1"/>
    <w:rsid w:val="007C1B33"/>
    <w:rsid w:val="007C361D"/>
    <w:rsid w:val="007D0B38"/>
    <w:rsid w:val="007E1636"/>
    <w:rsid w:val="007E23E7"/>
    <w:rsid w:val="007E3F7F"/>
    <w:rsid w:val="007E62B2"/>
    <w:rsid w:val="007E7BDC"/>
    <w:rsid w:val="007F0A95"/>
    <w:rsid w:val="007F1017"/>
    <w:rsid w:val="007F3690"/>
    <w:rsid w:val="007F40FA"/>
    <w:rsid w:val="007F4A3F"/>
    <w:rsid w:val="00802268"/>
    <w:rsid w:val="00805142"/>
    <w:rsid w:val="008067D0"/>
    <w:rsid w:val="00807A8B"/>
    <w:rsid w:val="00812149"/>
    <w:rsid w:val="008143BD"/>
    <w:rsid w:val="00814679"/>
    <w:rsid w:val="00815E37"/>
    <w:rsid w:val="008166EF"/>
    <w:rsid w:val="00820AC0"/>
    <w:rsid w:val="00824A74"/>
    <w:rsid w:val="008264EB"/>
    <w:rsid w:val="00833B05"/>
    <w:rsid w:val="0084019F"/>
    <w:rsid w:val="00840CA2"/>
    <w:rsid w:val="00845A1F"/>
    <w:rsid w:val="00846617"/>
    <w:rsid w:val="00855D08"/>
    <w:rsid w:val="00856E9A"/>
    <w:rsid w:val="00862502"/>
    <w:rsid w:val="008625B4"/>
    <w:rsid w:val="00865507"/>
    <w:rsid w:val="00870820"/>
    <w:rsid w:val="00870A82"/>
    <w:rsid w:val="0088182A"/>
    <w:rsid w:val="00881A10"/>
    <w:rsid w:val="00881D2A"/>
    <w:rsid w:val="00882874"/>
    <w:rsid w:val="00883787"/>
    <w:rsid w:val="00883EE9"/>
    <w:rsid w:val="00885A33"/>
    <w:rsid w:val="00886709"/>
    <w:rsid w:val="00894489"/>
    <w:rsid w:val="00895369"/>
    <w:rsid w:val="00895DE5"/>
    <w:rsid w:val="008963A5"/>
    <w:rsid w:val="00896C3F"/>
    <w:rsid w:val="008A3C3E"/>
    <w:rsid w:val="008A5250"/>
    <w:rsid w:val="008A55C3"/>
    <w:rsid w:val="008A79DE"/>
    <w:rsid w:val="008B7D7E"/>
    <w:rsid w:val="008C1271"/>
    <w:rsid w:val="008C1F4F"/>
    <w:rsid w:val="008C3F49"/>
    <w:rsid w:val="008C7ECB"/>
    <w:rsid w:val="008E1B9E"/>
    <w:rsid w:val="008F083E"/>
    <w:rsid w:val="008F120A"/>
    <w:rsid w:val="008F2D06"/>
    <w:rsid w:val="008F3140"/>
    <w:rsid w:val="008F48EB"/>
    <w:rsid w:val="008F4F0B"/>
    <w:rsid w:val="008F53E4"/>
    <w:rsid w:val="008F59F9"/>
    <w:rsid w:val="008F6D14"/>
    <w:rsid w:val="009062A5"/>
    <w:rsid w:val="00911272"/>
    <w:rsid w:val="00914BCB"/>
    <w:rsid w:val="00917120"/>
    <w:rsid w:val="009234AB"/>
    <w:rsid w:val="00925A7D"/>
    <w:rsid w:val="00930CF4"/>
    <w:rsid w:val="00931CF3"/>
    <w:rsid w:val="00931FDE"/>
    <w:rsid w:val="00951E84"/>
    <w:rsid w:val="009563B0"/>
    <w:rsid w:val="00956F81"/>
    <w:rsid w:val="0096083D"/>
    <w:rsid w:val="00962CB9"/>
    <w:rsid w:val="00962FE7"/>
    <w:rsid w:val="00964312"/>
    <w:rsid w:val="00971D78"/>
    <w:rsid w:val="00972240"/>
    <w:rsid w:val="00973C18"/>
    <w:rsid w:val="00983E57"/>
    <w:rsid w:val="00986B4C"/>
    <w:rsid w:val="0099075C"/>
    <w:rsid w:val="0099121E"/>
    <w:rsid w:val="009914F4"/>
    <w:rsid w:val="00995056"/>
    <w:rsid w:val="00996B1A"/>
    <w:rsid w:val="009A18A3"/>
    <w:rsid w:val="009A3788"/>
    <w:rsid w:val="009A4655"/>
    <w:rsid w:val="009B0D89"/>
    <w:rsid w:val="009B3E26"/>
    <w:rsid w:val="009B4B0D"/>
    <w:rsid w:val="009B6972"/>
    <w:rsid w:val="009C75B7"/>
    <w:rsid w:val="009D5B91"/>
    <w:rsid w:val="009D5FA7"/>
    <w:rsid w:val="009E1DCC"/>
    <w:rsid w:val="009E29BB"/>
    <w:rsid w:val="009E4C07"/>
    <w:rsid w:val="009F2563"/>
    <w:rsid w:val="009F36FE"/>
    <w:rsid w:val="009F76C4"/>
    <w:rsid w:val="00A00065"/>
    <w:rsid w:val="00A03D43"/>
    <w:rsid w:val="00A03DEF"/>
    <w:rsid w:val="00A04380"/>
    <w:rsid w:val="00A050A5"/>
    <w:rsid w:val="00A13948"/>
    <w:rsid w:val="00A22A11"/>
    <w:rsid w:val="00A26669"/>
    <w:rsid w:val="00A26F80"/>
    <w:rsid w:val="00A27AEC"/>
    <w:rsid w:val="00A35D16"/>
    <w:rsid w:val="00A43C59"/>
    <w:rsid w:val="00A4471F"/>
    <w:rsid w:val="00A44F5C"/>
    <w:rsid w:val="00A50ECD"/>
    <w:rsid w:val="00A52729"/>
    <w:rsid w:val="00A53675"/>
    <w:rsid w:val="00A53B22"/>
    <w:rsid w:val="00A558BC"/>
    <w:rsid w:val="00A56B6A"/>
    <w:rsid w:val="00A5767E"/>
    <w:rsid w:val="00A578DC"/>
    <w:rsid w:val="00A648C4"/>
    <w:rsid w:val="00A6725B"/>
    <w:rsid w:val="00A86997"/>
    <w:rsid w:val="00A86E8B"/>
    <w:rsid w:val="00A93072"/>
    <w:rsid w:val="00A959D8"/>
    <w:rsid w:val="00A96B81"/>
    <w:rsid w:val="00AA04B5"/>
    <w:rsid w:val="00AA0DA8"/>
    <w:rsid w:val="00AA2118"/>
    <w:rsid w:val="00AA443C"/>
    <w:rsid w:val="00AA5176"/>
    <w:rsid w:val="00AB042A"/>
    <w:rsid w:val="00AB25AD"/>
    <w:rsid w:val="00AB282F"/>
    <w:rsid w:val="00AB2D34"/>
    <w:rsid w:val="00AB3430"/>
    <w:rsid w:val="00AB5CC5"/>
    <w:rsid w:val="00AB7CFA"/>
    <w:rsid w:val="00AC398D"/>
    <w:rsid w:val="00AC3DD2"/>
    <w:rsid w:val="00AE25F1"/>
    <w:rsid w:val="00AE37ED"/>
    <w:rsid w:val="00AE654C"/>
    <w:rsid w:val="00AF3FB4"/>
    <w:rsid w:val="00B10FA6"/>
    <w:rsid w:val="00B11E8E"/>
    <w:rsid w:val="00B161CC"/>
    <w:rsid w:val="00B24944"/>
    <w:rsid w:val="00B27B1A"/>
    <w:rsid w:val="00B30389"/>
    <w:rsid w:val="00B3585A"/>
    <w:rsid w:val="00B35AEF"/>
    <w:rsid w:val="00B42851"/>
    <w:rsid w:val="00B50DB8"/>
    <w:rsid w:val="00B53905"/>
    <w:rsid w:val="00B54B5B"/>
    <w:rsid w:val="00B5562E"/>
    <w:rsid w:val="00B55F9C"/>
    <w:rsid w:val="00B57000"/>
    <w:rsid w:val="00B60939"/>
    <w:rsid w:val="00B60AFD"/>
    <w:rsid w:val="00B62715"/>
    <w:rsid w:val="00B669BF"/>
    <w:rsid w:val="00B672EA"/>
    <w:rsid w:val="00B67C76"/>
    <w:rsid w:val="00B773B0"/>
    <w:rsid w:val="00B8103A"/>
    <w:rsid w:val="00B818A4"/>
    <w:rsid w:val="00B81FA2"/>
    <w:rsid w:val="00B8649C"/>
    <w:rsid w:val="00B90897"/>
    <w:rsid w:val="00B90E31"/>
    <w:rsid w:val="00B92D0B"/>
    <w:rsid w:val="00B94945"/>
    <w:rsid w:val="00B950CA"/>
    <w:rsid w:val="00B966F1"/>
    <w:rsid w:val="00BA2AD6"/>
    <w:rsid w:val="00BA53AF"/>
    <w:rsid w:val="00BB0817"/>
    <w:rsid w:val="00BB7405"/>
    <w:rsid w:val="00BC0716"/>
    <w:rsid w:val="00BC4E8A"/>
    <w:rsid w:val="00BD2E06"/>
    <w:rsid w:val="00BD3E5F"/>
    <w:rsid w:val="00BD6CF3"/>
    <w:rsid w:val="00BD726C"/>
    <w:rsid w:val="00BE0A1E"/>
    <w:rsid w:val="00BE2180"/>
    <w:rsid w:val="00BE4275"/>
    <w:rsid w:val="00BF21B8"/>
    <w:rsid w:val="00BF2433"/>
    <w:rsid w:val="00BF61C9"/>
    <w:rsid w:val="00C02FB1"/>
    <w:rsid w:val="00C03B27"/>
    <w:rsid w:val="00C10AA7"/>
    <w:rsid w:val="00C14EFF"/>
    <w:rsid w:val="00C21B02"/>
    <w:rsid w:val="00C25418"/>
    <w:rsid w:val="00C25D9C"/>
    <w:rsid w:val="00C31649"/>
    <w:rsid w:val="00C34388"/>
    <w:rsid w:val="00C37241"/>
    <w:rsid w:val="00C40385"/>
    <w:rsid w:val="00C47806"/>
    <w:rsid w:val="00C53F9D"/>
    <w:rsid w:val="00C57219"/>
    <w:rsid w:val="00C65576"/>
    <w:rsid w:val="00C66165"/>
    <w:rsid w:val="00C66229"/>
    <w:rsid w:val="00C6780A"/>
    <w:rsid w:val="00C750C8"/>
    <w:rsid w:val="00C8213F"/>
    <w:rsid w:val="00C84A66"/>
    <w:rsid w:val="00C850E9"/>
    <w:rsid w:val="00C8797A"/>
    <w:rsid w:val="00C938CF"/>
    <w:rsid w:val="00C97B56"/>
    <w:rsid w:val="00CA3833"/>
    <w:rsid w:val="00CA5245"/>
    <w:rsid w:val="00CA7B09"/>
    <w:rsid w:val="00CB2C07"/>
    <w:rsid w:val="00CB4A95"/>
    <w:rsid w:val="00CB5B1A"/>
    <w:rsid w:val="00CC0692"/>
    <w:rsid w:val="00CC72B8"/>
    <w:rsid w:val="00CC7762"/>
    <w:rsid w:val="00CD09FE"/>
    <w:rsid w:val="00CD1291"/>
    <w:rsid w:val="00CD6ADC"/>
    <w:rsid w:val="00CD74AD"/>
    <w:rsid w:val="00CE45D9"/>
    <w:rsid w:val="00CE5FBA"/>
    <w:rsid w:val="00CE6274"/>
    <w:rsid w:val="00CF456B"/>
    <w:rsid w:val="00CF5A22"/>
    <w:rsid w:val="00D0262E"/>
    <w:rsid w:val="00D0289E"/>
    <w:rsid w:val="00D03B1E"/>
    <w:rsid w:val="00D110BD"/>
    <w:rsid w:val="00D11FBF"/>
    <w:rsid w:val="00D17D6C"/>
    <w:rsid w:val="00D25257"/>
    <w:rsid w:val="00D26768"/>
    <w:rsid w:val="00D27BCD"/>
    <w:rsid w:val="00D32784"/>
    <w:rsid w:val="00D357FF"/>
    <w:rsid w:val="00D41A43"/>
    <w:rsid w:val="00D54DAF"/>
    <w:rsid w:val="00D567F3"/>
    <w:rsid w:val="00D57688"/>
    <w:rsid w:val="00D602DC"/>
    <w:rsid w:val="00D651EA"/>
    <w:rsid w:val="00D76A44"/>
    <w:rsid w:val="00D8204C"/>
    <w:rsid w:val="00D90993"/>
    <w:rsid w:val="00D93753"/>
    <w:rsid w:val="00D9633C"/>
    <w:rsid w:val="00D97788"/>
    <w:rsid w:val="00DA77A5"/>
    <w:rsid w:val="00DB5DA2"/>
    <w:rsid w:val="00DC0DD3"/>
    <w:rsid w:val="00DC305A"/>
    <w:rsid w:val="00DC5501"/>
    <w:rsid w:val="00DD3F28"/>
    <w:rsid w:val="00DD4537"/>
    <w:rsid w:val="00DD4E15"/>
    <w:rsid w:val="00DD6FDC"/>
    <w:rsid w:val="00DD7D3E"/>
    <w:rsid w:val="00DE4FCB"/>
    <w:rsid w:val="00DE6735"/>
    <w:rsid w:val="00DF2A4B"/>
    <w:rsid w:val="00DF5D2B"/>
    <w:rsid w:val="00E073FB"/>
    <w:rsid w:val="00E10149"/>
    <w:rsid w:val="00E16372"/>
    <w:rsid w:val="00E20ED6"/>
    <w:rsid w:val="00E2131C"/>
    <w:rsid w:val="00E21358"/>
    <w:rsid w:val="00E2249B"/>
    <w:rsid w:val="00E22A0D"/>
    <w:rsid w:val="00E24EBD"/>
    <w:rsid w:val="00E27327"/>
    <w:rsid w:val="00E2771E"/>
    <w:rsid w:val="00E31B69"/>
    <w:rsid w:val="00E33A33"/>
    <w:rsid w:val="00E3460E"/>
    <w:rsid w:val="00E3502D"/>
    <w:rsid w:val="00E37569"/>
    <w:rsid w:val="00E41E30"/>
    <w:rsid w:val="00E43D70"/>
    <w:rsid w:val="00E43DEF"/>
    <w:rsid w:val="00E47B2C"/>
    <w:rsid w:val="00E51560"/>
    <w:rsid w:val="00E55424"/>
    <w:rsid w:val="00E55BB5"/>
    <w:rsid w:val="00E57CA9"/>
    <w:rsid w:val="00E61FFE"/>
    <w:rsid w:val="00E65491"/>
    <w:rsid w:val="00E65E79"/>
    <w:rsid w:val="00E67416"/>
    <w:rsid w:val="00E718B6"/>
    <w:rsid w:val="00E73581"/>
    <w:rsid w:val="00E83BDF"/>
    <w:rsid w:val="00E9486E"/>
    <w:rsid w:val="00E951F4"/>
    <w:rsid w:val="00E95FD1"/>
    <w:rsid w:val="00EA3864"/>
    <w:rsid w:val="00EB15B6"/>
    <w:rsid w:val="00EB4916"/>
    <w:rsid w:val="00EB593C"/>
    <w:rsid w:val="00EB5BD5"/>
    <w:rsid w:val="00EB729B"/>
    <w:rsid w:val="00EC00C9"/>
    <w:rsid w:val="00EC0452"/>
    <w:rsid w:val="00EC10F6"/>
    <w:rsid w:val="00EC1DBE"/>
    <w:rsid w:val="00EC62D5"/>
    <w:rsid w:val="00EC6DA0"/>
    <w:rsid w:val="00EC7FD9"/>
    <w:rsid w:val="00ED3634"/>
    <w:rsid w:val="00ED5059"/>
    <w:rsid w:val="00EE0606"/>
    <w:rsid w:val="00EE07D3"/>
    <w:rsid w:val="00EF54EB"/>
    <w:rsid w:val="00EF59D7"/>
    <w:rsid w:val="00EF7CA7"/>
    <w:rsid w:val="00F067A2"/>
    <w:rsid w:val="00F1001A"/>
    <w:rsid w:val="00F17276"/>
    <w:rsid w:val="00F24578"/>
    <w:rsid w:val="00F24837"/>
    <w:rsid w:val="00F2575F"/>
    <w:rsid w:val="00F33DE9"/>
    <w:rsid w:val="00F35123"/>
    <w:rsid w:val="00F3619A"/>
    <w:rsid w:val="00F40C22"/>
    <w:rsid w:val="00F458E7"/>
    <w:rsid w:val="00F459DA"/>
    <w:rsid w:val="00F46CB6"/>
    <w:rsid w:val="00F46D76"/>
    <w:rsid w:val="00F51B04"/>
    <w:rsid w:val="00F55E73"/>
    <w:rsid w:val="00F57EE3"/>
    <w:rsid w:val="00F60092"/>
    <w:rsid w:val="00F60275"/>
    <w:rsid w:val="00F64105"/>
    <w:rsid w:val="00F724F3"/>
    <w:rsid w:val="00F73F48"/>
    <w:rsid w:val="00F80E5D"/>
    <w:rsid w:val="00F851CE"/>
    <w:rsid w:val="00F8669F"/>
    <w:rsid w:val="00F948FB"/>
    <w:rsid w:val="00F97A78"/>
    <w:rsid w:val="00FA1267"/>
    <w:rsid w:val="00FA24E7"/>
    <w:rsid w:val="00FA4407"/>
    <w:rsid w:val="00FB178D"/>
    <w:rsid w:val="00FB2FCB"/>
    <w:rsid w:val="00FB3E85"/>
    <w:rsid w:val="00FC1074"/>
    <w:rsid w:val="00FC1884"/>
    <w:rsid w:val="00FC27F4"/>
    <w:rsid w:val="00FC5FC9"/>
    <w:rsid w:val="00FC7FC8"/>
    <w:rsid w:val="00FD2100"/>
    <w:rsid w:val="00FD3C14"/>
    <w:rsid w:val="00FD446D"/>
    <w:rsid w:val="00FD6B58"/>
    <w:rsid w:val="00FE12F3"/>
    <w:rsid w:val="00FE7281"/>
    <w:rsid w:val="00FE7D11"/>
    <w:rsid w:val="00FF3DCF"/>
    <w:rsid w:val="00FF5AA3"/>
    <w:rsid w:val="00FF707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B5DDC"/>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Caption Char1,Caption Char Char1,IB Caption Char Char"/>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F4A75"/>
    <w:pPr>
      <w:numPr>
        <w:numId w:val="3"/>
      </w:numPr>
      <w:outlineLvl w:val="0"/>
    </w:pPr>
    <w:rPr>
      <w:rFonts w:ascii="Arial" w:hAnsi="Arial" w:cs="Arial"/>
      <w:b/>
      <w:snapToGrid w:val="0"/>
      <w:sz w:val="22"/>
      <w:szCs w:val="22"/>
      <w:lang w:eastAsia="en-US"/>
    </w:rPr>
  </w:style>
  <w:style w:type="paragraph" w:customStyle="1" w:styleId="Default">
    <w:name w:val="Default"/>
    <w:rsid w:val="00B3585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2F1859"/>
    <w:rPr>
      <w:sz w:val="20"/>
    </w:rPr>
  </w:style>
  <w:style w:type="character" w:customStyle="1" w:styleId="FootnoteTextChar">
    <w:name w:val="Footnote Text Char"/>
    <w:basedOn w:val="DefaultParagraphFont"/>
    <w:link w:val="FootnoteText"/>
    <w:semiHidden/>
    <w:rsid w:val="002F1859"/>
    <w:rPr>
      <w:rFonts w:ascii="Arial" w:hAnsi="Arial" w:cs="Arial"/>
      <w:snapToGrid w:val="0"/>
      <w:lang w:eastAsia="en-US"/>
    </w:rPr>
  </w:style>
  <w:style w:type="character" w:styleId="FootnoteReference">
    <w:name w:val="footnote reference"/>
    <w:basedOn w:val="DefaultParagraphFont"/>
    <w:semiHidden/>
    <w:unhideWhenUsed/>
    <w:rsid w:val="002F1859"/>
    <w:rPr>
      <w:vertAlign w:val="superscript"/>
    </w:rPr>
  </w:style>
  <w:style w:type="paragraph" w:customStyle="1" w:styleId="Tableorfigurefootnote">
    <w:name w:val="Table or figure footnote"/>
    <w:next w:val="BodyText"/>
    <w:link w:val="TableorfigurefootnoteChar"/>
    <w:qFormat/>
    <w:rsid w:val="00C850E9"/>
    <w:rPr>
      <w:rFonts w:ascii="Arial" w:hAnsi="Arial"/>
      <w:sz w:val="16"/>
      <w:szCs w:val="22"/>
      <w:lang w:val="en-GB" w:eastAsia="en-GB"/>
    </w:rPr>
  </w:style>
  <w:style w:type="character" w:customStyle="1" w:styleId="TableorfigurefootnoteChar">
    <w:name w:val="Table or figure footnote Char"/>
    <w:link w:val="Tableorfigurefootnote"/>
    <w:rsid w:val="00C850E9"/>
    <w:rPr>
      <w:rFonts w:ascii="Arial" w:hAnsi="Arial"/>
      <w:sz w:val="16"/>
      <w:szCs w:val="22"/>
      <w:lang w:val="en-GB" w:eastAsia="en-GB"/>
    </w:rPr>
  </w:style>
  <w:style w:type="paragraph" w:customStyle="1" w:styleId="TableText1">
    <w:name w:val="Table Text"/>
    <w:link w:val="TableTextChar1"/>
    <w:qFormat/>
    <w:rsid w:val="00074F33"/>
    <w:pPr>
      <w:tabs>
        <w:tab w:val="left" w:pos="416"/>
        <w:tab w:val="left" w:pos="582"/>
      </w:tabs>
      <w:spacing w:before="40" w:after="20"/>
    </w:pPr>
    <w:rPr>
      <w:rFonts w:ascii="Arial" w:hAnsi="Arial"/>
      <w:sz w:val="18"/>
      <w:szCs w:val="18"/>
      <w:lang w:eastAsia="en-US"/>
    </w:rPr>
  </w:style>
  <w:style w:type="character" w:customStyle="1" w:styleId="TableTextChar1">
    <w:name w:val="Table Text Char"/>
    <w:link w:val="TableText1"/>
    <w:rsid w:val="00074F33"/>
    <w:rPr>
      <w:rFonts w:ascii="Arial" w:hAnsi="Arial"/>
      <w:sz w:val="18"/>
      <w:szCs w:val="18"/>
      <w:lang w:eastAsia="en-US"/>
    </w:rPr>
  </w:style>
  <w:style w:type="paragraph" w:customStyle="1" w:styleId="TableBullet">
    <w:name w:val="TableBullet"/>
    <w:qFormat/>
    <w:rsid w:val="003469E1"/>
    <w:pPr>
      <w:keepNext/>
      <w:numPr>
        <w:numId w:val="4"/>
      </w:numPr>
      <w:tabs>
        <w:tab w:val="left" w:pos="216"/>
      </w:tabs>
      <w:spacing w:before="40" w:after="40"/>
    </w:pPr>
    <w:rPr>
      <w:rFonts w:ascii="Arial" w:hAnsi="Arial" w:cs="Arial Narrow"/>
      <w:sz w:val="18"/>
      <w:lang w:eastAsia="en-US"/>
    </w:rPr>
  </w:style>
  <w:style w:type="paragraph" w:customStyle="1" w:styleId="Confidentialitytext">
    <w:name w:val="Confidentiality text"/>
    <w:basedOn w:val="Normal"/>
    <w:rsid w:val="00ED3634"/>
    <w:pPr>
      <w:widowControl/>
    </w:pPr>
    <w:rPr>
      <w:rFonts w:cs="Times New Roman"/>
      <w:b/>
      <w:snapToGrid/>
      <w:szCs w:val="24"/>
      <w:lang w:eastAsia="en-AU"/>
    </w:rPr>
  </w:style>
  <w:style w:type="paragraph" w:customStyle="1" w:styleId="Tableheader1">
    <w:name w:val="Table header 1"/>
    <w:basedOn w:val="Normal"/>
    <w:link w:val="Tableheader1Char"/>
    <w:uiPriority w:val="99"/>
    <w:qFormat/>
    <w:rsid w:val="00E57CA9"/>
    <w:pPr>
      <w:widowControl/>
      <w:spacing w:after="120"/>
      <w:jc w:val="center"/>
    </w:pPr>
    <w:rPr>
      <w:rFonts w:cs="Times New Roman"/>
      <w:b/>
      <w:snapToGrid/>
      <w:sz w:val="18"/>
      <w:szCs w:val="22"/>
      <w:lang w:eastAsia="en-AU"/>
    </w:rPr>
  </w:style>
  <w:style w:type="character" w:customStyle="1" w:styleId="Tableheader1Char">
    <w:name w:val="Table header 1 Char"/>
    <w:link w:val="Tableheader1"/>
    <w:uiPriority w:val="99"/>
    <w:rsid w:val="00E57CA9"/>
    <w:rPr>
      <w:rFonts w:ascii="Arial" w:hAnsi="Arial"/>
      <w:b/>
      <w:sz w:val="18"/>
      <w:szCs w:val="22"/>
    </w:rPr>
  </w:style>
  <w:style w:type="paragraph" w:customStyle="1" w:styleId="Tableheader2">
    <w:name w:val="Table header 2"/>
    <w:basedOn w:val="BodyText"/>
    <w:next w:val="BodyText"/>
    <w:qFormat/>
    <w:rsid w:val="002E458B"/>
    <w:pPr>
      <w:widowControl/>
      <w:tabs>
        <w:tab w:val="left" w:pos="1134"/>
      </w:tabs>
      <w:spacing w:before="20" w:after="40"/>
    </w:pPr>
    <w:rPr>
      <w:rFonts w:cs="Times New Roman"/>
      <w:b/>
      <w:snapToGrid/>
      <w:sz w:val="18"/>
      <w:lang w:val="en-US"/>
    </w:rPr>
  </w:style>
  <w:style w:type="character" w:customStyle="1" w:styleId="TableTextChar0">
    <w:name w:val="TableText Char"/>
    <w:basedOn w:val="DefaultParagraphFont"/>
    <w:link w:val="TableText0"/>
    <w:uiPriority w:val="3"/>
    <w:rsid w:val="00FD6B58"/>
    <w:rPr>
      <w:rFonts w:ascii="Arial Narrow" w:hAnsi="Arial Narrow" w:cs="Arial Narrow"/>
      <w:lang w:eastAsia="en-US"/>
    </w:rPr>
  </w:style>
  <w:style w:type="paragraph" w:customStyle="1" w:styleId="Tabletitle">
    <w:name w:val="Table title"/>
    <w:basedOn w:val="Normal"/>
    <w:link w:val="TabletitleChar"/>
    <w:qFormat/>
    <w:rsid w:val="00FD6B58"/>
    <w:pPr>
      <w:ind w:left="1418" w:hanging="1418"/>
    </w:pPr>
    <w:rPr>
      <w:b/>
      <w:sz w:val="20"/>
    </w:rPr>
  </w:style>
  <w:style w:type="character" w:customStyle="1" w:styleId="TabletitleChar">
    <w:name w:val="Table title Char"/>
    <w:basedOn w:val="DefaultParagraphFont"/>
    <w:link w:val="Tabletitle"/>
    <w:rsid w:val="00FD6B58"/>
    <w:rPr>
      <w:rFonts w:ascii="Arial" w:hAnsi="Arial" w:cs="Arial"/>
      <w:b/>
      <w:snapToGrid w:val="0"/>
      <w:lang w:eastAsia="en-US"/>
    </w:rPr>
  </w:style>
  <w:style w:type="paragraph" w:customStyle="1" w:styleId="Tableheadertwo">
    <w:name w:val="Table header two"/>
    <w:basedOn w:val="BodyText"/>
    <w:next w:val="BodyText"/>
    <w:uiPriority w:val="99"/>
    <w:qFormat/>
    <w:rsid w:val="00845A1F"/>
    <w:pPr>
      <w:widowControl/>
      <w:tabs>
        <w:tab w:val="left" w:pos="1134"/>
      </w:tabs>
      <w:spacing w:before="20" w:after="40"/>
    </w:pPr>
    <w:rPr>
      <w:rFonts w:cs="Times New Roman"/>
      <w:b/>
      <w:snapToGrid/>
      <w:sz w:val="18"/>
      <w:lang w:val="en-US"/>
    </w:rPr>
  </w:style>
  <w:style w:type="paragraph" w:customStyle="1" w:styleId="TableText4">
    <w:name w:val="Table Text 4"/>
    <w:basedOn w:val="Normal"/>
    <w:next w:val="TableText1"/>
    <w:uiPriority w:val="99"/>
    <w:qFormat/>
    <w:rsid w:val="00845A1F"/>
    <w:pPr>
      <w:widowControl/>
      <w:spacing w:before="40" w:after="20"/>
      <w:jc w:val="center"/>
    </w:pPr>
    <w:rPr>
      <w:rFonts w:cs="Times New Roman"/>
      <w:iCs/>
      <w:snapToGrid/>
      <w:sz w:val="18"/>
      <w:szCs w:val="22"/>
      <w:lang w:eastAsia="en-AU"/>
    </w:rPr>
  </w:style>
  <w:style w:type="character" w:customStyle="1" w:styleId="ListParagraphChar">
    <w:name w:val="List Paragraph Char"/>
    <w:link w:val="ListParagraph"/>
    <w:uiPriority w:val="72"/>
    <w:rsid w:val="003D102B"/>
    <w:rPr>
      <w:rFonts w:ascii="Arial" w:hAnsi="Arial" w:cs="Arial"/>
      <w:snapToGrid w:val="0"/>
      <w:sz w:val="22"/>
      <w:lang w:eastAsia="en-US"/>
    </w:rPr>
  </w:style>
  <w:style w:type="paragraph" w:customStyle="1" w:styleId="Footnote">
    <w:name w:val="Footnote"/>
    <w:basedOn w:val="Normal"/>
    <w:rsid w:val="00414DC7"/>
    <w:pPr>
      <w:widowControl/>
      <w:spacing w:before="40"/>
      <w:jc w:val="left"/>
    </w:pPr>
    <w:rPr>
      <w:rFonts w:cs="Times New Roman"/>
      <w:snapToGrid/>
      <w:sz w:val="18"/>
      <w:szCs w:val="18"/>
      <w:lang w:eastAsia="en-AU"/>
    </w:rPr>
  </w:style>
  <w:style w:type="paragraph" w:customStyle="1" w:styleId="BodytextBullet">
    <w:name w:val="Body text Bullet"/>
    <w:basedOn w:val="BodyText"/>
    <w:qFormat/>
    <w:rsid w:val="00300255"/>
    <w:pPr>
      <w:widowControl/>
      <w:numPr>
        <w:numId w:val="6"/>
      </w:numPr>
      <w:spacing w:after="120" w:line="360" w:lineRule="auto"/>
    </w:pPr>
    <w:rPr>
      <w:snapToGrid/>
      <w:sz w:val="20"/>
      <w:szCs w:val="24"/>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46D76"/>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F35123"/>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B90E31"/>
    <w:pPr>
      <w:ind w:left="720" w:hanging="720"/>
    </w:pPr>
    <w:rPr>
      <w:rFonts w:ascii="Arial"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caption" w:uiPriority="99" w:qFormat="1"/>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2B5DDC"/>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aliases w:val="Caption Char1 Char,Caption Char Char Char,Caption Char1 Char Char Char,Caption Char Char Char Char Char,Caption Char Char1 Char,Caption Char1 Char1,Caption Char Char Char1,Caption Char Char,Caption Char1,Caption Char Char1,IB Caption Char Char"/>
    <w:basedOn w:val="Normal"/>
    <w:next w:val="Normal"/>
    <w:link w:val="CaptionChar"/>
    <w:uiPriority w:val="99"/>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 Char Char2"/>
    <w:link w:val="Caption"/>
    <w:uiPriority w:val="99"/>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uiPriority w:val="99"/>
    <w:rsid w:val="00CE6274"/>
    <w:rPr>
      <w:rFonts w:ascii="Tahoma" w:hAnsi="Tahoma" w:cs="Tahoma"/>
      <w:sz w:val="16"/>
      <w:szCs w:val="16"/>
    </w:rPr>
  </w:style>
  <w:style w:type="character" w:customStyle="1" w:styleId="BalloonTextChar">
    <w:name w:val="Balloon Text Char"/>
    <w:basedOn w:val="DefaultParagraphFont"/>
    <w:link w:val="BalloonText"/>
    <w:uiPriority w:val="99"/>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aliases w:val="Comment Text Char Char Char,Comment Text Char Char"/>
    <w:basedOn w:val="Normal"/>
    <w:link w:val="CommentTextChar"/>
    <w:rsid w:val="00FD2100"/>
    <w:rPr>
      <w:rFonts w:ascii="Times New Roman" w:hAnsi="Times New Roman" w:cs="Times New Roman"/>
      <w:sz w:val="20"/>
    </w:rPr>
  </w:style>
  <w:style w:type="character" w:customStyle="1" w:styleId="CommentTextChar">
    <w:name w:val="Comment Text Char"/>
    <w:aliases w:val="Comment Text Char Char Char Char,Comment Text Char Char Char1"/>
    <w:basedOn w:val="DefaultParagraphFont"/>
    <w:link w:val="CommentText"/>
    <w:rsid w:val="00FD2100"/>
    <w:rPr>
      <w:snapToGrid w:val="0"/>
      <w:lang w:eastAsia="en-US"/>
    </w:rPr>
  </w:style>
  <w:style w:type="paragraph" w:customStyle="1" w:styleId="TableText0">
    <w:name w:val="TableText"/>
    <w:basedOn w:val="Normal"/>
    <w:link w:val="TableTextChar0"/>
    <w:uiPriority w:val="3"/>
    <w:qFormat/>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F4A75"/>
    <w:pPr>
      <w:numPr>
        <w:numId w:val="3"/>
      </w:numPr>
      <w:outlineLvl w:val="0"/>
    </w:pPr>
    <w:rPr>
      <w:rFonts w:ascii="Arial" w:hAnsi="Arial" w:cs="Arial"/>
      <w:b/>
      <w:snapToGrid w:val="0"/>
      <w:sz w:val="22"/>
      <w:szCs w:val="22"/>
      <w:lang w:eastAsia="en-US"/>
    </w:rPr>
  </w:style>
  <w:style w:type="paragraph" w:customStyle="1" w:styleId="Default">
    <w:name w:val="Default"/>
    <w:rsid w:val="00B3585A"/>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semiHidden/>
    <w:unhideWhenUsed/>
    <w:rsid w:val="002F1859"/>
    <w:rPr>
      <w:sz w:val="20"/>
    </w:rPr>
  </w:style>
  <w:style w:type="character" w:customStyle="1" w:styleId="FootnoteTextChar">
    <w:name w:val="Footnote Text Char"/>
    <w:basedOn w:val="DefaultParagraphFont"/>
    <w:link w:val="FootnoteText"/>
    <w:semiHidden/>
    <w:rsid w:val="002F1859"/>
    <w:rPr>
      <w:rFonts w:ascii="Arial" w:hAnsi="Arial" w:cs="Arial"/>
      <w:snapToGrid w:val="0"/>
      <w:lang w:eastAsia="en-US"/>
    </w:rPr>
  </w:style>
  <w:style w:type="character" w:styleId="FootnoteReference">
    <w:name w:val="footnote reference"/>
    <w:basedOn w:val="DefaultParagraphFont"/>
    <w:semiHidden/>
    <w:unhideWhenUsed/>
    <w:rsid w:val="002F1859"/>
    <w:rPr>
      <w:vertAlign w:val="superscript"/>
    </w:rPr>
  </w:style>
  <w:style w:type="paragraph" w:customStyle="1" w:styleId="Tableorfigurefootnote">
    <w:name w:val="Table or figure footnote"/>
    <w:next w:val="BodyText"/>
    <w:link w:val="TableorfigurefootnoteChar"/>
    <w:qFormat/>
    <w:rsid w:val="00C850E9"/>
    <w:rPr>
      <w:rFonts w:ascii="Arial" w:hAnsi="Arial"/>
      <w:sz w:val="16"/>
      <w:szCs w:val="22"/>
      <w:lang w:val="en-GB" w:eastAsia="en-GB"/>
    </w:rPr>
  </w:style>
  <w:style w:type="character" w:customStyle="1" w:styleId="TableorfigurefootnoteChar">
    <w:name w:val="Table or figure footnote Char"/>
    <w:link w:val="Tableorfigurefootnote"/>
    <w:rsid w:val="00C850E9"/>
    <w:rPr>
      <w:rFonts w:ascii="Arial" w:hAnsi="Arial"/>
      <w:sz w:val="16"/>
      <w:szCs w:val="22"/>
      <w:lang w:val="en-GB" w:eastAsia="en-GB"/>
    </w:rPr>
  </w:style>
  <w:style w:type="paragraph" w:customStyle="1" w:styleId="TableText1">
    <w:name w:val="Table Text"/>
    <w:link w:val="TableTextChar1"/>
    <w:qFormat/>
    <w:rsid w:val="00074F33"/>
    <w:pPr>
      <w:tabs>
        <w:tab w:val="left" w:pos="416"/>
        <w:tab w:val="left" w:pos="582"/>
      </w:tabs>
      <w:spacing w:before="40" w:after="20"/>
    </w:pPr>
    <w:rPr>
      <w:rFonts w:ascii="Arial" w:hAnsi="Arial"/>
      <w:sz w:val="18"/>
      <w:szCs w:val="18"/>
      <w:lang w:eastAsia="en-US"/>
    </w:rPr>
  </w:style>
  <w:style w:type="character" w:customStyle="1" w:styleId="TableTextChar1">
    <w:name w:val="Table Text Char"/>
    <w:link w:val="TableText1"/>
    <w:rsid w:val="00074F33"/>
    <w:rPr>
      <w:rFonts w:ascii="Arial" w:hAnsi="Arial"/>
      <w:sz w:val="18"/>
      <w:szCs w:val="18"/>
      <w:lang w:eastAsia="en-US"/>
    </w:rPr>
  </w:style>
  <w:style w:type="paragraph" w:customStyle="1" w:styleId="TableBullet">
    <w:name w:val="TableBullet"/>
    <w:qFormat/>
    <w:rsid w:val="003469E1"/>
    <w:pPr>
      <w:keepNext/>
      <w:numPr>
        <w:numId w:val="4"/>
      </w:numPr>
      <w:tabs>
        <w:tab w:val="left" w:pos="216"/>
      </w:tabs>
      <w:spacing w:before="40" w:after="40"/>
    </w:pPr>
    <w:rPr>
      <w:rFonts w:ascii="Arial" w:hAnsi="Arial" w:cs="Arial Narrow"/>
      <w:sz w:val="18"/>
      <w:lang w:eastAsia="en-US"/>
    </w:rPr>
  </w:style>
  <w:style w:type="paragraph" w:customStyle="1" w:styleId="Confidentialitytext">
    <w:name w:val="Confidentiality text"/>
    <w:basedOn w:val="Normal"/>
    <w:rsid w:val="00ED3634"/>
    <w:pPr>
      <w:widowControl/>
    </w:pPr>
    <w:rPr>
      <w:rFonts w:cs="Times New Roman"/>
      <w:b/>
      <w:snapToGrid/>
      <w:szCs w:val="24"/>
      <w:lang w:eastAsia="en-AU"/>
    </w:rPr>
  </w:style>
  <w:style w:type="paragraph" w:customStyle="1" w:styleId="Tableheader1">
    <w:name w:val="Table header 1"/>
    <w:basedOn w:val="Normal"/>
    <w:link w:val="Tableheader1Char"/>
    <w:uiPriority w:val="99"/>
    <w:qFormat/>
    <w:rsid w:val="00E57CA9"/>
    <w:pPr>
      <w:widowControl/>
      <w:spacing w:after="120"/>
      <w:jc w:val="center"/>
    </w:pPr>
    <w:rPr>
      <w:rFonts w:cs="Times New Roman"/>
      <w:b/>
      <w:snapToGrid/>
      <w:sz w:val="18"/>
      <w:szCs w:val="22"/>
      <w:lang w:eastAsia="en-AU"/>
    </w:rPr>
  </w:style>
  <w:style w:type="character" w:customStyle="1" w:styleId="Tableheader1Char">
    <w:name w:val="Table header 1 Char"/>
    <w:link w:val="Tableheader1"/>
    <w:uiPriority w:val="99"/>
    <w:rsid w:val="00E57CA9"/>
    <w:rPr>
      <w:rFonts w:ascii="Arial" w:hAnsi="Arial"/>
      <w:b/>
      <w:sz w:val="18"/>
      <w:szCs w:val="22"/>
    </w:rPr>
  </w:style>
  <w:style w:type="paragraph" w:customStyle="1" w:styleId="Tableheader2">
    <w:name w:val="Table header 2"/>
    <w:basedOn w:val="BodyText"/>
    <w:next w:val="BodyText"/>
    <w:qFormat/>
    <w:rsid w:val="002E458B"/>
    <w:pPr>
      <w:widowControl/>
      <w:tabs>
        <w:tab w:val="left" w:pos="1134"/>
      </w:tabs>
      <w:spacing w:before="20" w:after="40"/>
    </w:pPr>
    <w:rPr>
      <w:rFonts w:cs="Times New Roman"/>
      <w:b/>
      <w:snapToGrid/>
      <w:sz w:val="18"/>
      <w:lang w:val="en-US"/>
    </w:rPr>
  </w:style>
  <w:style w:type="character" w:customStyle="1" w:styleId="TableTextChar0">
    <w:name w:val="TableText Char"/>
    <w:basedOn w:val="DefaultParagraphFont"/>
    <w:link w:val="TableText0"/>
    <w:uiPriority w:val="3"/>
    <w:rsid w:val="00FD6B58"/>
    <w:rPr>
      <w:rFonts w:ascii="Arial Narrow" w:hAnsi="Arial Narrow" w:cs="Arial Narrow"/>
      <w:lang w:eastAsia="en-US"/>
    </w:rPr>
  </w:style>
  <w:style w:type="paragraph" w:customStyle="1" w:styleId="Tabletitle">
    <w:name w:val="Table title"/>
    <w:basedOn w:val="Normal"/>
    <w:link w:val="TabletitleChar"/>
    <w:qFormat/>
    <w:rsid w:val="00FD6B58"/>
    <w:pPr>
      <w:ind w:left="1418" w:hanging="1418"/>
    </w:pPr>
    <w:rPr>
      <w:b/>
      <w:sz w:val="20"/>
    </w:rPr>
  </w:style>
  <w:style w:type="character" w:customStyle="1" w:styleId="TabletitleChar">
    <w:name w:val="Table title Char"/>
    <w:basedOn w:val="DefaultParagraphFont"/>
    <w:link w:val="Tabletitle"/>
    <w:rsid w:val="00FD6B58"/>
    <w:rPr>
      <w:rFonts w:ascii="Arial" w:hAnsi="Arial" w:cs="Arial"/>
      <w:b/>
      <w:snapToGrid w:val="0"/>
      <w:lang w:eastAsia="en-US"/>
    </w:rPr>
  </w:style>
  <w:style w:type="paragraph" w:customStyle="1" w:styleId="Tableheadertwo">
    <w:name w:val="Table header two"/>
    <w:basedOn w:val="BodyText"/>
    <w:next w:val="BodyText"/>
    <w:uiPriority w:val="99"/>
    <w:qFormat/>
    <w:rsid w:val="00845A1F"/>
    <w:pPr>
      <w:widowControl/>
      <w:tabs>
        <w:tab w:val="left" w:pos="1134"/>
      </w:tabs>
      <w:spacing w:before="20" w:after="40"/>
    </w:pPr>
    <w:rPr>
      <w:rFonts w:cs="Times New Roman"/>
      <w:b/>
      <w:snapToGrid/>
      <w:sz w:val="18"/>
      <w:lang w:val="en-US"/>
    </w:rPr>
  </w:style>
  <w:style w:type="paragraph" w:customStyle="1" w:styleId="TableText4">
    <w:name w:val="Table Text 4"/>
    <w:basedOn w:val="Normal"/>
    <w:next w:val="TableText1"/>
    <w:uiPriority w:val="99"/>
    <w:qFormat/>
    <w:rsid w:val="00845A1F"/>
    <w:pPr>
      <w:widowControl/>
      <w:spacing w:before="40" w:after="20"/>
      <w:jc w:val="center"/>
    </w:pPr>
    <w:rPr>
      <w:rFonts w:cs="Times New Roman"/>
      <w:iCs/>
      <w:snapToGrid/>
      <w:sz w:val="18"/>
      <w:szCs w:val="22"/>
      <w:lang w:eastAsia="en-AU"/>
    </w:rPr>
  </w:style>
  <w:style w:type="character" w:customStyle="1" w:styleId="ListParagraphChar">
    <w:name w:val="List Paragraph Char"/>
    <w:link w:val="ListParagraph"/>
    <w:uiPriority w:val="72"/>
    <w:rsid w:val="003D102B"/>
    <w:rPr>
      <w:rFonts w:ascii="Arial" w:hAnsi="Arial" w:cs="Arial"/>
      <w:snapToGrid w:val="0"/>
      <w:sz w:val="22"/>
      <w:lang w:eastAsia="en-US"/>
    </w:rPr>
  </w:style>
  <w:style w:type="paragraph" w:customStyle="1" w:styleId="Footnote">
    <w:name w:val="Footnote"/>
    <w:basedOn w:val="Normal"/>
    <w:rsid w:val="00414DC7"/>
    <w:pPr>
      <w:widowControl/>
      <w:spacing w:before="40"/>
      <w:jc w:val="left"/>
    </w:pPr>
    <w:rPr>
      <w:rFonts w:cs="Times New Roman"/>
      <w:snapToGrid/>
      <w:sz w:val="18"/>
      <w:szCs w:val="18"/>
      <w:lang w:eastAsia="en-AU"/>
    </w:rPr>
  </w:style>
  <w:style w:type="paragraph" w:customStyle="1" w:styleId="BodytextBullet">
    <w:name w:val="Body text Bullet"/>
    <w:basedOn w:val="BodyText"/>
    <w:qFormat/>
    <w:rsid w:val="00300255"/>
    <w:pPr>
      <w:widowControl/>
      <w:numPr>
        <w:numId w:val="6"/>
      </w:numPr>
      <w:spacing w:after="120" w:line="360" w:lineRule="auto"/>
    </w:pPr>
    <w:rPr>
      <w:snapToGrid/>
      <w:sz w:val="20"/>
      <w:szCs w:val="24"/>
      <w:lang w:val="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46D76"/>
    <w:pPr>
      <w:widowControl/>
      <w:spacing w:after="160" w:line="240" w:lineRule="exact"/>
      <w:jc w:val="left"/>
    </w:pPr>
    <w:rPr>
      <w:rFonts w:ascii="Verdana" w:eastAsia="MS Mincho" w:hAnsi="Verdana" w:cs="Verdana"/>
      <w:snapToGrid/>
      <w:sz w:val="20"/>
      <w:lang w:val="en-US"/>
    </w:rPr>
  </w:style>
  <w:style w:type="paragraph" w:customStyle="1" w:styleId="Char">
    <w:name w:val="Char"/>
    <w:basedOn w:val="Normal"/>
    <w:rsid w:val="00F35123"/>
    <w:pPr>
      <w:widowControl/>
      <w:spacing w:after="160" w:line="240" w:lineRule="exact"/>
      <w:jc w:val="left"/>
    </w:pPr>
    <w:rPr>
      <w:rFonts w:ascii="Verdana" w:eastAsia="MS Mincho" w:hAnsi="Verdana" w:cs="Verdana"/>
      <w:snapToGrid/>
      <w:sz w:val="20"/>
      <w:lang w:val="en-US"/>
    </w:rPr>
  </w:style>
  <w:style w:type="paragraph" w:customStyle="1" w:styleId="PBACheading10">
    <w:name w:val="PBAC heading 1"/>
    <w:qFormat/>
    <w:rsid w:val="00B90E31"/>
    <w:pPr>
      <w:ind w:left="720" w:hanging="720"/>
    </w:pPr>
    <w:rPr>
      <w:rFonts w:ascii="Arial"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80BF0-18C4-42B6-BED3-E9EB122BD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3813</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6.02 aprepitant</vt:lpstr>
    </vt:vector>
  </TitlesOfParts>
  <LinksUpToDate>false</LinksUpToDate>
  <CharactersWithSpaces>25498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6.02 aprepitant</dc:title>
  <dc:creator/>
  <cp:lastModifiedBy/>
  <cp:revision>1</cp:revision>
  <dcterms:created xsi:type="dcterms:W3CDTF">2016-02-26T02:44:00Z</dcterms:created>
  <dcterms:modified xsi:type="dcterms:W3CDTF">2016-02-26T02:44:00Z</dcterms:modified>
</cp:coreProperties>
</file>