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DBD" w:rsidRDefault="00524DBD" w:rsidP="00524DBD">
      <w:pPr>
        <w:ind w:left="720" w:hanging="720"/>
        <w:rPr>
          <w:rFonts w:ascii="Arial" w:hAnsi="Arial"/>
          <w:b/>
          <w:sz w:val="28"/>
          <w:szCs w:val="28"/>
        </w:rPr>
      </w:pPr>
      <w:bookmarkStart w:id="0" w:name="_GoBack"/>
      <w:bookmarkEnd w:id="0"/>
      <w:r>
        <w:rPr>
          <w:rFonts w:ascii="Arial" w:hAnsi="Arial"/>
          <w:b/>
          <w:sz w:val="28"/>
          <w:szCs w:val="28"/>
        </w:rPr>
        <w:t>6.1</w:t>
      </w:r>
      <w:r w:rsidR="00C22DD6">
        <w:rPr>
          <w:rFonts w:ascii="Arial" w:hAnsi="Arial"/>
          <w:b/>
          <w:sz w:val="28"/>
          <w:szCs w:val="28"/>
        </w:rPr>
        <w:t>5</w:t>
      </w:r>
      <w:r w:rsidR="007C0F57" w:rsidRPr="006D6EC7">
        <w:rPr>
          <w:rFonts w:ascii="Arial" w:hAnsi="Arial"/>
          <w:b/>
          <w:sz w:val="28"/>
          <w:szCs w:val="28"/>
        </w:rPr>
        <w:tab/>
      </w:r>
      <w:r>
        <w:rPr>
          <w:rFonts w:ascii="Arial" w:hAnsi="Arial"/>
          <w:b/>
          <w:sz w:val="28"/>
          <w:szCs w:val="28"/>
        </w:rPr>
        <w:t>TRIGLYCERIDES MEDIUM CHAI</w:t>
      </w:r>
      <w:r w:rsidR="00D64C88">
        <w:rPr>
          <w:rFonts w:ascii="Arial" w:hAnsi="Arial"/>
          <w:b/>
          <w:sz w:val="28"/>
          <w:szCs w:val="28"/>
        </w:rPr>
        <w:t>N</w:t>
      </w:r>
      <w:r>
        <w:rPr>
          <w:rFonts w:ascii="Arial" w:hAnsi="Arial"/>
          <w:b/>
          <w:sz w:val="28"/>
          <w:szCs w:val="28"/>
        </w:rPr>
        <w:t xml:space="preserve"> FORMULA</w:t>
      </w:r>
    </w:p>
    <w:p w:rsidR="00D3280C" w:rsidRPr="006D6EC7" w:rsidRDefault="00D424C1" w:rsidP="00D424C1">
      <w:pPr>
        <w:ind w:left="720" w:hanging="11"/>
        <w:rPr>
          <w:rFonts w:ascii="Arial" w:hAnsi="Arial"/>
          <w:b/>
          <w:sz w:val="28"/>
          <w:szCs w:val="28"/>
        </w:rPr>
      </w:pPr>
      <w:r>
        <w:rPr>
          <w:rFonts w:ascii="Arial" w:hAnsi="Arial"/>
          <w:b/>
          <w:sz w:val="28"/>
          <w:szCs w:val="28"/>
        </w:rPr>
        <w:t xml:space="preserve">400 g powder, </w:t>
      </w:r>
      <w:r w:rsidR="00524DBD">
        <w:rPr>
          <w:rFonts w:ascii="Arial" w:hAnsi="Arial"/>
          <w:b/>
          <w:sz w:val="28"/>
          <w:szCs w:val="28"/>
        </w:rPr>
        <w:t>Peptamen</w:t>
      </w:r>
      <w:r w:rsidR="0004240E" w:rsidRPr="006D6EC7">
        <w:rPr>
          <w:rFonts w:ascii="Arial" w:hAnsi="Arial"/>
          <w:b/>
          <w:sz w:val="28"/>
          <w:szCs w:val="28"/>
          <w:vertAlign w:val="superscript"/>
        </w:rPr>
        <w:t>®</w:t>
      </w:r>
      <w:r w:rsidR="00524DBD">
        <w:rPr>
          <w:rFonts w:ascii="Arial" w:hAnsi="Arial"/>
          <w:b/>
          <w:sz w:val="28"/>
          <w:szCs w:val="28"/>
          <w:vertAlign w:val="superscript"/>
        </w:rPr>
        <w:t xml:space="preserve"> </w:t>
      </w:r>
      <w:r w:rsidR="00524DBD" w:rsidRPr="00524DBD">
        <w:rPr>
          <w:rFonts w:ascii="Arial" w:hAnsi="Arial"/>
          <w:b/>
          <w:sz w:val="28"/>
          <w:szCs w:val="28"/>
        </w:rPr>
        <w:t>Junior</w:t>
      </w:r>
      <w:r w:rsidR="00EF44A0">
        <w:rPr>
          <w:rFonts w:ascii="Arial" w:hAnsi="Arial"/>
          <w:b/>
          <w:sz w:val="28"/>
          <w:szCs w:val="28"/>
        </w:rPr>
        <w:t xml:space="preserve">, </w:t>
      </w:r>
      <w:r>
        <w:rPr>
          <w:rFonts w:ascii="Arial" w:hAnsi="Arial"/>
          <w:b/>
          <w:sz w:val="28"/>
          <w:szCs w:val="28"/>
        </w:rPr>
        <w:t>Nestle Health Science</w:t>
      </w:r>
    </w:p>
    <w:p w:rsidR="00CE10C4" w:rsidRDefault="00CE10C4" w:rsidP="00C27B58">
      <w:pPr>
        <w:pStyle w:val="NoSpacing"/>
      </w:pPr>
    </w:p>
    <w:p w:rsidR="00C27B58" w:rsidRDefault="00C27B58" w:rsidP="00C27B58">
      <w:pPr>
        <w:pStyle w:val="NoSpacing"/>
      </w:pPr>
    </w:p>
    <w:p w:rsidR="00CE10C4" w:rsidRPr="00882085" w:rsidRDefault="00CE10C4" w:rsidP="00C27B58">
      <w:pPr>
        <w:pStyle w:val="ListParagraph"/>
        <w:numPr>
          <w:ilvl w:val="0"/>
          <w:numId w:val="25"/>
        </w:numPr>
        <w:jc w:val="both"/>
        <w:rPr>
          <w:rFonts w:ascii="Arial" w:hAnsi="Arial"/>
          <w:b/>
          <w:sz w:val="22"/>
          <w:szCs w:val="22"/>
        </w:rPr>
      </w:pPr>
      <w:r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882085">
      <w:pPr>
        <w:jc w:val="both"/>
        <w:rPr>
          <w:rFonts w:ascii="Arial" w:hAnsi="Arial"/>
          <w:sz w:val="22"/>
          <w:szCs w:val="22"/>
        </w:rPr>
      </w:pPr>
    </w:p>
    <w:p w:rsidR="00EF44A0" w:rsidRPr="00D424C1" w:rsidRDefault="00A14BDB" w:rsidP="00F9629A">
      <w:pPr>
        <w:pStyle w:val="ListParagraph"/>
        <w:numPr>
          <w:ilvl w:val="1"/>
          <w:numId w:val="25"/>
        </w:numPr>
        <w:jc w:val="both"/>
        <w:rPr>
          <w:rFonts w:ascii="Arial" w:hAnsi="Arial"/>
          <w:sz w:val="22"/>
          <w:szCs w:val="22"/>
        </w:rPr>
      </w:pPr>
      <w:r w:rsidRPr="00A14BDB">
        <w:rPr>
          <w:rFonts w:ascii="Arial" w:hAnsi="Arial"/>
          <w:sz w:val="22"/>
          <w:szCs w:val="22"/>
        </w:rPr>
        <w:t>The sponsor’s submission seeks a change to the current PBS listing note, allowing an incre</w:t>
      </w:r>
      <w:r w:rsidR="00AB7EF1">
        <w:rPr>
          <w:rFonts w:ascii="Arial" w:hAnsi="Arial"/>
          <w:sz w:val="22"/>
          <w:szCs w:val="22"/>
        </w:rPr>
        <w:t>ased supply of Peptamen</w:t>
      </w:r>
      <w:r w:rsidR="00851885" w:rsidRPr="00851885">
        <w:rPr>
          <w:rFonts w:ascii="Arial" w:hAnsi="Arial"/>
          <w:b/>
          <w:sz w:val="22"/>
          <w:szCs w:val="22"/>
          <w:vertAlign w:val="superscript"/>
        </w:rPr>
        <w:t>®</w:t>
      </w:r>
      <w:r w:rsidR="00AB7EF1">
        <w:rPr>
          <w:rFonts w:ascii="Arial" w:hAnsi="Arial"/>
          <w:sz w:val="22"/>
          <w:szCs w:val="22"/>
        </w:rPr>
        <w:t xml:space="preserve"> Junior from the listed maximum quantity of 8 cans</w:t>
      </w:r>
      <w:r w:rsidRPr="00A14BDB">
        <w:rPr>
          <w:rFonts w:ascii="Arial" w:hAnsi="Arial"/>
          <w:sz w:val="22"/>
          <w:szCs w:val="22"/>
        </w:rPr>
        <w:t xml:space="preserve"> up to a maximum of 20 cans to allow a one month supply for an infant or child at an appropriate dose to meet the total nutritional requirements for their respective age range.</w:t>
      </w:r>
      <w:r w:rsidR="00D424C1" w:rsidRPr="00D424C1">
        <w:rPr>
          <w:rFonts w:ascii="Arial" w:hAnsi="Arial"/>
          <w:sz w:val="22"/>
          <w:szCs w:val="22"/>
        </w:rPr>
        <w:t xml:space="preserve"> </w:t>
      </w:r>
    </w:p>
    <w:p w:rsidR="00EF44A0" w:rsidRPr="00C27B58" w:rsidRDefault="00EF44A0" w:rsidP="00C27B58">
      <w:pPr>
        <w:pStyle w:val="NoSpacing"/>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6A12A5" w:rsidRPr="00882085" w:rsidRDefault="006A12A5" w:rsidP="00882085">
      <w:pPr>
        <w:jc w:val="both"/>
        <w:rPr>
          <w:rFonts w:ascii="Arial" w:hAnsi="Arial"/>
          <w:b/>
          <w:sz w:val="22"/>
          <w:szCs w:val="22"/>
        </w:rPr>
      </w:pPr>
    </w:p>
    <w:p w:rsidR="00826F6D" w:rsidRPr="00826F6D" w:rsidRDefault="00EF44A0" w:rsidP="00882085">
      <w:pPr>
        <w:pStyle w:val="ListParagraph"/>
        <w:numPr>
          <w:ilvl w:val="1"/>
          <w:numId w:val="25"/>
        </w:numPr>
        <w:jc w:val="both"/>
        <w:rPr>
          <w:rFonts w:ascii="Arial" w:hAnsi="Arial"/>
          <w:sz w:val="22"/>
          <w:szCs w:val="22"/>
        </w:rPr>
      </w:pPr>
      <w:r>
        <w:rPr>
          <w:rFonts w:ascii="Arial" w:hAnsi="Arial"/>
          <w:sz w:val="22"/>
          <w:szCs w:val="22"/>
        </w:rPr>
        <w:t>The submission s</w:t>
      </w:r>
      <w:r w:rsidR="0076420C">
        <w:rPr>
          <w:rFonts w:ascii="Arial" w:hAnsi="Arial"/>
          <w:sz w:val="22"/>
          <w:szCs w:val="22"/>
        </w:rPr>
        <w:t>eeks</w:t>
      </w:r>
      <w:r>
        <w:rPr>
          <w:rFonts w:ascii="Arial" w:hAnsi="Arial"/>
          <w:sz w:val="22"/>
          <w:szCs w:val="22"/>
        </w:rPr>
        <w:t xml:space="preserve"> the following </w:t>
      </w:r>
      <w:r w:rsidR="007A7EB8">
        <w:rPr>
          <w:rFonts w:ascii="Arial" w:hAnsi="Arial"/>
          <w:sz w:val="22"/>
          <w:szCs w:val="22"/>
        </w:rPr>
        <w:t>c</w:t>
      </w:r>
      <w:r>
        <w:rPr>
          <w:rFonts w:ascii="Arial" w:hAnsi="Arial"/>
          <w:sz w:val="22"/>
          <w:szCs w:val="22"/>
        </w:rPr>
        <w:t>hanges to the existing listing</w:t>
      </w:r>
      <w:r w:rsidR="00826F6D">
        <w:rPr>
          <w:rFonts w:ascii="Arial" w:hAnsi="Arial"/>
          <w:sz w:val="22"/>
          <w:szCs w:val="22"/>
        </w:rPr>
        <w:t>:</w:t>
      </w:r>
      <w:r>
        <w:rPr>
          <w:rFonts w:ascii="Arial" w:hAnsi="Arial"/>
          <w:sz w:val="22"/>
          <w:szCs w:val="22"/>
        </w:rPr>
        <w:t xml:space="preserve"> </w:t>
      </w:r>
    </w:p>
    <w:p w:rsidR="00826F6D" w:rsidRPr="00C27B58" w:rsidRDefault="00826F6D" w:rsidP="00C27B58">
      <w:pPr>
        <w:pStyle w:val="NoSpacing"/>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26F6D" w:rsidRPr="0039782C" w:rsidTr="00C27B58">
        <w:trPr>
          <w:cantSplit/>
          <w:trHeight w:val="471"/>
        </w:trPr>
        <w:tc>
          <w:tcPr>
            <w:tcW w:w="3119" w:type="dxa"/>
            <w:gridSpan w:val="2"/>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276"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C27B58">
        <w:trPr>
          <w:cantSplit/>
          <w:trHeight w:val="577"/>
        </w:trPr>
        <w:tc>
          <w:tcPr>
            <w:tcW w:w="3119" w:type="dxa"/>
            <w:gridSpan w:val="2"/>
          </w:tcPr>
          <w:p w:rsidR="00826F6D" w:rsidRDefault="0081025D" w:rsidP="00C27B58">
            <w:pPr>
              <w:keepNext/>
              <w:ind w:left="-108"/>
              <w:jc w:val="both"/>
              <w:rPr>
                <w:rFonts w:ascii="Arial Narrow" w:hAnsi="Arial Narrow" w:cs="Arial"/>
                <w:sz w:val="20"/>
                <w:szCs w:val="20"/>
              </w:rPr>
            </w:pPr>
            <w:r>
              <w:rPr>
                <w:rFonts w:ascii="Arial Narrow" w:hAnsi="Arial Narrow" w:cs="Arial"/>
                <w:sz w:val="20"/>
                <w:szCs w:val="20"/>
              </w:rPr>
              <w:t>TRIGLYCERIDES MEDIUM CHAIN FORMULA</w:t>
            </w:r>
          </w:p>
          <w:p w:rsidR="0081025D" w:rsidRPr="00260CE3" w:rsidRDefault="0081025D" w:rsidP="00C27B58">
            <w:pPr>
              <w:keepNext/>
              <w:ind w:left="-108"/>
              <w:jc w:val="both"/>
              <w:rPr>
                <w:rFonts w:ascii="Arial Narrow" w:hAnsi="Arial Narrow" w:cs="Arial"/>
                <w:sz w:val="20"/>
                <w:szCs w:val="20"/>
              </w:rPr>
            </w:pPr>
            <w:r>
              <w:rPr>
                <w:rFonts w:ascii="Arial Narrow" w:hAnsi="Arial Narrow" w:cs="Arial"/>
                <w:sz w:val="20"/>
                <w:szCs w:val="20"/>
              </w:rPr>
              <w:t>Triglycerides medium chain formula oral liquid</w:t>
            </w:r>
          </w:p>
          <w:p w:rsidR="00826F6D" w:rsidRPr="00260CE3" w:rsidRDefault="0081025D" w:rsidP="0081025D">
            <w:pPr>
              <w:keepNext/>
              <w:ind w:left="-108"/>
              <w:jc w:val="both"/>
              <w:rPr>
                <w:rFonts w:ascii="Arial Narrow" w:hAnsi="Arial Narrow" w:cs="Arial"/>
                <w:sz w:val="20"/>
                <w:szCs w:val="20"/>
              </w:rPr>
            </w:pPr>
            <w:r>
              <w:rPr>
                <w:rFonts w:ascii="Arial Narrow" w:hAnsi="Arial Narrow" w:cs="Arial"/>
                <w:sz w:val="20"/>
                <w:szCs w:val="20"/>
              </w:rPr>
              <w:t>Powder for, 400 g</w:t>
            </w:r>
          </w:p>
        </w:tc>
        <w:tc>
          <w:tcPr>
            <w:tcW w:w="850" w:type="dxa"/>
          </w:tcPr>
          <w:p w:rsidR="00826F6D" w:rsidRPr="00FD6A9E" w:rsidRDefault="00826F6D" w:rsidP="00C27B58">
            <w:pPr>
              <w:keepNext/>
              <w:ind w:left="-108"/>
              <w:jc w:val="both"/>
              <w:rPr>
                <w:rFonts w:ascii="Arial Narrow" w:hAnsi="Arial Narrow" w:cs="Arial"/>
                <w:sz w:val="20"/>
                <w:szCs w:val="20"/>
              </w:rPr>
            </w:pPr>
          </w:p>
          <w:p w:rsidR="00826F6D" w:rsidRPr="00FD6A9E" w:rsidRDefault="0081025D" w:rsidP="00C27B58">
            <w:pPr>
              <w:keepNext/>
              <w:ind w:left="-108"/>
              <w:jc w:val="both"/>
              <w:rPr>
                <w:rFonts w:ascii="Arial Narrow" w:hAnsi="Arial Narrow" w:cs="Arial"/>
                <w:sz w:val="20"/>
                <w:szCs w:val="20"/>
              </w:rPr>
            </w:pPr>
            <w:r w:rsidRPr="00FD6A9E">
              <w:rPr>
                <w:rFonts w:ascii="Arial Narrow" w:hAnsi="Arial Narrow" w:cs="Arial"/>
                <w:sz w:val="20"/>
                <w:szCs w:val="20"/>
              </w:rPr>
              <w:t>8</w:t>
            </w:r>
          </w:p>
        </w:tc>
        <w:tc>
          <w:tcPr>
            <w:tcW w:w="709" w:type="dxa"/>
          </w:tcPr>
          <w:p w:rsidR="00826F6D" w:rsidRPr="003672F3" w:rsidRDefault="00826F6D" w:rsidP="00C27B58">
            <w:pPr>
              <w:keepNext/>
              <w:ind w:left="-108"/>
              <w:jc w:val="both"/>
              <w:rPr>
                <w:rFonts w:ascii="Arial Narrow" w:hAnsi="Arial Narrow" w:cs="Arial"/>
                <w:sz w:val="20"/>
                <w:szCs w:val="20"/>
              </w:rPr>
            </w:pPr>
          </w:p>
          <w:p w:rsidR="00826F6D" w:rsidRPr="003672F3" w:rsidRDefault="0081025D" w:rsidP="00C27B58">
            <w:pPr>
              <w:keepNext/>
              <w:ind w:left="-108"/>
              <w:jc w:val="both"/>
              <w:rPr>
                <w:rFonts w:ascii="Arial Narrow" w:hAnsi="Arial Narrow" w:cs="Arial"/>
                <w:sz w:val="20"/>
                <w:szCs w:val="20"/>
              </w:rPr>
            </w:pPr>
            <w:r w:rsidRPr="003672F3">
              <w:rPr>
                <w:rFonts w:ascii="Arial Narrow" w:hAnsi="Arial Narrow" w:cs="Arial"/>
                <w:sz w:val="20"/>
                <w:szCs w:val="20"/>
              </w:rPr>
              <w:t>5</w:t>
            </w:r>
          </w:p>
        </w:tc>
        <w:tc>
          <w:tcPr>
            <w:tcW w:w="1276" w:type="dxa"/>
          </w:tcPr>
          <w:p w:rsidR="00826F6D" w:rsidRPr="003672F3" w:rsidRDefault="00826F6D" w:rsidP="00C27B58">
            <w:pPr>
              <w:keepNext/>
              <w:ind w:left="-108"/>
              <w:jc w:val="both"/>
              <w:rPr>
                <w:rFonts w:ascii="Arial Narrow" w:hAnsi="Arial Narrow" w:cs="Arial"/>
                <w:sz w:val="20"/>
                <w:szCs w:val="20"/>
              </w:rPr>
            </w:pPr>
          </w:p>
          <w:p w:rsidR="00826F6D" w:rsidRPr="003672F3" w:rsidRDefault="0081025D" w:rsidP="00C27B58">
            <w:pPr>
              <w:keepNext/>
              <w:ind w:left="-108"/>
              <w:jc w:val="both"/>
              <w:rPr>
                <w:rFonts w:ascii="Arial Narrow" w:hAnsi="Arial Narrow" w:cs="Arial"/>
                <w:sz w:val="20"/>
                <w:szCs w:val="20"/>
              </w:rPr>
            </w:pPr>
            <w:r w:rsidRPr="003672F3">
              <w:rPr>
                <w:rFonts w:ascii="Arial Narrow" w:hAnsi="Arial Narrow" w:cs="Arial"/>
                <w:sz w:val="20"/>
                <w:szCs w:val="20"/>
              </w:rPr>
              <w:t>$411.80</w:t>
            </w:r>
          </w:p>
        </w:tc>
        <w:tc>
          <w:tcPr>
            <w:tcW w:w="1275" w:type="dxa"/>
          </w:tcPr>
          <w:p w:rsidR="00C27B58" w:rsidRDefault="00C27B58" w:rsidP="00C27B58">
            <w:pPr>
              <w:keepNext/>
              <w:jc w:val="both"/>
              <w:rPr>
                <w:rFonts w:ascii="Arial Narrow" w:hAnsi="Arial Narrow" w:cs="Arial"/>
                <w:sz w:val="20"/>
                <w:szCs w:val="20"/>
              </w:rPr>
            </w:pPr>
          </w:p>
          <w:p w:rsidR="00826F6D" w:rsidRPr="00260CE3" w:rsidRDefault="0081025D" w:rsidP="00C27B58">
            <w:pPr>
              <w:keepNext/>
              <w:jc w:val="both"/>
              <w:rPr>
                <w:rFonts w:ascii="Arial Narrow" w:hAnsi="Arial Narrow" w:cs="Arial"/>
                <w:sz w:val="20"/>
                <w:szCs w:val="20"/>
              </w:rPr>
            </w:pPr>
            <w:r>
              <w:rPr>
                <w:rFonts w:ascii="Arial Narrow" w:hAnsi="Arial Narrow" w:cs="Arial"/>
                <w:sz w:val="20"/>
                <w:szCs w:val="20"/>
              </w:rPr>
              <w:t>Peptamen</w:t>
            </w:r>
            <w:r w:rsidRPr="0081025D">
              <w:rPr>
                <w:rFonts w:ascii="Arial Narrow" w:hAnsi="Arial Narrow" w:cs="Arial"/>
                <w:sz w:val="20"/>
                <w:szCs w:val="20"/>
                <w:vertAlign w:val="superscript"/>
              </w:rPr>
              <w:t xml:space="preserve">® </w:t>
            </w:r>
            <w:r>
              <w:rPr>
                <w:rFonts w:ascii="Arial Narrow" w:hAnsi="Arial Narrow" w:cs="Arial"/>
                <w:sz w:val="20"/>
                <w:szCs w:val="20"/>
              </w:rPr>
              <w:t>Junior</w:t>
            </w:r>
          </w:p>
        </w:tc>
        <w:tc>
          <w:tcPr>
            <w:tcW w:w="1134" w:type="dxa"/>
          </w:tcPr>
          <w:p w:rsidR="00C27B58" w:rsidRDefault="00C27B58" w:rsidP="00C27B58">
            <w:pPr>
              <w:keepNext/>
              <w:jc w:val="both"/>
              <w:rPr>
                <w:rFonts w:ascii="Arial Narrow" w:hAnsi="Arial Narrow" w:cs="Arial"/>
                <w:sz w:val="20"/>
                <w:szCs w:val="20"/>
              </w:rPr>
            </w:pPr>
          </w:p>
          <w:p w:rsidR="00826F6D" w:rsidRPr="00260CE3" w:rsidRDefault="0081025D" w:rsidP="00C27B58">
            <w:pPr>
              <w:keepNext/>
              <w:jc w:val="both"/>
              <w:rPr>
                <w:rFonts w:ascii="Arial Narrow" w:hAnsi="Arial Narrow" w:cs="Arial"/>
                <w:sz w:val="20"/>
                <w:szCs w:val="20"/>
              </w:rPr>
            </w:pPr>
            <w:r>
              <w:rPr>
                <w:rFonts w:ascii="Arial Narrow" w:hAnsi="Arial Narrow" w:cs="Arial"/>
                <w:sz w:val="20"/>
                <w:szCs w:val="20"/>
              </w:rPr>
              <w:t>Nestle Health Science</w:t>
            </w:r>
          </w:p>
        </w:tc>
      </w:tr>
      <w:tr w:rsidR="00826F6D" w:rsidRPr="00260CE3" w:rsidTr="00C27B58">
        <w:trPr>
          <w:cantSplit/>
          <w:trHeight w:val="360"/>
        </w:trPr>
        <w:tc>
          <w:tcPr>
            <w:tcW w:w="8363" w:type="dxa"/>
            <w:gridSpan w:val="7"/>
            <w:tcBorders>
              <w:bottom w:val="single" w:sz="4" w:space="0" w:color="auto"/>
            </w:tcBorders>
          </w:tcPr>
          <w:p w:rsidR="00826F6D" w:rsidRPr="00260CE3" w:rsidRDefault="00826F6D" w:rsidP="00C27B58">
            <w:pPr>
              <w:jc w:val="both"/>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 xml:space="preserve">Category / </w:t>
            </w:r>
          </w:p>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t>GENERAL – General Schedule (Code GE)</w:t>
            </w:r>
          </w:p>
          <w:p w:rsidR="00826F6D" w:rsidRPr="00260CE3" w:rsidRDefault="00826F6D" w:rsidP="00C27B58">
            <w:pPr>
              <w:rPr>
                <w:rFonts w:ascii="Arial Narrow" w:hAnsi="Arial Narrow" w:cs="Arial"/>
                <w:sz w:val="20"/>
                <w:szCs w:val="20"/>
              </w:rPr>
            </w:pP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D950CC">
              <w:rPr>
                <w:rFonts w:ascii="Arial Narrow" w:hAnsi="Arial Narrow" w:cs="Arial"/>
                <w:sz w:val="20"/>
                <w:szCs w:val="20"/>
              </w:rPr>
            </w:r>
            <w:r w:rsidR="00D950C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DD0DBA">
              <w:rPr>
                <w:rFonts w:ascii="Arial Narrow" w:hAnsi="Arial Narrow" w:cs="Arial"/>
                <w:sz w:val="20"/>
                <w:szCs w:val="20"/>
              </w:rPr>
              <w:fldChar w:fldCharType="begin">
                <w:ffData>
                  <w:name w:val=""/>
                  <w:enabled/>
                  <w:calcOnExit w:val="0"/>
                  <w:checkBox>
                    <w:sizeAuto/>
                    <w:default w:val="1"/>
                  </w:checkBox>
                </w:ffData>
              </w:fldChar>
            </w:r>
            <w:r w:rsidR="00DD0DBA">
              <w:rPr>
                <w:rFonts w:ascii="Arial Narrow" w:hAnsi="Arial Narrow" w:cs="Arial"/>
                <w:sz w:val="20"/>
                <w:szCs w:val="20"/>
              </w:rPr>
              <w:instrText xml:space="preserve"> FORMCHECKBOX </w:instrText>
            </w:r>
            <w:r w:rsidR="00D950CC">
              <w:rPr>
                <w:rFonts w:ascii="Arial Narrow" w:hAnsi="Arial Narrow" w:cs="Arial"/>
                <w:sz w:val="20"/>
                <w:szCs w:val="20"/>
              </w:rPr>
            </w:r>
            <w:r w:rsidR="00D950CC">
              <w:rPr>
                <w:rFonts w:ascii="Arial Narrow" w:hAnsi="Arial Narrow" w:cs="Arial"/>
                <w:sz w:val="20"/>
                <w:szCs w:val="20"/>
              </w:rPr>
              <w:fldChar w:fldCharType="separate"/>
            </w:r>
            <w:r w:rsidR="00DD0DBA">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DD0DBA">
              <w:rPr>
                <w:rFonts w:ascii="Arial Narrow" w:hAnsi="Arial Narrow" w:cs="Arial"/>
                <w:sz w:val="20"/>
                <w:szCs w:val="20"/>
              </w:rPr>
              <w:fldChar w:fldCharType="begin">
                <w:ffData>
                  <w:name w:val="Check3"/>
                  <w:enabled/>
                  <w:calcOnExit w:val="0"/>
                  <w:checkBox>
                    <w:sizeAuto/>
                    <w:default w:val="1"/>
                  </w:checkBox>
                </w:ffData>
              </w:fldChar>
            </w:r>
            <w:bookmarkStart w:id="1" w:name="Check3"/>
            <w:r w:rsidR="00DD0DBA">
              <w:rPr>
                <w:rFonts w:ascii="Arial Narrow" w:hAnsi="Arial Narrow" w:cs="Arial"/>
                <w:sz w:val="20"/>
                <w:szCs w:val="20"/>
              </w:rPr>
              <w:instrText xml:space="preserve"> FORMCHECKBOX </w:instrText>
            </w:r>
            <w:r w:rsidR="00D950CC">
              <w:rPr>
                <w:rFonts w:ascii="Arial Narrow" w:hAnsi="Arial Narrow" w:cs="Arial"/>
                <w:sz w:val="20"/>
                <w:szCs w:val="20"/>
              </w:rPr>
            </w:r>
            <w:r w:rsidR="00D950CC">
              <w:rPr>
                <w:rFonts w:ascii="Arial Narrow" w:hAnsi="Arial Narrow" w:cs="Arial"/>
                <w:sz w:val="20"/>
                <w:szCs w:val="20"/>
              </w:rPr>
              <w:fldChar w:fldCharType="separate"/>
            </w:r>
            <w:r w:rsidR="00DD0DBA">
              <w:rPr>
                <w:rFonts w:ascii="Arial Narrow" w:hAnsi="Arial Narrow" w:cs="Arial"/>
                <w:sz w:val="20"/>
                <w:szCs w:val="20"/>
              </w:rPr>
              <w:fldChar w:fldCharType="end"/>
            </w:r>
            <w:bookmarkEnd w:id="1"/>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D950CC">
              <w:rPr>
                <w:rFonts w:ascii="Arial Narrow" w:hAnsi="Arial Narrow" w:cs="Arial"/>
                <w:sz w:val="20"/>
                <w:szCs w:val="20"/>
              </w:rPr>
            </w:r>
            <w:r w:rsidR="00D950C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D950CC">
              <w:rPr>
                <w:rFonts w:ascii="Arial Narrow" w:hAnsi="Arial Narrow" w:cs="Arial"/>
                <w:sz w:val="20"/>
                <w:szCs w:val="20"/>
              </w:rPr>
            </w:r>
            <w:r w:rsidR="00D950C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Episodicity:</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DD0DBA" w:rsidP="00C27B58">
            <w:pPr>
              <w:rPr>
                <w:rFonts w:ascii="Arial Narrow" w:hAnsi="Arial Narrow" w:cs="Arial"/>
                <w:sz w:val="20"/>
                <w:szCs w:val="20"/>
              </w:rPr>
            </w:pPr>
            <w:r>
              <w:rPr>
                <w:rFonts w:ascii="Arial Narrow" w:hAnsi="Arial Narrow" w:cs="Arial"/>
                <w:sz w:val="20"/>
                <w:szCs w:val="20"/>
              </w:rPr>
              <w:t>-</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DD0DBA" w:rsidP="00C27B58">
            <w:pPr>
              <w:rPr>
                <w:rFonts w:ascii="Arial Narrow" w:hAnsi="Arial Narrow" w:cs="Arial"/>
                <w:sz w:val="20"/>
                <w:szCs w:val="20"/>
              </w:rPr>
            </w:pPr>
            <w:r>
              <w:rPr>
                <w:rFonts w:ascii="Arial Narrow" w:hAnsi="Arial Narrow" w:cs="Arial"/>
                <w:sz w:val="20"/>
                <w:szCs w:val="20"/>
              </w:rPr>
              <w:t>-</w:t>
            </w:r>
          </w:p>
        </w:tc>
      </w:tr>
      <w:tr w:rsidR="00826F6D"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260CE3" w:rsidRDefault="00DD0DBA" w:rsidP="00C27B58">
            <w:pPr>
              <w:rPr>
                <w:rFonts w:ascii="Arial Narrow" w:hAnsi="Arial Narrow" w:cs="Arial"/>
                <w:sz w:val="20"/>
                <w:szCs w:val="20"/>
              </w:rPr>
            </w:pPr>
            <w:r>
              <w:rPr>
                <w:rFonts w:ascii="Arial Narrow" w:hAnsi="Arial Narrow" w:cs="Arial"/>
                <w:sz w:val="20"/>
                <w:szCs w:val="20"/>
              </w:rPr>
              <w:t>Dietary management of conditions requiring a source of medium chain triglycerides</w:t>
            </w:r>
          </w:p>
        </w:tc>
      </w:tr>
      <w:tr w:rsidR="00DD0DBA"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DD0DBA" w:rsidRPr="00260CE3" w:rsidRDefault="00DD0DBA" w:rsidP="00C27B58">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DD0DBA" w:rsidRPr="00260CE3" w:rsidRDefault="00DD0DBA" w:rsidP="00B4738D">
            <w:pPr>
              <w:rPr>
                <w:rFonts w:ascii="Arial Narrow" w:hAnsi="Arial Narrow" w:cs="Arial"/>
                <w:sz w:val="20"/>
                <w:szCs w:val="20"/>
              </w:rPr>
            </w:pPr>
            <w:r>
              <w:rPr>
                <w:rFonts w:ascii="Arial Narrow" w:hAnsi="Arial Narrow" w:cs="Arial"/>
                <w:sz w:val="20"/>
                <w:szCs w:val="20"/>
              </w:rPr>
              <w:t>Dietary management of conditions requiring a source of medium chain triglycerides</w:t>
            </w:r>
          </w:p>
        </w:tc>
      </w:tr>
      <w:tr w:rsidR="00DD0DBA"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DD0DBA" w:rsidRPr="00260CE3" w:rsidRDefault="00DD0DBA" w:rsidP="00C27B58">
            <w:pPr>
              <w:jc w:val="both"/>
              <w:rPr>
                <w:rFonts w:ascii="Arial Narrow" w:hAnsi="Arial Narrow" w:cs="Arial"/>
                <w:b/>
                <w:sz w:val="20"/>
                <w:szCs w:val="20"/>
              </w:rPr>
            </w:pPr>
            <w:r w:rsidRPr="00260CE3">
              <w:rPr>
                <w:rFonts w:ascii="Arial Narrow" w:hAnsi="Arial Narrow" w:cs="Arial"/>
                <w:b/>
                <w:sz w:val="20"/>
                <w:szCs w:val="20"/>
              </w:rPr>
              <w:t>Treatment phase:</w:t>
            </w:r>
          </w:p>
          <w:p w:rsidR="00DD0DBA" w:rsidRPr="00260CE3" w:rsidRDefault="00DD0DBA" w:rsidP="00C27B58">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DD0DBA" w:rsidRPr="00260CE3" w:rsidRDefault="00DD0DBA" w:rsidP="00C27B58">
            <w:pPr>
              <w:rPr>
                <w:rFonts w:ascii="Arial Narrow" w:hAnsi="Arial Narrow" w:cs="Arial"/>
                <w:sz w:val="20"/>
                <w:szCs w:val="20"/>
              </w:rPr>
            </w:pPr>
            <w:r>
              <w:rPr>
                <w:rFonts w:ascii="Arial Narrow" w:hAnsi="Arial Narrow" w:cs="Arial"/>
                <w:sz w:val="20"/>
                <w:szCs w:val="20"/>
              </w:rPr>
              <w:t>-</w:t>
            </w:r>
          </w:p>
        </w:tc>
      </w:tr>
      <w:tr w:rsidR="00DD0DBA"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DD0DBA" w:rsidRPr="00260CE3" w:rsidRDefault="00DD0DBA" w:rsidP="00C27B5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DD0DBA" w:rsidRPr="00260CE3" w:rsidRDefault="00DD0DBA"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DD0DBA" w:rsidRPr="00106BCF" w:rsidRDefault="00DD0DBA" w:rsidP="00C27B58">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2" w:name="Check1"/>
            <w:r>
              <w:rPr>
                <w:rFonts w:ascii="Arial Narrow" w:hAnsi="Arial Narrow" w:cs="Arial"/>
                <w:sz w:val="20"/>
                <w:szCs w:val="20"/>
              </w:rPr>
              <w:instrText xml:space="preserve"> FORMCHECKBOX </w:instrText>
            </w:r>
            <w:r w:rsidR="00D950CC">
              <w:rPr>
                <w:rFonts w:ascii="Arial Narrow" w:hAnsi="Arial Narrow" w:cs="Arial"/>
                <w:sz w:val="20"/>
                <w:szCs w:val="20"/>
              </w:rPr>
            </w:r>
            <w:r w:rsidR="00D950CC">
              <w:rPr>
                <w:rFonts w:ascii="Arial Narrow" w:hAnsi="Arial Narrow" w:cs="Arial"/>
                <w:sz w:val="20"/>
                <w:szCs w:val="20"/>
              </w:rPr>
              <w:fldChar w:fldCharType="separate"/>
            </w:r>
            <w:r>
              <w:rPr>
                <w:rFonts w:ascii="Arial Narrow" w:hAnsi="Arial Narrow" w:cs="Arial"/>
                <w:sz w:val="20"/>
                <w:szCs w:val="20"/>
              </w:rPr>
              <w:fldChar w:fldCharType="end"/>
            </w:r>
            <w:bookmarkEnd w:id="2"/>
            <w:r w:rsidRPr="00106BCF">
              <w:rPr>
                <w:rFonts w:ascii="Arial Narrow" w:hAnsi="Arial Narrow" w:cs="Arial"/>
                <w:sz w:val="20"/>
                <w:szCs w:val="20"/>
              </w:rPr>
              <w:t>Restricted benefit</w:t>
            </w:r>
          </w:p>
          <w:p w:rsidR="00DD0DBA" w:rsidRPr="00106BCF" w:rsidRDefault="00DD0DBA"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D950CC">
              <w:rPr>
                <w:rFonts w:ascii="Arial Narrow" w:hAnsi="Arial Narrow" w:cs="Arial"/>
                <w:sz w:val="20"/>
                <w:szCs w:val="20"/>
              </w:rPr>
            </w:r>
            <w:r w:rsidR="00D950C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DD0DBA" w:rsidRPr="00106BCF" w:rsidRDefault="00DD0DBA" w:rsidP="00C27B58">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D950CC">
              <w:rPr>
                <w:rFonts w:ascii="Arial Narrow" w:hAnsi="Arial Narrow" w:cs="Arial"/>
                <w:sz w:val="20"/>
                <w:szCs w:val="20"/>
              </w:rPr>
            </w:r>
            <w:r w:rsidR="00D950C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DD0DBA" w:rsidRPr="00106BCF" w:rsidRDefault="00DD0DBA"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D950CC">
              <w:rPr>
                <w:rFonts w:ascii="Arial Narrow" w:hAnsi="Arial Narrow" w:cs="Arial"/>
                <w:sz w:val="20"/>
                <w:szCs w:val="20"/>
              </w:rPr>
            </w:r>
            <w:r w:rsidR="00D950C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DD0DBA" w:rsidRPr="00106BCF" w:rsidRDefault="00DD0DBA"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D950CC">
              <w:rPr>
                <w:rFonts w:ascii="Arial Narrow" w:hAnsi="Arial Narrow" w:cs="Arial"/>
                <w:sz w:val="20"/>
                <w:szCs w:val="20"/>
              </w:rPr>
            </w:r>
            <w:r w:rsidR="00D950C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DD0DBA" w:rsidRPr="00260CE3" w:rsidRDefault="00DD0DBA"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D950CC">
              <w:rPr>
                <w:rFonts w:ascii="Arial Narrow" w:hAnsi="Arial Narrow" w:cs="Arial"/>
                <w:sz w:val="20"/>
                <w:szCs w:val="20"/>
              </w:rPr>
            </w:r>
            <w:r w:rsidR="00D950C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DD0DBA"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DD0DBA" w:rsidRPr="00260CE3" w:rsidRDefault="00DD0DBA" w:rsidP="00C27B58">
            <w:pPr>
              <w:rPr>
                <w:rFonts w:ascii="Arial Narrow" w:hAnsi="Arial Narrow" w:cs="Arial"/>
                <w:b/>
                <w:sz w:val="20"/>
                <w:szCs w:val="20"/>
              </w:rPr>
            </w:pPr>
            <w:r w:rsidRPr="00260CE3">
              <w:rPr>
                <w:rFonts w:ascii="Arial Narrow" w:hAnsi="Arial Narrow" w:cs="Arial"/>
                <w:b/>
                <w:sz w:val="20"/>
                <w:szCs w:val="20"/>
              </w:rPr>
              <w:t>Treatment criteria:</w:t>
            </w:r>
          </w:p>
          <w:p w:rsidR="00DD0DBA" w:rsidRPr="00260CE3" w:rsidRDefault="00DD0DBA" w:rsidP="00C27B58">
            <w:pPr>
              <w:rPr>
                <w:rFonts w:ascii="Arial Narrow" w:hAnsi="Arial Narrow" w:cs="Arial"/>
                <w:i/>
                <w:sz w:val="20"/>
                <w:szCs w:val="20"/>
              </w:rPr>
            </w:pPr>
          </w:p>
          <w:p w:rsidR="00DD0DBA" w:rsidRPr="00260CE3" w:rsidRDefault="00DD0DBA" w:rsidP="00DD0DBA">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DD0DBA" w:rsidRPr="00260CE3" w:rsidRDefault="00DD0DBA" w:rsidP="00C27B58">
            <w:pPr>
              <w:rPr>
                <w:rFonts w:ascii="Arial Narrow" w:hAnsi="Arial Narrow" w:cs="Arial"/>
                <w:sz w:val="20"/>
                <w:szCs w:val="20"/>
              </w:rPr>
            </w:pPr>
          </w:p>
          <w:p w:rsidR="00DD0DBA" w:rsidRPr="00260CE3" w:rsidRDefault="00DD0DBA" w:rsidP="00C27B58">
            <w:pPr>
              <w:rPr>
                <w:rFonts w:ascii="Arial Narrow" w:hAnsi="Arial Narrow" w:cs="Arial"/>
                <w:sz w:val="20"/>
                <w:szCs w:val="20"/>
              </w:rPr>
            </w:pPr>
            <w:r>
              <w:rPr>
                <w:rFonts w:ascii="Arial Narrow" w:hAnsi="Arial Narrow" w:cs="Arial"/>
                <w:sz w:val="20"/>
                <w:szCs w:val="20"/>
              </w:rPr>
              <w:t>-</w:t>
            </w:r>
          </w:p>
          <w:p w:rsidR="00DD0DBA" w:rsidRPr="00260CE3" w:rsidRDefault="00DD0DBA" w:rsidP="00C27B58">
            <w:pPr>
              <w:rPr>
                <w:rFonts w:ascii="Arial Narrow" w:hAnsi="Arial Narrow" w:cs="Arial"/>
                <w:sz w:val="20"/>
                <w:szCs w:val="20"/>
              </w:rPr>
            </w:pPr>
          </w:p>
          <w:p w:rsidR="00DD0DBA" w:rsidRPr="00260CE3" w:rsidRDefault="00DD0DBA" w:rsidP="00C27B58">
            <w:pPr>
              <w:rPr>
                <w:rFonts w:ascii="Arial Narrow" w:hAnsi="Arial Narrow" w:cs="Arial"/>
                <w:sz w:val="20"/>
                <w:szCs w:val="20"/>
              </w:rPr>
            </w:pPr>
          </w:p>
        </w:tc>
      </w:tr>
      <w:tr w:rsidR="00DD0DBA"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DD0DBA" w:rsidRPr="00260CE3" w:rsidRDefault="00DD0DBA" w:rsidP="00C27B58">
            <w:pPr>
              <w:jc w:val="both"/>
              <w:rPr>
                <w:rFonts w:ascii="Arial Narrow" w:hAnsi="Arial Narrow" w:cs="Arial"/>
                <w:b/>
                <w:sz w:val="20"/>
                <w:szCs w:val="20"/>
              </w:rPr>
            </w:pPr>
            <w:r w:rsidRPr="00260CE3">
              <w:rPr>
                <w:rFonts w:ascii="Arial Narrow" w:hAnsi="Arial Narrow" w:cs="Arial"/>
                <w:b/>
                <w:sz w:val="20"/>
                <w:szCs w:val="20"/>
              </w:rPr>
              <w:lastRenderedPageBreak/>
              <w:t>Clinical criteria:</w:t>
            </w:r>
          </w:p>
          <w:p w:rsidR="00DD0DBA" w:rsidRPr="00260CE3" w:rsidRDefault="00DD0DBA" w:rsidP="00C27B58">
            <w:pPr>
              <w:jc w:val="both"/>
              <w:rPr>
                <w:rFonts w:ascii="Arial Narrow" w:hAnsi="Arial Narrow" w:cs="Arial"/>
                <w:i/>
                <w:sz w:val="20"/>
                <w:szCs w:val="20"/>
              </w:rPr>
            </w:pPr>
          </w:p>
          <w:p w:rsidR="00DD0DBA" w:rsidRPr="00260CE3" w:rsidRDefault="00DD0DBA" w:rsidP="00DD0DBA">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DD0DBA" w:rsidRDefault="00DD0DBA" w:rsidP="00DD0DBA">
            <w:pPr>
              <w:rPr>
                <w:rFonts w:ascii="Arial Narrow" w:hAnsi="Arial Narrow" w:cs="Arial"/>
                <w:sz w:val="20"/>
                <w:szCs w:val="20"/>
              </w:rPr>
            </w:pPr>
            <w:r w:rsidRPr="00DD0DBA">
              <w:rPr>
                <w:rFonts w:ascii="Arial Narrow" w:hAnsi="Arial Narrow" w:cs="Arial"/>
                <w:sz w:val="20"/>
                <w:szCs w:val="20"/>
              </w:rPr>
              <w:t xml:space="preserve">Patient must have fat malabsorption due to liver disease; </w:t>
            </w:r>
          </w:p>
          <w:p w:rsidR="00DD0DBA" w:rsidRPr="00DD0DBA" w:rsidRDefault="00DD0DBA" w:rsidP="00DD0DBA">
            <w:pPr>
              <w:rPr>
                <w:rFonts w:ascii="Arial Narrow" w:hAnsi="Arial Narrow" w:cs="Arial"/>
                <w:sz w:val="20"/>
                <w:szCs w:val="20"/>
              </w:rPr>
            </w:pPr>
            <w:r w:rsidRPr="00DD0DBA">
              <w:rPr>
                <w:rFonts w:ascii="Arial Narrow" w:hAnsi="Arial Narrow" w:cs="Arial"/>
                <w:sz w:val="20"/>
                <w:szCs w:val="20"/>
              </w:rPr>
              <w:t>OR</w:t>
            </w:r>
          </w:p>
          <w:p w:rsidR="00DD0DBA" w:rsidRDefault="00DD0DBA" w:rsidP="00DD0DBA">
            <w:pPr>
              <w:rPr>
                <w:rFonts w:ascii="Arial Narrow" w:hAnsi="Arial Narrow" w:cs="Arial"/>
                <w:sz w:val="20"/>
                <w:szCs w:val="20"/>
              </w:rPr>
            </w:pPr>
            <w:r w:rsidRPr="00DD0DBA">
              <w:rPr>
                <w:rFonts w:ascii="Arial Narrow" w:hAnsi="Arial Narrow" w:cs="Arial"/>
                <w:sz w:val="20"/>
                <w:szCs w:val="20"/>
              </w:rPr>
              <w:t xml:space="preserve">Patient must have fat malabsorption due to short gut syndrome; </w:t>
            </w:r>
          </w:p>
          <w:p w:rsidR="00DD0DBA" w:rsidRPr="00DD0DBA" w:rsidRDefault="00DD0DBA" w:rsidP="00DD0DBA">
            <w:pPr>
              <w:rPr>
                <w:rFonts w:ascii="Arial Narrow" w:hAnsi="Arial Narrow" w:cs="Arial"/>
                <w:sz w:val="20"/>
                <w:szCs w:val="20"/>
              </w:rPr>
            </w:pPr>
            <w:r w:rsidRPr="00DD0DBA">
              <w:rPr>
                <w:rFonts w:ascii="Arial Narrow" w:hAnsi="Arial Narrow" w:cs="Arial"/>
                <w:sz w:val="20"/>
                <w:szCs w:val="20"/>
              </w:rPr>
              <w:t>OR</w:t>
            </w:r>
          </w:p>
          <w:p w:rsidR="00DD0DBA" w:rsidRDefault="00DD0DBA" w:rsidP="00DD0DBA">
            <w:pPr>
              <w:rPr>
                <w:rFonts w:ascii="Arial Narrow" w:hAnsi="Arial Narrow" w:cs="Arial"/>
                <w:sz w:val="20"/>
                <w:szCs w:val="20"/>
              </w:rPr>
            </w:pPr>
            <w:r w:rsidRPr="00DD0DBA">
              <w:rPr>
                <w:rFonts w:ascii="Arial Narrow" w:hAnsi="Arial Narrow" w:cs="Arial"/>
                <w:sz w:val="20"/>
                <w:szCs w:val="20"/>
              </w:rPr>
              <w:t xml:space="preserve">Patient must have fat malabsorption due to cystic fibrosis; </w:t>
            </w:r>
          </w:p>
          <w:p w:rsidR="00DD0DBA" w:rsidRPr="00DD0DBA" w:rsidRDefault="00DD0DBA" w:rsidP="00DD0DBA">
            <w:pPr>
              <w:rPr>
                <w:rFonts w:ascii="Arial Narrow" w:hAnsi="Arial Narrow" w:cs="Arial"/>
                <w:sz w:val="20"/>
                <w:szCs w:val="20"/>
              </w:rPr>
            </w:pPr>
            <w:r w:rsidRPr="00DD0DBA">
              <w:rPr>
                <w:rFonts w:ascii="Arial Narrow" w:hAnsi="Arial Narrow" w:cs="Arial"/>
                <w:sz w:val="20"/>
                <w:szCs w:val="20"/>
              </w:rPr>
              <w:t>OR</w:t>
            </w:r>
          </w:p>
          <w:p w:rsidR="00DD0DBA" w:rsidRPr="00260CE3" w:rsidRDefault="00DD0DBA" w:rsidP="00DD0DBA">
            <w:pPr>
              <w:rPr>
                <w:rFonts w:ascii="Arial Narrow" w:hAnsi="Arial Narrow" w:cs="Arial"/>
                <w:sz w:val="20"/>
                <w:szCs w:val="20"/>
              </w:rPr>
            </w:pPr>
            <w:r w:rsidRPr="00DD0DBA">
              <w:rPr>
                <w:rFonts w:ascii="Arial Narrow" w:hAnsi="Arial Narrow" w:cs="Arial"/>
                <w:sz w:val="20"/>
                <w:szCs w:val="20"/>
              </w:rPr>
              <w:t>Patient must have fat malabsorption due to gastrointestinal disorders.</w:t>
            </w:r>
          </w:p>
        </w:tc>
      </w:tr>
      <w:tr w:rsidR="00A14BDB"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BDB" w:rsidRPr="00260CE3" w:rsidRDefault="00A14BDB" w:rsidP="00C27B58">
            <w:pPr>
              <w:jc w:val="both"/>
              <w:rPr>
                <w:rFonts w:ascii="Arial Narrow" w:hAnsi="Arial Narrow" w:cs="Arial"/>
                <w:b/>
                <w:sz w:val="20"/>
                <w:szCs w:val="20"/>
              </w:rPr>
            </w:pPr>
            <w:r>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183561" w:rsidRPr="00CE1CCB" w:rsidRDefault="00183561" w:rsidP="00183561">
            <w:pPr>
              <w:rPr>
                <w:rFonts w:ascii="Arial Narrow" w:hAnsi="Arial Narrow" w:cs="Arial"/>
                <w:sz w:val="20"/>
                <w:u w:val="single"/>
              </w:rPr>
            </w:pPr>
            <w:r w:rsidRPr="00CE1CCB">
              <w:rPr>
                <w:rFonts w:ascii="Arial Narrow" w:hAnsi="Arial Narrow" w:cs="Arial"/>
                <w:sz w:val="20"/>
                <w:u w:val="single"/>
              </w:rPr>
              <w:t>Note:</w:t>
            </w:r>
          </w:p>
          <w:p w:rsidR="00183561" w:rsidRPr="00C71886" w:rsidRDefault="00183561" w:rsidP="00183561">
            <w:pPr>
              <w:rPr>
                <w:rFonts w:ascii="Arial Narrow" w:hAnsi="Arial Narrow" w:cs="Arial"/>
                <w:sz w:val="20"/>
              </w:rPr>
            </w:pPr>
            <w:r w:rsidRPr="00C71886">
              <w:rPr>
                <w:rFonts w:ascii="Arial Narrow" w:hAnsi="Arial Narrow" w:cs="Arial"/>
                <w:sz w:val="20"/>
              </w:rPr>
              <w:t>No increase in the maximum number of repeats may be authorised.</w:t>
            </w:r>
          </w:p>
          <w:p w:rsidR="00183561" w:rsidRPr="00CE1CCB" w:rsidRDefault="00183561" w:rsidP="00183561">
            <w:pPr>
              <w:rPr>
                <w:rFonts w:ascii="Arial Narrow" w:hAnsi="Arial Narrow" w:cs="Arial"/>
                <w:sz w:val="20"/>
                <w:u w:val="single"/>
              </w:rPr>
            </w:pPr>
            <w:r w:rsidRPr="00CE1CCB">
              <w:rPr>
                <w:rFonts w:ascii="Arial Narrow" w:hAnsi="Arial Narrow" w:cs="Arial"/>
                <w:sz w:val="20"/>
                <w:u w:val="single"/>
              </w:rPr>
              <w:t>Note:</w:t>
            </w:r>
          </w:p>
          <w:p w:rsidR="00183561" w:rsidRPr="00C71886" w:rsidRDefault="00183561" w:rsidP="00183561">
            <w:pPr>
              <w:rPr>
                <w:rFonts w:ascii="Arial Narrow" w:hAnsi="Arial Narrow" w:cs="Arial"/>
                <w:strike/>
                <w:sz w:val="20"/>
              </w:rPr>
            </w:pPr>
            <w:r w:rsidRPr="00C71886">
              <w:rPr>
                <w:rFonts w:ascii="Arial Narrow" w:hAnsi="Arial Narrow" w:cs="Arial"/>
                <w:strike/>
                <w:sz w:val="20"/>
              </w:rPr>
              <w:t>No increase in the maximum quantity or number of units may be authorised</w:t>
            </w:r>
          </w:p>
          <w:p w:rsidR="00183561" w:rsidRPr="00CE1CCB" w:rsidRDefault="00183561" w:rsidP="00183561">
            <w:pPr>
              <w:rPr>
                <w:rFonts w:ascii="Arial Narrow" w:hAnsi="Arial Narrow" w:cs="Arial"/>
                <w:sz w:val="20"/>
              </w:rPr>
            </w:pPr>
            <w:r w:rsidRPr="00CE1CCB">
              <w:rPr>
                <w:rFonts w:ascii="Arial Narrow" w:hAnsi="Arial Narrow" w:cs="Arial"/>
                <w:sz w:val="20"/>
              </w:rPr>
              <w:t>Authorities for increased maximum quantities, up to a ma</w:t>
            </w:r>
            <w:r>
              <w:rPr>
                <w:rFonts w:ascii="Arial Narrow" w:hAnsi="Arial Narrow" w:cs="Arial"/>
                <w:sz w:val="20"/>
              </w:rPr>
              <w:t>ximum of 20, may be authorised.</w:t>
            </w:r>
          </w:p>
          <w:p w:rsidR="00BA6BD1" w:rsidRDefault="00BA6BD1" w:rsidP="00DD0DBA">
            <w:pPr>
              <w:rPr>
                <w:rFonts w:ascii="Arial Narrow" w:hAnsi="Arial Narrow" w:cs="Arial"/>
                <w:sz w:val="20"/>
                <w:szCs w:val="20"/>
              </w:rPr>
            </w:pPr>
          </w:p>
          <w:p w:rsidR="00BA6BD1" w:rsidRPr="00BA6BD1" w:rsidRDefault="00BA6BD1" w:rsidP="00DD0DBA">
            <w:pPr>
              <w:rPr>
                <w:rFonts w:ascii="Arial Narrow" w:hAnsi="Arial Narrow" w:cs="Arial"/>
                <w:sz w:val="20"/>
                <w:szCs w:val="20"/>
                <w:u w:val="single"/>
              </w:rPr>
            </w:pPr>
            <w:r w:rsidRPr="00BA6BD1">
              <w:rPr>
                <w:rFonts w:ascii="Arial Narrow" w:hAnsi="Arial Narrow" w:cs="Arial"/>
                <w:sz w:val="20"/>
                <w:szCs w:val="20"/>
                <w:u w:val="single"/>
              </w:rPr>
              <w:t>Note:</w:t>
            </w:r>
          </w:p>
          <w:p w:rsidR="00BA6BD1" w:rsidRPr="00DD0DBA" w:rsidRDefault="00BA6BD1" w:rsidP="00DD0DBA">
            <w:pPr>
              <w:rPr>
                <w:rFonts w:ascii="Arial Narrow" w:hAnsi="Arial Narrow" w:cs="Arial"/>
                <w:sz w:val="20"/>
                <w:szCs w:val="20"/>
              </w:rPr>
            </w:pPr>
            <w:r>
              <w:rPr>
                <w:rFonts w:ascii="Arial Narrow" w:hAnsi="Arial Narrow" w:cs="Arial"/>
                <w:sz w:val="20"/>
                <w:szCs w:val="20"/>
              </w:rPr>
              <w:t>Not indicated for the treatment of intractable childhood epilepsy or cerebrospinal fluid glucose transporter defect requiring a ketogenic diet</w:t>
            </w:r>
          </w:p>
        </w:tc>
      </w:tr>
    </w:tbl>
    <w:p w:rsidR="00826F6D" w:rsidRPr="00826F6D" w:rsidRDefault="00826F6D" w:rsidP="00826F6D">
      <w:pPr>
        <w:pStyle w:val="ListParagraph"/>
        <w:jc w:val="both"/>
        <w:rPr>
          <w:rFonts w:ascii="Arial" w:hAnsi="Arial"/>
          <w:sz w:val="22"/>
          <w:szCs w:val="22"/>
        </w:rPr>
      </w:pPr>
    </w:p>
    <w:p w:rsidR="00BB7EC3" w:rsidRPr="00136CDA" w:rsidRDefault="00BB7EC3" w:rsidP="00882085">
      <w:pPr>
        <w:jc w:val="both"/>
        <w:rPr>
          <w:rFonts w:ascii="Arial" w:hAnsi="Arial"/>
          <w:b/>
          <w:sz w:val="22"/>
          <w:szCs w:val="22"/>
        </w:rPr>
      </w:pPr>
    </w:p>
    <w:p w:rsidR="00CE10C4" w:rsidRPr="00136CDA" w:rsidRDefault="00CE10C4" w:rsidP="00882085">
      <w:pPr>
        <w:pStyle w:val="ListParagraph"/>
        <w:numPr>
          <w:ilvl w:val="0"/>
          <w:numId w:val="25"/>
        </w:numPr>
        <w:jc w:val="both"/>
        <w:rPr>
          <w:rFonts w:ascii="Arial" w:hAnsi="Arial"/>
          <w:sz w:val="22"/>
          <w:szCs w:val="22"/>
        </w:rPr>
      </w:pPr>
      <w:r w:rsidRPr="00136CDA">
        <w:rPr>
          <w:rFonts w:ascii="Arial" w:hAnsi="Arial"/>
          <w:b/>
          <w:sz w:val="22"/>
          <w:szCs w:val="22"/>
        </w:rPr>
        <w:t>Background</w:t>
      </w:r>
    </w:p>
    <w:p w:rsidR="006A12A5" w:rsidRPr="00136CDA" w:rsidRDefault="006A12A5" w:rsidP="00882085">
      <w:pPr>
        <w:jc w:val="both"/>
        <w:rPr>
          <w:rFonts w:ascii="Arial" w:hAnsi="Arial"/>
          <w:sz w:val="22"/>
          <w:szCs w:val="22"/>
        </w:rPr>
      </w:pPr>
    </w:p>
    <w:p w:rsidR="002B1AE6" w:rsidRPr="00136CDA" w:rsidRDefault="0048526E" w:rsidP="00882085">
      <w:pPr>
        <w:pStyle w:val="ListParagraph"/>
        <w:numPr>
          <w:ilvl w:val="1"/>
          <w:numId w:val="25"/>
        </w:numPr>
        <w:jc w:val="both"/>
        <w:rPr>
          <w:rFonts w:ascii="Arial" w:hAnsi="Arial"/>
          <w:sz w:val="22"/>
          <w:szCs w:val="22"/>
        </w:rPr>
      </w:pPr>
      <w:r w:rsidRPr="00136CDA">
        <w:rPr>
          <w:rFonts w:ascii="Arial" w:hAnsi="Arial"/>
          <w:sz w:val="22"/>
          <w:szCs w:val="22"/>
        </w:rPr>
        <w:t>Peptamen</w:t>
      </w:r>
      <w:r w:rsidR="00851885" w:rsidRPr="00136CDA">
        <w:rPr>
          <w:rFonts w:ascii="Arial" w:hAnsi="Arial"/>
          <w:b/>
          <w:sz w:val="22"/>
          <w:szCs w:val="22"/>
          <w:vertAlign w:val="superscript"/>
        </w:rPr>
        <w:t>®</w:t>
      </w:r>
      <w:r w:rsidRPr="00136CDA">
        <w:rPr>
          <w:rFonts w:ascii="Arial" w:hAnsi="Arial"/>
          <w:sz w:val="22"/>
          <w:szCs w:val="22"/>
        </w:rPr>
        <w:t xml:space="preserve"> Junior does not require registration with the TGA. It is classified as a “Food for Special Medical Purpose” regulated under the Australia New Zealand Food Standards Code and complies with this standard.</w:t>
      </w:r>
      <w:r w:rsidR="002B1AE6" w:rsidRPr="00136CDA">
        <w:rPr>
          <w:rFonts w:ascii="Arial" w:hAnsi="Arial"/>
          <w:sz w:val="22"/>
          <w:szCs w:val="22"/>
        </w:rPr>
        <w:t xml:space="preserve"> </w:t>
      </w:r>
    </w:p>
    <w:p w:rsidR="006B0D94" w:rsidRPr="00136CDA" w:rsidRDefault="006B0D94" w:rsidP="00882085">
      <w:pPr>
        <w:pStyle w:val="ListParagraph"/>
        <w:jc w:val="both"/>
        <w:rPr>
          <w:rFonts w:ascii="Arial" w:hAnsi="Arial"/>
          <w:sz w:val="22"/>
          <w:szCs w:val="22"/>
        </w:rPr>
      </w:pPr>
    </w:p>
    <w:p w:rsidR="00326E79" w:rsidRPr="00136CDA" w:rsidRDefault="009B02C2" w:rsidP="00882085">
      <w:pPr>
        <w:pStyle w:val="ListParagraph"/>
        <w:numPr>
          <w:ilvl w:val="1"/>
          <w:numId w:val="25"/>
        </w:numPr>
        <w:jc w:val="both"/>
        <w:rPr>
          <w:rFonts w:ascii="Arial" w:hAnsi="Arial"/>
          <w:sz w:val="22"/>
          <w:szCs w:val="22"/>
        </w:rPr>
      </w:pPr>
      <w:r w:rsidRPr="00136CDA">
        <w:rPr>
          <w:rFonts w:ascii="Arial" w:hAnsi="Arial"/>
          <w:sz w:val="22"/>
          <w:szCs w:val="22"/>
        </w:rPr>
        <w:t>Pep</w:t>
      </w:r>
      <w:r w:rsidR="0055023F" w:rsidRPr="00136CDA">
        <w:rPr>
          <w:rFonts w:ascii="Arial" w:hAnsi="Arial"/>
          <w:sz w:val="22"/>
          <w:szCs w:val="22"/>
        </w:rPr>
        <w:t>ta</w:t>
      </w:r>
      <w:r w:rsidRPr="00136CDA">
        <w:rPr>
          <w:rFonts w:ascii="Arial" w:hAnsi="Arial"/>
          <w:sz w:val="22"/>
          <w:szCs w:val="22"/>
        </w:rPr>
        <w:t>men</w:t>
      </w:r>
      <w:r w:rsidR="00851885" w:rsidRPr="00136CDA">
        <w:rPr>
          <w:rFonts w:ascii="Arial" w:hAnsi="Arial"/>
          <w:b/>
          <w:sz w:val="22"/>
          <w:szCs w:val="22"/>
          <w:vertAlign w:val="superscript"/>
        </w:rPr>
        <w:t>®</w:t>
      </w:r>
      <w:r w:rsidRPr="00136CDA">
        <w:rPr>
          <w:rFonts w:ascii="Arial" w:hAnsi="Arial" w:cs="Arial"/>
          <w:sz w:val="22"/>
          <w:szCs w:val="22"/>
          <w:vertAlign w:val="superscript"/>
        </w:rPr>
        <w:t xml:space="preserve"> </w:t>
      </w:r>
      <w:r w:rsidRPr="00136CDA">
        <w:rPr>
          <w:rFonts w:ascii="Arial" w:hAnsi="Arial" w:cs="Arial"/>
          <w:sz w:val="22"/>
          <w:szCs w:val="22"/>
        </w:rPr>
        <w:t>Junior has been considered by the PBAC p</w:t>
      </w:r>
      <w:r w:rsidR="00E80737" w:rsidRPr="00136CDA">
        <w:rPr>
          <w:rFonts w:ascii="Arial" w:hAnsi="Arial" w:cs="Arial"/>
          <w:sz w:val="22"/>
          <w:szCs w:val="22"/>
        </w:rPr>
        <w:t>reviously at the July 2014 meeting.</w:t>
      </w:r>
      <w:r w:rsidR="007565FA" w:rsidRPr="00136CDA">
        <w:rPr>
          <w:rFonts w:ascii="Arial" w:hAnsi="Arial"/>
          <w:sz w:val="22"/>
          <w:szCs w:val="22"/>
        </w:rPr>
        <w:t xml:space="preserve"> The PBAC </w:t>
      </w:r>
      <w:r w:rsidR="0055023F" w:rsidRPr="00136CDA">
        <w:rPr>
          <w:rFonts w:ascii="Arial" w:hAnsi="Arial"/>
          <w:sz w:val="22"/>
          <w:szCs w:val="22"/>
        </w:rPr>
        <w:t>recommended the listing of Pepta</w:t>
      </w:r>
      <w:r w:rsidR="007565FA" w:rsidRPr="00136CDA">
        <w:rPr>
          <w:rFonts w:ascii="Arial" w:hAnsi="Arial"/>
          <w:sz w:val="22"/>
          <w:szCs w:val="22"/>
        </w:rPr>
        <w:t>men</w:t>
      </w:r>
      <w:r w:rsidR="00851885" w:rsidRPr="00136CDA">
        <w:rPr>
          <w:rFonts w:ascii="Arial" w:hAnsi="Arial"/>
          <w:b/>
          <w:sz w:val="22"/>
          <w:szCs w:val="22"/>
          <w:vertAlign w:val="superscript"/>
        </w:rPr>
        <w:t>®</w:t>
      </w:r>
      <w:r w:rsidR="007565FA" w:rsidRPr="00136CDA">
        <w:rPr>
          <w:rFonts w:ascii="Arial" w:hAnsi="Arial"/>
          <w:sz w:val="22"/>
          <w:szCs w:val="22"/>
        </w:rPr>
        <w:t xml:space="preserve"> Junior with the same restriction wording as the comparator Monogen</w:t>
      </w:r>
      <w:r w:rsidR="00851885" w:rsidRPr="00136CDA">
        <w:rPr>
          <w:rFonts w:ascii="Arial" w:hAnsi="Arial"/>
          <w:b/>
          <w:sz w:val="22"/>
          <w:szCs w:val="22"/>
          <w:vertAlign w:val="superscript"/>
        </w:rPr>
        <w:t>®</w:t>
      </w:r>
      <w:r w:rsidR="007565FA" w:rsidRPr="00136CDA">
        <w:rPr>
          <w:rFonts w:ascii="Arial" w:hAnsi="Arial"/>
          <w:sz w:val="22"/>
          <w:szCs w:val="22"/>
        </w:rPr>
        <w:t xml:space="preserve"> on advice from the Nutritional Product</w:t>
      </w:r>
      <w:r w:rsidR="00851885" w:rsidRPr="00136CDA">
        <w:rPr>
          <w:rFonts w:ascii="Arial" w:hAnsi="Arial"/>
          <w:sz w:val="22"/>
          <w:szCs w:val="22"/>
        </w:rPr>
        <w:t>s</w:t>
      </w:r>
      <w:r w:rsidR="007565FA" w:rsidRPr="00136CDA">
        <w:rPr>
          <w:rFonts w:ascii="Arial" w:hAnsi="Arial"/>
          <w:sz w:val="22"/>
          <w:szCs w:val="22"/>
        </w:rPr>
        <w:t xml:space="preserve"> Working Party. The PBAC also recommend</w:t>
      </w:r>
      <w:r w:rsidR="0055023F" w:rsidRPr="00136CDA">
        <w:rPr>
          <w:rFonts w:ascii="Arial" w:hAnsi="Arial"/>
          <w:sz w:val="22"/>
          <w:szCs w:val="22"/>
        </w:rPr>
        <w:t>ed that the restriction of Pepta</w:t>
      </w:r>
      <w:r w:rsidR="007565FA" w:rsidRPr="00136CDA">
        <w:rPr>
          <w:rFonts w:ascii="Arial" w:hAnsi="Arial"/>
          <w:sz w:val="22"/>
          <w:szCs w:val="22"/>
        </w:rPr>
        <w:t>men</w:t>
      </w:r>
      <w:r w:rsidR="00851885" w:rsidRPr="00136CDA">
        <w:rPr>
          <w:rFonts w:ascii="Arial" w:hAnsi="Arial"/>
          <w:b/>
          <w:sz w:val="22"/>
          <w:szCs w:val="22"/>
          <w:vertAlign w:val="superscript"/>
        </w:rPr>
        <w:t>®</w:t>
      </w:r>
      <w:r w:rsidR="007565FA" w:rsidRPr="00136CDA">
        <w:rPr>
          <w:rFonts w:ascii="Arial" w:hAnsi="Arial"/>
          <w:sz w:val="22"/>
          <w:szCs w:val="22"/>
        </w:rPr>
        <w:t xml:space="preserve"> Junior should include the same administrative notes as currently apply to the listings of Monogen</w:t>
      </w:r>
      <w:r w:rsidR="00851885" w:rsidRPr="00136CDA">
        <w:rPr>
          <w:rFonts w:ascii="Arial" w:hAnsi="Arial"/>
          <w:b/>
          <w:sz w:val="22"/>
          <w:szCs w:val="22"/>
          <w:vertAlign w:val="superscript"/>
        </w:rPr>
        <w:t>®</w:t>
      </w:r>
      <w:r w:rsidR="007565FA" w:rsidRPr="00136CDA">
        <w:rPr>
          <w:rFonts w:ascii="Arial" w:hAnsi="Arial"/>
          <w:sz w:val="22"/>
          <w:szCs w:val="22"/>
        </w:rPr>
        <w:t xml:space="preserve"> and Lipstart</w:t>
      </w:r>
      <w:r w:rsidR="00851885" w:rsidRPr="00136CDA">
        <w:rPr>
          <w:rFonts w:ascii="Arial" w:hAnsi="Arial"/>
          <w:b/>
          <w:sz w:val="22"/>
          <w:szCs w:val="22"/>
          <w:vertAlign w:val="superscript"/>
        </w:rPr>
        <w:t>®</w:t>
      </w:r>
      <w:r w:rsidR="007565FA" w:rsidRPr="00136CDA">
        <w:rPr>
          <w:rFonts w:ascii="Arial" w:hAnsi="Arial"/>
          <w:sz w:val="22"/>
          <w:szCs w:val="22"/>
        </w:rPr>
        <w:t>.</w:t>
      </w:r>
    </w:p>
    <w:p w:rsidR="006A12A5" w:rsidRPr="00136CDA" w:rsidRDefault="006A12A5" w:rsidP="00882085">
      <w:pPr>
        <w:pStyle w:val="ListParagraph"/>
        <w:jc w:val="both"/>
        <w:rPr>
          <w:rFonts w:ascii="Arial" w:hAnsi="Arial"/>
          <w:sz w:val="22"/>
          <w:szCs w:val="22"/>
        </w:rPr>
      </w:pPr>
    </w:p>
    <w:p w:rsidR="00BB7EC3" w:rsidRPr="00136CDA" w:rsidRDefault="00BC303A" w:rsidP="005A3223">
      <w:pPr>
        <w:pStyle w:val="ListParagraph"/>
        <w:numPr>
          <w:ilvl w:val="1"/>
          <w:numId w:val="25"/>
        </w:numPr>
        <w:jc w:val="both"/>
        <w:rPr>
          <w:rFonts w:ascii="Arial" w:hAnsi="Arial"/>
          <w:sz w:val="22"/>
          <w:szCs w:val="22"/>
        </w:rPr>
      </w:pPr>
      <w:r w:rsidRPr="00136CDA">
        <w:rPr>
          <w:rFonts w:ascii="Arial" w:hAnsi="Arial"/>
          <w:sz w:val="22"/>
          <w:szCs w:val="22"/>
        </w:rPr>
        <w:t>At its March 2012 meeting</w:t>
      </w:r>
      <w:r w:rsidR="00F3635C" w:rsidRPr="00136CDA">
        <w:rPr>
          <w:rFonts w:ascii="Arial" w:hAnsi="Arial"/>
          <w:sz w:val="22"/>
          <w:szCs w:val="22"/>
        </w:rPr>
        <w:t>,</w:t>
      </w:r>
      <w:r w:rsidRPr="00136CDA">
        <w:rPr>
          <w:rFonts w:ascii="Arial" w:hAnsi="Arial"/>
          <w:sz w:val="22"/>
          <w:szCs w:val="22"/>
        </w:rPr>
        <w:t xml:space="preserve"> t</w:t>
      </w:r>
      <w:r w:rsidR="00A4185E" w:rsidRPr="00136CDA">
        <w:rPr>
          <w:rFonts w:ascii="Arial" w:hAnsi="Arial"/>
          <w:sz w:val="22"/>
          <w:szCs w:val="22"/>
        </w:rPr>
        <w:t>he PBAC recommended</w:t>
      </w:r>
      <w:r w:rsidRPr="00136CDA">
        <w:rPr>
          <w:rFonts w:ascii="Arial" w:hAnsi="Arial"/>
          <w:sz w:val="22"/>
          <w:szCs w:val="22"/>
        </w:rPr>
        <w:t xml:space="preserve"> the</w:t>
      </w:r>
      <w:r w:rsidR="00A4185E" w:rsidRPr="00136CDA">
        <w:rPr>
          <w:rFonts w:ascii="Arial" w:hAnsi="Arial"/>
          <w:sz w:val="22"/>
          <w:szCs w:val="22"/>
        </w:rPr>
        <w:t xml:space="preserve"> listing </w:t>
      </w:r>
      <w:r w:rsidRPr="00136CDA">
        <w:rPr>
          <w:rFonts w:ascii="Arial" w:hAnsi="Arial"/>
          <w:sz w:val="22"/>
          <w:szCs w:val="22"/>
        </w:rPr>
        <w:t xml:space="preserve">of </w:t>
      </w:r>
      <w:r w:rsidR="00A4185E" w:rsidRPr="00136CDA">
        <w:rPr>
          <w:rFonts w:ascii="Arial" w:hAnsi="Arial"/>
          <w:sz w:val="22"/>
          <w:szCs w:val="22"/>
        </w:rPr>
        <w:t>Lipistart</w:t>
      </w:r>
      <w:r w:rsidR="00851885" w:rsidRPr="00136CDA">
        <w:rPr>
          <w:rFonts w:ascii="Arial" w:hAnsi="Arial"/>
          <w:b/>
          <w:sz w:val="22"/>
          <w:szCs w:val="22"/>
          <w:vertAlign w:val="superscript"/>
        </w:rPr>
        <w:t>®</w:t>
      </w:r>
      <w:r w:rsidR="00A4185E" w:rsidRPr="00136CDA">
        <w:rPr>
          <w:rFonts w:ascii="Arial" w:hAnsi="Arial"/>
          <w:sz w:val="22"/>
          <w:szCs w:val="22"/>
        </w:rPr>
        <w:t xml:space="preserve"> on a cost-minimisation basis to Monogen</w:t>
      </w:r>
      <w:r w:rsidR="00851885" w:rsidRPr="00136CDA">
        <w:rPr>
          <w:rFonts w:ascii="Arial" w:hAnsi="Arial"/>
          <w:b/>
          <w:sz w:val="22"/>
          <w:szCs w:val="22"/>
          <w:vertAlign w:val="superscript"/>
        </w:rPr>
        <w:t>®</w:t>
      </w:r>
      <w:r w:rsidR="00A4185E" w:rsidRPr="00136CDA">
        <w:rPr>
          <w:rFonts w:ascii="Arial" w:hAnsi="Arial"/>
          <w:sz w:val="22"/>
          <w:szCs w:val="22"/>
        </w:rPr>
        <w:t>. Lipistart</w:t>
      </w:r>
      <w:r w:rsidR="00851885" w:rsidRPr="00136CDA">
        <w:rPr>
          <w:rFonts w:ascii="Arial" w:hAnsi="Arial"/>
          <w:b/>
          <w:sz w:val="22"/>
          <w:szCs w:val="22"/>
          <w:vertAlign w:val="superscript"/>
        </w:rPr>
        <w:t>®</w:t>
      </w:r>
      <w:r w:rsidR="00A4185E" w:rsidRPr="00136CDA">
        <w:rPr>
          <w:rFonts w:ascii="Arial" w:hAnsi="Arial"/>
          <w:sz w:val="22"/>
          <w:szCs w:val="22"/>
        </w:rPr>
        <w:t xml:space="preserve"> and Monogen</w:t>
      </w:r>
      <w:r w:rsidR="00851885" w:rsidRPr="00136CDA">
        <w:rPr>
          <w:rFonts w:ascii="Arial" w:hAnsi="Arial"/>
          <w:b/>
          <w:sz w:val="22"/>
          <w:szCs w:val="22"/>
          <w:vertAlign w:val="superscript"/>
        </w:rPr>
        <w:t>®</w:t>
      </w:r>
      <w:r w:rsidR="00A4185E" w:rsidRPr="00136CDA">
        <w:rPr>
          <w:rFonts w:ascii="Arial" w:hAnsi="Arial"/>
          <w:sz w:val="22"/>
          <w:szCs w:val="22"/>
        </w:rPr>
        <w:t xml:space="preserve"> were considered to be therapeutically equivalent and are presented as 400g X 8 tins.</w:t>
      </w:r>
    </w:p>
    <w:p w:rsidR="007F4B64" w:rsidRPr="00136CDA" w:rsidRDefault="007F4B64" w:rsidP="007F4B64">
      <w:pPr>
        <w:pStyle w:val="ListParagraph"/>
        <w:jc w:val="both"/>
        <w:rPr>
          <w:rFonts w:ascii="Arial" w:hAnsi="Arial"/>
          <w:sz w:val="22"/>
          <w:szCs w:val="22"/>
        </w:rPr>
      </w:pPr>
    </w:p>
    <w:p w:rsidR="008A1956" w:rsidRPr="00136CDA" w:rsidRDefault="008A1956" w:rsidP="00476245">
      <w:pPr>
        <w:jc w:val="both"/>
        <w:rPr>
          <w:rFonts w:ascii="Arial" w:hAnsi="Arial"/>
          <w:sz w:val="22"/>
          <w:szCs w:val="22"/>
        </w:rPr>
      </w:pPr>
    </w:p>
    <w:p w:rsidR="000B558D" w:rsidRPr="00136CDA" w:rsidRDefault="008D7A41" w:rsidP="00D84934">
      <w:pPr>
        <w:pStyle w:val="Header"/>
        <w:numPr>
          <w:ilvl w:val="0"/>
          <w:numId w:val="25"/>
        </w:numPr>
        <w:tabs>
          <w:tab w:val="clear" w:pos="4153"/>
          <w:tab w:val="clear" w:pos="8306"/>
        </w:tabs>
        <w:jc w:val="both"/>
        <w:rPr>
          <w:rFonts w:ascii="Arial" w:hAnsi="Arial"/>
          <w:b/>
          <w:sz w:val="22"/>
          <w:szCs w:val="22"/>
        </w:rPr>
      </w:pPr>
      <w:r w:rsidRPr="00136CDA">
        <w:rPr>
          <w:rFonts w:ascii="Arial" w:hAnsi="Arial"/>
          <w:b/>
          <w:sz w:val="22"/>
          <w:szCs w:val="22"/>
        </w:rPr>
        <w:t>C</w:t>
      </w:r>
      <w:r w:rsidR="00D84934" w:rsidRPr="00136CDA">
        <w:rPr>
          <w:rFonts w:ascii="Arial" w:hAnsi="Arial"/>
          <w:b/>
          <w:sz w:val="22"/>
          <w:szCs w:val="22"/>
        </w:rPr>
        <w:t>onsideration of the evidence</w:t>
      </w:r>
    </w:p>
    <w:p w:rsidR="003A3DEF" w:rsidRPr="00136CDA" w:rsidRDefault="003A3DEF" w:rsidP="003A3DEF">
      <w:pPr>
        <w:ind w:left="709"/>
        <w:rPr>
          <w:rFonts w:ascii="Arial" w:hAnsi="Arial" w:cs="Arial"/>
          <w:b/>
          <w:sz w:val="22"/>
          <w:szCs w:val="22"/>
        </w:rPr>
      </w:pPr>
    </w:p>
    <w:p w:rsidR="003A3DEF" w:rsidRPr="00136CDA" w:rsidRDefault="003A3DEF" w:rsidP="003A3DEF">
      <w:pPr>
        <w:widowControl w:val="0"/>
        <w:numPr>
          <w:ilvl w:val="1"/>
          <w:numId w:val="25"/>
        </w:numPr>
        <w:contextualSpacing/>
        <w:jc w:val="both"/>
        <w:rPr>
          <w:rFonts w:ascii="Arial" w:hAnsi="Arial" w:cs="Arial"/>
          <w:sz w:val="22"/>
          <w:szCs w:val="22"/>
        </w:rPr>
      </w:pPr>
      <w:r w:rsidRPr="00136CDA">
        <w:rPr>
          <w:rFonts w:ascii="Arial" w:hAnsi="Arial" w:cs="Arial"/>
          <w:sz w:val="22"/>
          <w:szCs w:val="22"/>
        </w:rPr>
        <w:t>There was no sponsor hearing for this item, as it was a minor submission.</w:t>
      </w:r>
    </w:p>
    <w:p w:rsidR="003A3DEF" w:rsidRPr="00136CDA" w:rsidRDefault="003A3DEF" w:rsidP="003A3DEF">
      <w:pPr>
        <w:contextualSpacing/>
        <w:rPr>
          <w:rFonts w:ascii="Arial" w:hAnsi="Arial" w:cs="Arial"/>
          <w:sz w:val="22"/>
          <w:szCs w:val="22"/>
        </w:rPr>
      </w:pPr>
    </w:p>
    <w:p w:rsidR="003A3DEF" w:rsidRDefault="003A3DEF" w:rsidP="003A3DEF">
      <w:pPr>
        <w:widowControl w:val="0"/>
        <w:numPr>
          <w:ilvl w:val="1"/>
          <w:numId w:val="25"/>
        </w:numPr>
        <w:contextualSpacing/>
        <w:jc w:val="both"/>
        <w:rPr>
          <w:rFonts w:ascii="Arial" w:hAnsi="Arial" w:cs="Arial"/>
          <w:sz w:val="22"/>
          <w:szCs w:val="22"/>
        </w:rPr>
      </w:pPr>
      <w:r w:rsidRPr="00136CDA">
        <w:rPr>
          <w:rFonts w:ascii="Arial" w:hAnsi="Arial" w:cs="Arial"/>
          <w:sz w:val="22"/>
          <w:szCs w:val="22"/>
        </w:rPr>
        <w:t xml:space="preserve"> The PBAC noted that no consumer comments were received for this item.</w:t>
      </w:r>
    </w:p>
    <w:p w:rsidR="001D0FD1" w:rsidRPr="00136CDA" w:rsidRDefault="001D0FD1" w:rsidP="001D0FD1">
      <w:pPr>
        <w:widowControl w:val="0"/>
        <w:contextualSpacing/>
        <w:jc w:val="both"/>
        <w:rPr>
          <w:rFonts w:ascii="Arial" w:hAnsi="Arial" w:cs="Arial"/>
          <w:sz w:val="22"/>
          <w:szCs w:val="22"/>
        </w:rPr>
      </w:pPr>
    </w:p>
    <w:p w:rsidR="0076420C" w:rsidRPr="00136CDA" w:rsidRDefault="0076420C" w:rsidP="00D84934">
      <w:pPr>
        <w:pStyle w:val="ListParagraph"/>
        <w:numPr>
          <w:ilvl w:val="1"/>
          <w:numId w:val="25"/>
        </w:numPr>
        <w:jc w:val="both"/>
        <w:rPr>
          <w:rFonts w:ascii="Arial" w:hAnsi="Arial"/>
          <w:sz w:val="22"/>
          <w:szCs w:val="22"/>
        </w:rPr>
      </w:pPr>
      <w:r w:rsidRPr="00136CDA">
        <w:rPr>
          <w:rFonts w:ascii="Arial" w:hAnsi="Arial"/>
          <w:sz w:val="22"/>
          <w:szCs w:val="22"/>
        </w:rPr>
        <w:t>As a minor submission, no new clinical trials are presented in the re-submission.</w:t>
      </w:r>
    </w:p>
    <w:p w:rsidR="003C10F5" w:rsidRPr="00136CDA" w:rsidRDefault="003C10F5" w:rsidP="003C10F5">
      <w:pPr>
        <w:pStyle w:val="ListParagraph"/>
        <w:jc w:val="both"/>
        <w:rPr>
          <w:rFonts w:ascii="Arial" w:hAnsi="Arial"/>
          <w:sz w:val="22"/>
          <w:szCs w:val="22"/>
        </w:rPr>
      </w:pPr>
    </w:p>
    <w:p w:rsidR="00FC3F10" w:rsidRPr="00136CDA" w:rsidRDefault="00FC3F10" w:rsidP="00FC3F10">
      <w:pPr>
        <w:pStyle w:val="ListParagraph"/>
        <w:numPr>
          <w:ilvl w:val="1"/>
          <w:numId w:val="25"/>
        </w:numPr>
        <w:jc w:val="both"/>
        <w:rPr>
          <w:rFonts w:ascii="Arial" w:hAnsi="Arial"/>
          <w:sz w:val="22"/>
          <w:szCs w:val="22"/>
        </w:rPr>
      </w:pPr>
      <w:r w:rsidRPr="00136CDA">
        <w:rPr>
          <w:rFonts w:ascii="Arial" w:hAnsi="Arial"/>
          <w:sz w:val="22"/>
          <w:szCs w:val="22"/>
        </w:rPr>
        <w:t>The submission claims that an increase of up to 20 cans would allow 30 days of treatment. The submission provides</w:t>
      </w:r>
      <w:r w:rsidR="00FC66D9" w:rsidRPr="00136CDA">
        <w:rPr>
          <w:rFonts w:ascii="Arial" w:hAnsi="Arial"/>
          <w:sz w:val="22"/>
          <w:szCs w:val="22"/>
        </w:rPr>
        <w:t>:</w:t>
      </w:r>
      <w:r w:rsidRPr="00136CDA">
        <w:rPr>
          <w:rFonts w:ascii="Arial" w:hAnsi="Arial"/>
          <w:sz w:val="22"/>
          <w:szCs w:val="22"/>
        </w:rPr>
        <w:t xml:space="preserve"> </w:t>
      </w:r>
    </w:p>
    <w:p w:rsidR="00FC3F10" w:rsidRPr="00136CDA" w:rsidRDefault="00FC3F10" w:rsidP="007565FA">
      <w:pPr>
        <w:pStyle w:val="ListParagraph"/>
        <w:numPr>
          <w:ilvl w:val="1"/>
          <w:numId w:val="44"/>
        </w:numPr>
        <w:ind w:left="993" w:hanging="426"/>
        <w:jc w:val="both"/>
        <w:rPr>
          <w:rFonts w:ascii="Arial" w:hAnsi="Arial"/>
          <w:sz w:val="22"/>
          <w:szCs w:val="22"/>
        </w:rPr>
      </w:pPr>
      <w:r w:rsidRPr="00136CDA">
        <w:rPr>
          <w:rFonts w:ascii="Arial" w:hAnsi="Arial"/>
          <w:sz w:val="22"/>
          <w:szCs w:val="22"/>
        </w:rPr>
        <w:t>a supporting letter from a senior clinician from The Royal Children’s Hospital Melbourne, that a patient</w:t>
      </w:r>
      <w:r w:rsidR="004665C7" w:rsidRPr="00136CDA">
        <w:rPr>
          <w:rFonts w:ascii="Arial" w:hAnsi="Arial"/>
          <w:sz w:val="22"/>
          <w:szCs w:val="22"/>
        </w:rPr>
        <w:t>, exclusively meeting their entire nutrit</w:t>
      </w:r>
      <w:r w:rsidR="006A2039" w:rsidRPr="00136CDA">
        <w:rPr>
          <w:rFonts w:ascii="Arial" w:hAnsi="Arial"/>
          <w:sz w:val="22"/>
          <w:szCs w:val="22"/>
        </w:rPr>
        <w:t>ional requirements from Pep</w:t>
      </w:r>
      <w:r w:rsidR="0055023F" w:rsidRPr="00136CDA">
        <w:rPr>
          <w:rFonts w:ascii="Arial" w:hAnsi="Arial"/>
          <w:sz w:val="22"/>
          <w:szCs w:val="22"/>
        </w:rPr>
        <w:t>t</w:t>
      </w:r>
      <w:r w:rsidR="006A2039" w:rsidRPr="00136CDA">
        <w:rPr>
          <w:rFonts w:ascii="Arial" w:hAnsi="Arial"/>
          <w:sz w:val="22"/>
          <w:szCs w:val="22"/>
        </w:rPr>
        <w:t>amen</w:t>
      </w:r>
      <w:r w:rsidR="00F674FF" w:rsidRPr="00136CDA">
        <w:rPr>
          <w:rFonts w:ascii="Arial" w:hAnsi="Arial"/>
          <w:b/>
          <w:sz w:val="22"/>
          <w:szCs w:val="22"/>
          <w:vertAlign w:val="superscript"/>
        </w:rPr>
        <w:t>®</w:t>
      </w:r>
      <w:r w:rsidR="004665C7" w:rsidRPr="00136CDA">
        <w:rPr>
          <w:rFonts w:ascii="Arial" w:hAnsi="Arial"/>
          <w:sz w:val="22"/>
          <w:szCs w:val="22"/>
        </w:rPr>
        <w:t xml:space="preserve"> Junior,</w:t>
      </w:r>
      <w:r w:rsidRPr="00136CDA">
        <w:rPr>
          <w:rFonts w:ascii="Arial" w:hAnsi="Arial"/>
          <w:sz w:val="22"/>
          <w:szCs w:val="22"/>
        </w:rPr>
        <w:t xml:space="preserve"> requires the equivalent of 1 can per day. </w:t>
      </w:r>
    </w:p>
    <w:p w:rsidR="00FC66D9" w:rsidRPr="00136CDA" w:rsidRDefault="004665C7" w:rsidP="00FC66D9">
      <w:pPr>
        <w:pStyle w:val="ListParagraph"/>
        <w:numPr>
          <w:ilvl w:val="1"/>
          <w:numId w:val="44"/>
        </w:numPr>
        <w:ind w:left="993" w:hanging="426"/>
        <w:jc w:val="both"/>
        <w:rPr>
          <w:rFonts w:ascii="Arial" w:hAnsi="Arial"/>
          <w:sz w:val="22"/>
          <w:szCs w:val="22"/>
        </w:rPr>
      </w:pPr>
      <w:r w:rsidRPr="00136CDA">
        <w:rPr>
          <w:rFonts w:ascii="Arial" w:hAnsi="Arial"/>
          <w:sz w:val="22"/>
          <w:szCs w:val="22"/>
        </w:rPr>
        <w:t>a table showing that to provide total nutrition, 14 to 25 cans are required for children weighting between 11.0 -25.6 kg.</w:t>
      </w:r>
    </w:p>
    <w:p w:rsidR="00507DA1" w:rsidRPr="00136CDA" w:rsidRDefault="00507DA1" w:rsidP="00507DA1">
      <w:pPr>
        <w:jc w:val="both"/>
        <w:rPr>
          <w:rFonts w:ascii="Arial" w:hAnsi="Arial"/>
          <w:sz w:val="22"/>
          <w:szCs w:val="22"/>
        </w:rPr>
      </w:pPr>
    </w:p>
    <w:p w:rsidR="003C10F5" w:rsidRPr="00136CDA" w:rsidRDefault="003C10F5" w:rsidP="00FC3F10">
      <w:pPr>
        <w:pStyle w:val="ListParagraph"/>
        <w:numPr>
          <w:ilvl w:val="1"/>
          <w:numId w:val="25"/>
        </w:numPr>
        <w:jc w:val="both"/>
        <w:rPr>
          <w:rFonts w:ascii="Arial" w:hAnsi="Arial"/>
          <w:sz w:val="22"/>
          <w:szCs w:val="22"/>
        </w:rPr>
      </w:pPr>
      <w:r w:rsidRPr="00136CDA">
        <w:rPr>
          <w:rFonts w:ascii="Arial" w:hAnsi="Arial"/>
          <w:sz w:val="22"/>
          <w:szCs w:val="22"/>
        </w:rPr>
        <w:t>The sponsor claims the proposed change to the listing condition for Peptamen</w:t>
      </w:r>
      <w:r w:rsidR="00F674FF" w:rsidRPr="00136CDA">
        <w:rPr>
          <w:rFonts w:ascii="Arial" w:hAnsi="Arial"/>
          <w:b/>
          <w:sz w:val="22"/>
          <w:szCs w:val="22"/>
          <w:vertAlign w:val="superscript"/>
        </w:rPr>
        <w:t>®</w:t>
      </w:r>
      <w:r w:rsidRPr="00136CDA">
        <w:rPr>
          <w:rFonts w:ascii="Arial" w:hAnsi="Arial"/>
          <w:sz w:val="22"/>
          <w:szCs w:val="22"/>
        </w:rPr>
        <w:t xml:space="preserve"> Junior would facilitate more convenient access to patients and result in a decrease in items processed by pharmacies and the Government, resulting in reduced mark-ups and dispensing fees.  Consequently, a patient’s maximum of five repeats would last longer, reducing the need for unnecessary visits to the doctor for the sole purpose of obtaining further prescriptions.</w:t>
      </w:r>
      <w:r w:rsidR="00EF318B" w:rsidRPr="00136CDA">
        <w:rPr>
          <w:rFonts w:ascii="Arial" w:hAnsi="Arial"/>
          <w:sz w:val="22"/>
          <w:szCs w:val="22"/>
        </w:rPr>
        <w:t xml:space="preserve"> This claim </w:t>
      </w:r>
      <w:r w:rsidR="001D0FD1">
        <w:rPr>
          <w:rFonts w:ascii="Arial" w:hAnsi="Arial"/>
          <w:sz w:val="22"/>
          <w:szCs w:val="22"/>
        </w:rPr>
        <w:t>was</w:t>
      </w:r>
      <w:r w:rsidR="001350C7">
        <w:rPr>
          <w:rFonts w:ascii="Arial" w:hAnsi="Arial"/>
          <w:sz w:val="22"/>
          <w:szCs w:val="22"/>
        </w:rPr>
        <w:t xml:space="preserve"> not been evaluated.</w:t>
      </w:r>
    </w:p>
    <w:p w:rsidR="0079083A" w:rsidRPr="00136CDA" w:rsidRDefault="0079083A">
      <w:pPr>
        <w:rPr>
          <w:rFonts w:ascii="Arial" w:hAnsi="Arial"/>
          <w:sz w:val="22"/>
          <w:szCs w:val="22"/>
        </w:rPr>
      </w:pPr>
    </w:p>
    <w:p w:rsidR="00F57A6D" w:rsidRPr="00136CDA" w:rsidRDefault="00F57A6D" w:rsidP="00882085">
      <w:pPr>
        <w:ind w:left="720" w:hanging="720"/>
        <w:jc w:val="both"/>
        <w:rPr>
          <w:rFonts w:ascii="Arial" w:hAnsi="Arial"/>
          <w:sz w:val="22"/>
          <w:szCs w:val="22"/>
        </w:rPr>
      </w:pPr>
    </w:p>
    <w:p w:rsidR="005A3173" w:rsidRPr="00136CDA" w:rsidRDefault="005A3173" w:rsidP="00882085">
      <w:pPr>
        <w:ind w:left="720" w:hanging="720"/>
        <w:jc w:val="both"/>
        <w:rPr>
          <w:rFonts w:ascii="Arial" w:hAnsi="Arial"/>
          <w:b/>
          <w:sz w:val="22"/>
          <w:szCs w:val="22"/>
        </w:rPr>
      </w:pPr>
      <w:r w:rsidRPr="00136CDA">
        <w:rPr>
          <w:rFonts w:ascii="Arial" w:hAnsi="Arial"/>
          <w:b/>
          <w:sz w:val="22"/>
          <w:szCs w:val="22"/>
        </w:rPr>
        <w:t>Estimated PBS usage &amp; financial implications</w:t>
      </w:r>
    </w:p>
    <w:p w:rsidR="005A3173" w:rsidRPr="00136CDA" w:rsidRDefault="005A3173" w:rsidP="00882085">
      <w:pPr>
        <w:ind w:left="720" w:hanging="720"/>
        <w:jc w:val="both"/>
        <w:rPr>
          <w:rFonts w:ascii="Arial" w:hAnsi="Arial"/>
          <w:b/>
          <w:sz w:val="22"/>
          <w:szCs w:val="22"/>
        </w:rPr>
      </w:pPr>
    </w:p>
    <w:p w:rsidR="00C00DA7" w:rsidRPr="00136CDA" w:rsidRDefault="003330FA" w:rsidP="003330FA">
      <w:pPr>
        <w:pStyle w:val="ListParagraph"/>
        <w:numPr>
          <w:ilvl w:val="1"/>
          <w:numId w:val="25"/>
        </w:numPr>
        <w:jc w:val="both"/>
        <w:rPr>
          <w:rFonts w:ascii="Arial" w:hAnsi="Arial"/>
          <w:sz w:val="22"/>
          <w:szCs w:val="22"/>
        </w:rPr>
      </w:pPr>
      <w:r w:rsidRPr="00136CDA">
        <w:rPr>
          <w:rFonts w:ascii="Arial" w:hAnsi="Arial"/>
          <w:sz w:val="22"/>
          <w:szCs w:val="22"/>
        </w:rPr>
        <w:t>The submission does not analyse/quantify any possible reduction in costs as a replacement for other products in the medium chain triglycerides (MCT) market ie. Monogen</w:t>
      </w:r>
      <w:r w:rsidR="00F674FF" w:rsidRPr="00136CDA">
        <w:rPr>
          <w:rFonts w:ascii="Arial" w:hAnsi="Arial"/>
          <w:b/>
          <w:sz w:val="22"/>
          <w:szCs w:val="22"/>
          <w:vertAlign w:val="superscript"/>
        </w:rPr>
        <w:t>®</w:t>
      </w:r>
      <w:r w:rsidRPr="00136CDA">
        <w:rPr>
          <w:rFonts w:ascii="Arial" w:hAnsi="Arial"/>
          <w:sz w:val="22"/>
          <w:szCs w:val="22"/>
        </w:rPr>
        <w:t xml:space="preserve"> and Lipistart</w:t>
      </w:r>
      <w:r w:rsidR="00F674FF" w:rsidRPr="00136CDA">
        <w:rPr>
          <w:rFonts w:ascii="Arial" w:hAnsi="Arial"/>
          <w:b/>
          <w:sz w:val="22"/>
          <w:szCs w:val="22"/>
          <w:vertAlign w:val="superscript"/>
        </w:rPr>
        <w:t>®</w:t>
      </w:r>
      <w:r w:rsidRPr="00136CDA">
        <w:rPr>
          <w:rFonts w:ascii="Arial" w:hAnsi="Arial"/>
          <w:sz w:val="22"/>
          <w:szCs w:val="22"/>
        </w:rPr>
        <w:t>, nor the reduction in visits to the doctor for prescriptions.</w:t>
      </w:r>
    </w:p>
    <w:p w:rsidR="000E0E74" w:rsidRPr="00136CDA" w:rsidRDefault="000E0E74" w:rsidP="000E0E74">
      <w:pPr>
        <w:pStyle w:val="ListParagraph"/>
        <w:jc w:val="both"/>
        <w:rPr>
          <w:rFonts w:ascii="Arial" w:hAnsi="Arial"/>
          <w:sz w:val="22"/>
          <w:szCs w:val="22"/>
        </w:rPr>
      </w:pPr>
    </w:p>
    <w:p w:rsidR="000E0E74" w:rsidRPr="00136CDA" w:rsidRDefault="000E0E74" w:rsidP="003330FA">
      <w:pPr>
        <w:pStyle w:val="ListParagraph"/>
        <w:numPr>
          <w:ilvl w:val="1"/>
          <w:numId w:val="25"/>
        </w:numPr>
        <w:jc w:val="both"/>
        <w:rPr>
          <w:rFonts w:ascii="Arial" w:hAnsi="Arial"/>
          <w:sz w:val="22"/>
          <w:szCs w:val="22"/>
        </w:rPr>
      </w:pPr>
      <w:r w:rsidRPr="00136CDA">
        <w:rPr>
          <w:rFonts w:ascii="Arial" w:hAnsi="Arial"/>
          <w:sz w:val="22"/>
          <w:szCs w:val="22"/>
        </w:rPr>
        <w:t>There is no change to Approved Ex-Manufacturer Price (AEMP) with the requested increase in maximum quantity.</w:t>
      </w:r>
    </w:p>
    <w:p w:rsidR="000E0E74" w:rsidRPr="00136CDA" w:rsidRDefault="000E0E74" w:rsidP="000E0E74">
      <w:pPr>
        <w:pStyle w:val="ListParagraph"/>
        <w:jc w:val="both"/>
        <w:rPr>
          <w:rFonts w:ascii="Arial" w:hAnsi="Arial"/>
          <w:sz w:val="22"/>
          <w:szCs w:val="22"/>
        </w:rPr>
      </w:pPr>
    </w:p>
    <w:p w:rsidR="000E0E74" w:rsidRPr="00A44F6C" w:rsidRDefault="000E0E74" w:rsidP="003330FA">
      <w:pPr>
        <w:pStyle w:val="ListParagraph"/>
        <w:numPr>
          <w:ilvl w:val="1"/>
          <w:numId w:val="25"/>
        </w:numPr>
        <w:jc w:val="both"/>
        <w:rPr>
          <w:rFonts w:ascii="Arial" w:hAnsi="Arial"/>
          <w:sz w:val="22"/>
          <w:szCs w:val="22"/>
        </w:rPr>
      </w:pPr>
      <w:r w:rsidRPr="00136CDA">
        <w:rPr>
          <w:rFonts w:ascii="Arial" w:hAnsi="Arial"/>
          <w:sz w:val="22"/>
          <w:szCs w:val="22"/>
        </w:rPr>
        <w:t>There is an error in the calc</w:t>
      </w:r>
      <w:r w:rsidRPr="00A44F6C">
        <w:rPr>
          <w:rFonts w:ascii="Arial" w:hAnsi="Arial"/>
          <w:sz w:val="22"/>
          <w:szCs w:val="22"/>
        </w:rPr>
        <w:t>ulation to Dispensed Price Maximum Quantity (DPMQ), likely due to rounding.  The correct DPMQ for the supply of 20 cans is $1,013.16 (compared to $1,015.42 stated in the submission).</w:t>
      </w:r>
      <w:r w:rsidR="00BB604D" w:rsidRPr="00A44F6C">
        <w:rPr>
          <w:rFonts w:ascii="Arial" w:hAnsi="Arial"/>
          <w:sz w:val="22"/>
          <w:szCs w:val="22"/>
        </w:rPr>
        <w:t xml:space="preserve"> </w:t>
      </w:r>
    </w:p>
    <w:p w:rsidR="00BB604D" w:rsidRPr="00A44F6C" w:rsidRDefault="00BB604D" w:rsidP="00BB604D">
      <w:pPr>
        <w:pStyle w:val="ListParagraph"/>
        <w:jc w:val="both"/>
        <w:rPr>
          <w:rFonts w:ascii="Arial" w:hAnsi="Arial"/>
          <w:sz w:val="22"/>
          <w:szCs w:val="22"/>
        </w:rPr>
      </w:pPr>
    </w:p>
    <w:p w:rsidR="00F45709" w:rsidRPr="00A44F6C" w:rsidRDefault="00F45709" w:rsidP="00F45709">
      <w:pPr>
        <w:pStyle w:val="ListParagraph"/>
        <w:jc w:val="both"/>
        <w:rPr>
          <w:rFonts w:ascii="Arial Narrow" w:hAnsi="Arial Narrow"/>
          <w:b/>
          <w:sz w:val="20"/>
          <w:szCs w:val="20"/>
        </w:rPr>
      </w:pPr>
      <w:r w:rsidRPr="00A44F6C">
        <w:rPr>
          <w:rFonts w:ascii="Arial Narrow" w:hAnsi="Arial Narrow"/>
          <w:b/>
          <w:sz w:val="20"/>
          <w:szCs w:val="20"/>
        </w:rPr>
        <w:t>Cost of supplying 8 cans or 20 cans of Peptamen</w:t>
      </w:r>
      <w:r w:rsidR="00494ADE" w:rsidRPr="00A44F6C">
        <w:rPr>
          <w:rFonts w:ascii="Arial Narrow" w:hAnsi="Arial Narrow"/>
          <w:b/>
          <w:sz w:val="20"/>
          <w:szCs w:val="20"/>
          <w:vertAlign w:val="superscript"/>
        </w:rPr>
        <w:t>®</w:t>
      </w:r>
      <w:r w:rsidRPr="00A44F6C">
        <w:rPr>
          <w:rFonts w:ascii="Arial Narrow" w:hAnsi="Arial Narrow"/>
          <w:b/>
          <w:sz w:val="20"/>
          <w:szCs w:val="20"/>
        </w:rPr>
        <w:t xml:space="preserve"> Junior</w:t>
      </w:r>
    </w:p>
    <w:tbl>
      <w:tblPr>
        <w:tblW w:w="4558" w:type="pct"/>
        <w:tblInd w:w="817" w:type="dxa"/>
        <w:tblLook w:val="04A0" w:firstRow="1" w:lastRow="0" w:firstColumn="1" w:lastColumn="0" w:noHBand="0" w:noVBand="1"/>
      </w:tblPr>
      <w:tblGrid>
        <w:gridCol w:w="1517"/>
        <w:gridCol w:w="3331"/>
        <w:gridCol w:w="3577"/>
      </w:tblGrid>
      <w:tr w:rsidR="00F45709" w:rsidRPr="00A44F6C" w:rsidTr="00F45709">
        <w:trPr>
          <w:trHeight w:val="20"/>
        </w:trPr>
        <w:tc>
          <w:tcPr>
            <w:tcW w:w="900" w:type="pct"/>
            <w:tcBorders>
              <w:top w:val="single" w:sz="4" w:space="0" w:color="auto"/>
              <w:left w:val="single" w:sz="8" w:space="0" w:color="auto"/>
              <w:bottom w:val="single" w:sz="4" w:space="0" w:color="auto"/>
              <w:right w:val="single" w:sz="4" w:space="0" w:color="auto"/>
            </w:tcBorders>
            <w:shd w:val="clear" w:color="auto" w:fill="A6A6A6" w:themeFill="background1" w:themeFillShade="A6"/>
            <w:vAlign w:val="center"/>
            <w:hideMark/>
          </w:tcPr>
          <w:p w:rsidR="00F45709" w:rsidRPr="00A44F6C" w:rsidRDefault="00F45709" w:rsidP="009247ED">
            <w:pPr>
              <w:rPr>
                <w:rFonts w:ascii="Arial Narrow" w:hAnsi="Arial Narrow" w:cs="Arial"/>
                <w:sz w:val="20"/>
                <w:szCs w:val="20"/>
              </w:rPr>
            </w:pPr>
            <w:r w:rsidRPr="00A44F6C">
              <w:rPr>
                <w:rFonts w:ascii="Arial Narrow" w:hAnsi="Arial Narrow" w:cs="Arial"/>
                <w:sz w:val="20"/>
                <w:szCs w:val="20"/>
              </w:rPr>
              <w:t> </w:t>
            </w:r>
          </w:p>
        </w:tc>
        <w:tc>
          <w:tcPr>
            <w:tcW w:w="4100" w:type="pct"/>
            <w:gridSpan w:val="2"/>
            <w:tcBorders>
              <w:top w:val="single" w:sz="4" w:space="0" w:color="auto"/>
              <w:left w:val="nil"/>
              <w:bottom w:val="single" w:sz="4" w:space="0" w:color="auto"/>
              <w:right w:val="single" w:sz="8" w:space="0" w:color="auto"/>
            </w:tcBorders>
            <w:shd w:val="clear" w:color="auto" w:fill="A6A6A6" w:themeFill="background1" w:themeFillShade="A6"/>
            <w:vAlign w:val="center"/>
            <w:hideMark/>
          </w:tcPr>
          <w:p w:rsidR="00F45709" w:rsidRPr="00A44F6C" w:rsidRDefault="00F45709" w:rsidP="009247ED">
            <w:pPr>
              <w:rPr>
                <w:rFonts w:ascii="Arial Narrow" w:hAnsi="Arial Narrow" w:cs="Arial"/>
                <w:sz w:val="20"/>
                <w:szCs w:val="20"/>
              </w:rPr>
            </w:pPr>
            <w:r w:rsidRPr="00A44F6C">
              <w:rPr>
                <w:rFonts w:ascii="Arial Narrow" w:hAnsi="Arial Narrow" w:cs="Arial"/>
                <w:sz w:val="20"/>
                <w:szCs w:val="20"/>
              </w:rPr>
              <w:t>Peptamen</w:t>
            </w:r>
            <w:r w:rsidR="00494ADE" w:rsidRPr="00A44F6C">
              <w:rPr>
                <w:rFonts w:ascii="Arial Narrow" w:hAnsi="Arial Narrow" w:cs="Arial"/>
                <w:b/>
                <w:sz w:val="20"/>
                <w:szCs w:val="20"/>
                <w:vertAlign w:val="superscript"/>
              </w:rPr>
              <w:t>®</w:t>
            </w:r>
            <w:r w:rsidRPr="00A44F6C">
              <w:rPr>
                <w:rFonts w:ascii="Arial Narrow" w:hAnsi="Arial Narrow" w:cs="Arial"/>
                <w:sz w:val="20"/>
                <w:szCs w:val="20"/>
              </w:rPr>
              <w:t xml:space="preserve"> Junior</w:t>
            </w:r>
          </w:p>
        </w:tc>
      </w:tr>
      <w:tr w:rsidR="00F45709" w:rsidRPr="00A44F6C" w:rsidTr="00F45709">
        <w:trPr>
          <w:trHeight w:val="20"/>
        </w:trPr>
        <w:tc>
          <w:tcPr>
            <w:tcW w:w="900" w:type="pct"/>
            <w:tcBorders>
              <w:top w:val="nil"/>
              <w:left w:val="single" w:sz="8" w:space="0" w:color="auto"/>
              <w:bottom w:val="single" w:sz="4" w:space="0" w:color="auto"/>
              <w:right w:val="single" w:sz="4" w:space="0" w:color="auto"/>
            </w:tcBorders>
            <w:shd w:val="clear" w:color="000000" w:fill="FFFFFF"/>
            <w:vAlign w:val="center"/>
            <w:hideMark/>
          </w:tcPr>
          <w:p w:rsidR="00F45709" w:rsidRPr="00A44F6C" w:rsidRDefault="00F45709" w:rsidP="009247ED">
            <w:pPr>
              <w:rPr>
                <w:rFonts w:ascii="Arial Narrow" w:hAnsi="Arial Narrow" w:cs="Arial"/>
                <w:sz w:val="20"/>
                <w:szCs w:val="20"/>
              </w:rPr>
            </w:pPr>
            <w:r w:rsidRPr="00A44F6C">
              <w:rPr>
                <w:rFonts w:ascii="Arial Narrow" w:hAnsi="Arial Narrow" w:cs="Arial"/>
                <w:sz w:val="20"/>
                <w:szCs w:val="20"/>
              </w:rPr>
              <w:t>Cans supplied</w:t>
            </w:r>
          </w:p>
        </w:tc>
        <w:tc>
          <w:tcPr>
            <w:tcW w:w="1977" w:type="pct"/>
            <w:tcBorders>
              <w:top w:val="nil"/>
              <w:left w:val="nil"/>
              <w:bottom w:val="single" w:sz="4" w:space="0" w:color="auto"/>
              <w:right w:val="single" w:sz="8" w:space="0" w:color="auto"/>
            </w:tcBorders>
            <w:shd w:val="clear" w:color="000000" w:fill="FFFFFF"/>
            <w:vAlign w:val="center"/>
            <w:hideMark/>
          </w:tcPr>
          <w:p w:rsidR="00F45709" w:rsidRPr="00A44F6C" w:rsidRDefault="00F45709" w:rsidP="009247ED">
            <w:pPr>
              <w:rPr>
                <w:rFonts w:ascii="Arial Narrow" w:hAnsi="Arial Narrow" w:cs="Arial"/>
                <w:sz w:val="20"/>
                <w:szCs w:val="20"/>
              </w:rPr>
            </w:pPr>
            <w:r w:rsidRPr="00A44F6C">
              <w:rPr>
                <w:rFonts w:ascii="Arial Narrow" w:hAnsi="Arial Narrow" w:cs="Arial"/>
                <w:sz w:val="20"/>
                <w:szCs w:val="20"/>
              </w:rPr>
              <w:t>8 cans</w:t>
            </w:r>
          </w:p>
        </w:tc>
        <w:tc>
          <w:tcPr>
            <w:tcW w:w="2123" w:type="pct"/>
            <w:tcBorders>
              <w:top w:val="nil"/>
              <w:left w:val="single" w:sz="4" w:space="0" w:color="auto"/>
              <w:bottom w:val="single" w:sz="4" w:space="0" w:color="auto"/>
              <w:right w:val="single" w:sz="8" w:space="0" w:color="auto"/>
            </w:tcBorders>
            <w:shd w:val="clear" w:color="000000" w:fill="FFFFFF"/>
            <w:vAlign w:val="center"/>
            <w:hideMark/>
          </w:tcPr>
          <w:p w:rsidR="00F45709" w:rsidRPr="00A44F6C" w:rsidRDefault="00F45709" w:rsidP="009247ED">
            <w:pPr>
              <w:rPr>
                <w:rFonts w:ascii="Arial Narrow" w:hAnsi="Arial Narrow" w:cs="Arial"/>
                <w:sz w:val="20"/>
                <w:szCs w:val="20"/>
              </w:rPr>
            </w:pPr>
            <w:r w:rsidRPr="00A44F6C">
              <w:rPr>
                <w:rFonts w:ascii="Arial Narrow" w:hAnsi="Arial Narrow" w:cs="Arial"/>
                <w:sz w:val="20"/>
                <w:szCs w:val="20"/>
              </w:rPr>
              <w:t>20 cans</w:t>
            </w:r>
          </w:p>
        </w:tc>
      </w:tr>
      <w:tr w:rsidR="00F45709" w:rsidRPr="00A44F6C" w:rsidTr="00F45709">
        <w:trPr>
          <w:trHeight w:val="20"/>
        </w:trPr>
        <w:tc>
          <w:tcPr>
            <w:tcW w:w="900" w:type="pct"/>
            <w:tcBorders>
              <w:top w:val="nil"/>
              <w:left w:val="single" w:sz="8" w:space="0" w:color="auto"/>
              <w:bottom w:val="single" w:sz="4" w:space="0" w:color="auto"/>
              <w:right w:val="single" w:sz="4" w:space="0" w:color="auto"/>
            </w:tcBorders>
            <w:shd w:val="clear" w:color="000000" w:fill="EDEDED"/>
            <w:vAlign w:val="center"/>
            <w:hideMark/>
          </w:tcPr>
          <w:p w:rsidR="00F45709" w:rsidRPr="00A44F6C" w:rsidRDefault="00F45709" w:rsidP="009247ED">
            <w:pPr>
              <w:rPr>
                <w:rFonts w:ascii="Arial Narrow" w:hAnsi="Arial Narrow" w:cs="Arial"/>
                <w:sz w:val="20"/>
                <w:szCs w:val="20"/>
              </w:rPr>
            </w:pPr>
            <w:r w:rsidRPr="00A44F6C">
              <w:rPr>
                <w:rFonts w:ascii="Arial Narrow" w:hAnsi="Arial Narrow" w:cs="Arial"/>
                <w:sz w:val="20"/>
                <w:szCs w:val="20"/>
              </w:rPr>
              <w:t>DPMQ</w:t>
            </w:r>
          </w:p>
        </w:tc>
        <w:tc>
          <w:tcPr>
            <w:tcW w:w="1977" w:type="pct"/>
            <w:tcBorders>
              <w:top w:val="nil"/>
              <w:left w:val="nil"/>
              <w:bottom w:val="single" w:sz="4" w:space="0" w:color="auto"/>
              <w:right w:val="single" w:sz="8" w:space="0" w:color="auto"/>
            </w:tcBorders>
            <w:shd w:val="clear" w:color="000000" w:fill="EDEDED"/>
            <w:vAlign w:val="center"/>
            <w:hideMark/>
          </w:tcPr>
          <w:p w:rsidR="00F45709" w:rsidRPr="00A44F6C" w:rsidRDefault="00F45709" w:rsidP="009247ED">
            <w:pPr>
              <w:jc w:val="both"/>
              <w:rPr>
                <w:rFonts w:ascii="Arial Narrow" w:hAnsi="Arial Narrow" w:cs="Arial"/>
                <w:sz w:val="20"/>
                <w:szCs w:val="20"/>
              </w:rPr>
            </w:pPr>
            <w:r w:rsidRPr="00A44F6C">
              <w:rPr>
                <w:rFonts w:ascii="Arial Narrow" w:hAnsi="Arial Narrow" w:cs="Arial"/>
                <w:sz w:val="20"/>
                <w:szCs w:val="20"/>
              </w:rPr>
              <w:t>$411.80</w:t>
            </w:r>
          </w:p>
        </w:tc>
        <w:tc>
          <w:tcPr>
            <w:tcW w:w="2123" w:type="pct"/>
            <w:tcBorders>
              <w:top w:val="nil"/>
              <w:left w:val="single" w:sz="4" w:space="0" w:color="auto"/>
              <w:bottom w:val="single" w:sz="4" w:space="0" w:color="auto"/>
              <w:right w:val="single" w:sz="8" w:space="0" w:color="auto"/>
            </w:tcBorders>
            <w:shd w:val="clear" w:color="000000" w:fill="EDEDED"/>
            <w:vAlign w:val="center"/>
            <w:hideMark/>
          </w:tcPr>
          <w:p w:rsidR="00F45709" w:rsidRPr="00A44F6C" w:rsidRDefault="00F45709" w:rsidP="009247ED">
            <w:pPr>
              <w:jc w:val="both"/>
              <w:rPr>
                <w:rFonts w:ascii="Arial Narrow" w:hAnsi="Arial Narrow" w:cs="Arial"/>
                <w:sz w:val="20"/>
                <w:szCs w:val="20"/>
              </w:rPr>
            </w:pPr>
            <w:r w:rsidRPr="00A44F6C">
              <w:rPr>
                <w:rFonts w:ascii="Arial Narrow" w:hAnsi="Arial Narrow" w:cs="Arial"/>
                <w:strike/>
                <w:sz w:val="20"/>
                <w:szCs w:val="20"/>
              </w:rPr>
              <w:t xml:space="preserve">$1,015.42 </w:t>
            </w:r>
            <w:r w:rsidRPr="00A44F6C">
              <w:rPr>
                <w:rFonts w:ascii="Arial Narrow" w:hAnsi="Arial Narrow" w:cs="Arial"/>
                <w:sz w:val="20"/>
                <w:szCs w:val="20"/>
              </w:rPr>
              <w:t xml:space="preserve"> $1,013.16</w:t>
            </w:r>
          </w:p>
        </w:tc>
      </w:tr>
      <w:tr w:rsidR="00F45709" w:rsidRPr="00A44F6C" w:rsidTr="00F45709">
        <w:trPr>
          <w:trHeight w:val="20"/>
        </w:trPr>
        <w:tc>
          <w:tcPr>
            <w:tcW w:w="900" w:type="pct"/>
            <w:tcBorders>
              <w:top w:val="nil"/>
              <w:left w:val="single" w:sz="8" w:space="0" w:color="auto"/>
              <w:bottom w:val="single" w:sz="4" w:space="0" w:color="auto"/>
              <w:right w:val="single" w:sz="4" w:space="0" w:color="auto"/>
            </w:tcBorders>
            <w:shd w:val="clear" w:color="000000" w:fill="FFFFFF"/>
            <w:vAlign w:val="center"/>
            <w:hideMark/>
          </w:tcPr>
          <w:p w:rsidR="00F45709" w:rsidRPr="00A44F6C" w:rsidRDefault="00F45709" w:rsidP="009247ED">
            <w:pPr>
              <w:rPr>
                <w:rFonts w:ascii="Arial Narrow" w:hAnsi="Arial Narrow" w:cs="Arial"/>
                <w:sz w:val="20"/>
                <w:szCs w:val="20"/>
              </w:rPr>
            </w:pPr>
            <w:r w:rsidRPr="00A44F6C">
              <w:rPr>
                <w:rFonts w:ascii="Arial Narrow" w:hAnsi="Arial Narrow" w:cs="Arial"/>
                <w:sz w:val="20"/>
                <w:szCs w:val="20"/>
              </w:rPr>
              <w:t>Dispensing fee</w:t>
            </w:r>
          </w:p>
        </w:tc>
        <w:tc>
          <w:tcPr>
            <w:tcW w:w="1977" w:type="pct"/>
            <w:tcBorders>
              <w:top w:val="nil"/>
              <w:left w:val="nil"/>
              <w:bottom w:val="single" w:sz="4" w:space="0" w:color="auto"/>
              <w:right w:val="single" w:sz="8" w:space="0" w:color="auto"/>
            </w:tcBorders>
            <w:shd w:val="clear" w:color="000000" w:fill="FFFFFF"/>
            <w:vAlign w:val="center"/>
            <w:hideMark/>
          </w:tcPr>
          <w:p w:rsidR="00F45709" w:rsidRPr="00A44F6C" w:rsidRDefault="00F45709" w:rsidP="009247ED">
            <w:pPr>
              <w:jc w:val="both"/>
              <w:rPr>
                <w:rFonts w:ascii="Arial Narrow" w:hAnsi="Arial Narrow" w:cs="Arial"/>
                <w:sz w:val="20"/>
                <w:szCs w:val="20"/>
              </w:rPr>
            </w:pPr>
            <w:r w:rsidRPr="00A44F6C">
              <w:rPr>
                <w:rFonts w:ascii="Arial Narrow" w:hAnsi="Arial Narrow" w:cs="Arial"/>
                <w:sz w:val="20"/>
                <w:szCs w:val="20"/>
              </w:rPr>
              <w:t>$6.76</w:t>
            </w:r>
          </w:p>
        </w:tc>
        <w:tc>
          <w:tcPr>
            <w:tcW w:w="2123" w:type="pct"/>
            <w:tcBorders>
              <w:top w:val="nil"/>
              <w:left w:val="single" w:sz="4" w:space="0" w:color="auto"/>
              <w:bottom w:val="single" w:sz="4" w:space="0" w:color="auto"/>
              <w:right w:val="single" w:sz="8" w:space="0" w:color="auto"/>
            </w:tcBorders>
            <w:shd w:val="clear" w:color="000000" w:fill="FFFFFF"/>
            <w:vAlign w:val="center"/>
            <w:hideMark/>
          </w:tcPr>
          <w:p w:rsidR="00F45709" w:rsidRPr="00A44F6C" w:rsidRDefault="00F45709" w:rsidP="009247ED">
            <w:pPr>
              <w:jc w:val="both"/>
              <w:rPr>
                <w:rFonts w:ascii="Arial Narrow" w:hAnsi="Arial Narrow" w:cs="Arial"/>
                <w:sz w:val="20"/>
                <w:szCs w:val="20"/>
              </w:rPr>
            </w:pPr>
            <w:r w:rsidRPr="00A44F6C">
              <w:rPr>
                <w:rFonts w:ascii="Arial Narrow" w:hAnsi="Arial Narrow" w:cs="Arial"/>
                <w:sz w:val="20"/>
                <w:szCs w:val="20"/>
              </w:rPr>
              <w:t>$6.76</w:t>
            </w:r>
          </w:p>
        </w:tc>
      </w:tr>
      <w:tr w:rsidR="00F45709" w:rsidRPr="00A44F6C" w:rsidTr="00F45709">
        <w:trPr>
          <w:trHeight w:val="20"/>
        </w:trPr>
        <w:tc>
          <w:tcPr>
            <w:tcW w:w="900" w:type="pct"/>
            <w:tcBorders>
              <w:top w:val="nil"/>
              <w:left w:val="single" w:sz="8" w:space="0" w:color="auto"/>
              <w:bottom w:val="single" w:sz="4" w:space="0" w:color="auto"/>
              <w:right w:val="single" w:sz="4" w:space="0" w:color="auto"/>
            </w:tcBorders>
            <w:shd w:val="clear" w:color="000000" w:fill="FFFFFF"/>
            <w:vAlign w:val="center"/>
            <w:hideMark/>
          </w:tcPr>
          <w:p w:rsidR="00F45709" w:rsidRPr="00A44F6C" w:rsidRDefault="00F45709" w:rsidP="009247ED">
            <w:pPr>
              <w:rPr>
                <w:rFonts w:ascii="Arial Narrow" w:hAnsi="Arial Narrow" w:cs="Arial"/>
                <w:sz w:val="20"/>
                <w:szCs w:val="20"/>
              </w:rPr>
            </w:pPr>
            <w:r w:rsidRPr="00A44F6C">
              <w:rPr>
                <w:rFonts w:ascii="Arial Narrow" w:hAnsi="Arial Narrow" w:cs="Arial"/>
                <w:sz w:val="20"/>
                <w:szCs w:val="20"/>
              </w:rPr>
              <w:t>Pharmacist mark-up</w:t>
            </w:r>
          </w:p>
        </w:tc>
        <w:tc>
          <w:tcPr>
            <w:tcW w:w="1977" w:type="pct"/>
            <w:tcBorders>
              <w:top w:val="nil"/>
              <w:left w:val="nil"/>
              <w:bottom w:val="single" w:sz="4" w:space="0" w:color="auto"/>
              <w:right w:val="single" w:sz="8" w:space="0" w:color="auto"/>
            </w:tcBorders>
            <w:shd w:val="clear" w:color="000000" w:fill="FFFFFF"/>
            <w:vAlign w:val="center"/>
            <w:hideMark/>
          </w:tcPr>
          <w:p w:rsidR="00F45709" w:rsidRPr="00A44F6C" w:rsidRDefault="00F45709" w:rsidP="009247ED">
            <w:pPr>
              <w:jc w:val="both"/>
              <w:rPr>
                <w:rFonts w:ascii="Arial Narrow" w:hAnsi="Arial Narrow" w:cs="Arial"/>
                <w:sz w:val="20"/>
                <w:szCs w:val="20"/>
              </w:rPr>
            </w:pPr>
            <w:r w:rsidRPr="00A44F6C">
              <w:rPr>
                <w:rFonts w:ascii="Arial Narrow" w:hAnsi="Arial Narrow" w:cs="Arial"/>
                <w:sz w:val="20"/>
                <w:szCs w:val="20"/>
              </w:rPr>
              <w:t>$18.00</w:t>
            </w:r>
          </w:p>
        </w:tc>
        <w:tc>
          <w:tcPr>
            <w:tcW w:w="2123" w:type="pct"/>
            <w:tcBorders>
              <w:top w:val="nil"/>
              <w:left w:val="single" w:sz="4" w:space="0" w:color="auto"/>
              <w:bottom w:val="single" w:sz="4" w:space="0" w:color="auto"/>
              <w:right w:val="single" w:sz="8" w:space="0" w:color="auto"/>
            </w:tcBorders>
            <w:shd w:val="clear" w:color="000000" w:fill="FFFFFF"/>
            <w:vAlign w:val="center"/>
            <w:hideMark/>
          </w:tcPr>
          <w:p w:rsidR="00F45709" w:rsidRPr="00A44F6C" w:rsidRDefault="00F45709" w:rsidP="009247ED">
            <w:pPr>
              <w:jc w:val="both"/>
              <w:rPr>
                <w:rFonts w:ascii="Arial Narrow" w:hAnsi="Arial Narrow" w:cs="Arial"/>
                <w:sz w:val="20"/>
                <w:szCs w:val="20"/>
              </w:rPr>
            </w:pPr>
            <w:r w:rsidRPr="00A44F6C">
              <w:rPr>
                <w:rFonts w:ascii="Arial Narrow" w:hAnsi="Arial Narrow" w:cs="Arial"/>
                <w:sz w:val="20"/>
                <w:szCs w:val="20"/>
              </w:rPr>
              <w:t>$38.79</w:t>
            </w:r>
          </w:p>
        </w:tc>
      </w:tr>
      <w:tr w:rsidR="00F45709" w:rsidRPr="00A44F6C" w:rsidTr="00F45709">
        <w:trPr>
          <w:trHeight w:val="20"/>
        </w:trPr>
        <w:tc>
          <w:tcPr>
            <w:tcW w:w="900" w:type="pct"/>
            <w:tcBorders>
              <w:top w:val="nil"/>
              <w:left w:val="single" w:sz="8" w:space="0" w:color="auto"/>
              <w:bottom w:val="single" w:sz="4" w:space="0" w:color="auto"/>
              <w:right w:val="single" w:sz="4" w:space="0" w:color="auto"/>
            </w:tcBorders>
            <w:shd w:val="clear" w:color="000000" w:fill="EDEDED"/>
            <w:vAlign w:val="center"/>
            <w:hideMark/>
          </w:tcPr>
          <w:p w:rsidR="00F45709" w:rsidRPr="00A44F6C" w:rsidRDefault="00F45709" w:rsidP="009247ED">
            <w:pPr>
              <w:rPr>
                <w:rFonts w:ascii="Arial Narrow" w:hAnsi="Arial Narrow" w:cs="Arial"/>
                <w:sz w:val="20"/>
                <w:szCs w:val="20"/>
              </w:rPr>
            </w:pPr>
            <w:r w:rsidRPr="00A44F6C">
              <w:rPr>
                <w:rFonts w:ascii="Arial Narrow" w:hAnsi="Arial Narrow" w:cs="Arial"/>
                <w:sz w:val="20"/>
                <w:szCs w:val="20"/>
              </w:rPr>
              <w:t>PTP</w:t>
            </w:r>
          </w:p>
        </w:tc>
        <w:tc>
          <w:tcPr>
            <w:tcW w:w="1977" w:type="pct"/>
            <w:tcBorders>
              <w:top w:val="nil"/>
              <w:left w:val="nil"/>
              <w:bottom w:val="single" w:sz="4" w:space="0" w:color="auto"/>
              <w:right w:val="single" w:sz="8" w:space="0" w:color="auto"/>
            </w:tcBorders>
            <w:shd w:val="clear" w:color="000000" w:fill="EDEDED"/>
            <w:vAlign w:val="center"/>
            <w:hideMark/>
          </w:tcPr>
          <w:p w:rsidR="00F45709" w:rsidRPr="00A44F6C" w:rsidRDefault="00F45709" w:rsidP="009247ED">
            <w:pPr>
              <w:jc w:val="both"/>
              <w:rPr>
                <w:rFonts w:ascii="Arial Narrow" w:hAnsi="Arial Narrow" w:cs="Arial"/>
                <w:sz w:val="20"/>
                <w:szCs w:val="20"/>
              </w:rPr>
            </w:pPr>
            <w:r w:rsidRPr="00A44F6C">
              <w:rPr>
                <w:rFonts w:ascii="Arial Narrow" w:hAnsi="Arial Narrow" w:cs="Arial"/>
                <w:sz w:val="20"/>
                <w:szCs w:val="20"/>
              </w:rPr>
              <w:t>$387.04</w:t>
            </w:r>
          </w:p>
        </w:tc>
        <w:tc>
          <w:tcPr>
            <w:tcW w:w="2123" w:type="pct"/>
            <w:tcBorders>
              <w:top w:val="nil"/>
              <w:left w:val="single" w:sz="4" w:space="0" w:color="auto"/>
              <w:bottom w:val="single" w:sz="4" w:space="0" w:color="auto"/>
              <w:right w:val="single" w:sz="8" w:space="0" w:color="auto"/>
            </w:tcBorders>
            <w:shd w:val="clear" w:color="000000" w:fill="EDEDED"/>
            <w:vAlign w:val="center"/>
            <w:hideMark/>
          </w:tcPr>
          <w:p w:rsidR="00F45709" w:rsidRPr="00A44F6C" w:rsidRDefault="00F45709" w:rsidP="009247ED">
            <w:pPr>
              <w:jc w:val="both"/>
              <w:rPr>
                <w:rFonts w:ascii="Arial Narrow" w:hAnsi="Arial Narrow" w:cs="Arial"/>
                <w:sz w:val="20"/>
                <w:szCs w:val="20"/>
              </w:rPr>
            </w:pPr>
            <w:r w:rsidRPr="00A44F6C">
              <w:rPr>
                <w:rFonts w:ascii="Arial Narrow" w:hAnsi="Arial Narrow" w:cs="Arial"/>
                <w:sz w:val="20"/>
                <w:szCs w:val="20"/>
              </w:rPr>
              <w:t>$969.87</w:t>
            </w:r>
          </w:p>
        </w:tc>
      </w:tr>
      <w:tr w:rsidR="00F45709" w:rsidRPr="00A44F6C" w:rsidTr="00F45709">
        <w:trPr>
          <w:trHeight w:val="20"/>
        </w:trPr>
        <w:tc>
          <w:tcPr>
            <w:tcW w:w="900" w:type="pct"/>
            <w:tcBorders>
              <w:top w:val="nil"/>
              <w:left w:val="single" w:sz="8" w:space="0" w:color="auto"/>
              <w:bottom w:val="single" w:sz="4" w:space="0" w:color="auto"/>
              <w:right w:val="single" w:sz="4" w:space="0" w:color="auto"/>
            </w:tcBorders>
            <w:shd w:val="clear" w:color="000000" w:fill="FFFFFF"/>
            <w:vAlign w:val="center"/>
            <w:hideMark/>
          </w:tcPr>
          <w:p w:rsidR="00F45709" w:rsidRPr="00A44F6C" w:rsidRDefault="00F45709" w:rsidP="009247ED">
            <w:pPr>
              <w:rPr>
                <w:rFonts w:ascii="Arial Narrow" w:hAnsi="Arial Narrow" w:cs="Arial"/>
                <w:sz w:val="20"/>
                <w:szCs w:val="20"/>
              </w:rPr>
            </w:pPr>
            <w:r w:rsidRPr="00A44F6C">
              <w:rPr>
                <w:rFonts w:ascii="Arial Narrow" w:hAnsi="Arial Narrow" w:cs="Arial"/>
                <w:sz w:val="20"/>
                <w:szCs w:val="20"/>
              </w:rPr>
              <w:t xml:space="preserve">Wholesaler mark-up </w:t>
            </w:r>
          </w:p>
        </w:tc>
        <w:tc>
          <w:tcPr>
            <w:tcW w:w="1977" w:type="pct"/>
            <w:tcBorders>
              <w:top w:val="nil"/>
              <w:left w:val="nil"/>
              <w:bottom w:val="single" w:sz="4" w:space="0" w:color="auto"/>
              <w:right w:val="single" w:sz="8" w:space="0" w:color="auto"/>
            </w:tcBorders>
            <w:shd w:val="clear" w:color="000000" w:fill="FFFFFF"/>
            <w:vAlign w:val="center"/>
            <w:hideMark/>
          </w:tcPr>
          <w:p w:rsidR="00F45709" w:rsidRPr="00A44F6C" w:rsidRDefault="00F45709" w:rsidP="009247ED">
            <w:pPr>
              <w:jc w:val="both"/>
              <w:rPr>
                <w:rFonts w:ascii="Arial Narrow" w:hAnsi="Arial Narrow" w:cs="Arial"/>
                <w:sz w:val="20"/>
                <w:szCs w:val="20"/>
              </w:rPr>
            </w:pPr>
            <w:r w:rsidRPr="00A44F6C">
              <w:rPr>
                <w:rFonts w:ascii="Arial Narrow" w:hAnsi="Arial Narrow" w:cs="Arial"/>
                <w:sz w:val="20"/>
                <w:szCs w:val="20"/>
              </w:rPr>
              <w:t>$27.07</w:t>
            </w:r>
          </w:p>
        </w:tc>
        <w:tc>
          <w:tcPr>
            <w:tcW w:w="2123" w:type="pct"/>
            <w:tcBorders>
              <w:top w:val="nil"/>
              <w:left w:val="single" w:sz="4" w:space="0" w:color="auto"/>
              <w:bottom w:val="single" w:sz="4" w:space="0" w:color="auto"/>
              <w:right w:val="single" w:sz="8" w:space="0" w:color="auto"/>
            </w:tcBorders>
            <w:shd w:val="clear" w:color="000000" w:fill="FFFFFF"/>
            <w:vAlign w:val="center"/>
            <w:hideMark/>
          </w:tcPr>
          <w:p w:rsidR="00F45709" w:rsidRPr="00A44F6C" w:rsidRDefault="00F45709" w:rsidP="009247ED">
            <w:pPr>
              <w:jc w:val="both"/>
              <w:rPr>
                <w:rFonts w:ascii="Arial Narrow" w:hAnsi="Arial Narrow" w:cs="Arial"/>
                <w:sz w:val="20"/>
                <w:szCs w:val="20"/>
              </w:rPr>
            </w:pPr>
            <w:r w:rsidRPr="00A44F6C">
              <w:rPr>
                <w:rFonts w:ascii="Arial Narrow" w:hAnsi="Arial Narrow" w:cs="Arial"/>
                <w:sz w:val="20"/>
                <w:szCs w:val="20"/>
              </w:rPr>
              <w:t>$69.94</w:t>
            </w:r>
          </w:p>
        </w:tc>
      </w:tr>
      <w:tr w:rsidR="00F45709" w:rsidRPr="00A44F6C" w:rsidTr="00F45709">
        <w:trPr>
          <w:trHeight w:val="20"/>
        </w:trPr>
        <w:tc>
          <w:tcPr>
            <w:tcW w:w="900" w:type="pct"/>
            <w:tcBorders>
              <w:top w:val="nil"/>
              <w:left w:val="single" w:sz="8" w:space="0" w:color="auto"/>
              <w:bottom w:val="single" w:sz="4" w:space="0" w:color="auto"/>
              <w:right w:val="single" w:sz="4" w:space="0" w:color="auto"/>
            </w:tcBorders>
            <w:shd w:val="clear" w:color="000000" w:fill="EDEDED"/>
            <w:vAlign w:val="center"/>
            <w:hideMark/>
          </w:tcPr>
          <w:p w:rsidR="00F45709" w:rsidRPr="00A44F6C" w:rsidRDefault="00F45709" w:rsidP="009247ED">
            <w:pPr>
              <w:rPr>
                <w:rFonts w:ascii="Arial Narrow" w:hAnsi="Arial Narrow" w:cs="Arial"/>
                <w:sz w:val="20"/>
                <w:szCs w:val="20"/>
              </w:rPr>
            </w:pPr>
            <w:r w:rsidRPr="00A44F6C">
              <w:rPr>
                <w:rFonts w:ascii="Arial Narrow" w:hAnsi="Arial Narrow" w:cs="Arial"/>
                <w:sz w:val="20"/>
                <w:szCs w:val="20"/>
              </w:rPr>
              <w:t xml:space="preserve">AEMP </w:t>
            </w:r>
          </w:p>
        </w:tc>
        <w:tc>
          <w:tcPr>
            <w:tcW w:w="1977" w:type="pct"/>
            <w:tcBorders>
              <w:top w:val="nil"/>
              <w:left w:val="nil"/>
              <w:bottom w:val="single" w:sz="4" w:space="0" w:color="auto"/>
              <w:right w:val="single" w:sz="8" w:space="0" w:color="auto"/>
            </w:tcBorders>
            <w:shd w:val="clear" w:color="000000" w:fill="EDEDED"/>
            <w:vAlign w:val="center"/>
            <w:hideMark/>
          </w:tcPr>
          <w:p w:rsidR="00F45709" w:rsidRPr="00A44F6C" w:rsidRDefault="00F45709" w:rsidP="009247ED">
            <w:pPr>
              <w:jc w:val="both"/>
              <w:rPr>
                <w:rFonts w:ascii="Arial Narrow" w:hAnsi="Arial Narrow" w:cs="Arial"/>
                <w:sz w:val="20"/>
                <w:szCs w:val="20"/>
              </w:rPr>
            </w:pPr>
            <w:r w:rsidRPr="00A44F6C">
              <w:rPr>
                <w:rFonts w:ascii="Arial Narrow" w:hAnsi="Arial Narrow" w:cs="Arial"/>
                <w:sz w:val="20"/>
                <w:szCs w:val="20"/>
              </w:rPr>
              <w:t>$359.97</w:t>
            </w:r>
          </w:p>
        </w:tc>
        <w:tc>
          <w:tcPr>
            <w:tcW w:w="2123" w:type="pct"/>
            <w:tcBorders>
              <w:top w:val="nil"/>
              <w:left w:val="single" w:sz="4" w:space="0" w:color="auto"/>
              <w:bottom w:val="single" w:sz="4" w:space="0" w:color="auto"/>
              <w:right w:val="single" w:sz="8" w:space="0" w:color="auto"/>
            </w:tcBorders>
            <w:shd w:val="clear" w:color="000000" w:fill="EDEDED"/>
            <w:vAlign w:val="center"/>
            <w:hideMark/>
          </w:tcPr>
          <w:p w:rsidR="00F45709" w:rsidRPr="00A44F6C" w:rsidRDefault="00F45709" w:rsidP="009247ED">
            <w:pPr>
              <w:jc w:val="both"/>
              <w:rPr>
                <w:rFonts w:ascii="Arial Narrow" w:hAnsi="Arial Narrow" w:cs="Arial"/>
                <w:sz w:val="20"/>
                <w:szCs w:val="20"/>
              </w:rPr>
            </w:pPr>
            <w:r w:rsidRPr="00A44F6C">
              <w:rPr>
                <w:rFonts w:ascii="Arial Narrow" w:hAnsi="Arial Narrow" w:cs="Arial"/>
                <w:sz w:val="20"/>
                <w:szCs w:val="20"/>
              </w:rPr>
              <w:t>$899.93</w:t>
            </w:r>
          </w:p>
        </w:tc>
      </w:tr>
      <w:tr w:rsidR="00F45709" w:rsidRPr="00A44F6C" w:rsidTr="00F45709">
        <w:trPr>
          <w:trHeight w:val="20"/>
        </w:trPr>
        <w:tc>
          <w:tcPr>
            <w:tcW w:w="900" w:type="pct"/>
            <w:tcBorders>
              <w:top w:val="nil"/>
              <w:left w:val="nil"/>
              <w:bottom w:val="nil"/>
              <w:right w:val="nil"/>
            </w:tcBorders>
            <w:shd w:val="clear" w:color="000000" w:fill="FFFFFF"/>
            <w:vAlign w:val="center"/>
            <w:hideMark/>
          </w:tcPr>
          <w:p w:rsidR="00F45709" w:rsidRPr="00A44F6C" w:rsidRDefault="00F45709" w:rsidP="009247ED">
            <w:pPr>
              <w:rPr>
                <w:rFonts w:ascii="Arial Narrow" w:hAnsi="Arial Narrow" w:cs="Arial"/>
                <w:sz w:val="20"/>
                <w:szCs w:val="20"/>
              </w:rPr>
            </w:pPr>
            <w:r w:rsidRPr="00A44F6C">
              <w:rPr>
                <w:rFonts w:ascii="Arial Narrow" w:hAnsi="Arial Narrow" w:cs="Arial"/>
                <w:sz w:val="20"/>
                <w:szCs w:val="20"/>
              </w:rPr>
              <w:t> </w:t>
            </w:r>
          </w:p>
        </w:tc>
        <w:tc>
          <w:tcPr>
            <w:tcW w:w="1977" w:type="pct"/>
            <w:tcBorders>
              <w:top w:val="nil"/>
              <w:left w:val="nil"/>
              <w:bottom w:val="nil"/>
              <w:right w:val="nil"/>
            </w:tcBorders>
            <w:shd w:val="clear" w:color="000000" w:fill="FFFFFF"/>
            <w:vAlign w:val="center"/>
            <w:hideMark/>
          </w:tcPr>
          <w:p w:rsidR="00F45709" w:rsidRPr="00A44F6C" w:rsidRDefault="00F45709" w:rsidP="009247ED">
            <w:pPr>
              <w:jc w:val="both"/>
              <w:rPr>
                <w:rFonts w:ascii="Arial Narrow" w:hAnsi="Arial Narrow" w:cs="Arial"/>
                <w:sz w:val="20"/>
                <w:szCs w:val="20"/>
              </w:rPr>
            </w:pPr>
          </w:p>
        </w:tc>
        <w:tc>
          <w:tcPr>
            <w:tcW w:w="2123" w:type="pct"/>
            <w:tcBorders>
              <w:top w:val="nil"/>
              <w:left w:val="nil"/>
              <w:bottom w:val="nil"/>
              <w:right w:val="nil"/>
            </w:tcBorders>
            <w:shd w:val="clear" w:color="000000" w:fill="FFFFFF"/>
            <w:vAlign w:val="center"/>
            <w:hideMark/>
          </w:tcPr>
          <w:p w:rsidR="00F45709" w:rsidRPr="00A44F6C" w:rsidRDefault="00F45709" w:rsidP="009247ED">
            <w:pPr>
              <w:jc w:val="both"/>
              <w:rPr>
                <w:rFonts w:ascii="Arial Narrow" w:hAnsi="Arial Narrow" w:cs="Arial"/>
                <w:sz w:val="20"/>
                <w:szCs w:val="20"/>
              </w:rPr>
            </w:pPr>
          </w:p>
        </w:tc>
      </w:tr>
      <w:tr w:rsidR="00F45709" w:rsidRPr="00A44F6C" w:rsidTr="00F45709">
        <w:trPr>
          <w:trHeight w:val="20"/>
        </w:trPr>
        <w:tc>
          <w:tcPr>
            <w:tcW w:w="900" w:type="pct"/>
            <w:tcBorders>
              <w:top w:val="single" w:sz="8" w:space="0" w:color="auto"/>
              <w:left w:val="single" w:sz="8" w:space="0" w:color="auto"/>
              <w:bottom w:val="single" w:sz="4" w:space="0" w:color="auto"/>
              <w:right w:val="single" w:sz="4" w:space="0" w:color="auto"/>
            </w:tcBorders>
            <w:shd w:val="clear" w:color="000000" w:fill="FFFFFF"/>
            <w:vAlign w:val="center"/>
            <w:hideMark/>
          </w:tcPr>
          <w:p w:rsidR="00F45709" w:rsidRPr="00A44F6C" w:rsidRDefault="00F45709" w:rsidP="009247ED">
            <w:pPr>
              <w:rPr>
                <w:rFonts w:ascii="Arial Narrow" w:hAnsi="Arial Narrow" w:cs="Arial"/>
                <w:sz w:val="20"/>
                <w:szCs w:val="20"/>
              </w:rPr>
            </w:pPr>
            <w:r w:rsidRPr="00A44F6C">
              <w:rPr>
                <w:rFonts w:ascii="Arial Narrow" w:hAnsi="Arial Narrow" w:cs="Arial"/>
                <w:sz w:val="20"/>
                <w:szCs w:val="20"/>
              </w:rPr>
              <w:t>AEMP per can</w:t>
            </w:r>
          </w:p>
        </w:tc>
        <w:tc>
          <w:tcPr>
            <w:tcW w:w="1977" w:type="pct"/>
            <w:tcBorders>
              <w:top w:val="single" w:sz="8" w:space="0" w:color="auto"/>
              <w:left w:val="nil"/>
              <w:bottom w:val="single" w:sz="4" w:space="0" w:color="auto"/>
              <w:right w:val="single" w:sz="4" w:space="0" w:color="auto"/>
            </w:tcBorders>
            <w:shd w:val="clear" w:color="000000" w:fill="FFFFFF"/>
            <w:vAlign w:val="center"/>
            <w:hideMark/>
          </w:tcPr>
          <w:p w:rsidR="00F45709" w:rsidRPr="00A44F6C" w:rsidRDefault="00F45709" w:rsidP="009247ED">
            <w:pPr>
              <w:jc w:val="both"/>
              <w:rPr>
                <w:rFonts w:ascii="Arial Narrow" w:hAnsi="Arial Narrow" w:cs="Arial"/>
                <w:sz w:val="20"/>
                <w:szCs w:val="20"/>
              </w:rPr>
            </w:pPr>
            <w:r w:rsidRPr="00A44F6C">
              <w:rPr>
                <w:rFonts w:ascii="Arial Narrow" w:hAnsi="Arial Narrow" w:cs="Arial"/>
                <w:sz w:val="20"/>
                <w:szCs w:val="20"/>
              </w:rPr>
              <w:t>$45.00</w:t>
            </w:r>
          </w:p>
        </w:tc>
        <w:tc>
          <w:tcPr>
            <w:tcW w:w="2123" w:type="pct"/>
            <w:tcBorders>
              <w:top w:val="single" w:sz="8" w:space="0" w:color="auto"/>
              <w:left w:val="nil"/>
              <w:bottom w:val="single" w:sz="4" w:space="0" w:color="auto"/>
              <w:right w:val="single" w:sz="8" w:space="0" w:color="auto"/>
            </w:tcBorders>
            <w:shd w:val="clear" w:color="000000" w:fill="FFFFFF"/>
            <w:vAlign w:val="center"/>
            <w:hideMark/>
          </w:tcPr>
          <w:p w:rsidR="00F45709" w:rsidRPr="00A44F6C" w:rsidRDefault="00F45709" w:rsidP="009247ED">
            <w:pPr>
              <w:jc w:val="both"/>
              <w:rPr>
                <w:rFonts w:ascii="Arial Narrow" w:hAnsi="Arial Narrow" w:cs="Arial"/>
                <w:sz w:val="20"/>
                <w:szCs w:val="20"/>
              </w:rPr>
            </w:pPr>
            <w:r w:rsidRPr="00A44F6C">
              <w:rPr>
                <w:rFonts w:ascii="Arial Narrow" w:hAnsi="Arial Narrow" w:cs="Arial"/>
                <w:sz w:val="20"/>
                <w:szCs w:val="20"/>
              </w:rPr>
              <w:t>$45.00</w:t>
            </w:r>
          </w:p>
        </w:tc>
      </w:tr>
      <w:tr w:rsidR="00F45709" w:rsidRPr="00136CDA" w:rsidTr="00F45709">
        <w:trPr>
          <w:trHeight w:val="20"/>
        </w:trPr>
        <w:tc>
          <w:tcPr>
            <w:tcW w:w="900" w:type="pct"/>
            <w:tcBorders>
              <w:top w:val="nil"/>
              <w:left w:val="single" w:sz="8" w:space="0" w:color="auto"/>
              <w:bottom w:val="single" w:sz="8" w:space="0" w:color="auto"/>
              <w:right w:val="single" w:sz="4" w:space="0" w:color="auto"/>
            </w:tcBorders>
            <w:shd w:val="clear" w:color="000000" w:fill="FFFFFF"/>
            <w:vAlign w:val="center"/>
            <w:hideMark/>
          </w:tcPr>
          <w:p w:rsidR="00F45709" w:rsidRPr="00A44F6C" w:rsidRDefault="00F45709" w:rsidP="009247ED">
            <w:pPr>
              <w:rPr>
                <w:rFonts w:ascii="Arial Narrow" w:hAnsi="Arial Narrow" w:cs="Arial"/>
                <w:sz w:val="20"/>
                <w:szCs w:val="20"/>
              </w:rPr>
            </w:pPr>
            <w:r w:rsidRPr="00A44F6C">
              <w:rPr>
                <w:rFonts w:ascii="Arial Narrow" w:hAnsi="Arial Narrow" w:cs="Arial"/>
                <w:sz w:val="20"/>
                <w:szCs w:val="20"/>
              </w:rPr>
              <w:t>DPMQ per can</w:t>
            </w:r>
          </w:p>
        </w:tc>
        <w:tc>
          <w:tcPr>
            <w:tcW w:w="1977" w:type="pct"/>
            <w:tcBorders>
              <w:top w:val="nil"/>
              <w:left w:val="nil"/>
              <w:bottom w:val="single" w:sz="8" w:space="0" w:color="auto"/>
              <w:right w:val="single" w:sz="4" w:space="0" w:color="auto"/>
            </w:tcBorders>
            <w:shd w:val="clear" w:color="auto" w:fill="auto"/>
            <w:noWrap/>
            <w:vAlign w:val="bottom"/>
            <w:hideMark/>
          </w:tcPr>
          <w:p w:rsidR="00F45709" w:rsidRPr="00A44F6C" w:rsidRDefault="00F45709" w:rsidP="009247ED">
            <w:pPr>
              <w:jc w:val="both"/>
              <w:rPr>
                <w:rFonts w:ascii="Arial Narrow" w:hAnsi="Arial Narrow" w:cs="Arial"/>
                <w:sz w:val="20"/>
                <w:szCs w:val="20"/>
              </w:rPr>
            </w:pPr>
            <w:r w:rsidRPr="00A44F6C">
              <w:rPr>
                <w:rFonts w:ascii="Arial Narrow" w:hAnsi="Arial Narrow" w:cs="Arial"/>
                <w:sz w:val="20"/>
                <w:szCs w:val="20"/>
              </w:rPr>
              <w:t>$51.48</w:t>
            </w:r>
          </w:p>
        </w:tc>
        <w:tc>
          <w:tcPr>
            <w:tcW w:w="2123" w:type="pct"/>
            <w:tcBorders>
              <w:top w:val="nil"/>
              <w:left w:val="single" w:sz="4" w:space="0" w:color="auto"/>
              <w:bottom w:val="single" w:sz="8" w:space="0" w:color="auto"/>
              <w:right w:val="single" w:sz="8" w:space="0" w:color="auto"/>
            </w:tcBorders>
            <w:shd w:val="clear" w:color="auto" w:fill="auto"/>
            <w:noWrap/>
            <w:vAlign w:val="bottom"/>
            <w:hideMark/>
          </w:tcPr>
          <w:p w:rsidR="00F45709" w:rsidRPr="00A44F6C" w:rsidRDefault="00F45709" w:rsidP="009247ED">
            <w:pPr>
              <w:jc w:val="both"/>
              <w:rPr>
                <w:rFonts w:ascii="Arial Narrow" w:hAnsi="Arial Narrow" w:cs="Arial"/>
                <w:sz w:val="20"/>
                <w:szCs w:val="20"/>
              </w:rPr>
            </w:pPr>
            <w:r w:rsidRPr="00A44F6C">
              <w:rPr>
                <w:rFonts w:ascii="Arial Narrow" w:hAnsi="Arial Narrow" w:cs="Arial"/>
                <w:sz w:val="20"/>
                <w:szCs w:val="20"/>
              </w:rPr>
              <w:t>$50.77</w:t>
            </w:r>
          </w:p>
        </w:tc>
      </w:tr>
    </w:tbl>
    <w:p w:rsidR="00F45709" w:rsidRPr="00136CDA" w:rsidRDefault="00F45709" w:rsidP="00F45709">
      <w:pPr>
        <w:pStyle w:val="ListParagraph"/>
        <w:jc w:val="both"/>
        <w:rPr>
          <w:rFonts w:ascii="Arial" w:hAnsi="Arial"/>
          <w:sz w:val="22"/>
          <w:szCs w:val="22"/>
        </w:rPr>
      </w:pPr>
    </w:p>
    <w:p w:rsidR="003C10F5" w:rsidRPr="00136CDA" w:rsidRDefault="003C10F5" w:rsidP="003C10F5">
      <w:pPr>
        <w:pStyle w:val="ListParagraph"/>
        <w:jc w:val="both"/>
        <w:rPr>
          <w:rFonts w:ascii="Arial" w:hAnsi="Arial"/>
          <w:sz w:val="22"/>
          <w:szCs w:val="22"/>
        </w:rPr>
      </w:pPr>
    </w:p>
    <w:p w:rsidR="00F45709" w:rsidRPr="00136CDA" w:rsidRDefault="00F45709" w:rsidP="00772D59">
      <w:pPr>
        <w:pStyle w:val="ListParagraph"/>
        <w:numPr>
          <w:ilvl w:val="1"/>
          <w:numId w:val="25"/>
        </w:numPr>
        <w:jc w:val="both"/>
        <w:rPr>
          <w:rFonts w:ascii="Arial" w:hAnsi="Arial"/>
          <w:sz w:val="22"/>
          <w:szCs w:val="22"/>
        </w:rPr>
      </w:pPr>
      <w:r w:rsidRPr="00136CDA">
        <w:rPr>
          <w:rFonts w:ascii="Arial" w:hAnsi="Arial"/>
          <w:sz w:val="22"/>
          <w:szCs w:val="22"/>
        </w:rPr>
        <w:t>Based on the DPMQ in the submission</w:t>
      </w:r>
      <w:r w:rsidR="00E34C04" w:rsidRPr="00136CDA">
        <w:rPr>
          <w:rFonts w:ascii="Arial" w:hAnsi="Arial"/>
          <w:sz w:val="22"/>
          <w:szCs w:val="22"/>
        </w:rPr>
        <w:t xml:space="preserve"> and the assump</w:t>
      </w:r>
      <w:r w:rsidR="00772D59" w:rsidRPr="00136CDA">
        <w:rPr>
          <w:rFonts w:ascii="Arial" w:hAnsi="Arial"/>
          <w:sz w:val="22"/>
          <w:szCs w:val="22"/>
        </w:rPr>
        <w:t xml:space="preserve">tion of </w:t>
      </w:r>
      <w:r w:rsidR="00277B38">
        <w:rPr>
          <w:rFonts w:ascii="Arial" w:hAnsi="Arial"/>
          <w:noProof/>
          <w:color w:val="000000"/>
          <w:sz w:val="22"/>
          <w:szCs w:val="22"/>
          <w:highlight w:val="black"/>
        </w:rPr>
        <w:t>''''''</w:t>
      </w:r>
      <w:r w:rsidR="00772D59" w:rsidRPr="00136CDA">
        <w:rPr>
          <w:rFonts w:ascii="Arial" w:hAnsi="Arial"/>
          <w:sz w:val="22"/>
          <w:szCs w:val="22"/>
        </w:rPr>
        <w:t>% of the estimated Peptamen</w:t>
      </w:r>
      <w:r w:rsidR="00494ADE" w:rsidRPr="00136CDA">
        <w:rPr>
          <w:rFonts w:ascii="Arial" w:hAnsi="Arial"/>
          <w:b/>
          <w:sz w:val="22"/>
          <w:szCs w:val="22"/>
          <w:vertAlign w:val="superscript"/>
        </w:rPr>
        <w:t>®</w:t>
      </w:r>
      <w:r w:rsidR="00772D59" w:rsidRPr="00136CDA">
        <w:rPr>
          <w:rFonts w:ascii="Arial" w:hAnsi="Arial"/>
          <w:sz w:val="22"/>
          <w:szCs w:val="22"/>
        </w:rPr>
        <w:t xml:space="preserve"> </w:t>
      </w:r>
      <w:r w:rsidR="004665C7" w:rsidRPr="00136CDA">
        <w:rPr>
          <w:rFonts w:ascii="Arial" w:hAnsi="Arial"/>
          <w:sz w:val="22"/>
          <w:szCs w:val="22"/>
        </w:rPr>
        <w:t xml:space="preserve">Junior </w:t>
      </w:r>
      <w:r w:rsidR="00772D59" w:rsidRPr="00136CDA">
        <w:rPr>
          <w:rFonts w:ascii="Arial" w:hAnsi="Arial"/>
          <w:sz w:val="22"/>
          <w:szCs w:val="22"/>
        </w:rPr>
        <w:t>market will be supplied through patient’s accessing 20 cans of Peptamen</w:t>
      </w:r>
      <w:r w:rsidR="00494ADE" w:rsidRPr="00136CDA">
        <w:rPr>
          <w:rFonts w:ascii="Arial" w:hAnsi="Arial"/>
          <w:b/>
          <w:sz w:val="22"/>
          <w:szCs w:val="22"/>
          <w:vertAlign w:val="superscript"/>
        </w:rPr>
        <w:t>®</w:t>
      </w:r>
      <w:r w:rsidR="00772D59" w:rsidRPr="00136CDA">
        <w:rPr>
          <w:rFonts w:ascii="Arial" w:hAnsi="Arial"/>
          <w:sz w:val="22"/>
          <w:szCs w:val="22"/>
        </w:rPr>
        <w:t xml:space="preserve"> per item processed</w:t>
      </w:r>
      <w:r w:rsidR="002E5690" w:rsidRPr="00136CDA">
        <w:rPr>
          <w:rFonts w:ascii="Arial" w:hAnsi="Arial"/>
          <w:sz w:val="22"/>
          <w:szCs w:val="22"/>
        </w:rPr>
        <w:t xml:space="preserve">, </w:t>
      </w:r>
      <w:r w:rsidRPr="00136CDA">
        <w:rPr>
          <w:rFonts w:ascii="Arial" w:hAnsi="Arial"/>
          <w:sz w:val="22"/>
          <w:szCs w:val="22"/>
        </w:rPr>
        <w:t xml:space="preserve">the impact to </w:t>
      </w:r>
      <w:r w:rsidR="00772D59" w:rsidRPr="00136CDA">
        <w:rPr>
          <w:rFonts w:ascii="Arial" w:hAnsi="Arial"/>
          <w:sz w:val="22"/>
          <w:szCs w:val="22"/>
        </w:rPr>
        <w:t xml:space="preserve">the PBS </w:t>
      </w:r>
      <w:r w:rsidRPr="00136CDA">
        <w:rPr>
          <w:rFonts w:ascii="Arial" w:hAnsi="Arial"/>
          <w:sz w:val="22"/>
          <w:szCs w:val="22"/>
        </w:rPr>
        <w:t>is</w:t>
      </w:r>
      <w:r w:rsidR="00772D59" w:rsidRPr="00136CDA">
        <w:rPr>
          <w:rFonts w:ascii="Arial" w:hAnsi="Arial"/>
          <w:sz w:val="22"/>
          <w:szCs w:val="22"/>
        </w:rPr>
        <w:t xml:space="preserve"> claimed to be </w:t>
      </w:r>
      <w:r w:rsidR="002E5690" w:rsidRPr="00A04299">
        <w:rPr>
          <w:rFonts w:ascii="Arial" w:hAnsi="Arial"/>
          <w:sz w:val="22"/>
          <w:szCs w:val="22"/>
        </w:rPr>
        <w:t>$</w:t>
      </w:r>
      <w:r w:rsidR="00277B38">
        <w:rPr>
          <w:rFonts w:ascii="Arial" w:hAnsi="Arial"/>
          <w:noProof/>
          <w:color w:val="000000"/>
          <w:sz w:val="22"/>
          <w:szCs w:val="22"/>
          <w:highlight w:val="black"/>
        </w:rPr>
        <w:t>''''''''''</w:t>
      </w:r>
      <w:r w:rsidR="002E5690" w:rsidRPr="00136CDA">
        <w:rPr>
          <w:rFonts w:ascii="Arial" w:hAnsi="Arial"/>
          <w:sz w:val="22"/>
          <w:szCs w:val="22"/>
        </w:rPr>
        <w:t xml:space="preserve"> over 5 years. However</w:t>
      </w:r>
      <w:r w:rsidRPr="00136CDA">
        <w:rPr>
          <w:rFonts w:ascii="Arial" w:hAnsi="Arial"/>
          <w:sz w:val="22"/>
          <w:szCs w:val="22"/>
        </w:rPr>
        <w:t xml:space="preserve"> the cost will be slight</w:t>
      </w:r>
      <w:r w:rsidR="00FC66D9" w:rsidRPr="00136CDA">
        <w:rPr>
          <w:rFonts w:ascii="Arial" w:hAnsi="Arial"/>
          <w:sz w:val="22"/>
          <w:szCs w:val="22"/>
        </w:rPr>
        <w:t>ly</w:t>
      </w:r>
      <w:r w:rsidRPr="00136CDA">
        <w:rPr>
          <w:rFonts w:ascii="Arial" w:hAnsi="Arial"/>
          <w:sz w:val="22"/>
          <w:szCs w:val="22"/>
        </w:rPr>
        <w:t xml:space="preserve"> over-estimat</w:t>
      </w:r>
      <w:r w:rsidR="00FC66D9" w:rsidRPr="00136CDA">
        <w:rPr>
          <w:rFonts w:ascii="Arial" w:hAnsi="Arial"/>
          <w:sz w:val="22"/>
          <w:szCs w:val="22"/>
        </w:rPr>
        <w:t>ed</w:t>
      </w:r>
      <w:r w:rsidRPr="00136CDA">
        <w:rPr>
          <w:rFonts w:ascii="Arial" w:hAnsi="Arial"/>
          <w:sz w:val="22"/>
          <w:szCs w:val="22"/>
        </w:rPr>
        <w:t xml:space="preserve"> due to the error</w:t>
      </w:r>
      <w:r w:rsidR="00FC66D9" w:rsidRPr="00136CDA">
        <w:rPr>
          <w:rFonts w:ascii="Arial" w:hAnsi="Arial"/>
          <w:sz w:val="22"/>
          <w:szCs w:val="22"/>
        </w:rPr>
        <w:t xml:space="preserve"> in the calculation of the DPMQ</w:t>
      </w:r>
      <w:r w:rsidR="008449AD" w:rsidRPr="00136CDA">
        <w:rPr>
          <w:rFonts w:ascii="Arial" w:hAnsi="Arial"/>
          <w:sz w:val="22"/>
          <w:szCs w:val="22"/>
        </w:rPr>
        <w:t>.</w:t>
      </w:r>
      <w:r w:rsidR="00605332" w:rsidRPr="00136CDA">
        <w:rPr>
          <w:rFonts w:ascii="Arial" w:hAnsi="Arial"/>
          <w:sz w:val="22"/>
          <w:szCs w:val="22"/>
        </w:rPr>
        <w:t xml:space="preserve"> </w:t>
      </w:r>
      <w:r w:rsidR="00772D59" w:rsidRPr="00136CDA">
        <w:rPr>
          <w:rFonts w:ascii="Arial" w:hAnsi="Arial"/>
          <w:sz w:val="22"/>
          <w:szCs w:val="22"/>
        </w:rPr>
        <w:t xml:space="preserve">The submission presented a sensitivity analysis that if the assumption of patient’s accessing 20 cans is </w:t>
      </w:r>
      <w:r w:rsidR="00277B38">
        <w:rPr>
          <w:rFonts w:ascii="Arial" w:hAnsi="Arial"/>
          <w:noProof/>
          <w:color w:val="000000"/>
          <w:sz w:val="22"/>
          <w:szCs w:val="22"/>
          <w:highlight w:val="black"/>
        </w:rPr>
        <w:t>''''''</w:t>
      </w:r>
      <w:r w:rsidR="00772D59" w:rsidRPr="00136CDA">
        <w:rPr>
          <w:rFonts w:ascii="Arial" w:hAnsi="Arial"/>
          <w:sz w:val="22"/>
          <w:szCs w:val="22"/>
        </w:rPr>
        <w:t xml:space="preserve">%, the cost to the PBS was estimated to be </w:t>
      </w:r>
      <w:r w:rsidR="00772D59" w:rsidRPr="00A04299">
        <w:rPr>
          <w:rFonts w:ascii="Arial" w:hAnsi="Arial"/>
          <w:sz w:val="22"/>
          <w:szCs w:val="22"/>
        </w:rPr>
        <w:t>$</w:t>
      </w:r>
      <w:r w:rsidR="00277B38">
        <w:rPr>
          <w:rFonts w:ascii="Arial" w:hAnsi="Arial"/>
          <w:noProof/>
          <w:color w:val="000000"/>
          <w:sz w:val="22"/>
          <w:szCs w:val="22"/>
          <w:highlight w:val="black"/>
        </w:rPr>
        <w:t>'''''''''''''''</w:t>
      </w:r>
      <w:r w:rsidR="00A44F6C">
        <w:rPr>
          <w:rFonts w:ascii="Arial" w:hAnsi="Arial"/>
          <w:sz w:val="22"/>
          <w:szCs w:val="22"/>
        </w:rPr>
        <w:t xml:space="preserve"> over 5 years.</w:t>
      </w:r>
    </w:p>
    <w:p w:rsidR="008449AD" w:rsidRDefault="008449AD" w:rsidP="003A3DEF">
      <w:pPr>
        <w:pStyle w:val="ListParagraph"/>
        <w:jc w:val="both"/>
        <w:rPr>
          <w:rFonts w:ascii="Arial" w:hAnsi="Arial"/>
          <w:sz w:val="22"/>
          <w:szCs w:val="22"/>
        </w:rPr>
      </w:pPr>
    </w:p>
    <w:p w:rsidR="009F634A" w:rsidRPr="00136CDA" w:rsidRDefault="009F634A" w:rsidP="003A3DEF">
      <w:pPr>
        <w:pStyle w:val="ListParagraph"/>
        <w:jc w:val="both"/>
        <w:rPr>
          <w:rFonts w:ascii="Arial" w:hAnsi="Arial"/>
          <w:sz w:val="22"/>
          <w:szCs w:val="22"/>
        </w:rPr>
      </w:pPr>
    </w:p>
    <w:p w:rsidR="003A3DEF" w:rsidRPr="00136CDA" w:rsidRDefault="003A3DEF" w:rsidP="003A3DEF">
      <w:pPr>
        <w:widowControl w:val="0"/>
        <w:numPr>
          <w:ilvl w:val="0"/>
          <w:numId w:val="25"/>
        </w:numPr>
        <w:jc w:val="both"/>
        <w:rPr>
          <w:rFonts w:ascii="Arial" w:hAnsi="Arial" w:cs="Arial"/>
          <w:b/>
          <w:bCs/>
          <w:snapToGrid w:val="0"/>
          <w:sz w:val="22"/>
          <w:szCs w:val="22"/>
        </w:rPr>
      </w:pPr>
      <w:r w:rsidRPr="00136CDA">
        <w:rPr>
          <w:rFonts w:ascii="Arial" w:hAnsi="Arial" w:cs="Arial"/>
          <w:b/>
          <w:bCs/>
          <w:snapToGrid w:val="0"/>
          <w:sz w:val="22"/>
          <w:szCs w:val="22"/>
        </w:rPr>
        <w:t>PBAC Outcome</w:t>
      </w:r>
    </w:p>
    <w:p w:rsidR="003A3DEF" w:rsidRPr="00136CDA" w:rsidRDefault="003A3DEF" w:rsidP="003A3DEF">
      <w:pPr>
        <w:widowControl w:val="0"/>
        <w:ind w:left="720"/>
        <w:contextualSpacing/>
        <w:jc w:val="both"/>
        <w:rPr>
          <w:rFonts w:ascii="Arial" w:hAnsi="Arial" w:cs="Arial"/>
          <w:bCs/>
          <w:snapToGrid w:val="0"/>
          <w:sz w:val="22"/>
          <w:szCs w:val="22"/>
          <w:lang w:val="en-GB"/>
        </w:rPr>
      </w:pPr>
    </w:p>
    <w:p w:rsidR="00CD33DF" w:rsidRPr="00136CDA" w:rsidRDefault="00CD33DF" w:rsidP="00CD33DF">
      <w:pPr>
        <w:pStyle w:val="ListParagraph"/>
        <w:numPr>
          <w:ilvl w:val="1"/>
          <w:numId w:val="25"/>
        </w:numPr>
        <w:rPr>
          <w:rFonts w:ascii="Arial" w:hAnsi="Arial" w:cs="Arial"/>
          <w:bCs/>
          <w:snapToGrid w:val="0"/>
          <w:sz w:val="22"/>
          <w:szCs w:val="22"/>
          <w:lang w:val="en-GB"/>
        </w:rPr>
      </w:pPr>
      <w:r w:rsidRPr="00136CDA">
        <w:rPr>
          <w:rFonts w:ascii="Arial" w:hAnsi="Arial" w:cs="Arial"/>
          <w:bCs/>
          <w:snapToGrid w:val="0"/>
          <w:sz w:val="22"/>
          <w:szCs w:val="22"/>
          <w:lang w:val="en-GB"/>
        </w:rPr>
        <w:t xml:space="preserve">The PBAC noted advice from the Nutritional Products Working Party and recommended </w:t>
      </w:r>
      <w:r w:rsidRPr="00136CDA">
        <w:rPr>
          <w:rFonts w:ascii="Arial" w:hAnsi="Arial"/>
          <w:sz w:val="22"/>
          <w:szCs w:val="22"/>
        </w:rPr>
        <w:t>to amend the current administrative advice note, allowing an increased supply of Peptamen</w:t>
      </w:r>
      <w:r w:rsidRPr="00136CDA">
        <w:rPr>
          <w:rFonts w:ascii="Arial" w:hAnsi="Arial"/>
          <w:b/>
          <w:sz w:val="22"/>
          <w:szCs w:val="22"/>
          <w:vertAlign w:val="superscript"/>
        </w:rPr>
        <w:t>®</w:t>
      </w:r>
      <w:r w:rsidRPr="00136CDA">
        <w:rPr>
          <w:rFonts w:ascii="Arial" w:hAnsi="Arial"/>
          <w:sz w:val="22"/>
          <w:szCs w:val="22"/>
        </w:rPr>
        <w:t xml:space="preserve"> Junior from the listed maximum quantity of 8 cans up to a maximum of 20 cans to allow a one month supply for an infant or child at an appropriate dose to meet the total nutritional requirements for their respective age range</w:t>
      </w:r>
      <w:r w:rsidRPr="00136CDA">
        <w:rPr>
          <w:rFonts w:ascii="Arial" w:hAnsi="Arial" w:cs="Arial"/>
          <w:bCs/>
          <w:snapToGrid w:val="0"/>
          <w:sz w:val="22"/>
          <w:szCs w:val="22"/>
          <w:lang w:val="en-GB"/>
        </w:rPr>
        <w:t xml:space="preserve">. </w:t>
      </w:r>
    </w:p>
    <w:p w:rsidR="0072691D" w:rsidRPr="00136CDA" w:rsidRDefault="0072691D" w:rsidP="0072691D">
      <w:pPr>
        <w:rPr>
          <w:rFonts w:ascii="Arial" w:hAnsi="Arial" w:cs="Arial"/>
          <w:bCs/>
          <w:snapToGrid w:val="0"/>
          <w:sz w:val="22"/>
          <w:szCs w:val="22"/>
          <w:lang w:val="en-GB"/>
        </w:rPr>
      </w:pPr>
    </w:p>
    <w:p w:rsidR="00CD33DF" w:rsidRPr="00136CDA" w:rsidRDefault="00CD33DF" w:rsidP="00507DA1">
      <w:pPr>
        <w:pStyle w:val="ListParagraph"/>
        <w:numPr>
          <w:ilvl w:val="1"/>
          <w:numId w:val="25"/>
        </w:numPr>
        <w:rPr>
          <w:rFonts w:ascii="Arial" w:hAnsi="Arial" w:cs="Arial"/>
          <w:bCs/>
          <w:snapToGrid w:val="0"/>
          <w:sz w:val="22"/>
          <w:szCs w:val="22"/>
          <w:lang w:val="en-GB"/>
        </w:rPr>
      </w:pPr>
      <w:r w:rsidRPr="00136CDA">
        <w:rPr>
          <w:rFonts w:ascii="Arial" w:hAnsi="Arial" w:cs="Arial"/>
          <w:bCs/>
          <w:snapToGrid w:val="0"/>
          <w:sz w:val="22"/>
          <w:szCs w:val="22"/>
          <w:lang w:val="en-GB"/>
        </w:rPr>
        <w:t>The PBAC noted that if Peptamen® Junior powder was the sole source of nutrition for an eight to ten year old child, they would require approximately 300 grams of powder per month to meet their nutrition requirements. This amount of powder equates to approximately 22 cans of Peptamen® Junior.</w:t>
      </w:r>
      <w:r w:rsidR="00507DA1" w:rsidRPr="00136CDA">
        <w:rPr>
          <w:rFonts w:ascii="Arial" w:hAnsi="Arial" w:cs="Arial"/>
          <w:bCs/>
          <w:snapToGrid w:val="0"/>
          <w:sz w:val="22"/>
          <w:szCs w:val="22"/>
          <w:lang w:val="en-GB"/>
        </w:rPr>
        <w:t xml:space="preserve"> The value of 20 cans would align with a number of other nutritional formulas on the PBS (including other Nestle products, such as Alfamino®) that allows increase of maximum quantities to 20. </w:t>
      </w:r>
    </w:p>
    <w:p w:rsidR="00507DA1" w:rsidRPr="00136CDA" w:rsidRDefault="00507DA1" w:rsidP="00507DA1">
      <w:pPr>
        <w:pStyle w:val="ListParagraph"/>
        <w:rPr>
          <w:rFonts w:ascii="Arial" w:hAnsi="Arial" w:cs="Arial"/>
          <w:bCs/>
          <w:snapToGrid w:val="0"/>
          <w:sz w:val="22"/>
          <w:szCs w:val="22"/>
          <w:lang w:val="en-GB"/>
        </w:rPr>
      </w:pPr>
    </w:p>
    <w:p w:rsidR="00507DA1" w:rsidRPr="00136CDA" w:rsidRDefault="00507DA1" w:rsidP="00507DA1">
      <w:pPr>
        <w:pStyle w:val="ListParagraph"/>
        <w:numPr>
          <w:ilvl w:val="1"/>
          <w:numId w:val="25"/>
        </w:numPr>
        <w:rPr>
          <w:rFonts w:ascii="Arial" w:hAnsi="Arial" w:cs="Arial"/>
          <w:bCs/>
          <w:snapToGrid w:val="0"/>
          <w:sz w:val="22"/>
          <w:szCs w:val="22"/>
          <w:lang w:val="en-GB"/>
        </w:rPr>
      </w:pPr>
      <w:r w:rsidRPr="00136CDA">
        <w:rPr>
          <w:rFonts w:ascii="Arial" w:hAnsi="Arial" w:cs="Arial"/>
          <w:bCs/>
          <w:snapToGrid w:val="0"/>
          <w:sz w:val="22"/>
          <w:szCs w:val="22"/>
          <w:lang w:val="en-GB"/>
        </w:rPr>
        <w:t>The PBAC noted that the submission claimed the change to the note would have a small financial impact on the Commonwealth.</w:t>
      </w:r>
    </w:p>
    <w:p w:rsidR="0072691D" w:rsidRPr="00136CDA" w:rsidRDefault="0072691D" w:rsidP="0072691D">
      <w:pPr>
        <w:rPr>
          <w:rFonts w:ascii="Arial" w:hAnsi="Arial" w:cs="Arial"/>
          <w:bCs/>
          <w:snapToGrid w:val="0"/>
          <w:sz w:val="22"/>
          <w:szCs w:val="22"/>
          <w:lang w:val="en-GB"/>
        </w:rPr>
      </w:pPr>
    </w:p>
    <w:p w:rsidR="003A3DEF" w:rsidRPr="00136CDA" w:rsidRDefault="00CD33DF" w:rsidP="003A3DEF">
      <w:pPr>
        <w:pStyle w:val="ListParagraph"/>
        <w:numPr>
          <w:ilvl w:val="1"/>
          <w:numId w:val="25"/>
        </w:numPr>
        <w:rPr>
          <w:rFonts w:ascii="Arial" w:hAnsi="Arial" w:cs="Arial"/>
          <w:bCs/>
          <w:snapToGrid w:val="0"/>
          <w:sz w:val="22"/>
          <w:szCs w:val="22"/>
          <w:lang w:val="en-GB"/>
        </w:rPr>
      </w:pPr>
      <w:r w:rsidRPr="00136CDA">
        <w:rPr>
          <w:rFonts w:ascii="Arial" w:hAnsi="Arial" w:cs="Arial"/>
          <w:bCs/>
          <w:snapToGrid w:val="0"/>
          <w:sz w:val="22"/>
          <w:szCs w:val="22"/>
          <w:lang w:val="en-GB"/>
        </w:rPr>
        <w:t>The PBAC noted that Peptamen® Junior was listed on the same basis as Lipistart® and Monogen® for fat malabsorption due to liver disease, short gut syndrome, cystic fibrosis or gastrointestinal disorders</w:t>
      </w:r>
      <w:r w:rsidR="004F133E">
        <w:rPr>
          <w:rFonts w:ascii="Arial" w:hAnsi="Arial" w:cs="Arial"/>
          <w:bCs/>
          <w:snapToGrid w:val="0"/>
          <w:sz w:val="22"/>
          <w:szCs w:val="22"/>
          <w:lang w:val="en-GB"/>
        </w:rPr>
        <w:t xml:space="preserve">. </w:t>
      </w:r>
      <w:r w:rsidR="00D305DE" w:rsidRPr="00136CDA">
        <w:rPr>
          <w:rFonts w:ascii="Arial" w:hAnsi="Arial" w:cs="Arial"/>
          <w:bCs/>
          <w:snapToGrid w:val="0"/>
          <w:sz w:val="22"/>
          <w:szCs w:val="22"/>
          <w:lang w:val="en-GB"/>
        </w:rPr>
        <w:t xml:space="preserve">Lipistart® and Monogen® </w:t>
      </w:r>
      <w:r w:rsidRPr="00136CDA">
        <w:rPr>
          <w:rFonts w:ascii="Arial" w:hAnsi="Arial" w:cs="Arial"/>
          <w:bCs/>
          <w:snapToGrid w:val="0"/>
          <w:sz w:val="22"/>
          <w:szCs w:val="22"/>
          <w:lang w:val="en-GB"/>
        </w:rPr>
        <w:t>are also listed for hyperlipoproteinaemina type 1, long chain fatty acid oxidation disorders, chylous ascites and chylothorax. The PBAC noted the advice from the Nutritional Products Working Party that in practice, Lipistart® and Monogen® tended to be mostly used in infants and that overall, without specific evidence, different clinical conditions and the age groups treated with the products, the Working Party could not currently advise if a similar change in the administrative note should be applied for the listing of Lipistart® and Monogen®.</w:t>
      </w:r>
    </w:p>
    <w:p w:rsidR="003A3DEF" w:rsidRPr="00136CDA" w:rsidRDefault="003A3DEF" w:rsidP="003A3DEF">
      <w:pPr>
        <w:jc w:val="both"/>
        <w:rPr>
          <w:rFonts w:ascii="Arial" w:hAnsi="Arial" w:cs="Arial"/>
          <w:b/>
          <w:bCs/>
          <w:snapToGrid w:val="0"/>
          <w:sz w:val="22"/>
          <w:szCs w:val="22"/>
          <w:lang w:val="en-GB"/>
        </w:rPr>
      </w:pPr>
    </w:p>
    <w:p w:rsidR="003A3DEF" w:rsidRPr="00136CDA" w:rsidRDefault="003A3DEF" w:rsidP="003A3DEF">
      <w:pPr>
        <w:jc w:val="both"/>
        <w:rPr>
          <w:rFonts w:ascii="Arial" w:hAnsi="Arial" w:cs="Arial"/>
          <w:b/>
          <w:bCs/>
          <w:snapToGrid w:val="0"/>
          <w:sz w:val="22"/>
          <w:szCs w:val="22"/>
          <w:lang w:val="en-GB"/>
        </w:rPr>
      </w:pPr>
      <w:r w:rsidRPr="00136CDA">
        <w:rPr>
          <w:rFonts w:ascii="Arial" w:hAnsi="Arial" w:cs="Arial"/>
          <w:b/>
          <w:bCs/>
          <w:snapToGrid w:val="0"/>
          <w:sz w:val="22"/>
          <w:szCs w:val="22"/>
          <w:lang w:val="en-GB"/>
        </w:rPr>
        <w:t>Outcome:</w:t>
      </w:r>
    </w:p>
    <w:p w:rsidR="003A3DEF" w:rsidRPr="00136CDA" w:rsidRDefault="003A3DEF" w:rsidP="003A3DEF">
      <w:pPr>
        <w:jc w:val="both"/>
        <w:rPr>
          <w:rFonts w:ascii="Arial" w:hAnsi="Arial" w:cs="Arial"/>
          <w:bCs/>
          <w:snapToGrid w:val="0"/>
          <w:sz w:val="22"/>
          <w:szCs w:val="22"/>
          <w:lang w:val="en-GB"/>
        </w:rPr>
      </w:pPr>
      <w:r w:rsidRPr="00136CDA">
        <w:rPr>
          <w:rFonts w:ascii="Arial" w:hAnsi="Arial" w:cs="Arial"/>
          <w:bCs/>
          <w:snapToGrid w:val="0"/>
          <w:sz w:val="22"/>
          <w:szCs w:val="22"/>
          <w:lang w:val="en-GB"/>
        </w:rPr>
        <w:t>Recommended</w:t>
      </w:r>
    </w:p>
    <w:p w:rsidR="003A3DEF" w:rsidRPr="00136CDA" w:rsidRDefault="003A3DEF" w:rsidP="003A3DEF">
      <w:pPr>
        <w:widowControl w:val="0"/>
        <w:jc w:val="both"/>
        <w:rPr>
          <w:rFonts w:ascii="Arial" w:hAnsi="Arial" w:cs="Arial"/>
          <w:b/>
          <w:bCs/>
          <w:snapToGrid w:val="0"/>
          <w:sz w:val="22"/>
          <w:szCs w:val="22"/>
        </w:rPr>
      </w:pPr>
    </w:p>
    <w:p w:rsidR="009F634A" w:rsidRDefault="009F634A">
      <w:pPr>
        <w:rPr>
          <w:rFonts w:ascii="Arial" w:hAnsi="Arial"/>
          <w:sz w:val="22"/>
          <w:szCs w:val="22"/>
        </w:rPr>
      </w:pPr>
      <w:r>
        <w:rPr>
          <w:rFonts w:ascii="Arial" w:hAnsi="Arial"/>
          <w:sz w:val="22"/>
          <w:szCs w:val="22"/>
        </w:rPr>
        <w:br w:type="page"/>
      </w:r>
    </w:p>
    <w:p w:rsidR="003A3DEF" w:rsidRPr="00136CDA" w:rsidRDefault="003A3DEF" w:rsidP="003A3DEF">
      <w:pPr>
        <w:widowControl w:val="0"/>
        <w:numPr>
          <w:ilvl w:val="0"/>
          <w:numId w:val="25"/>
        </w:numPr>
        <w:jc w:val="both"/>
        <w:rPr>
          <w:rFonts w:ascii="Arial" w:hAnsi="Arial" w:cs="Arial"/>
          <w:b/>
          <w:bCs/>
          <w:snapToGrid w:val="0"/>
          <w:sz w:val="22"/>
          <w:szCs w:val="22"/>
          <w:lang w:val="en-GB"/>
        </w:rPr>
      </w:pPr>
      <w:r w:rsidRPr="00136CDA">
        <w:rPr>
          <w:rFonts w:ascii="Arial" w:hAnsi="Arial" w:cs="Arial"/>
          <w:b/>
          <w:bCs/>
          <w:snapToGrid w:val="0"/>
          <w:sz w:val="22"/>
          <w:szCs w:val="22"/>
          <w:lang w:val="en-GB"/>
        </w:rPr>
        <w:t>Recommended listing</w:t>
      </w:r>
    </w:p>
    <w:p w:rsidR="003A3DEF" w:rsidRPr="00136CDA" w:rsidRDefault="003A3DEF" w:rsidP="003A3DEF">
      <w:pPr>
        <w:jc w:val="both"/>
        <w:rPr>
          <w:rFonts w:ascii="Arial" w:hAnsi="Arial" w:cs="Arial"/>
          <w:b/>
          <w:bCs/>
          <w:snapToGrid w:val="0"/>
          <w:sz w:val="22"/>
          <w:szCs w:val="22"/>
          <w:lang w:val="en-GB"/>
        </w:rPr>
      </w:pPr>
    </w:p>
    <w:p w:rsidR="003A3DEF" w:rsidRPr="00136CDA" w:rsidRDefault="003A3DEF" w:rsidP="003A3DEF">
      <w:pPr>
        <w:widowControl w:val="0"/>
        <w:ind w:firstLine="720"/>
        <w:jc w:val="both"/>
        <w:rPr>
          <w:rFonts w:ascii="Arial" w:hAnsi="Arial" w:cs="Arial"/>
          <w:bCs/>
          <w:snapToGrid w:val="0"/>
          <w:sz w:val="22"/>
          <w:szCs w:val="22"/>
        </w:rPr>
      </w:pPr>
      <w:r w:rsidRPr="00136CDA">
        <w:rPr>
          <w:rFonts w:ascii="Arial" w:hAnsi="Arial" w:cs="Arial"/>
          <w:bCs/>
          <w:snapToGrid w:val="0"/>
          <w:sz w:val="22"/>
          <w:szCs w:val="22"/>
        </w:rPr>
        <w:t>Amend administrative note as follows:</w:t>
      </w:r>
    </w:p>
    <w:p w:rsidR="003A3DEF" w:rsidRPr="00136CDA" w:rsidRDefault="003A3DEF" w:rsidP="003A3DEF">
      <w:pPr>
        <w:pStyle w:val="NoSpacing"/>
      </w:pPr>
    </w:p>
    <w:tbl>
      <w:tblPr>
        <w:tblW w:w="8363" w:type="dxa"/>
        <w:tblInd w:w="817" w:type="dxa"/>
        <w:tblLayout w:type="fixed"/>
        <w:tblLook w:val="0000" w:firstRow="0" w:lastRow="0" w:firstColumn="0" w:lastColumn="0" w:noHBand="0" w:noVBand="0"/>
      </w:tblPr>
      <w:tblGrid>
        <w:gridCol w:w="1985"/>
        <w:gridCol w:w="1134"/>
        <w:gridCol w:w="850"/>
        <w:gridCol w:w="709"/>
        <w:gridCol w:w="2551"/>
        <w:gridCol w:w="1134"/>
      </w:tblGrid>
      <w:tr w:rsidR="00A44F6C" w:rsidRPr="00136CDA" w:rsidTr="007C7B57">
        <w:trPr>
          <w:cantSplit/>
          <w:trHeight w:val="471"/>
        </w:trPr>
        <w:tc>
          <w:tcPr>
            <w:tcW w:w="3119" w:type="dxa"/>
            <w:gridSpan w:val="2"/>
            <w:tcBorders>
              <w:bottom w:val="single" w:sz="4" w:space="0" w:color="auto"/>
            </w:tcBorders>
          </w:tcPr>
          <w:p w:rsidR="00A44F6C" w:rsidRPr="00136CDA" w:rsidRDefault="00A44F6C" w:rsidP="008C35CF">
            <w:pPr>
              <w:keepNext/>
              <w:ind w:left="-108"/>
              <w:jc w:val="both"/>
              <w:rPr>
                <w:rFonts w:ascii="Arial Narrow" w:hAnsi="Arial Narrow" w:cs="Arial"/>
                <w:b/>
                <w:sz w:val="20"/>
                <w:szCs w:val="20"/>
              </w:rPr>
            </w:pPr>
            <w:r w:rsidRPr="00136CDA">
              <w:rPr>
                <w:rFonts w:ascii="Arial Narrow" w:hAnsi="Arial Narrow" w:cs="Arial"/>
                <w:b/>
                <w:sz w:val="20"/>
                <w:szCs w:val="20"/>
              </w:rPr>
              <w:t>Name, Restriction,</w:t>
            </w:r>
          </w:p>
          <w:p w:rsidR="00A44F6C" w:rsidRPr="00136CDA" w:rsidRDefault="00A44F6C" w:rsidP="008C35CF">
            <w:pPr>
              <w:keepNext/>
              <w:ind w:left="-108"/>
              <w:jc w:val="both"/>
              <w:rPr>
                <w:rFonts w:ascii="Arial Narrow" w:hAnsi="Arial Narrow" w:cs="Arial"/>
                <w:b/>
                <w:sz w:val="20"/>
                <w:szCs w:val="20"/>
              </w:rPr>
            </w:pPr>
            <w:r w:rsidRPr="00136CDA">
              <w:rPr>
                <w:rFonts w:ascii="Arial Narrow" w:hAnsi="Arial Narrow" w:cs="Arial"/>
                <w:b/>
                <w:sz w:val="20"/>
                <w:szCs w:val="20"/>
              </w:rPr>
              <w:t>Manner of administration and form</w:t>
            </w:r>
          </w:p>
        </w:tc>
        <w:tc>
          <w:tcPr>
            <w:tcW w:w="850" w:type="dxa"/>
            <w:tcBorders>
              <w:bottom w:val="single" w:sz="4" w:space="0" w:color="auto"/>
            </w:tcBorders>
          </w:tcPr>
          <w:p w:rsidR="00A44F6C" w:rsidRPr="00136CDA" w:rsidRDefault="00A44F6C" w:rsidP="008C35CF">
            <w:pPr>
              <w:keepNext/>
              <w:ind w:left="-108"/>
              <w:jc w:val="both"/>
              <w:rPr>
                <w:rFonts w:ascii="Arial Narrow" w:hAnsi="Arial Narrow" w:cs="Arial"/>
                <w:b/>
                <w:sz w:val="20"/>
                <w:szCs w:val="20"/>
              </w:rPr>
            </w:pPr>
            <w:r w:rsidRPr="00136CDA">
              <w:rPr>
                <w:rFonts w:ascii="Arial Narrow" w:hAnsi="Arial Narrow" w:cs="Arial"/>
                <w:b/>
                <w:sz w:val="20"/>
                <w:szCs w:val="20"/>
              </w:rPr>
              <w:t>Max.</w:t>
            </w:r>
          </w:p>
          <w:p w:rsidR="00A44F6C" w:rsidRPr="00136CDA" w:rsidRDefault="00A44F6C" w:rsidP="008C35CF">
            <w:pPr>
              <w:keepNext/>
              <w:ind w:left="-108"/>
              <w:jc w:val="both"/>
              <w:rPr>
                <w:rFonts w:ascii="Arial Narrow" w:hAnsi="Arial Narrow" w:cs="Arial"/>
                <w:b/>
                <w:sz w:val="20"/>
                <w:szCs w:val="20"/>
              </w:rPr>
            </w:pPr>
            <w:r w:rsidRPr="00136CDA">
              <w:rPr>
                <w:rFonts w:ascii="Arial Narrow" w:hAnsi="Arial Narrow" w:cs="Arial"/>
                <w:b/>
                <w:sz w:val="20"/>
                <w:szCs w:val="20"/>
              </w:rPr>
              <w:t>Qty</w:t>
            </w:r>
          </w:p>
        </w:tc>
        <w:tc>
          <w:tcPr>
            <w:tcW w:w="709" w:type="dxa"/>
            <w:tcBorders>
              <w:bottom w:val="single" w:sz="4" w:space="0" w:color="auto"/>
            </w:tcBorders>
          </w:tcPr>
          <w:p w:rsidR="00A44F6C" w:rsidRPr="00136CDA" w:rsidRDefault="00A44F6C" w:rsidP="008C35CF">
            <w:pPr>
              <w:keepNext/>
              <w:ind w:left="-108"/>
              <w:jc w:val="both"/>
              <w:rPr>
                <w:rFonts w:ascii="Arial Narrow" w:hAnsi="Arial Narrow" w:cs="Arial"/>
                <w:b/>
                <w:sz w:val="20"/>
                <w:szCs w:val="20"/>
              </w:rPr>
            </w:pPr>
            <w:r w:rsidRPr="00136CDA">
              <w:rPr>
                <w:rFonts w:ascii="Arial Narrow" w:hAnsi="Arial Narrow" w:cs="Arial"/>
                <w:b/>
                <w:sz w:val="20"/>
                <w:szCs w:val="20"/>
              </w:rPr>
              <w:t>№.of</w:t>
            </w:r>
          </w:p>
          <w:p w:rsidR="00A44F6C" w:rsidRPr="00136CDA" w:rsidRDefault="00A44F6C" w:rsidP="008C35CF">
            <w:pPr>
              <w:keepNext/>
              <w:ind w:left="-108"/>
              <w:jc w:val="both"/>
              <w:rPr>
                <w:rFonts w:ascii="Arial Narrow" w:hAnsi="Arial Narrow" w:cs="Arial"/>
                <w:b/>
                <w:sz w:val="20"/>
                <w:szCs w:val="20"/>
              </w:rPr>
            </w:pPr>
            <w:r w:rsidRPr="00136CDA">
              <w:rPr>
                <w:rFonts w:ascii="Arial Narrow" w:hAnsi="Arial Narrow" w:cs="Arial"/>
                <w:b/>
                <w:sz w:val="20"/>
                <w:szCs w:val="20"/>
              </w:rPr>
              <w:t>Rpts</w:t>
            </w:r>
          </w:p>
        </w:tc>
        <w:tc>
          <w:tcPr>
            <w:tcW w:w="3685" w:type="dxa"/>
            <w:gridSpan w:val="2"/>
            <w:tcBorders>
              <w:bottom w:val="single" w:sz="4" w:space="0" w:color="auto"/>
            </w:tcBorders>
          </w:tcPr>
          <w:p w:rsidR="00A44F6C" w:rsidRPr="00136CDA" w:rsidRDefault="00A44F6C" w:rsidP="008C35CF">
            <w:pPr>
              <w:keepNext/>
              <w:jc w:val="both"/>
              <w:rPr>
                <w:rFonts w:ascii="Arial Narrow" w:hAnsi="Arial Narrow" w:cs="Arial"/>
                <w:b/>
                <w:sz w:val="20"/>
                <w:szCs w:val="20"/>
                <w:lang w:val="fr-FR"/>
              </w:rPr>
            </w:pPr>
            <w:r w:rsidRPr="00136CDA">
              <w:rPr>
                <w:rFonts w:ascii="Arial Narrow" w:hAnsi="Arial Narrow" w:cs="Arial"/>
                <w:b/>
                <w:sz w:val="20"/>
                <w:szCs w:val="20"/>
              </w:rPr>
              <w:t>Proprietary Name and Manufacturer</w:t>
            </w:r>
          </w:p>
        </w:tc>
      </w:tr>
      <w:tr w:rsidR="00A44F6C" w:rsidRPr="00136CDA" w:rsidTr="00C573FC">
        <w:trPr>
          <w:cantSplit/>
          <w:trHeight w:val="577"/>
        </w:trPr>
        <w:tc>
          <w:tcPr>
            <w:tcW w:w="3119" w:type="dxa"/>
            <w:gridSpan w:val="2"/>
          </w:tcPr>
          <w:p w:rsidR="00A44F6C" w:rsidRPr="00136CDA" w:rsidRDefault="00A44F6C" w:rsidP="008C35CF">
            <w:pPr>
              <w:keepNext/>
              <w:ind w:left="-108"/>
              <w:jc w:val="both"/>
              <w:rPr>
                <w:rFonts w:ascii="Arial Narrow" w:hAnsi="Arial Narrow" w:cs="Arial"/>
                <w:sz w:val="20"/>
                <w:szCs w:val="20"/>
              </w:rPr>
            </w:pPr>
            <w:r w:rsidRPr="00136CDA">
              <w:rPr>
                <w:rFonts w:ascii="Arial Narrow" w:hAnsi="Arial Narrow" w:cs="Arial"/>
                <w:sz w:val="20"/>
                <w:szCs w:val="20"/>
              </w:rPr>
              <w:t>TRIGLYCERIDES MEDIUM CHAIN FORMULA</w:t>
            </w:r>
          </w:p>
          <w:p w:rsidR="00A44F6C" w:rsidRPr="00136CDA" w:rsidRDefault="00A44F6C" w:rsidP="008C35CF">
            <w:pPr>
              <w:keepNext/>
              <w:ind w:left="-108"/>
              <w:jc w:val="both"/>
              <w:rPr>
                <w:rFonts w:ascii="Arial Narrow" w:hAnsi="Arial Narrow" w:cs="Arial"/>
                <w:sz w:val="20"/>
                <w:szCs w:val="20"/>
              </w:rPr>
            </w:pPr>
            <w:r w:rsidRPr="00136CDA">
              <w:rPr>
                <w:rFonts w:ascii="Arial Narrow" w:hAnsi="Arial Narrow" w:cs="Arial"/>
                <w:sz w:val="20"/>
                <w:szCs w:val="20"/>
              </w:rPr>
              <w:t>Triglycerides medium chain formula oral liquid</w:t>
            </w:r>
          </w:p>
          <w:p w:rsidR="00A44F6C" w:rsidRPr="00136CDA" w:rsidRDefault="00A44F6C" w:rsidP="008C35CF">
            <w:pPr>
              <w:keepNext/>
              <w:ind w:left="-108"/>
              <w:jc w:val="both"/>
              <w:rPr>
                <w:rFonts w:ascii="Arial Narrow" w:hAnsi="Arial Narrow" w:cs="Arial"/>
                <w:sz w:val="20"/>
                <w:szCs w:val="20"/>
              </w:rPr>
            </w:pPr>
            <w:r w:rsidRPr="00136CDA">
              <w:rPr>
                <w:rFonts w:ascii="Arial Narrow" w:hAnsi="Arial Narrow" w:cs="Arial"/>
                <w:sz w:val="20"/>
                <w:szCs w:val="20"/>
              </w:rPr>
              <w:t>Powder for, 400 g</w:t>
            </w:r>
          </w:p>
        </w:tc>
        <w:tc>
          <w:tcPr>
            <w:tcW w:w="850" w:type="dxa"/>
          </w:tcPr>
          <w:p w:rsidR="00A44F6C" w:rsidRPr="00FD6A9E" w:rsidRDefault="00A44F6C" w:rsidP="008C35CF">
            <w:pPr>
              <w:keepNext/>
              <w:ind w:left="-108"/>
              <w:jc w:val="both"/>
              <w:rPr>
                <w:rFonts w:ascii="Arial Narrow" w:hAnsi="Arial Narrow" w:cs="Arial"/>
                <w:sz w:val="20"/>
                <w:szCs w:val="20"/>
              </w:rPr>
            </w:pPr>
          </w:p>
          <w:p w:rsidR="00A44F6C" w:rsidRPr="00FD6A9E" w:rsidRDefault="00A44F6C" w:rsidP="008C35CF">
            <w:pPr>
              <w:keepNext/>
              <w:ind w:left="-108"/>
              <w:jc w:val="both"/>
              <w:rPr>
                <w:rFonts w:ascii="Arial Narrow" w:hAnsi="Arial Narrow" w:cs="Arial"/>
                <w:sz w:val="20"/>
                <w:szCs w:val="20"/>
              </w:rPr>
            </w:pPr>
            <w:r w:rsidRPr="00FD6A9E">
              <w:rPr>
                <w:rFonts w:ascii="Arial Narrow" w:hAnsi="Arial Narrow" w:cs="Arial"/>
                <w:sz w:val="20"/>
                <w:szCs w:val="20"/>
              </w:rPr>
              <w:t>8</w:t>
            </w:r>
          </w:p>
        </w:tc>
        <w:tc>
          <w:tcPr>
            <w:tcW w:w="709" w:type="dxa"/>
          </w:tcPr>
          <w:p w:rsidR="00A44F6C" w:rsidRPr="00FD6A9E" w:rsidRDefault="00A44F6C" w:rsidP="008C35CF">
            <w:pPr>
              <w:keepNext/>
              <w:ind w:left="-108"/>
              <w:jc w:val="both"/>
              <w:rPr>
                <w:rFonts w:ascii="Arial Narrow" w:hAnsi="Arial Narrow" w:cs="Arial"/>
                <w:sz w:val="20"/>
                <w:szCs w:val="20"/>
              </w:rPr>
            </w:pPr>
          </w:p>
          <w:p w:rsidR="00A44F6C" w:rsidRPr="00FD6A9E" w:rsidRDefault="00A44F6C" w:rsidP="008C35CF">
            <w:pPr>
              <w:keepNext/>
              <w:ind w:left="-108"/>
              <w:jc w:val="both"/>
              <w:rPr>
                <w:rFonts w:ascii="Arial Narrow" w:hAnsi="Arial Narrow" w:cs="Arial"/>
                <w:sz w:val="20"/>
                <w:szCs w:val="20"/>
              </w:rPr>
            </w:pPr>
            <w:r w:rsidRPr="00A44F6C">
              <w:rPr>
                <w:rFonts w:ascii="Arial Narrow" w:hAnsi="Arial Narrow" w:cs="Arial"/>
                <w:sz w:val="20"/>
                <w:szCs w:val="20"/>
              </w:rPr>
              <w:t>5</w:t>
            </w:r>
          </w:p>
        </w:tc>
        <w:tc>
          <w:tcPr>
            <w:tcW w:w="2551" w:type="dxa"/>
          </w:tcPr>
          <w:p w:rsidR="00A44F6C" w:rsidRPr="00136CDA" w:rsidRDefault="00A44F6C" w:rsidP="008C35CF">
            <w:pPr>
              <w:keepNext/>
              <w:jc w:val="both"/>
              <w:rPr>
                <w:rFonts w:ascii="Arial Narrow" w:hAnsi="Arial Narrow" w:cs="Arial"/>
                <w:sz w:val="20"/>
                <w:szCs w:val="20"/>
              </w:rPr>
            </w:pPr>
          </w:p>
          <w:p w:rsidR="00A44F6C" w:rsidRPr="00136CDA" w:rsidRDefault="00A44F6C" w:rsidP="008C35CF">
            <w:pPr>
              <w:keepNext/>
              <w:jc w:val="both"/>
              <w:rPr>
                <w:rFonts w:ascii="Arial Narrow" w:hAnsi="Arial Narrow" w:cs="Arial"/>
                <w:sz w:val="20"/>
                <w:szCs w:val="20"/>
              </w:rPr>
            </w:pPr>
            <w:r w:rsidRPr="00136CDA">
              <w:rPr>
                <w:rFonts w:ascii="Arial Narrow" w:hAnsi="Arial Narrow" w:cs="Arial"/>
                <w:sz w:val="20"/>
                <w:szCs w:val="20"/>
              </w:rPr>
              <w:t>Peptamen</w:t>
            </w:r>
            <w:r w:rsidRPr="00136CDA">
              <w:rPr>
                <w:rFonts w:ascii="Arial Narrow" w:hAnsi="Arial Narrow" w:cs="Arial"/>
                <w:sz w:val="20"/>
                <w:szCs w:val="20"/>
                <w:vertAlign w:val="superscript"/>
              </w:rPr>
              <w:t xml:space="preserve">® </w:t>
            </w:r>
            <w:r w:rsidRPr="00136CDA">
              <w:rPr>
                <w:rFonts w:ascii="Arial Narrow" w:hAnsi="Arial Narrow" w:cs="Arial"/>
                <w:sz w:val="20"/>
                <w:szCs w:val="20"/>
              </w:rPr>
              <w:t>Junior</w:t>
            </w:r>
          </w:p>
        </w:tc>
        <w:tc>
          <w:tcPr>
            <w:tcW w:w="1134" w:type="dxa"/>
          </w:tcPr>
          <w:p w:rsidR="00A44F6C" w:rsidRPr="00136CDA" w:rsidRDefault="00A44F6C" w:rsidP="008C35CF">
            <w:pPr>
              <w:keepNext/>
              <w:jc w:val="both"/>
              <w:rPr>
                <w:rFonts w:ascii="Arial Narrow" w:hAnsi="Arial Narrow" w:cs="Arial"/>
                <w:sz w:val="20"/>
                <w:szCs w:val="20"/>
              </w:rPr>
            </w:pPr>
          </w:p>
          <w:p w:rsidR="00A44F6C" w:rsidRPr="00136CDA" w:rsidRDefault="00A44F6C" w:rsidP="008C35CF">
            <w:pPr>
              <w:keepNext/>
              <w:jc w:val="both"/>
              <w:rPr>
                <w:rFonts w:ascii="Arial Narrow" w:hAnsi="Arial Narrow" w:cs="Arial"/>
                <w:sz w:val="20"/>
                <w:szCs w:val="20"/>
              </w:rPr>
            </w:pPr>
            <w:r w:rsidRPr="00136CDA">
              <w:rPr>
                <w:rFonts w:ascii="Arial Narrow" w:hAnsi="Arial Narrow" w:cs="Arial"/>
                <w:sz w:val="20"/>
                <w:szCs w:val="20"/>
              </w:rPr>
              <w:t>Nestle Health Science</w:t>
            </w:r>
          </w:p>
        </w:tc>
      </w:tr>
      <w:tr w:rsidR="003A3DEF" w:rsidRPr="00136CDA" w:rsidTr="008C35CF">
        <w:trPr>
          <w:cantSplit/>
          <w:trHeight w:val="360"/>
        </w:trPr>
        <w:tc>
          <w:tcPr>
            <w:tcW w:w="8363" w:type="dxa"/>
            <w:gridSpan w:val="6"/>
            <w:tcBorders>
              <w:bottom w:val="single" w:sz="4" w:space="0" w:color="auto"/>
            </w:tcBorders>
          </w:tcPr>
          <w:p w:rsidR="003A3DEF" w:rsidRPr="00136CDA" w:rsidRDefault="003A3DEF" w:rsidP="008C35CF">
            <w:pPr>
              <w:jc w:val="both"/>
              <w:rPr>
                <w:rFonts w:ascii="Arial Narrow" w:hAnsi="Arial Narrow" w:cs="Arial"/>
                <w:sz w:val="20"/>
                <w:szCs w:val="20"/>
              </w:rPr>
            </w:pPr>
          </w:p>
        </w:tc>
      </w:tr>
      <w:tr w:rsidR="003A3DEF" w:rsidRPr="00136CDA" w:rsidTr="008C35CF">
        <w:trPr>
          <w:cantSplit/>
          <w:trHeight w:val="360"/>
        </w:trPr>
        <w:tc>
          <w:tcPr>
            <w:tcW w:w="1985" w:type="dxa"/>
            <w:tcBorders>
              <w:top w:val="single" w:sz="4" w:space="0" w:color="auto"/>
              <w:left w:val="single" w:sz="4" w:space="0" w:color="auto"/>
              <w:bottom w:val="single" w:sz="4" w:space="0" w:color="auto"/>
              <w:right w:val="single" w:sz="4" w:space="0" w:color="auto"/>
            </w:tcBorders>
          </w:tcPr>
          <w:p w:rsidR="003A3DEF" w:rsidRPr="00136CDA" w:rsidRDefault="003A3DEF" w:rsidP="008C35CF">
            <w:pPr>
              <w:jc w:val="both"/>
              <w:rPr>
                <w:rFonts w:ascii="Arial Narrow" w:hAnsi="Arial Narrow" w:cs="Arial"/>
                <w:b/>
                <w:sz w:val="20"/>
                <w:szCs w:val="20"/>
              </w:rPr>
            </w:pPr>
            <w:r w:rsidRPr="00136CDA">
              <w:rPr>
                <w:rFonts w:ascii="Arial Narrow" w:hAnsi="Arial Narrow" w:cs="Arial"/>
                <w:b/>
                <w:sz w:val="20"/>
                <w:szCs w:val="20"/>
              </w:rPr>
              <w:t xml:space="preserve">Category / </w:t>
            </w:r>
          </w:p>
          <w:p w:rsidR="003A3DEF" w:rsidRPr="00136CDA" w:rsidRDefault="003A3DEF" w:rsidP="008C35CF">
            <w:pPr>
              <w:jc w:val="both"/>
              <w:rPr>
                <w:rFonts w:ascii="Arial Narrow" w:hAnsi="Arial Narrow" w:cs="Arial"/>
                <w:b/>
                <w:sz w:val="20"/>
                <w:szCs w:val="20"/>
              </w:rPr>
            </w:pPr>
            <w:r w:rsidRPr="00136CDA">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3A3DEF" w:rsidRPr="00136CDA" w:rsidRDefault="003A3DEF" w:rsidP="008C35CF">
            <w:pPr>
              <w:rPr>
                <w:rFonts w:ascii="Arial Narrow" w:hAnsi="Arial Narrow" w:cs="Arial"/>
                <w:sz w:val="20"/>
                <w:szCs w:val="20"/>
              </w:rPr>
            </w:pPr>
            <w:r w:rsidRPr="00136CDA">
              <w:rPr>
                <w:rFonts w:ascii="Arial Narrow" w:hAnsi="Arial Narrow" w:cs="Arial"/>
                <w:sz w:val="20"/>
                <w:szCs w:val="20"/>
              </w:rPr>
              <w:t>GENERAL – General Schedule (Code GE)</w:t>
            </w:r>
          </w:p>
          <w:p w:rsidR="003A3DEF" w:rsidRPr="00136CDA" w:rsidRDefault="003A3DEF" w:rsidP="008C35CF">
            <w:pPr>
              <w:rPr>
                <w:rFonts w:ascii="Arial Narrow" w:hAnsi="Arial Narrow" w:cs="Arial"/>
                <w:sz w:val="20"/>
                <w:szCs w:val="20"/>
              </w:rPr>
            </w:pPr>
          </w:p>
        </w:tc>
      </w:tr>
      <w:tr w:rsidR="003A3DEF" w:rsidRPr="00136CDA" w:rsidTr="008C35CF">
        <w:trPr>
          <w:cantSplit/>
          <w:trHeight w:val="360"/>
        </w:trPr>
        <w:tc>
          <w:tcPr>
            <w:tcW w:w="1985" w:type="dxa"/>
            <w:tcBorders>
              <w:top w:val="single" w:sz="4" w:space="0" w:color="auto"/>
              <w:left w:val="single" w:sz="4" w:space="0" w:color="auto"/>
              <w:bottom w:val="single" w:sz="4" w:space="0" w:color="auto"/>
              <w:right w:val="single" w:sz="4" w:space="0" w:color="auto"/>
            </w:tcBorders>
          </w:tcPr>
          <w:p w:rsidR="003A3DEF" w:rsidRPr="00136CDA" w:rsidRDefault="003A3DEF" w:rsidP="008C35CF">
            <w:pPr>
              <w:jc w:val="both"/>
              <w:rPr>
                <w:rFonts w:ascii="Arial Narrow" w:hAnsi="Arial Narrow" w:cs="Arial"/>
                <w:b/>
                <w:sz w:val="20"/>
                <w:szCs w:val="20"/>
              </w:rPr>
            </w:pPr>
            <w:r w:rsidRPr="00136CDA">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3A3DEF" w:rsidRPr="00136CDA" w:rsidRDefault="003A3DEF" w:rsidP="008C35CF">
            <w:pPr>
              <w:rPr>
                <w:rFonts w:ascii="Arial Narrow" w:hAnsi="Arial Narrow" w:cs="Arial"/>
                <w:sz w:val="20"/>
                <w:szCs w:val="20"/>
              </w:rPr>
            </w:pPr>
            <w:r w:rsidRPr="00136CDA">
              <w:rPr>
                <w:rFonts w:ascii="Arial Narrow" w:hAnsi="Arial Narrow" w:cs="Arial"/>
                <w:sz w:val="20"/>
                <w:szCs w:val="20"/>
              </w:rPr>
              <w:fldChar w:fldCharType="begin">
                <w:ffData>
                  <w:name w:val="Check1"/>
                  <w:enabled/>
                  <w:calcOnExit w:val="0"/>
                  <w:checkBox>
                    <w:sizeAuto/>
                    <w:default w:val="0"/>
                  </w:checkBox>
                </w:ffData>
              </w:fldChar>
            </w:r>
            <w:r w:rsidRPr="00136CDA">
              <w:rPr>
                <w:rFonts w:ascii="Arial Narrow" w:hAnsi="Arial Narrow" w:cs="Arial"/>
                <w:sz w:val="20"/>
                <w:szCs w:val="20"/>
              </w:rPr>
              <w:instrText xml:space="preserve"> FORMCHECKBOX </w:instrText>
            </w:r>
            <w:r w:rsidR="00D950CC">
              <w:rPr>
                <w:rFonts w:ascii="Arial Narrow" w:hAnsi="Arial Narrow" w:cs="Arial"/>
                <w:sz w:val="20"/>
                <w:szCs w:val="20"/>
              </w:rPr>
            </w:r>
            <w:r w:rsidR="00D950CC">
              <w:rPr>
                <w:rFonts w:ascii="Arial Narrow" w:hAnsi="Arial Narrow" w:cs="Arial"/>
                <w:sz w:val="20"/>
                <w:szCs w:val="20"/>
              </w:rPr>
              <w:fldChar w:fldCharType="separate"/>
            </w:r>
            <w:r w:rsidRPr="00136CDA">
              <w:rPr>
                <w:rFonts w:ascii="Arial Narrow" w:hAnsi="Arial Narrow" w:cs="Arial"/>
                <w:sz w:val="20"/>
                <w:szCs w:val="20"/>
              </w:rPr>
              <w:fldChar w:fldCharType="end"/>
            </w:r>
            <w:r w:rsidRPr="00136CDA">
              <w:rPr>
                <w:rFonts w:ascii="Arial Narrow" w:hAnsi="Arial Narrow" w:cs="Arial"/>
                <w:sz w:val="20"/>
                <w:szCs w:val="20"/>
              </w:rPr>
              <w:t xml:space="preserve">Dental  </w:t>
            </w:r>
            <w:r w:rsidRPr="00136CDA">
              <w:rPr>
                <w:rFonts w:ascii="Arial Narrow" w:hAnsi="Arial Narrow" w:cs="Arial"/>
                <w:sz w:val="20"/>
                <w:szCs w:val="20"/>
              </w:rPr>
              <w:fldChar w:fldCharType="begin">
                <w:ffData>
                  <w:name w:val=""/>
                  <w:enabled/>
                  <w:calcOnExit w:val="0"/>
                  <w:checkBox>
                    <w:sizeAuto/>
                    <w:default w:val="1"/>
                  </w:checkBox>
                </w:ffData>
              </w:fldChar>
            </w:r>
            <w:r w:rsidRPr="00136CDA">
              <w:rPr>
                <w:rFonts w:ascii="Arial Narrow" w:hAnsi="Arial Narrow" w:cs="Arial"/>
                <w:sz w:val="20"/>
                <w:szCs w:val="20"/>
              </w:rPr>
              <w:instrText xml:space="preserve"> FORMCHECKBOX </w:instrText>
            </w:r>
            <w:r w:rsidR="00D950CC">
              <w:rPr>
                <w:rFonts w:ascii="Arial Narrow" w:hAnsi="Arial Narrow" w:cs="Arial"/>
                <w:sz w:val="20"/>
                <w:szCs w:val="20"/>
              </w:rPr>
            </w:r>
            <w:r w:rsidR="00D950CC">
              <w:rPr>
                <w:rFonts w:ascii="Arial Narrow" w:hAnsi="Arial Narrow" w:cs="Arial"/>
                <w:sz w:val="20"/>
                <w:szCs w:val="20"/>
              </w:rPr>
              <w:fldChar w:fldCharType="separate"/>
            </w:r>
            <w:r w:rsidRPr="00136CDA">
              <w:rPr>
                <w:rFonts w:ascii="Arial Narrow" w:hAnsi="Arial Narrow" w:cs="Arial"/>
                <w:sz w:val="20"/>
                <w:szCs w:val="20"/>
              </w:rPr>
              <w:fldChar w:fldCharType="end"/>
            </w:r>
            <w:r w:rsidRPr="00136CDA">
              <w:rPr>
                <w:rFonts w:ascii="Arial Narrow" w:hAnsi="Arial Narrow" w:cs="Arial"/>
                <w:sz w:val="20"/>
                <w:szCs w:val="20"/>
              </w:rPr>
              <w:t xml:space="preserve">Medical Practitioners  </w:t>
            </w:r>
            <w:r w:rsidRPr="00136CDA">
              <w:rPr>
                <w:rFonts w:ascii="Arial Narrow" w:hAnsi="Arial Narrow" w:cs="Arial"/>
                <w:sz w:val="20"/>
                <w:szCs w:val="20"/>
              </w:rPr>
              <w:fldChar w:fldCharType="begin">
                <w:ffData>
                  <w:name w:val="Check3"/>
                  <w:enabled/>
                  <w:calcOnExit w:val="0"/>
                  <w:checkBox>
                    <w:sizeAuto/>
                    <w:default w:val="1"/>
                  </w:checkBox>
                </w:ffData>
              </w:fldChar>
            </w:r>
            <w:r w:rsidRPr="00136CDA">
              <w:rPr>
                <w:rFonts w:ascii="Arial Narrow" w:hAnsi="Arial Narrow" w:cs="Arial"/>
                <w:sz w:val="20"/>
                <w:szCs w:val="20"/>
              </w:rPr>
              <w:instrText xml:space="preserve"> FORMCHECKBOX </w:instrText>
            </w:r>
            <w:r w:rsidR="00D950CC">
              <w:rPr>
                <w:rFonts w:ascii="Arial Narrow" w:hAnsi="Arial Narrow" w:cs="Arial"/>
                <w:sz w:val="20"/>
                <w:szCs w:val="20"/>
              </w:rPr>
            </w:r>
            <w:r w:rsidR="00D950CC">
              <w:rPr>
                <w:rFonts w:ascii="Arial Narrow" w:hAnsi="Arial Narrow" w:cs="Arial"/>
                <w:sz w:val="20"/>
                <w:szCs w:val="20"/>
              </w:rPr>
              <w:fldChar w:fldCharType="separate"/>
            </w:r>
            <w:r w:rsidRPr="00136CDA">
              <w:rPr>
                <w:rFonts w:ascii="Arial Narrow" w:hAnsi="Arial Narrow" w:cs="Arial"/>
                <w:sz w:val="20"/>
                <w:szCs w:val="20"/>
              </w:rPr>
              <w:fldChar w:fldCharType="end"/>
            </w:r>
            <w:r w:rsidRPr="00136CDA">
              <w:rPr>
                <w:rFonts w:ascii="Arial Narrow" w:hAnsi="Arial Narrow" w:cs="Arial"/>
                <w:sz w:val="20"/>
                <w:szCs w:val="20"/>
              </w:rPr>
              <w:t xml:space="preserve">Nurse practitioners  </w:t>
            </w:r>
            <w:r w:rsidRPr="00136CDA">
              <w:rPr>
                <w:rFonts w:ascii="Arial Narrow" w:hAnsi="Arial Narrow" w:cs="Arial"/>
                <w:sz w:val="20"/>
                <w:szCs w:val="20"/>
              </w:rPr>
              <w:fldChar w:fldCharType="begin">
                <w:ffData>
                  <w:name w:val=""/>
                  <w:enabled/>
                  <w:calcOnExit w:val="0"/>
                  <w:checkBox>
                    <w:sizeAuto/>
                    <w:default w:val="0"/>
                  </w:checkBox>
                </w:ffData>
              </w:fldChar>
            </w:r>
            <w:r w:rsidRPr="00136CDA">
              <w:rPr>
                <w:rFonts w:ascii="Arial Narrow" w:hAnsi="Arial Narrow" w:cs="Arial"/>
                <w:sz w:val="20"/>
                <w:szCs w:val="20"/>
              </w:rPr>
              <w:instrText xml:space="preserve"> FORMCHECKBOX </w:instrText>
            </w:r>
            <w:r w:rsidR="00D950CC">
              <w:rPr>
                <w:rFonts w:ascii="Arial Narrow" w:hAnsi="Arial Narrow" w:cs="Arial"/>
                <w:sz w:val="20"/>
                <w:szCs w:val="20"/>
              </w:rPr>
            </w:r>
            <w:r w:rsidR="00D950CC">
              <w:rPr>
                <w:rFonts w:ascii="Arial Narrow" w:hAnsi="Arial Narrow" w:cs="Arial"/>
                <w:sz w:val="20"/>
                <w:szCs w:val="20"/>
              </w:rPr>
              <w:fldChar w:fldCharType="separate"/>
            </w:r>
            <w:r w:rsidRPr="00136CDA">
              <w:rPr>
                <w:rFonts w:ascii="Arial Narrow" w:hAnsi="Arial Narrow" w:cs="Arial"/>
                <w:sz w:val="20"/>
                <w:szCs w:val="20"/>
              </w:rPr>
              <w:fldChar w:fldCharType="end"/>
            </w:r>
            <w:r w:rsidRPr="00136CDA">
              <w:rPr>
                <w:rFonts w:ascii="Arial Narrow" w:hAnsi="Arial Narrow" w:cs="Arial"/>
                <w:sz w:val="20"/>
                <w:szCs w:val="20"/>
              </w:rPr>
              <w:t>Optometrists</w:t>
            </w:r>
          </w:p>
          <w:p w:rsidR="003A3DEF" w:rsidRPr="00136CDA" w:rsidRDefault="003A3DEF" w:rsidP="008C35CF">
            <w:pPr>
              <w:rPr>
                <w:rFonts w:ascii="Arial Narrow" w:hAnsi="Arial Narrow" w:cs="Arial"/>
                <w:sz w:val="20"/>
                <w:szCs w:val="20"/>
              </w:rPr>
            </w:pPr>
            <w:r w:rsidRPr="00136CDA">
              <w:rPr>
                <w:rFonts w:ascii="Arial Narrow" w:hAnsi="Arial Narrow" w:cs="Arial"/>
                <w:sz w:val="20"/>
                <w:szCs w:val="20"/>
              </w:rPr>
              <w:fldChar w:fldCharType="begin">
                <w:ffData>
                  <w:name w:val="Check5"/>
                  <w:enabled/>
                  <w:calcOnExit w:val="0"/>
                  <w:checkBox>
                    <w:sizeAuto/>
                    <w:default w:val="0"/>
                  </w:checkBox>
                </w:ffData>
              </w:fldChar>
            </w:r>
            <w:r w:rsidRPr="00136CDA">
              <w:rPr>
                <w:rFonts w:ascii="Arial Narrow" w:hAnsi="Arial Narrow" w:cs="Arial"/>
                <w:sz w:val="20"/>
                <w:szCs w:val="20"/>
              </w:rPr>
              <w:instrText xml:space="preserve"> FORMCHECKBOX </w:instrText>
            </w:r>
            <w:r w:rsidR="00D950CC">
              <w:rPr>
                <w:rFonts w:ascii="Arial Narrow" w:hAnsi="Arial Narrow" w:cs="Arial"/>
                <w:sz w:val="20"/>
                <w:szCs w:val="20"/>
              </w:rPr>
            </w:r>
            <w:r w:rsidR="00D950CC">
              <w:rPr>
                <w:rFonts w:ascii="Arial Narrow" w:hAnsi="Arial Narrow" w:cs="Arial"/>
                <w:sz w:val="20"/>
                <w:szCs w:val="20"/>
              </w:rPr>
              <w:fldChar w:fldCharType="separate"/>
            </w:r>
            <w:r w:rsidRPr="00136CDA">
              <w:rPr>
                <w:rFonts w:ascii="Arial Narrow" w:hAnsi="Arial Narrow" w:cs="Arial"/>
                <w:sz w:val="20"/>
                <w:szCs w:val="20"/>
              </w:rPr>
              <w:fldChar w:fldCharType="end"/>
            </w:r>
            <w:r w:rsidRPr="00136CDA">
              <w:rPr>
                <w:rFonts w:ascii="Arial Narrow" w:hAnsi="Arial Narrow" w:cs="Arial"/>
                <w:sz w:val="20"/>
                <w:szCs w:val="20"/>
              </w:rPr>
              <w:t>Midwives</w:t>
            </w:r>
          </w:p>
        </w:tc>
      </w:tr>
      <w:tr w:rsidR="003A3DEF" w:rsidRPr="00136CDA" w:rsidTr="008C35CF">
        <w:trPr>
          <w:cantSplit/>
          <w:trHeight w:val="360"/>
        </w:trPr>
        <w:tc>
          <w:tcPr>
            <w:tcW w:w="1985" w:type="dxa"/>
            <w:tcBorders>
              <w:top w:val="single" w:sz="4" w:space="0" w:color="auto"/>
              <w:left w:val="single" w:sz="4" w:space="0" w:color="auto"/>
              <w:bottom w:val="single" w:sz="4" w:space="0" w:color="auto"/>
              <w:right w:val="single" w:sz="4" w:space="0" w:color="auto"/>
            </w:tcBorders>
          </w:tcPr>
          <w:p w:rsidR="003A3DEF" w:rsidRPr="00136CDA" w:rsidRDefault="003A3DEF" w:rsidP="008C35CF">
            <w:pPr>
              <w:jc w:val="both"/>
              <w:rPr>
                <w:rFonts w:ascii="Arial Narrow" w:hAnsi="Arial Narrow" w:cs="Arial"/>
                <w:b/>
                <w:sz w:val="20"/>
                <w:szCs w:val="20"/>
              </w:rPr>
            </w:pPr>
            <w:r w:rsidRPr="00136CDA">
              <w:rPr>
                <w:rFonts w:ascii="Arial Narrow" w:hAnsi="Arial Narrow" w:cs="Arial"/>
                <w:b/>
                <w:sz w:val="20"/>
                <w:szCs w:val="20"/>
              </w:rPr>
              <w:t>Episodicity:</w:t>
            </w:r>
          </w:p>
        </w:tc>
        <w:tc>
          <w:tcPr>
            <w:tcW w:w="6378" w:type="dxa"/>
            <w:gridSpan w:val="5"/>
            <w:tcBorders>
              <w:top w:val="single" w:sz="4" w:space="0" w:color="auto"/>
              <w:left w:val="single" w:sz="4" w:space="0" w:color="auto"/>
              <w:bottom w:val="single" w:sz="4" w:space="0" w:color="auto"/>
              <w:right w:val="single" w:sz="4" w:space="0" w:color="auto"/>
            </w:tcBorders>
          </w:tcPr>
          <w:p w:rsidR="003A3DEF" w:rsidRPr="00136CDA" w:rsidRDefault="003A3DEF" w:rsidP="008C35CF">
            <w:pPr>
              <w:rPr>
                <w:rFonts w:ascii="Arial Narrow" w:hAnsi="Arial Narrow" w:cs="Arial"/>
                <w:sz w:val="20"/>
                <w:szCs w:val="20"/>
              </w:rPr>
            </w:pPr>
            <w:r w:rsidRPr="00136CDA">
              <w:rPr>
                <w:rFonts w:ascii="Arial Narrow" w:hAnsi="Arial Narrow" w:cs="Arial"/>
                <w:sz w:val="20"/>
                <w:szCs w:val="20"/>
              </w:rPr>
              <w:t>-</w:t>
            </w:r>
          </w:p>
        </w:tc>
      </w:tr>
      <w:tr w:rsidR="003A3DEF" w:rsidRPr="00136CDA" w:rsidTr="008C35CF">
        <w:trPr>
          <w:cantSplit/>
          <w:trHeight w:val="360"/>
        </w:trPr>
        <w:tc>
          <w:tcPr>
            <w:tcW w:w="1985" w:type="dxa"/>
            <w:tcBorders>
              <w:top w:val="single" w:sz="4" w:space="0" w:color="auto"/>
              <w:left w:val="single" w:sz="4" w:space="0" w:color="auto"/>
              <w:bottom w:val="single" w:sz="4" w:space="0" w:color="auto"/>
              <w:right w:val="single" w:sz="4" w:space="0" w:color="auto"/>
            </w:tcBorders>
          </w:tcPr>
          <w:p w:rsidR="003A3DEF" w:rsidRPr="00136CDA" w:rsidRDefault="003A3DEF" w:rsidP="008C35CF">
            <w:pPr>
              <w:jc w:val="both"/>
              <w:rPr>
                <w:rFonts w:ascii="Arial Narrow" w:hAnsi="Arial Narrow" w:cs="Arial"/>
                <w:b/>
                <w:sz w:val="20"/>
                <w:szCs w:val="20"/>
              </w:rPr>
            </w:pPr>
            <w:r w:rsidRPr="00136CDA">
              <w:rPr>
                <w:rFonts w:ascii="Arial Narrow" w:hAnsi="Arial Narrow" w:cs="Arial"/>
                <w:b/>
                <w:sz w:val="20"/>
                <w:szCs w:val="20"/>
              </w:rPr>
              <w:t>Severity:</w:t>
            </w:r>
          </w:p>
        </w:tc>
        <w:tc>
          <w:tcPr>
            <w:tcW w:w="6378" w:type="dxa"/>
            <w:gridSpan w:val="5"/>
            <w:tcBorders>
              <w:top w:val="single" w:sz="4" w:space="0" w:color="auto"/>
              <w:left w:val="single" w:sz="4" w:space="0" w:color="auto"/>
              <w:bottom w:val="single" w:sz="4" w:space="0" w:color="auto"/>
              <w:right w:val="single" w:sz="4" w:space="0" w:color="auto"/>
            </w:tcBorders>
          </w:tcPr>
          <w:p w:rsidR="003A3DEF" w:rsidRPr="00136CDA" w:rsidRDefault="003A3DEF" w:rsidP="008C35CF">
            <w:pPr>
              <w:rPr>
                <w:rFonts w:ascii="Arial Narrow" w:hAnsi="Arial Narrow" w:cs="Arial"/>
                <w:sz w:val="20"/>
                <w:szCs w:val="20"/>
              </w:rPr>
            </w:pPr>
            <w:r w:rsidRPr="00136CDA">
              <w:rPr>
                <w:rFonts w:ascii="Arial Narrow" w:hAnsi="Arial Narrow" w:cs="Arial"/>
                <w:sz w:val="20"/>
                <w:szCs w:val="20"/>
              </w:rPr>
              <w:t>-</w:t>
            </w:r>
          </w:p>
        </w:tc>
      </w:tr>
      <w:tr w:rsidR="003A3DEF" w:rsidRPr="00136CDA" w:rsidTr="008C35CF">
        <w:trPr>
          <w:cantSplit/>
          <w:trHeight w:val="360"/>
        </w:trPr>
        <w:tc>
          <w:tcPr>
            <w:tcW w:w="1985" w:type="dxa"/>
            <w:tcBorders>
              <w:top w:val="single" w:sz="4" w:space="0" w:color="auto"/>
              <w:left w:val="single" w:sz="4" w:space="0" w:color="auto"/>
              <w:bottom w:val="single" w:sz="4" w:space="0" w:color="auto"/>
              <w:right w:val="single" w:sz="4" w:space="0" w:color="auto"/>
            </w:tcBorders>
          </w:tcPr>
          <w:p w:rsidR="003A3DEF" w:rsidRPr="00136CDA" w:rsidRDefault="003A3DEF" w:rsidP="008C35CF">
            <w:pPr>
              <w:jc w:val="both"/>
              <w:rPr>
                <w:rFonts w:ascii="Arial Narrow" w:hAnsi="Arial Narrow" w:cs="Arial"/>
                <w:b/>
                <w:sz w:val="20"/>
                <w:szCs w:val="20"/>
              </w:rPr>
            </w:pPr>
            <w:r w:rsidRPr="00136CDA">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3A3DEF" w:rsidRPr="00136CDA" w:rsidRDefault="003A3DEF" w:rsidP="008C35CF">
            <w:pPr>
              <w:rPr>
                <w:rFonts w:ascii="Arial Narrow" w:hAnsi="Arial Narrow" w:cs="Arial"/>
                <w:sz w:val="20"/>
                <w:szCs w:val="20"/>
              </w:rPr>
            </w:pPr>
            <w:r w:rsidRPr="00136CDA">
              <w:rPr>
                <w:rFonts w:ascii="Arial Narrow" w:hAnsi="Arial Narrow" w:cs="Arial"/>
                <w:sz w:val="20"/>
                <w:szCs w:val="20"/>
              </w:rPr>
              <w:t>Dietary management of conditions requiring a source of medium chain triglycerides</w:t>
            </w:r>
          </w:p>
        </w:tc>
      </w:tr>
      <w:tr w:rsidR="003A3DEF" w:rsidRPr="00136CDA" w:rsidTr="008C35CF">
        <w:trPr>
          <w:cantSplit/>
          <w:trHeight w:val="360"/>
        </w:trPr>
        <w:tc>
          <w:tcPr>
            <w:tcW w:w="1985" w:type="dxa"/>
            <w:tcBorders>
              <w:top w:val="single" w:sz="4" w:space="0" w:color="auto"/>
              <w:left w:val="single" w:sz="4" w:space="0" w:color="auto"/>
              <w:bottom w:val="single" w:sz="4" w:space="0" w:color="auto"/>
              <w:right w:val="single" w:sz="4" w:space="0" w:color="auto"/>
            </w:tcBorders>
          </w:tcPr>
          <w:p w:rsidR="003A3DEF" w:rsidRPr="00136CDA" w:rsidRDefault="003A3DEF" w:rsidP="008C35CF">
            <w:pPr>
              <w:jc w:val="both"/>
              <w:rPr>
                <w:rFonts w:ascii="Arial Narrow" w:hAnsi="Arial Narrow" w:cs="Arial"/>
                <w:b/>
                <w:sz w:val="20"/>
                <w:szCs w:val="20"/>
              </w:rPr>
            </w:pPr>
            <w:r w:rsidRPr="00136CDA">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3A3DEF" w:rsidRPr="00136CDA" w:rsidRDefault="003A3DEF" w:rsidP="008C35CF">
            <w:pPr>
              <w:rPr>
                <w:rFonts w:ascii="Arial Narrow" w:hAnsi="Arial Narrow" w:cs="Arial"/>
                <w:sz w:val="20"/>
                <w:szCs w:val="20"/>
              </w:rPr>
            </w:pPr>
            <w:r w:rsidRPr="00136CDA">
              <w:rPr>
                <w:rFonts w:ascii="Arial Narrow" w:hAnsi="Arial Narrow" w:cs="Arial"/>
                <w:sz w:val="20"/>
                <w:szCs w:val="20"/>
              </w:rPr>
              <w:t>Dietary management of conditions requiring a source of medium chain triglycerides</w:t>
            </w:r>
          </w:p>
        </w:tc>
      </w:tr>
      <w:tr w:rsidR="003A3DEF" w:rsidRPr="00136CDA" w:rsidTr="008C35CF">
        <w:trPr>
          <w:cantSplit/>
          <w:trHeight w:val="360"/>
        </w:trPr>
        <w:tc>
          <w:tcPr>
            <w:tcW w:w="1985" w:type="dxa"/>
            <w:tcBorders>
              <w:top w:val="single" w:sz="4" w:space="0" w:color="auto"/>
              <w:left w:val="single" w:sz="4" w:space="0" w:color="auto"/>
              <w:bottom w:val="single" w:sz="4" w:space="0" w:color="auto"/>
              <w:right w:val="single" w:sz="4" w:space="0" w:color="auto"/>
            </w:tcBorders>
          </w:tcPr>
          <w:p w:rsidR="003A3DEF" w:rsidRPr="00136CDA" w:rsidRDefault="003A3DEF" w:rsidP="008C35CF">
            <w:pPr>
              <w:jc w:val="both"/>
              <w:rPr>
                <w:rFonts w:ascii="Arial Narrow" w:hAnsi="Arial Narrow" w:cs="Arial"/>
                <w:b/>
                <w:sz w:val="20"/>
                <w:szCs w:val="20"/>
              </w:rPr>
            </w:pPr>
            <w:r w:rsidRPr="00136CDA">
              <w:rPr>
                <w:rFonts w:ascii="Arial Narrow" w:hAnsi="Arial Narrow" w:cs="Arial"/>
                <w:b/>
                <w:sz w:val="20"/>
                <w:szCs w:val="20"/>
              </w:rPr>
              <w:t>Treatment phase:</w:t>
            </w:r>
          </w:p>
          <w:p w:rsidR="003A3DEF" w:rsidRPr="00136CDA" w:rsidRDefault="003A3DEF" w:rsidP="008C35CF">
            <w:pPr>
              <w:jc w:val="both"/>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3A3DEF" w:rsidRPr="00136CDA" w:rsidRDefault="003A3DEF" w:rsidP="008C35CF">
            <w:pPr>
              <w:rPr>
                <w:rFonts w:ascii="Arial Narrow" w:hAnsi="Arial Narrow" w:cs="Arial"/>
                <w:sz w:val="20"/>
                <w:szCs w:val="20"/>
              </w:rPr>
            </w:pPr>
            <w:r w:rsidRPr="00136CDA">
              <w:rPr>
                <w:rFonts w:ascii="Arial Narrow" w:hAnsi="Arial Narrow" w:cs="Arial"/>
                <w:sz w:val="20"/>
                <w:szCs w:val="20"/>
              </w:rPr>
              <w:t>-</w:t>
            </w:r>
          </w:p>
        </w:tc>
      </w:tr>
      <w:tr w:rsidR="003A3DEF" w:rsidRPr="00136CDA" w:rsidTr="008C35CF">
        <w:trPr>
          <w:cantSplit/>
          <w:trHeight w:val="360"/>
        </w:trPr>
        <w:tc>
          <w:tcPr>
            <w:tcW w:w="1985" w:type="dxa"/>
            <w:tcBorders>
              <w:top w:val="single" w:sz="4" w:space="0" w:color="auto"/>
              <w:left w:val="single" w:sz="4" w:space="0" w:color="auto"/>
              <w:bottom w:val="single" w:sz="4" w:space="0" w:color="auto"/>
              <w:right w:val="single" w:sz="4" w:space="0" w:color="auto"/>
            </w:tcBorders>
          </w:tcPr>
          <w:p w:rsidR="003A3DEF" w:rsidRPr="00136CDA" w:rsidRDefault="003A3DEF" w:rsidP="008C35CF">
            <w:pPr>
              <w:jc w:val="both"/>
              <w:rPr>
                <w:rFonts w:ascii="Arial Narrow" w:hAnsi="Arial Narrow" w:cs="Arial"/>
                <w:b/>
                <w:sz w:val="20"/>
                <w:szCs w:val="20"/>
              </w:rPr>
            </w:pPr>
            <w:r w:rsidRPr="00136CDA">
              <w:rPr>
                <w:rFonts w:ascii="Arial Narrow" w:hAnsi="Arial Narrow" w:cs="Arial"/>
                <w:b/>
                <w:sz w:val="20"/>
                <w:szCs w:val="20"/>
              </w:rPr>
              <w:t>Restriction Level / Method:</w:t>
            </w:r>
          </w:p>
          <w:p w:rsidR="003A3DEF" w:rsidRPr="00136CDA" w:rsidRDefault="003A3DEF" w:rsidP="008C35CF">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3A3DEF" w:rsidRPr="00136CDA" w:rsidRDefault="003A3DEF" w:rsidP="008C35CF">
            <w:pPr>
              <w:rPr>
                <w:rFonts w:ascii="Arial Narrow" w:hAnsi="Arial Narrow" w:cs="Arial"/>
                <w:sz w:val="20"/>
                <w:szCs w:val="20"/>
              </w:rPr>
            </w:pPr>
            <w:r w:rsidRPr="00136CDA">
              <w:rPr>
                <w:rFonts w:ascii="Arial Narrow" w:hAnsi="Arial Narrow" w:cs="Arial"/>
                <w:sz w:val="20"/>
                <w:szCs w:val="20"/>
              </w:rPr>
              <w:fldChar w:fldCharType="begin">
                <w:ffData>
                  <w:name w:val="Check1"/>
                  <w:enabled/>
                  <w:calcOnExit w:val="0"/>
                  <w:checkBox>
                    <w:sizeAuto/>
                    <w:default w:val="1"/>
                  </w:checkBox>
                </w:ffData>
              </w:fldChar>
            </w:r>
            <w:r w:rsidRPr="00136CDA">
              <w:rPr>
                <w:rFonts w:ascii="Arial Narrow" w:hAnsi="Arial Narrow" w:cs="Arial"/>
                <w:sz w:val="20"/>
                <w:szCs w:val="20"/>
              </w:rPr>
              <w:instrText xml:space="preserve"> FORMCHECKBOX </w:instrText>
            </w:r>
            <w:r w:rsidR="00D950CC">
              <w:rPr>
                <w:rFonts w:ascii="Arial Narrow" w:hAnsi="Arial Narrow" w:cs="Arial"/>
                <w:sz w:val="20"/>
                <w:szCs w:val="20"/>
              </w:rPr>
            </w:r>
            <w:r w:rsidR="00D950CC">
              <w:rPr>
                <w:rFonts w:ascii="Arial Narrow" w:hAnsi="Arial Narrow" w:cs="Arial"/>
                <w:sz w:val="20"/>
                <w:szCs w:val="20"/>
              </w:rPr>
              <w:fldChar w:fldCharType="separate"/>
            </w:r>
            <w:r w:rsidRPr="00136CDA">
              <w:rPr>
                <w:rFonts w:ascii="Arial Narrow" w:hAnsi="Arial Narrow" w:cs="Arial"/>
                <w:sz w:val="20"/>
                <w:szCs w:val="20"/>
              </w:rPr>
              <w:fldChar w:fldCharType="end"/>
            </w:r>
            <w:r w:rsidRPr="00136CDA">
              <w:rPr>
                <w:rFonts w:ascii="Arial Narrow" w:hAnsi="Arial Narrow" w:cs="Arial"/>
                <w:sz w:val="20"/>
                <w:szCs w:val="20"/>
              </w:rPr>
              <w:t>Restricted benefit</w:t>
            </w:r>
          </w:p>
          <w:p w:rsidR="003A3DEF" w:rsidRPr="00136CDA" w:rsidRDefault="003A3DEF" w:rsidP="008C35CF">
            <w:pPr>
              <w:rPr>
                <w:rFonts w:ascii="Arial Narrow" w:hAnsi="Arial Narrow" w:cs="Arial"/>
                <w:sz w:val="20"/>
                <w:szCs w:val="20"/>
              </w:rPr>
            </w:pPr>
            <w:r w:rsidRPr="00136CDA">
              <w:rPr>
                <w:rFonts w:ascii="Arial Narrow" w:hAnsi="Arial Narrow" w:cs="Arial"/>
                <w:sz w:val="20"/>
                <w:szCs w:val="20"/>
              </w:rPr>
              <w:fldChar w:fldCharType="begin">
                <w:ffData>
                  <w:name w:val=""/>
                  <w:enabled/>
                  <w:calcOnExit w:val="0"/>
                  <w:checkBox>
                    <w:sizeAuto/>
                    <w:default w:val="0"/>
                  </w:checkBox>
                </w:ffData>
              </w:fldChar>
            </w:r>
            <w:r w:rsidRPr="00136CDA">
              <w:rPr>
                <w:rFonts w:ascii="Arial Narrow" w:hAnsi="Arial Narrow" w:cs="Arial"/>
                <w:sz w:val="20"/>
                <w:szCs w:val="20"/>
              </w:rPr>
              <w:instrText xml:space="preserve"> FORMCHECKBOX </w:instrText>
            </w:r>
            <w:r w:rsidR="00D950CC">
              <w:rPr>
                <w:rFonts w:ascii="Arial Narrow" w:hAnsi="Arial Narrow" w:cs="Arial"/>
                <w:sz w:val="20"/>
                <w:szCs w:val="20"/>
              </w:rPr>
            </w:r>
            <w:r w:rsidR="00D950CC">
              <w:rPr>
                <w:rFonts w:ascii="Arial Narrow" w:hAnsi="Arial Narrow" w:cs="Arial"/>
                <w:sz w:val="20"/>
                <w:szCs w:val="20"/>
              </w:rPr>
              <w:fldChar w:fldCharType="separate"/>
            </w:r>
            <w:r w:rsidRPr="00136CDA">
              <w:rPr>
                <w:rFonts w:ascii="Arial Narrow" w:hAnsi="Arial Narrow" w:cs="Arial"/>
                <w:sz w:val="20"/>
                <w:szCs w:val="20"/>
              </w:rPr>
              <w:fldChar w:fldCharType="end"/>
            </w:r>
            <w:r w:rsidRPr="00136CDA">
              <w:rPr>
                <w:rFonts w:ascii="Arial Narrow" w:hAnsi="Arial Narrow" w:cs="Arial"/>
                <w:sz w:val="20"/>
                <w:szCs w:val="20"/>
              </w:rPr>
              <w:t>Authority Required - In Writing</w:t>
            </w:r>
          </w:p>
          <w:p w:rsidR="003A3DEF" w:rsidRPr="00136CDA" w:rsidRDefault="003A3DEF" w:rsidP="008C35CF">
            <w:pPr>
              <w:rPr>
                <w:rFonts w:ascii="Arial Narrow" w:hAnsi="Arial Narrow" w:cs="Arial"/>
                <w:sz w:val="20"/>
                <w:szCs w:val="20"/>
              </w:rPr>
            </w:pPr>
            <w:r w:rsidRPr="00136CDA">
              <w:rPr>
                <w:rFonts w:ascii="Arial Narrow" w:hAnsi="Arial Narrow" w:cs="Arial"/>
                <w:sz w:val="20"/>
                <w:szCs w:val="20"/>
              </w:rPr>
              <w:fldChar w:fldCharType="begin">
                <w:ffData>
                  <w:name w:val="Check3"/>
                  <w:enabled/>
                  <w:calcOnExit w:val="0"/>
                  <w:checkBox>
                    <w:sizeAuto/>
                    <w:default w:val="0"/>
                  </w:checkBox>
                </w:ffData>
              </w:fldChar>
            </w:r>
            <w:r w:rsidRPr="00136CDA">
              <w:rPr>
                <w:rFonts w:ascii="Arial Narrow" w:hAnsi="Arial Narrow" w:cs="Arial"/>
                <w:sz w:val="20"/>
                <w:szCs w:val="20"/>
              </w:rPr>
              <w:instrText xml:space="preserve"> FORMCHECKBOX </w:instrText>
            </w:r>
            <w:r w:rsidR="00D950CC">
              <w:rPr>
                <w:rFonts w:ascii="Arial Narrow" w:hAnsi="Arial Narrow" w:cs="Arial"/>
                <w:sz w:val="20"/>
                <w:szCs w:val="20"/>
              </w:rPr>
            </w:r>
            <w:r w:rsidR="00D950CC">
              <w:rPr>
                <w:rFonts w:ascii="Arial Narrow" w:hAnsi="Arial Narrow" w:cs="Arial"/>
                <w:sz w:val="20"/>
                <w:szCs w:val="20"/>
              </w:rPr>
              <w:fldChar w:fldCharType="separate"/>
            </w:r>
            <w:r w:rsidRPr="00136CDA">
              <w:rPr>
                <w:rFonts w:ascii="Arial Narrow" w:hAnsi="Arial Narrow" w:cs="Arial"/>
                <w:sz w:val="20"/>
                <w:szCs w:val="20"/>
              </w:rPr>
              <w:fldChar w:fldCharType="end"/>
            </w:r>
            <w:r w:rsidRPr="00136CDA">
              <w:rPr>
                <w:rFonts w:ascii="Arial Narrow" w:hAnsi="Arial Narrow" w:cs="Arial"/>
                <w:sz w:val="20"/>
                <w:szCs w:val="20"/>
              </w:rPr>
              <w:t>Authority Required - Telephone</w:t>
            </w:r>
          </w:p>
          <w:p w:rsidR="003A3DEF" w:rsidRPr="00136CDA" w:rsidRDefault="003A3DEF" w:rsidP="008C35CF">
            <w:pPr>
              <w:rPr>
                <w:rFonts w:ascii="Arial Narrow" w:hAnsi="Arial Narrow" w:cs="Arial"/>
                <w:sz w:val="20"/>
                <w:szCs w:val="20"/>
              </w:rPr>
            </w:pPr>
            <w:r w:rsidRPr="00136CDA">
              <w:rPr>
                <w:rFonts w:ascii="Arial Narrow" w:hAnsi="Arial Narrow" w:cs="Arial"/>
                <w:sz w:val="20"/>
                <w:szCs w:val="20"/>
              </w:rPr>
              <w:fldChar w:fldCharType="begin">
                <w:ffData>
                  <w:name w:val=""/>
                  <w:enabled/>
                  <w:calcOnExit w:val="0"/>
                  <w:checkBox>
                    <w:sizeAuto/>
                    <w:default w:val="0"/>
                  </w:checkBox>
                </w:ffData>
              </w:fldChar>
            </w:r>
            <w:r w:rsidRPr="00136CDA">
              <w:rPr>
                <w:rFonts w:ascii="Arial Narrow" w:hAnsi="Arial Narrow" w:cs="Arial"/>
                <w:sz w:val="20"/>
                <w:szCs w:val="20"/>
              </w:rPr>
              <w:instrText xml:space="preserve"> FORMCHECKBOX </w:instrText>
            </w:r>
            <w:r w:rsidR="00D950CC">
              <w:rPr>
                <w:rFonts w:ascii="Arial Narrow" w:hAnsi="Arial Narrow" w:cs="Arial"/>
                <w:sz w:val="20"/>
                <w:szCs w:val="20"/>
              </w:rPr>
            </w:r>
            <w:r w:rsidR="00D950CC">
              <w:rPr>
                <w:rFonts w:ascii="Arial Narrow" w:hAnsi="Arial Narrow" w:cs="Arial"/>
                <w:sz w:val="20"/>
                <w:szCs w:val="20"/>
              </w:rPr>
              <w:fldChar w:fldCharType="separate"/>
            </w:r>
            <w:r w:rsidRPr="00136CDA">
              <w:rPr>
                <w:rFonts w:ascii="Arial Narrow" w:hAnsi="Arial Narrow" w:cs="Arial"/>
                <w:sz w:val="20"/>
                <w:szCs w:val="20"/>
              </w:rPr>
              <w:fldChar w:fldCharType="end"/>
            </w:r>
            <w:r w:rsidRPr="00136CDA">
              <w:rPr>
                <w:rFonts w:ascii="Arial Narrow" w:hAnsi="Arial Narrow" w:cs="Arial"/>
                <w:sz w:val="20"/>
                <w:szCs w:val="20"/>
              </w:rPr>
              <w:t>Authority Required – Emergency</w:t>
            </w:r>
          </w:p>
          <w:p w:rsidR="003A3DEF" w:rsidRPr="00136CDA" w:rsidRDefault="003A3DEF" w:rsidP="008C35CF">
            <w:pPr>
              <w:rPr>
                <w:rFonts w:ascii="Arial Narrow" w:hAnsi="Arial Narrow" w:cs="Arial"/>
                <w:sz w:val="20"/>
                <w:szCs w:val="20"/>
              </w:rPr>
            </w:pPr>
            <w:r w:rsidRPr="00136CDA">
              <w:rPr>
                <w:rFonts w:ascii="Arial Narrow" w:hAnsi="Arial Narrow" w:cs="Arial"/>
                <w:sz w:val="20"/>
                <w:szCs w:val="20"/>
              </w:rPr>
              <w:fldChar w:fldCharType="begin">
                <w:ffData>
                  <w:name w:val="Check5"/>
                  <w:enabled/>
                  <w:calcOnExit w:val="0"/>
                  <w:checkBox>
                    <w:sizeAuto/>
                    <w:default w:val="0"/>
                  </w:checkBox>
                </w:ffData>
              </w:fldChar>
            </w:r>
            <w:r w:rsidRPr="00136CDA">
              <w:rPr>
                <w:rFonts w:ascii="Arial Narrow" w:hAnsi="Arial Narrow" w:cs="Arial"/>
                <w:sz w:val="20"/>
                <w:szCs w:val="20"/>
              </w:rPr>
              <w:instrText xml:space="preserve"> FORMCHECKBOX </w:instrText>
            </w:r>
            <w:r w:rsidR="00D950CC">
              <w:rPr>
                <w:rFonts w:ascii="Arial Narrow" w:hAnsi="Arial Narrow" w:cs="Arial"/>
                <w:sz w:val="20"/>
                <w:szCs w:val="20"/>
              </w:rPr>
            </w:r>
            <w:r w:rsidR="00D950CC">
              <w:rPr>
                <w:rFonts w:ascii="Arial Narrow" w:hAnsi="Arial Narrow" w:cs="Arial"/>
                <w:sz w:val="20"/>
                <w:szCs w:val="20"/>
              </w:rPr>
              <w:fldChar w:fldCharType="separate"/>
            </w:r>
            <w:r w:rsidRPr="00136CDA">
              <w:rPr>
                <w:rFonts w:ascii="Arial Narrow" w:hAnsi="Arial Narrow" w:cs="Arial"/>
                <w:sz w:val="20"/>
                <w:szCs w:val="20"/>
              </w:rPr>
              <w:fldChar w:fldCharType="end"/>
            </w:r>
            <w:r w:rsidRPr="00136CDA">
              <w:rPr>
                <w:rFonts w:ascii="Arial Narrow" w:hAnsi="Arial Narrow" w:cs="Arial"/>
                <w:sz w:val="20"/>
                <w:szCs w:val="20"/>
              </w:rPr>
              <w:t>Authority Required - Electronic</w:t>
            </w:r>
          </w:p>
          <w:p w:rsidR="003A3DEF" w:rsidRPr="00136CDA" w:rsidRDefault="003A3DEF" w:rsidP="008C35CF">
            <w:pPr>
              <w:rPr>
                <w:rFonts w:ascii="Arial Narrow" w:hAnsi="Arial Narrow" w:cs="Arial"/>
                <w:sz w:val="20"/>
                <w:szCs w:val="20"/>
              </w:rPr>
            </w:pPr>
            <w:r w:rsidRPr="00136CDA">
              <w:rPr>
                <w:rFonts w:ascii="Arial Narrow" w:hAnsi="Arial Narrow" w:cs="Arial"/>
                <w:sz w:val="20"/>
                <w:szCs w:val="20"/>
              </w:rPr>
              <w:fldChar w:fldCharType="begin">
                <w:ffData>
                  <w:name w:val="Check5"/>
                  <w:enabled/>
                  <w:calcOnExit w:val="0"/>
                  <w:checkBox>
                    <w:sizeAuto/>
                    <w:default w:val="0"/>
                  </w:checkBox>
                </w:ffData>
              </w:fldChar>
            </w:r>
            <w:r w:rsidRPr="00136CDA">
              <w:rPr>
                <w:rFonts w:ascii="Arial Narrow" w:hAnsi="Arial Narrow" w:cs="Arial"/>
                <w:sz w:val="20"/>
                <w:szCs w:val="20"/>
              </w:rPr>
              <w:instrText xml:space="preserve"> FORMCHECKBOX </w:instrText>
            </w:r>
            <w:r w:rsidR="00D950CC">
              <w:rPr>
                <w:rFonts w:ascii="Arial Narrow" w:hAnsi="Arial Narrow" w:cs="Arial"/>
                <w:sz w:val="20"/>
                <w:szCs w:val="20"/>
              </w:rPr>
            </w:r>
            <w:r w:rsidR="00D950CC">
              <w:rPr>
                <w:rFonts w:ascii="Arial Narrow" w:hAnsi="Arial Narrow" w:cs="Arial"/>
                <w:sz w:val="20"/>
                <w:szCs w:val="20"/>
              </w:rPr>
              <w:fldChar w:fldCharType="separate"/>
            </w:r>
            <w:r w:rsidRPr="00136CDA">
              <w:rPr>
                <w:rFonts w:ascii="Arial Narrow" w:hAnsi="Arial Narrow" w:cs="Arial"/>
                <w:sz w:val="20"/>
                <w:szCs w:val="20"/>
              </w:rPr>
              <w:fldChar w:fldCharType="end"/>
            </w:r>
            <w:r w:rsidRPr="00136CDA">
              <w:rPr>
                <w:rFonts w:ascii="Arial Narrow" w:hAnsi="Arial Narrow" w:cs="Arial"/>
                <w:sz w:val="20"/>
                <w:szCs w:val="20"/>
              </w:rPr>
              <w:t>Streamlined</w:t>
            </w:r>
          </w:p>
        </w:tc>
      </w:tr>
      <w:tr w:rsidR="003A3DEF" w:rsidRPr="00136CDA" w:rsidTr="008C35CF">
        <w:trPr>
          <w:cantSplit/>
          <w:trHeight w:val="360"/>
        </w:trPr>
        <w:tc>
          <w:tcPr>
            <w:tcW w:w="1985" w:type="dxa"/>
            <w:tcBorders>
              <w:top w:val="single" w:sz="4" w:space="0" w:color="auto"/>
              <w:left w:val="single" w:sz="4" w:space="0" w:color="auto"/>
              <w:bottom w:val="single" w:sz="4" w:space="0" w:color="auto"/>
              <w:right w:val="single" w:sz="4" w:space="0" w:color="auto"/>
            </w:tcBorders>
          </w:tcPr>
          <w:p w:rsidR="003A3DEF" w:rsidRPr="00136CDA" w:rsidRDefault="003A3DEF" w:rsidP="008C35CF">
            <w:pPr>
              <w:rPr>
                <w:rFonts w:ascii="Arial Narrow" w:hAnsi="Arial Narrow" w:cs="Arial"/>
                <w:b/>
                <w:sz w:val="20"/>
                <w:szCs w:val="20"/>
              </w:rPr>
            </w:pPr>
            <w:r w:rsidRPr="00136CDA">
              <w:rPr>
                <w:rFonts w:ascii="Arial Narrow" w:hAnsi="Arial Narrow" w:cs="Arial"/>
                <w:b/>
                <w:sz w:val="20"/>
                <w:szCs w:val="20"/>
              </w:rPr>
              <w:t>Treatment criteria:</w:t>
            </w:r>
          </w:p>
          <w:p w:rsidR="003A3DEF" w:rsidRPr="00136CDA" w:rsidRDefault="003A3DEF" w:rsidP="008C35CF">
            <w:pPr>
              <w:rPr>
                <w:rFonts w:ascii="Arial Narrow" w:hAnsi="Arial Narrow" w:cs="Arial"/>
                <w:sz w:val="20"/>
                <w:szCs w:val="20"/>
              </w:rPr>
            </w:pPr>
          </w:p>
          <w:p w:rsidR="003A3DEF" w:rsidRPr="00136CDA" w:rsidRDefault="003A3DEF" w:rsidP="008C35CF">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3A3DEF" w:rsidRPr="00136CDA" w:rsidRDefault="003A3DEF" w:rsidP="008C35CF">
            <w:pPr>
              <w:rPr>
                <w:rFonts w:ascii="Arial Narrow" w:hAnsi="Arial Narrow" w:cs="Arial"/>
                <w:sz w:val="20"/>
                <w:szCs w:val="20"/>
              </w:rPr>
            </w:pPr>
          </w:p>
          <w:p w:rsidR="003A3DEF" w:rsidRPr="00136CDA" w:rsidRDefault="003A3DEF" w:rsidP="008C35CF">
            <w:pPr>
              <w:rPr>
                <w:rFonts w:ascii="Arial Narrow" w:hAnsi="Arial Narrow" w:cs="Arial"/>
                <w:sz w:val="20"/>
                <w:szCs w:val="20"/>
              </w:rPr>
            </w:pPr>
            <w:r w:rsidRPr="00136CDA">
              <w:rPr>
                <w:rFonts w:ascii="Arial Narrow" w:hAnsi="Arial Narrow" w:cs="Arial"/>
                <w:sz w:val="20"/>
                <w:szCs w:val="20"/>
              </w:rPr>
              <w:t>-</w:t>
            </w:r>
          </w:p>
          <w:p w:rsidR="003A3DEF" w:rsidRPr="00136CDA" w:rsidRDefault="003A3DEF" w:rsidP="008C35CF">
            <w:pPr>
              <w:rPr>
                <w:rFonts w:ascii="Arial Narrow" w:hAnsi="Arial Narrow" w:cs="Arial"/>
                <w:sz w:val="20"/>
                <w:szCs w:val="20"/>
              </w:rPr>
            </w:pPr>
          </w:p>
          <w:p w:rsidR="003A3DEF" w:rsidRPr="00136CDA" w:rsidRDefault="003A3DEF" w:rsidP="008C35CF">
            <w:pPr>
              <w:rPr>
                <w:rFonts w:ascii="Arial Narrow" w:hAnsi="Arial Narrow" w:cs="Arial"/>
                <w:sz w:val="20"/>
                <w:szCs w:val="20"/>
              </w:rPr>
            </w:pPr>
          </w:p>
        </w:tc>
      </w:tr>
      <w:tr w:rsidR="003A3DEF" w:rsidRPr="00136CDA" w:rsidTr="008C35CF">
        <w:trPr>
          <w:cantSplit/>
          <w:trHeight w:val="360"/>
        </w:trPr>
        <w:tc>
          <w:tcPr>
            <w:tcW w:w="1985" w:type="dxa"/>
            <w:tcBorders>
              <w:top w:val="single" w:sz="4" w:space="0" w:color="auto"/>
              <w:left w:val="single" w:sz="4" w:space="0" w:color="auto"/>
              <w:bottom w:val="single" w:sz="4" w:space="0" w:color="auto"/>
              <w:right w:val="single" w:sz="4" w:space="0" w:color="auto"/>
            </w:tcBorders>
          </w:tcPr>
          <w:p w:rsidR="003A3DEF" w:rsidRPr="00136CDA" w:rsidRDefault="003A3DEF" w:rsidP="008C35CF">
            <w:pPr>
              <w:jc w:val="both"/>
              <w:rPr>
                <w:rFonts w:ascii="Arial Narrow" w:hAnsi="Arial Narrow" w:cs="Arial"/>
                <w:b/>
                <w:sz w:val="20"/>
                <w:szCs w:val="20"/>
              </w:rPr>
            </w:pPr>
            <w:r w:rsidRPr="00136CDA">
              <w:rPr>
                <w:rFonts w:ascii="Arial Narrow" w:hAnsi="Arial Narrow" w:cs="Arial"/>
                <w:b/>
                <w:sz w:val="20"/>
                <w:szCs w:val="20"/>
              </w:rPr>
              <w:t>Clinical criteria:</w:t>
            </w:r>
          </w:p>
          <w:p w:rsidR="003A3DEF" w:rsidRPr="00136CDA" w:rsidRDefault="003A3DEF" w:rsidP="008C35CF">
            <w:pPr>
              <w:jc w:val="both"/>
              <w:rPr>
                <w:rFonts w:ascii="Arial Narrow" w:hAnsi="Arial Narrow" w:cs="Arial"/>
                <w:sz w:val="20"/>
                <w:szCs w:val="20"/>
              </w:rPr>
            </w:pPr>
          </w:p>
          <w:p w:rsidR="003A3DEF" w:rsidRPr="00136CDA" w:rsidRDefault="003A3DEF" w:rsidP="008C35CF">
            <w:pPr>
              <w:jc w:val="both"/>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3A3DEF" w:rsidRPr="00136CDA" w:rsidRDefault="003A3DEF" w:rsidP="008C35CF">
            <w:pPr>
              <w:rPr>
                <w:rFonts w:ascii="Arial Narrow" w:hAnsi="Arial Narrow" w:cs="Arial"/>
                <w:sz w:val="20"/>
                <w:szCs w:val="20"/>
              </w:rPr>
            </w:pPr>
            <w:r w:rsidRPr="00136CDA">
              <w:rPr>
                <w:rFonts w:ascii="Arial Narrow" w:hAnsi="Arial Narrow" w:cs="Arial"/>
                <w:sz w:val="20"/>
                <w:szCs w:val="20"/>
              </w:rPr>
              <w:t xml:space="preserve">Patient must have fat malabsorption due to liver disease; </w:t>
            </w:r>
          </w:p>
          <w:p w:rsidR="003A3DEF" w:rsidRPr="00136CDA" w:rsidRDefault="003A3DEF" w:rsidP="008C35CF">
            <w:pPr>
              <w:rPr>
                <w:rFonts w:ascii="Arial Narrow" w:hAnsi="Arial Narrow" w:cs="Arial"/>
                <w:sz w:val="20"/>
                <w:szCs w:val="20"/>
              </w:rPr>
            </w:pPr>
            <w:r w:rsidRPr="00136CDA">
              <w:rPr>
                <w:rFonts w:ascii="Arial Narrow" w:hAnsi="Arial Narrow" w:cs="Arial"/>
                <w:sz w:val="20"/>
                <w:szCs w:val="20"/>
              </w:rPr>
              <w:t>OR</w:t>
            </w:r>
          </w:p>
          <w:p w:rsidR="003A3DEF" w:rsidRPr="00136CDA" w:rsidRDefault="003A3DEF" w:rsidP="008C35CF">
            <w:pPr>
              <w:rPr>
                <w:rFonts w:ascii="Arial Narrow" w:hAnsi="Arial Narrow" w:cs="Arial"/>
                <w:sz w:val="20"/>
                <w:szCs w:val="20"/>
              </w:rPr>
            </w:pPr>
            <w:r w:rsidRPr="00136CDA">
              <w:rPr>
                <w:rFonts w:ascii="Arial Narrow" w:hAnsi="Arial Narrow" w:cs="Arial"/>
                <w:sz w:val="20"/>
                <w:szCs w:val="20"/>
              </w:rPr>
              <w:t xml:space="preserve">Patient must have fat malabsorption due to short gut syndrome; </w:t>
            </w:r>
          </w:p>
          <w:p w:rsidR="003A3DEF" w:rsidRPr="00136CDA" w:rsidRDefault="003A3DEF" w:rsidP="008C35CF">
            <w:pPr>
              <w:rPr>
                <w:rFonts w:ascii="Arial Narrow" w:hAnsi="Arial Narrow" w:cs="Arial"/>
                <w:sz w:val="20"/>
                <w:szCs w:val="20"/>
              </w:rPr>
            </w:pPr>
            <w:r w:rsidRPr="00136CDA">
              <w:rPr>
                <w:rFonts w:ascii="Arial Narrow" w:hAnsi="Arial Narrow" w:cs="Arial"/>
                <w:sz w:val="20"/>
                <w:szCs w:val="20"/>
              </w:rPr>
              <w:t>OR</w:t>
            </w:r>
          </w:p>
          <w:p w:rsidR="003A3DEF" w:rsidRPr="00136CDA" w:rsidRDefault="003A3DEF" w:rsidP="008C35CF">
            <w:pPr>
              <w:rPr>
                <w:rFonts w:ascii="Arial Narrow" w:hAnsi="Arial Narrow" w:cs="Arial"/>
                <w:sz w:val="20"/>
                <w:szCs w:val="20"/>
              </w:rPr>
            </w:pPr>
            <w:r w:rsidRPr="00136CDA">
              <w:rPr>
                <w:rFonts w:ascii="Arial Narrow" w:hAnsi="Arial Narrow" w:cs="Arial"/>
                <w:sz w:val="20"/>
                <w:szCs w:val="20"/>
              </w:rPr>
              <w:t xml:space="preserve">Patient must have fat malabsorption due to cystic fibrosis; </w:t>
            </w:r>
          </w:p>
          <w:p w:rsidR="003A3DEF" w:rsidRPr="00136CDA" w:rsidRDefault="003A3DEF" w:rsidP="008C35CF">
            <w:pPr>
              <w:rPr>
                <w:rFonts w:ascii="Arial Narrow" w:hAnsi="Arial Narrow" w:cs="Arial"/>
                <w:sz w:val="20"/>
                <w:szCs w:val="20"/>
              </w:rPr>
            </w:pPr>
            <w:r w:rsidRPr="00136CDA">
              <w:rPr>
                <w:rFonts w:ascii="Arial Narrow" w:hAnsi="Arial Narrow" w:cs="Arial"/>
                <w:sz w:val="20"/>
                <w:szCs w:val="20"/>
              </w:rPr>
              <w:t>OR</w:t>
            </w:r>
          </w:p>
          <w:p w:rsidR="003A3DEF" w:rsidRPr="00136CDA" w:rsidRDefault="003A3DEF" w:rsidP="008C35CF">
            <w:pPr>
              <w:rPr>
                <w:rFonts w:ascii="Arial Narrow" w:hAnsi="Arial Narrow" w:cs="Arial"/>
                <w:sz w:val="20"/>
                <w:szCs w:val="20"/>
              </w:rPr>
            </w:pPr>
            <w:r w:rsidRPr="00136CDA">
              <w:rPr>
                <w:rFonts w:ascii="Arial Narrow" w:hAnsi="Arial Narrow" w:cs="Arial"/>
                <w:sz w:val="20"/>
                <w:szCs w:val="20"/>
              </w:rPr>
              <w:t>Patient must have fat malabsorption due to gastrointestinal disorders.</w:t>
            </w:r>
          </w:p>
        </w:tc>
      </w:tr>
      <w:tr w:rsidR="003A3DEF" w:rsidRPr="00136CDA" w:rsidTr="008C35CF">
        <w:trPr>
          <w:cantSplit/>
          <w:trHeight w:val="360"/>
        </w:trPr>
        <w:tc>
          <w:tcPr>
            <w:tcW w:w="1985" w:type="dxa"/>
            <w:tcBorders>
              <w:top w:val="single" w:sz="4" w:space="0" w:color="auto"/>
              <w:left w:val="single" w:sz="4" w:space="0" w:color="auto"/>
              <w:bottom w:val="single" w:sz="4" w:space="0" w:color="auto"/>
              <w:right w:val="single" w:sz="4" w:space="0" w:color="auto"/>
            </w:tcBorders>
          </w:tcPr>
          <w:p w:rsidR="003A3DEF" w:rsidRPr="00136CDA" w:rsidRDefault="003A3DEF" w:rsidP="008C35CF">
            <w:pPr>
              <w:jc w:val="both"/>
              <w:rPr>
                <w:rFonts w:ascii="Arial Narrow" w:hAnsi="Arial Narrow" w:cs="Arial"/>
                <w:b/>
                <w:sz w:val="20"/>
                <w:szCs w:val="20"/>
              </w:rPr>
            </w:pPr>
            <w:r w:rsidRPr="00136CDA">
              <w:rPr>
                <w:rFonts w:ascii="Arial Narrow" w:hAnsi="Arial Narrow" w:cs="Arial"/>
                <w:b/>
                <w:sz w:val="20"/>
                <w:szCs w:val="20"/>
              </w:rPr>
              <w:t>Administrative Advice:</w:t>
            </w:r>
          </w:p>
        </w:tc>
        <w:tc>
          <w:tcPr>
            <w:tcW w:w="6378" w:type="dxa"/>
            <w:gridSpan w:val="5"/>
            <w:tcBorders>
              <w:top w:val="single" w:sz="4" w:space="0" w:color="auto"/>
              <w:left w:val="single" w:sz="4" w:space="0" w:color="auto"/>
              <w:bottom w:val="single" w:sz="4" w:space="0" w:color="auto"/>
              <w:right w:val="single" w:sz="4" w:space="0" w:color="auto"/>
            </w:tcBorders>
          </w:tcPr>
          <w:p w:rsidR="003A3DEF" w:rsidRPr="00136CDA" w:rsidRDefault="003A3DEF" w:rsidP="008C35CF">
            <w:pPr>
              <w:rPr>
                <w:rFonts w:ascii="Arial Narrow" w:hAnsi="Arial Narrow" w:cs="Arial"/>
                <w:sz w:val="20"/>
                <w:u w:val="single"/>
              </w:rPr>
            </w:pPr>
            <w:r w:rsidRPr="00136CDA">
              <w:rPr>
                <w:rFonts w:ascii="Arial Narrow" w:hAnsi="Arial Narrow" w:cs="Arial"/>
                <w:sz w:val="20"/>
                <w:u w:val="single"/>
              </w:rPr>
              <w:t>Note:</w:t>
            </w:r>
          </w:p>
          <w:p w:rsidR="003A3DEF" w:rsidRPr="00136CDA" w:rsidRDefault="003A3DEF" w:rsidP="008C35CF">
            <w:pPr>
              <w:rPr>
                <w:rFonts w:ascii="Arial Narrow" w:hAnsi="Arial Narrow" w:cs="Arial"/>
                <w:sz w:val="20"/>
              </w:rPr>
            </w:pPr>
            <w:r w:rsidRPr="00136CDA">
              <w:rPr>
                <w:rFonts w:ascii="Arial Narrow" w:hAnsi="Arial Narrow" w:cs="Arial"/>
                <w:sz w:val="20"/>
              </w:rPr>
              <w:t>No increase in the maximum number of repeats may be authorised.</w:t>
            </w:r>
          </w:p>
          <w:p w:rsidR="003A3DEF" w:rsidRPr="00136CDA" w:rsidRDefault="003A3DEF" w:rsidP="008C35CF">
            <w:pPr>
              <w:rPr>
                <w:rFonts w:ascii="Arial Narrow" w:hAnsi="Arial Narrow" w:cs="Arial"/>
                <w:sz w:val="20"/>
                <w:u w:val="single"/>
              </w:rPr>
            </w:pPr>
            <w:r w:rsidRPr="00136CDA">
              <w:rPr>
                <w:rFonts w:ascii="Arial Narrow" w:hAnsi="Arial Narrow" w:cs="Arial"/>
                <w:sz w:val="20"/>
                <w:u w:val="single"/>
              </w:rPr>
              <w:t>Note:</w:t>
            </w:r>
          </w:p>
          <w:p w:rsidR="003A3DEF" w:rsidRPr="00136CDA" w:rsidRDefault="003A3DEF" w:rsidP="008C35CF">
            <w:pPr>
              <w:rPr>
                <w:rFonts w:ascii="Arial Narrow" w:hAnsi="Arial Narrow" w:cs="Arial"/>
                <w:sz w:val="20"/>
              </w:rPr>
            </w:pPr>
            <w:r w:rsidRPr="00136CDA">
              <w:rPr>
                <w:rFonts w:ascii="Arial Narrow" w:hAnsi="Arial Narrow" w:cs="Arial"/>
                <w:sz w:val="20"/>
              </w:rPr>
              <w:t>Authorities for increased maximum quantities, up to a maximum of 20, may be authorised.</w:t>
            </w:r>
          </w:p>
          <w:p w:rsidR="003A3DEF" w:rsidRPr="00136CDA" w:rsidRDefault="003A3DEF" w:rsidP="008C35CF">
            <w:pPr>
              <w:rPr>
                <w:rFonts w:ascii="Arial Narrow" w:hAnsi="Arial Narrow" w:cs="Arial"/>
                <w:sz w:val="20"/>
                <w:szCs w:val="20"/>
              </w:rPr>
            </w:pPr>
          </w:p>
          <w:p w:rsidR="003A3DEF" w:rsidRPr="00136CDA" w:rsidRDefault="003A3DEF" w:rsidP="008C35CF">
            <w:pPr>
              <w:rPr>
                <w:rFonts w:ascii="Arial Narrow" w:hAnsi="Arial Narrow" w:cs="Arial"/>
                <w:sz w:val="20"/>
                <w:szCs w:val="20"/>
                <w:u w:val="single"/>
              </w:rPr>
            </w:pPr>
            <w:r w:rsidRPr="00136CDA">
              <w:rPr>
                <w:rFonts w:ascii="Arial Narrow" w:hAnsi="Arial Narrow" w:cs="Arial"/>
                <w:sz w:val="20"/>
                <w:szCs w:val="20"/>
                <w:u w:val="single"/>
              </w:rPr>
              <w:t>Note:</w:t>
            </w:r>
          </w:p>
          <w:p w:rsidR="003A3DEF" w:rsidRPr="00136CDA" w:rsidRDefault="003A3DEF" w:rsidP="008C35CF">
            <w:pPr>
              <w:rPr>
                <w:rFonts w:ascii="Arial Narrow" w:hAnsi="Arial Narrow" w:cs="Arial"/>
                <w:sz w:val="20"/>
                <w:szCs w:val="20"/>
              </w:rPr>
            </w:pPr>
            <w:r w:rsidRPr="00136CDA">
              <w:rPr>
                <w:rFonts w:ascii="Arial Narrow" w:hAnsi="Arial Narrow" w:cs="Arial"/>
                <w:sz w:val="20"/>
                <w:szCs w:val="20"/>
              </w:rPr>
              <w:t>Not indicated for the treatment of intractable childhood epilepsy or cerebrospinal fluid glucose transporter defect requiring a ketogenic diet</w:t>
            </w:r>
          </w:p>
        </w:tc>
      </w:tr>
    </w:tbl>
    <w:p w:rsidR="003A3DEF" w:rsidRPr="00136CDA" w:rsidRDefault="003A3DEF" w:rsidP="003A3DEF">
      <w:pPr>
        <w:pStyle w:val="ListParagraph"/>
        <w:jc w:val="both"/>
        <w:rPr>
          <w:rFonts w:ascii="Arial" w:hAnsi="Arial"/>
          <w:sz w:val="22"/>
          <w:szCs w:val="22"/>
        </w:rPr>
      </w:pPr>
    </w:p>
    <w:p w:rsidR="00D84934" w:rsidRDefault="00D84934" w:rsidP="003A3DEF">
      <w:pPr>
        <w:widowControl w:val="0"/>
        <w:ind w:firstLine="720"/>
        <w:jc w:val="both"/>
      </w:pPr>
    </w:p>
    <w:p w:rsidR="00A04299" w:rsidRDefault="00A04299" w:rsidP="003A3DEF">
      <w:pPr>
        <w:widowControl w:val="0"/>
        <w:ind w:firstLine="720"/>
        <w:jc w:val="both"/>
      </w:pPr>
    </w:p>
    <w:p w:rsidR="00811E65" w:rsidRDefault="00811E65" w:rsidP="00A44F6C">
      <w:pPr>
        <w:pStyle w:val="ListParagraph"/>
        <w:keepNext/>
        <w:widowControl w:val="0"/>
        <w:numPr>
          <w:ilvl w:val="0"/>
          <w:numId w:val="25"/>
        </w:numPr>
        <w:jc w:val="both"/>
        <w:rPr>
          <w:rFonts w:ascii="Arial" w:hAnsi="Arial" w:cs="Arial"/>
          <w:b/>
        </w:rPr>
      </w:pPr>
      <w:r w:rsidRPr="00811E65">
        <w:rPr>
          <w:rFonts w:ascii="Arial" w:hAnsi="Arial" w:cs="Arial"/>
          <w:b/>
        </w:rPr>
        <w:t xml:space="preserve">Context for Decision </w:t>
      </w:r>
    </w:p>
    <w:p w:rsidR="00FA545E" w:rsidRDefault="00FA545E" w:rsidP="00A44F6C">
      <w:pPr>
        <w:keepNext/>
        <w:rPr>
          <w:rFonts w:ascii="Arial" w:hAnsi="Arial" w:cs="Arial"/>
          <w:bCs/>
          <w:snapToGrid w:val="0"/>
          <w:sz w:val="22"/>
          <w:szCs w:val="22"/>
        </w:rPr>
      </w:pPr>
    </w:p>
    <w:p w:rsidR="00811E65" w:rsidRPr="00ED3989" w:rsidRDefault="00811E65" w:rsidP="00ED3989">
      <w:pPr>
        <w:ind w:left="720"/>
        <w:rPr>
          <w:rFonts w:ascii="Arial" w:hAnsi="Arial" w:cs="Arial"/>
          <w:bCs/>
          <w:snapToGrid w:val="0"/>
          <w:sz w:val="22"/>
          <w:szCs w:val="22"/>
        </w:rPr>
      </w:pPr>
      <w:r w:rsidRPr="00ED3989">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11E65" w:rsidRDefault="00811E65" w:rsidP="00811E65">
      <w:pPr>
        <w:rPr>
          <w:rFonts w:ascii="Arial" w:hAnsi="Arial" w:cs="Arial"/>
          <w:bCs/>
          <w:snapToGrid w:val="0"/>
          <w:sz w:val="22"/>
          <w:szCs w:val="22"/>
        </w:rPr>
      </w:pPr>
    </w:p>
    <w:p w:rsidR="00A90C3D" w:rsidRPr="00811E65" w:rsidRDefault="00A90C3D" w:rsidP="00811E65">
      <w:pPr>
        <w:rPr>
          <w:rFonts w:ascii="Arial" w:hAnsi="Arial" w:cs="Arial"/>
          <w:bCs/>
          <w:snapToGrid w:val="0"/>
          <w:sz w:val="22"/>
          <w:szCs w:val="22"/>
        </w:rPr>
      </w:pPr>
    </w:p>
    <w:p w:rsidR="00811E65" w:rsidRDefault="00811E65" w:rsidP="0070423F">
      <w:pPr>
        <w:pStyle w:val="ListParagraph"/>
        <w:widowControl w:val="0"/>
        <w:numPr>
          <w:ilvl w:val="0"/>
          <w:numId w:val="25"/>
        </w:numPr>
        <w:jc w:val="both"/>
        <w:rPr>
          <w:rFonts w:ascii="Arial" w:hAnsi="Arial" w:cs="Arial"/>
          <w:b/>
        </w:rPr>
      </w:pPr>
      <w:r w:rsidRPr="00811E65">
        <w:rPr>
          <w:rFonts w:ascii="Arial" w:hAnsi="Arial" w:cs="Arial"/>
          <w:b/>
        </w:rPr>
        <w:t>Sponsor’s Comment</w:t>
      </w:r>
    </w:p>
    <w:p w:rsidR="00BA4DAC" w:rsidRDefault="00BA4DAC" w:rsidP="00BA4DAC">
      <w:pPr>
        <w:widowControl w:val="0"/>
        <w:jc w:val="both"/>
        <w:rPr>
          <w:rFonts w:ascii="Arial" w:hAnsi="Arial" w:cs="Arial"/>
          <w:b/>
        </w:rPr>
      </w:pPr>
    </w:p>
    <w:p w:rsidR="00BA4DAC" w:rsidRPr="00BA4DAC" w:rsidRDefault="00BA4DAC" w:rsidP="00BA4DAC">
      <w:pPr>
        <w:widowControl w:val="0"/>
        <w:ind w:left="720"/>
        <w:jc w:val="both"/>
        <w:rPr>
          <w:rFonts w:ascii="Arial" w:hAnsi="Arial" w:cs="Arial"/>
        </w:rPr>
      </w:pPr>
      <w:r w:rsidRPr="00BA4DAC">
        <w:rPr>
          <w:rFonts w:ascii="Arial" w:hAnsi="Arial" w:cs="Arial"/>
        </w:rPr>
        <w:t>The sponsor had no comment.</w:t>
      </w:r>
    </w:p>
    <w:sectPr w:rsidR="00BA4DAC" w:rsidRPr="00BA4DAC"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B38" w:rsidRDefault="00277B38">
      <w:r>
        <w:separator/>
      </w:r>
    </w:p>
    <w:p w:rsidR="00277B38" w:rsidRDefault="00277B38"/>
  </w:endnote>
  <w:endnote w:type="continuationSeparator" w:id="0">
    <w:p w:rsidR="00277B38" w:rsidRDefault="00277B38">
      <w:r>
        <w:continuationSeparator/>
      </w:r>
    </w:p>
    <w:p w:rsidR="00277B38" w:rsidRDefault="00277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D5163" w:rsidTr="005A3173">
      <w:trPr>
        <w:trHeight w:val="151"/>
      </w:trPr>
      <w:tc>
        <w:tcPr>
          <w:tcW w:w="2250" w:type="pct"/>
          <w:tcBorders>
            <w:top w:val="nil"/>
            <w:left w:val="nil"/>
            <w:bottom w:val="single" w:sz="4" w:space="0" w:color="4F81BD"/>
            <w:right w:val="nil"/>
          </w:tcBorders>
        </w:tcPr>
        <w:p w:rsidR="002D5163" w:rsidRPr="005A3173" w:rsidRDefault="002D516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D5163" w:rsidRPr="005A3173" w:rsidRDefault="002D516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D5163" w:rsidRPr="005A3173" w:rsidRDefault="002D5163" w:rsidP="005A3173">
          <w:pPr>
            <w:pStyle w:val="Header"/>
            <w:spacing w:line="276" w:lineRule="auto"/>
            <w:rPr>
              <w:rFonts w:ascii="Calibri" w:eastAsia="MS Gothic" w:hAnsi="Calibri"/>
              <w:b/>
              <w:bCs/>
              <w:color w:val="4F81BD"/>
            </w:rPr>
          </w:pPr>
        </w:p>
      </w:tc>
    </w:tr>
    <w:tr w:rsidR="002D5163" w:rsidTr="005A3173">
      <w:trPr>
        <w:trHeight w:val="150"/>
      </w:trPr>
      <w:tc>
        <w:tcPr>
          <w:tcW w:w="2250" w:type="pct"/>
          <w:tcBorders>
            <w:top w:val="single" w:sz="4" w:space="0" w:color="4F81BD"/>
            <w:left w:val="nil"/>
            <w:bottom w:val="nil"/>
            <w:right w:val="nil"/>
          </w:tcBorders>
        </w:tcPr>
        <w:p w:rsidR="002D5163" w:rsidRPr="005A3173" w:rsidRDefault="002D5163" w:rsidP="005A3173">
          <w:pPr>
            <w:pStyle w:val="Header"/>
            <w:spacing w:line="276" w:lineRule="auto"/>
            <w:rPr>
              <w:rFonts w:ascii="Calibri" w:eastAsia="MS Gothic" w:hAnsi="Calibri"/>
              <w:b/>
              <w:bCs/>
              <w:color w:val="4F81BD"/>
            </w:rPr>
          </w:pPr>
        </w:p>
      </w:tc>
      <w:tc>
        <w:tcPr>
          <w:tcW w:w="0" w:type="auto"/>
          <w:vMerge/>
          <w:vAlign w:val="center"/>
          <w:hideMark/>
        </w:tcPr>
        <w:p w:rsidR="002D5163" w:rsidRPr="005A3173" w:rsidRDefault="002D5163" w:rsidP="005A3173">
          <w:pPr>
            <w:rPr>
              <w:rFonts w:ascii="Calibri" w:hAnsi="Calibri"/>
              <w:color w:val="365F91"/>
              <w:sz w:val="22"/>
              <w:szCs w:val="22"/>
            </w:rPr>
          </w:pPr>
        </w:p>
      </w:tc>
      <w:tc>
        <w:tcPr>
          <w:tcW w:w="2250" w:type="pct"/>
          <w:tcBorders>
            <w:top w:val="single" w:sz="4" w:space="0" w:color="4F81BD"/>
            <w:left w:val="nil"/>
            <w:bottom w:val="nil"/>
            <w:right w:val="nil"/>
          </w:tcBorders>
        </w:tcPr>
        <w:p w:rsidR="002D5163" w:rsidRPr="005A3173" w:rsidRDefault="002D5163" w:rsidP="005A3173">
          <w:pPr>
            <w:pStyle w:val="Header"/>
            <w:spacing w:line="276" w:lineRule="auto"/>
            <w:rPr>
              <w:rFonts w:ascii="Calibri" w:eastAsia="MS Gothic" w:hAnsi="Calibri"/>
              <w:b/>
              <w:bCs/>
              <w:color w:val="4F81BD"/>
            </w:rPr>
          </w:pPr>
        </w:p>
      </w:tc>
    </w:tr>
  </w:tbl>
  <w:p w:rsidR="002D5163" w:rsidRDefault="002D516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5163" w:rsidRDefault="002D5163">
    <w:pPr>
      <w:pStyle w:val="Footer"/>
    </w:pPr>
  </w:p>
  <w:p w:rsidR="002D5163" w:rsidRDefault="002D516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163" w:rsidRDefault="002D5163" w:rsidP="00EF44A0">
    <w:pPr>
      <w:pStyle w:val="Footer"/>
      <w:jc w:val="center"/>
      <w:rPr>
        <w:rFonts w:ascii="Arial" w:hAnsi="Arial" w:cs="Arial"/>
        <w:b/>
        <w:sz w:val="20"/>
        <w:szCs w:val="20"/>
      </w:rPr>
    </w:pPr>
  </w:p>
  <w:p w:rsidR="002D5163" w:rsidRPr="003A3DEF" w:rsidRDefault="003A3DEF" w:rsidP="003A3DEF">
    <w:pPr>
      <w:pStyle w:val="Footer"/>
      <w:ind w:left="360"/>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D950CC">
      <w:rPr>
        <w:rFonts w:ascii="Arial" w:hAnsi="Arial" w:cs="Arial"/>
        <w:noProof/>
        <w:sz w:val="20"/>
        <w:szCs w:val="20"/>
      </w:rPr>
      <w:t>1</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2D5163" w:rsidTr="005A3173">
      <w:trPr>
        <w:trHeight w:val="151"/>
      </w:trPr>
      <w:tc>
        <w:tcPr>
          <w:tcW w:w="2250" w:type="pct"/>
          <w:tcBorders>
            <w:top w:val="nil"/>
            <w:left w:val="nil"/>
            <w:bottom w:val="single" w:sz="4" w:space="0" w:color="4F81BD"/>
            <w:right w:val="nil"/>
          </w:tcBorders>
        </w:tcPr>
        <w:p w:rsidR="002D5163" w:rsidRPr="005A3173" w:rsidRDefault="002D516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D5163" w:rsidRPr="005A3173" w:rsidRDefault="002D516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D5163" w:rsidRPr="005A3173" w:rsidRDefault="002D5163" w:rsidP="005A3173">
          <w:pPr>
            <w:pStyle w:val="Header"/>
            <w:spacing w:line="276" w:lineRule="auto"/>
            <w:rPr>
              <w:rFonts w:ascii="Calibri" w:eastAsia="MS Gothic" w:hAnsi="Calibri"/>
              <w:b/>
              <w:bCs/>
              <w:color w:val="4F81BD"/>
            </w:rPr>
          </w:pPr>
        </w:p>
      </w:tc>
    </w:tr>
    <w:tr w:rsidR="002D5163" w:rsidTr="005A3173">
      <w:trPr>
        <w:trHeight w:val="150"/>
      </w:trPr>
      <w:tc>
        <w:tcPr>
          <w:tcW w:w="2250" w:type="pct"/>
          <w:tcBorders>
            <w:top w:val="single" w:sz="4" w:space="0" w:color="4F81BD"/>
            <w:left w:val="nil"/>
            <w:bottom w:val="nil"/>
            <w:right w:val="nil"/>
          </w:tcBorders>
        </w:tcPr>
        <w:p w:rsidR="002D5163" w:rsidRPr="005A3173" w:rsidRDefault="002D5163" w:rsidP="005A3173">
          <w:pPr>
            <w:pStyle w:val="Header"/>
            <w:spacing w:line="276" w:lineRule="auto"/>
            <w:rPr>
              <w:rFonts w:ascii="Calibri" w:eastAsia="MS Gothic" w:hAnsi="Calibri"/>
              <w:b/>
              <w:bCs/>
              <w:color w:val="4F81BD"/>
            </w:rPr>
          </w:pPr>
        </w:p>
      </w:tc>
      <w:tc>
        <w:tcPr>
          <w:tcW w:w="0" w:type="auto"/>
          <w:vMerge/>
          <w:vAlign w:val="center"/>
          <w:hideMark/>
        </w:tcPr>
        <w:p w:rsidR="002D5163" w:rsidRPr="005A3173" w:rsidRDefault="002D5163" w:rsidP="005A3173">
          <w:pPr>
            <w:rPr>
              <w:rFonts w:ascii="Calibri" w:hAnsi="Calibri"/>
              <w:color w:val="365F91"/>
              <w:sz w:val="22"/>
              <w:szCs w:val="22"/>
            </w:rPr>
          </w:pPr>
        </w:p>
      </w:tc>
      <w:tc>
        <w:tcPr>
          <w:tcW w:w="2250" w:type="pct"/>
          <w:tcBorders>
            <w:top w:val="single" w:sz="4" w:space="0" w:color="4F81BD"/>
            <w:left w:val="nil"/>
            <w:bottom w:val="nil"/>
            <w:right w:val="nil"/>
          </w:tcBorders>
        </w:tcPr>
        <w:p w:rsidR="002D5163" w:rsidRPr="005A3173" w:rsidRDefault="002D5163"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D5163" w:rsidTr="005A3173">
      <w:trPr>
        <w:trHeight w:val="151"/>
      </w:trPr>
      <w:tc>
        <w:tcPr>
          <w:tcW w:w="2250" w:type="pct"/>
          <w:tcBorders>
            <w:top w:val="nil"/>
            <w:left w:val="nil"/>
            <w:bottom w:val="single" w:sz="4" w:space="0" w:color="4F81BD"/>
            <w:right w:val="nil"/>
          </w:tcBorders>
        </w:tcPr>
        <w:p w:rsidR="002D5163" w:rsidRPr="005A3173" w:rsidRDefault="002D516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D5163" w:rsidRPr="005A3173" w:rsidRDefault="002D516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D5163" w:rsidRPr="005A3173" w:rsidRDefault="002D5163" w:rsidP="005A3173">
          <w:pPr>
            <w:pStyle w:val="Header"/>
            <w:spacing w:line="276" w:lineRule="auto"/>
            <w:rPr>
              <w:rFonts w:ascii="Calibri" w:eastAsia="MS Gothic" w:hAnsi="Calibri"/>
              <w:b/>
              <w:bCs/>
              <w:color w:val="4F81BD"/>
            </w:rPr>
          </w:pPr>
        </w:p>
      </w:tc>
    </w:tr>
    <w:tr w:rsidR="002D5163" w:rsidTr="005A3173">
      <w:trPr>
        <w:trHeight w:val="150"/>
      </w:trPr>
      <w:tc>
        <w:tcPr>
          <w:tcW w:w="2250" w:type="pct"/>
          <w:tcBorders>
            <w:top w:val="single" w:sz="4" w:space="0" w:color="4F81BD"/>
            <w:left w:val="nil"/>
            <w:bottom w:val="nil"/>
            <w:right w:val="nil"/>
          </w:tcBorders>
        </w:tcPr>
        <w:p w:rsidR="002D5163" w:rsidRPr="005A3173" w:rsidRDefault="002D5163" w:rsidP="005A3173">
          <w:pPr>
            <w:pStyle w:val="Header"/>
            <w:spacing w:line="276" w:lineRule="auto"/>
            <w:rPr>
              <w:rFonts w:ascii="Calibri" w:eastAsia="MS Gothic" w:hAnsi="Calibri"/>
              <w:b/>
              <w:bCs/>
              <w:color w:val="4F81BD"/>
            </w:rPr>
          </w:pPr>
        </w:p>
      </w:tc>
      <w:tc>
        <w:tcPr>
          <w:tcW w:w="0" w:type="auto"/>
          <w:vMerge/>
          <w:vAlign w:val="center"/>
          <w:hideMark/>
        </w:tcPr>
        <w:p w:rsidR="002D5163" w:rsidRPr="005A3173" w:rsidRDefault="002D5163" w:rsidP="005A3173">
          <w:pPr>
            <w:rPr>
              <w:rFonts w:ascii="Calibri" w:hAnsi="Calibri"/>
              <w:color w:val="365F91"/>
              <w:sz w:val="22"/>
              <w:szCs w:val="22"/>
            </w:rPr>
          </w:pPr>
        </w:p>
      </w:tc>
      <w:tc>
        <w:tcPr>
          <w:tcW w:w="2250" w:type="pct"/>
          <w:tcBorders>
            <w:top w:val="single" w:sz="4" w:space="0" w:color="4F81BD"/>
            <w:left w:val="nil"/>
            <w:bottom w:val="nil"/>
            <w:right w:val="nil"/>
          </w:tcBorders>
        </w:tcPr>
        <w:p w:rsidR="002D5163" w:rsidRPr="005A3173" w:rsidRDefault="002D5163" w:rsidP="005A3173">
          <w:pPr>
            <w:pStyle w:val="Header"/>
            <w:spacing w:line="276" w:lineRule="auto"/>
            <w:rPr>
              <w:rFonts w:ascii="Calibri" w:eastAsia="MS Gothic" w:hAnsi="Calibri"/>
              <w:b/>
              <w:bCs/>
              <w:color w:val="4F81BD"/>
            </w:rPr>
          </w:pPr>
        </w:p>
      </w:tc>
    </w:tr>
  </w:tbl>
  <w:p w:rsidR="002D5163" w:rsidRPr="007C0F57" w:rsidRDefault="002D516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D5163" w:rsidRPr="007C0F57" w:rsidRDefault="002D5163" w:rsidP="007C0F57">
    <w:pPr>
      <w:pStyle w:val="Footer"/>
      <w:jc w:val="center"/>
      <w:rPr>
        <w:b/>
        <w:i/>
        <w:sz w:val="20"/>
        <w:szCs w:val="20"/>
      </w:rPr>
    </w:pPr>
    <w:r w:rsidRPr="007C0F57">
      <w:rPr>
        <w:b/>
        <w:i/>
        <w:sz w:val="20"/>
        <w:szCs w:val="20"/>
      </w:rPr>
      <w:t>Commercial-in-Confidence</w:t>
    </w:r>
  </w:p>
  <w:p w:rsidR="002D5163" w:rsidRDefault="002D5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B38" w:rsidRDefault="00277B38">
      <w:r>
        <w:separator/>
      </w:r>
    </w:p>
    <w:p w:rsidR="00277B38" w:rsidRDefault="00277B38"/>
  </w:footnote>
  <w:footnote w:type="continuationSeparator" w:id="0">
    <w:p w:rsidR="00277B38" w:rsidRDefault="00277B38">
      <w:r>
        <w:continuationSeparator/>
      </w:r>
    </w:p>
    <w:p w:rsidR="00277B38" w:rsidRDefault="00277B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D5163" w:rsidRPr="008E0D90" w:rsidTr="00A06225">
      <w:trPr>
        <w:trHeight w:val="151"/>
      </w:trPr>
      <w:tc>
        <w:tcPr>
          <w:tcW w:w="2389" w:type="pct"/>
          <w:tcBorders>
            <w:top w:val="nil"/>
            <w:left w:val="nil"/>
            <w:bottom w:val="single" w:sz="4" w:space="0" w:color="4F81BD"/>
            <w:right w:val="nil"/>
          </w:tcBorders>
        </w:tcPr>
        <w:p w:rsidR="002D5163" w:rsidRPr="00A06225" w:rsidRDefault="002D5163">
          <w:pPr>
            <w:pStyle w:val="Header"/>
            <w:spacing w:line="276" w:lineRule="auto"/>
            <w:rPr>
              <w:rFonts w:ascii="Cambria" w:eastAsia="MS Gothic" w:hAnsi="Cambria"/>
              <w:b/>
              <w:bCs/>
              <w:color w:val="4F81BD"/>
            </w:rPr>
          </w:pPr>
        </w:p>
      </w:tc>
      <w:tc>
        <w:tcPr>
          <w:tcW w:w="333" w:type="pct"/>
          <w:vMerge w:val="restart"/>
          <w:noWrap/>
          <w:vAlign w:val="center"/>
          <w:hideMark/>
        </w:tcPr>
        <w:p w:rsidR="002D5163" w:rsidRPr="00A06225" w:rsidRDefault="002D516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D5163" w:rsidRPr="00A06225" w:rsidRDefault="002D5163">
          <w:pPr>
            <w:pStyle w:val="Header"/>
            <w:spacing w:line="276" w:lineRule="auto"/>
            <w:rPr>
              <w:rFonts w:ascii="Cambria" w:eastAsia="MS Gothic" w:hAnsi="Cambria"/>
              <w:b/>
              <w:bCs/>
              <w:color w:val="4F81BD"/>
            </w:rPr>
          </w:pPr>
        </w:p>
      </w:tc>
    </w:tr>
    <w:tr w:rsidR="002D5163" w:rsidRPr="008E0D90" w:rsidTr="00A06225">
      <w:trPr>
        <w:trHeight w:val="150"/>
      </w:trPr>
      <w:tc>
        <w:tcPr>
          <w:tcW w:w="2389" w:type="pct"/>
          <w:tcBorders>
            <w:top w:val="single" w:sz="4" w:space="0" w:color="4F81BD"/>
            <w:left w:val="nil"/>
            <w:bottom w:val="nil"/>
            <w:right w:val="nil"/>
          </w:tcBorders>
        </w:tcPr>
        <w:p w:rsidR="002D5163" w:rsidRPr="00A06225" w:rsidRDefault="002D5163">
          <w:pPr>
            <w:pStyle w:val="Header"/>
            <w:spacing w:line="276" w:lineRule="auto"/>
            <w:rPr>
              <w:rFonts w:ascii="Cambria" w:eastAsia="MS Gothic" w:hAnsi="Cambria"/>
              <w:b/>
              <w:bCs/>
              <w:color w:val="4F81BD"/>
            </w:rPr>
          </w:pPr>
        </w:p>
      </w:tc>
      <w:tc>
        <w:tcPr>
          <w:tcW w:w="0" w:type="auto"/>
          <w:vMerge/>
          <w:vAlign w:val="center"/>
          <w:hideMark/>
        </w:tcPr>
        <w:p w:rsidR="002D5163" w:rsidRPr="00A06225" w:rsidRDefault="002D5163">
          <w:pPr>
            <w:rPr>
              <w:rFonts w:ascii="Cambria" w:hAnsi="Cambria"/>
              <w:color w:val="4F81BD"/>
              <w:sz w:val="22"/>
              <w:szCs w:val="22"/>
            </w:rPr>
          </w:pPr>
        </w:p>
      </w:tc>
      <w:tc>
        <w:tcPr>
          <w:tcW w:w="2278" w:type="pct"/>
          <w:tcBorders>
            <w:top w:val="single" w:sz="4" w:space="0" w:color="4F81BD"/>
            <w:left w:val="nil"/>
            <w:bottom w:val="nil"/>
            <w:right w:val="nil"/>
          </w:tcBorders>
        </w:tcPr>
        <w:p w:rsidR="002D5163" w:rsidRPr="00A06225" w:rsidRDefault="002D5163">
          <w:pPr>
            <w:pStyle w:val="Header"/>
            <w:spacing w:line="276" w:lineRule="auto"/>
            <w:rPr>
              <w:rFonts w:ascii="Cambria" w:eastAsia="MS Gothic" w:hAnsi="Cambria"/>
              <w:b/>
              <w:bCs/>
              <w:color w:val="4F81BD"/>
            </w:rPr>
          </w:pPr>
        </w:p>
      </w:tc>
    </w:tr>
  </w:tbl>
  <w:p w:rsidR="002D5163" w:rsidRDefault="002D5163">
    <w:pPr>
      <w:pStyle w:val="Header"/>
    </w:pPr>
  </w:p>
  <w:p w:rsidR="002D5163" w:rsidRDefault="002D516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DEF" w:rsidRPr="00DF217D" w:rsidRDefault="00811E65" w:rsidP="003A3DEF">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003A3DEF" w:rsidRPr="00DF217D">
      <w:rPr>
        <w:rFonts w:ascii="Arial" w:hAnsi="Arial" w:cs="Arial"/>
        <w:i/>
        <w:color w:val="808080"/>
        <w:sz w:val="22"/>
      </w:rPr>
      <w:t xml:space="preserve">– </w:t>
    </w:r>
    <w:r>
      <w:rPr>
        <w:rFonts w:ascii="Arial" w:hAnsi="Arial" w:cs="Arial"/>
        <w:i/>
        <w:color w:val="808080"/>
        <w:sz w:val="22"/>
      </w:rPr>
      <w:t>July</w:t>
    </w:r>
    <w:r w:rsidR="003A3DEF">
      <w:rPr>
        <w:rFonts w:ascii="Arial" w:hAnsi="Arial" w:cs="Arial"/>
        <w:i/>
        <w:color w:val="808080"/>
        <w:sz w:val="22"/>
      </w:rPr>
      <w:t xml:space="preserve"> 2015 </w:t>
    </w:r>
    <w:r w:rsidR="003A3DEF" w:rsidRPr="00DF217D">
      <w:rPr>
        <w:rFonts w:ascii="Arial" w:hAnsi="Arial" w:cs="Arial"/>
        <w:i/>
        <w:color w:val="808080"/>
        <w:sz w:val="22"/>
      </w:rPr>
      <w:t>PBAC</w:t>
    </w:r>
    <w:r w:rsidR="003A3DEF">
      <w:rPr>
        <w:rFonts w:ascii="Arial" w:hAnsi="Arial" w:cs="Arial"/>
        <w:i/>
        <w:color w:val="808080"/>
        <w:sz w:val="22"/>
      </w:rPr>
      <w:t xml:space="preserve"> </w:t>
    </w:r>
    <w:r w:rsidR="003A3DEF" w:rsidRPr="00DF217D">
      <w:rPr>
        <w:rFonts w:ascii="Arial" w:hAnsi="Arial" w:cs="Arial"/>
        <w:i/>
        <w:color w:val="808080"/>
        <w:sz w:val="22"/>
      </w:rPr>
      <w:t>Meeting</w:t>
    </w:r>
  </w:p>
  <w:p w:rsidR="002D5163" w:rsidRDefault="002D5163"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9104D36"/>
    <w:multiLevelType w:val="multilevel"/>
    <w:tmpl w:val="986004F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8">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9">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0">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11">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9DA64A4"/>
    <w:multiLevelType w:val="hybridMultilevel"/>
    <w:tmpl w:val="4B9030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4">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5">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21">
    <w:nsid w:val="371F5AA6"/>
    <w:multiLevelType w:val="hybridMultilevel"/>
    <w:tmpl w:val="A066112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24">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5">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6">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30">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8">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40">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1">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2">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3">
    <w:nsid w:val="784D033C"/>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3"/>
  </w:num>
  <w:num w:numId="2">
    <w:abstractNumId w:val="39"/>
  </w:num>
  <w:num w:numId="3">
    <w:abstractNumId w:val="25"/>
  </w:num>
  <w:num w:numId="4">
    <w:abstractNumId w:val="1"/>
  </w:num>
  <w:num w:numId="5">
    <w:abstractNumId w:val="8"/>
  </w:num>
  <w:num w:numId="6">
    <w:abstractNumId w:val="24"/>
  </w:num>
  <w:num w:numId="7">
    <w:abstractNumId w:val="20"/>
  </w:num>
  <w:num w:numId="8">
    <w:abstractNumId w:val="7"/>
  </w:num>
  <w:num w:numId="9">
    <w:abstractNumId w:val="10"/>
  </w:num>
  <w:num w:numId="10">
    <w:abstractNumId w:val="37"/>
  </w:num>
  <w:num w:numId="1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40"/>
  </w:num>
  <w:num w:numId="15">
    <w:abstractNumId w:val="32"/>
  </w:num>
  <w:num w:numId="16">
    <w:abstractNumId w:val="28"/>
  </w:num>
  <w:num w:numId="17">
    <w:abstractNumId w:val="42"/>
  </w:num>
  <w:num w:numId="18">
    <w:abstractNumId w:val="16"/>
  </w:num>
  <w:num w:numId="19">
    <w:abstractNumId w:val="23"/>
  </w:num>
  <w:num w:numId="20">
    <w:abstractNumId w:val="6"/>
  </w:num>
  <w:num w:numId="21">
    <w:abstractNumId w:val="35"/>
  </w:num>
  <w:num w:numId="22">
    <w:abstractNumId w:val="38"/>
  </w:num>
  <w:num w:numId="23">
    <w:abstractNumId w:val="44"/>
  </w:num>
  <w:num w:numId="24">
    <w:abstractNumId w:val="19"/>
  </w:num>
  <w:num w:numId="25">
    <w:abstractNumId w:val="43"/>
  </w:num>
  <w:num w:numId="26">
    <w:abstractNumId w:val="33"/>
  </w:num>
  <w:num w:numId="27">
    <w:abstractNumId w:val="15"/>
  </w:num>
  <w:num w:numId="28">
    <w:abstractNumId w:val="9"/>
  </w:num>
  <w:num w:numId="29">
    <w:abstractNumId w:val="30"/>
  </w:num>
  <w:num w:numId="30">
    <w:abstractNumId w:val="5"/>
  </w:num>
  <w:num w:numId="31">
    <w:abstractNumId w:val="31"/>
  </w:num>
  <w:num w:numId="32">
    <w:abstractNumId w:val="41"/>
  </w:num>
  <w:num w:numId="33">
    <w:abstractNumId w:val="29"/>
  </w:num>
  <w:num w:numId="34">
    <w:abstractNumId w:val="45"/>
  </w:num>
  <w:num w:numId="35">
    <w:abstractNumId w:val="14"/>
  </w:num>
  <w:num w:numId="36">
    <w:abstractNumId w:val="27"/>
  </w:num>
  <w:num w:numId="37">
    <w:abstractNumId w:val="34"/>
  </w:num>
  <w:num w:numId="38">
    <w:abstractNumId w:val="11"/>
  </w:num>
  <w:num w:numId="39">
    <w:abstractNumId w:val="22"/>
  </w:num>
  <w:num w:numId="40">
    <w:abstractNumId w:val="2"/>
  </w:num>
  <w:num w:numId="41">
    <w:abstractNumId w:val="18"/>
  </w:num>
  <w:num w:numId="42">
    <w:abstractNumId w:val="36"/>
  </w:num>
  <w:num w:numId="43">
    <w:abstractNumId w:val="12"/>
  </w:num>
  <w:num w:numId="44">
    <w:abstractNumId w:val="3"/>
  </w:num>
  <w:num w:numId="45">
    <w:abstractNumId w:val="4"/>
  </w:num>
  <w:num w:numId="46">
    <w:abstractNumId w:val="0"/>
  </w:num>
  <w:num w:numId="47">
    <w:abstractNumId w:val="17"/>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4788"/>
    <w:rsid w:val="0002464A"/>
    <w:rsid w:val="0003106B"/>
    <w:rsid w:val="000421A1"/>
    <w:rsid w:val="0004240E"/>
    <w:rsid w:val="00045E26"/>
    <w:rsid w:val="000514B5"/>
    <w:rsid w:val="00060E64"/>
    <w:rsid w:val="00066755"/>
    <w:rsid w:val="000969AD"/>
    <w:rsid w:val="000A1566"/>
    <w:rsid w:val="000A1B3F"/>
    <w:rsid w:val="000B558D"/>
    <w:rsid w:val="000C6996"/>
    <w:rsid w:val="000D23BA"/>
    <w:rsid w:val="000E0E74"/>
    <w:rsid w:val="000E681E"/>
    <w:rsid w:val="000F4E6A"/>
    <w:rsid w:val="001015C4"/>
    <w:rsid w:val="00105A45"/>
    <w:rsid w:val="001107BF"/>
    <w:rsid w:val="0012417C"/>
    <w:rsid w:val="001350C7"/>
    <w:rsid w:val="00136CDA"/>
    <w:rsid w:val="00142395"/>
    <w:rsid w:val="00142714"/>
    <w:rsid w:val="001452ED"/>
    <w:rsid w:val="001463CC"/>
    <w:rsid w:val="001830CE"/>
    <w:rsid w:val="00183561"/>
    <w:rsid w:val="00196307"/>
    <w:rsid w:val="001B017F"/>
    <w:rsid w:val="001B5129"/>
    <w:rsid w:val="001C1195"/>
    <w:rsid w:val="001D0FD1"/>
    <w:rsid w:val="00213CFB"/>
    <w:rsid w:val="00216381"/>
    <w:rsid w:val="00271655"/>
    <w:rsid w:val="00271BA1"/>
    <w:rsid w:val="00277505"/>
    <w:rsid w:val="00277B38"/>
    <w:rsid w:val="0029458F"/>
    <w:rsid w:val="002A104C"/>
    <w:rsid w:val="002A4960"/>
    <w:rsid w:val="002B1AE6"/>
    <w:rsid w:val="002B30F8"/>
    <w:rsid w:val="002C212F"/>
    <w:rsid w:val="002D5163"/>
    <w:rsid w:val="002E3153"/>
    <w:rsid w:val="002E5690"/>
    <w:rsid w:val="002E72CA"/>
    <w:rsid w:val="003056EE"/>
    <w:rsid w:val="0030608C"/>
    <w:rsid w:val="00326E79"/>
    <w:rsid w:val="003330FA"/>
    <w:rsid w:val="003367EF"/>
    <w:rsid w:val="00337EBA"/>
    <w:rsid w:val="00341AE4"/>
    <w:rsid w:val="003672F3"/>
    <w:rsid w:val="003872CF"/>
    <w:rsid w:val="0039782C"/>
    <w:rsid w:val="003A3DEF"/>
    <w:rsid w:val="003A5B4A"/>
    <w:rsid w:val="003B23C5"/>
    <w:rsid w:val="003B2A75"/>
    <w:rsid w:val="003C10F5"/>
    <w:rsid w:val="003D4AC4"/>
    <w:rsid w:val="003D63B7"/>
    <w:rsid w:val="003E302C"/>
    <w:rsid w:val="003E468B"/>
    <w:rsid w:val="003F5C8C"/>
    <w:rsid w:val="00413956"/>
    <w:rsid w:val="0041592F"/>
    <w:rsid w:val="00415A68"/>
    <w:rsid w:val="004465BD"/>
    <w:rsid w:val="004665C7"/>
    <w:rsid w:val="00466ADA"/>
    <w:rsid w:val="00476245"/>
    <w:rsid w:val="0048333F"/>
    <w:rsid w:val="0048526E"/>
    <w:rsid w:val="00485940"/>
    <w:rsid w:val="00494ADE"/>
    <w:rsid w:val="004A5A85"/>
    <w:rsid w:val="004B33C7"/>
    <w:rsid w:val="004B5640"/>
    <w:rsid w:val="004C1BD7"/>
    <w:rsid w:val="004C691D"/>
    <w:rsid w:val="004E692D"/>
    <w:rsid w:val="004F133E"/>
    <w:rsid w:val="00501554"/>
    <w:rsid w:val="00507DA1"/>
    <w:rsid w:val="00514CD7"/>
    <w:rsid w:val="00524DBD"/>
    <w:rsid w:val="005319B2"/>
    <w:rsid w:val="00532C74"/>
    <w:rsid w:val="00534E2E"/>
    <w:rsid w:val="00544552"/>
    <w:rsid w:val="0055023F"/>
    <w:rsid w:val="00573AB2"/>
    <w:rsid w:val="005776A2"/>
    <w:rsid w:val="00581932"/>
    <w:rsid w:val="005963BB"/>
    <w:rsid w:val="005A21AC"/>
    <w:rsid w:val="005A3173"/>
    <w:rsid w:val="005A3223"/>
    <w:rsid w:val="005A3B16"/>
    <w:rsid w:val="005A3DA3"/>
    <w:rsid w:val="005A52C4"/>
    <w:rsid w:val="005D03AB"/>
    <w:rsid w:val="005D5017"/>
    <w:rsid w:val="00601A91"/>
    <w:rsid w:val="00602BA3"/>
    <w:rsid w:val="00605332"/>
    <w:rsid w:val="00614159"/>
    <w:rsid w:val="00617C00"/>
    <w:rsid w:val="006263BF"/>
    <w:rsid w:val="0062748A"/>
    <w:rsid w:val="00630A2C"/>
    <w:rsid w:val="00651169"/>
    <w:rsid w:val="00653D69"/>
    <w:rsid w:val="00670A76"/>
    <w:rsid w:val="006711AA"/>
    <w:rsid w:val="00672B57"/>
    <w:rsid w:val="00675622"/>
    <w:rsid w:val="006846C5"/>
    <w:rsid w:val="006906DB"/>
    <w:rsid w:val="006A12A5"/>
    <w:rsid w:val="006A2039"/>
    <w:rsid w:val="006B0D94"/>
    <w:rsid w:val="006B485D"/>
    <w:rsid w:val="006C708E"/>
    <w:rsid w:val="006D4248"/>
    <w:rsid w:val="006D6EC7"/>
    <w:rsid w:val="006F5125"/>
    <w:rsid w:val="0070423F"/>
    <w:rsid w:val="007174BB"/>
    <w:rsid w:val="0072691D"/>
    <w:rsid w:val="00755723"/>
    <w:rsid w:val="007565FA"/>
    <w:rsid w:val="0076420C"/>
    <w:rsid w:val="00772D59"/>
    <w:rsid w:val="00773BA3"/>
    <w:rsid w:val="007753C2"/>
    <w:rsid w:val="007764AA"/>
    <w:rsid w:val="007838B8"/>
    <w:rsid w:val="0079083A"/>
    <w:rsid w:val="007A7EB8"/>
    <w:rsid w:val="007C0F57"/>
    <w:rsid w:val="007C40B6"/>
    <w:rsid w:val="007C729F"/>
    <w:rsid w:val="007E1D28"/>
    <w:rsid w:val="007F2641"/>
    <w:rsid w:val="007F4B64"/>
    <w:rsid w:val="007F7C36"/>
    <w:rsid w:val="00806796"/>
    <w:rsid w:val="0081025D"/>
    <w:rsid w:val="00811E65"/>
    <w:rsid w:val="00826F6D"/>
    <w:rsid w:val="00835772"/>
    <w:rsid w:val="008449AD"/>
    <w:rsid w:val="00851885"/>
    <w:rsid w:val="00856DDD"/>
    <w:rsid w:val="00863E68"/>
    <w:rsid w:val="00882085"/>
    <w:rsid w:val="00883188"/>
    <w:rsid w:val="0089651E"/>
    <w:rsid w:val="00897D58"/>
    <w:rsid w:val="008A1956"/>
    <w:rsid w:val="008A4937"/>
    <w:rsid w:val="008C5569"/>
    <w:rsid w:val="008D3C82"/>
    <w:rsid w:val="008D447E"/>
    <w:rsid w:val="008D7A41"/>
    <w:rsid w:val="008E3680"/>
    <w:rsid w:val="008E5870"/>
    <w:rsid w:val="008F1434"/>
    <w:rsid w:val="008F7355"/>
    <w:rsid w:val="009067B7"/>
    <w:rsid w:val="00930937"/>
    <w:rsid w:val="00933E6C"/>
    <w:rsid w:val="00942160"/>
    <w:rsid w:val="00946EAC"/>
    <w:rsid w:val="00956212"/>
    <w:rsid w:val="009602C5"/>
    <w:rsid w:val="00974C21"/>
    <w:rsid w:val="009B02C2"/>
    <w:rsid w:val="009B0F67"/>
    <w:rsid w:val="009C5B66"/>
    <w:rsid w:val="009C703C"/>
    <w:rsid w:val="009D1EA8"/>
    <w:rsid w:val="009D3CAA"/>
    <w:rsid w:val="009F4E46"/>
    <w:rsid w:val="009F5B65"/>
    <w:rsid w:val="009F5F2E"/>
    <w:rsid w:val="009F634A"/>
    <w:rsid w:val="00A04299"/>
    <w:rsid w:val="00A06225"/>
    <w:rsid w:val="00A128E6"/>
    <w:rsid w:val="00A14BDB"/>
    <w:rsid w:val="00A34FAD"/>
    <w:rsid w:val="00A37C8D"/>
    <w:rsid w:val="00A4185E"/>
    <w:rsid w:val="00A44F6C"/>
    <w:rsid w:val="00A5273B"/>
    <w:rsid w:val="00A53A9D"/>
    <w:rsid w:val="00A55FEE"/>
    <w:rsid w:val="00A6175F"/>
    <w:rsid w:val="00A62C1A"/>
    <w:rsid w:val="00A6426D"/>
    <w:rsid w:val="00A70622"/>
    <w:rsid w:val="00A70977"/>
    <w:rsid w:val="00A8390C"/>
    <w:rsid w:val="00A90C3D"/>
    <w:rsid w:val="00A928BD"/>
    <w:rsid w:val="00AA4D1C"/>
    <w:rsid w:val="00AB7EF1"/>
    <w:rsid w:val="00AC5206"/>
    <w:rsid w:val="00AD6B5D"/>
    <w:rsid w:val="00AE11A5"/>
    <w:rsid w:val="00AE13E2"/>
    <w:rsid w:val="00AF68CC"/>
    <w:rsid w:val="00B01AC8"/>
    <w:rsid w:val="00B205AA"/>
    <w:rsid w:val="00B22E84"/>
    <w:rsid w:val="00B25F75"/>
    <w:rsid w:val="00B363E1"/>
    <w:rsid w:val="00B43E90"/>
    <w:rsid w:val="00B56118"/>
    <w:rsid w:val="00B65C38"/>
    <w:rsid w:val="00B6773F"/>
    <w:rsid w:val="00B77A65"/>
    <w:rsid w:val="00B801BA"/>
    <w:rsid w:val="00BA4DAC"/>
    <w:rsid w:val="00BA6BD1"/>
    <w:rsid w:val="00BB604D"/>
    <w:rsid w:val="00BB69F5"/>
    <w:rsid w:val="00BB7EC3"/>
    <w:rsid w:val="00BC303A"/>
    <w:rsid w:val="00BC4B9A"/>
    <w:rsid w:val="00BD784C"/>
    <w:rsid w:val="00BE015C"/>
    <w:rsid w:val="00BF4CB6"/>
    <w:rsid w:val="00C00DA7"/>
    <w:rsid w:val="00C06A17"/>
    <w:rsid w:val="00C12768"/>
    <w:rsid w:val="00C22DD6"/>
    <w:rsid w:val="00C27B58"/>
    <w:rsid w:val="00C35996"/>
    <w:rsid w:val="00C40783"/>
    <w:rsid w:val="00C5342C"/>
    <w:rsid w:val="00C6256A"/>
    <w:rsid w:val="00C745CB"/>
    <w:rsid w:val="00C91449"/>
    <w:rsid w:val="00C92D10"/>
    <w:rsid w:val="00CD33DF"/>
    <w:rsid w:val="00CE10C4"/>
    <w:rsid w:val="00CE27B5"/>
    <w:rsid w:val="00CE7804"/>
    <w:rsid w:val="00D0321E"/>
    <w:rsid w:val="00D1455A"/>
    <w:rsid w:val="00D305DE"/>
    <w:rsid w:val="00D3280C"/>
    <w:rsid w:val="00D3406A"/>
    <w:rsid w:val="00D424C1"/>
    <w:rsid w:val="00D469B2"/>
    <w:rsid w:val="00D64C88"/>
    <w:rsid w:val="00D741EB"/>
    <w:rsid w:val="00D84934"/>
    <w:rsid w:val="00D91271"/>
    <w:rsid w:val="00D950CC"/>
    <w:rsid w:val="00D975AC"/>
    <w:rsid w:val="00DA2CB5"/>
    <w:rsid w:val="00DA4BAC"/>
    <w:rsid w:val="00DB55CF"/>
    <w:rsid w:val="00DD0DBA"/>
    <w:rsid w:val="00DE6D27"/>
    <w:rsid w:val="00DF217D"/>
    <w:rsid w:val="00DF26A7"/>
    <w:rsid w:val="00E164B3"/>
    <w:rsid w:val="00E16910"/>
    <w:rsid w:val="00E34C04"/>
    <w:rsid w:val="00E65E54"/>
    <w:rsid w:val="00E80155"/>
    <w:rsid w:val="00E80737"/>
    <w:rsid w:val="00E848C0"/>
    <w:rsid w:val="00E91B96"/>
    <w:rsid w:val="00E941A1"/>
    <w:rsid w:val="00E95CE3"/>
    <w:rsid w:val="00EA2825"/>
    <w:rsid w:val="00EB5088"/>
    <w:rsid w:val="00ED1644"/>
    <w:rsid w:val="00ED3989"/>
    <w:rsid w:val="00EF318B"/>
    <w:rsid w:val="00EF44A0"/>
    <w:rsid w:val="00F050BD"/>
    <w:rsid w:val="00F05657"/>
    <w:rsid w:val="00F25578"/>
    <w:rsid w:val="00F258E5"/>
    <w:rsid w:val="00F300BC"/>
    <w:rsid w:val="00F3334E"/>
    <w:rsid w:val="00F3635C"/>
    <w:rsid w:val="00F45709"/>
    <w:rsid w:val="00F50EC4"/>
    <w:rsid w:val="00F57A6D"/>
    <w:rsid w:val="00F638CC"/>
    <w:rsid w:val="00F674FF"/>
    <w:rsid w:val="00F8247A"/>
    <w:rsid w:val="00F9629A"/>
    <w:rsid w:val="00FA545E"/>
    <w:rsid w:val="00FA5883"/>
    <w:rsid w:val="00FA6055"/>
    <w:rsid w:val="00FB322F"/>
    <w:rsid w:val="00FB442F"/>
    <w:rsid w:val="00FC1929"/>
    <w:rsid w:val="00FC3F10"/>
    <w:rsid w:val="00FC5B46"/>
    <w:rsid w:val="00FC66D9"/>
    <w:rsid w:val="00FD6A9E"/>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45709"/>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3A3DEF"/>
    <w:rPr>
      <w:color w:val="0000FF"/>
      <w:u w:val="single"/>
    </w:rPr>
  </w:style>
  <w:style w:type="paragraph" w:customStyle="1" w:styleId="PBACHeading1">
    <w:name w:val="PBAC Heading 1"/>
    <w:qFormat/>
    <w:rsid w:val="003A3DEF"/>
    <w:pPr>
      <w:ind w:left="720" w:hanging="72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45709"/>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3A3DEF"/>
    <w:rPr>
      <w:color w:val="0000FF"/>
      <w:u w:val="single"/>
    </w:rPr>
  </w:style>
  <w:style w:type="paragraph" w:customStyle="1" w:styleId="PBACHeading1">
    <w:name w:val="PBAC Heading 1"/>
    <w:qFormat/>
    <w:rsid w:val="003A3DEF"/>
    <w:pPr>
      <w:ind w:left="720" w:hanging="72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3145803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91316311">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58EC9-8882-4F18-85B8-1C84E1BE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1467</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2015-10-23T03:44:00Z</dcterms:created>
  <dcterms:modified xsi:type="dcterms:W3CDTF">2015-10-23T03:45:00Z</dcterms:modified>
</cp:coreProperties>
</file>